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EBD2C">
      <w:pPr>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C1F4FD7">
      <w:pPr>
        <w:jc w:val="center"/>
        <w:rPr>
          <w:rFonts w:hint="eastAsia" w:ascii="宋体" w:hAnsi="宋体" w:eastAsia="宋体" w:cs="宋体"/>
          <w:color w:val="auto"/>
          <w:highlight w:val="none"/>
        </w:rPr>
      </w:pPr>
    </w:p>
    <w:p w14:paraId="01590DB6">
      <w:pPr>
        <w:jc w:val="center"/>
        <w:rPr>
          <w:rFonts w:hint="eastAsia" w:ascii="宋体" w:hAnsi="宋体" w:eastAsia="宋体" w:cs="宋体"/>
          <w:color w:val="auto"/>
          <w:highlight w:val="none"/>
        </w:rPr>
      </w:pPr>
    </w:p>
    <w:p w14:paraId="19C5EF33">
      <w:pPr>
        <w:spacing w:line="1600" w:lineRule="exact"/>
        <w:jc w:val="center"/>
        <w:outlineLvl w:val="0"/>
        <w:rPr>
          <w:rFonts w:hint="eastAsia" w:ascii="宋体" w:hAnsi="宋体" w:eastAsia="宋体" w:cs="宋体"/>
          <w:color w:val="auto"/>
          <w:sz w:val="72"/>
          <w:szCs w:val="72"/>
          <w:highlight w:val="none"/>
        </w:rPr>
      </w:pPr>
      <w:r>
        <w:rPr>
          <w:rFonts w:hint="eastAsia" w:ascii="宋体" w:hAnsi="宋体" w:eastAsia="宋体" w:cs="宋体"/>
          <w:color w:val="auto"/>
          <w:sz w:val="130"/>
          <w:szCs w:val="130"/>
          <w:highlight w:val="none"/>
        </w:rPr>
        <w:t>询比采购文件</w:t>
      </w:r>
    </w:p>
    <w:p w14:paraId="7555013D">
      <w:pPr>
        <w:spacing w:line="700" w:lineRule="exact"/>
        <w:jc w:val="center"/>
        <w:rPr>
          <w:rFonts w:hint="eastAsia" w:ascii="宋体" w:hAnsi="宋体" w:eastAsia="宋体" w:cs="宋体"/>
          <w:color w:val="auto"/>
          <w:sz w:val="32"/>
          <w:highlight w:val="none"/>
        </w:rPr>
      </w:pPr>
    </w:p>
    <w:p w14:paraId="1B19F3A4">
      <w:pPr>
        <w:spacing w:line="700" w:lineRule="exact"/>
        <w:jc w:val="center"/>
        <w:rPr>
          <w:rFonts w:hint="eastAsia" w:ascii="宋体" w:hAnsi="宋体" w:eastAsia="宋体" w:cs="宋体"/>
          <w:color w:val="auto"/>
          <w:sz w:val="32"/>
          <w:highlight w:val="none"/>
        </w:rPr>
      </w:pPr>
    </w:p>
    <w:p w14:paraId="7CDB0265">
      <w:pPr>
        <w:spacing w:line="700" w:lineRule="exact"/>
        <w:jc w:val="center"/>
        <w:rPr>
          <w:rFonts w:hint="eastAsia" w:ascii="宋体" w:hAnsi="宋体" w:eastAsia="宋体" w:cs="宋体"/>
          <w:color w:val="auto"/>
          <w:sz w:val="32"/>
          <w:highlight w:val="none"/>
        </w:rPr>
      </w:pPr>
    </w:p>
    <w:p w14:paraId="13C739D0">
      <w:pPr>
        <w:spacing w:line="500" w:lineRule="exact"/>
        <w:outlineLvl w:val="0"/>
        <w:rPr>
          <w:rFonts w:hint="eastAsia" w:ascii="宋体" w:hAnsi="宋体" w:eastAsia="宋体" w:cs="宋体"/>
          <w:color w:val="auto"/>
          <w:sz w:val="36"/>
          <w:szCs w:val="36"/>
          <w:highlight w:val="none"/>
        </w:rPr>
      </w:pPr>
    </w:p>
    <w:p w14:paraId="3B254E24">
      <w:pPr>
        <w:spacing w:line="500" w:lineRule="exact"/>
        <w:outlineLvl w:val="0"/>
        <w:rPr>
          <w:rFonts w:hint="eastAsia" w:ascii="宋体" w:hAnsi="宋体" w:eastAsia="宋体" w:cs="宋体"/>
          <w:color w:val="auto"/>
          <w:sz w:val="36"/>
          <w:szCs w:val="36"/>
          <w:highlight w:val="none"/>
        </w:rPr>
      </w:pPr>
    </w:p>
    <w:p w14:paraId="1090EF39">
      <w:pPr>
        <w:spacing w:line="500" w:lineRule="exact"/>
        <w:jc w:val="center"/>
        <w:outlineLvl w:val="0"/>
        <w:rPr>
          <w:rFonts w:hint="eastAsia" w:ascii="宋体" w:hAnsi="宋体" w:cs="宋体"/>
          <w:color w:val="auto"/>
          <w:sz w:val="36"/>
          <w:szCs w:val="36"/>
          <w:highlight w:val="none"/>
          <w:lang w:eastAsia="zh-CN"/>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lang w:eastAsia="zh-CN"/>
        </w:rPr>
        <w:t>重庆市沙坪坝区凤凰镇卫生院</w:t>
      </w:r>
    </w:p>
    <w:p w14:paraId="3F068F0C">
      <w:pPr>
        <w:spacing w:line="500" w:lineRule="exact"/>
        <w:jc w:val="center"/>
        <w:outlineLvl w:val="0"/>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物业保安保洁服务</w:t>
      </w:r>
    </w:p>
    <w:p w14:paraId="2A97DB1F">
      <w:pPr>
        <w:spacing w:line="500" w:lineRule="exact"/>
        <w:ind w:firstLine="2340" w:firstLineChars="650"/>
        <w:outlineLvl w:val="0"/>
        <w:rPr>
          <w:rFonts w:hint="eastAsia" w:ascii="宋体" w:hAnsi="宋体" w:eastAsia="宋体" w:cs="宋体"/>
          <w:color w:val="auto"/>
          <w:sz w:val="36"/>
          <w:szCs w:val="36"/>
          <w:highlight w:val="none"/>
        </w:rPr>
      </w:pPr>
    </w:p>
    <w:p w14:paraId="135B1144">
      <w:pPr>
        <w:pStyle w:val="4"/>
        <w:rPr>
          <w:rFonts w:hint="eastAsia" w:ascii="宋体" w:hAnsi="宋体" w:eastAsia="宋体" w:cs="宋体"/>
          <w:b/>
          <w:color w:val="auto"/>
          <w:sz w:val="36"/>
          <w:szCs w:val="36"/>
          <w:highlight w:val="none"/>
        </w:rPr>
      </w:pPr>
    </w:p>
    <w:p w14:paraId="0023E03F">
      <w:pPr>
        <w:pStyle w:val="15"/>
        <w:rPr>
          <w:rFonts w:hint="eastAsia" w:ascii="宋体" w:hAnsi="宋体" w:eastAsia="宋体" w:cs="宋体"/>
          <w:b/>
          <w:color w:val="auto"/>
          <w:sz w:val="36"/>
          <w:szCs w:val="36"/>
          <w:highlight w:val="none"/>
        </w:rPr>
      </w:pPr>
    </w:p>
    <w:p w14:paraId="6A76F5C5">
      <w:pPr>
        <w:rPr>
          <w:rFonts w:hint="eastAsia" w:ascii="宋体" w:hAnsi="宋体" w:eastAsia="宋体" w:cs="宋体"/>
          <w:b/>
          <w:color w:val="auto"/>
          <w:sz w:val="36"/>
          <w:szCs w:val="36"/>
          <w:highlight w:val="none"/>
        </w:rPr>
      </w:pPr>
    </w:p>
    <w:p w14:paraId="273E3B13">
      <w:pPr>
        <w:pStyle w:val="4"/>
        <w:rPr>
          <w:rFonts w:hint="eastAsia" w:ascii="宋体" w:hAnsi="宋体" w:eastAsia="宋体" w:cs="宋体"/>
          <w:b/>
          <w:color w:val="auto"/>
          <w:sz w:val="36"/>
          <w:szCs w:val="36"/>
          <w:highlight w:val="none"/>
        </w:rPr>
      </w:pPr>
    </w:p>
    <w:p w14:paraId="55936EC5">
      <w:pPr>
        <w:pStyle w:val="15"/>
        <w:rPr>
          <w:rFonts w:hint="eastAsia" w:ascii="宋体" w:hAnsi="宋体" w:eastAsia="宋体" w:cs="宋体"/>
          <w:color w:val="auto"/>
          <w:highlight w:val="none"/>
        </w:rPr>
      </w:pPr>
    </w:p>
    <w:p w14:paraId="4623436D">
      <w:pPr>
        <w:pStyle w:val="4"/>
        <w:rPr>
          <w:rFonts w:hint="eastAsia" w:ascii="宋体" w:hAnsi="宋体" w:eastAsia="宋体" w:cs="宋体"/>
          <w:color w:val="auto"/>
          <w:highlight w:val="none"/>
        </w:rPr>
      </w:pPr>
    </w:p>
    <w:p w14:paraId="2A10027C">
      <w:pPr>
        <w:spacing w:line="700" w:lineRule="exact"/>
        <w:rPr>
          <w:rFonts w:hint="eastAsia" w:ascii="宋体" w:hAnsi="宋体" w:eastAsia="宋体" w:cs="宋体"/>
          <w:b/>
          <w:color w:val="auto"/>
          <w:sz w:val="36"/>
          <w:szCs w:val="36"/>
          <w:highlight w:val="none"/>
        </w:rPr>
      </w:pPr>
    </w:p>
    <w:p w14:paraId="6FE93E59">
      <w:pPr>
        <w:spacing w:line="500" w:lineRule="exact"/>
        <w:jc w:val="center"/>
        <w:rPr>
          <w:rFonts w:hint="eastAsia" w:ascii="宋体" w:hAnsi="宋体" w:eastAsia="宋体" w:cs="宋体"/>
          <w:b w:val="0"/>
          <w:bCs/>
          <w:color w:val="auto"/>
          <w:sz w:val="32"/>
          <w:highlight w:val="none"/>
        </w:rPr>
      </w:pPr>
    </w:p>
    <w:p w14:paraId="4D34F7A5">
      <w:pPr>
        <w:spacing w:line="360" w:lineRule="auto"/>
        <w:ind w:firstLine="720" w:firstLineChars="200"/>
        <w:jc w:val="left"/>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采购人：</w:t>
      </w:r>
      <w:r>
        <w:rPr>
          <w:rFonts w:hint="eastAsia" w:ascii="宋体" w:hAnsi="宋体" w:cs="宋体"/>
          <w:color w:val="auto"/>
          <w:sz w:val="36"/>
          <w:szCs w:val="36"/>
          <w:highlight w:val="none"/>
          <w:lang w:eastAsia="zh-CN"/>
        </w:rPr>
        <w:t>重庆市沙坪坝区凤凰镇卫生院</w:t>
      </w:r>
    </w:p>
    <w:p w14:paraId="5D40A1CF">
      <w:pPr>
        <w:spacing w:line="360" w:lineRule="auto"/>
        <w:ind w:firstLine="720" w:firstLineChars="200"/>
        <w:jc w:val="left"/>
        <w:outlineLvl w:val="0"/>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采购代理机构：重庆恒泰工程技术服务有限公司</w:t>
      </w:r>
    </w:p>
    <w:p w14:paraId="16521FED">
      <w:pPr>
        <w:spacing w:line="360" w:lineRule="auto"/>
        <w:jc w:val="center"/>
        <w:outlineLvl w:val="0"/>
        <w:rPr>
          <w:rFonts w:hint="eastAsia" w:ascii="宋体" w:hAnsi="宋体" w:eastAsia="宋体" w:cs="宋体"/>
          <w:color w:val="auto"/>
          <w:sz w:val="36"/>
          <w:szCs w:val="36"/>
          <w:highlight w:val="none"/>
          <w:lang w:eastAsia="zh-CN"/>
        </w:rPr>
        <w:sectPr>
          <w:headerReference r:id="rId3" w:type="first"/>
          <w:pgSz w:w="11907" w:h="16840"/>
          <w:pgMar w:top="1440" w:right="1080" w:bottom="1440" w:left="1080" w:header="794" w:footer="964" w:gutter="0"/>
          <w:pgNumType w:start="1"/>
          <w:cols w:space="720" w:num="1"/>
          <w:docGrid w:linePitch="381" w:charSpace="0"/>
        </w:sectPr>
      </w:pPr>
      <w:r>
        <w:rPr>
          <w:rFonts w:hint="eastAsia" w:ascii="宋体" w:hAnsi="宋体" w:eastAsia="宋体" w:cs="宋体"/>
          <w:color w:val="auto"/>
          <w:sz w:val="36"/>
          <w:szCs w:val="36"/>
          <w:highlight w:val="none"/>
          <w:lang w:eastAsia="zh-CN"/>
        </w:rPr>
        <w:t>202</w:t>
      </w:r>
      <w:r>
        <w:rPr>
          <w:rFonts w:hint="eastAsia" w:ascii="宋体" w:hAnsi="宋体" w:eastAsia="宋体" w:cs="宋体"/>
          <w:color w:val="auto"/>
          <w:sz w:val="36"/>
          <w:szCs w:val="36"/>
          <w:highlight w:val="none"/>
          <w:lang w:val="en-US" w:eastAsia="zh-CN"/>
        </w:rPr>
        <w:t>5</w:t>
      </w:r>
      <w:r>
        <w:rPr>
          <w:rFonts w:hint="eastAsia" w:ascii="宋体" w:hAnsi="宋体" w:eastAsia="宋体" w:cs="宋体"/>
          <w:color w:val="auto"/>
          <w:sz w:val="36"/>
          <w:szCs w:val="36"/>
          <w:highlight w:val="none"/>
          <w:lang w:eastAsia="zh-CN"/>
        </w:rPr>
        <w:t>年</w:t>
      </w:r>
      <w:r>
        <w:rPr>
          <w:rFonts w:hint="eastAsia" w:ascii="宋体" w:hAnsi="宋体" w:eastAsia="宋体" w:cs="宋体"/>
          <w:color w:val="auto"/>
          <w:sz w:val="36"/>
          <w:szCs w:val="36"/>
          <w:highlight w:val="none"/>
          <w:lang w:val="en-US" w:eastAsia="zh-CN"/>
        </w:rPr>
        <w:t>6</w:t>
      </w:r>
      <w:r>
        <w:rPr>
          <w:rFonts w:hint="eastAsia" w:ascii="宋体" w:hAnsi="宋体" w:eastAsia="宋体" w:cs="宋体"/>
          <w:color w:val="auto"/>
          <w:sz w:val="36"/>
          <w:szCs w:val="36"/>
          <w:highlight w:val="none"/>
          <w:lang w:eastAsia="zh-CN"/>
        </w:rPr>
        <w:t>月</w:t>
      </w:r>
    </w:p>
    <w:p w14:paraId="71B27F43">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43C822CE">
      <w:pPr>
        <w:pStyle w:val="13"/>
        <w:tabs>
          <w:tab w:val="right" w:leader="dot" w:pos="9747"/>
        </w:tabs>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_Toc6202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_Toc6202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60B10E8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_Toc1530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一、询比内容</w:t>
      </w:r>
      <w:r>
        <w:rPr>
          <w:color w:val="auto"/>
          <w:highlight w:val="none"/>
        </w:rPr>
        <w:tab/>
      </w:r>
      <w:r>
        <w:rPr>
          <w:color w:val="auto"/>
          <w:highlight w:val="none"/>
        </w:rPr>
        <w:fldChar w:fldCharType="begin"/>
      </w:r>
      <w:r>
        <w:rPr>
          <w:color w:val="auto"/>
          <w:highlight w:val="none"/>
        </w:rPr>
        <w:instrText xml:space="preserve"> PAGEREF _Toc1530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3BDB403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_Toc7888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二、资金来源</w:t>
      </w:r>
      <w:r>
        <w:rPr>
          <w:color w:val="auto"/>
          <w:highlight w:val="none"/>
        </w:rPr>
        <w:tab/>
      </w:r>
      <w:r>
        <w:rPr>
          <w:color w:val="auto"/>
          <w:highlight w:val="none"/>
        </w:rPr>
        <w:fldChar w:fldCharType="begin"/>
      </w:r>
      <w:r>
        <w:rPr>
          <w:color w:val="auto"/>
          <w:highlight w:val="none"/>
        </w:rPr>
        <w:instrText xml:space="preserve"> PAGEREF _Toc7888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5C1F69F0">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_Toc24955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三、供应商资格条件</w:t>
      </w:r>
      <w:r>
        <w:rPr>
          <w:color w:val="auto"/>
          <w:highlight w:val="none"/>
        </w:rPr>
        <w:tab/>
      </w:r>
      <w:r>
        <w:rPr>
          <w:color w:val="auto"/>
          <w:highlight w:val="none"/>
        </w:rPr>
        <w:fldChar w:fldCharType="begin"/>
      </w:r>
      <w:r>
        <w:rPr>
          <w:color w:val="auto"/>
          <w:highlight w:val="none"/>
        </w:rPr>
        <w:instrText xml:space="preserve"> PAGEREF _Toc24955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B35F8B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_Toc6049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（一）一般资质条件</w:t>
      </w:r>
      <w:r>
        <w:rPr>
          <w:color w:val="auto"/>
          <w:highlight w:val="none"/>
        </w:rPr>
        <w:tab/>
      </w:r>
      <w:r>
        <w:rPr>
          <w:color w:val="auto"/>
          <w:highlight w:val="none"/>
        </w:rPr>
        <w:fldChar w:fldCharType="begin"/>
      </w:r>
      <w:r>
        <w:rPr>
          <w:color w:val="auto"/>
          <w:highlight w:val="none"/>
        </w:rPr>
        <w:instrText xml:space="preserve"> PAGEREF _Toc6049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46805E25">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_Toc18858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1.具有独立承担民事责任的能力；</w:t>
      </w:r>
      <w:r>
        <w:rPr>
          <w:color w:val="auto"/>
          <w:highlight w:val="none"/>
        </w:rPr>
        <w:tab/>
      </w:r>
      <w:r>
        <w:rPr>
          <w:color w:val="auto"/>
          <w:highlight w:val="none"/>
        </w:rPr>
        <w:fldChar w:fldCharType="begin"/>
      </w:r>
      <w:r>
        <w:rPr>
          <w:color w:val="auto"/>
          <w:highlight w:val="none"/>
        </w:rPr>
        <w:instrText xml:space="preserve"> PAGEREF _Toc18858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CC353A8">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_Toc2381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2.具有良好的商业信誉和健全的财务会计制度；</w:t>
      </w:r>
      <w:r>
        <w:rPr>
          <w:color w:val="auto"/>
          <w:highlight w:val="none"/>
        </w:rPr>
        <w:tab/>
      </w:r>
      <w:r>
        <w:rPr>
          <w:color w:val="auto"/>
          <w:highlight w:val="none"/>
        </w:rPr>
        <w:fldChar w:fldCharType="begin"/>
      </w:r>
      <w:r>
        <w:rPr>
          <w:color w:val="auto"/>
          <w:highlight w:val="none"/>
        </w:rPr>
        <w:instrText xml:space="preserve"> PAGEREF _Toc2381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67BDB99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_Toc3992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3.具有履行合同所必需的设备和专业技术能力；</w:t>
      </w:r>
      <w:r>
        <w:rPr>
          <w:color w:val="auto"/>
          <w:highlight w:val="none"/>
        </w:rPr>
        <w:tab/>
      </w:r>
      <w:r>
        <w:rPr>
          <w:color w:val="auto"/>
          <w:highlight w:val="none"/>
        </w:rPr>
        <w:fldChar w:fldCharType="begin"/>
      </w:r>
      <w:r>
        <w:rPr>
          <w:color w:val="auto"/>
          <w:highlight w:val="none"/>
        </w:rPr>
        <w:instrText xml:space="preserve"> PAGEREF _Toc3992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118B1643">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_Toc6606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4.有依法缴纳税收和社会保障资金的良好记录；</w:t>
      </w:r>
      <w:r>
        <w:rPr>
          <w:color w:val="auto"/>
          <w:highlight w:val="none"/>
        </w:rPr>
        <w:tab/>
      </w:r>
      <w:r>
        <w:rPr>
          <w:color w:val="auto"/>
          <w:highlight w:val="none"/>
        </w:rPr>
        <w:fldChar w:fldCharType="begin"/>
      </w:r>
      <w:r>
        <w:rPr>
          <w:color w:val="auto"/>
          <w:highlight w:val="none"/>
        </w:rPr>
        <w:instrText xml:space="preserve"> PAGEREF _Toc6606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7971ED6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_Toc7642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5.参加政府采购活动前三年内，在经营活动中没有重大违法记录；</w:t>
      </w:r>
      <w:r>
        <w:rPr>
          <w:color w:val="auto"/>
          <w:highlight w:val="none"/>
        </w:rPr>
        <w:tab/>
      </w:r>
      <w:r>
        <w:rPr>
          <w:color w:val="auto"/>
          <w:highlight w:val="none"/>
        </w:rPr>
        <w:fldChar w:fldCharType="begin"/>
      </w:r>
      <w:r>
        <w:rPr>
          <w:color w:val="auto"/>
          <w:highlight w:val="none"/>
        </w:rPr>
        <w:instrText xml:space="preserve"> PAGEREF _Toc7642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2195CC0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_Toc31707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kern w:val="2"/>
          <w:szCs w:val="24"/>
          <w:highlight w:val="none"/>
          <w:lang w:val="en-US" w:eastAsia="zh-CN" w:bidi="ar-SA"/>
        </w:rPr>
        <w:t>6.法律、行政法规规定的其他条件。</w:t>
      </w:r>
      <w:r>
        <w:rPr>
          <w:color w:val="auto"/>
          <w:highlight w:val="none"/>
        </w:rPr>
        <w:tab/>
      </w:r>
      <w:r>
        <w:rPr>
          <w:color w:val="auto"/>
          <w:highlight w:val="none"/>
        </w:rPr>
        <w:fldChar w:fldCharType="begin"/>
      </w:r>
      <w:r>
        <w:rPr>
          <w:color w:val="auto"/>
          <w:highlight w:val="none"/>
        </w:rPr>
        <w:instrText xml:space="preserve"> PAGEREF _Toc31707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7B82AD5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_Toc23228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四、询比有关说明</w:t>
      </w:r>
      <w:r>
        <w:rPr>
          <w:color w:val="auto"/>
          <w:highlight w:val="none"/>
        </w:rPr>
        <w:tab/>
      </w:r>
      <w:r>
        <w:rPr>
          <w:color w:val="auto"/>
          <w:highlight w:val="none"/>
        </w:rPr>
        <w:fldChar w:fldCharType="begin"/>
      </w:r>
      <w:r>
        <w:rPr>
          <w:color w:val="auto"/>
          <w:highlight w:val="none"/>
        </w:rPr>
        <w:instrText xml:space="preserve"> PAGEREF _Toc23228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1"/>
          <w:highlight w:val="none"/>
        </w:rPr>
        <w:fldChar w:fldCharType="end"/>
      </w:r>
    </w:p>
    <w:p w14:paraId="22D4F9A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_Toc31213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、其它有关规定</w:t>
      </w:r>
      <w:r>
        <w:rPr>
          <w:color w:val="auto"/>
          <w:highlight w:val="none"/>
        </w:rPr>
        <w:tab/>
      </w:r>
      <w:r>
        <w:rPr>
          <w:color w:val="auto"/>
          <w:highlight w:val="none"/>
        </w:rPr>
        <w:fldChar w:fldCharType="begin"/>
      </w:r>
      <w:r>
        <w:rPr>
          <w:color w:val="auto"/>
          <w:highlight w:val="none"/>
        </w:rPr>
        <w:instrText xml:space="preserve"> PAGEREF _Toc31213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color w:val="auto"/>
          <w:szCs w:val="21"/>
          <w:highlight w:val="none"/>
        </w:rPr>
        <w:fldChar w:fldCharType="end"/>
      </w:r>
    </w:p>
    <w:p w14:paraId="5D20CD2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_Toc2750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七、联系方式</w:t>
      </w:r>
      <w:r>
        <w:rPr>
          <w:color w:val="auto"/>
          <w:highlight w:val="none"/>
        </w:rPr>
        <w:tab/>
      </w:r>
      <w:r>
        <w:rPr>
          <w:color w:val="auto"/>
          <w:highlight w:val="none"/>
        </w:rPr>
        <w:fldChar w:fldCharType="begin"/>
      </w:r>
      <w:r>
        <w:rPr>
          <w:color w:val="auto"/>
          <w:highlight w:val="none"/>
        </w:rPr>
        <w:instrText xml:space="preserve"> PAGEREF _Toc2750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1"/>
          <w:highlight w:val="none"/>
        </w:rPr>
        <w:fldChar w:fldCharType="end"/>
      </w:r>
    </w:p>
    <w:p w14:paraId="2A9CF27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_Toc6097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_Toc6097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1"/>
          <w:highlight w:val="none"/>
        </w:rPr>
        <w:fldChar w:fldCharType="end"/>
      </w:r>
    </w:p>
    <w:p w14:paraId="4675B029">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_Toc20978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_Toc20978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1"/>
          <w:highlight w:val="none"/>
        </w:rPr>
        <w:fldChar w:fldCharType="end"/>
      </w:r>
    </w:p>
    <w:p w14:paraId="7F4D760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_Toc24496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第四篇  询比程序及方法、评审标准、无效响应和</w:t>
      </w:r>
      <w:r>
        <w:rPr>
          <w:rFonts w:hint="eastAsia" w:ascii="宋体" w:hAnsi="宋体" w:eastAsia="宋体" w:cs="宋体"/>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_Toc24496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7836ED8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_Toc8579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一、询比程序及方法</w:t>
      </w:r>
      <w:r>
        <w:rPr>
          <w:color w:val="auto"/>
          <w:highlight w:val="none"/>
        </w:rPr>
        <w:tab/>
      </w:r>
      <w:r>
        <w:rPr>
          <w:color w:val="auto"/>
          <w:highlight w:val="none"/>
        </w:rPr>
        <w:fldChar w:fldCharType="begin"/>
      </w:r>
      <w:r>
        <w:rPr>
          <w:color w:val="auto"/>
          <w:highlight w:val="none"/>
        </w:rPr>
        <w:instrText xml:space="preserve"> PAGEREF _Toc8579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color w:val="auto"/>
          <w:szCs w:val="21"/>
          <w:highlight w:val="none"/>
        </w:rPr>
        <w:fldChar w:fldCharType="end"/>
      </w:r>
    </w:p>
    <w:p w14:paraId="3C49EC6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_Toc31894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_Toc31894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color w:val="auto"/>
          <w:szCs w:val="21"/>
          <w:highlight w:val="none"/>
        </w:rPr>
        <w:fldChar w:fldCharType="end"/>
      </w:r>
    </w:p>
    <w:p w14:paraId="53684F25">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_Toc9390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_Toc9390 \h </w:instrText>
      </w:r>
      <w:r>
        <w:rPr>
          <w:color w:val="auto"/>
          <w:highlight w:val="none"/>
        </w:rPr>
        <w:fldChar w:fldCharType="separate"/>
      </w:r>
      <w:r>
        <w:rPr>
          <w:color w:val="auto"/>
          <w:highlight w:val="none"/>
        </w:rPr>
        <w:t>- 17 -</w:t>
      </w:r>
      <w:r>
        <w:rPr>
          <w:color w:val="auto"/>
          <w:highlight w:val="none"/>
        </w:rPr>
        <w:fldChar w:fldCharType="end"/>
      </w:r>
      <w:r>
        <w:rPr>
          <w:rFonts w:hint="eastAsia" w:ascii="宋体" w:hAnsi="宋体" w:eastAsia="宋体" w:cs="宋体"/>
          <w:color w:val="auto"/>
          <w:szCs w:val="21"/>
          <w:highlight w:val="none"/>
        </w:rPr>
        <w:fldChar w:fldCharType="end"/>
      </w:r>
    </w:p>
    <w:p w14:paraId="74527BD6">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_Toc28575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_Toc28575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color w:val="auto"/>
          <w:szCs w:val="21"/>
          <w:highlight w:val="none"/>
        </w:rPr>
        <w:fldChar w:fldCharType="end"/>
      </w:r>
    </w:p>
    <w:p w14:paraId="1EA0808D">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_Toc14223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_Toc14223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3081E609">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_Toc20006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一、询比费用</w:t>
      </w:r>
      <w:r>
        <w:rPr>
          <w:color w:val="auto"/>
          <w:highlight w:val="none"/>
        </w:rPr>
        <w:tab/>
      </w:r>
      <w:r>
        <w:rPr>
          <w:color w:val="auto"/>
          <w:highlight w:val="none"/>
        </w:rPr>
        <w:fldChar w:fldCharType="begin"/>
      </w:r>
      <w:r>
        <w:rPr>
          <w:color w:val="auto"/>
          <w:highlight w:val="none"/>
        </w:rPr>
        <w:instrText xml:space="preserve"> PAGEREF _Toc20006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37961BA1">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_Toc17688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二、询比文件</w:t>
      </w:r>
      <w:r>
        <w:rPr>
          <w:color w:val="auto"/>
          <w:highlight w:val="none"/>
        </w:rPr>
        <w:tab/>
      </w:r>
      <w:r>
        <w:rPr>
          <w:color w:val="auto"/>
          <w:highlight w:val="none"/>
        </w:rPr>
        <w:fldChar w:fldCharType="begin"/>
      </w:r>
      <w:r>
        <w:rPr>
          <w:color w:val="auto"/>
          <w:highlight w:val="none"/>
        </w:rPr>
        <w:instrText xml:space="preserve"> PAGEREF _Toc17688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0898D6A6">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_Toc24146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三、询比要求</w:t>
      </w:r>
      <w:r>
        <w:rPr>
          <w:color w:val="auto"/>
          <w:highlight w:val="none"/>
        </w:rPr>
        <w:tab/>
      </w:r>
      <w:r>
        <w:rPr>
          <w:color w:val="auto"/>
          <w:highlight w:val="none"/>
        </w:rPr>
        <w:fldChar w:fldCharType="begin"/>
      </w:r>
      <w:r>
        <w:rPr>
          <w:color w:val="auto"/>
          <w:highlight w:val="none"/>
        </w:rPr>
        <w:instrText xml:space="preserve"> PAGEREF _Toc24146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color w:val="auto"/>
          <w:szCs w:val="21"/>
          <w:highlight w:val="none"/>
        </w:rPr>
        <w:fldChar w:fldCharType="end"/>
      </w:r>
    </w:p>
    <w:p w14:paraId="237126FB">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_Toc19944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_Toc19944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4531A4D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_Toc27911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_Toc27911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35978C6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_Toc9968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六、关于质疑和投诉</w:t>
      </w:r>
      <w:r>
        <w:rPr>
          <w:color w:val="auto"/>
          <w:highlight w:val="none"/>
        </w:rPr>
        <w:tab/>
      </w:r>
      <w:r>
        <w:rPr>
          <w:color w:val="auto"/>
          <w:highlight w:val="none"/>
        </w:rPr>
        <w:fldChar w:fldCharType="begin"/>
      </w:r>
      <w:r>
        <w:rPr>
          <w:color w:val="auto"/>
          <w:highlight w:val="none"/>
        </w:rPr>
        <w:instrText xml:space="preserve"> PAGEREF _Toc9968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color w:val="auto"/>
          <w:szCs w:val="21"/>
          <w:highlight w:val="none"/>
        </w:rPr>
        <w:fldChar w:fldCharType="end"/>
      </w:r>
    </w:p>
    <w:p w14:paraId="25104E57">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_Toc20630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七、签订合同</w:t>
      </w:r>
      <w:r>
        <w:rPr>
          <w:color w:val="auto"/>
          <w:highlight w:val="none"/>
        </w:rPr>
        <w:tab/>
      </w:r>
      <w:r>
        <w:rPr>
          <w:color w:val="auto"/>
          <w:highlight w:val="none"/>
        </w:rPr>
        <w:fldChar w:fldCharType="begin"/>
      </w:r>
      <w:r>
        <w:rPr>
          <w:color w:val="auto"/>
          <w:highlight w:val="none"/>
        </w:rPr>
        <w:instrText xml:space="preserve"> PAGEREF _Toc20630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color w:val="auto"/>
          <w:szCs w:val="21"/>
          <w:highlight w:val="none"/>
        </w:rPr>
        <w:fldChar w:fldCharType="end"/>
      </w:r>
    </w:p>
    <w:p w14:paraId="390B517F">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_Toc13812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八、项目验收</w:t>
      </w:r>
      <w:r>
        <w:rPr>
          <w:color w:val="auto"/>
          <w:highlight w:val="none"/>
        </w:rPr>
        <w:tab/>
      </w:r>
      <w:r>
        <w:rPr>
          <w:color w:val="auto"/>
          <w:highlight w:val="none"/>
        </w:rPr>
        <w:fldChar w:fldCharType="begin"/>
      </w:r>
      <w:r>
        <w:rPr>
          <w:color w:val="auto"/>
          <w:highlight w:val="none"/>
        </w:rPr>
        <w:instrText xml:space="preserve"> PAGEREF _Toc13812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1"/>
          <w:highlight w:val="none"/>
        </w:rPr>
        <w:fldChar w:fldCharType="end"/>
      </w:r>
    </w:p>
    <w:p w14:paraId="56C584C0">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_Toc26005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_Toc26005 \h </w:instrText>
      </w:r>
      <w:r>
        <w:rPr>
          <w:color w:val="auto"/>
          <w:highlight w:val="none"/>
        </w:rPr>
        <w:fldChar w:fldCharType="separate"/>
      </w:r>
      <w:r>
        <w:rPr>
          <w:color w:val="auto"/>
          <w:highlight w:val="none"/>
        </w:rPr>
        <w:t>- 22 -</w:t>
      </w:r>
      <w:r>
        <w:rPr>
          <w:color w:val="auto"/>
          <w:highlight w:val="none"/>
        </w:rPr>
        <w:fldChar w:fldCharType="end"/>
      </w:r>
      <w:r>
        <w:rPr>
          <w:rFonts w:hint="eastAsia" w:ascii="宋体" w:hAnsi="宋体" w:eastAsia="宋体" w:cs="宋体"/>
          <w:color w:val="auto"/>
          <w:szCs w:val="21"/>
          <w:highlight w:val="none"/>
        </w:rPr>
        <w:fldChar w:fldCharType="end"/>
      </w:r>
    </w:p>
    <w:p w14:paraId="333EBC0A">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_Toc25460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_Toc25460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21"/>
          <w:highlight w:val="none"/>
        </w:rPr>
        <w:fldChar w:fldCharType="end"/>
      </w:r>
    </w:p>
    <w:p w14:paraId="18779CF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_Toc32707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_Toc32707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1"/>
          <w:highlight w:val="none"/>
        </w:rPr>
        <w:fldChar w:fldCharType="end"/>
      </w:r>
    </w:p>
    <w:p w14:paraId="78C51002">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_Toc29825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_Toc29825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1"/>
          <w:highlight w:val="none"/>
        </w:rPr>
        <w:fldChar w:fldCharType="end"/>
      </w:r>
    </w:p>
    <w:p w14:paraId="29274AA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_Toc22260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_Toc22260 \h </w:instrText>
      </w:r>
      <w:r>
        <w:rPr>
          <w:color w:val="auto"/>
          <w:highlight w:val="none"/>
        </w:rPr>
        <w:fldChar w:fldCharType="separate"/>
      </w:r>
      <w:r>
        <w:rPr>
          <w:color w:val="auto"/>
          <w:highlight w:val="none"/>
        </w:rPr>
        <w:t>- 27 -</w:t>
      </w:r>
      <w:r>
        <w:rPr>
          <w:color w:val="auto"/>
          <w:highlight w:val="none"/>
        </w:rPr>
        <w:fldChar w:fldCharType="end"/>
      </w:r>
      <w:r>
        <w:rPr>
          <w:rFonts w:hint="eastAsia" w:ascii="宋体" w:hAnsi="宋体" w:eastAsia="宋体" w:cs="宋体"/>
          <w:color w:val="auto"/>
          <w:szCs w:val="21"/>
          <w:highlight w:val="none"/>
        </w:rPr>
        <w:fldChar w:fldCharType="end"/>
      </w:r>
    </w:p>
    <w:p w14:paraId="46D5D674">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_Toc21636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_Toc21636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color w:val="auto"/>
          <w:szCs w:val="21"/>
          <w:highlight w:val="none"/>
        </w:rPr>
        <w:fldChar w:fldCharType="end"/>
      </w:r>
    </w:p>
    <w:p w14:paraId="0167D56E">
      <w:pPr>
        <w:pStyle w:val="13"/>
        <w:tabs>
          <w:tab w:val="right" w:leader="dot" w:pos="9747"/>
        </w:tabs>
        <w:rPr>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_Toc30794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_Toc30794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eastAsia="宋体" w:cs="宋体"/>
          <w:color w:val="auto"/>
          <w:szCs w:val="21"/>
          <w:highlight w:val="none"/>
        </w:rPr>
        <w:fldChar w:fldCharType="end"/>
      </w:r>
    </w:p>
    <w:p w14:paraId="5FEC38EC">
      <w:pPr>
        <w:pStyle w:val="13"/>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4" w:type="default"/>
          <w:footerReference r:id="rId5" w:type="default"/>
          <w:pgSz w:w="11907" w:h="16840"/>
          <w:pgMar w:top="1440" w:right="1080" w:bottom="1440" w:left="1080" w:header="851" w:footer="992" w:gutter="0"/>
          <w:pgNumType w:fmt="numberInDash" w:start="1"/>
          <w:cols w:space="720" w:num="1"/>
          <w:docGrid w:linePitch="381" w:charSpace="-5735"/>
        </w:sectPr>
      </w:pPr>
      <w:r>
        <w:rPr>
          <w:rFonts w:hint="eastAsia" w:ascii="宋体" w:hAnsi="宋体" w:eastAsia="宋体" w:cs="宋体"/>
          <w:color w:val="auto"/>
          <w:szCs w:val="21"/>
          <w:highlight w:val="none"/>
        </w:rPr>
        <w:fldChar w:fldCharType="end"/>
      </w:r>
    </w:p>
    <w:p w14:paraId="425BB6E6">
      <w:pPr>
        <w:pStyle w:val="3"/>
        <w:spacing w:line="360" w:lineRule="auto"/>
        <w:jc w:val="center"/>
        <w:rPr>
          <w:rFonts w:hint="eastAsia" w:ascii="宋体" w:hAnsi="宋体" w:eastAsia="宋体" w:cs="宋体"/>
          <w:b w:val="0"/>
          <w:color w:val="auto"/>
          <w:szCs w:val="30"/>
          <w:highlight w:val="none"/>
        </w:rPr>
      </w:pPr>
      <w:bookmarkStart w:id="0" w:name="_Toc12789052"/>
      <w:bookmarkStart w:id="1" w:name="_Toc11641050"/>
      <w:bookmarkStart w:id="2" w:name="_Toc6202"/>
      <w:bookmarkStart w:id="3" w:name="_Toc76462316"/>
      <w:r>
        <w:rPr>
          <w:rFonts w:hint="eastAsia" w:ascii="宋体" w:hAnsi="宋体" w:eastAsia="宋体" w:cs="宋体"/>
          <w:b w:val="0"/>
          <w:color w:val="auto"/>
          <w:sz w:val="36"/>
          <w:szCs w:val="30"/>
          <w:highlight w:val="none"/>
        </w:rPr>
        <w:t>第一篇  采购邀请书</w:t>
      </w:r>
      <w:bookmarkEnd w:id="0"/>
      <w:bookmarkEnd w:id="1"/>
      <w:bookmarkEnd w:id="2"/>
      <w:bookmarkEnd w:id="3"/>
    </w:p>
    <w:p w14:paraId="695F7994">
      <w:pPr>
        <w:spacing w:line="400" w:lineRule="exact"/>
        <w:ind w:firstLine="480" w:firstLineChars="200"/>
        <w:rPr>
          <w:rFonts w:hint="eastAsia" w:ascii="宋体" w:hAnsi="宋体" w:eastAsia="宋体" w:cs="宋体"/>
          <w:color w:val="auto"/>
          <w:sz w:val="24"/>
          <w:szCs w:val="24"/>
          <w:highlight w:val="none"/>
        </w:rPr>
      </w:pPr>
      <w:bookmarkStart w:id="4" w:name="_Toc317775175"/>
      <w:bookmarkStart w:id="5" w:name="_Toc76462317"/>
      <w:bookmarkStart w:id="6" w:name="_Toc313893526"/>
      <w:r>
        <w:rPr>
          <w:rFonts w:hint="eastAsia" w:ascii="宋体" w:hAnsi="宋体" w:eastAsia="宋体" w:cs="宋体"/>
          <w:color w:val="auto"/>
          <w:sz w:val="24"/>
          <w:szCs w:val="24"/>
          <w:highlight w:val="none"/>
        </w:rPr>
        <w:t>重庆恒泰工程技术服务有限公司（以下简称：采购代理机构）受</w:t>
      </w:r>
      <w:r>
        <w:rPr>
          <w:rFonts w:hint="eastAsia" w:ascii="宋体" w:hAnsi="宋体" w:cs="宋体"/>
          <w:color w:val="auto"/>
          <w:sz w:val="24"/>
          <w:szCs w:val="24"/>
          <w:highlight w:val="none"/>
          <w:lang w:eastAsia="zh-CN"/>
        </w:rPr>
        <w:t>重庆市沙坪坝区凤凰镇卫生院</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lang w:eastAsia="zh-CN"/>
        </w:rPr>
        <w:t>重庆市沙坪坝区凤凰镇卫生院物业保安保洁服务</w:t>
      </w:r>
      <w:r>
        <w:rPr>
          <w:rFonts w:hint="eastAsia" w:ascii="宋体" w:hAnsi="宋体" w:eastAsia="宋体" w:cs="宋体"/>
          <w:color w:val="auto"/>
          <w:sz w:val="24"/>
          <w:szCs w:val="24"/>
          <w:highlight w:val="none"/>
        </w:rPr>
        <w:t>进行网上询比采购，欢迎有资格的供应商前来参加报价。</w:t>
      </w:r>
    </w:p>
    <w:p w14:paraId="6879ABC1">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7" w:name="_Toc1530"/>
      <w:r>
        <w:rPr>
          <w:rFonts w:hint="eastAsia" w:ascii="宋体" w:hAnsi="宋体" w:eastAsia="宋体" w:cs="宋体"/>
          <w:color w:val="auto"/>
          <w:sz w:val="24"/>
          <w:highlight w:val="none"/>
        </w:rPr>
        <w:t>一、询比内容</w:t>
      </w:r>
      <w:bookmarkEnd w:id="4"/>
      <w:bookmarkEnd w:id="5"/>
      <w:bookmarkEnd w:id="6"/>
      <w:bookmarkEnd w:id="7"/>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1138"/>
        <w:gridCol w:w="1140"/>
        <w:gridCol w:w="1547"/>
        <w:gridCol w:w="2554"/>
      </w:tblGrid>
      <w:tr w14:paraId="0ABF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98" w:type="pct"/>
            <w:tcBorders>
              <w:top w:val="single" w:color="auto" w:sz="4" w:space="0"/>
              <w:left w:val="single" w:color="auto" w:sz="4" w:space="0"/>
              <w:right w:val="single" w:color="auto" w:sz="4" w:space="0"/>
            </w:tcBorders>
            <w:noWrap w:val="0"/>
            <w:vAlign w:val="center"/>
          </w:tcPr>
          <w:p w14:paraId="1AE165B4">
            <w:pPr>
              <w:widowControl/>
              <w:jc w:val="center"/>
              <w:rPr>
                <w:rFonts w:hint="eastAsia" w:ascii="宋体" w:hAnsi="宋体" w:eastAsia="宋体" w:cs="宋体"/>
                <w:b/>
                <w:bCs/>
                <w:color w:val="auto"/>
                <w:kern w:val="0"/>
                <w:sz w:val="21"/>
                <w:szCs w:val="24"/>
                <w:highlight w:val="none"/>
              </w:rPr>
            </w:pPr>
            <w:bookmarkStart w:id="8" w:name="_Toc76462318"/>
            <w:bookmarkStart w:id="9" w:name="_Toc373860293"/>
            <w:bookmarkStart w:id="10" w:name="_Toc317775178"/>
            <w:r>
              <w:rPr>
                <w:rFonts w:hint="eastAsia" w:ascii="宋体" w:hAnsi="宋体" w:eastAsia="宋体" w:cs="宋体"/>
                <w:b/>
                <w:bCs/>
                <w:color w:val="auto"/>
                <w:kern w:val="0"/>
                <w:sz w:val="21"/>
                <w:szCs w:val="24"/>
                <w:highlight w:val="none"/>
              </w:rPr>
              <w:t>服务名称</w:t>
            </w:r>
          </w:p>
        </w:tc>
        <w:tc>
          <w:tcPr>
            <w:tcW w:w="571" w:type="pct"/>
            <w:tcBorders>
              <w:top w:val="single" w:color="auto" w:sz="4" w:space="0"/>
              <w:left w:val="single" w:color="auto" w:sz="4" w:space="0"/>
              <w:right w:val="single" w:color="auto" w:sz="4" w:space="0"/>
            </w:tcBorders>
            <w:noWrap w:val="0"/>
            <w:vAlign w:val="center"/>
          </w:tcPr>
          <w:p w14:paraId="78C001B7">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最高限价（万元）</w:t>
            </w:r>
          </w:p>
        </w:tc>
        <w:tc>
          <w:tcPr>
            <w:tcW w:w="572" w:type="pct"/>
            <w:tcBorders>
              <w:top w:val="single" w:color="auto" w:sz="4" w:space="0"/>
              <w:left w:val="single" w:color="auto" w:sz="4" w:space="0"/>
              <w:right w:val="single" w:color="auto" w:sz="4" w:space="0"/>
            </w:tcBorders>
            <w:noWrap w:val="0"/>
            <w:vAlign w:val="center"/>
          </w:tcPr>
          <w:p w14:paraId="17C84256">
            <w:pPr>
              <w:widowControl/>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保证金</w:t>
            </w:r>
          </w:p>
          <w:p w14:paraId="0B6AC79D">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（万元）</w:t>
            </w:r>
          </w:p>
        </w:tc>
        <w:tc>
          <w:tcPr>
            <w:tcW w:w="776" w:type="pct"/>
            <w:tcBorders>
              <w:top w:val="single" w:color="auto" w:sz="4" w:space="0"/>
              <w:left w:val="single" w:color="auto" w:sz="4" w:space="0"/>
              <w:right w:val="single" w:color="auto" w:sz="4" w:space="0"/>
            </w:tcBorders>
            <w:noWrap w:val="0"/>
            <w:vAlign w:val="center"/>
          </w:tcPr>
          <w:p w14:paraId="0A3463DE">
            <w:pPr>
              <w:jc w:val="center"/>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1281" w:type="pct"/>
            <w:tcBorders>
              <w:top w:val="single" w:color="auto" w:sz="4" w:space="0"/>
              <w:left w:val="single" w:color="auto" w:sz="4" w:space="0"/>
              <w:right w:val="single" w:color="auto" w:sz="4" w:space="0"/>
            </w:tcBorders>
            <w:noWrap w:val="0"/>
            <w:vAlign w:val="center"/>
          </w:tcPr>
          <w:p w14:paraId="4DE498FF">
            <w:pPr>
              <w:jc w:val="center"/>
              <w:rPr>
                <w:rFonts w:hint="eastAsia" w:ascii="宋体" w:hAnsi="宋体" w:eastAsia="宋体" w:cs="宋体"/>
                <w:b/>
                <w:bCs/>
                <w:color w:val="auto"/>
                <w:kern w:val="0"/>
                <w:sz w:val="21"/>
                <w:szCs w:val="24"/>
                <w:highlight w:val="none"/>
                <w:lang w:eastAsia="zh-CN"/>
              </w:rPr>
            </w:pPr>
            <w:r>
              <w:rPr>
                <w:rFonts w:hint="eastAsia" w:ascii="宋体" w:hAnsi="宋体" w:cs="宋体"/>
                <w:b/>
                <w:bCs/>
                <w:color w:val="auto"/>
                <w:kern w:val="0"/>
                <w:sz w:val="21"/>
                <w:szCs w:val="24"/>
                <w:highlight w:val="none"/>
                <w:lang w:val="en-US" w:eastAsia="zh-CN"/>
              </w:rPr>
              <w:t>备注</w:t>
            </w:r>
          </w:p>
        </w:tc>
      </w:tr>
      <w:tr w14:paraId="736F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98" w:type="pct"/>
            <w:tcBorders>
              <w:top w:val="single" w:color="auto" w:sz="4" w:space="0"/>
              <w:left w:val="single" w:color="auto" w:sz="4" w:space="0"/>
              <w:bottom w:val="single" w:color="auto" w:sz="4" w:space="0"/>
              <w:right w:val="single" w:color="auto" w:sz="4" w:space="0"/>
            </w:tcBorders>
            <w:noWrap w:val="0"/>
            <w:vAlign w:val="center"/>
          </w:tcPr>
          <w:p w14:paraId="41C2A8DE">
            <w:pPr>
              <w:jc w:val="center"/>
              <w:rPr>
                <w:rFonts w:hint="eastAsia" w:ascii="宋体" w:hAnsi="宋体" w:cs="宋体"/>
                <w:color w:val="auto"/>
                <w:kern w:val="0"/>
                <w:sz w:val="21"/>
                <w:szCs w:val="24"/>
                <w:highlight w:val="none"/>
                <w:lang w:val="en-US" w:eastAsia="zh-CN"/>
              </w:rPr>
            </w:pPr>
            <w:bookmarkStart w:id="11" w:name="_Hlk344477914"/>
            <w:r>
              <w:rPr>
                <w:rFonts w:hint="eastAsia" w:ascii="宋体" w:hAnsi="宋体" w:cs="宋体"/>
                <w:color w:val="auto"/>
                <w:kern w:val="0"/>
                <w:sz w:val="21"/>
                <w:szCs w:val="24"/>
                <w:highlight w:val="none"/>
                <w:lang w:val="en-US" w:eastAsia="zh-CN"/>
              </w:rPr>
              <w:t>重庆市沙坪坝区凤凰镇卫生院</w:t>
            </w:r>
          </w:p>
          <w:p w14:paraId="3322B0D8">
            <w:pPr>
              <w:jc w:val="center"/>
              <w:rPr>
                <w:rFonts w:hint="eastAsia" w:ascii="宋体" w:hAnsi="宋体" w:eastAsia="宋体" w:cs="宋体"/>
                <w:color w:val="auto"/>
                <w:kern w:val="0"/>
                <w:sz w:val="21"/>
                <w:szCs w:val="24"/>
                <w:highlight w:val="none"/>
                <w:lang w:eastAsia="zh-CN"/>
              </w:rPr>
            </w:pPr>
            <w:r>
              <w:rPr>
                <w:rFonts w:hint="eastAsia" w:ascii="宋体" w:hAnsi="宋体" w:cs="宋体"/>
                <w:color w:val="auto"/>
                <w:kern w:val="0"/>
                <w:sz w:val="21"/>
                <w:szCs w:val="24"/>
                <w:highlight w:val="none"/>
                <w:lang w:val="en-US" w:eastAsia="zh-CN"/>
              </w:rPr>
              <w:t>物业保安保洁服务</w:t>
            </w:r>
          </w:p>
        </w:tc>
        <w:tc>
          <w:tcPr>
            <w:tcW w:w="571" w:type="pct"/>
            <w:tcBorders>
              <w:top w:val="single" w:color="auto" w:sz="4" w:space="0"/>
              <w:left w:val="single" w:color="auto" w:sz="4" w:space="0"/>
              <w:bottom w:val="single" w:color="auto" w:sz="4" w:space="0"/>
              <w:right w:val="single" w:color="auto" w:sz="4" w:space="0"/>
            </w:tcBorders>
            <w:noWrap w:val="0"/>
            <w:vAlign w:val="center"/>
          </w:tcPr>
          <w:p w14:paraId="461D867A">
            <w:pPr>
              <w:jc w:val="center"/>
              <w:rPr>
                <w:rFonts w:hint="default"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16</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49CBAB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39DAD1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81" w:type="pct"/>
            <w:tcBorders>
              <w:top w:val="single" w:color="auto" w:sz="4" w:space="0"/>
              <w:left w:val="single" w:color="auto" w:sz="4" w:space="0"/>
              <w:bottom w:val="single" w:color="auto" w:sz="4" w:space="0"/>
              <w:right w:val="single" w:color="auto" w:sz="4" w:space="0"/>
            </w:tcBorders>
            <w:noWrap w:val="0"/>
            <w:vAlign w:val="center"/>
          </w:tcPr>
          <w:p w14:paraId="31A127DF">
            <w:pPr>
              <w:jc w:val="center"/>
              <w:rPr>
                <w:rFonts w:hint="default" w:ascii="宋体" w:hAnsi="宋体" w:eastAsia="宋体" w:cs="宋体"/>
                <w:b/>
                <w:color w:val="auto"/>
                <w:sz w:val="21"/>
                <w:szCs w:val="21"/>
                <w:highlight w:val="none"/>
                <w:lang w:val="en-US" w:eastAsia="zh-CN"/>
              </w:rPr>
            </w:pPr>
            <w:r>
              <w:rPr>
                <w:rFonts w:hint="eastAsia" w:ascii="宋体" w:hAnsi="宋体" w:cs="宋体"/>
                <w:color w:val="auto"/>
                <w:kern w:val="0"/>
                <w:sz w:val="21"/>
                <w:szCs w:val="24"/>
                <w:highlight w:val="none"/>
                <w:lang w:val="en-US" w:eastAsia="zh-CN"/>
              </w:rPr>
              <w:t>服务周期：1年</w:t>
            </w:r>
          </w:p>
        </w:tc>
      </w:tr>
      <w:bookmarkEnd w:id="11"/>
    </w:tbl>
    <w:p w14:paraId="6E6C012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2" w:name="_Toc7888"/>
      <w:r>
        <w:rPr>
          <w:rFonts w:hint="eastAsia" w:ascii="宋体" w:hAnsi="宋体" w:eastAsia="宋体" w:cs="宋体"/>
          <w:color w:val="auto"/>
          <w:sz w:val="24"/>
          <w:highlight w:val="none"/>
        </w:rPr>
        <w:t>二、资金来源</w:t>
      </w:r>
      <w:bookmarkEnd w:id="8"/>
      <w:bookmarkEnd w:id="12"/>
    </w:p>
    <w:p w14:paraId="601B76DF">
      <w:pPr>
        <w:spacing w:line="400" w:lineRule="exact"/>
        <w:ind w:firstLine="480" w:firstLineChars="200"/>
        <w:rPr>
          <w:rFonts w:hint="eastAsia" w:ascii="宋体" w:hAnsi="宋体" w:eastAsia="宋体" w:cs="宋体"/>
          <w:color w:val="auto"/>
          <w:sz w:val="24"/>
          <w:szCs w:val="24"/>
          <w:highlight w:val="none"/>
        </w:rPr>
      </w:pPr>
      <w:bookmarkStart w:id="13" w:name="_Toc76462319"/>
      <w:r>
        <w:rPr>
          <w:rFonts w:hint="eastAsia" w:ascii="宋体" w:hAnsi="宋体" w:eastAsia="宋体" w:cs="宋体"/>
          <w:color w:val="auto"/>
          <w:sz w:val="24"/>
          <w:szCs w:val="24"/>
          <w:highlight w:val="none"/>
        </w:rPr>
        <w:t>单位自筹资金。</w:t>
      </w:r>
    </w:p>
    <w:p w14:paraId="1AECCE4E">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 w:name="_Toc24955"/>
      <w:r>
        <w:rPr>
          <w:rFonts w:hint="eastAsia" w:ascii="宋体" w:hAnsi="宋体" w:eastAsia="宋体" w:cs="宋体"/>
          <w:color w:val="auto"/>
          <w:sz w:val="24"/>
          <w:highlight w:val="none"/>
        </w:rPr>
        <w:t>三、供应商资格条件</w:t>
      </w:r>
      <w:bookmarkEnd w:id="13"/>
      <w:bookmarkEnd w:id="14"/>
    </w:p>
    <w:p w14:paraId="016F58D3">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5" w:name="_Toc6049"/>
      <w:bookmarkStart w:id="16" w:name="_Toc76462320"/>
      <w:r>
        <w:rPr>
          <w:rFonts w:hint="eastAsia" w:ascii="宋体" w:hAnsi="宋体" w:eastAsia="宋体" w:cs="宋体"/>
          <w:b w:val="0"/>
          <w:color w:val="auto"/>
          <w:kern w:val="2"/>
          <w:sz w:val="24"/>
          <w:szCs w:val="24"/>
          <w:highlight w:val="none"/>
          <w:lang w:val="en-US" w:eastAsia="zh-CN" w:bidi="ar-SA"/>
        </w:rPr>
        <w:t>（一）一般资质条件</w:t>
      </w:r>
      <w:bookmarkEnd w:id="15"/>
    </w:p>
    <w:p w14:paraId="38FF03EA">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7" w:name="_Toc18858"/>
      <w:r>
        <w:rPr>
          <w:rFonts w:hint="eastAsia" w:ascii="宋体" w:hAnsi="宋体" w:eastAsia="宋体" w:cs="宋体"/>
          <w:b w:val="0"/>
          <w:color w:val="auto"/>
          <w:kern w:val="2"/>
          <w:sz w:val="24"/>
          <w:szCs w:val="24"/>
          <w:highlight w:val="none"/>
          <w:lang w:val="en-US" w:eastAsia="zh-CN" w:bidi="ar-SA"/>
        </w:rPr>
        <w:t>1.具有独立承担民事责任的能力；</w:t>
      </w:r>
      <w:bookmarkEnd w:id="17"/>
    </w:p>
    <w:p w14:paraId="0E005865">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8" w:name="_Toc2381"/>
      <w:r>
        <w:rPr>
          <w:rFonts w:hint="eastAsia" w:ascii="宋体" w:hAnsi="宋体" w:eastAsia="宋体" w:cs="宋体"/>
          <w:b w:val="0"/>
          <w:color w:val="auto"/>
          <w:kern w:val="2"/>
          <w:sz w:val="24"/>
          <w:szCs w:val="24"/>
          <w:highlight w:val="none"/>
          <w:lang w:val="en-US" w:eastAsia="zh-CN" w:bidi="ar-SA"/>
        </w:rPr>
        <w:t>2.具有良好的商业信誉和健全的财务会计制度；</w:t>
      </w:r>
      <w:bookmarkEnd w:id="18"/>
    </w:p>
    <w:p w14:paraId="053EF60C">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9" w:name="_Toc3992"/>
      <w:r>
        <w:rPr>
          <w:rFonts w:hint="eastAsia" w:ascii="宋体" w:hAnsi="宋体" w:eastAsia="宋体" w:cs="宋体"/>
          <w:b w:val="0"/>
          <w:color w:val="auto"/>
          <w:kern w:val="2"/>
          <w:sz w:val="24"/>
          <w:szCs w:val="24"/>
          <w:highlight w:val="none"/>
          <w:lang w:val="en-US" w:eastAsia="zh-CN" w:bidi="ar-SA"/>
        </w:rPr>
        <w:t>3.具有履行合同所必需的设备和专业技术能力；</w:t>
      </w:r>
      <w:bookmarkEnd w:id="19"/>
    </w:p>
    <w:p w14:paraId="2B5B24B4">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0" w:name="_Toc6606"/>
      <w:r>
        <w:rPr>
          <w:rFonts w:hint="eastAsia" w:ascii="宋体" w:hAnsi="宋体" w:eastAsia="宋体" w:cs="宋体"/>
          <w:b w:val="0"/>
          <w:color w:val="auto"/>
          <w:kern w:val="2"/>
          <w:sz w:val="24"/>
          <w:szCs w:val="24"/>
          <w:highlight w:val="none"/>
          <w:lang w:val="en-US" w:eastAsia="zh-CN" w:bidi="ar-SA"/>
        </w:rPr>
        <w:t>4.有依法缴纳税收和社会保障资金的良好记录；</w:t>
      </w:r>
      <w:bookmarkEnd w:id="20"/>
    </w:p>
    <w:p w14:paraId="27A50496">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1" w:name="_Toc7642"/>
      <w:r>
        <w:rPr>
          <w:rFonts w:hint="eastAsia" w:ascii="宋体" w:hAnsi="宋体" w:eastAsia="宋体" w:cs="宋体"/>
          <w:b w:val="0"/>
          <w:color w:val="auto"/>
          <w:kern w:val="2"/>
          <w:sz w:val="24"/>
          <w:szCs w:val="24"/>
          <w:highlight w:val="none"/>
          <w:lang w:val="en-US" w:eastAsia="zh-CN" w:bidi="ar-SA"/>
        </w:rPr>
        <w:t>5.参加政府采购活动前三年内，在经营活动中没有重大违法记录；</w:t>
      </w:r>
      <w:bookmarkEnd w:id="21"/>
    </w:p>
    <w:p w14:paraId="21FF5C54">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2" w:name="_Toc31707"/>
      <w:r>
        <w:rPr>
          <w:rFonts w:hint="eastAsia" w:ascii="宋体" w:hAnsi="宋体" w:eastAsia="宋体" w:cs="宋体"/>
          <w:b w:val="0"/>
          <w:color w:val="auto"/>
          <w:kern w:val="2"/>
          <w:sz w:val="24"/>
          <w:szCs w:val="24"/>
          <w:highlight w:val="none"/>
          <w:lang w:val="en-US" w:eastAsia="zh-CN" w:bidi="ar-SA"/>
        </w:rPr>
        <w:t>6.法律、行政法规规定的其他条件。</w:t>
      </w:r>
      <w:bookmarkEnd w:id="22"/>
    </w:p>
    <w:p w14:paraId="18DC1F95">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3" w:name="_Toc27870"/>
      <w:r>
        <w:rPr>
          <w:rFonts w:hint="eastAsia" w:ascii="宋体" w:hAnsi="宋体" w:eastAsia="宋体" w:cs="宋体"/>
          <w:b w:val="0"/>
          <w:color w:val="auto"/>
          <w:kern w:val="2"/>
          <w:sz w:val="24"/>
          <w:szCs w:val="24"/>
          <w:highlight w:val="none"/>
          <w:lang w:val="en-US" w:eastAsia="zh-CN" w:bidi="ar-SA"/>
        </w:rPr>
        <w:t>（二）特定资格条件</w:t>
      </w:r>
      <w:bookmarkEnd w:id="23"/>
    </w:p>
    <w:p w14:paraId="6C43E3BD">
      <w:pPr>
        <w:pStyle w:val="3"/>
        <w:adjustRightInd w:val="0"/>
        <w:snapToGrid w:val="0"/>
        <w:spacing w:before="0" w:after="0" w:line="40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24" w:name="_Toc23670"/>
      <w:r>
        <w:rPr>
          <w:rFonts w:hint="eastAsia" w:ascii="宋体" w:hAnsi="宋体" w:eastAsia="宋体" w:cs="宋体"/>
          <w:b w:val="0"/>
          <w:color w:val="auto"/>
          <w:kern w:val="2"/>
          <w:sz w:val="24"/>
          <w:szCs w:val="24"/>
          <w:highlight w:val="none"/>
          <w:lang w:val="en-US" w:eastAsia="zh-CN" w:bidi="ar-SA"/>
        </w:rPr>
        <w:t>无。</w:t>
      </w:r>
      <w:bookmarkEnd w:id="24"/>
    </w:p>
    <w:p w14:paraId="37592DEC">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25" w:name="_Toc23228"/>
      <w:r>
        <w:rPr>
          <w:rFonts w:hint="eastAsia" w:ascii="宋体" w:hAnsi="宋体" w:eastAsia="宋体" w:cs="宋体"/>
          <w:color w:val="auto"/>
          <w:sz w:val="24"/>
          <w:highlight w:val="none"/>
        </w:rPr>
        <w:t>四、询比有关说明</w:t>
      </w:r>
      <w:bookmarkEnd w:id="9"/>
      <w:bookmarkEnd w:id="16"/>
      <w:bookmarkEnd w:id="25"/>
    </w:p>
    <w:bookmarkEnd w:id="10"/>
    <w:p w14:paraId="58F1DBE8">
      <w:pPr>
        <w:snapToGrid w:val="0"/>
        <w:spacing w:line="400" w:lineRule="exact"/>
        <w:ind w:firstLine="480" w:firstLineChars="200"/>
        <w:rPr>
          <w:rFonts w:hint="eastAsia" w:ascii="宋体" w:hAnsi="宋体" w:eastAsia="宋体" w:cs="宋体"/>
          <w:color w:val="auto"/>
          <w:sz w:val="24"/>
          <w:szCs w:val="24"/>
          <w:highlight w:val="none"/>
        </w:rPr>
      </w:pPr>
      <w:bookmarkStart w:id="26" w:name="_Toc2945"/>
      <w:bookmarkStart w:id="27" w:name="_Toc65660335"/>
      <w:bookmarkStart w:id="28" w:name="_Toc525047162"/>
      <w:bookmarkStart w:id="29" w:name="_Toc521053054"/>
      <w:bookmarkStart w:id="30" w:name="_Toc4355"/>
      <w:bookmarkStart w:id="31" w:name="_Toc12296"/>
      <w:bookmarkStart w:id="32" w:name="_Toc479668114"/>
      <w:bookmarkStart w:id="33" w:name="_Toc106034775"/>
      <w:r>
        <w:rPr>
          <w:rFonts w:hint="eastAsia" w:ascii="宋体" w:hAnsi="宋体" w:eastAsia="宋体" w:cs="宋体"/>
          <w:color w:val="auto"/>
          <w:sz w:val="24"/>
          <w:szCs w:val="24"/>
          <w:highlight w:val="none"/>
        </w:rPr>
        <w:t>（一）线上询比</w:t>
      </w:r>
    </w:p>
    <w:p w14:paraId="6272415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1.线上报价开始时间：以行采家电子竞采平台上本项目发布的开始时间为准。</w:t>
      </w:r>
    </w:p>
    <w:p w14:paraId="138006F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响应文件上传截止时间：以行采家电子竞采平台上本项目的上传截止时间开始为准。</w:t>
      </w:r>
    </w:p>
    <w:p w14:paraId="54DCBAA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2.线上报价要求：按本项目规定的时间在行采家电子竞采平台（https://www.gec123.com/xe/）进行网上报价，未在规定时间内报价的供应商将失去询比报价资格。</w:t>
      </w:r>
    </w:p>
    <w:p w14:paraId="46F16CB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（二）响应文件递交方式</w:t>
      </w:r>
    </w:p>
    <w:p w14:paraId="6C92466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本项目采用线上报价的方式，供应商按采购文件要求进行线上报价。线上报价时上传加盖公章后的完整的响应文件电子档一份（响应文件须签字盖章后扫描成一个PDF格式文件上传），文件内容应清晰、无涂改，若因上传文件格式不符、内容模糊、无法打开等导致无法进行评审，由评审小组作无效响应处理。</w:t>
      </w:r>
    </w:p>
    <w:p w14:paraId="2A522D5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2.供应商线下递交密封后的纸质响应文件两份，作为评审及留档材料，未线下递交纸质响应文件的线上报价无效。</w:t>
      </w:r>
    </w:p>
    <w:p w14:paraId="3C92D7B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递交地点：重庆市沙坪坝区小龙坎正街168号嘉新大厦12-3。</w:t>
      </w:r>
    </w:p>
    <w:p w14:paraId="1C4D3DE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截止时间：同响应文件上传截止时间。</w:t>
      </w:r>
    </w:p>
    <w:p w14:paraId="0B37433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递交方式：现场递交或邮寄递交或闪送递交均可，须密封完整。</w:t>
      </w:r>
    </w:p>
    <w:bookmarkEnd w:id="26"/>
    <w:bookmarkEnd w:id="27"/>
    <w:bookmarkEnd w:id="28"/>
    <w:bookmarkEnd w:id="29"/>
    <w:bookmarkEnd w:id="30"/>
    <w:bookmarkEnd w:id="31"/>
    <w:bookmarkEnd w:id="32"/>
    <w:bookmarkEnd w:id="33"/>
    <w:p w14:paraId="5CE5C1AE">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34" w:name="_Toc16269"/>
      <w:bookmarkStart w:id="35" w:name="_Toc6563"/>
      <w:bookmarkStart w:id="36" w:name="_Toc31213"/>
      <w:bookmarkStart w:id="37" w:name="_Toc4728"/>
      <w:bookmarkStart w:id="38" w:name="_Toc521053055"/>
      <w:bookmarkStart w:id="39" w:name="_Toc65660336"/>
      <w:bookmarkStart w:id="40" w:name="_Toc525047163"/>
      <w:bookmarkStart w:id="41" w:name="_Toc106034776"/>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、其它有关规定</w:t>
      </w:r>
      <w:bookmarkEnd w:id="34"/>
      <w:bookmarkEnd w:id="35"/>
      <w:bookmarkEnd w:id="36"/>
      <w:bookmarkEnd w:id="37"/>
      <w:bookmarkEnd w:id="38"/>
      <w:bookmarkEnd w:id="39"/>
      <w:bookmarkEnd w:id="40"/>
      <w:bookmarkEnd w:id="41"/>
    </w:p>
    <w:p w14:paraId="4CF8F7E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42" w:name="_Toc10415"/>
      <w:bookmarkStart w:id="43" w:name="_Toc1733"/>
      <w:bookmarkStart w:id="44" w:name="_Toc106034777"/>
      <w:bookmarkStart w:id="45" w:name="_Toc525047164"/>
      <w:bookmarkStart w:id="46" w:name="_Toc521053056"/>
      <w:bookmarkStart w:id="47" w:name="_Toc1552"/>
      <w:bookmarkStart w:id="48" w:name="_Toc65660337"/>
      <w:r>
        <w:rPr>
          <w:rFonts w:hint="eastAsia" w:ascii="宋体" w:hAnsi="宋体" w:eastAsia="宋体" w:cs="宋体"/>
          <w:b w:val="0"/>
          <w:color w:val="auto"/>
          <w:kern w:val="2"/>
          <w:sz w:val="24"/>
          <w:szCs w:val="24"/>
          <w:highlight w:val="none"/>
          <w:lang w:val="en-US" w:eastAsia="zh-CN" w:bidi="ar-SA"/>
        </w:rPr>
        <w:t>1.凡有意参加询比的供应商，请于公告发布之日起至报名截止时间之前，在行采家电子竞采平台下载查看本项目询比文件以及变更公告等公布的所有项目资料，无论供应商下载查看与否，均视为已知晓所有实质性要求内容。</w:t>
      </w:r>
    </w:p>
    <w:p w14:paraId="07A3385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2.单位负责人为同一人或者存在直接控股、管理关系的不同供应商，不得参加同一合同项下的政府采购活动，否则均为无效响应。</w:t>
      </w:r>
    </w:p>
    <w:p w14:paraId="413F28F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3.无论结果如何，供应商参与本项目的所有费用均自行承担。</w:t>
      </w:r>
    </w:p>
    <w:p w14:paraId="7414828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供应商对询比文件中有异议的，请于报价开始时间之前以书面形式与向采购代理机构提出质疑，报价开始时间后，视为潜在询比供应商完全同意并理解询比文件内容及要求，超过质疑截止时间，采购人及采购代理机构将不再对询比文件进行答疑及修改。</w:t>
      </w:r>
    </w:p>
    <w:p w14:paraId="3561C66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5.成交供应商领取中标通知书</w:t>
      </w:r>
    </w:p>
    <w:p w14:paraId="640E6C5D">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49" w:name="_Toc25731"/>
      <w:bookmarkStart w:id="50" w:name="_Toc29446"/>
      <w:r>
        <w:rPr>
          <w:rFonts w:hint="eastAsia" w:ascii="宋体" w:hAnsi="宋体" w:eastAsia="宋体" w:cs="宋体"/>
          <w:b w:val="0"/>
          <w:color w:val="auto"/>
          <w:kern w:val="2"/>
          <w:sz w:val="24"/>
          <w:szCs w:val="24"/>
          <w:highlight w:val="none"/>
          <w:lang w:val="en-US" w:eastAsia="zh-CN" w:bidi="ar-SA"/>
        </w:rPr>
        <w:t>5.1缴纳代理服务费：3000元，由成交供应商在领取成交通知书时一次性缴纳给采购代理机构。</w:t>
      </w:r>
      <w:bookmarkEnd w:id="49"/>
      <w:bookmarkEnd w:id="50"/>
      <w:bookmarkStart w:id="51" w:name="_Toc5512"/>
    </w:p>
    <w:p w14:paraId="2BA5BF9D">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2" w:name="_Toc9075"/>
      <w:bookmarkStart w:id="53" w:name="_Toc19475"/>
      <w:r>
        <w:rPr>
          <w:rFonts w:hint="eastAsia" w:ascii="宋体" w:hAnsi="宋体" w:eastAsia="宋体" w:cs="宋体"/>
          <w:b w:val="0"/>
          <w:color w:val="auto"/>
          <w:kern w:val="2"/>
          <w:sz w:val="24"/>
          <w:szCs w:val="24"/>
          <w:highlight w:val="none"/>
          <w:lang w:val="en-US" w:eastAsia="zh-CN" w:bidi="ar-SA"/>
        </w:rPr>
        <w:t>户  名：重庆恒泰工程技术服务有限公司</w:t>
      </w:r>
      <w:bookmarkEnd w:id="51"/>
      <w:bookmarkEnd w:id="52"/>
      <w:bookmarkEnd w:id="53"/>
    </w:p>
    <w:p w14:paraId="79A95A0E">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4" w:name="_Toc31538"/>
      <w:bookmarkStart w:id="55" w:name="_Toc9109"/>
      <w:r>
        <w:rPr>
          <w:rFonts w:hint="eastAsia" w:ascii="宋体" w:hAnsi="宋体" w:eastAsia="宋体" w:cs="宋体"/>
          <w:b w:val="0"/>
          <w:color w:val="auto"/>
          <w:kern w:val="2"/>
          <w:sz w:val="24"/>
          <w:szCs w:val="24"/>
          <w:highlight w:val="none"/>
          <w:lang w:val="en-US" w:eastAsia="zh-CN" w:bidi="ar-SA"/>
        </w:rPr>
        <w:t>开户行：农行重庆陈家湾支行</w:t>
      </w:r>
      <w:bookmarkEnd w:id="54"/>
      <w:bookmarkEnd w:id="55"/>
    </w:p>
    <w:p w14:paraId="0632399B">
      <w:pPr>
        <w:spacing w:line="360" w:lineRule="auto"/>
        <w:ind w:firstLine="480" w:firstLineChars="200"/>
        <w:outlineLvl w:val="0"/>
        <w:rPr>
          <w:rFonts w:hint="eastAsia" w:ascii="宋体" w:hAnsi="宋体" w:eastAsia="宋体" w:cs="宋体"/>
          <w:b w:val="0"/>
          <w:color w:val="auto"/>
          <w:kern w:val="2"/>
          <w:sz w:val="24"/>
          <w:szCs w:val="24"/>
          <w:highlight w:val="none"/>
          <w:lang w:val="en-US" w:eastAsia="zh-CN" w:bidi="ar-SA"/>
        </w:rPr>
      </w:pPr>
      <w:bookmarkStart w:id="56" w:name="_Toc1579"/>
      <w:bookmarkStart w:id="57" w:name="_Toc29394"/>
      <w:r>
        <w:rPr>
          <w:rFonts w:hint="eastAsia" w:ascii="宋体" w:hAnsi="宋体" w:eastAsia="宋体" w:cs="宋体"/>
          <w:b w:val="0"/>
          <w:color w:val="auto"/>
          <w:kern w:val="2"/>
          <w:sz w:val="24"/>
          <w:szCs w:val="24"/>
          <w:highlight w:val="none"/>
          <w:lang w:val="en-US" w:eastAsia="zh-CN" w:bidi="ar-SA"/>
        </w:rPr>
        <w:t>账  号：31041701040000402</w:t>
      </w:r>
      <w:bookmarkEnd w:id="56"/>
      <w:bookmarkEnd w:id="57"/>
      <w:r>
        <w:rPr>
          <w:rFonts w:hint="eastAsia" w:ascii="宋体" w:hAnsi="宋体" w:eastAsia="宋体" w:cs="宋体"/>
          <w:b w:val="0"/>
          <w:color w:val="auto"/>
          <w:kern w:val="2"/>
          <w:sz w:val="24"/>
          <w:szCs w:val="24"/>
          <w:highlight w:val="none"/>
          <w:lang w:val="en-US" w:eastAsia="zh-CN" w:bidi="ar-SA"/>
        </w:rPr>
        <w:t xml:space="preserve">   </w:t>
      </w:r>
    </w:p>
    <w:p w14:paraId="612DDE11">
      <w:pPr>
        <w:wordWrap w:val="0"/>
        <w:spacing w:line="360" w:lineRule="auto"/>
        <w:ind w:firstLine="48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5.2采购人依法确定成交供应商后，采购代理机构以书面形式发出成交通知书。</w:t>
      </w:r>
    </w:p>
    <w:p w14:paraId="1FBB3D0A">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bookmarkStart w:id="58" w:name="_Toc18767"/>
      <w:r>
        <w:rPr>
          <w:rFonts w:hint="eastAsia" w:ascii="宋体" w:hAnsi="宋体" w:eastAsia="宋体" w:cs="宋体"/>
          <w:b w:val="0"/>
          <w:color w:val="auto"/>
          <w:kern w:val="2"/>
          <w:sz w:val="24"/>
          <w:szCs w:val="24"/>
          <w:highlight w:val="none"/>
          <w:lang w:val="en-US" w:eastAsia="zh-CN" w:bidi="ar-SA"/>
        </w:rPr>
        <w:t>6.成交通知书发出后，成交供应商应在5个工作日内与采购人签订采购合同，逾期采购人有权取消其成交资格，并将依序确定第二成交候选供应商为成交供应商或重新组织采购。</w:t>
      </w:r>
    </w:p>
    <w:p w14:paraId="607333AD">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w:t>
      </w:r>
      <w:bookmarkEnd w:id="58"/>
      <w:r>
        <w:rPr>
          <w:rFonts w:hint="eastAsia" w:ascii="宋体" w:hAnsi="宋体" w:eastAsia="宋体" w:cs="宋体"/>
          <w:b w:val="0"/>
          <w:color w:val="auto"/>
          <w:kern w:val="2"/>
          <w:sz w:val="24"/>
          <w:szCs w:val="24"/>
          <w:highlight w:val="none"/>
          <w:lang w:val="en-US" w:eastAsia="zh-CN" w:bidi="ar-SA"/>
        </w:rPr>
        <w:t>因供应商原因造成无法按时安装交付使用的或者所供货型号品牌与响应文件不一致的，将取消其成交供应商资格。</w:t>
      </w:r>
    </w:p>
    <w:p w14:paraId="62C745CA">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8.因成交供应商放弃成交的，成交供应商应当承担相应的法律责任。</w:t>
      </w:r>
    </w:p>
    <w:p w14:paraId="0D759148">
      <w:pPr>
        <w:spacing w:before="48" w:after="48" w:line="360" w:lineRule="auto"/>
        <w:ind w:firstLine="576" w:firstLineChars="24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9.踏勘现场</w:t>
      </w:r>
    </w:p>
    <w:p w14:paraId="4D446F10">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采购人不组织现场踏勘，请各供应商结合自身情况，</w:t>
      </w:r>
      <w:r>
        <w:rPr>
          <w:rFonts w:hint="eastAsia" w:ascii="宋体" w:hAnsi="宋体" w:eastAsia="宋体" w:cs="宋体"/>
          <w:b w:val="0"/>
          <w:color w:val="auto"/>
          <w:kern w:val="2"/>
          <w:sz w:val="24"/>
          <w:szCs w:val="24"/>
          <w:highlight w:val="none"/>
          <w:lang w:val="en-US" w:eastAsia="zh-CN" w:bidi="ar-SA"/>
        </w:rPr>
        <w:t>与采购人联系</w:t>
      </w:r>
      <w:r>
        <w:rPr>
          <w:rFonts w:hint="default" w:ascii="宋体" w:hAnsi="宋体" w:eastAsia="宋体" w:cs="宋体"/>
          <w:b w:val="0"/>
          <w:color w:val="auto"/>
          <w:kern w:val="2"/>
          <w:sz w:val="24"/>
          <w:szCs w:val="24"/>
          <w:highlight w:val="none"/>
          <w:lang w:val="en-US" w:eastAsia="zh-CN" w:bidi="ar-SA"/>
        </w:rPr>
        <w:t>办理入校预约，自行踏勘。</w:t>
      </w:r>
    </w:p>
    <w:p w14:paraId="2F629749">
      <w:pPr>
        <w:spacing w:before="48" w:after="48" w:line="360" w:lineRule="auto"/>
        <w:ind w:firstLine="576" w:firstLineChars="240"/>
        <w:rPr>
          <w:rFonts w:hint="default" w:ascii="宋体" w:hAnsi="宋体" w:eastAsia="宋体" w:cs="宋体"/>
          <w:b w:val="0"/>
          <w:color w:val="auto"/>
          <w:kern w:val="2"/>
          <w:sz w:val="24"/>
          <w:szCs w:val="24"/>
          <w:highlight w:val="none"/>
          <w:lang w:val="en-US" w:eastAsia="zh-CN" w:bidi="ar-SA"/>
        </w:rPr>
      </w:pPr>
      <w:r>
        <w:rPr>
          <w:rFonts w:hint="default" w:ascii="宋体" w:hAnsi="宋体" w:eastAsia="宋体" w:cs="宋体"/>
          <w:b w:val="0"/>
          <w:color w:val="auto"/>
          <w:kern w:val="2"/>
          <w:sz w:val="24"/>
          <w:szCs w:val="24"/>
          <w:highlight w:val="none"/>
          <w:lang w:val="en-US" w:eastAsia="zh-CN" w:bidi="ar-SA"/>
        </w:rPr>
        <w:t>无论供应商是否踏勘过现场，均被认为已经踏勘现场，对本项目的风险和义务已经十分了解，并在其响应文件中已充分考虑了现场和环境条件。</w:t>
      </w:r>
    </w:p>
    <w:p w14:paraId="6B130A73">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59" w:name="_Toc2750"/>
      <w:r>
        <w:rPr>
          <w:rFonts w:hint="eastAsia" w:ascii="宋体" w:hAnsi="宋体" w:eastAsia="宋体" w:cs="宋体"/>
          <w:color w:val="auto"/>
          <w:sz w:val="24"/>
          <w:highlight w:val="none"/>
        </w:rPr>
        <w:t>七、联系方式</w:t>
      </w:r>
      <w:bookmarkEnd w:id="42"/>
      <w:bookmarkEnd w:id="43"/>
      <w:bookmarkEnd w:id="44"/>
      <w:bookmarkEnd w:id="45"/>
      <w:bookmarkEnd w:id="46"/>
      <w:bookmarkEnd w:id="47"/>
      <w:bookmarkEnd w:id="48"/>
      <w:bookmarkEnd w:id="59"/>
    </w:p>
    <w:p w14:paraId="4AFFCAE3">
      <w:pPr>
        <w:snapToGrid w:val="0"/>
        <w:spacing w:line="400" w:lineRule="exact"/>
        <w:ind w:firstLine="360" w:firstLineChars="1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重庆市沙坪坝区凤凰镇卫生院</w:t>
      </w:r>
    </w:p>
    <w:p w14:paraId="63E3BAE2">
      <w:pPr>
        <w:snapToGrid w:val="0"/>
        <w:spacing w:line="400" w:lineRule="exact"/>
        <w:ind w:firstLine="360" w:firstLineChars="15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黄老师</w:t>
      </w:r>
    </w:p>
    <w:p w14:paraId="2383C06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话：023-65680884</w:t>
      </w:r>
    </w:p>
    <w:p w14:paraId="5A6AA3BD">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址：重庆市沙坪坝区凤凰镇凤凰街95号</w:t>
      </w:r>
    </w:p>
    <w:p w14:paraId="16C8DC7E">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（二）采购代理机构：重庆恒泰工程技术服务有限公司</w:t>
      </w:r>
    </w:p>
    <w:p w14:paraId="2083A2C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叶</w:t>
      </w:r>
      <w:r>
        <w:rPr>
          <w:rFonts w:hint="eastAsia" w:ascii="宋体" w:hAnsi="宋体" w:eastAsia="宋体" w:cs="宋体"/>
          <w:color w:val="auto"/>
          <w:sz w:val="24"/>
          <w:szCs w:val="24"/>
          <w:highlight w:val="none"/>
        </w:rPr>
        <w:t>老师</w:t>
      </w:r>
    </w:p>
    <w:p w14:paraId="7F28654A">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话：023-65451822</w:t>
      </w:r>
    </w:p>
    <w:p w14:paraId="139F6B50">
      <w:pPr>
        <w:snapToGrid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址：重庆市沙坪坝区小龙坎正街168号嘉新大厦12-3</w:t>
      </w:r>
    </w:p>
    <w:p w14:paraId="0D1B5D7A">
      <w:pPr>
        <w:snapToGrid w:val="0"/>
        <w:spacing w:line="400" w:lineRule="exact"/>
        <w:ind w:firstLine="482" w:firstLineChars="200"/>
        <w:rPr>
          <w:rFonts w:hint="eastAsia" w:ascii="宋体" w:hAnsi="宋体" w:eastAsia="宋体" w:cs="宋体"/>
          <w:b/>
          <w:color w:val="auto"/>
          <w:sz w:val="24"/>
          <w:szCs w:val="24"/>
          <w:highlight w:val="none"/>
        </w:rPr>
        <w:sectPr>
          <w:pgSz w:w="11907" w:h="16840"/>
          <w:pgMar w:top="1440" w:right="1080" w:bottom="1440" w:left="1080" w:header="964" w:footer="992" w:gutter="0"/>
          <w:pgNumType w:fmt="numberInDash"/>
          <w:cols w:space="720" w:num="1"/>
          <w:docGrid w:linePitch="312" w:charSpace="0"/>
        </w:sectPr>
      </w:pPr>
    </w:p>
    <w:p w14:paraId="4F12C2B4">
      <w:pPr>
        <w:pStyle w:val="3"/>
        <w:spacing w:before="0" w:after="0" w:line="360" w:lineRule="auto"/>
        <w:jc w:val="center"/>
        <w:rPr>
          <w:rFonts w:hint="eastAsia" w:ascii="宋体" w:hAnsi="宋体" w:eastAsia="宋体" w:cs="宋体"/>
          <w:b w:val="0"/>
          <w:color w:val="auto"/>
          <w:sz w:val="36"/>
          <w:szCs w:val="30"/>
          <w:highlight w:val="none"/>
        </w:rPr>
      </w:pPr>
      <w:bookmarkStart w:id="60" w:name="_Toc6097"/>
      <w:bookmarkStart w:id="61" w:name="_Toc76462324"/>
      <w:r>
        <w:rPr>
          <w:rFonts w:hint="eastAsia" w:ascii="宋体" w:hAnsi="宋体" w:eastAsia="宋体" w:cs="宋体"/>
          <w:b w:val="0"/>
          <w:color w:val="auto"/>
          <w:sz w:val="36"/>
          <w:szCs w:val="30"/>
          <w:highlight w:val="none"/>
        </w:rPr>
        <w:t>第二篇  项目服务需求</w:t>
      </w:r>
      <w:bookmarkEnd w:id="60"/>
      <w:bookmarkEnd w:id="61"/>
    </w:p>
    <w:p w14:paraId="1DFBA678">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2" w:name="_Toc40275470"/>
      <w:r>
        <w:rPr>
          <w:rFonts w:hint="eastAsia" w:ascii="宋体" w:hAnsi="宋体" w:eastAsia="宋体" w:cs="宋体"/>
          <w:b/>
          <w:bCs/>
          <w:color w:val="auto"/>
          <w:kern w:val="2"/>
          <w:sz w:val="24"/>
          <w:szCs w:val="24"/>
          <w:highlight w:val="none"/>
          <w:lang w:val="en-US" w:eastAsia="zh-CN" w:bidi="ar-SA"/>
        </w:rPr>
        <w:t>一、</w:t>
      </w:r>
      <w:bookmarkEnd w:id="62"/>
      <w:r>
        <w:rPr>
          <w:rFonts w:hint="eastAsia" w:ascii="宋体" w:hAnsi="宋体" w:eastAsia="宋体" w:cs="宋体"/>
          <w:b/>
          <w:bCs/>
          <w:color w:val="auto"/>
          <w:kern w:val="2"/>
          <w:sz w:val="24"/>
          <w:szCs w:val="24"/>
          <w:highlight w:val="none"/>
          <w:lang w:val="en-US" w:eastAsia="zh-CN" w:bidi="ar-SA"/>
        </w:rPr>
        <w:t>服务概况</w:t>
      </w:r>
    </w:p>
    <w:p w14:paraId="3189A77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本项目服务概况为：1.卫生保洁；2.安保服务</w:t>
      </w:r>
    </w:p>
    <w:p w14:paraId="307930C5">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3" w:name="_Toc40275471"/>
      <w:r>
        <w:rPr>
          <w:rFonts w:hint="eastAsia" w:ascii="宋体" w:hAnsi="宋体" w:eastAsia="宋体" w:cs="宋体"/>
          <w:b/>
          <w:bCs/>
          <w:color w:val="auto"/>
          <w:kern w:val="2"/>
          <w:sz w:val="24"/>
          <w:szCs w:val="24"/>
          <w:highlight w:val="none"/>
          <w:lang w:val="en-US" w:eastAsia="zh-CN" w:bidi="ar-SA"/>
        </w:rPr>
        <w:t>二、项目基本情况</w:t>
      </w:r>
      <w:bookmarkEnd w:id="63"/>
    </w:p>
    <w:p w14:paraId="062B157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重庆市沙坪坝区凤凰镇卫生院位于重庆市沙坪坝区凤凰镇凤凰街95号，区域内有业务楼3层楼、办公楼三层楼和院坝公共区域。</w:t>
      </w:r>
    </w:p>
    <w:p w14:paraId="0EAD1363">
      <w:pPr>
        <w:wordWrap w:val="0"/>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64" w:name="_Toc40275472"/>
      <w:r>
        <w:rPr>
          <w:rFonts w:hint="eastAsia" w:ascii="宋体" w:hAnsi="宋体" w:eastAsia="宋体" w:cs="宋体"/>
          <w:b/>
          <w:bCs/>
          <w:color w:val="auto"/>
          <w:kern w:val="2"/>
          <w:sz w:val="24"/>
          <w:szCs w:val="24"/>
          <w:highlight w:val="none"/>
          <w:lang w:val="en-US" w:eastAsia="zh-CN" w:bidi="ar-SA"/>
        </w:rPr>
        <w:t>三、服务及</w:t>
      </w:r>
      <w:bookmarkEnd w:id="64"/>
      <w:r>
        <w:rPr>
          <w:rFonts w:hint="eastAsia" w:ascii="宋体" w:hAnsi="宋体" w:eastAsia="宋体" w:cs="宋体"/>
          <w:b/>
          <w:bCs/>
          <w:color w:val="auto"/>
          <w:kern w:val="2"/>
          <w:sz w:val="24"/>
          <w:szCs w:val="24"/>
          <w:highlight w:val="none"/>
          <w:lang w:val="en-US" w:eastAsia="zh-CN" w:bidi="ar-SA"/>
        </w:rPr>
        <w:t>质量要求</w:t>
      </w:r>
    </w:p>
    <w:p w14:paraId="45FB239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65" w:name="_Toc40275473"/>
      <w:r>
        <w:rPr>
          <w:rFonts w:hint="eastAsia" w:ascii="宋体" w:hAnsi="宋体" w:eastAsia="宋体" w:cs="宋体"/>
          <w:b w:val="0"/>
          <w:color w:val="auto"/>
          <w:kern w:val="2"/>
          <w:sz w:val="24"/>
          <w:szCs w:val="24"/>
          <w:highlight w:val="none"/>
          <w:lang w:val="en-US" w:eastAsia="zh-CN" w:bidi="ar-SA"/>
        </w:rPr>
        <w:t>（一）环境卫生保洁服务内容及范围：</w:t>
      </w:r>
    </w:p>
    <w:p w14:paraId="780DAAE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负责招标范围内清洁卫生（包括天花、顶棚、顶房平台、内墙、玻璃、高处灯具、空调送回风口、通风口、地面、室内家具、电器表面、设备表面、楼梯、走廊、踢脚、通道、窗户、门、桌、椅、病历架、床、柜、宣传栏、洗手间、电梯及电梯机房、公共通道、垃圾桶、标识牌等），和医院院落、绿化带、道路的保洁工作和垃圾的收集和运送，不包括外墙清洗。</w:t>
      </w:r>
    </w:p>
    <w:p w14:paraId="106980C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2.室内PVC地面/橡胶/水磨石地板/各类地面的养护：定期抛光打蜡（一年一次）、喷磨、刷洗、补蜡、集中清洗消毒。</w:t>
      </w:r>
    </w:p>
    <w:p w14:paraId="222175C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3.公共区域的PVC地面/橡胶/水磨石地板/各类地面的养护：定期抛光打蜡（一年一次）、喷磨、刷洗、补蜡、集中清洗消毒。</w:t>
      </w:r>
    </w:p>
    <w:p w14:paraId="3927450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4.医疗/生活垃圾的清运及暂存间管理（包含垃圾袋）。</w:t>
      </w:r>
    </w:p>
    <w:p w14:paraId="2852284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5.终末消毒。</w:t>
      </w:r>
    </w:p>
    <w:p w14:paraId="47EA071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6.手术室消毒片剂由院方自行提供，其他区域消毒片剂由物业公司提供。</w:t>
      </w:r>
    </w:p>
    <w:p w14:paraId="004DF8E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7.特殊科室需求：</w:t>
      </w:r>
    </w:p>
    <w:p w14:paraId="51F5034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①按照科室要求着装，做好自身防护；②每天、每周按照科室要求做好各操作间的日常保洁工作；如有垃圾或者污迹、积水应随时处理；③服从护士长临时安排的工作。</w:t>
      </w:r>
    </w:p>
    <w:p w14:paraId="0659794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8.洗涤用品管理(含洗涤用所有耗材)。</w:t>
      </w:r>
    </w:p>
    <w:p w14:paraId="1FF7B9F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9.完成好招标方交给的临时送餐服务、搬运物资等服务。</w:t>
      </w:r>
    </w:p>
    <w:p w14:paraId="1E1EC2DD">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10.根据科室的要求需要提供临时性保洁服务。</w:t>
      </w:r>
    </w:p>
    <w:p w14:paraId="17F6375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（二）安保服务</w:t>
      </w:r>
    </w:p>
    <w:p w14:paraId="2410A13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1.负责防火、防盗、防爆、防破坏、防自然灾害、防破坏事故及反扒窃诈骗工作，确保医院的正常工作秩序和医治秩序。</w:t>
      </w:r>
    </w:p>
    <w:p w14:paraId="1AAACE4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2.负责对医院内摆摊设点、流动商贩和医疗媒子的清理，积极协助医院处置突发事件，处理医患纠纷，确保良好的医治环境。</w:t>
      </w:r>
    </w:p>
    <w:p w14:paraId="190E37F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3.负责院内车辆停放、通行的管理及收费，做好进出物资的检查，确保车辆停放、通行安全有序。</w:t>
      </w:r>
    </w:p>
    <w:p w14:paraId="7E778E5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4.负责协助各科室转运（搬运）患者和转运标本、协助患者到相关科室检查、治疗等。</w:t>
      </w:r>
    </w:p>
    <w:p w14:paraId="70BBA4EE">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5.负责床单、被套、工作服收发和登记工作。</w:t>
      </w:r>
    </w:p>
    <w:p w14:paraId="203BD75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6.完成好招标方交给的临时性保安任务等。</w:t>
      </w:r>
    </w:p>
    <w:p w14:paraId="0D6906F4">
      <w:pPr>
        <w:wordWrap w:val="0"/>
        <w:spacing w:line="360" w:lineRule="auto"/>
        <w:ind w:firstLine="480" w:firstLineChars="200"/>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7.安保服务实行24小时负责制。</w:t>
      </w:r>
    </w:p>
    <w:bookmarkEnd w:id="65"/>
    <w:p w14:paraId="16BB9A1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66" w:name="_Toc40275474"/>
      <w:r>
        <w:rPr>
          <w:rFonts w:hint="eastAsia" w:ascii="宋体" w:hAnsi="宋体" w:eastAsia="宋体" w:cs="宋体"/>
          <w:b w:val="0"/>
          <w:color w:val="auto"/>
          <w:kern w:val="2"/>
          <w:sz w:val="24"/>
          <w:szCs w:val="24"/>
          <w:highlight w:val="none"/>
          <w:lang w:val="en-US" w:eastAsia="zh-CN" w:bidi="ar-SA"/>
        </w:rPr>
        <w:t>（三）保洁服务标准</w:t>
      </w:r>
    </w:p>
    <w:p w14:paraId="7C594FD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1、公共区域及设施</w:t>
      </w:r>
    </w:p>
    <w:p w14:paraId="663277A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1.1大厅、走廊面表面洁净、无尘土、污染、烟头、纸屑、油迹及垃圾。</w:t>
      </w:r>
    </w:p>
    <w:p w14:paraId="5BDF7F8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各房门、通道门地面无尘土、痰迹、碎纸、烟头及垃圾杂物、扶手无尘土。墙面光洁、明亮、无污渍、无蜘蛛网及其它粘附杂物；隔板无尘土，污迹。天花板：空调风口、灯具、指示牌、外露管道等顶部设施无积尘、无蜘蛛网。</w:t>
      </w:r>
    </w:p>
    <w:p w14:paraId="382D8B6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1.3不锈钢面无脏、污点；金属器材表面无污迹、无灰尘、无锈斑，有金属光泽。</w:t>
      </w:r>
    </w:p>
    <w:p w14:paraId="31F81DA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1.4装饰物：盆、座表面干净无尘土；装饰物（如塑料花卉、油画）等表面无尘土。</w:t>
      </w:r>
    </w:p>
    <w:p w14:paraId="66F5E9C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1.5卫生间：无异味、臭味。洗手池台面无水迹、无尘土、无污物。洗手池瓷壁无污垢，无痰迹及头发等不洁物。水龙头无印迹、污垢、光亮、洁净。镜面无水点、水迹、尘土、污迹。小便池无尿硷水锈引迹（黄迹）、无污物、喷水嘴应洁净。大便器内外洁净、无大便痕迹、无污垢黄迹。手纸架无手印、光亮、洁净。纸篓污物量不超过桶体2/3，内外表干净，无积水。</w:t>
      </w:r>
    </w:p>
    <w:p w14:paraId="5F91F4C8">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1.6电梯：电梯门无尘土、光亮洁净，无印迹。按键面板无尘土、无印迹。照明灯具无厚积尘土。电梯厅顶部：无厚积尘土。</w:t>
      </w:r>
    </w:p>
    <w:p w14:paraId="269857F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1.7楼梯：楼梯门无尘土、污迹。地面无尘土、烟头、垃圾。</w:t>
      </w:r>
    </w:p>
    <w:p w14:paraId="5DC4A20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1.8大环境道路无明显浮尘、烟头、果皮、纸屑、塑料袋；花基、花坛无烟头、杂物、积水、泥沙。</w:t>
      </w:r>
    </w:p>
    <w:p w14:paraId="4803E94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1.9室外雨蓬无杂物、目视无尘。垃圾桶、果皮箱：表面光亮无污迹、油迹，无蚊蝇 、周边无积水。</w:t>
      </w:r>
    </w:p>
    <w:p w14:paraId="3074E91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1.10正面外墙墙面、雨棚每年清洗1-2次，雨棚有垃圾时需及时清理，两个门头1季度清洗1次。</w:t>
      </w:r>
    </w:p>
    <w:p w14:paraId="3FC2B0F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1.11垃圾运送：医疗废物与生活垃圾分车运送、专人收运、交接登记清楚，每天清运两次。</w:t>
      </w:r>
    </w:p>
    <w:p w14:paraId="4BC5AF5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2、病房保洁标准：</w:t>
      </w:r>
    </w:p>
    <w:p w14:paraId="35DCC0D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2.1地面：洁净、光亮、无尘土、痰迹、碎纸、烟头及垃圾杂物；踢脚：目视无尘、无污物。</w:t>
      </w:r>
    </w:p>
    <w:p w14:paraId="5CA2765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2.2墙面：无手印、污迹。无灰尘、每月定期用清水擦洗。</w:t>
      </w:r>
    </w:p>
    <w:p w14:paraId="286E552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2.3窗户：明亮、无积灰。玻璃幕墙、门、窗、镜面围栏、触摸屏透亮、无污迹、无水迹</w:t>
      </w:r>
    </w:p>
    <w:p w14:paraId="60FB7B4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2.4天花板：无蜘蛛网、无积灰。</w:t>
      </w:r>
    </w:p>
    <w:p w14:paraId="024C5D2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2.5床、床头柜、床架：无尘土、无积灰。清洁用抹布一床单元一张。</w:t>
      </w:r>
    </w:p>
    <w:p w14:paraId="537D5BA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2.6灯具：无厚积尘土。灯具内无昆虫，灯盖、灯柱、灯罩明亮有光泽。</w:t>
      </w:r>
    </w:p>
    <w:p w14:paraId="276CAF0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2.7标识牌：光亮、干净、无污渍。</w:t>
      </w:r>
    </w:p>
    <w:p w14:paraId="57EF23D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2.8木（塑）质器材：木（塑）物件表面光洁，无粗糙感、无污迹，现本色</w:t>
      </w:r>
    </w:p>
    <w:p w14:paraId="422384D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3、办公室保洁标准</w:t>
      </w:r>
    </w:p>
    <w:p w14:paraId="539F56D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3.1桌面、窗台：无尘土。</w:t>
      </w:r>
    </w:p>
    <w:p w14:paraId="2EB87DC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3.2地面：无污渍，地毯上无碎屑、无渣、云石地面（砖在面）清抹干净。</w:t>
      </w:r>
    </w:p>
    <w:p w14:paraId="1F799B8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3.3所有烟灰缸、垃圾桶、碎纸机保持外表干净。</w:t>
      </w:r>
    </w:p>
    <w:p w14:paraId="5394A86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4、院落、道路保洁标准：</w:t>
      </w:r>
    </w:p>
    <w:p w14:paraId="610A9C9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4.1院落整洁、卫生、无杂物。</w:t>
      </w:r>
    </w:p>
    <w:p w14:paraId="378CAB8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4.2人行道、走道等地带无垃圾、烟头、杂物。</w:t>
      </w:r>
    </w:p>
    <w:p w14:paraId="009DD24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4.3认真听取市容、环卫等有关部门的检查意见，礼貌交谈，并及时与主管联系。</w:t>
      </w:r>
    </w:p>
    <w:p w14:paraId="76118D8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（四）保洁服务要求</w:t>
      </w:r>
    </w:p>
    <w:p w14:paraId="232222D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 xml:space="preserve">1.负责全院的室内、室外清洁卫生。 </w:t>
      </w:r>
    </w:p>
    <w:p w14:paraId="2181CFE6">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2.及时收集生活垃圾和医疗垃圾，并送到院内指定地点。</w:t>
      </w:r>
    </w:p>
    <w:p w14:paraId="09E4F18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3.按时巡视，每层从屋顶到墙壁到地板要做到干净、整洁，无蜘蛛丝，无纸屑、痰迹；卫生间要清洁、干燥、无异味，绿化带内垃圾捡拾。</w:t>
      </w:r>
    </w:p>
    <w:p w14:paraId="3CFFD11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4.为避免尘土飞扬，地面干拖应使用尘推加牵尘剂的方法进行处理。</w:t>
      </w:r>
    </w:p>
    <w:p w14:paraId="437011B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5.要求对尘推头和抹布用专门的洗衣机和烘干机进行洗涤和烘干，不能用手洗，以防止交叉感染。</w:t>
      </w:r>
    </w:p>
    <w:p w14:paraId="59C3DA8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6.为防止交叉感染，对不同区域的清洁工具按医院感染科的要求实行严格分类摆放和使用，用颜色、字标等方式进行区分。</w:t>
      </w:r>
    </w:p>
    <w:p w14:paraId="2D038E89">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7.做好环境保洁区域内的所有PVC地面/橡胶等地板的日常养护。</w:t>
      </w:r>
    </w:p>
    <w:p w14:paraId="7B2D436F">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8.负责全院医务人员的工作服、床单元、窗帘、手术布巾等的收集、洗涤及分发工作。</w:t>
      </w:r>
    </w:p>
    <w:p w14:paraId="13EF305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9.要求中标人对医院的项目管理现场具体情况来配置专用的洗地机、自动洗地吸水机、抛光机、吸水洗尘机、地坪/地毯吹干机、真空吸尘机、对讲机、洗衣机和烘干机、垃圾车、榨水器、不锈钢桶、电脑、打卡钟和打印机等。</w:t>
      </w:r>
    </w:p>
    <w:p w14:paraId="722D29F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10.中标人提供保洁用的清洁剂、洗涤剂、消毒剂（手术室等特殊的功能科室消毒剂/片院方需自行提供）和地面保护材料，这些消耗品必须是通过国家卫生部审批准予使用，并符合医院院感科的要求，并且要求提供优质的产品。</w:t>
      </w:r>
    </w:p>
    <w:p w14:paraId="7A2E3EB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11.所使用的清洁车辆必须是先进的全方位清洁手推车。</w:t>
      </w:r>
    </w:p>
    <w:p w14:paraId="0D24377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12.要求对环境保洁进行科学的划分，并且强调计划性。</w:t>
      </w:r>
    </w:p>
    <w:p w14:paraId="1FAA3A4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13. 根据科室的要求需要提供24小时保洁。</w:t>
      </w:r>
    </w:p>
    <w:p w14:paraId="7B3100B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（五）人员配备及报价要求</w:t>
      </w:r>
    </w:p>
    <w:p w14:paraId="5887952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1、人员数量要求</w:t>
      </w:r>
    </w:p>
    <w:p w14:paraId="06E1736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卫生保洁不少于3人，安保人员2人，以上人员是指一线服务人员，所聘用人员的工作年龄不得超65岁。</w:t>
      </w:r>
    </w:p>
    <w:p w14:paraId="466916E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2、人员素质要求</w:t>
      </w:r>
    </w:p>
    <w:p w14:paraId="0D2AAF3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2.1身体健康，品行端正，工作责任心强，根据相关法律法规需持证上岗的岗位，必须经过专业培训，取得操作证后方能上岗；</w:t>
      </w:r>
    </w:p>
    <w:p w14:paraId="3856EFF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2.2上班前确保鞋子干净无污物；</w:t>
      </w:r>
    </w:p>
    <w:p w14:paraId="6178CDFD">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2.3按规定时间更换制服，制服不可破损；</w:t>
      </w:r>
    </w:p>
    <w:p w14:paraId="359AF5D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2.4确保手指甲正规修剪；</w:t>
      </w:r>
    </w:p>
    <w:p w14:paraId="2733C9C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2.5语言文明，保持微笑，维护医院工作人员良好形象；</w:t>
      </w:r>
    </w:p>
    <w:p w14:paraId="13139E2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2.6如无紧急情况不可跑动；</w:t>
      </w:r>
    </w:p>
    <w:p w14:paraId="6E9FAEA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2.7温馨服务，任何情况下不得与医务人员或患者发生吵闹、打架斗殴等影响正常医疗秩序的现象。</w:t>
      </w:r>
    </w:p>
    <w:bookmarkEnd w:id="66"/>
    <w:p w14:paraId="75CE0FB1">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br w:type="page"/>
      </w:r>
    </w:p>
    <w:p w14:paraId="51C0337C">
      <w:pPr>
        <w:rPr>
          <w:rFonts w:hint="eastAsia"/>
          <w:color w:val="auto"/>
          <w:highlight w:val="none"/>
        </w:rPr>
      </w:pPr>
    </w:p>
    <w:p w14:paraId="029C1731">
      <w:pPr>
        <w:pStyle w:val="3"/>
        <w:numPr>
          <w:ilvl w:val="0"/>
          <w:numId w:val="1"/>
        </w:numPr>
        <w:spacing w:before="0" w:after="0" w:line="360" w:lineRule="auto"/>
        <w:jc w:val="center"/>
        <w:rPr>
          <w:rFonts w:hint="eastAsia" w:ascii="宋体" w:hAnsi="宋体" w:eastAsia="宋体" w:cs="宋体"/>
          <w:b w:val="0"/>
          <w:color w:val="auto"/>
          <w:sz w:val="36"/>
          <w:szCs w:val="30"/>
          <w:highlight w:val="none"/>
        </w:rPr>
      </w:pPr>
      <w:bookmarkStart w:id="67" w:name="_Toc12789058"/>
      <w:bookmarkStart w:id="68" w:name="_Toc76462327"/>
      <w:r>
        <w:rPr>
          <w:rFonts w:hint="eastAsia" w:ascii="宋体" w:hAnsi="宋体" w:eastAsia="宋体" w:cs="宋体"/>
          <w:b w:val="0"/>
          <w:color w:val="auto"/>
          <w:sz w:val="36"/>
          <w:szCs w:val="30"/>
          <w:highlight w:val="none"/>
        </w:rPr>
        <w:t xml:space="preserve"> </w:t>
      </w:r>
      <w:bookmarkEnd w:id="67"/>
      <w:bookmarkStart w:id="69" w:name="_Toc20978"/>
      <w:r>
        <w:rPr>
          <w:rFonts w:hint="eastAsia" w:ascii="宋体" w:hAnsi="宋体" w:eastAsia="宋体" w:cs="宋体"/>
          <w:b w:val="0"/>
          <w:color w:val="auto"/>
          <w:sz w:val="36"/>
          <w:szCs w:val="30"/>
          <w:highlight w:val="none"/>
        </w:rPr>
        <w:t>项目商务需求</w:t>
      </w:r>
      <w:bookmarkEnd w:id="68"/>
      <w:bookmarkEnd w:id="69"/>
    </w:p>
    <w:p w14:paraId="7CA43EB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0" w:name="_Toc40275478"/>
      <w:r>
        <w:rPr>
          <w:rFonts w:hint="eastAsia" w:ascii="宋体" w:hAnsi="宋体" w:eastAsia="宋体" w:cs="宋体"/>
          <w:b w:val="0"/>
          <w:color w:val="auto"/>
          <w:kern w:val="2"/>
          <w:sz w:val="24"/>
          <w:szCs w:val="24"/>
          <w:highlight w:val="none"/>
          <w:lang w:val="en-US" w:eastAsia="zh-CN" w:bidi="ar-SA"/>
        </w:rPr>
        <w:t>一、服务期、服务地点及考核方式</w:t>
      </w:r>
      <w:bookmarkEnd w:id="70"/>
    </w:p>
    <w:p w14:paraId="6573C6B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1" w:name="OLE_LINK6"/>
      <w:r>
        <w:rPr>
          <w:rFonts w:hint="eastAsia" w:ascii="宋体" w:hAnsi="宋体" w:eastAsia="宋体" w:cs="宋体"/>
          <w:b w:val="0"/>
          <w:color w:val="auto"/>
          <w:kern w:val="2"/>
          <w:sz w:val="24"/>
          <w:szCs w:val="24"/>
          <w:highlight w:val="none"/>
          <w:lang w:val="en-US" w:eastAsia="zh-CN" w:bidi="ar-SA"/>
        </w:rPr>
        <w:t>（一）服务期：服务期限1年。</w:t>
      </w:r>
    </w:p>
    <w:p w14:paraId="4338878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（二）服务地点：重庆市沙坪坝区凤凰镇卫生院</w:t>
      </w:r>
    </w:p>
    <w:bookmarkEnd w:id="71"/>
    <w:p w14:paraId="0729C387">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（三）考核方式</w:t>
      </w:r>
    </w:p>
    <w:p w14:paraId="7C6F2320">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2" w:name="_Toc40275479"/>
      <w:r>
        <w:rPr>
          <w:rFonts w:hint="eastAsia" w:ascii="宋体" w:hAnsi="宋体" w:eastAsia="宋体" w:cs="宋体"/>
          <w:b w:val="0"/>
          <w:color w:val="auto"/>
          <w:kern w:val="2"/>
          <w:sz w:val="24"/>
          <w:szCs w:val="24"/>
          <w:highlight w:val="none"/>
          <w:lang w:val="en-US" w:eastAsia="zh-CN" w:bidi="ar-SA"/>
        </w:rPr>
        <w:t>1.每月月底前将该月满意度进行考核，并计算出保洁公司当月服务得分，作为支付服务费用依据；</w:t>
      </w:r>
    </w:p>
    <w:p w14:paraId="5CBEDA93">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2.每月服务支付费用和满意度挂钩，按以下规定进行考核支付，月满意度达90分（含）以上时全额支付本月度费用；月满意度在90分</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80分每少一分扣当月服务费100元，月满意度在80分</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b w:val="0"/>
          <w:color w:val="auto"/>
          <w:kern w:val="2"/>
          <w:sz w:val="24"/>
          <w:szCs w:val="24"/>
          <w:highlight w:val="none"/>
          <w:lang w:val="en-US" w:eastAsia="zh-CN" w:bidi="ar-SA"/>
        </w:rPr>
        <w:t>70分每少一分扣当月服务费200元，月满意度在70分以下每少一分扣当月服务费300元，连续三个月70分以下院方有权根据合同相应条款进行合同解除（注：物业公司进驻医院前三个月属于磨合期，不实行考核，三个月过后严格按照本规定考核）</w:t>
      </w:r>
    </w:p>
    <w:p w14:paraId="1156661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3.服务考核办法</w:t>
      </w:r>
    </w:p>
    <w:p w14:paraId="19BC091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（1）保洁服务考核表（见附件1）</w:t>
      </w:r>
    </w:p>
    <w:p w14:paraId="4D561D3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（2）安保服务考核标准（见附件2）</w:t>
      </w:r>
    </w:p>
    <w:p w14:paraId="162EF8FB">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备注：保洁服务与安保服务考核分别采取100分制计算，最终得分按7:3计入月考核。</w:t>
      </w:r>
    </w:p>
    <w:p w14:paraId="0754022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二、报价要求</w:t>
      </w:r>
      <w:bookmarkEnd w:id="72"/>
    </w:p>
    <w:p w14:paraId="27869C6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3" w:name="OLE_LINK4"/>
      <w:r>
        <w:rPr>
          <w:rFonts w:hint="eastAsia" w:ascii="宋体" w:hAnsi="宋体" w:eastAsia="宋体" w:cs="宋体"/>
          <w:b w:val="0"/>
          <w:color w:val="auto"/>
          <w:kern w:val="2"/>
          <w:sz w:val="24"/>
          <w:szCs w:val="24"/>
          <w:highlight w:val="none"/>
          <w:lang w:val="en-US" w:eastAsia="zh-CN" w:bidi="ar-SA"/>
        </w:rPr>
        <w:t>本次报价为人民币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bookmarkEnd w:id="73"/>
    <w:p w14:paraId="100638A2">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4" w:name="_Toc40275480"/>
      <w:r>
        <w:rPr>
          <w:rFonts w:hint="eastAsia" w:ascii="宋体" w:hAnsi="宋体" w:eastAsia="宋体" w:cs="宋体"/>
          <w:b w:val="0"/>
          <w:color w:val="auto"/>
          <w:kern w:val="2"/>
          <w:sz w:val="24"/>
          <w:szCs w:val="24"/>
          <w:highlight w:val="none"/>
          <w:lang w:val="en-US" w:eastAsia="zh-CN" w:bidi="ar-SA"/>
        </w:rPr>
        <w:t>三、付款方式</w:t>
      </w:r>
      <w:bookmarkEnd w:id="74"/>
    </w:p>
    <w:p w14:paraId="5F5E2DCE">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5" w:name="OLE_LINK3"/>
      <w:r>
        <w:rPr>
          <w:rFonts w:hint="eastAsia" w:ascii="宋体" w:hAnsi="宋体" w:eastAsia="宋体" w:cs="宋体"/>
          <w:b w:val="0"/>
          <w:color w:val="auto"/>
          <w:kern w:val="2"/>
          <w:sz w:val="24"/>
          <w:szCs w:val="24"/>
          <w:highlight w:val="none"/>
          <w:lang w:val="en-US" w:eastAsia="zh-CN" w:bidi="ar-SA"/>
        </w:rPr>
        <w:t>付款方式：对公转帐，如合同签订时间为2025年7月1日-2026年6月30日，9月支付7月保安、保洁服务费，10月支付8月保安、保洁服务费(以此类推)进行支付。</w:t>
      </w:r>
    </w:p>
    <w:bookmarkEnd w:id="75"/>
    <w:p w14:paraId="16878345">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bookmarkStart w:id="76" w:name="_Toc344475124"/>
      <w:bookmarkStart w:id="77" w:name="_Toc466546918"/>
      <w:r>
        <w:rPr>
          <w:rFonts w:hint="eastAsia" w:ascii="宋体" w:hAnsi="宋体" w:eastAsia="宋体" w:cs="宋体"/>
          <w:b w:val="0"/>
          <w:color w:val="auto"/>
          <w:kern w:val="2"/>
          <w:sz w:val="24"/>
          <w:szCs w:val="24"/>
          <w:highlight w:val="none"/>
          <w:lang w:val="en-US" w:eastAsia="zh-CN" w:bidi="ar-SA"/>
        </w:rPr>
        <w:t>四、</w:t>
      </w:r>
      <w:bookmarkEnd w:id="76"/>
      <w:bookmarkStart w:id="78" w:name="_Toc344475125"/>
      <w:r>
        <w:rPr>
          <w:rFonts w:hint="eastAsia" w:ascii="宋体" w:hAnsi="宋体" w:eastAsia="宋体" w:cs="宋体"/>
          <w:b w:val="0"/>
          <w:color w:val="auto"/>
          <w:kern w:val="2"/>
          <w:sz w:val="24"/>
          <w:szCs w:val="24"/>
          <w:highlight w:val="none"/>
          <w:lang w:val="en-US" w:eastAsia="zh-CN" w:bidi="ar-SA"/>
        </w:rPr>
        <w:t>其他</w:t>
      </w:r>
      <w:bookmarkEnd w:id="77"/>
    </w:p>
    <w:bookmarkEnd w:id="78"/>
    <w:p w14:paraId="26451E5C">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（一）供应商必须在响应文件中对以上条款和服务承诺明确列出，承诺内容必须达到本篇及文件其他条款的要求。</w:t>
      </w:r>
    </w:p>
    <w:p w14:paraId="68C9375A">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sectPr>
          <w:headerReference r:id="rId7" w:type="first"/>
          <w:footerReference r:id="rId10" w:type="first"/>
          <w:headerReference r:id="rId6" w:type="default"/>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b w:val="0"/>
          <w:color w:val="auto"/>
          <w:kern w:val="2"/>
          <w:sz w:val="24"/>
          <w:szCs w:val="24"/>
          <w:highlight w:val="none"/>
          <w:lang w:val="en-US" w:eastAsia="zh-CN" w:bidi="ar-SA"/>
        </w:rPr>
        <w:t>（二）其他未尽事宜由供需双方在采购合同中详细约定。</w:t>
      </w:r>
    </w:p>
    <w:p w14:paraId="55316B6D">
      <w:pPr>
        <w:pStyle w:val="3"/>
        <w:pageBreakBefore/>
        <w:spacing w:before="0" w:after="0" w:line="360" w:lineRule="auto"/>
        <w:jc w:val="center"/>
        <w:rPr>
          <w:rFonts w:hint="eastAsia" w:ascii="宋体" w:hAnsi="宋体" w:eastAsia="宋体" w:cs="宋体"/>
          <w:b w:val="0"/>
          <w:color w:val="auto"/>
          <w:sz w:val="36"/>
          <w:szCs w:val="30"/>
          <w:highlight w:val="none"/>
        </w:rPr>
      </w:pPr>
      <w:bookmarkStart w:id="79" w:name="_Toc76462332"/>
      <w:bookmarkStart w:id="80" w:name="_Toc24496"/>
      <w:r>
        <w:rPr>
          <w:rFonts w:hint="eastAsia" w:ascii="宋体" w:hAnsi="宋体" w:eastAsia="宋体" w:cs="宋体"/>
          <w:b w:val="0"/>
          <w:color w:val="auto"/>
          <w:sz w:val="36"/>
          <w:szCs w:val="30"/>
          <w:highlight w:val="none"/>
        </w:rPr>
        <w:t>第四篇  询比程序及方法、评审标准、无效响应和</w:t>
      </w:r>
      <w:r>
        <w:rPr>
          <w:rFonts w:hint="eastAsia" w:ascii="宋体" w:hAnsi="宋体" w:eastAsia="宋体" w:cs="宋体"/>
          <w:b w:val="0"/>
          <w:color w:val="auto"/>
          <w:sz w:val="36"/>
          <w:szCs w:val="36"/>
          <w:highlight w:val="none"/>
        </w:rPr>
        <w:t>采购终止</w:t>
      </w:r>
      <w:bookmarkEnd w:id="79"/>
      <w:bookmarkEnd w:id="80"/>
    </w:p>
    <w:p w14:paraId="06A44EC0">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81" w:name="_Toc76462333"/>
      <w:bookmarkStart w:id="82" w:name="_Toc8579"/>
      <w:bookmarkStart w:id="83" w:name="_Toc106030888"/>
      <w:r>
        <w:rPr>
          <w:rFonts w:hint="eastAsia" w:ascii="宋体" w:hAnsi="宋体" w:eastAsia="宋体" w:cs="宋体"/>
          <w:color w:val="auto"/>
          <w:sz w:val="24"/>
          <w:highlight w:val="none"/>
        </w:rPr>
        <w:t>一、询比程序及方法</w:t>
      </w:r>
      <w:bookmarkEnd w:id="81"/>
      <w:bookmarkEnd w:id="82"/>
      <w:bookmarkEnd w:id="83"/>
    </w:p>
    <w:p w14:paraId="293FFC5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（一）询比小组对各供应商的资格条件、响应文件的有效性、完整性和响应程度进行审查。各供应商只有在完全符合要求的前提下，才能参与正式询比。</w:t>
      </w:r>
    </w:p>
    <w:p w14:paraId="48F811CC">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资格性审查。依据法律法规和询比文件的规定，对响应文件中的资格证明、等进行审查，以确定供应商是否具备询比资格。资格性审查资料表如下：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43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F0AE67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4A143999">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6774FC2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283E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9296E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709" w:type="dxa"/>
            <w:vMerge w:val="restart"/>
            <w:noWrap w:val="0"/>
            <w:vAlign w:val="center"/>
          </w:tcPr>
          <w:p w14:paraId="24C872C9">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3118" w:type="dxa"/>
            <w:noWrap w:val="0"/>
            <w:vAlign w:val="center"/>
          </w:tcPr>
          <w:p w14:paraId="0DB73B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4984" w:type="dxa"/>
            <w:noWrap w:val="0"/>
            <w:vAlign w:val="center"/>
          </w:tcPr>
          <w:p w14:paraId="04CB6D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A1063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0159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0A82D56">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BEDCE94">
            <w:pPr>
              <w:rPr>
                <w:rFonts w:hint="eastAsia" w:ascii="宋体" w:hAnsi="宋体" w:eastAsia="宋体" w:cs="宋体"/>
                <w:color w:val="auto"/>
                <w:sz w:val="21"/>
                <w:szCs w:val="21"/>
                <w:highlight w:val="none"/>
                <w:lang w:val="zh-CN"/>
              </w:rPr>
            </w:pPr>
          </w:p>
        </w:tc>
        <w:tc>
          <w:tcPr>
            <w:tcW w:w="3118" w:type="dxa"/>
            <w:noWrap w:val="0"/>
            <w:vAlign w:val="center"/>
          </w:tcPr>
          <w:p w14:paraId="42CE6F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4984" w:type="dxa"/>
            <w:vMerge w:val="restart"/>
            <w:noWrap w:val="0"/>
            <w:vAlign w:val="center"/>
          </w:tcPr>
          <w:p w14:paraId="550B97D8">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5155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93DDFD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30AB29D0">
            <w:pPr>
              <w:rPr>
                <w:rFonts w:hint="eastAsia" w:ascii="宋体" w:hAnsi="宋体" w:eastAsia="宋体" w:cs="宋体"/>
                <w:color w:val="auto"/>
                <w:sz w:val="21"/>
                <w:szCs w:val="21"/>
                <w:highlight w:val="none"/>
                <w:lang w:val="zh-CN"/>
              </w:rPr>
            </w:pPr>
          </w:p>
        </w:tc>
        <w:tc>
          <w:tcPr>
            <w:tcW w:w="3118" w:type="dxa"/>
            <w:noWrap w:val="0"/>
            <w:vAlign w:val="center"/>
          </w:tcPr>
          <w:p w14:paraId="61CECB7B">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4984" w:type="dxa"/>
            <w:vMerge w:val="continue"/>
            <w:noWrap w:val="0"/>
            <w:vAlign w:val="center"/>
          </w:tcPr>
          <w:p w14:paraId="6C645ED3">
            <w:pPr>
              <w:rPr>
                <w:rFonts w:hint="eastAsia" w:ascii="宋体" w:hAnsi="宋体" w:eastAsia="宋体" w:cs="宋体"/>
                <w:color w:val="auto"/>
                <w:sz w:val="21"/>
                <w:szCs w:val="21"/>
                <w:highlight w:val="none"/>
              </w:rPr>
            </w:pPr>
          </w:p>
        </w:tc>
      </w:tr>
      <w:tr w14:paraId="0D51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70A436B">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39427DD">
            <w:pPr>
              <w:rPr>
                <w:rFonts w:hint="eastAsia" w:ascii="宋体" w:hAnsi="宋体" w:eastAsia="宋体" w:cs="宋体"/>
                <w:color w:val="auto"/>
                <w:sz w:val="21"/>
                <w:szCs w:val="21"/>
                <w:highlight w:val="none"/>
                <w:lang w:val="zh-CN"/>
              </w:rPr>
            </w:pPr>
          </w:p>
        </w:tc>
        <w:tc>
          <w:tcPr>
            <w:tcW w:w="3118" w:type="dxa"/>
            <w:noWrap w:val="0"/>
            <w:vAlign w:val="center"/>
          </w:tcPr>
          <w:p w14:paraId="79C6FCC4">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4984" w:type="dxa"/>
            <w:vMerge w:val="continue"/>
            <w:noWrap w:val="0"/>
            <w:vAlign w:val="center"/>
          </w:tcPr>
          <w:p w14:paraId="33C002C8">
            <w:pPr>
              <w:rPr>
                <w:rFonts w:hint="eastAsia" w:ascii="宋体" w:hAnsi="宋体" w:eastAsia="宋体" w:cs="宋体"/>
                <w:color w:val="auto"/>
                <w:sz w:val="21"/>
                <w:szCs w:val="21"/>
                <w:highlight w:val="none"/>
              </w:rPr>
            </w:pPr>
          </w:p>
        </w:tc>
      </w:tr>
      <w:tr w14:paraId="466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5377E90">
            <w:pPr>
              <w:jc w:val="center"/>
              <w:rPr>
                <w:rFonts w:hint="eastAsia" w:ascii="宋体" w:hAnsi="宋体" w:eastAsia="宋体" w:cs="宋体"/>
                <w:color w:val="auto"/>
                <w:sz w:val="21"/>
                <w:szCs w:val="21"/>
                <w:highlight w:val="none"/>
              </w:rPr>
            </w:pPr>
          </w:p>
        </w:tc>
        <w:tc>
          <w:tcPr>
            <w:tcW w:w="709" w:type="dxa"/>
            <w:vMerge w:val="continue"/>
            <w:noWrap w:val="0"/>
            <w:vAlign w:val="center"/>
          </w:tcPr>
          <w:p w14:paraId="5BD05FAB">
            <w:pPr>
              <w:rPr>
                <w:rFonts w:hint="eastAsia" w:ascii="宋体" w:hAnsi="宋体" w:eastAsia="宋体" w:cs="宋体"/>
                <w:color w:val="auto"/>
                <w:sz w:val="21"/>
                <w:szCs w:val="21"/>
                <w:highlight w:val="none"/>
                <w:lang w:val="zh-CN"/>
              </w:rPr>
            </w:pPr>
          </w:p>
        </w:tc>
        <w:tc>
          <w:tcPr>
            <w:tcW w:w="3118" w:type="dxa"/>
            <w:noWrap w:val="0"/>
            <w:vAlign w:val="center"/>
          </w:tcPr>
          <w:p w14:paraId="4D3E2CA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4984" w:type="dxa"/>
            <w:vMerge w:val="continue"/>
            <w:noWrap w:val="0"/>
            <w:vAlign w:val="center"/>
          </w:tcPr>
          <w:p w14:paraId="23B6558A">
            <w:pPr>
              <w:rPr>
                <w:rFonts w:hint="eastAsia" w:ascii="宋体" w:hAnsi="宋体" w:eastAsia="宋体" w:cs="宋体"/>
                <w:b/>
                <w:color w:val="auto"/>
                <w:sz w:val="21"/>
                <w:szCs w:val="21"/>
                <w:highlight w:val="none"/>
              </w:rPr>
            </w:pPr>
          </w:p>
        </w:tc>
      </w:tr>
      <w:tr w14:paraId="350B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07715BB">
            <w:pPr>
              <w:jc w:val="center"/>
              <w:rPr>
                <w:rFonts w:hint="eastAsia" w:ascii="宋体" w:hAnsi="宋体" w:eastAsia="宋体" w:cs="宋体"/>
                <w:color w:val="auto"/>
                <w:sz w:val="21"/>
                <w:szCs w:val="21"/>
                <w:highlight w:val="none"/>
              </w:rPr>
            </w:pPr>
          </w:p>
        </w:tc>
        <w:tc>
          <w:tcPr>
            <w:tcW w:w="709" w:type="dxa"/>
            <w:vMerge w:val="continue"/>
            <w:noWrap w:val="0"/>
            <w:vAlign w:val="center"/>
          </w:tcPr>
          <w:p w14:paraId="4E7BC1CC">
            <w:pPr>
              <w:rPr>
                <w:rFonts w:hint="eastAsia" w:ascii="宋体" w:hAnsi="宋体" w:eastAsia="宋体" w:cs="宋体"/>
                <w:color w:val="auto"/>
                <w:sz w:val="21"/>
                <w:szCs w:val="21"/>
                <w:highlight w:val="none"/>
              </w:rPr>
            </w:pPr>
          </w:p>
        </w:tc>
        <w:tc>
          <w:tcPr>
            <w:tcW w:w="3118" w:type="dxa"/>
            <w:noWrap w:val="0"/>
            <w:vAlign w:val="center"/>
          </w:tcPr>
          <w:p w14:paraId="79AC5F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4984" w:type="dxa"/>
            <w:noWrap w:val="0"/>
            <w:vAlign w:val="center"/>
          </w:tcPr>
          <w:p w14:paraId="1B6706FD">
            <w:pPr>
              <w:rPr>
                <w:rFonts w:hint="eastAsia" w:ascii="宋体" w:hAnsi="宋体" w:eastAsia="宋体" w:cs="宋体"/>
                <w:color w:val="auto"/>
                <w:sz w:val="21"/>
                <w:szCs w:val="21"/>
                <w:highlight w:val="none"/>
              </w:rPr>
            </w:pPr>
          </w:p>
        </w:tc>
      </w:tr>
      <w:tr w14:paraId="35D8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E4F5E6A">
            <w:pPr>
              <w:jc w:val="center"/>
              <w:rPr>
                <w:rFonts w:hint="eastAsia" w:ascii="宋体" w:hAnsi="宋体" w:eastAsia="宋体" w:cs="宋体"/>
                <w:color w:val="auto"/>
                <w:sz w:val="21"/>
                <w:szCs w:val="21"/>
                <w:highlight w:val="none"/>
              </w:rPr>
            </w:pPr>
          </w:p>
        </w:tc>
        <w:tc>
          <w:tcPr>
            <w:tcW w:w="709" w:type="dxa"/>
            <w:vMerge w:val="continue"/>
            <w:noWrap w:val="0"/>
            <w:vAlign w:val="center"/>
          </w:tcPr>
          <w:p w14:paraId="0146EB77">
            <w:pPr>
              <w:rPr>
                <w:rFonts w:hint="eastAsia" w:ascii="宋体" w:hAnsi="宋体" w:eastAsia="宋体" w:cs="宋体"/>
                <w:color w:val="auto"/>
                <w:sz w:val="21"/>
                <w:szCs w:val="21"/>
                <w:highlight w:val="none"/>
              </w:rPr>
            </w:pPr>
          </w:p>
        </w:tc>
        <w:tc>
          <w:tcPr>
            <w:tcW w:w="3118" w:type="dxa"/>
            <w:noWrap w:val="0"/>
            <w:vAlign w:val="center"/>
          </w:tcPr>
          <w:p w14:paraId="369E27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7.本项目的特定资格要求</w:t>
            </w:r>
          </w:p>
        </w:tc>
        <w:tc>
          <w:tcPr>
            <w:tcW w:w="4984" w:type="dxa"/>
            <w:noWrap w:val="0"/>
            <w:vAlign w:val="center"/>
          </w:tcPr>
          <w:p w14:paraId="259DE8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按“第一篇三、供应商资格要求（</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）本项目的特定资格要求”的要求提交（如果有）。</w:t>
            </w:r>
          </w:p>
        </w:tc>
      </w:tr>
    </w:tbl>
    <w:p w14:paraId="1BFA0477">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199D696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3"/>
          <w:sz w:val="16"/>
          <w:szCs w:val="24"/>
          <w:highlight w:val="none"/>
        </w:rPr>
        <w:instrText xml:space="preserve">1</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AA266E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2.符合性审查。依据询比文件的规定，从响应文件的有效性、完整性和对询比文件的响应程度进行审查，以确定是否对询比文件的实质性要求作出响应。符合性审查资料表如下：</w:t>
      </w:r>
    </w:p>
    <w:p w14:paraId="6792D099">
      <w:pPr>
        <w:pStyle w:val="4"/>
        <w:rPr>
          <w:rFonts w:hint="eastAsia" w:ascii="宋体" w:hAnsi="宋体" w:eastAsia="宋体" w:cs="宋体"/>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0E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8539005">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544" w:type="dxa"/>
            <w:gridSpan w:val="2"/>
            <w:noWrap w:val="0"/>
            <w:vAlign w:val="center"/>
          </w:tcPr>
          <w:p w14:paraId="0DF7CB9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5409" w:type="dxa"/>
            <w:noWrap w:val="0"/>
            <w:vAlign w:val="center"/>
          </w:tcPr>
          <w:p w14:paraId="17CBBF8F">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评审标准</w:t>
            </w:r>
          </w:p>
        </w:tc>
      </w:tr>
      <w:tr w14:paraId="354D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1BE1EA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60" w:type="dxa"/>
            <w:vMerge w:val="restart"/>
            <w:noWrap w:val="0"/>
            <w:vAlign w:val="center"/>
          </w:tcPr>
          <w:p w14:paraId="1234216A">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有效性审查</w:t>
            </w:r>
          </w:p>
        </w:tc>
        <w:tc>
          <w:tcPr>
            <w:tcW w:w="1984" w:type="dxa"/>
            <w:noWrap w:val="0"/>
            <w:vAlign w:val="center"/>
          </w:tcPr>
          <w:p w14:paraId="3EDDEA8C">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响应文件签署或盖章</w:t>
            </w:r>
          </w:p>
        </w:tc>
        <w:tc>
          <w:tcPr>
            <w:tcW w:w="5409" w:type="dxa"/>
            <w:noWrap w:val="0"/>
            <w:vAlign w:val="center"/>
          </w:tcPr>
          <w:p w14:paraId="1140D07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按询比文件“第七篇响应文件编制要求”要求签署或盖章。</w:t>
            </w:r>
          </w:p>
        </w:tc>
      </w:tr>
      <w:tr w14:paraId="759E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4BE6911">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7AB8C90A">
            <w:pPr>
              <w:rPr>
                <w:rFonts w:hint="eastAsia" w:ascii="宋体" w:hAnsi="宋体" w:eastAsia="宋体" w:cs="宋体"/>
                <w:color w:val="auto"/>
                <w:kern w:val="0"/>
                <w:sz w:val="21"/>
                <w:szCs w:val="21"/>
                <w:highlight w:val="none"/>
              </w:rPr>
            </w:pPr>
          </w:p>
        </w:tc>
        <w:tc>
          <w:tcPr>
            <w:tcW w:w="1984" w:type="dxa"/>
            <w:noWrap w:val="0"/>
            <w:vAlign w:val="center"/>
          </w:tcPr>
          <w:p w14:paraId="7A8C169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w:t>
            </w:r>
          </w:p>
        </w:tc>
        <w:tc>
          <w:tcPr>
            <w:tcW w:w="5409" w:type="dxa"/>
            <w:noWrap w:val="0"/>
            <w:vAlign w:val="center"/>
          </w:tcPr>
          <w:p w14:paraId="12E0FE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法定代表人身份证明及授权委托书有效，符合询比文件规定的格式，签署或盖章齐全。</w:t>
            </w:r>
          </w:p>
        </w:tc>
      </w:tr>
      <w:tr w14:paraId="6B6E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CE65C18">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4AE4ACCC">
            <w:pPr>
              <w:rPr>
                <w:rFonts w:hint="eastAsia" w:ascii="宋体" w:hAnsi="宋体" w:eastAsia="宋体" w:cs="宋体"/>
                <w:color w:val="auto"/>
                <w:kern w:val="0"/>
                <w:sz w:val="21"/>
                <w:szCs w:val="21"/>
                <w:highlight w:val="none"/>
              </w:rPr>
            </w:pPr>
          </w:p>
        </w:tc>
        <w:tc>
          <w:tcPr>
            <w:tcW w:w="1984" w:type="dxa"/>
            <w:noWrap w:val="0"/>
            <w:vAlign w:val="center"/>
          </w:tcPr>
          <w:p w14:paraId="303EB41D">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c>
          <w:tcPr>
            <w:tcW w:w="5409" w:type="dxa"/>
            <w:noWrap w:val="0"/>
            <w:vAlign w:val="center"/>
          </w:tcPr>
          <w:p w14:paraId="677A8D94">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每个包只能有一个</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方案。</w:t>
            </w:r>
          </w:p>
        </w:tc>
      </w:tr>
      <w:tr w14:paraId="1CF0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5D130A6">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113E6FEC">
            <w:pPr>
              <w:rPr>
                <w:rFonts w:hint="eastAsia" w:ascii="宋体" w:hAnsi="宋体" w:eastAsia="宋体" w:cs="宋体"/>
                <w:color w:val="auto"/>
                <w:kern w:val="0"/>
                <w:sz w:val="21"/>
                <w:szCs w:val="21"/>
                <w:highlight w:val="none"/>
              </w:rPr>
            </w:pPr>
          </w:p>
        </w:tc>
        <w:tc>
          <w:tcPr>
            <w:tcW w:w="1984" w:type="dxa"/>
            <w:noWrap w:val="0"/>
            <w:vAlign w:val="center"/>
          </w:tcPr>
          <w:p w14:paraId="2E528006">
            <w:pP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报价唯一</w:t>
            </w:r>
          </w:p>
        </w:tc>
        <w:tc>
          <w:tcPr>
            <w:tcW w:w="5409" w:type="dxa"/>
            <w:noWrap w:val="0"/>
            <w:vAlign w:val="center"/>
          </w:tcPr>
          <w:p w14:paraId="49F7B558">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只能有一个有效报价，不得提交选择性报价。</w:t>
            </w:r>
          </w:p>
        </w:tc>
      </w:tr>
      <w:tr w14:paraId="4D32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14:paraId="74626518">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560" w:type="dxa"/>
            <w:noWrap w:val="0"/>
            <w:vAlign w:val="center"/>
          </w:tcPr>
          <w:p w14:paraId="2B7F7410">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完整性审查</w:t>
            </w:r>
          </w:p>
        </w:tc>
        <w:tc>
          <w:tcPr>
            <w:tcW w:w="1984" w:type="dxa"/>
            <w:noWrap w:val="0"/>
            <w:vAlign w:val="center"/>
          </w:tcPr>
          <w:p w14:paraId="5276C89D">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文件份数</w:t>
            </w:r>
          </w:p>
        </w:tc>
        <w:tc>
          <w:tcPr>
            <w:tcW w:w="5409" w:type="dxa"/>
            <w:noWrap w:val="0"/>
            <w:vAlign w:val="center"/>
          </w:tcPr>
          <w:p w14:paraId="4DF1CAF0">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zh-CN"/>
              </w:rPr>
              <w:t>文件一份符合</w:t>
            </w:r>
            <w:r>
              <w:rPr>
                <w:rFonts w:hint="eastAsia" w:ascii="宋体" w:hAnsi="宋体" w:eastAsia="宋体" w:cs="宋体"/>
                <w:color w:val="auto"/>
                <w:sz w:val="21"/>
                <w:szCs w:val="21"/>
                <w:highlight w:val="none"/>
              </w:rPr>
              <w:t>询比</w:t>
            </w:r>
            <w:r>
              <w:rPr>
                <w:rFonts w:hint="eastAsia" w:ascii="宋体" w:hAnsi="宋体" w:eastAsia="宋体" w:cs="宋体"/>
                <w:color w:val="auto"/>
                <w:sz w:val="21"/>
                <w:szCs w:val="21"/>
                <w:highlight w:val="none"/>
                <w:lang w:val="zh-CN"/>
              </w:rPr>
              <w:t>文件要求。</w:t>
            </w:r>
          </w:p>
        </w:tc>
      </w:tr>
      <w:tr w14:paraId="0119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686138C">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560" w:type="dxa"/>
            <w:vMerge w:val="restart"/>
            <w:noWrap w:val="0"/>
            <w:vAlign w:val="center"/>
          </w:tcPr>
          <w:p w14:paraId="721F4BBC">
            <w:pP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响应程度审查</w:t>
            </w:r>
          </w:p>
        </w:tc>
        <w:tc>
          <w:tcPr>
            <w:tcW w:w="1984" w:type="dxa"/>
            <w:noWrap w:val="0"/>
            <w:vAlign w:val="center"/>
          </w:tcPr>
          <w:p w14:paraId="1D060DE5">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w:t>
            </w:r>
          </w:p>
        </w:tc>
        <w:tc>
          <w:tcPr>
            <w:tcW w:w="5409" w:type="dxa"/>
            <w:noWrap w:val="0"/>
            <w:vAlign w:val="center"/>
          </w:tcPr>
          <w:p w14:paraId="676DCC1E">
            <w:pPr>
              <w:pStyle w:val="7"/>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询比文件第二篇、第三篇的内容进行实质性响应。</w:t>
            </w:r>
          </w:p>
        </w:tc>
      </w:tr>
      <w:tr w14:paraId="0612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14:paraId="387780EE">
            <w:pPr>
              <w:jc w:val="center"/>
              <w:rPr>
                <w:rFonts w:hint="eastAsia" w:ascii="宋体" w:hAnsi="宋体" w:eastAsia="宋体" w:cs="宋体"/>
                <w:color w:val="auto"/>
                <w:kern w:val="0"/>
                <w:sz w:val="21"/>
                <w:szCs w:val="21"/>
                <w:highlight w:val="none"/>
              </w:rPr>
            </w:pPr>
          </w:p>
        </w:tc>
        <w:tc>
          <w:tcPr>
            <w:tcW w:w="1560" w:type="dxa"/>
            <w:vMerge w:val="continue"/>
            <w:noWrap w:val="0"/>
            <w:vAlign w:val="center"/>
          </w:tcPr>
          <w:p w14:paraId="7DF25DBB">
            <w:pPr>
              <w:rPr>
                <w:rFonts w:hint="eastAsia" w:ascii="宋体" w:hAnsi="宋体" w:eastAsia="宋体" w:cs="宋体"/>
                <w:color w:val="auto"/>
                <w:sz w:val="21"/>
                <w:szCs w:val="21"/>
                <w:highlight w:val="none"/>
                <w:lang w:val="zh-CN"/>
              </w:rPr>
            </w:pPr>
          </w:p>
        </w:tc>
        <w:tc>
          <w:tcPr>
            <w:tcW w:w="1984" w:type="dxa"/>
            <w:noWrap w:val="0"/>
            <w:vAlign w:val="center"/>
          </w:tcPr>
          <w:p w14:paraId="639B6ED1">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询比有效期</w:t>
            </w:r>
          </w:p>
        </w:tc>
        <w:tc>
          <w:tcPr>
            <w:tcW w:w="5409" w:type="dxa"/>
            <w:noWrap w:val="0"/>
            <w:vAlign w:val="center"/>
          </w:tcPr>
          <w:p w14:paraId="711B47D8">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响应文件及有关承诺文件有效期为提交响应文件截止时间起90天。</w:t>
            </w:r>
          </w:p>
        </w:tc>
      </w:tr>
    </w:tbl>
    <w:p w14:paraId="6E4C54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询比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2C02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比小组要求供应商澄清、说明或者更正响应文件应当以书面形式（包括但不限于传真、电子邮件）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F34FB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（四）在询比过程中询比的任何一方不得向他人透露与询比有关的服务资料、价格或其他信息。</w:t>
      </w:r>
    </w:p>
    <w:p w14:paraId="1B911E3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询比过程中，询比小组可以根据询比文件和询比情况实质性变动采购需求中的服务、商务要求以及合同草案条款，但不得变动询比文件中的其他内容。实质性变动的内容，须经采购人代表确认。对询比文件作出的实质性变动是询比文件的有效组成部分，询比小组应当及时以书面形式同时通知所有参加询比的供应商。</w:t>
      </w:r>
    </w:p>
    <w:p w14:paraId="0A6C09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（六）供应商在询比时作出的所有书面承诺须由法定代表人（或其授权代表）或自然人（供应商为自然人）签署。</w:t>
      </w:r>
    </w:p>
    <w:p w14:paraId="157308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（七）以供应商响应文件中的报价为准。</w:t>
      </w:r>
    </w:p>
    <w:p w14:paraId="0C5DA3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（八）询比小组采用综合评分法对提交报价的供应商的响应文件和报价进行综合评分。</w:t>
      </w:r>
      <w:r>
        <w:rPr>
          <w:rFonts w:hint="eastAsia" w:ascii="宋体" w:hAnsi="宋体" w:eastAsia="宋体" w:cs="宋体"/>
          <w:color w:val="auto"/>
          <w:kern w:val="0"/>
          <w:sz w:val="24"/>
          <w:szCs w:val="24"/>
          <w:highlight w:val="none"/>
        </w:rPr>
        <w:t>综合评分法，是指响应文件满足询比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eastAsia="宋体" w:cs="宋体"/>
          <w:color w:val="auto"/>
          <w:sz w:val="24"/>
          <w:szCs w:val="24"/>
          <w:highlight w:val="none"/>
        </w:rPr>
        <w:t>。</w:t>
      </w:r>
    </w:p>
    <w:p w14:paraId="454A1E4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（九）询比小组各成员独立对每个有效响应（通过资格性审查、</w:t>
      </w:r>
      <w:r>
        <w:rPr>
          <w:rFonts w:hint="eastAsia" w:ascii="宋体" w:hAnsi="宋体" w:eastAsia="宋体" w:cs="宋体"/>
          <w:color w:val="auto"/>
          <w:kern w:val="0"/>
          <w:sz w:val="24"/>
          <w:szCs w:val="24"/>
          <w:highlight w:val="none"/>
        </w:rPr>
        <w:t>符合性审查的供应商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报价相同的，</w:t>
      </w:r>
      <w:r>
        <w:rPr>
          <w:rFonts w:hint="eastAsia" w:ascii="宋体" w:hAnsi="宋体" w:eastAsia="宋体" w:cs="宋体"/>
          <w:color w:val="auto"/>
          <w:sz w:val="24"/>
          <w:szCs w:val="24"/>
          <w:highlight w:val="none"/>
          <w:lang w:val="en-US" w:eastAsia="zh-CN"/>
        </w:rPr>
        <w:t>优先选取</w:t>
      </w:r>
      <w:r>
        <w:rPr>
          <w:rFonts w:hint="eastAsia" w:ascii="宋体" w:hAnsi="宋体" w:eastAsia="宋体" w:cs="宋体"/>
          <w:color w:val="auto"/>
          <w:sz w:val="24"/>
          <w:szCs w:val="24"/>
          <w:highlight w:val="none"/>
        </w:rPr>
        <w:t>注册地址</w:t>
      </w:r>
      <w:r>
        <w:rPr>
          <w:rFonts w:hint="eastAsia" w:ascii="宋体" w:hAnsi="宋体" w:cs="宋体"/>
          <w:color w:val="auto"/>
          <w:sz w:val="24"/>
          <w:szCs w:val="24"/>
          <w:highlight w:val="none"/>
          <w:lang w:val="en-US" w:eastAsia="zh-CN"/>
        </w:rPr>
        <w:t>和纳税均在</w:t>
      </w:r>
      <w:r>
        <w:rPr>
          <w:rFonts w:hint="eastAsia" w:ascii="宋体" w:hAnsi="宋体" w:eastAsia="宋体" w:cs="宋体"/>
          <w:color w:val="auto"/>
          <w:sz w:val="24"/>
          <w:szCs w:val="24"/>
          <w:highlight w:val="none"/>
        </w:rPr>
        <w:t>重庆市沙坪坝区的企业</w:t>
      </w:r>
      <w:r>
        <w:rPr>
          <w:rFonts w:hint="eastAsia" w:ascii="宋体" w:hAnsi="宋体" w:eastAsia="宋体" w:cs="宋体"/>
          <w:color w:val="auto"/>
          <w:sz w:val="24"/>
          <w:szCs w:val="24"/>
          <w:highlight w:val="none"/>
          <w:lang w:val="en-US" w:eastAsia="zh-CN"/>
        </w:rPr>
        <w:t>，以促进区域经济合作与发展。</w:t>
      </w:r>
    </w:p>
    <w:p w14:paraId="4670C0D3">
      <w:pPr>
        <w:pStyle w:val="3"/>
        <w:adjustRightInd w:val="0"/>
        <w:snapToGrid w:val="0"/>
        <w:spacing w:before="0" w:after="0" w:line="400" w:lineRule="exact"/>
        <w:ind w:firstLine="482" w:firstLineChars="200"/>
        <w:rPr>
          <w:rFonts w:hint="eastAsia" w:ascii="宋体" w:hAnsi="宋体" w:eastAsia="宋体" w:cs="宋体"/>
          <w:color w:val="auto"/>
          <w:sz w:val="24"/>
          <w:highlight w:val="none"/>
          <w:lang w:eastAsia="zh-CN"/>
        </w:rPr>
      </w:pPr>
      <w:bookmarkStart w:id="84" w:name="_Toc31894"/>
      <w:bookmarkStart w:id="85" w:name="_Toc76462334"/>
      <w:r>
        <w:rPr>
          <w:rFonts w:hint="eastAsia" w:ascii="宋体" w:hAnsi="宋体" w:eastAsia="宋体" w:cs="宋体"/>
          <w:color w:val="auto"/>
          <w:sz w:val="24"/>
          <w:highlight w:val="none"/>
        </w:rPr>
        <w:t>二、</w:t>
      </w:r>
      <w:bookmarkStart w:id="86" w:name="_Toc342913394"/>
      <w:bookmarkStart w:id="87" w:name="_Toc102227320"/>
      <w:r>
        <w:rPr>
          <w:rFonts w:hint="eastAsia" w:ascii="宋体" w:hAnsi="宋体" w:eastAsia="宋体" w:cs="宋体"/>
          <w:color w:val="auto"/>
          <w:sz w:val="24"/>
          <w:highlight w:val="none"/>
        </w:rPr>
        <w:t>评审标准</w:t>
      </w:r>
      <w:bookmarkEnd w:id="84"/>
      <w:bookmarkEnd w:id="85"/>
    </w:p>
    <w:tbl>
      <w:tblPr>
        <w:tblStyle w:val="16"/>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82"/>
        <w:gridCol w:w="864"/>
        <w:gridCol w:w="5339"/>
        <w:gridCol w:w="1783"/>
      </w:tblGrid>
      <w:tr w14:paraId="4551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40B11B81">
            <w:pPr>
              <w:spacing w:line="360" w:lineRule="auto"/>
              <w:ind w:firstLine="28" w:firstLineChars="0"/>
              <w:jc w:val="center"/>
              <w:rPr>
                <w:rFonts w:hint="eastAsia" w:ascii="宋体" w:hAnsi="宋体" w:eastAsia="宋体" w:cs="宋体"/>
                <w:b/>
                <w:bCs/>
                <w:color w:val="auto"/>
                <w:sz w:val="21"/>
                <w:szCs w:val="21"/>
                <w:highlight w:val="none"/>
              </w:rPr>
            </w:pPr>
            <w:bookmarkStart w:id="88" w:name="_Toc76462335"/>
            <w:r>
              <w:rPr>
                <w:rFonts w:hint="eastAsia" w:ascii="宋体" w:hAnsi="宋体" w:eastAsia="宋体" w:cs="宋体"/>
                <w:b/>
                <w:color w:val="auto"/>
                <w:sz w:val="24"/>
                <w:szCs w:val="24"/>
                <w:highlight w:val="none"/>
              </w:rPr>
              <w:t>序号</w:t>
            </w:r>
          </w:p>
        </w:tc>
        <w:tc>
          <w:tcPr>
            <w:tcW w:w="1282" w:type="dxa"/>
            <w:tcBorders>
              <w:top w:val="single" w:color="auto" w:sz="4" w:space="0"/>
              <w:left w:val="single" w:color="auto" w:sz="4" w:space="0"/>
              <w:bottom w:val="single" w:color="auto" w:sz="4" w:space="0"/>
              <w:right w:val="single" w:color="auto" w:sz="4" w:space="0"/>
            </w:tcBorders>
            <w:noWrap/>
            <w:vAlign w:val="center"/>
          </w:tcPr>
          <w:p w14:paraId="2B210D01">
            <w:pPr>
              <w:spacing w:line="360" w:lineRule="auto"/>
              <w:ind w:firstLine="28"/>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p w14:paraId="3CB01C78">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及权重</w:t>
            </w:r>
          </w:p>
        </w:tc>
        <w:tc>
          <w:tcPr>
            <w:tcW w:w="864" w:type="dxa"/>
            <w:tcBorders>
              <w:top w:val="single" w:color="auto" w:sz="4" w:space="0"/>
              <w:left w:val="single" w:color="auto" w:sz="4" w:space="0"/>
              <w:bottom w:val="single" w:color="auto" w:sz="4" w:space="0"/>
              <w:right w:val="single" w:color="auto" w:sz="4" w:space="0"/>
            </w:tcBorders>
            <w:noWrap/>
            <w:vAlign w:val="center"/>
          </w:tcPr>
          <w:p w14:paraId="4909E661">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分值</w:t>
            </w:r>
          </w:p>
        </w:tc>
        <w:tc>
          <w:tcPr>
            <w:tcW w:w="5339" w:type="dxa"/>
            <w:tcBorders>
              <w:top w:val="single" w:color="auto" w:sz="4" w:space="0"/>
              <w:left w:val="single" w:color="auto" w:sz="4" w:space="0"/>
              <w:bottom w:val="single" w:color="auto" w:sz="4" w:space="0"/>
              <w:right w:val="single" w:color="auto" w:sz="4" w:space="0"/>
            </w:tcBorders>
            <w:noWrap/>
            <w:vAlign w:val="center"/>
          </w:tcPr>
          <w:p w14:paraId="71A78C96">
            <w:pPr>
              <w:spacing w:line="360" w:lineRule="auto"/>
              <w:ind w:firstLine="28" w:firstLineChars="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4"/>
                <w:szCs w:val="24"/>
                <w:highlight w:val="none"/>
              </w:rPr>
              <w:t>评分标准</w:t>
            </w:r>
          </w:p>
        </w:tc>
        <w:tc>
          <w:tcPr>
            <w:tcW w:w="1783" w:type="dxa"/>
            <w:tcBorders>
              <w:top w:val="single" w:color="auto" w:sz="4" w:space="0"/>
              <w:left w:val="single" w:color="auto" w:sz="4" w:space="0"/>
              <w:bottom w:val="single" w:color="auto" w:sz="4" w:space="0"/>
              <w:right w:val="single" w:color="auto" w:sz="4" w:space="0"/>
            </w:tcBorders>
            <w:noWrap/>
            <w:vAlign w:val="center"/>
          </w:tcPr>
          <w:p w14:paraId="5005CDC4">
            <w:pPr>
              <w:pStyle w:val="20"/>
              <w:spacing w:before="0" w:after="0"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rPr>
              <w:t>说明</w:t>
            </w:r>
          </w:p>
        </w:tc>
      </w:tr>
      <w:tr w14:paraId="7EAD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18" w:type="dxa"/>
            <w:tcBorders>
              <w:top w:val="single" w:color="auto" w:sz="4" w:space="0"/>
              <w:left w:val="single" w:color="auto" w:sz="4" w:space="0"/>
              <w:bottom w:val="single" w:color="auto" w:sz="4" w:space="0"/>
              <w:right w:val="single" w:color="auto" w:sz="4" w:space="0"/>
            </w:tcBorders>
            <w:noWrap/>
            <w:vAlign w:val="center"/>
          </w:tcPr>
          <w:p w14:paraId="71E9FA3B">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1</w:t>
            </w:r>
          </w:p>
        </w:tc>
        <w:tc>
          <w:tcPr>
            <w:tcW w:w="1282" w:type="dxa"/>
            <w:tcBorders>
              <w:top w:val="single" w:color="auto" w:sz="4" w:space="0"/>
              <w:left w:val="single" w:color="auto" w:sz="4" w:space="0"/>
              <w:bottom w:val="single" w:color="auto" w:sz="4" w:space="0"/>
              <w:right w:val="single" w:color="auto" w:sz="4" w:space="0"/>
            </w:tcBorders>
            <w:noWrap/>
            <w:vAlign w:val="center"/>
          </w:tcPr>
          <w:p w14:paraId="07C53DAD">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p>
        </w:tc>
        <w:tc>
          <w:tcPr>
            <w:tcW w:w="864" w:type="dxa"/>
            <w:tcBorders>
              <w:top w:val="single" w:color="auto" w:sz="4" w:space="0"/>
              <w:left w:val="single" w:color="auto" w:sz="4" w:space="0"/>
              <w:bottom w:val="single" w:color="auto" w:sz="4" w:space="0"/>
              <w:right w:val="single" w:color="auto" w:sz="4" w:space="0"/>
            </w:tcBorders>
            <w:noWrap/>
            <w:vAlign w:val="center"/>
          </w:tcPr>
          <w:p w14:paraId="57EB3259">
            <w:pPr>
              <w:spacing w:line="360" w:lineRule="auto"/>
              <w:ind w:firstLine="28" w:firstLineChars="0"/>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214606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有效的报价中最低价为评审基准价，其价格分为满分。其他供应商的价格分统一按照下列公式计算：</w:t>
            </w:r>
          </w:p>
          <w:p w14:paraId="50A280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报价得分＝（评审基准价/</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报价）×价格权重×100。（按四舍五入法保留两位小数）</w:t>
            </w:r>
          </w:p>
        </w:tc>
        <w:tc>
          <w:tcPr>
            <w:tcW w:w="1783" w:type="dxa"/>
            <w:tcBorders>
              <w:top w:val="single" w:color="auto" w:sz="4" w:space="0"/>
              <w:left w:val="single" w:color="auto" w:sz="4" w:space="0"/>
              <w:bottom w:val="single" w:color="auto" w:sz="4" w:space="0"/>
              <w:right w:val="single" w:color="auto" w:sz="4" w:space="0"/>
            </w:tcBorders>
            <w:noWrap/>
            <w:vAlign w:val="center"/>
          </w:tcPr>
          <w:p w14:paraId="676EB08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超过采购预算的报价为无效响应</w:t>
            </w:r>
          </w:p>
        </w:tc>
      </w:tr>
      <w:tr w14:paraId="1D6F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8" w:type="dxa"/>
            <w:vMerge w:val="restart"/>
            <w:tcBorders>
              <w:top w:val="single" w:color="auto" w:sz="4" w:space="0"/>
              <w:left w:val="single" w:color="auto" w:sz="4" w:space="0"/>
              <w:right w:val="single" w:color="auto" w:sz="4" w:space="0"/>
            </w:tcBorders>
            <w:noWrap/>
            <w:vAlign w:val="center"/>
          </w:tcPr>
          <w:p w14:paraId="1F1D69F4">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w:t>
            </w:r>
          </w:p>
        </w:tc>
        <w:tc>
          <w:tcPr>
            <w:tcW w:w="1282" w:type="dxa"/>
            <w:vMerge w:val="restart"/>
            <w:tcBorders>
              <w:top w:val="single" w:color="auto" w:sz="4" w:space="0"/>
              <w:left w:val="single" w:color="auto" w:sz="4" w:space="0"/>
              <w:right w:val="single" w:color="auto" w:sz="4" w:space="0"/>
            </w:tcBorders>
            <w:noWrap/>
            <w:vAlign w:val="center"/>
          </w:tcPr>
          <w:p w14:paraId="3679657E">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864" w:type="dxa"/>
            <w:tcBorders>
              <w:top w:val="single" w:color="auto" w:sz="4" w:space="0"/>
              <w:left w:val="single" w:color="auto" w:sz="4" w:space="0"/>
              <w:right w:val="single" w:color="auto" w:sz="4" w:space="0"/>
            </w:tcBorders>
            <w:noWrap/>
            <w:vAlign w:val="center"/>
          </w:tcPr>
          <w:p w14:paraId="4D75795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339" w:type="dxa"/>
            <w:tcBorders>
              <w:top w:val="single" w:color="auto" w:sz="4" w:space="0"/>
              <w:left w:val="single" w:color="auto" w:sz="4" w:space="0"/>
              <w:right w:val="single" w:color="auto" w:sz="4" w:space="0"/>
            </w:tcBorders>
            <w:noWrap/>
            <w:vAlign w:val="center"/>
          </w:tcPr>
          <w:p w14:paraId="4CC8A4E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1、整体物业服务方案（10分）</w:t>
            </w:r>
          </w:p>
          <w:p w14:paraId="345C6EF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供应商提供针对本项目的整体服务方案，包含但不限于整体服务目标、服务内容及标准、整体服务体系等。</w:t>
            </w:r>
          </w:p>
          <w:p w14:paraId="7D8DCD12">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00FEE7E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2581362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36FEE6A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1B5FB0A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restart"/>
            <w:tcBorders>
              <w:top w:val="single" w:color="auto" w:sz="4" w:space="0"/>
              <w:left w:val="single" w:color="auto" w:sz="4" w:space="0"/>
              <w:right w:val="single" w:color="auto" w:sz="4" w:space="0"/>
            </w:tcBorders>
            <w:noWrap/>
            <w:vAlign w:val="center"/>
          </w:tcPr>
          <w:p w14:paraId="7DC5E9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供应商提供相关服务方案，</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小组各成员横向对比有效供应商的方案情况进行评比打分。（格式自拟）</w:t>
            </w:r>
          </w:p>
          <w:p w14:paraId="6C8EA3F0">
            <w:pPr>
              <w:spacing w:line="360" w:lineRule="auto"/>
              <w:rPr>
                <w:rFonts w:hint="eastAsia" w:ascii="宋体" w:hAnsi="宋体" w:eastAsia="宋体" w:cs="宋体"/>
                <w:color w:val="auto"/>
                <w:sz w:val="21"/>
                <w:szCs w:val="21"/>
                <w:highlight w:val="none"/>
              </w:rPr>
            </w:pPr>
          </w:p>
        </w:tc>
      </w:tr>
      <w:tr w14:paraId="13B3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18" w:type="dxa"/>
            <w:vMerge w:val="continue"/>
            <w:tcBorders>
              <w:left w:val="single" w:color="auto" w:sz="4" w:space="0"/>
              <w:right w:val="single" w:color="auto" w:sz="4" w:space="0"/>
            </w:tcBorders>
            <w:noWrap/>
            <w:vAlign w:val="center"/>
          </w:tcPr>
          <w:p w14:paraId="7EBBB733">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71E47F92">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5521F85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right w:val="single" w:color="auto" w:sz="4" w:space="0"/>
            </w:tcBorders>
            <w:noWrap/>
            <w:vAlign w:val="center"/>
          </w:tcPr>
          <w:p w14:paraId="2AE2BDA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2、安全卫生管理（10分）</w:t>
            </w:r>
          </w:p>
          <w:p w14:paraId="247C5DB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供应商提供针对本项目的安全卫生管理方案，包括但不限于</w:t>
            </w:r>
            <w:r>
              <w:rPr>
                <w:rFonts w:hint="eastAsia" w:ascii="宋体" w:hAnsi="宋体" w:cs="宋体"/>
                <w:color w:val="auto"/>
                <w:sz w:val="24"/>
                <w:szCs w:val="24"/>
                <w:highlight w:val="none"/>
                <w:lang w:val="en-US" w:eastAsia="zh-CN"/>
              </w:rPr>
              <w:t>医院</w:t>
            </w:r>
            <w:r>
              <w:rPr>
                <w:rFonts w:hint="eastAsia" w:ascii="宋体" w:hAnsi="宋体" w:eastAsia="宋体" w:cs="宋体"/>
                <w:color w:val="auto"/>
                <w:sz w:val="24"/>
                <w:szCs w:val="24"/>
                <w:highlight w:val="none"/>
                <w:lang w:val="en-US" w:eastAsia="zh-CN"/>
              </w:rPr>
              <w:t>全院的安全管理、卫生管理等。</w:t>
            </w:r>
          </w:p>
          <w:p w14:paraId="20456677">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7C95128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1224792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674D388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2B3AC0C7">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continue"/>
            <w:tcBorders>
              <w:top w:val="single" w:color="auto" w:sz="4" w:space="0"/>
              <w:left w:val="single" w:color="auto" w:sz="4" w:space="0"/>
              <w:right w:val="single" w:color="auto" w:sz="4" w:space="0"/>
            </w:tcBorders>
            <w:noWrap/>
            <w:vAlign w:val="center"/>
          </w:tcPr>
          <w:p w14:paraId="70D0B131">
            <w:pPr>
              <w:spacing w:line="360" w:lineRule="auto"/>
              <w:rPr>
                <w:rFonts w:hint="eastAsia" w:ascii="宋体" w:hAnsi="宋体" w:eastAsia="宋体" w:cs="宋体"/>
                <w:color w:val="auto"/>
                <w:sz w:val="21"/>
                <w:szCs w:val="21"/>
                <w:highlight w:val="none"/>
              </w:rPr>
            </w:pPr>
          </w:p>
        </w:tc>
      </w:tr>
      <w:tr w14:paraId="2BC1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8" w:type="dxa"/>
            <w:vMerge w:val="continue"/>
            <w:tcBorders>
              <w:left w:val="single" w:color="auto" w:sz="4" w:space="0"/>
              <w:right w:val="single" w:color="auto" w:sz="4" w:space="0"/>
            </w:tcBorders>
            <w:noWrap/>
            <w:vAlign w:val="center"/>
          </w:tcPr>
          <w:p w14:paraId="7DC903BB">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5AE0D0FF">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2F55226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3D44D0D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3、员工管理方案（10分）</w:t>
            </w:r>
          </w:p>
          <w:p w14:paraId="26BBE093">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供应商提供针对本项目的员工管理方案，包括但不限于员工岗位培训、员工日常健康管理等。</w:t>
            </w:r>
          </w:p>
          <w:p w14:paraId="5493F4EE">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3F7B513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1EEC6E2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79E6E44D">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6B36E25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vMerge w:val="continue"/>
            <w:tcBorders>
              <w:top w:val="single" w:color="auto" w:sz="4" w:space="0"/>
              <w:left w:val="single" w:color="auto" w:sz="4" w:space="0"/>
              <w:bottom w:val="single" w:color="auto" w:sz="4" w:space="0"/>
              <w:right w:val="single" w:color="auto" w:sz="4" w:space="0"/>
            </w:tcBorders>
            <w:noWrap/>
            <w:vAlign w:val="center"/>
          </w:tcPr>
          <w:p w14:paraId="38DED2AB">
            <w:pPr>
              <w:spacing w:line="360" w:lineRule="auto"/>
              <w:rPr>
                <w:rFonts w:hint="eastAsia" w:ascii="宋体" w:hAnsi="宋体" w:eastAsia="宋体" w:cs="宋体"/>
                <w:color w:val="auto"/>
                <w:sz w:val="21"/>
                <w:szCs w:val="21"/>
                <w:highlight w:val="none"/>
              </w:rPr>
            </w:pPr>
          </w:p>
        </w:tc>
      </w:tr>
      <w:tr w14:paraId="1280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8" w:type="dxa"/>
            <w:vMerge w:val="continue"/>
            <w:tcBorders>
              <w:left w:val="single" w:color="auto" w:sz="4" w:space="0"/>
              <w:right w:val="single" w:color="auto" w:sz="4" w:space="0"/>
            </w:tcBorders>
            <w:noWrap/>
            <w:vAlign w:val="center"/>
          </w:tcPr>
          <w:p w14:paraId="3C7E4EAD">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496EB817">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3088632E">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6499DB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应急处置方案（</w:t>
            </w:r>
            <w:r>
              <w:rPr>
                <w:rFonts w:hint="eastAsia" w:ascii="宋体" w:hAnsi="宋体" w:eastAsia="宋体" w:cs="宋体"/>
                <w:color w:val="auto"/>
                <w:sz w:val="24"/>
                <w:szCs w:val="24"/>
                <w:highlight w:val="none"/>
                <w:lang w:val="en-US" w:eastAsia="zh-CN"/>
              </w:rPr>
              <w:t>10分</w:t>
            </w:r>
            <w:r>
              <w:rPr>
                <w:rFonts w:hint="eastAsia" w:ascii="宋体" w:hAnsi="宋体" w:eastAsia="宋体" w:cs="宋体"/>
                <w:b/>
                <w:bCs/>
                <w:color w:val="auto"/>
                <w:sz w:val="24"/>
                <w:szCs w:val="24"/>
                <w:highlight w:val="none"/>
                <w:lang w:val="en-US" w:eastAsia="zh-CN"/>
              </w:rPr>
              <w:t>）</w:t>
            </w:r>
          </w:p>
          <w:p w14:paraId="740773DD">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供应商提供针对突发意外情况、重大接待任务、重大节假日等特殊情况制定应急处置方案。</w:t>
            </w:r>
          </w:p>
          <w:p w14:paraId="1F88049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方案全面详尽、科学合理，可行性强的，得10分；</w:t>
            </w:r>
          </w:p>
          <w:p w14:paraId="4613621F">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3403F90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2D88B81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7505374A">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4"/>
                <w:szCs w:val="24"/>
                <w:highlight w:val="none"/>
                <w:lang w:val="en-US" w:eastAsia="zh-CN"/>
              </w:rPr>
              <w:t>方案不合理或者未提供的不得分。</w:t>
            </w:r>
          </w:p>
        </w:tc>
        <w:tc>
          <w:tcPr>
            <w:tcW w:w="1783" w:type="dxa"/>
            <w:tcBorders>
              <w:top w:val="single" w:color="auto" w:sz="4" w:space="0"/>
              <w:left w:val="single" w:color="auto" w:sz="4" w:space="0"/>
              <w:bottom w:val="single" w:color="auto" w:sz="4" w:space="0"/>
              <w:right w:val="single" w:color="auto" w:sz="4" w:space="0"/>
            </w:tcBorders>
            <w:noWrap/>
            <w:vAlign w:val="center"/>
          </w:tcPr>
          <w:p w14:paraId="7DD968E3">
            <w:pPr>
              <w:spacing w:line="360" w:lineRule="auto"/>
              <w:rPr>
                <w:rFonts w:hint="eastAsia" w:ascii="宋体" w:hAnsi="宋体" w:eastAsia="宋体" w:cs="宋体"/>
                <w:color w:val="auto"/>
                <w:sz w:val="21"/>
                <w:szCs w:val="21"/>
                <w:highlight w:val="none"/>
              </w:rPr>
            </w:pPr>
          </w:p>
        </w:tc>
      </w:tr>
      <w:tr w14:paraId="1BDD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18" w:type="dxa"/>
            <w:vMerge w:val="continue"/>
            <w:tcBorders>
              <w:left w:val="single" w:color="auto" w:sz="4" w:space="0"/>
              <w:right w:val="single" w:color="auto" w:sz="4" w:space="0"/>
            </w:tcBorders>
            <w:noWrap/>
            <w:vAlign w:val="center"/>
          </w:tcPr>
          <w:p w14:paraId="139BF9EC">
            <w:pPr>
              <w:spacing w:line="360" w:lineRule="auto"/>
              <w:ind w:firstLine="28" w:firstLineChars="0"/>
              <w:jc w:val="center"/>
              <w:rPr>
                <w:rFonts w:hint="eastAsia" w:ascii="宋体" w:hAnsi="宋体" w:eastAsia="宋体" w:cs="宋体"/>
                <w:color w:val="auto"/>
                <w:sz w:val="21"/>
                <w:szCs w:val="21"/>
                <w:highlight w:val="none"/>
              </w:rPr>
            </w:pPr>
          </w:p>
        </w:tc>
        <w:tc>
          <w:tcPr>
            <w:tcW w:w="1282" w:type="dxa"/>
            <w:vMerge w:val="continue"/>
            <w:tcBorders>
              <w:left w:val="single" w:color="auto" w:sz="4" w:space="0"/>
              <w:right w:val="single" w:color="auto" w:sz="4" w:space="0"/>
            </w:tcBorders>
            <w:noWrap/>
            <w:vAlign w:val="center"/>
          </w:tcPr>
          <w:p w14:paraId="21A29319">
            <w:pPr>
              <w:spacing w:line="360" w:lineRule="auto"/>
              <w:ind w:firstLine="28" w:firstLineChars="0"/>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right w:val="single" w:color="auto" w:sz="4" w:space="0"/>
            </w:tcBorders>
            <w:noWrap/>
            <w:vAlign w:val="center"/>
          </w:tcPr>
          <w:p w14:paraId="4DE9B3C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6975AD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5、团队管理方案（10分）</w:t>
            </w:r>
          </w:p>
          <w:p w14:paraId="14CD5EC4">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有针对本项目的团队管理方案（包括但不限于组织机构设置与人员配置、人员管理方案等），根据方案描述科学合理，有针对性，内容全面评分，方案全面详尽、科学合理，可行性强的，得10分；</w:t>
            </w:r>
          </w:p>
          <w:p w14:paraId="1182A5D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方案基本全面、科学合理、可行性一般的，得5分；</w:t>
            </w:r>
          </w:p>
          <w:p w14:paraId="77CD5B58">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方案不够全面、科学合理、可行性不足的，得3分；</w:t>
            </w:r>
          </w:p>
          <w:p w14:paraId="0D99B98E">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方案内容缺失、科学合理、可行性较差的，得1分；</w:t>
            </w:r>
          </w:p>
          <w:p w14:paraId="2F41E2FC">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方案不合理或者未提供的不得分。</w:t>
            </w:r>
          </w:p>
        </w:tc>
        <w:tc>
          <w:tcPr>
            <w:tcW w:w="1783" w:type="dxa"/>
            <w:tcBorders>
              <w:top w:val="single" w:color="auto" w:sz="4" w:space="0"/>
              <w:left w:val="single" w:color="auto" w:sz="4" w:space="0"/>
              <w:bottom w:val="single" w:color="auto" w:sz="4" w:space="0"/>
              <w:right w:val="single" w:color="auto" w:sz="4" w:space="0"/>
            </w:tcBorders>
            <w:noWrap/>
            <w:vAlign w:val="center"/>
          </w:tcPr>
          <w:p w14:paraId="5F874DEB">
            <w:pPr>
              <w:spacing w:line="360" w:lineRule="auto"/>
              <w:rPr>
                <w:rFonts w:hint="eastAsia" w:ascii="宋体" w:hAnsi="宋体" w:eastAsia="宋体" w:cs="宋体"/>
                <w:color w:val="auto"/>
                <w:sz w:val="21"/>
                <w:szCs w:val="21"/>
                <w:highlight w:val="none"/>
              </w:rPr>
            </w:pPr>
          </w:p>
        </w:tc>
      </w:tr>
      <w:tr w14:paraId="1DB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8" w:type="dxa"/>
            <w:tcBorders>
              <w:top w:val="single" w:color="auto" w:sz="4" w:space="0"/>
              <w:left w:val="single" w:color="auto" w:sz="4" w:space="0"/>
              <w:right w:val="single" w:color="auto" w:sz="4" w:space="0"/>
            </w:tcBorders>
            <w:noWrap/>
            <w:vAlign w:val="center"/>
          </w:tcPr>
          <w:p w14:paraId="49F6BCDF">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3</w:t>
            </w:r>
          </w:p>
        </w:tc>
        <w:tc>
          <w:tcPr>
            <w:tcW w:w="1282" w:type="dxa"/>
            <w:tcBorders>
              <w:top w:val="single" w:color="auto" w:sz="4" w:space="0"/>
              <w:left w:val="single" w:color="auto" w:sz="4" w:space="0"/>
              <w:right w:val="single" w:color="auto" w:sz="4" w:space="0"/>
            </w:tcBorders>
            <w:noWrap/>
            <w:vAlign w:val="center"/>
          </w:tcPr>
          <w:p w14:paraId="6CDCCACD">
            <w:pPr>
              <w:spacing w:line="360" w:lineRule="auto"/>
              <w:ind w:firstLine="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78394F30">
            <w:pPr>
              <w:spacing w:line="360" w:lineRule="auto"/>
              <w:ind w:firstLine="28"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tc>
        <w:tc>
          <w:tcPr>
            <w:tcW w:w="864" w:type="dxa"/>
            <w:tcBorders>
              <w:top w:val="single" w:color="auto" w:sz="4" w:space="0"/>
              <w:left w:val="single" w:color="auto" w:sz="4" w:space="0"/>
              <w:right w:val="single" w:color="auto" w:sz="4" w:space="0"/>
            </w:tcBorders>
            <w:noWrap/>
            <w:vAlign w:val="center"/>
          </w:tcPr>
          <w:p w14:paraId="39ABFF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339" w:type="dxa"/>
            <w:tcBorders>
              <w:top w:val="single" w:color="auto" w:sz="4" w:space="0"/>
              <w:left w:val="single" w:color="auto" w:sz="4" w:space="0"/>
              <w:bottom w:val="single" w:color="auto" w:sz="4" w:space="0"/>
              <w:right w:val="single" w:color="auto" w:sz="4" w:space="0"/>
            </w:tcBorders>
            <w:noWrap/>
            <w:vAlign w:val="center"/>
          </w:tcPr>
          <w:p w14:paraId="717A9397">
            <w:pPr>
              <w:widowControl/>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服务业绩（</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p w14:paraId="0F85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年1月1日至今，供应商</w:t>
            </w:r>
            <w:r>
              <w:rPr>
                <w:rFonts w:hint="eastAsia" w:ascii="宋体" w:hAnsi="宋体" w:eastAsia="宋体" w:cs="宋体"/>
                <w:color w:val="auto"/>
                <w:sz w:val="24"/>
                <w:szCs w:val="24"/>
                <w:highlight w:val="none"/>
                <w:lang w:eastAsia="zh-CN"/>
              </w:rPr>
              <w:t>承担过类似清扫保洁</w:t>
            </w:r>
            <w:r>
              <w:rPr>
                <w:rFonts w:hint="eastAsia" w:ascii="宋体" w:hAnsi="宋体" w:eastAsia="宋体" w:cs="宋体"/>
                <w:color w:val="auto"/>
                <w:sz w:val="24"/>
                <w:szCs w:val="24"/>
                <w:highlight w:val="none"/>
              </w:rPr>
              <w:t>服务的，每提供一个业绩</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分。提供合同复印件并加盖供应商公章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未提供或不符合要求的不得分</w:t>
            </w:r>
            <w:r>
              <w:rPr>
                <w:rFonts w:hint="eastAsia" w:ascii="宋体" w:hAnsi="宋体" w:eastAsia="宋体" w:cs="宋体"/>
                <w:color w:val="auto"/>
                <w:sz w:val="24"/>
                <w:szCs w:val="24"/>
                <w:highlight w:val="none"/>
                <w:lang w:eastAsia="zh-CN"/>
              </w:rPr>
              <w:t>。</w:t>
            </w:r>
          </w:p>
        </w:tc>
        <w:tc>
          <w:tcPr>
            <w:tcW w:w="1783" w:type="dxa"/>
            <w:tcBorders>
              <w:top w:val="single" w:color="auto" w:sz="4" w:space="0"/>
              <w:left w:val="single" w:color="auto" w:sz="4" w:space="0"/>
              <w:bottom w:val="single" w:color="auto" w:sz="4" w:space="0"/>
              <w:right w:val="single" w:color="auto" w:sz="4" w:space="0"/>
            </w:tcBorders>
            <w:noWrap/>
            <w:vAlign w:val="center"/>
          </w:tcPr>
          <w:p w14:paraId="716D8B8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提供证明材料</w:t>
            </w:r>
            <w:r>
              <w:rPr>
                <w:rFonts w:hint="eastAsia" w:ascii="宋体" w:hAnsi="宋体" w:eastAsia="宋体" w:cs="宋体"/>
                <w:color w:val="auto"/>
                <w:sz w:val="24"/>
                <w:szCs w:val="24"/>
                <w:highlight w:val="none"/>
              </w:rPr>
              <w:t>并</w:t>
            </w:r>
            <w:r>
              <w:rPr>
                <w:rFonts w:hint="eastAsia" w:ascii="宋体" w:hAnsi="宋体" w:eastAsia="宋体" w:cs="宋体"/>
                <w:color w:val="auto"/>
                <w:sz w:val="24"/>
                <w:szCs w:val="24"/>
                <w:highlight w:val="none"/>
                <w:lang w:val="en-US" w:eastAsia="zh-CN"/>
              </w:rPr>
              <w:t>加盖供应商公章。</w:t>
            </w:r>
          </w:p>
        </w:tc>
      </w:tr>
    </w:tbl>
    <w:p w14:paraId="4847B918">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89" w:name="_Toc9390"/>
      <w:r>
        <w:rPr>
          <w:rFonts w:hint="eastAsia" w:ascii="宋体" w:hAnsi="宋体" w:eastAsia="宋体" w:cs="宋体"/>
          <w:color w:val="auto"/>
          <w:sz w:val="24"/>
          <w:highlight w:val="none"/>
        </w:rPr>
        <w:t>三、无效响应</w:t>
      </w:r>
      <w:bookmarkEnd w:id="88"/>
      <w:bookmarkEnd w:id="89"/>
    </w:p>
    <w:p w14:paraId="33C4D63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供应商发生以下条款情况之一者，视为无效响应：</w:t>
      </w:r>
    </w:p>
    <w:p w14:paraId="04A3C69E">
      <w:pPr>
        <w:numPr>
          <w:ilvl w:val="0"/>
          <w:numId w:val="0"/>
        </w:numPr>
        <w:snapToGrid w:val="0"/>
        <w:spacing w:line="360" w:lineRule="auto"/>
        <w:ind w:firstLine="465"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sz w:val="24"/>
          <w:szCs w:val="24"/>
          <w:highlight w:val="none"/>
        </w:rPr>
        <w:t>供应商不符合规定的资格条件的；</w:t>
      </w:r>
    </w:p>
    <w:p w14:paraId="12B0D610">
      <w:pPr>
        <w:pStyle w:val="8"/>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（二）供应商未通过实质性响应审查的；</w:t>
      </w:r>
    </w:p>
    <w:p w14:paraId="6A5A8E8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）供应商所提交的响应文件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按“第七篇响应文件编制要求”要求签署或盖章；</w:t>
      </w:r>
    </w:p>
    <w:p w14:paraId="1C2B054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）供应商的报价超过采购最高限价的；</w:t>
      </w:r>
    </w:p>
    <w:p w14:paraId="4483EF3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供应商不接受询</w:t>
      </w:r>
      <w:r>
        <w:rPr>
          <w:rFonts w:hint="eastAsia" w:ascii="宋体" w:hAnsi="宋体" w:eastAsia="宋体" w:cs="宋体"/>
          <w:color w:val="auto"/>
          <w:sz w:val="24"/>
          <w:szCs w:val="24"/>
          <w:highlight w:val="none"/>
          <w:lang w:val="en-US" w:eastAsia="zh-CN"/>
        </w:rPr>
        <w:t>比</w:t>
      </w:r>
      <w:r>
        <w:rPr>
          <w:rFonts w:hint="eastAsia" w:ascii="宋体" w:hAnsi="宋体" w:eastAsia="宋体" w:cs="宋体"/>
          <w:color w:val="auto"/>
          <w:sz w:val="24"/>
          <w:szCs w:val="24"/>
          <w:highlight w:val="none"/>
        </w:rPr>
        <w:t>小组修正后的价格的；</w:t>
      </w:r>
    </w:p>
    <w:p w14:paraId="68D18CF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）法定代表人为同一个人的两个及两个以上法人，母公司、全资子公司及其控股公司，在同一包采购中同时参与询比；</w:t>
      </w:r>
    </w:p>
    <w:p w14:paraId="0DAB74D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）单位负责人为同一人或者存在直接控股、管理关系的不同供应商，参加同一合同项下的政府采购活动的；</w:t>
      </w:r>
    </w:p>
    <w:p w14:paraId="74353D7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w:t>
      </w:r>
    </w:p>
    <w:p w14:paraId="291A31C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）供应商询比有效期不满足询比文件要求的；</w:t>
      </w:r>
    </w:p>
    <w:p w14:paraId="5DDA19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）供应商响应文件内容有与国家现行法律法规相违背的内容，或附有采购人无法接受的条件；</w:t>
      </w:r>
    </w:p>
    <w:p w14:paraId="22BB500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）法律、法规和询比文件规定的其他无效情形。</w:t>
      </w:r>
    </w:p>
    <w:p w14:paraId="016F173B">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0" w:name="_Toc28575"/>
      <w:bookmarkStart w:id="91" w:name="_Toc76462336"/>
      <w:r>
        <w:rPr>
          <w:rFonts w:hint="eastAsia" w:ascii="宋体" w:hAnsi="宋体" w:eastAsia="宋体" w:cs="宋体"/>
          <w:color w:val="auto"/>
          <w:sz w:val="24"/>
          <w:highlight w:val="none"/>
        </w:rPr>
        <w:t>四、</w:t>
      </w:r>
      <w:bookmarkEnd w:id="86"/>
      <w:bookmarkEnd w:id="87"/>
      <w:r>
        <w:rPr>
          <w:rFonts w:hint="eastAsia" w:ascii="宋体" w:hAnsi="宋体" w:eastAsia="宋体" w:cs="宋体"/>
          <w:color w:val="auto"/>
          <w:sz w:val="24"/>
          <w:highlight w:val="none"/>
        </w:rPr>
        <w:t>采购终止</w:t>
      </w:r>
      <w:bookmarkEnd w:id="90"/>
      <w:bookmarkEnd w:id="91"/>
    </w:p>
    <w:p w14:paraId="02B4E40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出现下列情形之一的，采购人或者采购代理机构应当终止询比采购活动，发布项目终止公告并说明原因，重新开展采购活动：</w:t>
      </w:r>
    </w:p>
    <w:p w14:paraId="0CD1220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（一）因情况变化，不再符合规定的询比采购方式适用情形的；</w:t>
      </w:r>
    </w:p>
    <w:p w14:paraId="77D49E8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B74FA88">
      <w:pPr>
        <w:snapToGrid w:val="0"/>
        <w:spacing w:line="360" w:lineRule="auto"/>
        <w:ind w:firstLine="46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（三）在采购过程中符合要求的供应商或者报价未超过采购预算的供应商不足3家的</w:t>
      </w:r>
      <w:r>
        <w:rPr>
          <w:rFonts w:hint="eastAsia" w:ascii="宋体" w:hAnsi="宋体" w:eastAsia="宋体" w:cs="宋体"/>
          <w:color w:val="auto"/>
          <w:sz w:val="24"/>
          <w:szCs w:val="24"/>
          <w:highlight w:val="none"/>
          <w:lang w:eastAsia="zh-CN"/>
        </w:rPr>
        <w:t>。</w:t>
      </w:r>
    </w:p>
    <w:p w14:paraId="0B05A54B">
      <w:pPr>
        <w:spacing w:line="400" w:lineRule="exact"/>
        <w:ind w:firstLine="480" w:firstLineChars="200"/>
        <w:rPr>
          <w:rFonts w:hint="eastAsia" w:ascii="宋体" w:hAnsi="宋体" w:eastAsia="宋体" w:cs="宋体"/>
          <w:color w:val="auto"/>
          <w:sz w:val="24"/>
          <w:szCs w:val="24"/>
          <w:highlight w:val="none"/>
        </w:rPr>
        <w:sectPr>
          <w:footerReference r:id="rId11" w:type="default"/>
          <w:pgSz w:w="11907" w:h="16840"/>
          <w:pgMar w:top="1440" w:right="1080" w:bottom="1440" w:left="1080" w:header="964" w:footer="992" w:gutter="0"/>
          <w:pgNumType w:fmt="numberInDash"/>
          <w:cols w:space="720" w:num="1"/>
          <w:docGrid w:linePitch="312" w:charSpace="0"/>
        </w:sectPr>
      </w:pPr>
    </w:p>
    <w:p w14:paraId="3A2CA7DA">
      <w:pPr>
        <w:pStyle w:val="3"/>
        <w:pageBreakBefore/>
        <w:spacing w:before="0" w:after="0" w:line="360" w:lineRule="auto"/>
        <w:jc w:val="center"/>
        <w:rPr>
          <w:rFonts w:hint="eastAsia" w:ascii="宋体" w:hAnsi="宋体" w:eastAsia="宋体" w:cs="宋体"/>
          <w:b w:val="0"/>
          <w:bCs/>
          <w:color w:val="auto"/>
          <w:sz w:val="36"/>
          <w:szCs w:val="30"/>
          <w:highlight w:val="none"/>
        </w:rPr>
      </w:pPr>
      <w:bookmarkStart w:id="92" w:name="_Toc102227313"/>
      <w:bookmarkStart w:id="93" w:name="_Toc14223"/>
      <w:bookmarkStart w:id="94" w:name="_Toc76462337"/>
      <w:r>
        <w:rPr>
          <w:rFonts w:hint="eastAsia" w:ascii="宋体" w:hAnsi="宋体" w:eastAsia="宋体" w:cs="宋体"/>
          <w:b w:val="0"/>
          <w:bCs/>
          <w:color w:val="auto"/>
          <w:sz w:val="36"/>
          <w:szCs w:val="30"/>
          <w:highlight w:val="none"/>
        </w:rPr>
        <w:t>第五篇  供应商须知</w:t>
      </w:r>
      <w:bookmarkEnd w:id="92"/>
      <w:bookmarkEnd w:id="93"/>
      <w:bookmarkEnd w:id="94"/>
    </w:p>
    <w:p w14:paraId="4EDD87B1">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5" w:name="_Toc20006"/>
      <w:bookmarkStart w:id="96" w:name="_Toc342913389"/>
      <w:bookmarkStart w:id="97" w:name="_Toc76462338"/>
      <w:r>
        <w:rPr>
          <w:rFonts w:hint="eastAsia" w:ascii="宋体" w:hAnsi="宋体" w:eastAsia="宋体" w:cs="宋体"/>
          <w:color w:val="auto"/>
          <w:sz w:val="24"/>
          <w:highlight w:val="none"/>
        </w:rPr>
        <w:t>一、询比费用</w:t>
      </w:r>
      <w:bookmarkEnd w:id="95"/>
      <w:bookmarkEnd w:id="96"/>
      <w:bookmarkEnd w:id="97"/>
    </w:p>
    <w:p w14:paraId="18D2D251">
      <w:pPr>
        <w:pStyle w:val="1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参与询比的供应商应承担其编制响应文件与递交响应文件所涉及的一切费用，不论询比结果如何，采购人和采购代理机构在任何情况下无义务也无责任承担这些费用。</w:t>
      </w:r>
    </w:p>
    <w:p w14:paraId="10BBC3C1">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98" w:name="_Toc76462339"/>
      <w:bookmarkStart w:id="99" w:name="_Toc342913391"/>
      <w:bookmarkStart w:id="100" w:name="_Toc17688"/>
      <w:r>
        <w:rPr>
          <w:rFonts w:hint="eastAsia" w:ascii="宋体" w:hAnsi="宋体" w:eastAsia="宋体" w:cs="宋体"/>
          <w:color w:val="auto"/>
          <w:sz w:val="24"/>
          <w:highlight w:val="none"/>
        </w:rPr>
        <w:t>二、询比文件</w:t>
      </w:r>
      <w:bookmarkEnd w:id="98"/>
      <w:bookmarkEnd w:id="99"/>
      <w:bookmarkEnd w:id="100"/>
    </w:p>
    <w:p w14:paraId="0D3DBF4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（一）询比文件由采购邀请书、项目服务需求、项目商务需求、询比程序及方法、评审标准、无效响应和采购终止、供应商须知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采购合同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9100F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（二）采购人（或采购代理机构）所作的一切有效的书面通知、修改及补充，都是询比文件不可分割的部分。</w:t>
      </w:r>
    </w:p>
    <w:p w14:paraId="262B306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（三）询比文件的解释</w:t>
      </w:r>
    </w:p>
    <w:p w14:paraId="19A92C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询比文件有疑问，必须以书面形式在提交，采购人（或采购代理机构）可视具体情况做出处理或答复。如供应商未提出疑问，视为完全理解并同意本询比文件。一经进入询比程序，即视为供应商已详细阅读全部文件资料，完全理解询比文件所有条款内容并同意放弃对这方面有不明白及误解的权利。</w:t>
      </w:r>
      <w:bookmarkStart w:id="101" w:name="_Toc318166429"/>
      <w:bookmarkStart w:id="102" w:name="_Toc318159780"/>
      <w:bookmarkStart w:id="103" w:name="_Toc318159160"/>
      <w:bookmarkStart w:id="104" w:name="_Toc318159349"/>
    </w:p>
    <w:p w14:paraId="2544ED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（四）本询比文件中，询比小组根据与供应商进行询比可能实质性变动的内容为询比文件第二、三、六篇全部内容。</w:t>
      </w:r>
    </w:p>
    <w:p w14:paraId="732DC2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（五）评审的依据为询比文件和响应文件（含有效的书面承诺）。询比小组判断响应文件对询比文件的响应，仅基于响应文件本身而不靠外部证据。</w:t>
      </w:r>
    </w:p>
    <w:bookmarkEnd w:id="101"/>
    <w:bookmarkEnd w:id="102"/>
    <w:bookmarkEnd w:id="103"/>
    <w:bookmarkEnd w:id="104"/>
    <w:p w14:paraId="0E5F7366">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05" w:name="_Toc342913392"/>
      <w:bookmarkStart w:id="106" w:name="_Toc179714297"/>
      <w:bookmarkStart w:id="107" w:name="_Toc76462340"/>
      <w:bookmarkStart w:id="108" w:name="_Toc102227318"/>
      <w:bookmarkStart w:id="109" w:name="_Toc24146"/>
      <w:r>
        <w:rPr>
          <w:rFonts w:hint="eastAsia" w:ascii="宋体" w:hAnsi="宋体" w:eastAsia="宋体" w:cs="宋体"/>
          <w:color w:val="auto"/>
          <w:sz w:val="24"/>
          <w:highlight w:val="none"/>
        </w:rPr>
        <w:t>三、询比要求</w:t>
      </w:r>
      <w:bookmarkEnd w:id="105"/>
      <w:bookmarkEnd w:id="106"/>
      <w:bookmarkEnd w:id="107"/>
      <w:bookmarkEnd w:id="108"/>
      <w:bookmarkEnd w:id="109"/>
    </w:p>
    <w:p w14:paraId="4CC3B8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76F253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1.供应商应当按照询比文件的要求编制响应文件，并对询比文件提出的要求和条件作出实质性响应，响应文件原则上采用软面订本，同时应编制完整的页码、目录。</w:t>
      </w:r>
    </w:p>
    <w:p w14:paraId="20C0B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C9D53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1DCA1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（二）询比有效期：响应文件及有关承诺文件有效期为提交响应文件截止时间起90天。</w:t>
      </w:r>
    </w:p>
    <w:p w14:paraId="11AB1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（三）修正错误</w:t>
      </w:r>
    </w:p>
    <w:p w14:paraId="461199A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1.若供应商所递交的响应文件或报价中的价格出现大写金额和小写金额不一致的错误，以大写金额修正为准。</w:t>
      </w:r>
    </w:p>
    <w:p w14:paraId="5CE72C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2.询比小组按上述修正错误的原则及方法修正供应商的报价，供应商同意并签字确认后，修正后的报价对供应商具有约束作用。如果供应商不接受修正后的价格，将失去成为成交供应商的资格。</w:t>
      </w:r>
    </w:p>
    <w:p w14:paraId="5CB837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5D618100">
      <w:pPr>
        <w:spacing w:line="360" w:lineRule="auto"/>
        <w:ind w:firstLine="480" w:firstLineChars="200"/>
        <w:rPr>
          <w:rFonts w:hint="eastAsia" w:ascii="宋体" w:hAnsi="宋体" w:eastAsia="宋体" w:cs="宋体"/>
          <w:color w:val="auto"/>
          <w:sz w:val="24"/>
          <w:szCs w:val="24"/>
          <w:highlight w:val="none"/>
        </w:rPr>
      </w:pPr>
      <w:bookmarkStart w:id="110" w:name="_Toc76462341"/>
      <w:r>
        <w:rPr>
          <w:rFonts w:hint="eastAsia" w:ascii="宋体" w:hAnsi="宋体" w:eastAsia="宋体" w:cs="宋体"/>
          <w:color w:val="auto"/>
          <w:sz w:val="24"/>
          <w:szCs w:val="24"/>
          <w:highlight w:val="none"/>
        </w:rPr>
        <w:t>1.响应文件一式三份，其中正本一份，副本二份；副本可为正本的复印件，应与正本一致，如出现不一致情况以正本为准。</w:t>
      </w:r>
    </w:p>
    <w:p w14:paraId="5C8778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2.在响应文件正本中，询</w:t>
      </w:r>
      <w:r>
        <w:rPr>
          <w:rFonts w:hint="eastAsia" w:ascii="宋体" w:hAnsi="宋体" w:eastAsia="宋体" w:cs="宋体"/>
          <w:color w:val="auto"/>
          <w:sz w:val="24"/>
          <w:szCs w:val="24"/>
          <w:highlight w:val="none"/>
          <w:lang w:val="en-US" w:eastAsia="zh-CN"/>
        </w:rPr>
        <w:t>比采购文件</w:t>
      </w:r>
      <w:r>
        <w:rPr>
          <w:rFonts w:hint="eastAsia" w:ascii="宋体" w:hAnsi="宋体" w:eastAsia="宋体" w:cs="宋体"/>
          <w:color w:val="auto"/>
          <w:sz w:val="24"/>
          <w:szCs w:val="24"/>
          <w:highlight w:val="none"/>
        </w:rPr>
        <w:t>第七篇响应文件格式中规定签署、盖章的地方必须按其规定签署、盖章。</w:t>
      </w:r>
    </w:p>
    <w:p w14:paraId="52E943F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14:paraId="55C85F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14:paraId="088082D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1" w:name="_Toc19944"/>
      <w:r>
        <w:rPr>
          <w:rFonts w:hint="eastAsia" w:ascii="宋体" w:hAnsi="宋体" w:eastAsia="宋体" w:cs="宋体"/>
          <w:color w:val="auto"/>
          <w:sz w:val="24"/>
          <w:highlight w:val="none"/>
        </w:rPr>
        <w:t>四、成交供应商的确认和变更</w:t>
      </w:r>
      <w:bookmarkEnd w:id="110"/>
      <w:bookmarkEnd w:id="111"/>
    </w:p>
    <w:p w14:paraId="228F440E">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4EC6641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从评审报告提出的成交候选供应商中，按照排序由高到低的原则确定成交供应商。</w:t>
      </w:r>
    </w:p>
    <w:p w14:paraId="58D3426A">
      <w:pPr>
        <w:snapToGrid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44C5D5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成交供应商拒绝与采购人签订合同的，采购人可以按照评标报告推荐的成交候选供应商顺序，确定排名下一位的候选人为成交供应商，也可以重新开展政府采购活动。</w:t>
      </w:r>
      <w:r>
        <w:rPr>
          <w:rFonts w:hint="eastAsia" w:ascii="宋体" w:hAnsi="宋体" w:eastAsia="宋体" w:cs="宋体"/>
          <w:color w:val="auto"/>
          <w:sz w:val="24"/>
          <w:szCs w:val="24"/>
          <w:highlight w:val="none"/>
        </w:rPr>
        <w:t>拒绝签订采购合同的成交供应商不得参加对该项目重新开展的采购活动。</w:t>
      </w:r>
    </w:p>
    <w:p w14:paraId="6C429552">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2" w:name="_Toc76462342"/>
      <w:bookmarkStart w:id="113" w:name="_Toc342913395"/>
      <w:bookmarkStart w:id="114" w:name="_Toc27911"/>
      <w:bookmarkStart w:id="115" w:name="_Toc102227321"/>
      <w:r>
        <w:rPr>
          <w:rFonts w:hint="eastAsia" w:ascii="宋体" w:hAnsi="宋体" w:eastAsia="宋体" w:cs="宋体"/>
          <w:color w:val="auto"/>
          <w:sz w:val="24"/>
          <w:highlight w:val="none"/>
        </w:rPr>
        <w:t>五、成交通知</w:t>
      </w:r>
      <w:bookmarkEnd w:id="112"/>
      <w:bookmarkEnd w:id="113"/>
      <w:bookmarkEnd w:id="114"/>
      <w:bookmarkEnd w:id="115"/>
    </w:p>
    <w:p w14:paraId="115803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将在“行采家”网上发布成交结果公告。</w:t>
      </w:r>
    </w:p>
    <w:p w14:paraId="7A9B5B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（二）结果公告发布后，采购机构将以书面形式发出《成交通知书》。《成交通知书》一经发出即发生法律效力。</w:t>
      </w:r>
    </w:p>
    <w:p w14:paraId="633024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9BFC252">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6" w:name="_Toc76462343"/>
      <w:bookmarkStart w:id="117" w:name="_Toc9968"/>
      <w:r>
        <w:rPr>
          <w:rFonts w:hint="eastAsia" w:ascii="宋体" w:hAnsi="宋体" w:eastAsia="宋体" w:cs="宋体"/>
          <w:color w:val="auto"/>
          <w:sz w:val="24"/>
          <w:highlight w:val="none"/>
        </w:rPr>
        <w:t>六、关于质疑和投诉</w:t>
      </w:r>
      <w:bookmarkEnd w:id="116"/>
      <w:bookmarkEnd w:id="117"/>
    </w:p>
    <w:p w14:paraId="4FDF6B6D">
      <w:pPr>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563F19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58EB85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45DA071B">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5FD7504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供应商认为采购文件、采购过程、成交结果使自己的权益受到损害的，可以在知道或者应知其权益受到损害之日起7个工作日内，以书面形式向采购人、采购代理机构提出质疑。</w:t>
      </w:r>
    </w:p>
    <w:p w14:paraId="460330C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1.2供应商提出质疑应当提交质疑函和必要的证明材料，质疑函应当包括下列内容：</w:t>
      </w:r>
    </w:p>
    <w:p w14:paraId="02D26B5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1.2.1供应商的姓名或者名称、地址、邮编、联系人及联系电话；</w:t>
      </w:r>
    </w:p>
    <w:p w14:paraId="1B3491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1.2.2质疑项目的名称、项目号以及采购执行编号；</w:t>
      </w:r>
    </w:p>
    <w:p w14:paraId="08DF069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1.2.3具体、明确的质疑事项和与质疑事项相关的请求；</w:t>
      </w:r>
    </w:p>
    <w:p w14:paraId="3347687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1.2.4事实依据；</w:t>
      </w:r>
    </w:p>
    <w:p w14:paraId="741A43A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1.2.5必要的法律依据；</w:t>
      </w:r>
    </w:p>
    <w:p w14:paraId="4F029ED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1.2.6提出质疑的日期；</w:t>
      </w:r>
    </w:p>
    <w:p w14:paraId="205D5C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1.2.7营业执照（或事业单位法人证书，或个体工商户营业执照或有效的自然人身份证明）复印件；</w:t>
      </w:r>
    </w:p>
    <w:p w14:paraId="00164A3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1.2.8法定代表人授权委托书原件、法定代表人身份证复印件和其授权代表的身份证复印件（供应商为自然人的提供自然人身份证复印件）；</w:t>
      </w:r>
    </w:p>
    <w:p w14:paraId="09233C3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1.3供应商为自然人的，质疑函应当由本人签字；供应商为法人或者其他组织的，质疑函应当由法定代表人、主要负责人，或者其授权代表签字或者盖章，并加盖公章。</w:t>
      </w:r>
    </w:p>
    <w:p w14:paraId="726E3650">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55C4AC5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08CB919A">
      <w:pPr>
        <w:spacing w:line="360" w:lineRule="auto"/>
        <w:ind w:right="12" w:firstLine="480"/>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5EEF8C6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4898AAF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33AE9F6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18" w:name="_Toc20630"/>
      <w:bookmarkStart w:id="119" w:name="_Toc16648"/>
      <w:bookmarkStart w:id="120" w:name="_Toc23778"/>
      <w:bookmarkStart w:id="121" w:name="_Toc106034801"/>
      <w:bookmarkStart w:id="122" w:name="_Toc3127"/>
      <w:bookmarkStart w:id="123" w:name="_Toc65660361"/>
      <w:bookmarkStart w:id="124" w:name="_Toc12789059"/>
      <w:bookmarkStart w:id="125" w:name="_Toc11641055"/>
      <w:r>
        <w:rPr>
          <w:rFonts w:hint="eastAsia" w:ascii="宋体" w:hAnsi="宋体" w:eastAsia="宋体" w:cs="宋体"/>
          <w:color w:val="auto"/>
          <w:sz w:val="24"/>
          <w:highlight w:val="none"/>
        </w:rPr>
        <w:t>七、签订合同</w:t>
      </w:r>
      <w:bookmarkEnd w:id="118"/>
      <w:bookmarkEnd w:id="119"/>
      <w:bookmarkEnd w:id="120"/>
      <w:bookmarkEnd w:id="121"/>
      <w:bookmarkEnd w:id="122"/>
      <w:bookmarkEnd w:id="123"/>
    </w:p>
    <w:p w14:paraId="03775CCC">
      <w:pPr>
        <w:spacing w:line="360" w:lineRule="auto"/>
        <w:ind w:firstLine="360" w:firstLineChars="150"/>
        <w:rPr>
          <w:rFonts w:hint="eastAsia" w:ascii="宋体" w:hAnsi="宋体" w:eastAsia="宋体" w:cs="宋体"/>
          <w:color w:val="auto"/>
          <w:sz w:val="24"/>
          <w:szCs w:val="24"/>
          <w:highlight w:val="none"/>
        </w:rPr>
      </w:pPr>
      <w:bookmarkStart w:id="126" w:name="_Toc77"/>
      <w:bookmarkStart w:id="127" w:name="_Toc106034802"/>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rPr>
        <w:t>采购人原则上应在成交通知书发出之日起二十日内和成交供应商签订采购合同，无正当理由不得拒绝或拖延合同签订</w:t>
      </w:r>
      <w:r>
        <w:rPr>
          <w:rFonts w:hint="eastAsia" w:ascii="宋体" w:hAnsi="宋体" w:eastAsia="宋体" w:cs="宋体"/>
          <w:color w:val="auto"/>
          <w:sz w:val="24"/>
          <w:szCs w:val="24"/>
          <w:highlight w:val="none"/>
        </w:rPr>
        <w:t>。所签订的合同不得对询比采购文件和供应商的响应文件作实质性修改。其他未尽事宜由采购人和成交供应商在采购合同中详细约定。</w:t>
      </w:r>
    </w:p>
    <w:p w14:paraId="1DF9C01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（二）询比采购文件、供应商的响应文件及澄清文件等，均为签订采购合同的依据。</w:t>
      </w:r>
    </w:p>
    <w:p w14:paraId="7FC11FA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5484718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（四）合同原则上应按照《重庆市政府采购合同》签订，相关单位要求适用合同通用格式版本的，应按其要求另行签订其他合同。</w:t>
      </w:r>
    </w:p>
    <w:p w14:paraId="79FEFB6B">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（五）采购人要求成交供应商提供履约保证金的，应当在询比采购文件中予以约定。成交供应商履约完毕后，采购人根据采购文件规定无息退还其履约保证金。</w:t>
      </w:r>
    </w:p>
    <w:p w14:paraId="6474904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28" w:name="_Toc13812"/>
      <w:r>
        <w:rPr>
          <w:rFonts w:hint="eastAsia" w:ascii="宋体" w:hAnsi="宋体" w:eastAsia="宋体" w:cs="宋体"/>
          <w:color w:val="auto"/>
          <w:sz w:val="24"/>
          <w:highlight w:val="none"/>
        </w:rPr>
        <w:t>八、项目验收</w:t>
      </w:r>
      <w:bookmarkEnd w:id="126"/>
      <w:bookmarkEnd w:id="127"/>
      <w:bookmarkEnd w:id="128"/>
    </w:p>
    <w:p w14:paraId="3FE1A5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合同执行完毕，采购人原则上应在7个工作日内组织履约情况验收，不得无故拖延或附加额外条件</w:t>
      </w:r>
      <w:r>
        <w:rPr>
          <w:rFonts w:hint="eastAsia" w:ascii="宋体" w:hAnsi="宋体" w:eastAsia="宋体" w:cs="宋体"/>
          <w:color w:val="auto"/>
          <w:sz w:val="24"/>
          <w:szCs w:val="24"/>
          <w:highlight w:val="none"/>
        </w:rPr>
        <w:t>。</w:t>
      </w:r>
    </w:p>
    <w:p w14:paraId="7CA7DF4A">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129" w:name="_Toc32594"/>
      <w:bookmarkStart w:id="130" w:name="_Toc25395"/>
      <w:bookmarkStart w:id="131" w:name="_Toc2438"/>
      <w:bookmarkStart w:id="132" w:name="_Toc65660362"/>
      <w:bookmarkStart w:id="133" w:name="_Toc29513"/>
      <w:bookmarkStart w:id="134" w:name="_Toc152689642"/>
      <w:bookmarkStart w:id="135" w:name="_Toc26005"/>
      <w:r>
        <w:rPr>
          <w:rFonts w:hint="eastAsia" w:ascii="宋体" w:hAnsi="宋体" w:eastAsia="宋体" w:cs="宋体"/>
          <w:color w:val="auto"/>
          <w:sz w:val="24"/>
          <w:highlight w:val="none"/>
        </w:rPr>
        <w:t>九、采购代理服务费</w:t>
      </w:r>
      <w:bookmarkEnd w:id="129"/>
      <w:bookmarkEnd w:id="130"/>
      <w:bookmarkEnd w:id="131"/>
      <w:bookmarkEnd w:id="132"/>
      <w:bookmarkEnd w:id="133"/>
      <w:bookmarkEnd w:id="134"/>
      <w:bookmarkEnd w:id="135"/>
    </w:p>
    <w:p w14:paraId="458E4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供应商成交后向采购代理机构缴纳采购代理服务费，采购代理服务费为包干价3000元，由成交供应商在领取成交通知书时一次性向采购代理机构支付。</w:t>
      </w:r>
    </w:p>
    <w:p w14:paraId="482F2AEE">
      <w:pPr>
        <w:pStyle w:val="4"/>
        <w:rPr>
          <w:rFonts w:hint="eastAsia" w:ascii="宋体" w:hAnsi="宋体" w:eastAsia="宋体" w:cs="宋体"/>
          <w:color w:val="auto"/>
          <w:highlight w:val="none"/>
        </w:rPr>
      </w:pPr>
    </w:p>
    <w:p w14:paraId="4BCA0ABB">
      <w:pPr>
        <w:pStyle w:val="3"/>
        <w:spacing w:before="0" w:after="0" w:line="360" w:lineRule="auto"/>
        <w:jc w:val="center"/>
        <w:rPr>
          <w:rFonts w:hint="eastAsia" w:ascii="宋体" w:hAnsi="宋体" w:eastAsia="宋体" w:cs="宋体"/>
          <w:b w:val="0"/>
          <w:color w:val="auto"/>
          <w:sz w:val="36"/>
          <w:szCs w:val="30"/>
          <w:highlight w:val="none"/>
        </w:rPr>
      </w:pPr>
      <w:r>
        <w:rPr>
          <w:rFonts w:hint="eastAsia" w:ascii="宋体" w:hAnsi="宋体" w:eastAsia="宋体" w:cs="宋体"/>
          <w:color w:val="auto"/>
          <w:sz w:val="36"/>
          <w:szCs w:val="30"/>
          <w:highlight w:val="none"/>
        </w:rPr>
        <w:br w:type="page"/>
      </w:r>
      <w:bookmarkStart w:id="136" w:name="_Toc25460"/>
      <w:bookmarkStart w:id="137" w:name="_Toc76462348"/>
      <w:r>
        <w:rPr>
          <w:rFonts w:hint="eastAsia" w:ascii="宋体" w:hAnsi="宋体" w:eastAsia="宋体" w:cs="宋体"/>
          <w:b w:val="0"/>
          <w:color w:val="auto"/>
          <w:sz w:val="36"/>
          <w:szCs w:val="30"/>
          <w:highlight w:val="none"/>
        </w:rPr>
        <w:t xml:space="preserve">第六篇  </w:t>
      </w:r>
      <w:bookmarkEnd w:id="124"/>
      <w:bookmarkEnd w:id="125"/>
      <w:r>
        <w:rPr>
          <w:rFonts w:hint="eastAsia" w:ascii="宋体" w:hAnsi="宋体" w:eastAsia="宋体" w:cs="宋体"/>
          <w:b w:val="0"/>
          <w:color w:val="auto"/>
          <w:sz w:val="36"/>
          <w:szCs w:val="30"/>
          <w:highlight w:val="none"/>
        </w:rPr>
        <w:t>采购合同</w:t>
      </w:r>
      <w:bookmarkEnd w:id="136"/>
      <w:bookmarkEnd w:id="137"/>
    </w:p>
    <w:p w14:paraId="3B720EFE">
      <w:pPr>
        <w:tabs>
          <w:tab w:val="left" w:pos="9000"/>
        </w:tabs>
        <w:spacing w:line="276" w:lineRule="auto"/>
        <w:jc w:val="center"/>
        <w:rPr>
          <w:rFonts w:hint="eastAsia" w:ascii="宋体" w:hAnsi="宋体" w:eastAsia="宋体" w:cs="宋体"/>
          <w:color w:val="auto"/>
          <w:highlight w:val="none"/>
        </w:rPr>
      </w:pPr>
      <w:r>
        <w:rPr>
          <w:rFonts w:hint="eastAsia" w:ascii="方正仿宋_GBK" w:hAnsi="宋体" w:eastAsia="方正仿宋_GBK"/>
          <w:bCs/>
          <w:color w:val="auto"/>
          <w:sz w:val="24"/>
          <w:highlight w:val="none"/>
        </w:rPr>
        <w:t>格式自拟</w:t>
      </w:r>
    </w:p>
    <w:p w14:paraId="72707DF5">
      <w:pPr>
        <w:pStyle w:val="3"/>
        <w:spacing w:before="0" w:after="0" w:line="360" w:lineRule="auto"/>
        <w:jc w:val="center"/>
        <w:rPr>
          <w:rFonts w:hint="eastAsia" w:ascii="宋体" w:hAnsi="宋体" w:eastAsia="宋体" w:cs="宋体"/>
          <w:b w:val="0"/>
          <w:color w:val="auto"/>
          <w:sz w:val="36"/>
          <w:szCs w:val="30"/>
          <w:highlight w:val="none"/>
        </w:rPr>
      </w:pPr>
      <w:bookmarkStart w:id="138" w:name="_Hlt41879464"/>
      <w:bookmarkEnd w:id="138"/>
      <w:bookmarkStart w:id="139" w:name="_Toc76462349"/>
    </w:p>
    <w:p w14:paraId="3E60F20B">
      <w:pPr>
        <w:pStyle w:val="3"/>
        <w:spacing w:before="0" w:after="0" w:line="360" w:lineRule="auto"/>
        <w:jc w:val="center"/>
        <w:rPr>
          <w:rFonts w:hint="eastAsia" w:ascii="宋体" w:hAnsi="宋体" w:eastAsia="宋体" w:cs="宋体"/>
          <w:b w:val="0"/>
          <w:color w:val="auto"/>
          <w:sz w:val="36"/>
          <w:szCs w:val="30"/>
          <w:highlight w:val="none"/>
        </w:rPr>
      </w:pPr>
    </w:p>
    <w:p w14:paraId="24DB4B9E">
      <w:pPr>
        <w:pStyle w:val="3"/>
        <w:spacing w:before="0" w:after="0" w:line="360" w:lineRule="auto"/>
        <w:jc w:val="center"/>
        <w:rPr>
          <w:rFonts w:hint="eastAsia" w:ascii="宋体" w:hAnsi="宋体" w:eastAsia="宋体" w:cs="宋体"/>
          <w:b w:val="0"/>
          <w:color w:val="auto"/>
          <w:sz w:val="36"/>
          <w:szCs w:val="30"/>
          <w:highlight w:val="none"/>
        </w:rPr>
      </w:pPr>
    </w:p>
    <w:p w14:paraId="00E9C1E4">
      <w:pPr>
        <w:pStyle w:val="3"/>
        <w:spacing w:before="0" w:after="0" w:line="360" w:lineRule="auto"/>
        <w:jc w:val="center"/>
        <w:rPr>
          <w:rFonts w:hint="eastAsia" w:ascii="宋体" w:hAnsi="宋体" w:eastAsia="宋体" w:cs="宋体"/>
          <w:b w:val="0"/>
          <w:color w:val="auto"/>
          <w:sz w:val="36"/>
          <w:szCs w:val="30"/>
          <w:highlight w:val="none"/>
        </w:rPr>
      </w:pPr>
    </w:p>
    <w:p w14:paraId="6DCD3C09">
      <w:pPr>
        <w:pStyle w:val="3"/>
        <w:spacing w:before="0" w:after="0" w:line="360" w:lineRule="auto"/>
        <w:jc w:val="center"/>
        <w:rPr>
          <w:rFonts w:hint="eastAsia" w:ascii="宋体" w:hAnsi="宋体" w:eastAsia="宋体" w:cs="宋体"/>
          <w:b w:val="0"/>
          <w:color w:val="auto"/>
          <w:sz w:val="36"/>
          <w:szCs w:val="30"/>
          <w:highlight w:val="none"/>
        </w:rPr>
      </w:pPr>
    </w:p>
    <w:p w14:paraId="3FB66244">
      <w:pPr>
        <w:pStyle w:val="3"/>
        <w:spacing w:before="0" w:after="0" w:line="360" w:lineRule="auto"/>
        <w:jc w:val="center"/>
        <w:rPr>
          <w:rFonts w:hint="eastAsia" w:ascii="宋体" w:hAnsi="宋体" w:eastAsia="宋体" w:cs="宋体"/>
          <w:b w:val="0"/>
          <w:color w:val="auto"/>
          <w:sz w:val="36"/>
          <w:szCs w:val="30"/>
          <w:highlight w:val="none"/>
        </w:rPr>
      </w:pPr>
    </w:p>
    <w:p w14:paraId="27DAC57A">
      <w:pPr>
        <w:pStyle w:val="3"/>
        <w:spacing w:before="0" w:after="0" w:line="360" w:lineRule="auto"/>
        <w:jc w:val="center"/>
        <w:rPr>
          <w:rFonts w:hint="eastAsia" w:ascii="宋体" w:hAnsi="宋体" w:eastAsia="宋体" w:cs="宋体"/>
          <w:b w:val="0"/>
          <w:color w:val="auto"/>
          <w:sz w:val="36"/>
          <w:szCs w:val="30"/>
          <w:highlight w:val="none"/>
        </w:rPr>
      </w:pPr>
    </w:p>
    <w:p w14:paraId="05E7950E">
      <w:pPr>
        <w:pStyle w:val="3"/>
        <w:spacing w:before="0" w:after="0" w:line="360" w:lineRule="auto"/>
        <w:jc w:val="center"/>
        <w:rPr>
          <w:rFonts w:hint="eastAsia" w:ascii="宋体" w:hAnsi="宋体" w:eastAsia="宋体" w:cs="宋体"/>
          <w:b w:val="0"/>
          <w:color w:val="auto"/>
          <w:sz w:val="36"/>
          <w:szCs w:val="30"/>
          <w:highlight w:val="none"/>
        </w:rPr>
      </w:pPr>
    </w:p>
    <w:p w14:paraId="4B40F43E">
      <w:pPr>
        <w:pStyle w:val="3"/>
        <w:spacing w:before="0" w:after="0" w:line="360" w:lineRule="auto"/>
        <w:jc w:val="center"/>
        <w:rPr>
          <w:rFonts w:hint="eastAsia" w:ascii="宋体" w:hAnsi="宋体" w:eastAsia="宋体" w:cs="宋体"/>
          <w:b w:val="0"/>
          <w:color w:val="auto"/>
          <w:sz w:val="36"/>
          <w:szCs w:val="30"/>
          <w:highlight w:val="none"/>
        </w:rPr>
      </w:pPr>
    </w:p>
    <w:p w14:paraId="155FE175">
      <w:pPr>
        <w:pStyle w:val="3"/>
        <w:spacing w:before="0" w:after="0" w:line="360" w:lineRule="auto"/>
        <w:jc w:val="both"/>
        <w:rPr>
          <w:rFonts w:hint="eastAsia" w:ascii="宋体" w:hAnsi="宋体" w:eastAsia="宋体" w:cs="宋体"/>
          <w:b w:val="0"/>
          <w:color w:val="auto"/>
          <w:sz w:val="36"/>
          <w:szCs w:val="30"/>
          <w:highlight w:val="none"/>
          <w:lang w:eastAsia="zh-CN"/>
        </w:rPr>
      </w:pPr>
    </w:p>
    <w:p w14:paraId="7B333953">
      <w:pPr>
        <w:rPr>
          <w:rFonts w:hint="eastAsia" w:ascii="宋体" w:hAnsi="宋体" w:eastAsia="宋体" w:cs="宋体"/>
          <w:b w:val="0"/>
          <w:color w:val="auto"/>
          <w:sz w:val="36"/>
          <w:szCs w:val="30"/>
          <w:highlight w:val="none"/>
          <w:lang w:eastAsia="zh-CN"/>
        </w:rPr>
      </w:pPr>
    </w:p>
    <w:p w14:paraId="204E3C92">
      <w:pPr>
        <w:pStyle w:val="2"/>
        <w:rPr>
          <w:rFonts w:hint="eastAsia" w:ascii="宋体" w:hAnsi="宋体" w:eastAsia="宋体" w:cs="宋体"/>
          <w:b w:val="0"/>
          <w:color w:val="auto"/>
          <w:sz w:val="36"/>
          <w:szCs w:val="30"/>
          <w:highlight w:val="none"/>
          <w:lang w:eastAsia="zh-CN"/>
        </w:rPr>
      </w:pPr>
    </w:p>
    <w:p w14:paraId="6C4DB581">
      <w:pPr>
        <w:rPr>
          <w:rFonts w:hint="eastAsia" w:ascii="宋体" w:hAnsi="宋体" w:eastAsia="宋体" w:cs="宋体"/>
          <w:b w:val="0"/>
          <w:color w:val="auto"/>
          <w:sz w:val="36"/>
          <w:szCs w:val="30"/>
          <w:highlight w:val="none"/>
          <w:lang w:eastAsia="zh-CN"/>
        </w:rPr>
      </w:pPr>
    </w:p>
    <w:p w14:paraId="5BA4799F">
      <w:pPr>
        <w:pStyle w:val="2"/>
        <w:rPr>
          <w:rFonts w:hint="eastAsia" w:ascii="宋体" w:hAnsi="宋体" w:eastAsia="宋体" w:cs="宋体"/>
          <w:b w:val="0"/>
          <w:color w:val="auto"/>
          <w:sz w:val="36"/>
          <w:szCs w:val="30"/>
          <w:highlight w:val="none"/>
          <w:lang w:eastAsia="zh-CN"/>
        </w:rPr>
      </w:pPr>
    </w:p>
    <w:p w14:paraId="09F9F766">
      <w:pPr>
        <w:rPr>
          <w:rFonts w:hint="eastAsia" w:ascii="宋体" w:hAnsi="宋体" w:eastAsia="宋体" w:cs="宋体"/>
          <w:b w:val="0"/>
          <w:color w:val="auto"/>
          <w:sz w:val="36"/>
          <w:szCs w:val="30"/>
          <w:highlight w:val="none"/>
          <w:lang w:eastAsia="zh-CN"/>
        </w:rPr>
      </w:pPr>
    </w:p>
    <w:p w14:paraId="66A53D93">
      <w:pPr>
        <w:pStyle w:val="2"/>
        <w:rPr>
          <w:rFonts w:hint="eastAsia" w:ascii="宋体" w:hAnsi="宋体" w:eastAsia="宋体" w:cs="宋体"/>
          <w:b w:val="0"/>
          <w:color w:val="auto"/>
          <w:sz w:val="36"/>
          <w:szCs w:val="30"/>
          <w:highlight w:val="none"/>
          <w:lang w:eastAsia="zh-CN"/>
        </w:rPr>
      </w:pPr>
    </w:p>
    <w:p w14:paraId="365F56CB">
      <w:pPr>
        <w:rPr>
          <w:rFonts w:hint="eastAsia"/>
          <w:color w:val="auto"/>
          <w:highlight w:val="none"/>
          <w:lang w:eastAsia="zh-CN"/>
        </w:rPr>
      </w:pPr>
    </w:p>
    <w:p w14:paraId="560EF461">
      <w:pPr>
        <w:pStyle w:val="3"/>
        <w:spacing w:before="0" w:after="0" w:line="360" w:lineRule="auto"/>
        <w:jc w:val="center"/>
        <w:rPr>
          <w:rFonts w:hint="eastAsia" w:ascii="宋体" w:hAnsi="宋体" w:eastAsia="宋体" w:cs="宋体"/>
          <w:b w:val="0"/>
          <w:color w:val="auto"/>
          <w:sz w:val="36"/>
          <w:szCs w:val="30"/>
          <w:highlight w:val="none"/>
        </w:rPr>
      </w:pPr>
      <w:bookmarkStart w:id="140" w:name="_Toc32707"/>
      <w:r>
        <w:rPr>
          <w:rFonts w:hint="eastAsia" w:ascii="宋体" w:hAnsi="宋体" w:eastAsia="宋体" w:cs="宋体"/>
          <w:b w:val="0"/>
          <w:color w:val="auto"/>
          <w:sz w:val="36"/>
          <w:szCs w:val="30"/>
          <w:highlight w:val="none"/>
        </w:rPr>
        <w:t>第七篇  响应文件编制要求</w:t>
      </w:r>
      <w:bookmarkEnd w:id="139"/>
      <w:bookmarkEnd w:id="140"/>
    </w:p>
    <w:p w14:paraId="3B75E1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62B50A5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（一）询比报价函</w:t>
      </w:r>
    </w:p>
    <w:p w14:paraId="70010B0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（二）明细报价表</w:t>
      </w:r>
    </w:p>
    <w:p w14:paraId="6860DCE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14:paraId="4B9A486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（一）服务响应偏离表</w:t>
      </w:r>
    </w:p>
    <w:p w14:paraId="4D2A3A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服务方案等其他资料（格式自</w:t>
      </w:r>
      <w:r>
        <w:rPr>
          <w:rFonts w:hint="eastAsia" w:ascii="宋体" w:hAnsi="宋体" w:eastAsia="宋体" w:cs="宋体"/>
          <w:color w:val="auto"/>
          <w:sz w:val="24"/>
          <w:szCs w:val="24"/>
          <w:highlight w:val="none"/>
        </w:rPr>
        <w:t>定）</w:t>
      </w:r>
    </w:p>
    <w:p w14:paraId="6E066E1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75C3D5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0053306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（二）其它优惠服务承诺（格式自定）</w:t>
      </w:r>
    </w:p>
    <w:p w14:paraId="160BB49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38DFDC9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5C4770A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646B9E2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46710A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3C21368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7B016C5A">
      <w:pPr>
        <w:snapToGrid w:val="0"/>
        <w:spacing w:line="360" w:lineRule="auto"/>
        <w:rPr>
          <w:rFonts w:hint="eastAsia" w:ascii="宋体" w:hAnsi="宋体" w:eastAsia="宋体" w:cs="宋体"/>
          <w:color w:val="auto"/>
          <w:sz w:val="24"/>
          <w:szCs w:val="24"/>
          <w:highlight w:val="none"/>
          <w:bdr w:val="single" w:color="auto" w:sz="4" w:space="0"/>
        </w:rPr>
      </w:pPr>
    </w:p>
    <w:p w14:paraId="0D96A778">
      <w:pPr>
        <w:pStyle w:val="4"/>
        <w:rPr>
          <w:rFonts w:hint="eastAsia" w:ascii="宋体" w:hAnsi="宋体" w:eastAsia="宋体" w:cs="宋体"/>
          <w:color w:val="auto"/>
          <w:highlight w:val="none"/>
        </w:rPr>
      </w:pPr>
    </w:p>
    <w:p w14:paraId="2DA41E06">
      <w:pPr>
        <w:rPr>
          <w:rFonts w:hint="eastAsia" w:ascii="宋体" w:hAnsi="宋体" w:eastAsia="宋体" w:cs="宋体"/>
          <w:color w:val="auto"/>
          <w:highlight w:val="none"/>
        </w:rPr>
      </w:pPr>
    </w:p>
    <w:p w14:paraId="7DBAE59B">
      <w:pPr>
        <w:pStyle w:val="2"/>
        <w:rPr>
          <w:rFonts w:hint="eastAsia" w:ascii="宋体" w:hAnsi="宋体" w:eastAsia="宋体" w:cs="宋体"/>
          <w:color w:val="auto"/>
          <w:highlight w:val="none"/>
        </w:rPr>
      </w:pPr>
    </w:p>
    <w:p w14:paraId="73ACE7A6">
      <w:pPr>
        <w:rPr>
          <w:rFonts w:hint="eastAsia" w:ascii="宋体" w:hAnsi="宋体" w:eastAsia="宋体" w:cs="宋体"/>
          <w:color w:val="auto"/>
          <w:highlight w:val="none"/>
        </w:rPr>
      </w:pPr>
    </w:p>
    <w:p w14:paraId="6BD773E0">
      <w:pPr>
        <w:pStyle w:val="2"/>
        <w:rPr>
          <w:rFonts w:hint="eastAsia" w:ascii="宋体" w:hAnsi="宋体" w:eastAsia="宋体" w:cs="宋体"/>
          <w:color w:val="auto"/>
          <w:highlight w:val="none"/>
        </w:rPr>
      </w:pPr>
    </w:p>
    <w:p w14:paraId="5635F09C">
      <w:pPr>
        <w:rPr>
          <w:rFonts w:hint="eastAsia" w:ascii="宋体" w:hAnsi="宋体" w:eastAsia="宋体" w:cs="宋体"/>
          <w:color w:val="auto"/>
          <w:highlight w:val="none"/>
        </w:rPr>
      </w:pPr>
    </w:p>
    <w:p w14:paraId="48C57E18">
      <w:pPr>
        <w:pStyle w:val="2"/>
        <w:rPr>
          <w:rFonts w:hint="eastAsia" w:ascii="宋体" w:hAnsi="宋体" w:eastAsia="宋体" w:cs="宋体"/>
          <w:color w:val="auto"/>
          <w:highlight w:val="none"/>
        </w:rPr>
      </w:pPr>
    </w:p>
    <w:p w14:paraId="791A8692">
      <w:pPr>
        <w:rPr>
          <w:rFonts w:hint="eastAsia" w:ascii="宋体" w:hAnsi="宋体" w:eastAsia="宋体" w:cs="宋体"/>
          <w:color w:val="auto"/>
          <w:highlight w:val="none"/>
        </w:rPr>
      </w:pPr>
    </w:p>
    <w:p w14:paraId="6146AE9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p>
    <w:p w14:paraId="338B0E32">
      <w:pPr>
        <w:rPr>
          <w:rFonts w:hint="eastAsia" w:ascii="宋体" w:hAnsi="宋体" w:eastAsia="宋体" w:cs="宋体"/>
          <w:color w:val="auto"/>
          <w:sz w:val="24"/>
          <w:highlight w:val="none"/>
        </w:rPr>
      </w:pPr>
    </w:p>
    <w:p w14:paraId="264707BD">
      <w:pPr>
        <w:pStyle w:val="2"/>
        <w:rPr>
          <w:rFonts w:hint="eastAsia"/>
          <w:color w:val="auto"/>
          <w:highlight w:val="none"/>
        </w:rPr>
      </w:pPr>
    </w:p>
    <w:p w14:paraId="4F953BEA">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1" w:name="_Toc29825"/>
      <w:r>
        <w:rPr>
          <w:rFonts w:hint="eastAsia" w:ascii="宋体" w:hAnsi="宋体" w:eastAsia="宋体" w:cs="宋体"/>
          <w:color w:val="auto"/>
          <w:sz w:val="24"/>
          <w:highlight w:val="none"/>
        </w:rPr>
        <w:t>一、经济部分</w:t>
      </w:r>
      <w:bookmarkEnd w:id="141"/>
    </w:p>
    <w:p w14:paraId="18903E2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13975374">
      <w:pPr>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报价函</w:t>
      </w:r>
    </w:p>
    <w:p w14:paraId="0422944A">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449D57F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我方收到____________________________（项目名称）的询</w:t>
      </w:r>
      <w:r>
        <w:rPr>
          <w:rFonts w:hint="eastAsia" w:ascii="宋体" w:hAnsi="宋体" w:eastAsia="宋体" w:cs="宋体"/>
          <w:color w:val="auto"/>
          <w:sz w:val="24"/>
          <w:szCs w:val="24"/>
          <w:highlight w:val="none"/>
          <w:lang w:val="en-US" w:eastAsia="zh-CN"/>
        </w:rPr>
        <w:t>比采购文件</w:t>
      </w:r>
      <w:r>
        <w:rPr>
          <w:rFonts w:hint="eastAsia" w:ascii="宋体" w:hAnsi="宋体" w:eastAsia="宋体" w:cs="宋体"/>
          <w:color w:val="auto"/>
          <w:sz w:val="24"/>
          <w:szCs w:val="24"/>
          <w:highlight w:val="none"/>
        </w:rPr>
        <w:t>，经详细研究，决定参加该询</w:t>
      </w:r>
      <w:r>
        <w:rPr>
          <w:rFonts w:hint="eastAsia" w:ascii="宋体" w:hAnsi="宋体" w:eastAsia="宋体" w:cs="宋体"/>
          <w:color w:val="auto"/>
          <w:sz w:val="24"/>
          <w:szCs w:val="24"/>
          <w:highlight w:val="none"/>
          <w:lang w:val="en-US" w:eastAsia="zh-CN"/>
        </w:rPr>
        <w:t>比</w:t>
      </w:r>
      <w:r>
        <w:rPr>
          <w:rFonts w:hint="eastAsia" w:ascii="宋体" w:hAnsi="宋体" w:eastAsia="宋体" w:cs="宋体"/>
          <w:color w:val="auto"/>
          <w:sz w:val="24"/>
          <w:szCs w:val="24"/>
          <w:highlight w:val="none"/>
        </w:rPr>
        <w:t>项目的报价。</w:t>
      </w:r>
    </w:p>
    <w:p w14:paraId="7768502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中的一切要求，提供本项目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服务，项目报价为人民币大写：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元。以我公司报价为准。</w:t>
      </w:r>
    </w:p>
    <w:p w14:paraId="6D6D602A">
      <w:pPr>
        <w:tabs>
          <w:tab w:val="left" w:pos="6300"/>
        </w:tabs>
        <w:snapToGrid w:val="0"/>
        <w:spacing w:line="312"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2.我方现提交的响应文件为：响应文件</w:t>
      </w:r>
      <w:r>
        <w:rPr>
          <w:rFonts w:hint="eastAsia" w:ascii="宋体" w:hAnsi="宋体" w:cs="宋体"/>
          <w:color w:val="auto"/>
          <w:sz w:val="24"/>
          <w:szCs w:val="24"/>
          <w:highlight w:val="none"/>
          <w:lang w:val="en-US" w:eastAsia="zh-CN"/>
        </w:rPr>
        <w:t>电子文档一份，线下递交纸质响应文件两份。</w:t>
      </w:r>
    </w:p>
    <w:p w14:paraId="5645306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3.我方承诺：本次报价的有效期为提交响应文件截止时间起90天。</w:t>
      </w:r>
    </w:p>
    <w:p w14:paraId="0319DBE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的一切规定和要求及评审办法。</w:t>
      </w:r>
    </w:p>
    <w:p w14:paraId="5DB7F59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5.在整个询价过程中，我方若有违规行为，接受按照</w:t>
      </w:r>
      <w:r>
        <w:rPr>
          <w:rFonts w:hint="eastAsia" w:ascii="宋体" w:hAnsi="宋体" w:eastAsia="宋体" w:cs="宋体"/>
          <w:color w:val="auto"/>
          <w:sz w:val="24"/>
          <w:szCs w:val="24"/>
          <w:highlight w:val="none"/>
          <w:lang w:val="en-US" w:eastAsia="zh-CN"/>
        </w:rPr>
        <w:t>相关法律</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》之规定给予惩罚。</w:t>
      </w:r>
    </w:p>
    <w:p w14:paraId="4AD1919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6.我方若成为成交供应商，将按照最终询比结果签订合同，并且严格履行合同义务。本承诺函将成为合同不可分割的一部分，与合同具有同等的法律效力。</w:t>
      </w:r>
    </w:p>
    <w:p w14:paraId="233915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w:t>
      </w:r>
      <w:r>
        <w:rPr>
          <w:rFonts w:hint="eastAsia" w:ascii="宋体"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规定，如果我方成为成交供应商，保证在接到成交通知书后，向采购代理机构缴纳规定的采购代理服务费。</w:t>
      </w:r>
    </w:p>
    <w:p w14:paraId="0D29502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供应商（公章）或自然人签署：</w:t>
      </w:r>
    </w:p>
    <w:p w14:paraId="30F1C14E">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59D0DF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AC0BE9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1FDF041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6735DDCA">
      <w:pPr>
        <w:snapToGrid w:val="0"/>
        <w:spacing w:line="312"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7A4674B">
      <w:pPr>
        <w:snapToGrid w:val="0"/>
        <w:spacing w:line="312" w:lineRule="auto"/>
        <w:ind w:firstLine="480" w:firstLineChars="200"/>
        <w:rPr>
          <w:rFonts w:hint="eastAsia" w:ascii="宋体" w:hAnsi="宋体" w:cs="宋体"/>
          <w:color w:val="auto"/>
          <w:sz w:val="24"/>
          <w:szCs w:val="24"/>
          <w:highlight w:val="none"/>
          <w:lang w:val="en-US" w:eastAsia="zh-CN"/>
        </w:rPr>
      </w:pPr>
    </w:p>
    <w:p w14:paraId="1AE6AD38">
      <w:pPr>
        <w:snapToGrid w:val="0"/>
        <w:spacing w:line="312" w:lineRule="auto"/>
        <w:ind w:firstLine="6480" w:firstLineChars="27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 xml:space="preserve">    年   月   日</w:t>
      </w:r>
    </w:p>
    <w:p w14:paraId="0B7C9AFB">
      <w:pPr>
        <w:tabs>
          <w:tab w:val="left" w:pos="2895"/>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（二）明细报价表                    </w:t>
      </w:r>
    </w:p>
    <w:p w14:paraId="08AB38D3">
      <w:pPr>
        <w:spacing w:line="500" w:lineRule="exact"/>
        <w:jc w:val="center"/>
        <w:rPr>
          <w:rFonts w:hint="eastAsia" w:ascii="宋体" w:hAnsi="宋体" w:eastAsia="宋体" w:cs="宋体"/>
          <w:color w:val="auto"/>
          <w:sz w:val="32"/>
          <w:szCs w:val="32"/>
          <w:highlight w:val="none"/>
        </w:rPr>
      </w:pPr>
      <w:r>
        <w:rPr>
          <w:rFonts w:hint="eastAsia" w:ascii="方正仿宋_GBK" w:eastAsia="方正仿宋_GBK"/>
          <w:b/>
          <w:color w:val="auto"/>
          <w:sz w:val="32"/>
          <w:szCs w:val="32"/>
          <w:highlight w:val="none"/>
        </w:rPr>
        <w:t>明细报价表</w:t>
      </w:r>
    </w:p>
    <w:p w14:paraId="4A73C21E">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eastAsia="zh-CN"/>
        </w:rPr>
        <w:t>名称</w:t>
      </w:r>
      <w:r>
        <w:rPr>
          <w:rFonts w:hint="eastAsia" w:ascii="宋体" w:hAnsi="宋体" w:eastAsia="宋体" w:cs="宋体"/>
          <w:color w:val="auto"/>
          <w:sz w:val="24"/>
          <w:szCs w:val="28"/>
          <w:highlight w:val="none"/>
        </w:rPr>
        <w:t>：</w:t>
      </w:r>
    </w:p>
    <w:p w14:paraId="13AFA57C">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w:t>
      </w:r>
      <w:r>
        <w:rPr>
          <w:rFonts w:hint="eastAsia" w:ascii="宋体" w:hAnsi="宋体" w:eastAsia="宋体" w:cs="宋体"/>
          <w:color w:val="auto"/>
          <w:sz w:val="24"/>
          <w:szCs w:val="28"/>
          <w:highlight w:val="none"/>
          <w:lang w:eastAsia="zh-CN"/>
        </w:rPr>
        <w:t>编</w:t>
      </w:r>
      <w:r>
        <w:rPr>
          <w:rFonts w:hint="eastAsia" w:ascii="宋体" w:hAnsi="宋体" w:eastAsia="宋体" w:cs="宋体"/>
          <w:color w:val="auto"/>
          <w:sz w:val="24"/>
          <w:szCs w:val="28"/>
          <w:highlight w:val="none"/>
        </w:rPr>
        <w:t>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60C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224AC007">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序号</w:t>
            </w:r>
          </w:p>
        </w:tc>
        <w:tc>
          <w:tcPr>
            <w:tcW w:w="1695" w:type="dxa"/>
            <w:vAlign w:val="center"/>
          </w:tcPr>
          <w:p w14:paraId="72405694">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名称</w:t>
            </w:r>
          </w:p>
        </w:tc>
        <w:tc>
          <w:tcPr>
            <w:tcW w:w="3404" w:type="dxa"/>
            <w:vAlign w:val="center"/>
          </w:tcPr>
          <w:p w14:paraId="38FF471D">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相关信息</w:t>
            </w:r>
          </w:p>
        </w:tc>
        <w:tc>
          <w:tcPr>
            <w:tcW w:w="1344" w:type="dxa"/>
            <w:vAlign w:val="center"/>
          </w:tcPr>
          <w:p w14:paraId="6316A5C4">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数量</w:t>
            </w:r>
          </w:p>
        </w:tc>
        <w:tc>
          <w:tcPr>
            <w:tcW w:w="1344" w:type="dxa"/>
            <w:vAlign w:val="center"/>
          </w:tcPr>
          <w:p w14:paraId="134CC2A0">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单价</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c>
          <w:tcPr>
            <w:tcW w:w="1344" w:type="dxa"/>
            <w:vAlign w:val="center"/>
          </w:tcPr>
          <w:p w14:paraId="57B6AF91">
            <w:pPr>
              <w:jc w:val="center"/>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合计</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r>
      <w:tr w14:paraId="0A6A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E481F16">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695" w:type="dxa"/>
            <w:vAlign w:val="center"/>
          </w:tcPr>
          <w:p w14:paraId="05E3A6B5">
            <w:pPr>
              <w:jc w:val="center"/>
              <w:rPr>
                <w:rFonts w:ascii="方正仿宋_GBK" w:hAnsi="宋体" w:eastAsia="方正仿宋_GBK"/>
                <w:color w:val="auto"/>
                <w:sz w:val="21"/>
                <w:szCs w:val="21"/>
                <w:highlight w:val="none"/>
              </w:rPr>
            </w:pPr>
          </w:p>
        </w:tc>
        <w:tc>
          <w:tcPr>
            <w:tcW w:w="3404" w:type="dxa"/>
          </w:tcPr>
          <w:p w14:paraId="19BF7A08">
            <w:pPr>
              <w:jc w:val="center"/>
              <w:rPr>
                <w:rFonts w:ascii="方正仿宋_GBK" w:hAnsi="宋体" w:eastAsia="方正仿宋_GBK"/>
                <w:color w:val="auto"/>
                <w:sz w:val="21"/>
                <w:szCs w:val="21"/>
                <w:highlight w:val="none"/>
              </w:rPr>
            </w:pPr>
          </w:p>
        </w:tc>
        <w:tc>
          <w:tcPr>
            <w:tcW w:w="1344" w:type="dxa"/>
            <w:vAlign w:val="center"/>
          </w:tcPr>
          <w:p w14:paraId="2F18443A">
            <w:pPr>
              <w:jc w:val="center"/>
              <w:rPr>
                <w:rFonts w:ascii="方正仿宋_GBK" w:hAnsi="宋体" w:eastAsia="方正仿宋_GBK"/>
                <w:color w:val="auto"/>
                <w:sz w:val="21"/>
                <w:szCs w:val="21"/>
                <w:highlight w:val="none"/>
              </w:rPr>
            </w:pPr>
          </w:p>
        </w:tc>
        <w:tc>
          <w:tcPr>
            <w:tcW w:w="1344" w:type="dxa"/>
          </w:tcPr>
          <w:p w14:paraId="60C6013E">
            <w:pPr>
              <w:jc w:val="center"/>
              <w:rPr>
                <w:rFonts w:ascii="方正仿宋_GBK" w:hAnsi="宋体" w:eastAsia="方正仿宋_GBK"/>
                <w:color w:val="auto"/>
                <w:sz w:val="21"/>
                <w:szCs w:val="21"/>
                <w:highlight w:val="none"/>
              </w:rPr>
            </w:pPr>
          </w:p>
        </w:tc>
        <w:tc>
          <w:tcPr>
            <w:tcW w:w="1344" w:type="dxa"/>
          </w:tcPr>
          <w:p w14:paraId="31CA628C">
            <w:pPr>
              <w:jc w:val="center"/>
              <w:rPr>
                <w:rFonts w:ascii="方正仿宋_GBK" w:hAnsi="宋体" w:eastAsia="方正仿宋_GBK"/>
                <w:color w:val="auto"/>
                <w:sz w:val="21"/>
                <w:szCs w:val="21"/>
                <w:highlight w:val="none"/>
              </w:rPr>
            </w:pPr>
          </w:p>
        </w:tc>
      </w:tr>
      <w:tr w14:paraId="30D4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2BACAE2">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695" w:type="dxa"/>
            <w:vAlign w:val="center"/>
          </w:tcPr>
          <w:p w14:paraId="02BB9948">
            <w:pPr>
              <w:jc w:val="center"/>
              <w:rPr>
                <w:rFonts w:ascii="方正仿宋_GBK" w:hAnsi="宋体" w:eastAsia="方正仿宋_GBK"/>
                <w:color w:val="auto"/>
                <w:sz w:val="21"/>
                <w:szCs w:val="21"/>
                <w:highlight w:val="none"/>
              </w:rPr>
            </w:pPr>
          </w:p>
        </w:tc>
        <w:tc>
          <w:tcPr>
            <w:tcW w:w="3404" w:type="dxa"/>
          </w:tcPr>
          <w:p w14:paraId="627D9948">
            <w:pPr>
              <w:jc w:val="center"/>
              <w:rPr>
                <w:rFonts w:ascii="方正仿宋_GBK" w:hAnsi="宋体" w:eastAsia="方正仿宋_GBK"/>
                <w:color w:val="auto"/>
                <w:sz w:val="21"/>
                <w:szCs w:val="21"/>
                <w:highlight w:val="none"/>
              </w:rPr>
            </w:pPr>
          </w:p>
        </w:tc>
        <w:tc>
          <w:tcPr>
            <w:tcW w:w="1344" w:type="dxa"/>
            <w:vAlign w:val="center"/>
          </w:tcPr>
          <w:p w14:paraId="6CAF7435">
            <w:pPr>
              <w:jc w:val="center"/>
              <w:rPr>
                <w:rFonts w:ascii="方正仿宋_GBK" w:hAnsi="宋体" w:eastAsia="方正仿宋_GBK"/>
                <w:color w:val="auto"/>
                <w:sz w:val="21"/>
                <w:szCs w:val="21"/>
                <w:highlight w:val="none"/>
              </w:rPr>
            </w:pPr>
          </w:p>
        </w:tc>
        <w:tc>
          <w:tcPr>
            <w:tcW w:w="1344" w:type="dxa"/>
          </w:tcPr>
          <w:p w14:paraId="6383A76C">
            <w:pPr>
              <w:jc w:val="center"/>
              <w:rPr>
                <w:rFonts w:ascii="方正仿宋_GBK" w:hAnsi="宋体" w:eastAsia="方正仿宋_GBK"/>
                <w:color w:val="auto"/>
                <w:sz w:val="21"/>
                <w:szCs w:val="21"/>
                <w:highlight w:val="none"/>
              </w:rPr>
            </w:pPr>
          </w:p>
        </w:tc>
        <w:tc>
          <w:tcPr>
            <w:tcW w:w="1344" w:type="dxa"/>
          </w:tcPr>
          <w:p w14:paraId="246C245E">
            <w:pPr>
              <w:jc w:val="center"/>
              <w:rPr>
                <w:rFonts w:ascii="方正仿宋_GBK" w:hAnsi="宋体" w:eastAsia="方正仿宋_GBK"/>
                <w:color w:val="auto"/>
                <w:sz w:val="21"/>
                <w:szCs w:val="21"/>
                <w:highlight w:val="none"/>
              </w:rPr>
            </w:pPr>
          </w:p>
        </w:tc>
      </w:tr>
      <w:tr w14:paraId="3D7C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022" w:type="dxa"/>
            <w:vAlign w:val="center"/>
          </w:tcPr>
          <w:p w14:paraId="15E67920">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695" w:type="dxa"/>
            <w:vAlign w:val="center"/>
          </w:tcPr>
          <w:p w14:paraId="1B2E5490">
            <w:pPr>
              <w:jc w:val="center"/>
              <w:rPr>
                <w:rFonts w:ascii="方正仿宋_GBK" w:hAnsi="宋体" w:eastAsia="方正仿宋_GBK"/>
                <w:color w:val="auto"/>
                <w:sz w:val="21"/>
                <w:szCs w:val="21"/>
                <w:highlight w:val="none"/>
              </w:rPr>
            </w:pPr>
          </w:p>
        </w:tc>
        <w:tc>
          <w:tcPr>
            <w:tcW w:w="3404" w:type="dxa"/>
          </w:tcPr>
          <w:p w14:paraId="138E5FD4">
            <w:pPr>
              <w:jc w:val="center"/>
              <w:rPr>
                <w:rFonts w:ascii="方正仿宋_GBK" w:hAnsi="宋体" w:eastAsia="方正仿宋_GBK"/>
                <w:color w:val="auto"/>
                <w:sz w:val="21"/>
                <w:szCs w:val="21"/>
                <w:highlight w:val="none"/>
              </w:rPr>
            </w:pPr>
          </w:p>
        </w:tc>
        <w:tc>
          <w:tcPr>
            <w:tcW w:w="1344" w:type="dxa"/>
            <w:vAlign w:val="center"/>
          </w:tcPr>
          <w:p w14:paraId="7DB36E7E">
            <w:pPr>
              <w:jc w:val="center"/>
              <w:rPr>
                <w:rFonts w:ascii="方正仿宋_GBK" w:hAnsi="宋体" w:eastAsia="方正仿宋_GBK"/>
                <w:color w:val="auto"/>
                <w:sz w:val="21"/>
                <w:szCs w:val="21"/>
                <w:highlight w:val="none"/>
              </w:rPr>
            </w:pPr>
          </w:p>
        </w:tc>
        <w:tc>
          <w:tcPr>
            <w:tcW w:w="1344" w:type="dxa"/>
          </w:tcPr>
          <w:p w14:paraId="1E33936F">
            <w:pPr>
              <w:jc w:val="center"/>
              <w:rPr>
                <w:rFonts w:ascii="方正仿宋_GBK" w:hAnsi="宋体" w:eastAsia="方正仿宋_GBK"/>
                <w:color w:val="auto"/>
                <w:sz w:val="21"/>
                <w:szCs w:val="21"/>
                <w:highlight w:val="none"/>
              </w:rPr>
            </w:pPr>
          </w:p>
        </w:tc>
        <w:tc>
          <w:tcPr>
            <w:tcW w:w="1344" w:type="dxa"/>
          </w:tcPr>
          <w:p w14:paraId="39E8262E">
            <w:pPr>
              <w:jc w:val="center"/>
              <w:rPr>
                <w:rFonts w:ascii="方正仿宋_GBK" w:hAnsi="宋体" w:eastAsia="方正仿宋_GBK"/>
                <w:color w:val="auto"/>
                <w:sz w:val="21"/>
                <w:szCs w:val="21"/>
                <w:highlight w:val="none"/>
              </w:rPr>
            </w:pPr>
          </w:p>
        </w:tc>
      </w:tr>
      <w:tr w14:paraId="26A1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359811D">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w:t>
            </w:r>
          </w:p>
        </w:tc>
        <w:tc>
          <w:tcPr>
            <w:tcW w:w="1695" w:type="dxa"/>
            <w:vAlign w:val="center"/>
          </w:tcPr>
          <w:p w14:paraId="1BD6C112">
            <w:pPr>
              <w:jc w:val="center"/>
              <w:rPr>
                <w:rFonts w:ascii="方正仿宋_GBK" w:hAnsi="宋体" w:eastAsia="方正仿宋_GBK"/>
                <w:color w:val="auto"/>
                <w:sz w:val="21"/>
                <w:szCs w:val="21"/>
                <w:highlight w:val="none"/>
              </w:rPr>
            </w:pPr>
          </w:p>
        </w:tc>
        <w:tc>
          <w:tcPr>
            <w:tcW w:w="3404" w:type="dxa"/>
          </w:tcPr>
          <w:p w14:paraId="30198B8A">
            <w:pPr>
              <w:jc w:val="center"/>
              <w:rPr>
                <w:rFonts w:ascii="方正仿宋_GBK" w:hAnsi="宋体" w:eastAsia="方正仿宋_GBK"/>
                <w:color w:val="auto"/>
                <w:sz w:val="21"/>
                <w:szCs w:val="21"/>
                <w:highlight w:val="none"/>
              </w:rPr>
            </w:pPr>
          </w:p>
        </w:tc>
        <w:tc>
          <w:tcPr>
            <w:tcW w:w="1344" w:type="dxa"/>
            <w:vAlign w:val="center"/>
          </w:tcPr>
          <w:p w14:paraId="61C2B1AC">
            <w:pPr>
              <w:jc w:val="center"/>
              <w:rPr>
                <w:rFonts w:ascii="方正仿宋_GBK" w:hAnsi="宋体" w:eastAsia="方正仿宋_GBK"/>
                <w:color w:val="auto"/>
                <w:sz w:val="21"/>
                <w:szCs w:val="21"/>
                <w:highlight w:val="none"/>
              </w:rPr>
            </w:pPr>
          </w:p>
        </w:tc>
        <w:tc>
          <w:tcPr>
            <w:tcW w:w="1344" w:type="dxa"/>
          </w:tcPr>
          <w:p w14:paraId="7A64A3A1">
            <w:pPr>
              <w:jc w:val="center"/>
              <w:rPr>
                <w:rFonts w:ascii="方正仿宋_GBK" w:hAnsi="宋体" w:eastAsia="方正仿宋_GBK"/>
                <w:color w:val="auto"/>
                <w:sz w:val="21"/>
                <w:szCs w:val="21"/>
                <w:highlight w:val="none"/>
              </w:rPr>
            </w:pPr>
          </w:p>
        </w:tc>
        <w:tc>
          <w:tcPr>
            <w:tcW w:w="1344" w:type="dxa"/>
          </w:tcPr>
          <w:p w14:paraId="11F41CE7">
            <w:pPr>
              <w:jc w:val="center"/>
              <w:rPr>
                <w:rFonts w:ascii="方正仿宋_GBK" w:hAnsi="宋体" w:eastAsia="方正仿宋_GBK"/>
                <w:color w:val="auto"/>
                <w:sz w:val="21"/>
                <w:szCs w:val="21"/>
                <w:highlight w:val="none"/>
              </w:rPr>
            </w:pPr>
          </w:p>
        </w:tc>
      </w:tr>
      <w:tr w14:paraId="61ED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3D42B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5</w:t>
            </w:r>
          </w:p>
        </w:tc>
        <w:tc>
          <w:tcPr>
            <w:tcW w:w="1695" w:type="dxa"/>
            <w:vAlign w:val="center"/>
          </w:tcPr>
          <w:p w14:paraId="45E95406">
            <w:pPr>
              <w:jc w:val="center"/>
              <w:rPr>
                <w:rFonts w:ascii="方正仿宋_GBK" w:hAnsi="宋体" w:eastAsia="方正仿宋_GBK"/>
                <w:color w:val="auto"/>
                <w:sz w:val="21"/>
                <w:szCs w:val="21"/>
                <w:highlight w:val="none"/>
              </w:rPr>
            </w:pPr>
          </w:p>
        </w:tc>
        <w:tc>
          <w:tcPr>
            <w:tcW w:w="3404" w:type="dxa"/>
          </w:tcPr>
          <w:p w14:paraId="16AB64D1">
            <w:pPr>
              <w:jc w:val="center"/>
              <w:rPr>
                <w:rFonts w:ascii="方正仿宋_GBK" w:hAnsi="宋体" w:eastAsia="方正仿宋_GBK"/>
                <w:color w:val="auto"/>
                <w:sz w:val="21"/>
                <w:szCs w:val="21"/>
                <w:highlight w:val="none"/>
              </w:rPr>
            </w:pPr>
          </w:p>
        </w:tc>
        <w:tc>
          <w:tcPr>
            <w:tcW w:w="1344" w:type="dxa"/>
            <w:vAlign w:val="center"/>
          </w:tcPr>
          <w:p w14:paraId="10EACE5C">
            <w:pPr>
              <w:jc w:val="center"/>
              <w:rPr>
                <w:rFonts w:ascii="方正仿宋_GBK" w:hAnsi="宋体" w:eastAsia="方正仿宋_GBK"/>
                <w:color w:val="auto"/>
                <w:sz w:val="21"/>
                <w:szCs w:val="21"/>
                <w:highlight w:val="none"/>
              </w:rPr>
            </w:pPr>
          </w:p>
        </w:tc>
        <w:tc>
          <w:tcPr>
            <w:tcW w:w="1344" w:type="dxa"/>
          </w:tcPr>
          <w:p w14:paraId="3C523FCC">
            <w:pPr>
              <w:jc w:val="center"/>
              <w:rPr>
                <w:rFonts w:ascii="方正仿宋_GBK" w:hAnsi="宋体" w:eastAsia="方正仿宋_GBK"/>
                <w:color w:val="auto"/>
                <w:sz w:val="21"/>
                <w:szCs w:val="21"/>
                <w:highlight w:val="none"/>
              </w:rPr>
            </w:pPr>
          </w:p>
        </w:tc>
        <w:tc>
          <w:tcPr>
            <w:tcW w:w="1344" w:type="dxa"/>
          </w:tcPr>
          <w:p w14:paraId="14F46C70">
            <w:pPr>
              <w:jc w:val="center"/>
              <w:rPr>
                <w:rFonts w:ascii="方正仿宋_GBK" w:hAnsi="宋体" w:eastAsia="方正仿宋_GBK"/>
                <w:color w:val="auto"/>
                <w:sz w:val="21"/>
                <w:szCs w:val="21"/>
                <w:highlight w:val="none"/>
              </w:rPr>
            </w:pPr>
          </w:p>
        </w:tc>
      </w:tr>
      <w:tr w14:paraId="03C2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1614517">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w:t>
            </w:r>
          </w:p>
        </w:tc>
        <w:tc>
          <w:tcPr>
            <w:tcW w:w="1695" w:type="dxa"/>
            <w:vAlign w:val="center"/>
          </w:tcPr>
          <w:p w14:paraId="02E604DE">
            <w:pPr>
              <w:jc w:val="center"/>
              <w:rPr>
                <w:rFonts w:ascii="方正仿宋_GBK" w:hAnsi="宋体" w:eastAsia="方正仿宋_GBK"/>
                <w:color w:val="auto"/>
                <w:sz w:val="21"/>
                <w:szCs w:val="21"/>
                <w:highlight w:val="none"/>
              </w:rPr>
            </w:pPr>
          </w:p>
        </w:tc>
        <w:tc>
          <w:tcPr>
            <w:tcW w:w="3404" w:type="dxa"/>
          </w:tcPr>
          <w:p w14:paraId="16A5E2D3">
            <w:pPr>
              <w:jc w:val="center"/>
              <w:rPr>
                <w:rFonts w:ascii="方正仿宋_GBK" w:hAnsi="宋体" w:eastAsia="方正仿宋_GBK"/>
                <w:color w:val="auto"/>
                <w:sz w:val="21"/>
                <w:szCs w:val="21"/>
                <w:highlight w:val="none"/>
              </w:rPr>
            </w:pPr>
          </w:p>
        </w:tc>
        <w:tc>
          <w:tcPr>
            <w:tcW w:w="1344" w:type="dxa"/>
            <w:vAlign w:val="center"/>
          </w:tcPr>
          <w:p w14:paraId="1E30A9EA">
            <w:pPr>
              <w:jc w:val="center"/>
              <w:rPr>
                <w:rFonts w:ascii="方正仿宋_GBK" w:hAnsi="宋体" w:eastAsia="方正仿宋_GBK"/>
                <w:color w:val="auto"/>
                <w:sz w:val="21"/>
                <w:szCs w:val="21"/>
                <w:highlight w:val="none"/>
              </w:rPr>
            </w:pPr>
          </w:p>
        </w:tc>
        <w:tc>
          <w:tcPr>
            <w:tcW w:w="1344" w:type="dxa"/>
          </w:tcPr>
          <w:p w14:paraId="7249DA3C">
            <w:pPr>
              <w:jc w:val="center"/>
              <w:rPr>
                <w:rFonts w:ascii="方正仿宋_GBK" w:hAnsi="宋体" w:eastAsia="方正仿宋_GBK"/>
                <w:color w:val="auto"/>
                <w:sz w:val="21"/>
                <w:szCs w:val="21"/>
                <w:highlight w:val="none"/>
              </w:rPr>
            </w:pPr>
          </w:p>
        </w:tc>
        <w:tc>
          <w:tcPr>
            <w:tcW w:w="1344" w:type="dxa"/>
          </w:tcPr>
          <w:p w14:paraId="65865AD4">
            <w:pPr>
              <w:jc w:val="center"/>
              <w:rPr>
                <w:rFonts w:ascii="方正仿宋_GBK" w:hAnsi="宋体" w:eastAsia="方正仿宋_GBK"/>
                <w:color w:val="auto"/>
                <w:sz w:val="21"/>
                <w:szCs w:val="21"/>
                <w:highlight w:val="none"/>
              </w:rPr>
            </w:pPr>
          </w:p>
        </w:tc>
      </w:tr>
      <w:tr w14:paraId="492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F9C67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7</w:t>
            </w:r>
          </w:p>
        </w:tc>
        <w:tc>
          <w:tcPr>
            <w:tcW w:w="1695" w:type="dxa"/>
            <w:vAlign w:val="center"/>
          </w:tcPr>
          <w:p w14:paraId="3F0D5ECE">
            <w:pPr>
              <w:jc w:val="center"/>
              <w:rPr>
                <w:rFonts w:ascii="方正仿宋_GBK" w:hAnsi="宋体" w:eastAsia="方正仿宋_GBK"/>
                <w:color w:val="auto"/>
                <w:sz w:val="21"/>
                <w:szCs w:val="21"/>
                <w:highlight w:val="none"/>
              </w:rPr>
            </w:pPr>
          </w:p>
        </w:tc>
        <w:tc>
          <w:tcPr>
            <w:tcW w:w="3404" w:type="dxa"/>
          </w:tcPr>
          <w:p w14:paraId="76F158A2">
            <w:pPr>
              <w:jc w:val="center"/>
              <w:rPr>
                <w:rFonts w:ascii="方正仿宋_GBK" w:hAnsi="宋体" w:eastAsia="方正仿宋_GBK"/>
                <w:color w:val="auto"/>
                <w:sz w:val="21"/>
                <w:szCs w:val="21"/>
                <w:highlight w:val="none"/>
              </w:rPr>
            </w:pPr>
          </w:p>
        </w:tc>
        <w:tc>
          <w:tcPr>
            <w:tcW w:w="1344" w:type="dxa"/>
            <w:vAlign w:val="center"/>
          </w:tcPr>
          <w:p w14:paraId="075FD086">
            <w:pPr>
              <w:jc w:val="center"/>
              <w:rPr>
                <w:rFonts w:ascii="方正仿宋_GBK" w:hAnsi="宋体" w:eastAsia="方正仿宋_GBK"/>
                <w:color w:val="auto"/>
                <w:sz w:val="21"/>
                <w:szCs w:val="21"/>
                <w:highlight w:val="none"/>
              </w:rPr>
            </w:pPr>
          </w:p>
        </w:tc>
        <w:tc>
          <w:tcPr>
            <w:tcW w:w="1344" w:type="dxa"/>
          </w:tcPr>
          <w:p w14:paraId="6DF08BF0">
            <w:pPr>
              <w:jc w:val="center"/>
              <w:rPr>
                <w:rFonts w:ascii="方正仿宋_GBK" w:hAnsi="宋体" w:eastAsia="方正仿宋_GBK"/>
                <w:color w:val="auto"/>
                <w:sz w:val="21"/>
                <w:szCs w:val="21"/>
                <w:highlight w:val="none"/>
              </w:rPr>
            </w:pPr>
          </w:p>
        </w:tc>
        <w:tc>
          <w:tcPr>
            <w:tcW w:w="1344" w:type="dxa"/>
          </w:tcPr>
          <w:p w14:paraId="7FD10C9F">
            <w:pPr>
              <w:jc w:val="center"/>
              <w:rPr>
                <w:rFonts w:ascii="方正仿宋_GBK" w:hAnsi="宋体" w:eastAsia="方正仿宋_GBK"/>
                <w:color w:val="auto"/>
                <w:sz w:val="21"/>
                <w:szCs w:val="21"/>
                <w:highlight w:val="none"/>
              </w:rPr>
            </w:pPr>
          </w:p>
        </w:tc>
      </w:tr>
      <w:tr w14:paraId="52C3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7EB7B13">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8</w:t>
            </w:r>
          </w:p>
        </w:tc>
        <w:tc>
          <w:tcPr>
            <w:tcW w:w="1695" w:type="dxa"/>
            <w:vAlign w:val="center"/>
          </w:tcPr>
          <w:p w14:paraId="09C397AF">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人工费</w:t>
            </w:r>
          </w:p>
        </w:tc>
        <w:tc>
          <w:tcPr>
            <w:tcW w:w="3404" w:type="dxa"/>
          </w:tcPr>
          <w:p w14:paraId="5AE73528">
            <w:pPr>
              <w:jc w:val="center"/>
              <w:rPr>
                <w:rFonts w:ascii="方正仿宋_GBK" w:hAnsi="宋体" w:eastAsia="方正仿宋_GBK"/>
                <w:color w:val="auto"/>
                <w:sz w:val="21"/>
                <w:szCs w:val="21"/>
                <w:highlight w:val="none"/>
              </w:rPr>
            </w:pPr>
          </w:p>
        </w:tc>
        <w:tc>
          <w:tcPr>
            <w:tcW w:w="1344" w:type="dxa"/>
            <w:vAlign w:val="center"/>
          </w:tcPr>
          <w:p w14:paraId="3ADCC9EC">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2C08EC69">
            <w:pPr>
              <w:jc w:val="center"/>
              <w:rPr>
                <w:rFonts w:ascii="方正仿宋_GBK" w:hAnsi="宋体" w:eastAsia="方正仿宋_GBK"/>
                <w:color w:val="auto"/>
                <w:sz w:val="21"/>
                <w:szCs w:val="21"/>
                <w:highlight w:val="none"/>
              </w:rPr>
            </w:pPr>
          </w:p>
        </w:tc>
        <w:tc>
          <w:tcPr>
            <w:tcW w:w="1344" w:type="dxa"/>
          </w:tcPr>
          <w:p w14:paraId="30ECD713">
            <w:pPr>
              <w:jc w:val="center"/>
              <w:rPr>
                <w:rFonts w:ascii="方正仿宋_GBK" w:hAnsi="宋体" w:eastAsia="方正仿宋_GBK"/>
                <w:color w:val="auto"/>
                <w:sz w:val="21"/>
                <w:szCs w:val="21"/>
                <w:highlight w:val="none"/>
              </w:rPr>
            </w:pPr>
          </w:p>
        </w:tc>
      </w:tr>
      <w:tr w14:paraId="2969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5F6007A">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9</w:t>
            </w:r>
          </w:p>
        </w:tc>
        <w:tc>
          <w:tcPr>
            <w:tcW w:w="1695" w:type="dxa"/>
            <w:vAlign w:val="center"/>
          </w:tcPr>
          <w:p w14:paraId="64F3CD24">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运输费</w:t>
            </w:r>
          </w:p>
        </w:tc>
        <w:tc>
          <w:tcPr>
            <w:tcW w:w="3404" w:type="dxa"/>
          </w:tcPr>
          <w:p w14:paraId="1EAD2611">
            <w:pPr>
              <w:jc w:val="center"/>
              <w:rPr>
                <w:rFonts w:ascii="方正仿宋_GBK" w:hAnsi="宋体" w:eastAsia="方正仿宋_GBK"/>
                <w:color w:val="auto"/>
                <w:sz w:val="21"/>
                <w:szCs w:val="21"/>
                <w:highlight w:val="none"/>
              </w:rPr>
            </w:pPr>
          </w:p>
        </w:tc>
        <w:tc>
          <w:tcPr>
            <w:tcW w:w="1344" w:type="dxa"/>
            <w:vAlign w:val="center"/>
          </w:tcPr>
          <w:p w14:paraId="7218CA63">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582E6C58">
            <w:pPr>
              <w:jc w:val="center"/>
              <w:rPr>
                <w:rFonts w:ascii="方正仿宋_GBK" w:hAnsi="宋体" w:eastAsia="方正仿宋_GBK"/>
                <w:color w:val="auto"/>
                <w:sz w:val="21"/>
                <w:szCs w:val="21"/>
                <w:highlight w:val="none"/>
              </w:rPr>
            </w:pPr>
          </w:p>
        </w:tc>
        <w:tc>
          <w:tcPr>
            <w:tcW w:w="1344" w:type="dxa"/>
          </w:tcPr>
          <w:p w14:paraId="46BDA973">
            <w:pPr>
              <w:jc w:val="center"/>
              <w:rPr>
                <w:rFonts w:ascii="方正仿宋_GBK" w:hAnsi="宋体" w:eastAsia="方正仿宋_GBK"/>
                <w:color w:val="auto"/>
                <w:sz w:val="21"/>
                <w:szCs w:val="21"/>
                <w:highlight w:val="none"/>
              </w:rPr>
            </w:pPr>
          </w:p>
        </w:tc>
      </w:tr>
      <w:tr w14:paraId="171C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D18C360">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1695" w:type="dxa"/>
            <w:vAlign w:val="center"/>
          </w:tcPr>
          <w:p w14:paraId="3A77140B">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其他费用</w:t>
            </w:r>
          </w:p>
        </w:tc>
        <w:tc>
          <w:tcPr>
            <w:tcW w:w="3404" w:type="dxa"/>
          </w:tcPr>
          <w:p w14:paraId="4E854A7C">
            <w:pPr>
              <w:jc w:val="center"/>
              <w:rPr>
                <w:rFonts w:ascii="方正仿宋_GBK" w:hAnsi="宋体" w:eastAsia="方正仿宋_GBK"/>
                <w:color w:val="auto"/>
                <w:sz w:val="21"/>
                <w:szCs w:val="21"/>
                <w:highlight w:val="none"/>
              </w:rPr>
            </w:pPr>
          </w:p>
        </w:tc>
        <w:tc>
          <w:tcPr>
            <w:tcW w:w="1344" w:type="dxa"/>
            <w:vAlign w:val="center"/>
          </w:tcPr>
          <w:p w14:paraId="6C3E0BA0">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729F0DD9">
            <w:pPr>
              <w:jc w:val="center"/>
              <w:rPr>
                <w:rFonts w:ascii="方正仿宋_GBK" w:hAnsi="宋体" w:eastAsia="方正仿宋_GBK"/>
                <w:color w:val="auto"/>
                <w:sz w:val="21"/>
                <w:szCs w:val="21"/>
                <w:highlight w:val="none"/>
              </w:rPr>
            </w:pPr>
          </w:p>
        </w:tc>
        <w:tc>
          <w:tcPr>
            <w:tcW w:w="1344" w:type="dxa"/>
          </w:tcPr>
          <w:p w14:paraId="6DE3EAD5">
            <w:pPr>
              <w:jc w:val="center"/>
              <w:rPr>
                <w:rFonts w:ascii="方正仿宋_GBK" w:hAnsi="宋体" w:eastAsia="方正仿宋_GBK"/>
                <w:color w:val="auto"/>
                <w:sz w:val="21"/>
                <w:szCs w:val="21"/>
                <w:highlight w:val="none"/>
              </w:rPr>
            </w:pPr>
          </w:p>
        </w:tc>
      </w:tr>
      <w:tr w14:paraId="5CFC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F4990E">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11</w:t>
            </w:r>
          </w:p>
        </w:tc>
        <w:tc>
          <w:tcPr>
            <w:tcW w:w="1695" w:type="dxa"/>
            <w:vAlign w:val="center"/>
          </w:tcPr>
          <w:p w14:paraId="3C358356">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3404" w:type="dxa"/>
          </w:tcPr>
          <w:p w14:paraId="0352D2C8">
            <w:pPr>
              <w:jc w:val="center"/>
              <w:rPr>
                <w:rFonts w:ascii="方正仿宋_GBK" w:hAnsi="宋体" w:eastAsia="方正仿宋_GBK"/>
                <w:color w:val="auto"/>
                <w:sz w:val="21"/>
                <w:szCs w:val="21"/>
                <w:highlight w:val="none"/>
              </w:rPr>
            </w:pPr>
          </w:p>
        </w:tc>
        <w:tc>
          <w:tcPr>
            <w:tcW w:w="1344" w:type="dxa"/>
            <w:vAlign w:val="center"/>
          </w:tcPr>
          <w:p w14:paraId="430D3CAF">
            <w:pPr>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p>
        </w:tc>
        <w:tc>
          <w:tcPr>
            <w:tcW w:w="1344" w:type="dxa"/>
          </w:tcPr>
          <w:p w14:paraId="22AC6C40">
            <w:pPr>
              <w:jc w:val="center"/>
              <w:rPr>
                <w:rFonts w:ascii="方正仿宋_GBK" w:hAnsi="宋体" w:eastAsia="方正仿宋_GBK"/>
                <w:color w:val="auto"/>
                <w:sz w:val="21"/>
                <w:szCs w:val="21"/>
                <w:highlight w:val="none"/>
              </w:rPr>
            </w:pPr>
          </w:p>
        </w:tc>
        <w:tc>
          <w:tcPr>
            <w:tcW w:w="1344" w:type="dxa"/>
          </w:tcPr>
          <w:p w14:paraId="297A8649">
            <w:pPr>
              <w:jc w:val="center"/>
              <w:rPr>
                <w:rFonts w:ascii="方正仿宋_GBK" w:hAnsi="宋体" w:eastAsia="方正仿宋_GBK"/>
                <w:color w:val="auto"/>
                <w:sz w:val="21"/>
                <w:szCs w:val="21"/>
                <w:highlight w:val="none"/>
              </w:rPr>
            </w:pPr>
          </w:p>
        </w:tc>
      </w:tr>
      <w:tr w14:paraId="0935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0AE155">
            <w:pPr>
              <w:pStyle w:val="5"/>
              <w:spacing w:line="240" w:lineRule="atLeast"/>
              <w:ind w:left="112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12</w:t>
            </w:r>
          </w:p>
        </w:tc>
        <w:tc>
          <w:tcPr>
            <w:tcW w:w="1695" w:type="dxa"/>
            <w:vAlign w:val="center"/>
          </w:tcPr>
          <w:p w14:paraId="6246E088">
            <w:pPr>
              <w:jc w:val="center"/>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rPr>
              <w:t>项目报价</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lang w:val="en-US" w:eastAsia="zh-CN"/>
              </w:rPr>
              <w:t>元</w:t>
            </w:r>
            <w:r>
              <w:rPr>
                <w:rFonts w:hint="eastAsia" w:ascii="方正仿宋_GBK" w:hAnsi="宋体" w:eastAsia="方正仿宋_GBK"/>
                <w:color w:val="auto"/>
                <w:sz w:val="21"/>
                <w:szCs w:val="21"/>
                <w:highlight w:val="none"/>
                <w:lang w:eastAsia="zh-CN"/>
              </w:rPr>
              <w:t>）</w:t>
            </w:r>
          </w:p>
        </w:tc>
        <w:tc>
          <w:tcPr>
            <w:tcW w:w="7436" w:type="dxa"/>
            <w:gridSpan w:val="4"/>
          </w:tcPr>
          <w:p w14:paraId="40AB3FBC">
            <w:pPr>
              <w:rPr>
                <w:rFonts w:hint="default"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 xml:space="preserve">                         </w:t>
            </w:r>
          </w:p>
        </w:tc>
      </w:tr>
    </w:tbl>
    <w:p w14:paraId="1D7E3163">
      <w:pPr>
        <w:snapToGrid w:val="0"/>
        <w:spacing w:line="500" w:lineRule="exact"/>
        <w:ind w:firstLine="480" w:firstLineChars="200"/>
        <w:rPr>
          <w:rFonts w:ascii="方正仿宋_GBK" w:hAnsi="宋体" w:eastAsia="方正仿宋_GBK"/>
          <w:color w:val="auto"/>
          <w:sz w:val="24"/>
          <w:szCs w:val="28"/>
          <w:highlight w:val="none"/>
        </w:rPr>
      </w:pPr>
    </w:p>
    <w:p w14:paraId="5341D429">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注：1、请供应商完整填写本表。</w:t>
      </w:r>
    </w:p>
    <w:p w14:paraId="2170BD34">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2、该表可扩展，并逐页签字或盖章。</w:t>
      </w:r>
    </w:p>
    <w:p w14:paraId="20880437">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3、该表</w:t>
      </w:r>
      <w:r>
        <w:rPr>
          <w:rFonts w:hint="eastAsia" w:ascii="宋体" w:hAnsi="宋体" w:cs="宋体"/>
          <w:color w:val="auto"/>
          <w:sz w:val="24"/>
          <w:szCs w:val="28"/>
          <w:highlight w:val="none"/>
          <w:lang w:val="en-US" w:eastAsia="zh-CN"/>
        </w:rPr>
        <w:t>由供应商自主填报</w:t>
      </w:r>
      <w:r>
        <w:rPr>
          <w:rFonts w:hint="eastAsia" w:ascii="宋体" w:hAnsi="宋体" w:eastAsia="宋体" w:cs="宋体"/>
          <w:color w:val="auto"/>
          <w:sz w:val="24"/>
          <w:szCs w:val="28"/>
          <w:highlight w:val="none"/>
        </w:rPr>
        <w:t>。</w:t>
      </w:r>
    </w:p>
    <w:p w14:paraId="3BAD40D4">
      <w:pPr>
        <w:snapToGrid w:val="0"/>
        <w:spacing w:line="500" w:lineRule="exact"/>
        <w:ind w:firstLine="480" w:firstLineChars="200"/>
        <w:rPr>
          <w:rFonts w:hint="eastAsia" w:ascii="宋体" w:hAnsi="宋体" w:eastAsia="宋体" w:cs="宋体"/>
          <w:color w:val="auto"/>
          <w:sz w:val="24"/>
          <w:szCs w:val="28"/>
          <w:highlight w:val="none"/>
        </w:rPr>
      </w:pPr>
    </w:p>
    <w:p w14:paraId="4437EDC7">
      <w:pPr>
        <w:pStyle w:val="11"/>
        <w:spacing w:line="360" w:lineRule="auto"/>
        <w:rPr>
          <w:rFonts w:hint="eastAsia" w:ascii="宋体" w:hAnsi="宋体" w:eastAsia="宋体" w:cs="宋体"/>
          <w:color w:val="auto"/>
          <w:sz w:val="24"/>
          <w:szCs w:val="24"/>
          <w:highlight w:val="none"/>
        </w:rPr>
      </w:pPr>
    </w:p>
    <w:p w14:paraId="2D97E200">
      <w:pPr>
        <w:pStyle w:val="1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5CC9C7">
      <w:pPr>
        <w:rPr>
          <w:rFonts w:hint="eastAsia" w:ascii="宋体" w:hAnsi="宋体" w:eastAsia="宋体" w:cs="宋体"/>
          <w:color w:val="auto"/>
          <w:highlight w:val="none"/>
        </w:rPr>
      </w:pPr>
    </w:p>
    <w:p w14:paraId="6EE99FB0">
      <w:pPr>
        <w:rPr>
          <w:rFonts w:hint="eastAsia" w:ascii="宋体" w:hAnsi="宋体" w:eastAsia="宋体" w:cs="宋体"/>
          <w:color w:val="auto"/>
          <w:highlight w:val="none"/>
        </w:rPr>
      </w:pPr>
    </w:p>
    <w:p w14:paraId="7D218A85">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137FC401">
      <w:pPr>
        <w:spacing w:line="360" w:lineRule="auto"/>
        <w:ind w:right="48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80752DA">
      <w:pPr>
        <w:snapToGrid w:val="0"/>
        <w:spacing w:line="360" w:lineRule="auto"/>
        <w:ind w:firstLine="480" w:firstLineChars="200"/>
        <w:rPr>
          <w:rFonts w:hint="eastAsia" w:ascii="宋体" w:hAnsi="宋体" w:eastAsia="宋体" w:cs="宋体"/>
          <w:color w:val="auto"/>
          <w:sz w:val="24"/>
          <w:szCs w:val="24"/>
          <w:highlight w:val="none"/>
          <w:bdr w:val="single" w:color="auto" w:sz="4" w:space="0"/>
        </w:rPr>
      </w:pPr>
    </w:p>
    <w:p w14:paraId="33FF51CE">
      <w:pPr>
        <w:pStyle w:val="4"/>
        <w:rPr>
          <w:rFonts w:hint="eastAsia" w:ascii="宋体" w:hAnsi="宋体" w:eastAsia="宋体" w:cs="宋体"/>
          <w:color w:val="auto"/>
          <w:sz w:val="24"/>
          <w:szCs w:val="24"/>
          <w:highlight w:val="none"/>
          <w:bdr w:val="single" w:color="auto" w:sz="4" w:space="0"/>
        </w:rPr>
      </w:pPr>
    </w:p>
    <w:p w14:paraId="244B902A">
      <w:pPr>
        <w:pStyle w:val="15"/>
        <w:rPr>
          <w:rFonts w:hint="eastAsia" w:ascii="宋体" w:hAnsi="宋体" w:eastAsia="宋体" w:cs="宋体"/>
          <w:color w:val="auto"/>
          <w:highlight w:val="none"/>
        </w:rPr>
      </w:pPr>
    </w:p>
    <w:p w14:paraId="73384D6B">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2" w:name="_Toc313008357"/>
      <w:bookmarkStart w:id="143" w:name="_Toc22260"/>
      <w:bookmarkStart w:id="144" w:name="_Toc76462351"/>
      <w:bookmarkStart w:id="145" w:name="_Toc342913420"/>
      <w:bookmarkStart w:id="146" w:name="_Toc313888361"/>
      <w:r>
        <w:rPr>
          <w:rFonts w:hint="eastAsia" w:ascii="宋体" w:hAnsi="宋体" w:eastAsia="宋体" w:cs="宋体"/>
          <w:color w:val="auto"/>
          <w:sz w:val="24"/>
          <w:highlight w:val="none"/>
        </w:rPr>
        <w:t>二、服务部分</w:t>
      </w:r>
      <w:bookmarkEnd w:id="142"/>
      <w:bookmarkEnd w:id="143"/>
      <w:bookmarkEnd w:id="144"/>
      <w:bookmarkEnd w:id="145"/>
      <w:bookmarkEnd w:id="146"/>
    </w:p>
    <w:p w14:paraId="716DA4EA">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（一）服务响应偏离表                       </w:t>
      </w:r>
    </w:p>
    <w:p w14:paraId="3310B2E5">
      <w:pPr>
        <w:spacing w:line="400" w:lineRule="exact"/>
        <w:ind w:left="2162" w:leftChars="172" w:hanging="1680" w:hangingChars="7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询比项目名称：</w:t>
      </w:r>
    </w:p>
    <w:p w14:paraId="0D9EDDFB">
      <w:pPr>
        <w:pStyle w:val="4"/>
        <w:rPr>
          <w:rFonts w:hint="eastAsia" w:ascii="宋体" w:hAnsi="宋体" w:eastAsia="宋体" w:cs="宋体"/>
          <w:color w:val="auto"/>
          <w:highlight w:val="none"/>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071"/>
        <w:gridCol w:w="3188"/>
        <w:gridCol w:w="2389"/>
      </w:tblGrid>
      <w:tr w14:paraId="745F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60" w:type="pct"/>
            <w:noWrap w:val="0"/>
            <w:vAlign w:val="center"/>
          </w:tcPr>
          <w:p w14:paraId="64FD3F7A">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41" w:type="pct"/>
            <w:noWrap w:val="0"/>
            <w:vAlign w:val="center"/>
          </w:tcPr>
          <w:p w14:paraId="35F0C8EB">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1600" w:type="pct"/>
            <w:noWrap w:val="0"/>
            <w:vAlign w:val="center"/>
          </w:tcPr>
          <w:p w14:paraId="5DC52CD3">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99" w:type="pct"/>
            <w:noWrap w:val="0"/>
            <w:vAlign w:val="center"/>
          </w:tcPr>
          <w:p w14:paraId="64B5976D">
            <w:pPr>
              <w:tabs>
                <w:tab w:val="left" w:pos="6300"/>
              </w:tabs>
              <w:snapToGrid w:val="0"/>
              <w:spacing w:line="5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差异说明</w:t>
            </w:r>
          </w:p>
        </w:tc>
      </w:tr>
      <w:tr w14:paraId="6AAC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FC9EC5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187A23A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15818AF8">
            <w:pPr>
              <w:tabs>
                <w:tab w:val="left" w:pos="6300"/>
              </w:tabs>
              <w:snapToGrid w:val="0"/>
              <w:spacing w:line="500" w:lineRule="exact"/>
              <w:outlineLvl w:val="0"/>
              <w:rPr>
                <w:rFonts w:hint="eastAsia" w:ascii="宋体" w:hAnsi="宋体" w:eastAsia="宋体" w:cs="宋体"/>
                <w:color w:val="auto"/>
                <w:sz w:val="21"/>
                <w:szCs w:val="21"/>
                <w:highlight w:val="none"/>
              </w:rPr>
            </w:pPr>
          </w:p>
        </w:tc>
        <w:tc>
          <w:tcPr>
            <w:tcW w:w="1199" w:type="pct"/>
            <w:noWrap w:val="0"/>
            <w:vAlign w:val="center"/>
          </w:tcPr>
          <w:p w14:paraId="1FBF9A3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4729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093E3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54AD1A0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66785B3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4C133EB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451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F3AB02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5FEE7AD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D2DB60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A2FC45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748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14E5E4D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0B78228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8F228F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53426CA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B35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956A618">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7F99630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3C389B6B">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5F5968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D56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237B3AC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444C137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29806E0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6D581725">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6AB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249BE9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340B3104">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3850AA4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269A58E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33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7AD716DA">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17B93D2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7D457351">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172742A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69B5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07DC667C">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6F6D3C6F">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4A949A3D">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7D1F1A13">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r w14:paraId="5FA1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14:paraId="6B023F82">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541" w:type="pct"/>
            <w:noWrap w:val="0"/>
            <w:vAlign w:val="center"/>
          </w:tcPr>
          <w:p w14:paraId="6EFA1507">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600" w:type="pct"/>
            <w:noWrap w:val="0"/>
            <w:vAlign w:val="center"/>
          </w:tcPr>
          <w:p w14:paraId="0C748310">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c>
          <w:tcPr>
            <w:tcW w:w="1199" w:type="pct"/>
            <w:noWrap w:val="0"/>
            <w:vAlign w:val="center"/>
          </w:tcPr>
          <w:p w14:paraId="39365F6E">
            <w:pPr>
              <w:tabs>
                <w:tab w:val="left" w:pos="6300"/>
              </w:tabs>
              <w:snapToGrid w:val="0"/>
              <w:spacing w:line="500" w:lineRule="exact"/>
              <w:jc w:val="center"/>
              <w:outlineLvl w:val="0"/>
              <w:rPr>
                <w:rFonts w:hint="eastAsia" w:ascii="宋体" w:hAnsi="宋体" w:eastAsia="宋体" w:cs="宋体"/>
                <w:color w:val="auto"/>
                <w:sz w:val="21"/>
                <w:szCs w:val="21"/>
                <w:highlight w:val="none"/>
              </w:rPr>
            </w:pPr>
          </w:p>
        </w:tc>
      </w:tr>
    </w:tbl>
    <w:p w14:paraId="2107B5D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78A291D3">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670B2661">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44D02A3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5D6B67F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E89B9C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本表即为对本项目“第二篇  项目服务需求”中所列条款进行比较和响应；</w:t>
      </w:r>
    </w:p>
    <w:p w14:paraId="2A90FAB3">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2.根据响应情况在“差异说明”项填写正偏离或负偏离，完全符合的填写“无差异”；</w:t>
      </w:r>
    </w:p>
    <w:p w14:paraId="4DF11E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2EF5AE49">
      <w:pPr>
        <w:pStyle w:val="4"/>
        <w:rPr>
          <w:rFonts w:hint="eastAsia" w:ascii="宋体" w:hAnsi="宋体" w:eastAsia="宋体" w:cs="宋体"/>
          <w:color w:val="auto"/>
          <w:sz w:val="24"/>
          <w:highlight w:val="none"/>
        </w:rPr>
      </w:pPr>
    </w:p>
    <w:p w14:paraId="0E37C236">
      <w:pPr>
        <w:pStyle w:val="15"/>
        <w:rPr>
          <w:rFonts w:hint="eastAsia" w:ascii="宋体" w:hAnsi="宋体" w:eastAsia="宋体" w:cs="宋体"/>
          <w:color w:val="auto"/>
          <w:highlight w:val="none"/>
        </w:rPr>
      </w:pPr>
    </w:p>
    <w:p w14:paraId="3FCAEF37">
      <w:pPr>
        <w:snapToGrid w:val="0"/>
        <w:spacing w:line="400" w:lineRule="exact"/>
        <w:ind w:firstLine="480" w:firstLineChars="200"/>
        <w:jc w:val="left"/>
        <w:rPr>
          <w:rFonts w:hint="eastAsia" w:ascii="宋体" w:hAnsi="宋体" w:eastAsia="宋体" w:cs="宋体"/>
          <w:color w:val="auto"/>
          <w:sz w:val="24"/>
          <w:szCs w:val="24"/>
          <w:highlight w:val="none"/>
        </w:rPr>
      </w:pPr>
    </w:p>
    <w:p w14:paraId="626D8859">
      <w:pPr>
        <w:snapToGrid w:val="0"/>
        <w:spacing w:line="400" w:lineRule="exact"/>
        <w:ind w:firstLine="480" w:firstLineChars="200"/>
        <w:jc w:val="left"/>
        <w:rPr>
          <w:rFonts w:hint="eastAsia" w:ascii="宋体" w:hAnsi="宋体" w:eastAsia="宋体" w:cs="宋体"/>
          <w:color w:val="auto"/>
          <w:sz w:val="24"/>
          <w:szCs w:val="24"/>
          <w:highlight w:val="none"/>
        </w:rPr>
      </w:pPr>
    </w:p>
    <w:p w14:paraId="73493C03">
      <w:pPr>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服务方案等</w:t>
      </w:r>
      <w:r>
        <w:rPr>
          <w:rFonts w:hint="eastAsia" w:ascii="宋体" w:hAnsi="宋体" w:eastAsia="宋体" w:cs="宋体"/>
          <w:color w:val="auto"/>
          <w:sz w:val="24"/>
          <w:szCs w:val="24"/>
          <w:highlight w:val="none"/>
        </w:rPr>
        <w:t>其他资料（格式自定）</w:t>
      </w:r>
    </w:p>
    <w:p w14:paraId="03BD6CE9">
      <w:pPr>
        <w:tabs>
          <w:tab w:val="left" w:pos="6300"/>
        </w:tabs>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br w:type="page"/>
      </w:r>
    </w:p>
    <w:p w14:paraId="70F9EED8">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p>
    <w:p w14:paraId="158694D8">
      <w:pPr>
        <w:pStyle w:val="3"/>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147" w:name="_Toc313888362"/>
      <w:bookmarkStart w:id="148" w:name="_Toc76462352"/>
      <w:bookmarkStart w:id="149" w:name="_Toc342913421"/>
      <w:bookmarkStart w:id="150" w:name="_Toc21636"/>
      <w:bookmarkStart w:id="151" w:name="_Toc313008358"/>
      <w:r>
        <w:rPr>
          <w:rFonts w:hint="eastAsia" w:ascii="宋体" w:hAnsi="宋体" w:eastAsia="宋体" w:cs="宋体"/>
          <w:color w:val="auto"/>
          <w:sz w:val="24"/>
          <w:highlight w:val="none"/>
        </w:rPr>
        <w:t>三、商务部分</w:t>
      </w:r>
      <w:bookmarkEnd w:id="147"/>
      <w:bookmarkEnd w:id="148"/>
      <w:bookmarkEnd w:id="149"/>
      <w:bookmarkEnd w:id="150"/>
      <w:bookmarkEnd w:id="151"/>
    </w:p>
    <w:p w14:paraId="083FD94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（一）商务响应偏离表                             </w:t>
      </w:r>
    </w:p>
    <w:p w14:paraId="10E9D8DD">
      <w:pPr>
        <w:snapToGrid w:val="0"/>
        <w:spacing w:line="400" w:lineRule="exact"/>
        <w:ind w:left="2282" w:leftChars="172" w:hanging="1800" w:hangingChars="7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询比项目名称： </w:t>
      </w:r>
    </w:p>
    <w:p w14:paraId="511E8C7C">
      <w:pPr>
        <w:pStyle w:val="4"/>
        <w:rPr>
          <w:rFonts w:hint="eastAsia" w:ascii="宋体" w:hAnsi="宋体" w:eastAsia="宋体" w:cs="宋体"/>
          <w:color w:val="auto"/>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3AA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5E1EF381">
            <w:pPr>
              <w:snapToGrid w:val="0"/>
              <w:spacing w:line="360" w:lineRule="auto"/>
              <w:ind w:firstLine="465"/>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noWrap w:val="0"/>
            <w:vAlign w:val="center"/>
          </w:tcPr>
          <w:p w14:paraId="5A4D3BE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询比项目商务需求</w:t>
            </w:r>
          </w:p>
        </w:tc>
        <w:tc>
          <w:tcPr>
            <w:tcW w:w="2434" w:type="dxa"/>
            <w:noWrap w:val="0"/>
            <w:vAlign w:val="center"/>
          </w:tcPr>
          <w:p w14:paraId="21D070E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noWrap w:val="0"/>
            <w:vAlign w:val="center"/>
          </w:tcPr>
          <w:p w14:paraId="423FC00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偏离说明</w:t>
            </w:r>
          </w:p>
        </w:tc>
      </w:tr>
      <w:tr w14:paraId="0E16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2A2795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795A56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52680C9">
            <w:pPr>
              <w:pStyle w:val="2"/>
              <w:rPr>
                <w:rFonts w:hint="eastAsia"/>
                <w:color w:val="auto"/>
                <w:highlight w:val="none"/>
              </w:rPr>
            </w:pPr>
          </w:p>
        </w:tc>
        <w:tc>
          <w:tcPr>
            <w:tcW w:w="2355" w:type="dxa"/>
            <w:noWrap w:val="0"/>
            <w:vAlign w:val="center"/>
          </w:tcPr>
          <w:p w14:paraId="258BFC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5D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6DA24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26A54C3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8D9E2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22B916D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FD2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D71416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64230A5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3B50C0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344C562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085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D7BAA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6B006F5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089AC7F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4164FD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CB0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D45781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50246F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650F406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6DEA9E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333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1C9AAC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noWrap w:val="0"/>
            <w:vAlign w:val="center"/>
          </w:tcPr>
          <w:p w14:paraId="4E854C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noWrap w:val="0"/>
            <w:vAlign w:val="center"/>
          </w:tcPr>
          <w:p w14:paraId="6B9DDAA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noWrap w:val="0"/>
            <w:vAlign w:val="center"/>
          </w:tcPr>
          <w:p w14:paraId="727EFCF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315E6F95">
      <w:pPr>
        <w:snapToGrid w:val="0"/>
        <w:spacing w:line="360" w:lineRule="auto"/>
        <w:ind w:firstLine="465"/>
        <w:rPr>
          <w:rFonts w:hint="eastAsia" w:ascii="宋体" w:hAnsi="宋体" w:eastAsia="宋体" w:cs="宋体"/>
          <w:color w:val="auto"/>
          <w:sz w:val="24"/>
          <w:szCs w:val="24"/>
          <w:highlight w:val="none"/>
        </w:rPr>
      </w:pPr>
    </w:p>
    <w:p w14:paraId="0192D0C6">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供应商：                          </w:t>
      </w:r>
      <w:r>
        <w:rPr>
          <w:rFonts w:hint="eastAsia" w:ascii="宋体" w:hAnsi="宋体" w:eastAsia="宋体" w:cs="宋体"/>
          <w:color w:val="auto"/>
          <w:sz w:val="24"/>
          <w:szCs w:val="24"/>
          <w:highlight w:val="none"/>
        </w:rPr>
        <w:t>法定代表人（或其授权代表）或自然人：</w:t>
      </w:r>
    </w:p>
    <w:p w14:paraId="0504A10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51CFDE2B">
      <w:pP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（签署或盖章）</w:t>
      </w:r>
    </w:p>
    <w:p w14:paraId="71AAC25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37A8A256">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8EFE45D">
      <w:pPr>
        <w:tabs>
          <w:tab w:val="left" w:pos="6300"/>
        </w:tabs>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本表即为对本项目“第三篇  项目商务需求”中所列条款进行比较和响应；</w:t>
      </w:r>
    </w:p>
    <w:p w14:paraId="63735315">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bookmarkStart w:id="152" w:name="_Toc283382459"/>
      <w:r>
        <w:rPr>
          <w:rFonts w:hint="eastAsia" w:ascii="宋体" w:hAnsi="宋体" w:eastAsia="宋体" w:cs="宋体"/>
          <w:color w:val="auto"/>
          <w:sz w:val="24"/>
          <w:szCs w:val="24"/>
          <w:highlight w:val="none"/>
        </w:rPr>
        <w:t>2.根据响应情况在“差异说明”项填写正偏离或负偏离，完全符合的填写“无差异”；</w:t>
      </w:r>
    </w:p>
    <w:p w14:paraId="62134672">
      <w:pPr>
        <w:tabs>
          <w:tab w:val="left" w:pos="6300"/>
        </w:tabs>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3.本表可扩展。</w:t>
      </w:r>
    </w:p>
    <w:p w14:paraId="33C07733">
      <w:pPr>
        <w:pStyle w:val="4"/>
        <w:rPr>
          <w:rFonts w:hint="eastAsia" w:ascii="宋体" w:hAnsi="宋体" w:eastAsia="宋体" w:cs="宋体"/>
          <w:color w:val="auto"/>
          <w:sz w:val="24"/>
          <w:highlight w:val="none"/>
        </w:rPr>
      </w:pPr>
    </w:p>
    <w:p w14:paraId="17B63BFD">
      <w:pPr>
        <w:pStyle w:val="15"/>
        <w:rPr>
          <w:rFonts w:hint="eastAsia" w:ascii="宋体" w:hAnsi="宋体" w:eastAsia="宋体" w:cs="宋体"/>
          <w:color w:val="auto"/>
          <w:sz w:val="24"/>
          <w:highlight w:val="none"/>
        </w:rPr>
      </w:pPr>
    </w:p>
    <w:p w14:paraId="700A5006">
      <w:pPr>
        <w:rPr>
          <w:rFonts w:hint="eastAsia" w:ascii="宋体" w:hAnsi="宋体" w:eastAsia="宋体" w:cs="宋体"/>
          <w:color w:val="auto"/>
          <w:sz w:val="24"/>
          <w:highlight w:val="none"/>
        </w:rPr>
      </w:pPr>
    </w:p>
    <w:p w14:paraId="053EC92D">
      <w:pPr>
        <w:pStyle w:val="4"/>
        <w:rPr>
          <w:rFonts w:hint="eastAsia" w:ascii="宋体" w:hAnsi="宋体" w:eastAsia="宋体" w:cs="宋体"/>
          <w:color w:val="auto"/>
          <w:sz w:val="24"/>
          <w:highlight w:val="none"/>
        </w:rPr>
      </w:pPr>
    </w:p>
    <w:p w14:paraId="050C2358">
      <w:pPr>
        <w:pStyle w:val="15"/>
        <w:rPr>
          <w:rFonts w:hint="eastAsia" w:ascii="宋体" w:hAnsi="宋体" w:eastAsia="宋体" w:cs="宋体"/>
          <w:color w:val="auto"/>
          <w:highlight w:val="none"/>
        </w:rPr>
      </w:pPr>
    </w:p>
    <w:p w14:paraId="71258629">
      <w:pPr>
        <w:snapToGrid w:val="0"/>
        <w:spacing w:line="400" w:lineRule="exact"/>
        <w:rPr>
          <w:rFonts w:hint="eastAsia" w:ascii="宋体" w:hAnsi="宋体" w:eastAsia="宋体" w:cs="宋体"/>
          <w:color w:val="auto"/>
          <w:sz w:val="24"/>
          <w:szCs w:val="24"/>
          <w:highlight w:val="none"/>
        </w:rPr>
      </w:pPr>
    </w:p>
    <w:p w14:paraId="5A3511B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）其它优惠承诺（如果有，格式自定）</w:t>
      </w:r>
    </w:p>
    <w:p w14:paraId="0F750BDF">
      <w:pPr>
        <w:snapToGrid w:val="0"/>
        <w:spacing w:line="400" w:lineRule="exact"/>
        <w:ind w:firstLine="480" w:firstLineChars="200"/>
        <w:rPr>
          <w:rFonts w:hint="eastAsia" w:ascii="宋体" w:hAnsi="宋体" w:eastAsia="宋体" w:cs="宋体"/>
          <w:color w:val="auto"/>
          <w:sz w:val="24"/>
          <w:szCs w:val="24"/>
          <w:highlight w:val="none"/>
        </w:rPr>
      </w:pPr>
    </w:p>
    <w:p w14:paraId="50BB5AF6">
      <w:pPr>
        <w:pStyle w:val="3"/>
        <w:adjustRightInd w:val="0"/>
        <w:snapToGrid w:val="0"/>
        <w:spacing w:before="0" w:after="0"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52"/>
      <w:bookmarkStart w:id="153" w:name="_Toc76462353"/>
      <w:bookmarkStart w:id="154" w:name="_Toc313888363"/>
      <w:bookmarkStart w:id="155" w:name="_Toc313008359"/>
      <w:bookmarkStart w:id="156" w:name="_Toc342913422"/>
      <w:r>
        <w:rPr>
          <w:rFonts w:hint="eastAsia" w:ascii="宋体" w:hAnsi="宋体" w:eastAsia="宋体" w:cs="宋体"/>
          <w:color w:val="auto"/>
          <w:sz w:val="24"/>
          <w:szCs w:val="24"/>
          <w:highlight w:val="none"/>
          <w:lang w:val="en-US" w:eastAsia="zh-CN"/>
        </w:rPr>
        <w:t xml:space="preserve">    </w:t>
      </w:r>
      <w:bookmarkStart w:id="157" w:name="_Toc30794"/>
      <w:r>
        <w:rPr>
          <w:rFonts w:hint="eastAsia" w:ascii="宋体" w:hAnsi="宋体" w:eastAsia="宋体" w:cs="宋体"/>
          <w:color w:val="auto"/>
          <w:sz w:val="24"/>
          <w:highlight w:val="none"/>
        </w:rPr>
        <w:t>四、资格条件</w:t>
      </w:r>
      <w:bookmarkEnd w:id="153"/>
      <w:bookmarkEnd w:id="154"/>
      <w:bookmarkEnd w:id="155"/>
      <w:bookmarkEnd w:id="156"/>
      <w:bookmarkEnd w:id="157"/>
    </w:p>
    <w:p w14:paraId="64DCFE41">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70A31CA0">
      <w:pPr>
        <w:tabs>
          <w:tab w:val="left" w:pos="6300"/>
        </w:tabs>
        <w:snapToGrid w:val="0"/>
        <w:spacing w:line="400" w:lineRule="exact"/>
        <w:ind w:firstLine="570"/>
        <w:rPr>
          <w:rFonts w:hint="eastAsia" w:ascii="宋体" w:hAnsi="宋体" w:eastAsia="宋体" w:cs="宋体"/>
          <w:color w:val="auto"/>
          <w:highlight w:val="none"/>
        </w:rPr>
      </w:pPr>
    </w:p>
    <w:p w14:paraId="5AB9473C">
      <w:pPr>
        <w:tabs>
          <w:tab w:val="left" w:pos="6300"/>
        </w:tabs>
        <w:snapToGrid w:val="0"/>
        <w:spacing w:line="500" w:lineRule="exact"/>
        <w:ind w:firstLine="570"/>
        <w:rPr>
          <w:rFonts w:hint="eastAsia" w:ascii="宋体" w:hAnsi="宋体" w:eastAsia="宋体" w:cs="宋体"/>
          <w:color w:val="auto"/>
          <w:highlight w:val="none"/>
        </w:rPr>
      </w:pPr>
    </w:p>
    <w:p w14:paraId="2E57C717">
      <w:pPr>
        <w:tabs>
          <w:tab w:val="left" w:pos="6300"/>
        </w:tabs>
        <w:snapToGrid w:val="0"/>
        <w:spacing w:line="500" w:lineRule="exact"/>
        <w:ind w:firstLine="570"/>
        <w:rPr>
          <w:rFonts w:hint="eastAsia" w:ascii="宋体" w:hAnsi="宋体" w:eastAsia="宋体" w:cs="宋体"/>
          <w:color w:val="auto"/>
          <w:highlight w:val="none"/>
        </w:rPr>
      </w:pPr>
    </w:p>
    <w:p w14:paraId="7150B8B5">
      <w:pPr>
        <w:tabs>
          <w:tab w:val="left" w:pos="6300"/>
        </w:tabs>
        <w:snapToGrid w:val="0"/>
        <w:spacing w:line="500" w:lineRule="exact"/>
        <w:ind w:firstLine="570"/>
        <w:rPr>
          <w:rFonts w:hint="eastAsia" w:ascii="宋体" w:hAnsi="宋体" w:eastAsia="宋体" w:cs="宋体"/>
          <w:color w:val="auto"/>
          <w:highlight w:val="none"/>
        </w:rPr>
      </w:pPr>
    </w:p>
    <w:p w14:paraId="3C8FBC6D">
      <w:pPr>
        <w:tabs>
          <w:tab w:val="left" w:pos="6300"/>
        </w:tabs>
        <w:snapToGrid w:val="0"/>
        <w:spacing w:line="500" w:lineRule="exact"/>
        <w:ind w:firstLine="570"/>
        <w:rPr>
          <w:rFonts w:hint="eastAsia" w:ascii="宋体" w:hAnsi="宋体" w:eastAsia="宋体" w:cs="宋体"/>
          <w:color w:val="auto"/>
          <w:highlight w:val="none"/>
        </w:rPr>
      </w:pPr>
    </w:p>
    <w:p w14:paraId="53564FD9">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14:paraId="5F91C88F">
      <w:pPr>
        <w:tabs>
          <w:tab w:val="left" w:pos="6300"/>
        </w:tabs>
        <w:snapToGrid w:val="0"/>
        <w:spacing w:line="500" w:lineRule="exact"/>
        <w:ind w:firstLine="570"/>
        <w:rPr>
          <w:rFonts w:hint="eastAsia" w:ascii="宋体" w:hAnsi="宋体" w:eastAsia="宋体" w:cs="宋体"/>
          <w:color w:val="auto"/>
          <w:sz w:val="24"/>
          <w:highlight w:val="none"/>
        </w:rPr>
      </w:pPr>
    </w:p>
    <w:p w14:paraId="321C2C9E">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询比项目名称：</w:t>
      </w:r>
    </w:p>
    <w:p w14:paraId="3888D612">
      <w:pPr>
        <w:tabs>
          <w:tab w:val="left" w:pos="6300"/>
        </w:tabs>
        <w:snapToGrid w:val="0"/>
        <w:spacing w:line="500" w:lineRule="exact"/>
        <w:rPr>
          <w:rFonts w:hint="eastAsia" w:ascii="宋体" w:hAnsi="宋体" w:eastAsia="宋体" w:cs="宋体"/>
          <w:color w:val="auto"/>
          <w:sz w:val="24"/>
          <w:highlight w:val="none"/>
        </w:rPr>
      </w:pPr>
    </w:p>
    <w:p w14:paraId="611D7668">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（采购代理机构名称）：</w:t>
      </w:r>
    </w:p>
    <w:p w14:paraId="3A7522E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D9EFE39">
      <w:pPr>
        <w:tabs>
          <w:tab w:val="left" w:pos="6300"/>
        </w:tabs>
        <w:snapToGrid w:val="0"/>
        <w:spacing w:line="500" w:lineRule="exact"/>
        <w:ind w:firstLine="570"/>
        <w:rPr>
          <w:rFonts w:hint="eastAsia" w:ascii="宋体" w:hAnsi="宋体" w:eastAsia="宋体" w:cs="宋体"/>
          <w:color w:val="auto"/>
          <w:sz w:val="24"/>
          <w:highlight w:val="none"/>
        </w:rPr>
      </w:pPr>
    </w:p>
    <w:p w14:paraId="3F7B37C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7F89B36">
      <w:pPr>
        <w:tabs>
          <w:tab w:val="left" w:pos="6300"/>
        </w:tabs>
        <w:snapToGrid w:val="0"/>
        <w:spacing w:line="500" w:lineRule="exact"/>
        <w:ind w:firstLine="570"/>
        <w:rPr>
          <w:rFonts w:hint="eastAsia" w:ascii="宋体" w:hAnsi="宋体" w:eastAsia="宋体" w:cs="宋体"/>
          <w:color w:val="auto"/>
          <w:sz w:val="24"/>
          <w:highlight w:val="none"/>
        </w:rPr>
      </w:pPr>
    </w:p>
    <w:p w14:paraId="686BA543">
      <w:pPr>
        <w:tabs>
          <w:tab w:val="left" w:pos="6300"/>
        </w:tabs>
        <w:snapToGrid w:val="0"/>
        <w:spacing w:line="500" w:lineRule="exact"/>
        <w:ind w:firstLine="570"/>
        <w:rPr>
          <w:rFonts w:hint="eastAsia" w:ascii="宋体" w:hAnsi="宋体" w:eastAsia="宋体" w:cs="宋体"/>
          <w:color w:val="auto"/>
          <w:sz w:val="24"/>
          <w:highlight w:val="none"/>
        </w:rPr>
      </w:pPr>
    </w:p>
    <w:p w14:paraId="06989323">
      <w:pPr>
        <w:tabs>
          <w:tab w:val="left" w:pos="6300"/>
        </w:tabs>
        <w:snapToGrid w:val="0"/>
        <w:spacing w:line="500" w:lineRule="exact"/>
        <w:ind w:firstLine="570"/>
        <w:rPr>
          <w:rFonts w:hint="eastAsia" w:ascii="宋体" w:hAnsi="宋体" w:eastAsia="宋体" w:cs="宋体"/>
          <w:color w:val="auto"/>
          <w:sz w:val="24"/>
          <w:highlight w:val="none"/>
        </w:rPr>
      </w:pPr>
    </w:p>
    <w:p w14:paraId="5756D2B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2AAA26C2">
      <w:pPr>
        <w:tabs>
          <w:tab w:val="left" w:pos="6300"/>
        </w:tabs>
        <w:snapToGrid w:val="0"/>
        <w:spacing w:line="500" w:lineRule="exact"/>
        <w:ind w:firstLine="570"/>
        <w:rPr>
          <w:rFonts w:hint="eastAsia" w:ascii="宋体" w:hAnsi="宋体" w:eastAsia="宋体" w:cs="宋体"/>
          <w:color w:val="auto"/>
          <w:sz w:val="24"/>
          <w:highlight w:val="none"/>
        </w:rPr>
      </w:pPr>
    </w:p>
    <w:p w14:paraId="5461608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496C17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28F464B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5948EF38">
      <w:pPr>
        <w:tabs>
          <w:tab w:val="left" w:pos="6300"/>
        </w:tabs>
        <w:snapToGrid w:val="0"/>
        <w:spacing w:line="500" w:lineRule="exact"/>
        <w:ind w:firstLine="570"/>
        <w:rPr>
          <w:rFonts w:hint="eastAsia" w:ascii="宋体" w:hAnsi="宋体" w:eastAsia="宋体" w:cs="宋体"/>
          <w:color w:val="auto"/>
          <w:sz w:val="24"/>
          <w:highlight w:val="none"/>
        </w:rPr>
      </w:pPr>
    </w:p>
    <w:p w14:paraId="16A7D522">
      <w:pPr>
        <w:tabs>
          <w:tab w:val="left" w:pos="6300"/>
        </w:tabs>
        <w:snapToGrid w:val="0"/>
        <w:spacing w:line="500" w:lineRule="exact"/>
        <w:ind w:firstLine="570"/>
        <w:rPr>
          <w:rFonts w:hint="eastAsia" w:ascii="宋体" w:hAnsi="宋体" w:eastAsia="宋体" w:cs="宋体"/>
          <w:color w:val="auto"/>
          <w:sz w:val="24"/>
          <w:highlight w:val="none"/>
        </w:rPr>
      </w:pPr>
    </w:p>
    <w:p w14:paraId="0A2F5A9D">
      <w:pPr>
        <w:tabs>
          <w:tab w:val="left" w:pos="6300"/>
        </w:tabs>
        <w:snapToGrid w:val="0"/>
        <w:spacing w:line="500" w:lineRule="exact"/>
        <w:ind w:firstLine="570"/>
        <w:rPr>
          <w:rFonts w:hint="eastAsia" w:ascii="宋体" w:hAnsi="宋体" w:eastAsia="宋体" w:cs="宋体"/>
          <w:color w:val="auto"/>
          <w:sz w:val="24"/>
          <w:highlight w:val="none"/>
        </w:rPr>
      </w:pPr>
    </w:p>
    <w:p w14:paraId="6BF48F85">
      <w:pPr>
        <w:tabs>
          <w:tab w:val="left" w:pos="6300"/>
        </w:tabs>
        <w:snapToGrid w:val="0"/>
        <w:spacing w:line="500" w:lineRule="exact"/>
        <w:ind w:firstLine="570"/>
        <w:rPr>
          <w:rFonts w:hint="eastAsia" w:ascii="宋体" w:hAnsi="宋体" w:eastAsia="宋体" w:cs="宋体"/>
          <w:color w:val="auto"/>
          <w:sz w:val="24"/>
          <w:highlight w:val="none"/>
        </w:rPr>
      </w:pPr>
    </w:p>
    <w:p w14:paraId="70DC6313">
      <w:pPr>
        <w:tabs>
          <w:tab w:val="left" w:pos="6300"/>
        </w:tabs>
        <w:snapToGrid w:val="0"/>
        <w:spacing w:line="500" w:lineRule="exact"/>
        <w:ind w:firstLine="570"/>
        <w:rPr>
          <w:rFonts w:hint="eastAsia" w:ascii="宋体" w:hAnsi="宋体" w:eastAsia="宋体" w:cs="宋体"/>
          <w:color w:val="auto"/>
          <w:sz w:val="24"/>
          <w:highlight w:val="none"/>
        </w:rPr>
      </w:pPr>
    </w:p>
    <w:p w14:paraId="4814D402">
      <w:pPr>
        <w:tabs>
          <w:tab w:val="left" w:pos="6300"/>
        </w:tabs>
        <w:snapToGrid w:val="0"/>
        <w:spacing w:line="500" w:lineRule="exact"/>
        <w:ind w:firstLine="570"/>
        <w:rPr>
          <w:rFonts w:hint="eastAsia" w:ascii="宋体" w:hAnsi="宋体" w:eastAsia="宋体" w:cs="宋体"/>
          <w:color w:val="auto"/>
          <w:sz w:val="24"/>
          <w:highlight w:val="none"/>
        </w:rPr>
      </w:pPr>
    </w:p>
    <w:p w14:paraId="6E42D891">
      <w:pPr>
        <w:snapToGrid w:val="0"/>
        <w:spacing w:line="400" w:lineRule="exact"/>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20CBB301">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4C4991A">
      <w:pPr>
        <w:tabs>
          <w:tab w:val="left" w:pos="6300"/>
        </w:tabs>
        <w:snapToGrid w:val="0"/>
        <w:spacing w:line="500" w:lineRule="exact"/>
        <w:ind w:firstLine="57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询比项目名称</w:t>
      </w:r>
      <w:r>
        <w:rPr>
          <w:rFonts w:hint="eastAsia" w:ascii="宋体" w:hAnsi="宋体" w:eastAsia="宋体" w:cs="宋体"/>
          <w:color w:val="auto"/>
          <w:sz w:val="24"/>
          <w:highlight w:val="none"/>
        </w:rPr>
        <w:t>：</w:t>
      </w:r>
    </w:p>
    <w:p w14:paraId="22D1F302">
      <w:pPr>
        <w:pStyle w:val="4"/>
        <w:rPr>
          <w:rFonts w:hint="eastAsia" w:ascii="宋体" w:hAnsi="宋体" w:eastAsia="宋体" w:cs="宋体"/>
          <w:color w:val="auto"/>
          <w:highlight w:val="none"/>
        </w:rPr>
      </w:pPr>
    </w:p>
    <w:p w14:paraId="27A80AC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致                     </w:t>
      </w:r>
      <w:r>
        <w:rPr>
          <w:rFonts w:hint="eastAsia" w:ascii="宋体" w:hAnsi="宋体" w:eastAsia="宋体" w:cs="宋体"/>
          <w:color w:val="auto"/>
          <w:sz w:val="24"/>
          <w:highlight w:val="none"/>
        </w:rPr>
        <w:t>（采购代理机构名称）：</w:t>
      </w:r>
    </w:p>
    <w:p w14:paraId="5D27820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（被授权人姓名及身份证代码）代表我单位全权办理上述项目的询比、签约等具体工作，并签署全部有关文件、协议及合同。</w:t>
      </w:r>
    </w:p>
    <w:p w14:paraId="3E1AB40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478E176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2260CA15">
      <w:pPr>
        <w:tabs>
          <w:tab w:val="left" w:pos="6300"/>
        </w:tabs>
        <w:snapToGrid w:val="0"/>
        <w:spacing w:line="500" w:lineRule="exact"/>
        <w:ind w:firstLine="570"/>
        <w:rPr>
          <w:rFonts w:hint="eastAsia" w:ascii="宋体" w:hAnsi="宋体" w:eastAsia="宋体" w:cs="宋体"/>
          <w:color w:val="auto"/>
          <w:sz w:val="24"/>
          <w:highlight w:val="none"/>
        </w:rPr>
      </w:pPr>
    </w:p>
    <w:p w14:paraId="568DBB07">
      <w:pPr>
        <w:tabs>
          <w:tab w:val="left" w:pos="6300"/>
        </w:tabs>
        <w:snapToGrid w:val="0"/>
        <w:spacing w:line="500" w:lineRule="exact"/>
        <w:ind w:firstLine="570"/>
        <w:rPr>
          <w:rFonts w:hint="eastAsia" w:ascii="宋体" w:hAnsi="宋体" w:eastAsia="宋体" w:cs="宋体"/>
          <w:color w:val="auto"/>
          <w:sz w:val="24"/>
          <w:highlight w:val="none"/>
        </w:rPr>
      </w:pPr>
    </w:p>
    <w:p w14:paraId="13CFFE0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2646B98">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1635ABAC">
      <w:pPr>
        <w:tabs>
          <w:tab w:val="left" w:pos="6300"/>
        </w:tabs>
        <w:snapToGrid w:val="0"/>
        <w:spacing w:line="500" w:lineRule="exact"/>
        <w:ind w:firstLine="570"/>
        <w:rPr>
          <w:rFonts w:hint="eastAsia" w:ascii="宋体" w:hAnsi="宋体" w:eastAsia="宋体" w:cs="宋体"/>
          <w:color w:val="auto"/>
          <w:sz w:val="24"/>
          <w:szCs w:val="28"/>
          <w:highlight w:val="none"/>
        </w:rPr>
      </w:pPr>
    </w:p>
    <w:p w14:paraId="685E450B">
      <w:pPr>
        <w:tabs>
          <w:tab w:val="left" w:pos="6300"/>
        </w:tabs>
        <w:snapToGrid w:val="0"/>
        <w:spacing w:line="500" w:lineRule="exact"/>
        <w:ind w:firstLine="570"/>
        <w:rPr>
          <w:rFonts w:hint="eastAsia" w:ascii="宋体" w:hAnsi="宋体" w:eastAsia="宋体" w:cs="宋体"/>
          <w:color w:val="auto"/>
          <w:sz w:val="24"/>
          <w:highlight w:val="none"/>
        </w:rPr>
      </w:pPr>
    </w:p>
    <w:p w14:paraId="7FD5BCA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7028AA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A5A5F84">
      <w:pPr>
        <w:tabs>
          <w:tab w:val="left" w:pos="6300"/>
        </w:tabs>
        <w:snapToGrid w:val="0"/>
        <w:spacing w:line="500" w:lineRule="exact"/>
        <w:ind w:firstLine="570"/>
        <w:rPr>
          <w:rFonts w:hint="eastAsia" w:ascii="宋体" w:hAnsi="宋体" w:eastAsia="宋体" w:cs="宋体"/>
          <w:color w:val="auto"/>
          <w:sz w:val="24"/>
          <w:highlight w:val="none"/>
        </w:rPr>
      </w:pPr>
    </w:p>
    <w:p w14:paraId="79BA81DA">
      <w:pPr>
        <w:tabs>
          <w:tab w:val="left" w:pos="6300"/>
        </w:tabs>
        <w:snapToGrid w:val="0"/>
        <w:spacing w:line="500" w:lineRule="exact"/>
        <w:ind w:firstLine="570"/>
        <w:rPr>
          <w:rFonts w:hint="eastAsia" w:ascii="宋体" w:hAnsi="宋体" w:eastAsia="宋体" w:cs="宋体"/>
          <w:color w:val="auto"/>
          <w:sz w:val="24"/>
          <w:highlight w:val="none"/>
        </w:rPr>
      </w:pPr>
    </w:p>
    <w:p w14:paraId="35E01079">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3B1858A">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8A3E5C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7C35354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B07F435">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70874040">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szCs w:val="28"/>
          <w:highlight w:val="none"/>
        </w:rPr>
        <w:t>基本资格条件承诺函</w:t>
      </w:r>
    </w:p>
    <w:p w14:paraId="72F780C6">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515DE2EB">
      <w:pPr>
        <w:tabs>
          <w:tab w:val="left" w:pos="6300"/>
        </w:tabs>
        <w:snapToGrid w:val="0"/>
        <w:spacing w:line="530" w:lineRule="exact"/>
        <w:rPr>
          <w:rFonts w:hint="eastAsia" w:ascii="宋体" w:hAnsi="宋体" w:eastAsia="宋体" w:cs="宋体"/>
          <w:color w:val="auto"/>
          <w:sz w:val="24"/>
          <w:highlight w:val="none"/>
        </w:rPr>
      </w:pPr>
    </w:p>
    <w:p w14:paraId="226187F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2FD4A6C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63E1432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48699F9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739E73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4B82F8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7B54BA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1FE201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34098A87">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8A2AC51">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5754D456">
      <w:pPr>
        <w:numPr>
          <w:ilvl w:val="0"/>
          <w:numId w:val="0"/>
        </w:numPr>
        <w:snapToGrid w:val="0"/>
        <w:spacing w:line="400" w:lineRule="exact"/>
        <w:rPr>
          <w:rFonts w:hint="eastAsia" w:ascii="宋体" w:hAnsi="宋体" w:eastAsia="宋体" w:cs="宋体"/>
          <w:color w:val="auto"/>
          <w:sz w:val="24"/>
          <w:szCs w:val="24"/>
          <w:highlight w:val="none"/>
          <w:lang w:eastAsia="zh-CN"/>
        </w:rPr>
      </w:pPr>
      <w:bookmarkStart w:id="158" w:name="_Toc14422"/>
      <w:bookmarkStart w:id="159" w:name="_Toc76462354"/>
    </w:p>
    <w:p w14:paraId="6728552A">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E6E647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EFEEED8">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614E59E1">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624B7BFB">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2763F33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0EFE0D3B">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2EFA2DA6">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0DECF717">
      <w:pPr>
        <w:numPr>
          <w:ilvl w:val="0"/>
          <w:numId w:val="0"/>
        </w:numPr>
        <w:snapToGrid w:val="0"/>
        <w:spacing w:line="400" w:lineRule="exact"/>
        <w:rPr>
          <w:rFonts w:hint="eastAsia" w:ascii="宋体" w:hAnsi="宋体" w:eastAsia="宋体" w:cs="宋体"/>
          <w:color w:val="auto"/>
          <w:sz w:val="24"/>
          <w:szCs w:val="24"/>
          <w:highlight w:val="none"/>
          <w:lang w:eastAsia="zh-CN"/>
        </w:rPr>
      </w:pPr>
    </w:p>
    <w:p w14:paraId="40FA6DE5">
      <w:pPr>
        <w:snapToGrid w:val="0"/>
        <w:spacing w:line="400" w:lineRule="exact"/>
        <w:rPr>
          <w:rFonts w:hint="eastAsia" w:ascii="宋体" w:hAnsi="宋体" w:eastAsia="宋体" w:cs="宋体"/>
          <w:color w:val="auto"/>
          <w:sz w:val="24"/>
          <w:highlight w:val="none"/>
        </w:rPr>
      </w:pPr>
    </w:p>
    <w:p w14:paraId="59FD642F">
      <w:pPr>
        <w:snapToGrid w:val="0"/>
        <w:spacing w:line="400" w:lineRule="exact"/>
        <w:ind w:firstLine="480" w:firstLineChars="200"/>
        <w:rPr>
          <w:rFonts w:hint="eastAsia" w:ascii="宋体" w:hAnsi="宋体" w:eastAsia="宋体" w:cs="宋体"/>
          <w:color w:val="auto"/>
          <w:sz w:val="24"/>
          <w:highlight w:val="none"/>
        </w:rPr>
      </w:pPr>
    </w:p>
    <w:p w14:paraId="7FC31E9C">
      <w:pPr>
        <w:snapToGrid w:val="0"/>
        <w:spacing w:line="400" w:lineRule="exact"/>
        <w:ind w:firstLine="480" w:firstLineChars="200"/>
        <w:rPr>
          <w:rFonts w:hint="eastAsia" w:ascii="宋体" w:hAnsi="宋体" w:eastAsia="宋体" w:cs="宋体"/>
          <w:color w:val="auto"/>
          <w:sz w:val="24"/>
          <w:highlight w:val="none"/>
        </w:rPr>
      </w:pPr>
    </w:p>
    <w:p w14:paraId="1C652862">
      <w:pPr>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158"/>
      <w:bookmarkEnd w:id="159"/>
    </w:p>
    <w:p w14:paraId="5F9EAF8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其他与项目有关的资料（如果有，格式自定）</w:t>
      </w:r>
    </w:p>
    <w:p w14:paraId="0E346E60">
      <w:pPr>
        <w:spacing w:line="360" w:lineRule="auto"/>
        <w:ind w:firstLine="480" w:firstLineChars="200"/>
        <w:rPr>
          <w:rFonts w:hint="eastAsia" w:ascii="宋体" w:hAnsi="宋体" w:eastAsia="宋体" w:cs="宋体"/>
          <w:color w:val="auto"/>
          <w:sz w:val="24"/>
          <w:szCs w:val="24"/>
          <w:highlight w:val="none"/>
        </w:rPr>
      </w:pPr>
    </w:p>
    <w:p w14:paraId="53E8CFDF">
      <w:pPr>
        <w:spacing w:line="360" w:lineRule="auto"/>
        <w:ind w:firstLine="480" w:firstLineChars="200"/>
        <w:jc w:val="center"/>
        <w:rPr>
          <w:rFonts w:hint="eastAsia" w:ascii="宋体" w:hAnsi="宋体" w:eastAsia="宋体" w:cs="宋体"/>
          <w:color w:val="auto"/>
          <w:sz w:val="24"/>
          <w:szCs w:val="24"/>
          <w:highlight w:val="none"/>
        </w:rPr>
      </w:pPr>
    </w:p>
    <w:p w14:paraId="21A89630">
      <w:pPr>
        <w:spacing w:line="360" w:lineRule="auto"/>
        <w:ind w:firstLine="480" w:firstLineChars="200"/>
        <w:jc w:val="center"/>
        <w:rPr>
          <w:rFonts w:hint="eastAsia" w:ascii="宋体" w:hAnsi="宋体" w:eastAsia="宋体" w:cs="宋体"/>
          <w:color w:val="auto"/>
          <w:sz w:val="24"/>
          <w:szCs w:val="24"/>
          <w:highlight w:val="none"/>
        </w:rPr>
      </w:pPr>
    </w:p>
    <w:p w14:paraId="4ED263A4">
      <w:pPr>
        <w:spacing w:line="360" w:lineRule="auto"/>
        <w:ind w:firstLine="480" w:firstLineChars="200"/>
        <w:jc w:val="center"/>
        <w:rPr>
          <w:rFonts w:hint="eastAsia" w:ascii="宋体" w:hAnsi="宋体" w:eastAsia="宋体" w:cs="宋体"/>
          <w:color w:val="auto"/>
          <w:sz w:val="24"/>
          <w:szCs w:val="24"/>
          <w:highlight w:val="none"/>
        </w:rPr>
      </w:pPr>
    </w:p>
    <w:p w14:paraId="17252EA7">
      <w:pPr>
        <w:spacing w:line="360" w:lineRule="auto"/>
        <w:ind w:firstLine="480" w:firstLineChars="200"/>
        <w:jc w:val="center"/>
        <w:rPr>
          <w:rFonts w:hint="eastAsia" w:ascii="宋体" w:hAnsi="宋体" w:eastAsia="宋体" w:cs="宋体"/>
          <w:color w:val="auto"/>
          <w:sz w:val="24"/>
          <w:szCs w:val="24"/>
          <w:highlight w:val="none"/>
        </w:rPr>
      </w:pPr>
    </w:p>
    <w:p w14:paraId="36AE78FE">
      <w:pPr>
        <w:spacing w:line="360" w:lineRule="auto"/>
        <w:ind w:firstLine="480" w:firstLineChars="200"/>
        <w:jc w:val="center"/>
        <w:rPr>
          <w:rFonts w:hint="eastAsia" w:ascii="宋体" w:hAnsi="宋体" w:eastAsia="宋体" w:cs="宋体"/>
          <w:color w:val="auto"/>
          <w:sz w:val="24"/>
          <w:szCs w:val="24"/>
          <w:highlight w:val="none"/>
        </w:rPr>
      </w:pPr>
    </w:p>
    <w:p w14:paraId="5CC22BC8">
      <w:pPr>
        <w:spacing w:line="360" w:lineRule="auto"/>
        <w:ind w:firstLine="480" w:firstLineChars="200"/>
        <w:jc w:val="center"/>
        <w:rPr>
          <w:rFonts w:hint="eastAsia" w:ascii="宋体" w:hAnsi="宋体" w:eastAsia="宋体" w:cs="宋体"/>
          <w:color w:val="auto"/>
          <w:sz w:val="24"/>
          <w:szCs w:val="24"/>
          <w:highlight w:val="none"/>
        </w:rPr>
      </w:pPr>
    </w:p>
    <w:p w14:paraId="3B7A4BA7">
      <w:pPr>
        <w:spacing w:line="360" w:lineRule="auto"/>
        <w:ind w:firstLine="480" w:firstLineChars="200"/>
        <w:jc w:val="center"/>
        <w:rPr>
          <w:rFonts w:hint="eastAsia" w:ascii="宋体" w:hAnsi="宋体" w:eastAsia="宋体" w:cs="宋体"/>
          <w:color w:val="auto"/>
          <w:sz w:val="24"/>
          <w:szCs w:val="24"/>
          <w:highlight w:val="none"/>
        </w:rPr>
      </w:pPr>
    </w:p>
    <w:p w14:paraId="5705B817">
      <w:pPr>
        <w:spacing w:line="360" w:lineRule="auto"/>
        <w:ind w:firstLine="480" w:firstLineChars="200"/>
        <w:jc w:val="center"/>
        <w:rPr>
          <w:rFonts w:hint="eastAsia" w:ascii="宋体" w:hAnsi="宋体" w:eastAsia="宋体" w:cs="宋体"/>
          <w:color w:val="auto"/>
          <w:sz w:val="24"/>
          <w:szCs w:val="24"/>
          <w:highlight w:val="none"/>
        </w:rPr>
      </w:pPr>
    </w:p>
    <w:p w14:paraId="0AAE789D">
      <w:pPr>
        <w:spacing w:line="360" w:lineRule="auto"/>
        <w:ind w:firstLine="480" w:firstLineChars="200"/>
        <w:jc w:val="center"/>
        <w:rPr>
          <w:rFonts w:hint="eastAsia" w:ascii="宋体" w:hAnsi="宋体" w:eastAsia="宋体" w:cs="宋体"/>
          <w:color w:val="auto"/>
          <w:sz w:val="24"/>
          <w:szCs w:val="24"/>
          <w:highlight w:val="none"/>
        </w:rPr>
      </w:pPr>
    </w:p>
    <w:p w14:paraId="75D11061">
      <w:pPr>
        <w:spacing w:line="360" w:lineRule="auto"/>
        <w:ind w:firstLine="480" w:firstLineChars="200"/>
        <w:jc w:val="center"/>
        <w:rPr>
          <w:rFonts w:hint="eastAsia" w:ascii="宋体" w:hAnsi="宋体" w:eastAsia="宋体" w:cs="宋体"/>
          <w:color w:val="auto"/>
          <w:sz w:val="24"/>
          <w:szCs w:val="24"/>
          <w:highlight w:val="none"/>
        </w:rPr>
      </w:pPr>
    </w:p>
    <w:p w14:paraId="4DC2FB5D">
      <w:pPr>
        <w:spacing w:line="360" w:lineRule="auto"/>
        <w:ind w:firstLine="480" w:firstLineChars="200"/>
        <w:jc w:val="center"/>
        <w:rPr>
          <w:rFonts w:hint="eastAsia" w:ascii="宋体" w:hAnsi="宋体" w:eastAsia="宋体" w:cs="宋体"/>
          <w:color w:val="auto"/>
          <w:sz w:val="24"/>
          <w:szCs w:val="24"/>
          <w:highlight w:val="none"/>
        </w:rPr>
      </w:pPr>
    </w:p>
    <w:p w14:paraId="2B9D9665">
      <w:pPr>
        <w:spacing w:line="360" w:lineRule="auto"/>
        <w:ind w:firstLine="480" w:firstLineChars="200"/>
        <w:jc w:val="center"/>
        <w:rPr>
          <w:rFonts w:hint="eastAsia" w:ascii="宋体" w:hAnsi="宋体" w:eastAsia="宋体" w:cs="宋体"/>
          <w:color w:val="auto"/>
          <w:sz w:val="24"/>
          <w:szCs w:val="24"/>
          <w:highlight w:val="none"/>
        </w:rPr>
      </w:pPr>
    </w:p>
    <w:p w14:paraId="4A3DCB4C">
      <w:pPr>
        <w:spacing w:line="360" w:lineRule="auto"/>
        <w:ind w:firstLine="480" w:firstLineChars="200"/>
        <w:jc w:val="center"/>
        <w:rPr>
          <w:rFonts w:hint="eastAsia" w:ascii="宋体" w:hAnsi="宋体" w:eastAsia="宋体" w:cs="宋体"/>
          <w:color w:val="auto"/>
          <w:sz w:val="24"/>
          <w:szCs w:val="24"/>
          <w:highlight w:val="none"/>
        </w:rPr>
      </w:pPr>
    </w:p>
    <w:p w14:paraId="6D0B3E5F">
      <w:pPr>
        <w:spacing w:line="360" w:lineRule="auto"/>
        <w:ind w:firstLine="480" w:firstLineChars="200"/>
        <w:jc w:val="center"/>
        <w:rPr>
          <w:rFonts w:hint="eastAsia" w:ascii="宋体" w:hAnsi="宋体" w:eastAsia="宋体" w:cs="宋体"/>
          <w:color w:val="auto"/>
          <w:sz w:val="24"/>
          <w:szCs w:val="24"/>
          <w:highlight w:val="none"/>
        </w:rPr>
      </w:pPr>
    </w:p>
    <w:p w14:paraId="210BAFB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26FE708">
      <w:pPr>
        <w:pStyle w:val="2"/>
        <w:spacing w:line="240" w:lineRule="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附件1</w:t>
      </w:r>
    </w:p>
    <w:p w14:paraId="4181DC43">
      <w:pPr>
        <w:pStyle w:val="14"/>
        <w:spacing w:line="24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保洁服务考核表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559"/>
        <w:gridCol w:w="992"/>
        <w:gridCol w:w="3277"/>
        <w:gridCol w:w="936"/>
        <w:gridCol w:w="913"/>
      </w:tblGrid>
      <w:tr w14:paraId="51D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vAlign w:val="center"/>
          </w:tcPr>
          <w:p w14:paraId="42D47D18">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序号</w:t>
            </w:r>
          </w:p>
        </w:tc>
        <w:tc>
          <w:tcPr>
            <w:tcW w:w="1134" w:type="dxa"/>
            <w:vAlign w:val="center"/>
          </w:tcPr>
          <w:p w14:paraId="39841CB2">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项目</w:t>
            </w:r>
          </w:p>
        </w:tc>
        <w:tc>
          <w:tcPr>
            <w:tcW w:w="1559" w:type="dxa"/>
            <w:vAlign w:val="center"/>
          </w:tcPr>
          <w:p w14:paraId="05593B7C">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范围</w:t>
            </w:r>
          </w:p>
        </w:tc>
        <w:tc>
          <w:tcPr>
            <w:tcW w:w="992" w:type="dxa"/>
            <w:vAlign w:val="center"/>
          </w:tcPr>
          <w:p w14:paraId="7DA6E566">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分值</w:t>
            </w:r>
          </w:p>
        </w:tc>
        <w:tc>
          <w:tcPr>
            <w:tcW w:w="3277" w:type="dxa"/>
            <w:vAlign w:val="center"/>
          </w:tcPr>
          <w:p w14:paraId="778BC64B">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清洁、保洁标准与要求</w:t>
            </w:r>
          </w:p>
        </w:tc>
        <w:tc>
          <w:tcPr>
            <w:tcW w:w="936" w:type="dxa"/>
            <w:vAlign w:val="center"/>
          </w:tcPr>
          <w:p w14:paraId="49F0FFC8">
            <w:pPr>
              <w:widowControl/>
              <w:jc w:val="center"/>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清洁公司自查得分</w:t>
            </w:r>
          </w:p>
        </w:tc>
        <w:tc>
          <w:tcPr>
            <w:tcW w:w="913" w:type="dxa"/>
            <w:vAlign w:val="center"/>
          </w:tcPr>
          <w:p w14:paraId="571C20E7">
            <w:pPr>
              <w:widowControl/>
              <w:rPr>
                <w:rFonts w:ascii="方正仿宋_GBK" w:hAnsi="宋体" w:eastAsia="方正仿宋_GBK" w:cs="宋体"/>
                <w:b/>
                <w:bCs/>
                <w:color w:val="auto"/>
                <w:kern w:val="0"/>
                <w:sz w:val="21"/>
                <w:szCs w:val="21"/>
                <w:highlight w:val="none"/>
              </w:rPr>
            </w:pPr>
            <w:r>
              <w:rPr>
                <w:rFonts w:hint="eastAsia" w:ascii="方正仿宋_GBK" w:hAnsi="宋体" w:eastAsia="方正仿宋_GBK" w:cs="宋体"/>
                <w:b/>
                <w:bCs/>
                <w:color w:val="auto"/>
                <w:kern w:val="0"/>
                <w:sz w:val="21"/>
                <w:szCs w:val="21"/>
                <w:highlight w:val="none"/>
              </w:rPr>
              <w:t>医院考核得分</w:t>
            </w:r>
          </w:p>
        </w:tc>
      </w:tr>
      <w:tr w14:paraId="044E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7EF8B4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w:t>
            </w:r>
          </w:p>
        </w:tc>
        <w:tc>
          <w:tcPr>
            <w:tcW w:w="1134" w:type="dxa"/>
            <w:vAlign w:val="center"/>
          </w:tcPr>
          <w:p w14:paraId="7110677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地面</w:t>
            </w:r>
          </w:p>
        </w:tc>
        <w:tc>
          <w:tcPr>
            <w:tcW w:w="1559" w:type="dxa"/>
          </w:tcPr>
          <w:p w14:paraId="06FC6860">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楼内外地面及室内外地面</w:t>
            </w:r>
          </w:p>
        </w:tc>
        <w:tc>
          <w:tcPr>
            <w:tcW w:w="992" w:type="dxa"/>
            <w:vAlign w:val="center"/>
          </w:tcPr>
          <w:p w14:paraId="1ADE221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25</w:t>
            </w:r>
          </w:p>
        </w:tc>
        <w:tc>
          <w:tcPr>
            <w:tcW w:w="3277" w:type="dxa"/>
          </w:tcPr>
          <w:p w14:paraId="034FB966">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无烟头、果皮、纸屑、污渍；   无明显浮尘、树叶、纸屑、塑料袋；地面面貌一新无杂物、积水、泥沙。</w:t>
            </w:r>
          </w:p>
        </w:tc>
        <w:tc>
          <w:tcPr>
            <w:tcW w:w="936" w:type="dxa"/>
          </w:tcPr>
          <w:p w14:paraId="55F399A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1A78625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1C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68D4327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1134" w:type="dxa"/>
            <w:vAlign w:val="center"/>
          </w:tcPr>
          <w:p w14:paraId="45ED22B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墙面</w:t>
            </w:r>
          </w:p>
        </w:tc>
        <w:tc>
          <w:tcPr>
            <w:tcW w:w="1559" w:type="dxa"/>
            <w:vAlign w:val="center"/>
          </w:tcPr>
          <w:p w14:paraId="26546AA1">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室内墙面</w:t>
            </w:r>
          </w:p>
        </w:tc>
        <w:tc>
          <w:tcPr>
            <w:tcW w:w="992" w:type="dxa"/>
            <w:vAlign w:val="center"/>
          </w:tcPr>
          <w:p w14:paraId="27307E3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w:t>
            </w:r>
          </w:p>
        </w:tc>
        <w:tc>
          <w:tcPr>
            <w:tcW w:w="3277" w:type="dxa"/>
            <w:vAlign w:val="center"/>
          </w:tcPr>
          <w:p w14:paraId="6481C25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墙面光洁、明亮、无污渍、无蜘蛛网及其它粘附杂物；每月定期用清水擦洗。</w:t>
            </w:r>
          </w:p>
        </w:tc>
        <w:tc>
          <w:tcPr>
            <w:tcW w:w="936" w:type="dxa"/>
            <w:vAlign w:val="center"/>
          </w:tcPr>
          <w:p w14:paraId="6D14E87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9F4839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EF8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835AB7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3</w:t>
            </w:r>
          </w:p>
        </w:tc>
        <w:tc>
          <w:tcPr>
            <w:tcW w:w="1134" w:type="dxa"/>
            <w:vAlign w:val="center"/>
          </w:tcPr>
          <w:p w14:paraId="2103D6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天花板</w:t>
            </w:r>
          </w:p>
        </w:tc>
        <w:tc>
          <w:tcPr>
            <w:tcW w:w="1559" w:type="dxa"/>
            <w:vAlign w:val="center"/>
          </w:tcPr>
          <w:p w14:paraId="0E4BC69F">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室内天花板、室外雨蓬</w:t>
            </w:r>
          </w:p>
        </w:tc>
        <w:tc>
          <w:tcPr>
            <w:tcW w:w="992" w:type="dxa"/>
            <w:vAlign w:val="center"/>
          </w:tcPr>
          <w:p w14:paraId="40EB8AF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6E932F4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空调风口、灯具、指示牌、外露管道等顶部设施无积尘、无蜘蛛网；室外雨蓬无杂物、目视无尘。</w:t>
            </w:r>
          </w:p>
        </w:tc>
        <w:tc>
          <w:tcPr>
            <w:tcW w:w="936" w:type="dxa"/>
            <w:vAlign w:val="center"/>
          </w:tcPr>
          <w:p w14:paraId="5BB1782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08DCA00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8DE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0B142D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4</w:t>
            </w:r>
          </w:p>
        </w:tc>
        <w:tc>
          <w:tcPr>
            <w:tcW w:w="1134" w:type="dxa"/>
            <w:vAlign w:val="center"/>
          </w:tcPr>
          <w:p w14:paraId="1EC583D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踢脚</w:t>
            </w:r>
          </w:p>
        </w:tc>
        <w:tc>
          <w:tcPr>
            <w:tcW w:w="1559" w:type="dxa"/>
            <w:vAlign w:val="center"/>
          </w:tcPr>
          <w:p w14:paraId="713D4B72">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室内外踢脚线</w:t>
            </w:r>
          </w:p>
        </w:tc>
        <w:tc>
          <w:tcPr>
            <w:tcW w:w="992" w:type="dxa"/>
            <w:vAlign w:val="center"/>
          </w:tcPr>
          <w:p w14:paraId="4E3C689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231737EE">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目视无尘、无污物。</w:t>
            </w:r>
          </w:p>
        </w:tc>
        <w:tc>
          <w:tcPr>
            <w:tcW w:w="936" w:type="dxa"/>
            <w:vAlign w:val="center"/>
          </w:tcPr>
          <w:p w14:paraId="1412272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2886F73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925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16B885F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1134" w:type="dxa"/>
            <w:vAlign w:val="center"/>
          </w:tcPr>
          <w:p w14:paraId="2C5FE4D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w:t>
            </w:r>
          </w:p>
        </w:tc>
        <w:tc>
          <w:tcPr>
            <w:tcW w:w="1559" w:type="dxa"/>
            <w:vAlign w:val="center"/>
          </w:tcPr>
          <w:p w14:paraId="2B1267C2">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楼内外玻璃</w:t>
            </w:r>
          </w:p>
        </w:tc>
        <w:tc>
          <w:tcPr>
            <w:tcW w:w="992" w:type="dxa"/>
            <w:vAlign w:val="center"/>
          </w:tcPr>
          <w:p w14:paraId="6A809C2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6B45B47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玻璃幕墙、门、窗、镜面围栏、触摸屏透亮、无污迹、无水迹。</w:t>
            </w:r>
          </w:p>
        </w:tc>
        <w:tc>
          <w:tcPr>
            <w:tcW w:w="936" w:type="dxa"/>
            <w:vAlign w:val="center"/>
          </w:tcPr>
          <w:p w14:paraId="583B4FB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1C50E22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BB4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063E89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6</w:t>
            </w:r>
          </w:p>
        </w:tc>
        <w:tc>
          <w:tcPr>
            <w:tcW w:w="1134" w:type="dxa"/>
            <w:vAlign w:val="center"/>
          </w:tcPr>
          <w:p w14:paraId="7666551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金属器材</w:t>
            </w:r>
          </w:p>
        </w:tc>
        <w:tc>
          <w:tcPr>
            <w:tcW w:w="1559" w:type="dxa"/>
            <w:vAlign w:val="center"/>
          </w:tcPr>
          <w:p w14:paraId="47A6F10F">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楼内外金属物件</w:t>
            </w:r>
          </w:p>
        </w:tc>
        <w:tc>
          <w:tcPr>
            <w:tcW w:w="992" w:type="dxa"/>
            <w:vAlign w:val="center"/>
          </w:tcPr>
          <w:p w14:paraId="60ABE14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7</w:t>
            </w:r>
          </w:p>
        </w:tc>
        <w:tc>
          <w:tcPr>
            <w:tcW w:w="3277" w:type="dxa"/>
            <w:vAlign w:val="center"/>
          </w:tcPr>
          <w:p w14:paraId="46C9B17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金属器材表面无污迹、无灰尘、无锈斑，有金属光泽。</w:t>
            </w:r>
          </w:p>
        </w:tc>
        <w:tc>
          <w:tcPr>
            <w:tcW w:w="936" w:type="dxa"/>
            <w:vAlign w:val="center"/>
          </w:tcPr>
          <w:p w14:paraId="0269A98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238DE42F">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0B2B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E94A64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7</w:t>
            </w:r>
          </w:p>
        </w:tc>
        <w:tc>
          <w:tcPr>
            <w:tcW w:w="1134" w:type="dxa"/>
            <w:vAlign w:val="center"/>
          </w:tcPr>
          <w:p w14:paraId="21CDB90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木（塑）质器材</w:t>
            </w:r>
          </w:p>
        </w:tc>
        <w:tc>
          <w:tcPr>
            <w:tcW w:w="1559" w:type="dxa"/>
            <w:vAlign w:val="center"/>
          </w:tcPr>
          <w:p w14:paraId="3B6B3A4A">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楼内外木（塑）物件</w:t>
            </w:r>
          </w:p>
        </w:tc>
        <w:tc>
          <w:tcPr>
            <w:tcW w:w="992" w:type="dxa"/>
            <w:vAlign w:val="center"/>
          </w:tcPr>
          <w:p w14:paraId="5A3CD5F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8</w:t>
            </w:r>
          </w:p>
        </w:tc>
        <w:tc>
          <w:tcPr>
            <w:tcW w:w="3277" w:type="dxa"/>
            <w:vAlign w:val="center"/>
          </w:tcPr>
          <w:p w14:paraId="11CD8AF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木（塑）物件表面光洁，无粗糙感、无污迹，现本色。</w:t>
            </w:r>
          </w:p>
        </w:tc>
        <w:tc>
          <w:tcPr>
            <w:tcW w:w="936" w:type="dxa"/>
            <w:vAlign w:val="center"/>
          </w:tcPr>
          <w:p w14:paraId="1F10630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360FC00">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10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24150F7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8</w:t>
            </w:r>
          </w:p>
        </w:tc>
        <w:tc>
          <w:tcPr>
            <w:tcW w:w="1134" w:type="dxa"/>
            <w:vAlign w:val="center"/>
          </w:tcPr>
          <w:p w14:paraId="701B402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灯具</w:t>
            </w:r>
          </w:p>
        </w:tc>
        <w:tc>
          <w:tcPr>
            <w:tcW w:w="1559" w:type="dxa"/>
            <w:vAlign w:val="center"/>
          </w:tcPr>
          <w:p w14:paraId="257BDFD5">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楼内外灯具</w:t>
            </w:r>
          </w:p>
        </w:tc>
        <w:tc>
          <w:tcPr>
            <w:tcW w:w="992" w:type="dxa"/>
            <w:vAlign w:val="center"/>
          </w:tcPr>
          <w:p w14:paraId="2D55A80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182AE3C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无灰尘、灯具内无昆虫，灯盖、灯柱、灯罩明亮有光泽。</w:t>
            </w:r>
          </w:p>
        </w:tc>
        <w:tc>
          <w:tcPr>
            <w:tcW w:w="936" w:type="dxa"/>
            <w:vAlign w:val="center"/>
          </w:tcPr>
          <w:p w14:paraId="1CBC08E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EE8D530">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5C5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433B98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9</w:t>
            </w:r>
          </w:p>
        </w:tc>
        <w:tc>
          <w:tcPr>
            <w:tcW w:w="1134" w:type="dxa"/>
            <w:vAlign w:val="center"/>
          </w:tcPr>
          <w:p w14:paraId="0E35C0B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标识牌</w:t>
            </w:r>
          </w:p>
        </w:tc>
        <w:tc>
          <w:tcPr>
            <w:tcW w:w="1559" w:type="dxa"/>
            <w:vAlign w:val="center"/>
          </w:tcPr>
          <w:p w14:paraId="6D5E1C8D">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楼内外标识牌</w:t>
            </w:r>
          </w:p>
        </w:tc>
        <w:tc>
          <w:tcPr>
            <w:tcW w:w="992" w:type="dxa"/>
            <w:vAlign w:val="center"/>
          </w:tcPr>
          <w:p w14:paraId="730C07B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7700F202">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光亮、干净、无污渍。</w:t>
            </w:r>
          </w:p>
        </w:tc>
        <w:tc>
          <w:tcPr>
            <w:tcW w:w="936" w:type="dxa"/>
            <w:vAlign w:val="center"/>
          </w:tcPr>
          <w:p w14:paraId="5D0A67F2">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CFA762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4B54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223542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w:t>
            </w:r>
          </w:p>
        </w:tc>
        <w:tc>
          <w:tcPr>
            <w:tcW w:w="1134" w:type="dxa"/>
            <w:vAlign w:val="center"/>
          </w:tcPr>
          <w:p w14:paraId="7A8A079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垃圾桶、果皮箱</w:t>
            </w:r>
          </w:p>
        </w:tc>
        <w:tc>
          <w:tcPr>
            <w:tcW w:w="1559" w:type="dxa"/>
            <w:vAlign w:val="center"/>
          </w:tcPr>
          <w:p w14:paraId="6E7FB49D">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楼内外垃圾桶、果皮箱</w:t>
            </w:r>
          </w:p>
        </w:tc>
        <w:tc>
          <w:tcPr>
            <w:tcW w:w="992" w:type="dxa"/>
            <w:vAlign w:val="center"/>
          </w:tcPr>
          <w:p w14:paraId="4C16568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784F280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表面光亮无污迹、油迹，无蚊蝇 、周边无积水。</w:t>
            </w:r>
          </w:p>
        </w:tc>
        <w:tc>
          <w:tcPr>
            <w:tcW w:w="936" w:type="dxa"/>
            <w:vAlign w:val="center"/>
          </w:tcPr>
          <w:p w14:paraId="46C19D05">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6AE9AD4C">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643B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0C7F701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11</w:t>
            </w:r>
          </w:p>
        </w:tc>
        <w:tc>
          <w:tcPr>
            <w:tcW w:w="1134" w:type="dxa"/>
            <w:vAlign w:val="center"/>
          </w:tcPr>
          <w:p w14:paraId="5E6EC5C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电梯</w:t>
            </w:r>
          </w:p>
        </w:tc>
        <w:tc>
          <w:tcPr>
            <w:tcW w:w="1559" w:type="dxa"/>
            <w:vAlign w:val="center"/>
          </w:tcPr>
          <w:p w14:paraId="7FBAA28B">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电梯轿厢四周及厢底和厢顶</w:t>
            </w:r>
          </w:p>
        </w:tc>
        <w:tc>
          <w:tcPr>
            <w:tcW w:w="992" w:type="dxa"/>
            <w:vAlign w:val="center"/>
          </w:tcPr>
          <w:p w14:paraId="1BC1A8D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14ADF1E4">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玻璃境面光亮无污迹；不锈钢表面无灰尘、无污迹；灯具天花板无灰尘、无蜘蛛网。</w:t>
            </w:r>
          </w:p>
        </w:tc>
        <w:tc>
          <w:tcPr>
            <w:tcW w:w="936" w:type="dxa"/>
            <w:vAlign w:val="center"/>
          </w:tcPr>
          <w:p w14:paraId="75F41AC7">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9FA7EB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27A6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E54731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12</w:t>
            </w:r>
          </w:p>
        </w:tc>
        <w:tc>
          <w:tcPr>
            <w:tcW w:w="1134" w:type="dxa"/>
            <w:vAlign w:val="center"/>
          </w:tcPr>
          <w:p w14:paraId="04367EC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病房</w:t>
            </w:r>
          </w:p>
        </w:tc>
        <w:tc>
          <w:tcPr>
            <w:tcW w:w="1559" w:type="dxa"/>
            <w:vAlign w:val="center"/>
          </w:tcPr>
          <w:p w14:paraId="7EE6FBB1">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病人所在病房及其活动场所</w:t>
            </w:r>
          </w:p>
        </w:tc>
        <w:tc>
          <w:tcPr>
            <w:tcW w:w="992" w:type="dxa"/>
            <w:vAlign w:val="center"/>
          </w:tcPr>
          <w:p w14:paraId="32B2C9E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18</w:t>
            </w:r>
          </w:p>
        </w:tc>
        <w:tc>
          <w:tcPr>
            <w:tcW w:w="3277" w:type="dxa"/>
            <w:vAlign w:val="center"/>
          </w:tcPr>
          <w:p w14:paraId="20806FB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清洁用抹布一床单元一张。</w:t>
            </w:r>
          </w:p>
        </w:tc>
        <w:tc>
          <w:tcPr>
            <w:tcW w:w="936" w:type="dxa"/>
            <w:vAlign w:val="center"/>
          </w:tcPr>
          <w:p w14:paraId="0F05E30D">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316F5E48">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8C0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63E7098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13</w:t>
            </w:r>
          </w:p>
        </w:tc>
        <w:tc>
          <w:tcPr>
            <w:tcW w:w="1134" w:type="dxa"/>
            <w:vAlign w:val="center"/>
          </w:tcPr>
          <w:p w14:paraId="7FF475C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卫生间</w:t>
            </w:r>
          </w:p>
        </w:tc>
        <w:tc>
          <w:tcPr>
            <w:tcW w:w="1559" w:type="dxa"/>
            <w:vAlign w:val="center"/>
          </w:tcPr>
          <w:p w14:paraId="0DFAA3F4">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楼内卫生间</w:t>
            </w:r>
          </w:p>
        </w:tc>
        <w:tc>
          <w:tcPr>
            <w:tcW w:w="992" w:type="dxa"/>
            <w:vAlign w:val="center"/>
          </w:tcPr>
          <w:p w14:paraId="4551667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2715683E">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无异味、臭味、垃圾桶垃圾不超过一半，无积水。</w:t>
            </w:r>
          </w:p>
        </w:tc>
        <w:tc>
          <w:tcPr>
            <w:tcW w:w="936" w:type="dxa"/>
            <w:vAlign w:val="center"/>
          </w:tcPr>
          <w:p w14:paraId="62087359">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425BDCBA">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8CC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48F4B41A">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14</w:t>
            </w:r>
          </w:p>
        </w:tc>
        <w:tc>
          <w:tcPr>
            <w:tcW w:w="1134" w:type="dxa"/>
            <w:vAlign w:val="center"/>
          </w:tcPr>
          <w:p w14:paraId="22DDFFC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大环境</w:t>
            </w:r>
          </w:p>
        </w:tc>
        <w:tc>
          <w:tcPr>
            <w:tcW w:w="1559" w:type="dxa"/>
            <w:vAlign w:val="center"/>
          </w:tcPr>
          <w:p w14:paraId="465A48AE">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楼外花园、花台及楼内花木</w:t>
            </w:r>
          </w:p>
        </w:tc>
        <w:tc>
          <w:tcPr>
            <w:tcW w:w="992" w:type="dxa"/>
            <w:vAlign w:val="center"/>
          </w:tcPr>
          <w:p w14:paraId="50E9BA7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5</w:t>
            </w:r>
          </w:p>
        </w:tc>
        <w:tc>
          <w:tcPr>
            <w:tcW w:w="3277" w:type="dxa"/>
            <w:vAlign w:val="center"/>
          </w:tcPr>
          <w:p w14:paraId="360B5206">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道路无明显浮尘、烟头、果皮、纸屑、塑料袋；花基、花坛无烟头、杂物。</w:t>
            </w:r>
          </w:p>
        </w:tc>
        <w:tc>
          <w:tcPr>
            <w:tcW w:w="936" w:type="dxa"/>
            <w:vAlign w:val="center"/>
          </w:tcPr>
          <w:p w14:paraId="234A5BBB">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76FE03C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1673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33A4A6A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15</w:t>
            </w:r>
          </w:p>
        </w:tc>
        <w:tc>
          <w:tcPr>
            <w:tcW w:w="1134" w:type="dxa"/>
            <w:vAlign w:val="center"/>
          </w:tcPr>
          <w:p w14:paraId="4994FB8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垃圾运送</w:t>
            </w:r>
          </w:p>
        </w:tc>
        <w:tc>
          <w:tcPr>
            <w:tcW w:w="1559" w:type="dxa"/>
            <w:vAlign w:val="center"/>
          </w:tcPr>
          <w:p w14:paraId="32A34229">
            <w:pP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垃圾站</w:t>
            </w:r>
          </w:p>
        </w:tc>
        <w:tc>
          <w:tcPr>
            <w:tcW w:w="992" w:type="dxa"/>
            <w:vAlign w:val="center"/>
          </w:tcPr>
          <w:p w14:paraId="23E532D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277" w:type="dxa"/>
            <w:vAlign w:val="center"/>
          </w:tcPr>
          <w:p w14:paraId="0077A594">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专人运送、交接登记清楚，每天清运两次。</w:t>
            </w:r>
          </w:p>
        </w:tc>
        <w:tc>
          <w:tcPr>
            <w:tcW w:w="936" w:type="dxa"/>
            <w:vAlign w:val="center"/>
          </w:tcPr>
          <w:p w14:paraId="30BA5AF1">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c>
          <w:tcPr>
            <w:tcW w:w="913" w:type="dxa"/>
          </w:tcPr>
          <w:p w14:paraId="5D56EF48">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　</w:t>
            </w:r>
          </w:p>
        </w:tc>
      </w:tr>
      <w:tr w14:paraId="3AE7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Align w:val="center"/>
          </w:tcPr>
          <w:p w14:paraId="5A782FA1">
            <w:pPr>
              <w:rPr>
                <w:rFonts w:ascii="方正仿宋_GBK" w:hAnsi="宋体" w:eastAsia="方正仿宋_GBK" w:cs="仿宋"/>
                <w:color w:val="auto"/>
                <w:sz w:val="21"/>
                <w:szCs w:val="21"/>
                <w:highlight w:val="none"/>
              </w:rPr>
            </w:pPr>
          </w:p>
        </w:tc>
        <w:tc>
          <w:tcPr>
            <w:tcW w:w="1134" w:type="dxa"/>
            <w:vAlign w:val="center"/>
          </w:tcPr>
          <w:p w14:paraId="4D03438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合计</w:t>
            </w:r>
          </w:p>
        </w:tc>
        <w:tc>
          <w:tcPr>
            <w:tcW w:w="7677" w:type="dxa"/>
            <w:gridSpan w:val="5"/>
            <w:vAlign w:val="center"/>
          </w:tcPr>
          <w:p w14:paraId="7811789E">
            <w:pPr>
              <w:ind w:firstLine="420" w:firstLineChars="200"/>
              <w:rPr>
                <w:rFonts w:ascii="方正仿宋_GBK" w:hAnsi="宋体" w:eastAsia="方正仿宋_GBK" w:cs="仿宋"/>
                <w:color w:val="auto"/>
                <w:sz w:val="21"/>
                <w:szCs w:val="21"/>
                <w:highlight w:val="none"/>
              </w:rPr>
            </w:pPr>
          </w:p>
        </w:tc>
      </w:tr>
    </w:tbl>
    <w:p w14:paraId="34905596">
      <w:pPr>
        <w:pStyle w:val="2"/>
        <w:spacing w:line="240" w:lineRule="auto"/>
        <w:rPr>
          <w:rFonts w:hint="eastAsia" w:ascii="宋体" w:hAnsi="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附件</w:t>
      </w:r>
      <w:r>
        <w:rPr>
          <w:rFonts w:hint="eastAsia" w:ascii="宋体" w:hAnsi="宋体" w:cs="宋体"/>
          <w:b w:val="0"/>
          <w:color w:val="auto"/>
          <w:kern w:val="2"/>
          <w:sz w:val="24"/>
          <w:szCs w:val="24"/>
          <w:highlight w:val="none"/>
          <w:lang w:val="en-US" w:eastAsia="zh-CN" w:bidi="ar-SA"/>
        </w:rPr>
        <w:t>2</w:t>
      </w:r>
    </w:p>
    <w:p w14:paraId="69261AA9">
      <w:pPr>
        <w:pStyle w:val="14"/>
        <w:jc w:val="center"/>
        <w:rPr>
          <w:b/>
          <w:color w:val="auto"/>
          <w:highlight w:val="none"/>
        </w:rPr>
      </w:pPr>
      <w:r>
        <w:rPr>
          <w:rFonts w:hint="eastAsia"/>
          <w:b/>
          <w:color w:val="auto"/>
          <w:highlight w:val="none"/>
        </w:rPr>
        <w:t>安保服务考核标准</w:t>
      </w:r>
    </w:p>
    <w:tbl>
      <w:tblPr>
        <w:tblStyle w:val="16"/>
        <w:tblW w:w="5000" w:type="pct"/>
        <w:tblInd w:w="0" w:type="dxa"/>
        <w:tblLayout w:type="fixed"/>
        <w:tblCellMar>
          <w:top w:w="0" w:type="dxa"/>
          <w:left w:w="108" w:type="dxa"/>
          <w:bottom w:w="0" w:type="dxa"/>
          <w:right w:w="108" w:type="dxa"/>
        </w:tblCellMar>
      </w:tblPr>
      <w:tblGrid>
        <w:gridCol w:w="717"/>
        <w:gridCol w:w="628"/>
        <w:gridCol w:w="980"/>
        <w:gridCol w:w="4131"/>
        <w:gridCol w:w="2642"/>
        <w:gridCol w:w="865"/>
      </w:tblGrid>
      <w:tr w14:paraId="224F3217">
        <w:tblPrEx>
          <w:tblCellMar>
            <w:top w:w="0" w:type="dxa"/>
            <w:left w:w="108" w:type="dxa"/>
            <w:bottom w:w="0" w:type="dxa"/>
            <w:right w:w="108" w:type="dxa"/>
          </w:tblCellMar>
        </w:tblPrEx>
        <w:trPr>
          <w:trHeight w:val="646" w:hRule="atLeast"/>
        </w:trPr>
        <w:tc>
          <w:tcPr>
            <w:tcW w:w="360" w:type="pct"/>
            <w:tcBorders>
              <w:top w:val="single" w:color="auto" w:sz="4" w:space="0"/>
              <w:left w:val="single" w:color="auto" w:sz="4" w:space="0"/>
              <w:bottom w:val="single" w:color="auto" w:sz="4" w:space="0"/>
              <w:right w:val="single" w:color="auto" w:sz="4" w:space="0"/>
            </w:tcBorders>
            <w:vAlign w:val="center"/>
          </w:tcPr>
          <w:p w14:paraId="25AD12E3">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5" w:type="pct"/>
            <w:tcBorders>
              <w:top w:val="single" w:color="auto" w:sz="4" w:space="0"/>
              <w:left w:val="nil"/>
              <w:bottom w:val="single" w:color="auto" w:sz="4" w:space="0"/>
              <w:right w:val="single" w:color="auto" w:sz="4" w:space="0"/>
            </w:tcBorders>
            <w:vAlign w:val="center"/>
          </w:tcPr>
          <w:p w14:paraId="40A72D9F">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项目</w:t>
            </w:r>
          </w:p>
        </w:tc>
        <w:tc>
          <w:tcPr>
            <w:tcW w:w="492" w:type="pct"/>
            <w:tcBorders>
              <w:top w:val="single" w:color="auto" w:sz="4" w:space="0"/>
              <w:left w:val="nil"/>
              <w:bottom w:val="single" w:color="auto" w:sz="4" w:space="0"/>
              <w:right w:val="single" w:color="auto" w:sz="4" w:space="0"/>
            </w:tcBorders>
            <w:vAlign w:val="bottom"/>
          </w:tcPr>
          <w:p w14:paraId="6F78D202">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考核分值</w:t>
            </w:r>
          </w:p>
        </w:tc>
        <w:tc>
          <w:tcPr>
            <w:tcW w:w="2073" w:type="pct"/>
            <w:tcBorders>
              <w:top w:val="single" w:color="auto" w:sz="4" w:space="0"/>
              <w:left w:val="nil"/>
              <w:bottom w:val="single" w:color="auto" w:sz="4" w:space="0"/>
              <w:right w:val="single" w:color="auto" w:sz="4" w:space="0"/>
            </w:tcBorders>
            <w:vAlign w:val="center"/>
          </w:tcPr>
          <w:p w14:paraId="3BED082B">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考核标准要求</w:t>
            </w:r>
          </w:p>
        </w:tc>
        <w:tc>
          <w:tcPr>
            <w:tcW w:w="1326" w:type="pct"/>
            <w:tcBorders>
              <w:top w:val="single" w:color="auto" w:sz="4" w:space="0"/>
              <w:left w:val="nil"/>
              <w:bottom w:val="single" w:color="auto" w:sz="4" w:space="0"/>
              <w:right w:val="single" w:color="auto" w:sz="4" w:space="0"/>
            </w:tcBorders>
            <w:vAlign w:val="center"/>
          </w:tcPr>
          <w:p w14:paraId="3BDB924F">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考核扣分标准</w:t>
            </w:r>
          </w:p>
        </w:tc>
        <w:tc>
          <w:tcPr>
            <w:tcW w:w="434" w:type="pct"/>
            <w:tcBorders>
              <w:top w:val="single" w:color="auto" w:sz="4" w:space="0"/>
              <w:left w:val="nil"/>
              <w:bottom w:val="single" w:color="auto" w:sz="4" w:space="0"/>
              <w:right w:val="single" w:color="auto" w:sz="4" w:space="0"/>
            </w:tcBorders>
            <w:vAlign w:val="bottom"/>
          </w:tcPr>
          <w:p w14:paraId="3F964958">
            <w:pPr>
              <w:widowControl/>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考核得分</w:t>
            </w:r>
          </w:p>
        </w:tc>
      </w:tr>
      <w:tr w14:paraId="5D2E0000">
        <w:tblPrEx>
          <w:tblCellMar>
            <w:top w:w="0" w:type="dxa"/>
            <w:left w:w="108" w:type="dxa"/>
            <w:bottom w:w="0" w:type="dxa"/>
            <w:right w:w="108" w:type="dxa"/>
          </w:tblCellMar>
        </w:tblPrEx>
        <w:trPr>
          <w:trHeight w:val="570" w:hRule="atLeast"/>
        </w:trPr>
        <w:tc>
          <w:tcPr>
            <w:tcW w:w="360" w:type="pct"/>
            <w:vMerge w:val="restart"/>
            <w:tcBorders>
              <w:top w:val="nil"/>
              <w:left w:val="single" w:color="auto" w:sz="4" w:space="0"/>
              <w:bottom w:val="single" w:color="000000" w:sz="4" w:space="0"/>
              <w:right w:val="single" w:color="auto" w:sz="4" w:space="0"/>
            </w:tcBorders>
            <w:vAlign w:val="center"/>
          </w:tcPr>
          <w:p w14:paraId="1991482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w:t>
            </w:r>
          </w:p>
        </w:tc>
        <w:tc>
          <w:tcPr>
            <w:tcW w:w="315" w:type="pct"/>
            <w:vMerge w:val="restart"/>
            <w:tcBorders>
              <w:top w:val="nil"/>
              <w:left w:val="single" w:color="auto" w:sz="4" w:space="0"/>
              <w:bottom w:val="single" w:color="000000" w:sz="4" w:space="0"/>
              <w:right w:val="single" w:color="auto" w:sz="4" w:space="0"/>
            </w:tcBorders>
            <w:vAlign w:val="center"/>
          </w:tcPr>
          <w:p w14:paraId="25A95C7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治安管理</w:t>
            </w:r>
          </w:p>
        </w:tc>
        <w:tc>
          <w:tcPr>
            <w:tcW w:w="492" w:type="pct"/>
            <w:vMerge w:val="restart"/>
            <w:tcBorders>
              <w:top w:val="nil"/>
              <w:left w:val="single" w:color="auto" w:sz="4" w:space="0"/>
              <w:bottom w:val="single" w:color="000000" w:sz="4" w:space="0"/>
              <w:right w:val="single" w:color="auto" w:sz="4" w:space="0"/>
            </w:tcBorders>
            <w:vAlign w:val="center"/>
          </w:tcPr>
          <w:p w14:paraId="18F947E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20分</w:t>
            </w:r>
          </w:p>
        </w:tc>
        <w:tc>
          <w:tcPr>
            <w:tcW w:w="2073" w:type="pct"/>
            <w:tcBorders>
              <w:top w:val="nil"/>
              <w:left w:val="nil"/>
              <w:bottom w:val="single" w:color="auto" w:sz="4" w:space="0"/>
              <w:right w:val="single" w:color="auto" w:sz="4" w:space="0"/>
            </w:tcBorders>
            <w:vAlign w:val="center"/>
          </w:tcPr>
          <w:p w14:paraId="15F8B478">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确保医院工作人员及病员的人身安全及财产安全</w:t>
            </w:r>
          </w:p>
        </w:tc>
        <w:tc>
          <w:tcPr>
            <w:tcW w:w="1326" w:type="pct"/>
            <w:tcBorders>
              <w:top w:val="nil"/>
              <w:left w:val="nil"/>
              <w:bottom w:val="single" w:color="auto" w:sz="4" w:space="0"/>
              <w:right w:val="single" w:color="auto" w:sz="4" w:space="0"/>
            </w:tcBorders>
            <w:vAlign w:val="center"/>
          </w:tcPr>
          <w:p w14:paraId="2890726E">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063865D3">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5ADD4FB">
        <w:tblPrEx>
          <w:tblCellMar>
            <w:top w:w="0" w:type="dxa"/>
            <w:left w:w="108" w:type="dxa"/>
            <w:bottom w:w="0" w:type="dxa"/>
            <w:right w:w="108" w:type="dxa"/>
          </w:tblCellMar>
        </w:tblPrEx>
        <w:trPr>
          <w:trHeight w:val="491" w:hRule="atLeast"/>
        </w:trPr>
        <w:tc>
          <w:tcPr>
            <w:tcW w:w="360" w:type="pct"/>
            <w:vMerge w:val="continue"/>
            <w:tcBorders>
              <w:top w:val="nil"/>
              <w:left w:val="single" w:color="auto" w:sz="4" w:space="0"/>
              <w:bottom w:val="single" w:color="000000" w:sz="4" w:space="0"/>
              <w:right w:val="single" w:color="auto" w:sz="4" w:space="0"/>
            </w:tcBorders>
            <w:vAlign w:val="center"/>
          </w:tcPr>
          <w:p w14:paraId="5DA92F0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14A659E2">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260EA2E5">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54CFC97">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维护医院设施设备及物资安全</w:t>
            </w:r>
          </w:p>
        </w:tc>
        <w:tc>
          <w:tcPr>
            <w:tcW w:w="1326" w:type="pct"/>
            <w:tcBorders>
              <w:top w:val="nil"/>
              <w:left w:val="nil"/>
              <w:bottom w:val="single" w:color="auto" w:sz="4" w:space="0"/>
              <w:right w:val="single" w:color="auto" w:sz="4" w:space="0"/>
            </w:tcBorders>
            <w:vAlign w:val="center"/>
          </w:tcPr>
          <w:p w14:paraId="1BE287B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3DD4CCD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A8AC841">
        <w:tblPrEx>
          <w:tblCellMar>
            <w:top w:w="0" w:type="dxa"/>
            <w:left w:w="108" w:type="dxa"/>
            <w:bottom w:w="0" w:type="dxa"/>
            <w:right w:w="108" w:type="dxa"/>
          </w:tblCellMar>
        </w:tblPrEx>
        <w:trPr>
          <w:trHeight w:val="158" w:hRule="atLeast"/>
        </w:trPr>
        <w:tc>
          <w:tcPr>
            <w:tcW w:w="360" w:type="pct"/>
            <w:vMerge w:val="continue"/>
            <w:tcBorders>
              <w:top w:val="nil"/>
              <w:left w:val="single" w:color="auto" w:sz="4" w:space="0"/>
              <w:bottom w:val="single" w:color="000000" w:sz="4" w:space="0"/>
              <w:right w:val="single" w:color="auto" w:sz="4" w:space="0"/>
            </w:tcBorders>
            <w:vAlign w:val="center"/>
          </w:tcPr>
          <w:p w14:paraId="09C75740">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7C4BBEAB">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35AF3BFC">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C766FCA">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严禁在院内非法经营活动（包括倒号、小商品贩卖、送餐等违规活动）</w:t>
            </w:r>
          </w:p>
        </w:tc>
        <w:tc>
          <w:tcPr>
            <w:tcW w:w="1326" w:type="pct"/>
            <w:tcBorders>
              <w:top w:val="nil"/>
              <w:left w:val="nil"/>
              <w:bottom w:val="single" w:color="auto" w:sz="4" w:space="0"/>
              <w:right w:val="single" w:color="auto" w:sz="4" w:space="0"/>
            </w:tcBorders>
            <w:vAlign w:val="center"/>
          </w:tcPr>
          <w:p w14:paraId="4AF6AC8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发生一例次扣0.5分</w:t>
            </w:r>
          </w:p>
        </w:tc>
        <w:tc>
          <w:tcPr>
            <w:tcW w:w="434" w:type="pct"/>
            <w:tcBorders>
              <w:top w:val="nil"/>
              <w:left w:val="nil"/>
              <w:bottom w:val="single" w:color="auto" w:sz="4" w:space="0"/>
              <w:right w:val="single" w:color="auto" w:sz="4" w:space="0"/>
            </w:tcBorders>
          </w:tcPr>
          <w:p w14:paraId="6DCE7453">
            <w:pPr>
              <w:widowControl/>
              <w:rPr>
                <w:rFonts w:ascii="方正仿宋_GBK" w:hAnsi="宋体" w:eastAsia="方正仿宋_GBK" w:cs="宋体"/>
                <w:color w:val="auto"/>
                <w:kern w:val="0"/>
                <w:sz w:val="21"/>
                <w:szCs w:val="21"/>
                <w:highlight w:val="none"/>
              </w:rPr>
            </w:pPr>
          </w:p>
        </w:tc>
      </w:tr>
      <w:tr w14:paraId="0670B593">
        <w:tblPrEx>
          <w:tblCellMar>
            <w:top w:w="0" w:type="dxa"/>
            <w:left w:w="108" w:type="dxa"/>
            <w:bottom w:w="0" w:type="dxa"/>
            <w:right w:w="108" w:type="dxa"/>
          </w:tblCellMar>
        </w:tblPrEx>
        <w:trPr>
          <w:trHeight w:val="498" w:hRule="atLeast"/>
        </w:trPr>
        <w:tc>
          <w:tcPr>
            <w:tcW w:w="360" w:type="pct"/>
            <w:vMerge w:val="continue"/>
            <w:tcBorders>
              <w:top w:val="nil"/>
              <w:left w:val="single" w:color="auto" w:sz="4" w:space="0"/>
              <w:bottom w:val="single" w:color="000000" w:sz="4" w:space="0"/>
              <w:right w:val="single" w:color="auto" w:sz="4" w:space="0"/>
            </w:tcBorders>
            <w:vAlign w:val="center"/>
          </w:tcPr>
          <w:p w14:paraId="04F848A8">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439F333F">
            <w:pPr>
              <w:ind w:firstLine="420" w:firstLineChars="200"/>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vAlign w:val="center"/>
          </w:tcPr>
          <w:p w14:paraId="2A14AED4">
            <w:pPr>
              <w:ind w:firstLine="420" w:firstLineChars="200"/>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65217198">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做好防火、防盗、防破坏工作</w:t>
            </w:r>
          </w:p>
        </w:tc>
        <w:tc>
          <w:tcPr>
            <w:tcW w:w="1326" w:type="pct"/>
            <w:tcBorders>
              <w:top w:val="nil"/>
              <w:left w:val="nil"/>
              <w:bottom w:val="single" w:color="auto" w:sz="4" w:space="0"/>
              <w:right w:val="single" w:color="auto" w:sz="4" w:space="0"/>
            </w:tcBorders>
            <w:vAlign w:val="center"/>
          </w:tcPr>
          <w:p w14:paraId="4C2C73F8">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未做到</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发生一例次扣1分</w:t>
            </w:r>
          </w:p>
        </w:tc>
        <w:tc>
          <w:tcPr>
            <w:tcW w:w="434" w:type="pct"/>
            <w:tcBorders>
              <w:top w:val="nil"/>
              <w:left w:val="nil"/>
              <w:bottom w:val="single" w:color="auto" w:sz="4" w:space="0"/>
              <w:right w:val="single" w:color="auto" w:sz="4" w:space="0"/>
            </w:tcBorders>
          </w:tcPr>
          <w:p w14:paraId="5E9BECAB">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B4BE2EE">
        <w:tblPrEx>
          <w:tblCellMar>
            <w:top w:w="0" w:type="dxa"/>
            <w:left w:w="108" w:type="dxa"/>
            <w:bottom w:w="0" w:type="dxa"/>
            <w:right w:w="108" w:type="dxa"/>
          </w:tblCellMar>
        </w:tblPrEx>
        <w:trPr>
          <w:trHeight w:val="250" w:hRule="atLeast"/>
        </w:trPr>
        <w:tc>
          <w:tcPr>
            <w:tcW w:w="360" w:type="pct"/>
            <w:vMerge w:val="restart"/>
            <w:tcBorders>
              <w:top w:val="nil"/>
              <w:left w:val="single" w:color="auto" w:sz="4" w:space="0"/>
              <w:bottom w:val="single" w:color="000000" w:sz="4" w:space="0"/>
              <w:right w:val="single" w:color="auto" w:sz="4" w:space="0"/>
            </w:tcBorders>
            <w:vAlign w:val="center"/>
          </w:tcPr>
          <w:p w14:paraId="0F5C235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2</w:t>
            </w:r>
          </w:p>
        </w:tc>
        <w:tc>
          <w:tcPr>
            <w:tcW w:w="315" w:type="pct"/>
            <w:vMerge w:val="restart"/>
            <w:tcBorders>
              <w:top w:val="nil"/>
              <w:left w:val="single" w:color="auto" w:sz="4" w:space="0"/>
              <w:bottom w:val="single" w:color="000000" w:sz="4" w:space="0"/>
              <w:right w:val="single" w:color="auto" w:sz="4" w:space="0"/>
            </w:tcBorders>
            <w:vAlign w:val="center"/>
          </w:tcPr>
          <w:p w14:paraId="6A34BB9F">
            <w:pPr>
              <w:jc w:val="center"/>
              <w:rPr>
                <w:rFonts w:ascii="方正仿宋_GBK" w:hAnsi="宋体" w:eastAsia="方正仿宋_GBK" w:cs="仿宋"/>
                <w:color w:val="auto"/>
                <w:sz w:val="21"/>
                <w:szCs w:val="21"/>
                <w:highlight w:val="none"/>
              </w:rPr>
            </w:pPr>
          </w:p>
          <w:p w14:paraId="747C296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消</w:t>
            </w:r>
          </w:p>
          <w:p w14:paraId="4C9AD1B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防</w:t>
            </w:r>
          </w:p>
          <w:p w14:paraId="2C91A4D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管</w:t>
            </w:r>
          </w:p>
          <w:p w14:paraId="4591933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理</w:t>
            </w:r>
          </w:p>
        </w:tc>
        <w:tc>
          <w:tcPr>
            <w:tcW w:w="492" w:type="pct"/>
            <w:vMerge w:val="restart"/>
            <w:tcBorders>
              <w:top w:val="nil"/>
              <w:left w:val="single" w:color="auto" w:sz="4" w:space="0"/>
              <w:bottom w:val="single" w:color="000000" w:sz="4" w:space="0"/>
              <w:right w:val="single" w:color="auto" w:sz="4" w:space="0"/>
            </w:tcBorders>
            <w:vAlign w:val="center"/>
          </w:tcPr>
          <w:p w14:paraId="318057E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40分</w:t>
            </w:r>
          </w:p>
        </w:tc>
        <w:tc>
          <w:tcPr>
            <w:tcW w:w="2073" w:type="pct"/>
            <w:tcBorders>
              <w:top w:val="nil"/>
              <w:left w:val="nil"/>
              <w:bottom w:val="single" w:color="auto" w:sz="4" w:space="0"/>
              <w:right w:val="single" w:color="auto" w:sz="4" w:space="0"/>
            </w:tcBorders>
            <w:vAlign w:val="center"/>
          </w:tcPr>
          <w:p w14:paraId="718DBD16">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对消防通道通畅情况</w:t>
            </w:r>
          </w:p>
        </w:tc>
        <w:tc>
          <w:tcPr>
            <w:tcW w:w="1326" w:type="pct"/>
            <w:tcBorders>
              <w:top w:val="nil"/>
              <w:left w:val="nil"/>
              <w:bottom w:val="single" w:color="auto" w:sz="4" w:space="0"/>
              <w:right w:val="single" w:color="auto" w:sz="4" w:space="0"/>
            </w:tcBorders>
          </w:tcPr>
          <w:p w14:paraId="0FF737A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未巡查或</w:t>
            </w:r>
            <w:r>
              <w:rPr>
                <w:rFonts w:ascii="方正仿宋_GBK" w:hAnsi="宋体" w:eastAsia="方正仿宋_GBK" w:cs="仿宋"/>
                <w:color w:val="auto"/>
                <w:sz w:val="21"/>
                <w:szCs w:val="21"/>
                <w:highlight w:val="none"/>
              </w:rPr>
              <w:t>发现未干预，</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6380962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7C9B3D99">
        <w:tblPrEx>
          <w:tblCellMar>
            <w:top w:w="0" w:type="dxa"/>
            <w:left w:w="108" w:type="dxa"/>
            <w:bottom w:w="0" w:type="dxa"/>
            <w:right w:w="108" w:type="dxa"/>
          </w:tblCellMar>
        </w:tblPrEx>
        <w:trPr>
          <w:trHeight w:val="241" w:hRule="atLeast"/>
        </w:trPr>
        <w:tc>
          <w:tcPr>
            <w:tcW w:w="360" w:type="pct"/>
            <w:vMerge w:val="continue"/>
            <w:tcBorders>
              <w:top w:val="nil"/>
              <w:left w:val="single" w:color="auto" w:sz="4" w:space="0"/>
              <w:bottom w:val="single" w:color="000000" w:sz="4" w:space="0"/>
              <w:right w:val="single" w:color="auto" w:sz="4" w:space="0"/>
            </w:tcBorders>
            <w:vAlign w:val="center"/>
          </w:tcPr>
          <w:p w14:paraId="202B90F2">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0F2594AC">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244FDF1">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7134B42F">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对重点区域的防火安全</w:t>
            </w:r>
          </w:p>
        </w:tc>
        <w:tc>
          <w:tcPr>
            <w:tcW w:w="1326" w:type="pct"/>
            <w:tcBorders>
              <w:top w:val="nil"/>
              <w:left w:val="nil"/>
              <w:bottom w:val="single" w:color="auto" w:sz="4" w:space="0"/>
              <w:right w:val="single" w:color="auto" w:sz="4" w:space="0"/>
            </w:tcBorders>
          </w:tcPr>
          <w:p w14:paraId="70D9981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93E6036">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0CEF3607">
        <w:tblPrEx>
          <w:tblCellMar>
            <w:top w:w="0" w:type="dxa"/>
            <w:left w:w="108" w:type="dxa"/>
            <w:bottom w:w="0" w:type="dxa"/>
            <w:right w:w="108" w:type="dxa"/>
          </w:tblCellMar>
        </w:tblPrEx>
        <w:trPr>
          <w:trHeight w:val="365" w:hRule="atLeast"/>
        </w:trPr>
        <w:tc>
          <w:tcPr>
            <w:tcW w:w="360" w:type="pct"/>
            <w:vMerge w:val="continue"/>
            <w:tcBorders>
              <w:top w:val="nil"/>
              <w:left w:val="single" w:color="auto" w:sz="4" w:space="0"/>
              <w:bottom w:val="single" w:color="000000" w:sz="4" w:space="0"/>
              <w:right w:val="single" w:color="auto" w:sz="4" w:space="0"/>
            </w:tcBorders>
            <w:vAlign w:val="center"/>
          </w:tcPr>
          <w:p w14:paraId="5437A0F7">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2E19B7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410DCB3D">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23DB431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对施工场所动火作业的控制管理</w:t>
            </w:r>
          </w:p>
        </w:tc>
        <w:tc>
          <w:tcPr>
            <w:tcW w:w="1326" w:type="pct"/>
            <w:tcBorders>
              <w:top w:val="nil"/>
              <w:left w:val="nil"/>
              <w:bottom w:val="single" w:color="auto" w:sz="4" w:space="0"/>
              <w:right w:val="single" w:color="auto" w:sz="4" w:space="0"/>
            </w:tcBorders>
          </w:tcPr>
          <w:p w14:paraId="771832B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未干预</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4BB3BD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325AFEBC">
        <w:tblPrEx>
          <w:tblCellMar>
            <w:top w:w="0" w:type="dxa"/>
            <w:left w:w="108" w:type="dxa"/>
            <w:bottom w:w="0" w:type="dxa"/>
            <w:right w:w="108" w:type="dxa"/>
          </w:tblCellMar>
        </w:tblPrEx>
        <w:trPr>
          <w:trHeight w:val="70" w:hRule="atLeast"/>
        </w:trPr>
        <w:tc>
          <w:tcPr>
            <w:tcW w:w="360" w:type="pct"/>
            <w:vMerge w:val="continue"/>
            <w:tcBorders>
              <w:top w:val="nil"/>
              <w:left w:val="single" w:color="auto" w:sz="4" w:space="0"/>
              <w:bottom w:val="single" w:color="000000" w:sz="4" w:space="0"/>
              <w:right w:val="single" w:color="auto" w:sz="4" w:space="0"/>
            </w:tcBorders>
            <w:vAlign w:val="center"/>
          </w:tcPr>
          <w:p w14:paraId="55005FCA">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13FE7956">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32400F8">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72C8D3CE">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对禁止吸烟区域的管理</w:t>
            </w:r>
          </w:p>
        </w:tc>
        <w:tc>
          <w:tcPr>
            <w:tcW w:w="1326" w:type="pct"/>
            <w:tcBorders>
              <w:top w:val="nil"/>
              <w:left w:val="nil"/>
              <w:bottom w:val="single" w:color="auto" w:sz="4" w:space="0"/>
              <w:right w:val="single" w:color="auto" w:sz="4" w:space="0"/>
            </w:tcBorders>
          </w:tcPr>
          <w:p w14:paraId="7BF7127B">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吸烟</w:t>
            </w:r>
            <w:r>
              <w:rPr>
                <w:rFonts w:ascii="方正仿宋_GBK" w:hAnsi="宋体" w:eastAsia="方正仿宋_GBK" w:cs="仿宋"/>
                <w:color w:val="auto"/>
                <w:sz w:val="21"/>
                <w:szCs w:val="21"/>
                <w:highlight w:val="none"/>
              </w:rPr>
              <w:t>未干预，</w:t>
            </w:r>
            <w:r>
              <w:rPr>
                <w:rFonts w:hint="eastAsia" w:ascii="方正仿宋_GBK" w:hAnsi="宋体" w:eastAsia="方正仿宋_GBK" w:cs="仿宋"/>
                <w:color w:val="auto"/>
                <w:sz w:val="21"/>
                <w:szCs w:val="21"/>
                <w:highlight w:val="none"/>
              </w:rPr>
              <w:t>1例次扣1分</w:t>
            </w:r>
          </w:p>
        </w:tc>
        <w:tc>
          <w:tcPr>
            <w:tcW w:w="434" w:type="pct"/>
            <w:tcBorders>
              <w:top w:val="nil"/>
              <w:left w:val="nil"/>
              <w:bottom w:val="single" w:color="auto" w:sz="4" w:space="0"/>
              <w:right w:val="single" w:color="auto" w:sz="4" w:space="0"/>
            </w:tcBorders>
          </w:tcPr>
          <w:p w14:paraId="52EB71A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E5B76F6">
        <w:tblPrEx>
          <w:tblCellMar>
            <w:top w:w="0" w:type="dxa"/>
            <w:left w:w="108" w:type="dxa"/>
            <w:bottom w:w="0" w:type="dxa"/>
            <w:right w:w="108" w:type="dxa"/>
          </w:tblCellMar>
        </w:tblPrEx>
        <w:trPr>
          <w:trHeight w:val="369" w:hRule="atLeast"/>
        </w:trPr>
        <w:tc>
          <w:tcPr>
            <w:tcW w:w="360" w:type="pct"/>
            <w:vMerge w:val="continue"/>
            <w:tcBorders>
              <w:top w:val="nil"/>
              <w:left w:val="single" w:color="auto" w:sz="4" w:space="0"/>
              <w:bottom w:val="single" w:color="000000" w:sz="4" w:space="0"/>
              <w:right w:val="single" w:color="auto" w:sz="4" w:space="0"/>
            </w:tcBorders>
            <w:vAlign w:val="center"/>
          </w:tcPr>
          <w:p w14:paraId="022F435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31EFC6E0">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738E30C9">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4ECEFD0">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严禁易燃、易爆、腐蚀物品进出医院</w:t>
            </w:r>
          </w:p>
        </w:tc>
        <w:tc>
          <w:tcPr>
            <w:tcW w:w="1326" w:type="pct"/>
            <w:tcBorders>
              <w:top w:val="nil"/>
              <w:left w:val="nil"/>
              <w:bottom w:val="single" w:color="auto" w:sz="4" w:space="0"/>
              <w:right w:val="single" w:color="auto" w:sz="4" w:space="0"/>
            </w:tcBorders>
          </w:tcPr>
          <w:p w14:paraId="03AA0817">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未干预，1例次不符要求扣1分</w:t>
            </w:r>
          </w:p>
        </w:tc>
        <w:tc>
          <w:tcPr>
            <w:tcW w:w="434" w:type="pct"/>
            <w:tcBorders>
              <w:top w:val="nil"/>
              <w:left w:val="nil"/>
              <w:bottom w:val="single" w:color="auto" w:sz="4" w:space="0"/>
              <w:right w:val="single" w:color="auto" w:sz="4" w:space="0"/>
            </w:tcBorders>
          </w:tcPr>
          <w:p w14:paraId="07ADFD63">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5E2A942E">
        <w:tblPrEx>
          <w:tblCellMar>
            <w:top w:w="0" w:type="dxa"/>
            <w:left w:w="108" w:type="dxa"/>
            <w:bottom w:w="0" w:type="dxa"/>
            <w:right w:w="108" w:type="dxa"/>
          </w:tblCellMar>
        </w:tblPrEx>
        <w:trPr>
          <w:trHeight w:val="221" w:hRule="atLeast"/>
        </w:trPr>
        <w:tc>
          <w:tcPr>
            <w:tcW w:w="360" w:type="pct"/>
            <w:vMerge w:val="continue"/>
            <w:tcBorders>
              <w:top w:val="nil"/>
              <w:left w:val="single" w:color="auto" w:sz="4" w:space="0"/>
              <w:bottom w:val="single" w:color="000000" w:sz="4" w:space="0"/>
              <w:right w:val="single" w:color="auto" w:sz="4" w:space="0"/>
            </w:tcBorders>
            <w:vAlign w:val="center"/>
          </w:tcPr>
          <w:p w14:paraId="75DAA54E">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7660968">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2F789A92">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62EE292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及时上报主管领导和报火警119</w:t>
            </w:r>
          </w:p>
        </w:tc>
        <w:tc>
          <w:tcPr>
            <w:tcW w:w="1326" w:type="pct"/>
            <w:tcBorders>
              <w:top w:val="nil"/>
              <w:left w:val="nil"/>
              <w:bottom w:val="single" w:color="auto" w:sz="4" w:space="0"/>
              <w:right w:val="single" w:color="auto" w:sz="4" w:space="0"/>
            </w:tcBorders>
          </w:tcPr>
          <w:p w14:paraId="183738F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上报，</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48A98237">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7064D27">
        <w:tblPrEx>
          <w:tblCellMar>
            <w:top w:w="0" w:type="dxa"/>
            <w:left w:w="108" w:type="dxa"/>
            <w:bottom w:w="0" w:type="dxa"/>
            <w:right w:w="108" w:type="dxa"/>
          </w:tblCellMar>
        </w:tblPrEx>
        <w:trPr>
          <w:trHeight w:val="278" w:hRule="atLeast"/>
        </w:trPr>
        <w:tc>
          <w:tcPr>
            <w:tcW w:w="360" w:type="pct"/>
            <w:vMerge w:val="continue"/>
            <w:tcBorders>
              <w:top w:val="nil"/>
              <w:left w:val="single" w:color="auto" w:sz="4" w:space="0"/>
              <w:bottom w:val="single" w:color="000000" w:sz="4" w:space="0"/>
              <w:right w:val="single" w:color="auto" w:sz="4" w:space="0"/>
            </w:tcBorders>
            <w:vAlign w:val="center"/>
          </w:tcPr>
          <w:p w14:paraId="2AB73F8D">
            <w:pPr>
              <w:ind w:firstLine="420" w:firstLineChars="200"/>
              <w:jc w:val="center"/>
              <w:rPr>
                <w:rFonts w:ascii="方正仿宋_GBK" w:hAnsi="宋体" w:eastAsia="方正仿宋_GBK" w:cs="仿宋"/>
                <w:color w:val="auto"/>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208F11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28342DE7">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50CBDAF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组织义务消防队全力扑灭初期火灾</w:t>
            </w:r>
          </w:p>
        </w:tc>
        <w:tc>
          <w:tcPr>
            <w:tcW w:w="1326" w:type="pct"/>
            <w:tcBorders>
              <w:top w:val="nil"/>
              <w:left w:val="nil"/>
              <w:bottom w:val="single" w:color="auto" w:sz="4" w:space="0"/>
              <w:right w:val="single" w:color="auto" w:sz="4" w:space="0"/>
            </w:tcBorders>
          </w:tcPr>
          <w:p w14:paraId="4B9A1236">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D46BFF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5D7CB39">
        <w:tblPrEx>
          <w:tblCellMar>
            <w:top w:w="0" w:type="dxa"/>
            <w:left w:w="108" w:type="dxa"/>
            <w:bottom w:w="0" w:type="dxa"/>
            <w:right w:w="108" w:type="dxa"/>
          </w:tblCellMar>
        </w:tblPrEx>
        <w:trPr>
          <w:trHeight w:val="283" w:hRule="atLeast"/>
        </w:trPr>
        <w:tc>
          <w:tcPr>
            <w:tcW w:w="360" w:type="pct"/>
            <w:vMerge w:val="continue"/>
            <w:tcBorders>
              <w:top w:val="nil"/>
              <w:left w:val="single" w:color="auto" w:sz="4" w:space="0"/>
              <w:bottom w:val="single" w:color="000000" w:sz="4" w:space="0"/>
              <w:right w:val="single" w:color="auto" w:sz="4" w:space="0"/>
            </w:tcBorders>
            <w:vAlign w:val="center"/>
          </w:tcPr>
          <w:p w14:paraId="5FDAE58C">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9931388">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10B52481">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44580730">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组织现场灭火并控制火场，防止扩散</w:t>
            </w:r>
          </w:p>
        </w:tc>
        <w:tc>
          <w:tcPr>
            <w:tcW w:w="1326" w:type="pct"/>
            <w:tcBorders>
              <w:top w:val="nil"/>
              <w:left w:val="nil"/>
              <w:bottom w:val="single" w:color="auto" w:sz="4" w:space="0"/>
              <w:right w:val="single" w:color="auto" w:sz="4" w:space="0"/>
            </w:tcBorders>
          </w:tcPr>
          <w:p w14:paraId="6F421864">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6B7DE1D">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2A86C4A0">
        <w:tblPrEx>
          <w:tblCellMar>
            <w:top w:w="0" w:type="dxa"/>
            <w:left w:w="108" w:type="dxa"/>
            <w:bottom w:w="0" w:type="dxa"/>
            <w:right w:w="108" w:type="dxa"/>
          </w:tblCellMar>
        </w:tblPrEx>
        <w:trPr>
          <w:trHeight w:val="145" w:hRule="atLeast"/>
        </w:trPr>
        <w:tc>
          <w:tcPr>
            <w:tcW w:w="360" w:type="pct"/>
            <w:vMerge w:val="continue"/>
            <w:tcBorders>
              <w:top w:val="nil"/>
              <w:left w:val="single" w:color="auto" w:sz="4" w:space="0"/>
              <w:bottom w:val="single" w:color="000000" w:sz="4" w:space="0"/>
              <w:right w:val="single" w:color="auto" w:sz="4" w:space="0"/>
            </w:tcBorders>
            <w:vAlign w:val="center"/>
          </w:tcPr>
          <w:p w14:paraId="5A59BD47">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6EF324F7">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6F7431E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125BD5E1">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组织人员疏散</w:t>
            </w:r>
          </w:p>
        </w:tc>
        <w:tc>
          <w:tcPr>
            <w:tcW w:w="1326" w:type="pct"/>
            <w:tcBorders>
              <w:top w:val="nil"/>
              <w:left w:val="nil"/>
              <w:bottom w:val="single" w:color="auto" w:sz="4" w:space="0"/>
              <w:right w:val="single" w:color="auto" w:sz="4" w:space="0"/>
            </w:tcBorders>
          </w:tcPr>
          <w:p w14:paraId="44020CFF">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B8FA77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712B610">
        <w:tblPrEx>
          <w:tblCellMar>
            <w:top w:w="0" w:type="dxa"/>
            <w:left w:w="108" w:type="dxa"/>
            <w:bottom w:w="0" w:type="dxa"/>
            <w:right w:w="108" w:type="dxa"/>
          </w:tblCellMar>
        </w:tblPrEx>
        <w:trPr>
          <w:trHeight w:val="70" w:hRule="atLeast"/>
        </w:trPr>
        <w:tc>
          <w:tcPr>
            <w:tcW w:w="360" w:type="pct"/>
            <w:vMerge w:val="continue"/>
            <w:tcBorders>
              <w:top w:val="nil"/>
              <w:left w:val="single" w:color="auto" w:sz="4" w:space="0"/>
              <w:bottom w:val="single" w:color="000000" w:sz="4" w:space="0"/>
              <w:right w:val="single" w:color="auto" w:sz="4" w:space="0"/>
            </w:tcBorders>
            <w:vAlign w:val="center"/>
          </w:tcPr>
          <w:p w14:paraId="0CBD6208">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491AA2C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5098DA6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525F016B">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组织转移贵重物品</w:t>
            </w:r>
          </w:p>
        </w:tc>
        <w:tc>
          <w:tcPr>
            <w:tcW w:w="1326" w:type="pct"/>
            <w:tcBorders>
              <w:top w:val="nil"/>
              <w:left w:val="nil"/>
              <w:bottom w:val="single" w:color="auto" w:sz="4" w:space="0"/>
              <w:right w:val="single" w:color="auto" w:sz="4" w:space="0"/>
            </w:tcBorders>
          </w:tcPr>
          <w:p w14:paraId="4474B3C7">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32592C8D">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E4065EE">
        <w:tblPrEx>
          <w:tblCellMar>
            <w:top w:w="0" w:type="dxa"/>
            <w:left w:w="108" w:type="dxa"/>
            <w:bottom w:w="0" w:type="dxa"/>
            <w:right w:w="108" w:type="dxa"/>
          </w:tblCellMar>
        </w:tblPrEx>
        <w:trPr>
          <w:trHeight w:val="570" w:hRule="atLeast"/>
        </w:trPr>
        <w:tc>
          <w:tcPr>
            <w:tcW w:w="360" w:type="pct"/>
            <w:vMerge w:val="continue"/>
            <w:tcBorders>
              <w:top w:val="nil"/>
              <w:left w:val="single" w:color="auto" w:sz="4" w:space="0"/>
              <w:bottom w:val="single" w:color="000000" w:sz="4" w:space="0"/>
              <w:right w:val="single" w:color="auto" w:sz="4" w:space="0"/>
            </w:tcBorders>
            <w:vAlign w:val="center"/>
          </w:tcPr>
          <w:p w14:paraId="5E6F373D">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5C0B6BFB">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68F0C2F5">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F68D167">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控制各出口，防止嫌疑人逃逸（适用纵火嫌疑）</w:t>
            </w:r>
          </w:p>
        </w:tc>
        <w:tc>
          <w:tcPr>
            <w:tcW w:w="1326" w:type="pct"/>
            <w:tcBorders>
              <w:top w:val="nil"/>
              <w:left w:val="nil"/>
              <w:bottom w:val="single" w:color="auto" w:sz="4" w:space="0"/>
              <w:right w:val="single" w:color="auto" w:sz="4" w:space="0"/>
            </w:tcBorders>
          </w:tcPr>
          <w:p w14:paraId="5F6493FA">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未及时</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014E1589">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36FA6C3E">
        <w:tblPrEx>
          <w:tblCellMar>
            <w:top w:w="0" w:type="dxa"/>
            <w:left w:w="108" w:type="dxa"/>
            <w:bottom w:w="0" w:type="dxa"/>
            <w:right w:w="108" w:type="dxa"/>
          </w:tblCellMar>
        </w:tblPrEx>
        <w:trPr>
          <w:trHeight w:val="211" w:hRule="atLeast"/>
        </w:trPr>
        <w:tc>
          <w:tcPr>
            <w:tcW w:w="360" w:type="pct"/>
            <w:vMerge w:val="continue"/>
            <w:tcBorders>
              <w:top w:val="nil"/>
              <w:left w:val="single" w:color="auto" w:sz="4" w:space="0"/>
              <w:bottom w:val="single" w:color="000000" w:sz="4" w:space="0"/>
              <w:right w:val="single" w:color="auto" w:sz="4" w:space="0"/>
            </w:tcBorders>
            <w:vAlign w:val="center"/>
          </w:tcPr>
          <w:p w14:paraId="75B56119">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000000" w:sz="4" w:space="0"/>
              <w:right w:val="single" w:color="auto" w:sz="4" w:space="0"/>
            </w:tcBorders>
            <w:vAlign w:val="center"/>
          </w:tcPr>
          <w:p w14:paraId="3A87C1AA">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000000" w:sz="4" w:space="0"/>
              <w:right w:val="single" w:color="auto" w:sz="4" w:space="0"/>
            </w:tcBorders>
          </w:tcPr>
          <w:p w14:paraId="08256CE9">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1600B7A1">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每年组织两次消防</w:t>
            </w:r>
          </w:p>
        </w:tc>
        <w:tc>
          <w:tcPr>
            <w:tcW w:w="1326" w:type="pct"/>
            <w:tcBorders>
              <w:top w:val="nil"/>
              <w:left w:val="nil"/>
              <w:bottom w:val="single" w:color="auto" w:sz="4" w:space="0"/>
              <w:right w:val="single" w:color="auto" w:sz="4" w:space="0"/>
            </w:tcBorders>
          </w:tcPr>
          <w:p w14:paraId="7F0CA094">
            <w:pPr>
              <w:widowControl/>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w:t>
            </w:r>
            <w:r>
              <w:rPr>
                <w:rFonts w:ascii="方正仿宋_GBK" w:hAnsi="宋体" w:eastAsia="方正仿宋_GBK" w:cs="仿宋"/>
                <w:color w:val="auto"/>
                <w:sz w:val="21"/>
                <w:szCs w:val="21"/>
                <w:highlight w:val="none"/>
              </w:rPr>
              <w:t>参与，</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00837D59">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6180221A">
        <w:tblPrEx>
          <w:tblCellMar>
            <w:top w:w="0" w:type="dxa"/>
            <w:left w:w="108" w:type="dxa"/>
            <w:bottom w:w="0" w:type="dxa"/>
            <w:right w:w="108" w:type="dxa"/>
          </w:tblCellMar>
        </w:tblPrEx>
        <w:trPr>
          <w:trHeight w:val="162" w:hRule="atLeast"/>
        </w:trPr>
        <w:tc>
          <w:tcPr>
            <w:tcW w:w="360" w:type="pct"/>
            <w:vMerge w:val="restart"/>
            <w:tcBorders>
              <w:top w:val="nil"/>
              <w:left w:val="single" w:color="auto" w:sz="4" w:space="0"/>
              <w:bottom w:val="nil"/>
              <w:right w:val="single" w:color="auto" w:sz="4" w:space="0"/>
            </w:tcBorders>
            <w:vAlign w:val="center"/>
          </w:tcPr>
          <w:p w14:paraId="6D496154">
            <w:pPr>
              <w:widowControl/>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315" w:type="pct"/>
            <w:vMerge w:val="restart"/>
            <w:tcBorders>
              <w:top w:val="nil"/>
              <w:left w:val="single" w:color="auto" w:sz="4" w:space="0"/>
              <w:bottom w:val="nil"/>
              <w:right w:val="single" w:color="auto" w:sz="4" w:space="0"/>
            </w:tcBorders>
            <w:vAlign w:val="center"/>
          </w:tcPr>
          <w:p w14:paraId="4709231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w:t>
            </w:r>
          </w:p>
          <w:p w14:paraId="0172B773">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辆</w:t>
            </w:r>
          </w:p>
          <w:p w14:paraId="3172825F">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管</w:t>
            </w:r>
          </w:p>
          <w:p w14:paraId="1863E16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理</w:t>
            </w:r>
          </w:p>
        </w:tc>
        <w:tc>
          <w:tcPr>
            <w:tcW w:w="492" w:type="pct"/>
            <w:vMerge w:val="restart"/>
            <w:tcBorders>
              <w:top w:val="nil"/>
              <w:left w:val="single" w:color="auto" w:sz="4" w:space="0"/>
              <w:bottom w:val="nil"/>
              <w:right w:val="single" w:color="auto" w:sz="4" w:space="0"/>
            </w:tcBorders>
            <w:vAlign w:val="center"/>
          </w:tcPr>
          <w:p w14:paraId="4028F28C">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10分</w:t>
            </w:r>
          </w:p>
        </w:tc>
        <w:tc>
          <w:tcPr>
            <w:tcW w:w="2073" w:type="pct"/>
            <w:tcBorders>
              <w:top w:val="nil"/>
              <w:left w:val="nil"/>
              <w:bottom w:val="single" w:color="auto" w:sz="4" w:space="0"/>
              <w:right w:val="single" w:color="auto" w:sz="4" w:space="0"/>
            </w:tcBorders>
            <w:vAlign w:val="center"/>
          </w:tcPr>
          <w:p w14:paraId="51019F7E">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停车场安全巡查</w:t>
            </w:r>
          </w:p>
        </w:tc>
        <w:tc>
          <w:tcPr>
            <w:tcW w:w="1326" w:type="pct"/>
            <w:tcBorders>
              <w:top w:val="nil"/>
              <w:left w:val="nil"/>
              <w:bottom w:val="single" w:color="auto" w:sz="4" w:space="0"/>
              <w:right w:val="single" w:color="auto" w:sz="4" w:space="0"/>
            </w:tcBorders>
          </w:tcPr>
          <w:p w14:paraId="5AF34521">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未巡查</w:t>
            </w:r>
            <w:r>
              <w:rPr>
                <w:rFonts w:ascii="方正仿宋_GBK" w:hAnsi="宋体" w:eastAsia="方正仿宋_GBK" w:cs="仿宋"/>
                <w:color w:val="auto"/>
                <w:sz w:val="21"/>
                <w:szCs w:val="21"/>
                <w:highlight w:val="none"/>
              </w:rPr>
              <w:t>，</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1DAF582A">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F7B6109">
        <w:tblPrEx>
          <w:tblCellMar>
            <w:top w:w="0" w:type="dxa"/>
            <w:left w:w="108" w:type="dxa"/>
            <w:bottom w:w="0" w:type="dxa"/>
            <w:right w:w="108" w:type="dxa"/>
          </w:tblCellMar>
        </w:tblPrEx>
        <w:trPr>
          <w:trHeight w:val="282" w:hRule="atLeast"/>
        </w:trPr>
        <w:tc>
          <w:tcPr>
            <w:tcW w:w="360" w:type="pct"/>
            <w:vMerge w:val="continue"/>
            <w:tcBorders>
              <w:top w:val="nil"/>
              <w:left w:val="single" w:color="auto" w:sz="4" w:space="0"/>
              <w:bottom w:val="nil"/>
              <w:right w:val="single" w:color="auto" w:sz="4" w:space="0"/>
            </w:tcBorders>
            <w:vAlign w:val="center"/>
          </w:tcPr>
          <w:p w14:paraId="01539A84">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55B7A227">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32D4FDAF">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B454B32">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车辆停放车位时的指挥</w:t>
            </w:r>
          </w:p>
        </w:tc>
        <w:tc>
          <w:tcPr>
            <w:tcW w:w="1326" w:type="pct"/>
            <w:tcBorders>
              <w:top w:val="nil"/>
              <w:left w:val="nil"/>
              <w:bottom w:val="single" w:color="auto" w:sz="4" w:space="0"/>
              <w:right w:val="single" w:color="auto" w:sz="4" w:space="0"/>
            </w:tcBorders>
          </w:tcPr>
          <w:p w14:paraId="25C8FFF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未</w:t>
            </w:r>
            <w:r>
              <w:rPr>
                <w:rFonts w:ascii="方正仿宋_GBK" w:hAnsi="宋体" w:eastAsia="方正仿宋_GBK" w:cs="仿宋"/>
                <w:color w:val="auto"/>
                <w:sz w:val="21"/>
                <w:szCs w:val="21"/>
                <w:highlight w:val="none"/>
              </w:rPr>
              <w:t>履职，</w:t>
            </w: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2F9091FE">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40DB710">
        <w:tblPrEx>
          <w:tblCellMar>
            <w:top w:w="0" w:type="dxa"/>
            <w:left w:w="108" w:type="dxa"/>
            <w:bottom w:w="0" w:type="dxa"/>
            <w:right w:w="108" w:type="dxa"/>
          </w:tblCellMar>
        </w:tblPrEx>
        <w:trPr>
          <w:trHeight w:val="247" w:hRule="atLeast"/>
        </w:trPr>
        <w:tc>
          <w:tcPr>
            <w:tcW w:w="360" w:type="pct"/>
            <w:vMerge w:val="continue"/>
            <w:tcBorders>
              <w:top w:val="nil"/>
              <w:left w:val="single" w:color="auto" w:sz="4" w:space="0"/>
              <w:bottom w:val="nil"/>
              <w:right w:val="single" w:color="auto" w:sz="4" w:space="0"/>
            </w:tcBorders>
            <w:vAlign w:val="center"/>
          </w:tcPr>
          <w:p w14:paraId="4136143A">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3F51FA41">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0D8FB540">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35DBF1FD">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车辆防撬、防盗</w:t>
            </w:r>
          </w:p>
        </w:tc>
        <w:tc>
          <w:tcPr>
            <w:tcW w:w="1326" w:type="pct"/>
            <w:tcBorders>
              <w:top w:val="nil"/>
              <w:left w:val="nil"/>
              <w:bottom w:val="single" w:color="auto" w:sz="4" w:space="0"/>
              <w:right w:val="single" w:color="auto" w:sz="4" w:space="0"/>
            </w:tcBorders>
          </w:tcPr>
          <w:p w14:paraId="05090D04">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42C63A0">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7C543AEF">
        <w:tblPrEx>
          <w:tblCellMar>
            <w:top w:w="0" w:type="dxa"/>
            <w:left w:w="108" w:type="dxa"/>
            <w:bottom w:w="0" w:type="dxa"/>
            <w:right w:w="108" w:type="dxa"/>
          </w:tblCellMar>
        </w:tblPrEx>
        <w:trPr>
          <w:trHeight w:val="196" w:hRule="atLeast"/>
        </w:trPr>
        <w:tc>
          <w:tcPr>
            <w:tcW w:w="360" w:type="pct"/>
            <w:vMerge w:val="continue"/>
            <w:tcBorders>
              <w:top w:val="nil"/>
              <w:left w:val="single" w:color="auto" w:sz="4" w:space="0"/>
              <w:bottom w:val="nil"/>
              <w:right w:val="single" w:color="auto" w:sz="4" w:space="0"/>
            </w:tcBorders>
            <w:vAlign w:val="center"/>
          </w:tcPr>
          <w:p w14:paraId="3E4C494A">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nil"/>
              <w:right w:val="single" w:color="auto" w:sz="4" w:space="0"/>
            </w:tcBorders>
            <w:vAlign w:val="center"/>
          </w:tcPr>
          <w:p w14:paraId="52C55512">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nil"/>
              <w:right w:val="single" w:color="auto" w:sz="4" w:space="0"/>
            </w:tcBorders>
            <w:vAlign w:val="center"/>
          </w:tcPr>
          <w:p w14:paraId="6BEE107A">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vAlign w:val="center"/>
          </w:tcPr>
          <w:p w14:paraId="06237E1B">
            <w:pPr>
              <w:ind w:firstLine="420" w:firstLineChars="200"/>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防车辆被恶意破坏</w:t>
            </w:r>
          </w:p>
        </w:tc>
        <w:tc>
          <w:tcPr>
            <w:tcW w:w="1326" w:type="pct"/>
            <w:tcBorders>
              <w:top w:val="nil"/>
              <w:left w:val="nil"/>
              <w:bottom w:val="single" w:color="auto" w:sz="4" w:space="0"/>
              <w:right w:val="single" w:color="auto" w:sz="4" w:space="0"/>
            </w:tcBorders>
          </w:tcPr>
          <w:p w14:paraId="1970AE45">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发现车辆被</w:t>
            </w:r>
            <w:r>
              <w:rPr>
                <w:rFonts w:ascii="方正仿宋_GBK" w:hAnsi="宋体" w:eastAsia="方正仿宋_GBK" w:cs="仿宋"/>
                <w:color w:val="auto"/>
                <w:sz w:val="21"/>
                <w:szCs w:val="21"/>
                <w:highlight w:val="none"/>
              </w:rPr>
              <w:t>恶意破坏</w:t>
            </w:r>
            <w:r>
              <w:rPr>
                <w:rFonts w:hint="eastAsia" w:ascii="方正仿宋_GBK" w:hAnsi="宋体" w:eastAsia="方正仿宋_GBK" w:cs="仿宋"/>
                <w:color w:val="auto"/>
                <w:sz w:val="21"/>
                <w:szCs w:val="21"/>
                <w:highlight w:val="none"/>
              </w:rPr>
              <w:t>1例次不符要求扣1分</w:t>
            </w:r>
          </w:p>
        </w:tc>
        <w:tc>
          <w:tcPr>
            <w:tcW w:w="434" w:type="pct"/>
            <w:tcBorders>
              <w:top w:val="nil"/>
              <w:left w:val="nil"/>
              <w:bottom w:val="single" w:color="auto" w:sz="4" w:space="0"/>
              <w:right w:val="single" w:color="auto" w:sz="4" w:space="0"/>
            </w:tcBorders>
          </w:tcPr>
          <w:p w14:paraId="3FC03BFF">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44EBD6D4">
        <w:tblPrEx>
          <w:tblCellMar>
            <w:top w:w="0" w:type="dxa"/>
            <w:left w:w="108" w:type="dxa"/>
            <w:bottom w:w="0" w:type="dxa"/>
            <w:right w:w="108" w:type="dxa"/>
          </w:tblCellMar>
        </w:tblPrEx>
        <w:trPr>
          <w:trHeight w:val="570" w:hRule="atLeast"/>
        </w:trPr>
        <w:tc>
          <w:tcPr>
            <w:tcW w:w="360" w:type="pct"/>
            <w:vMerge w:val="continue"/>
            <w:tcBorders>
              <w:top w:val="nil"/>
              <w:left w:val="single" w:color="auto" w:sz="4" w:space="0"/>
              <w:bottom w:val="single" w:color="auto" w:sz="4" w:space="0"/>
              <w:right w:val="single" w:color="auto" w:sz="4" w:space="0"/>
            </w:tcBorders>
            <w:vAlign w:val="center"/>
          </w:tcPr>
          <w:p w14:paraId="2B9357A8">
            <w:pPr>
              <w:widowControl/>
              <w:jc w:val="center"/>
              <w:rPr>
                <w:rFonts w:ascii="方正仿宋_GBK" w:hAnsi="宋体" w:eastAsia="方正仿宋_GBK" w:cs="宋体"/>
                <w:color w:val="auto"/>
                <w:kern w:val="0"/>
                <w:sz w:val="21"/>
                <w:szCs w:val="21"/>
                <w:highlight w:val="none"/>
              </w:rPr>
            </w:pPr>
          </w:p>
        </w:tc>
        <w:tc>
          <w:tcPr>
            <w:tcW w:w="315" w:type="pct"/>
            <w:vMerge w:val="continue"/>
            <w:tcBorders>
              <w:top w:val="nil"/>
              <w:left w:val="single" w:color="auto" w:sz="4" w:space="0"/>
              <w:bottom w:val="single" w:color="auto" w:sz="4" w:space="0"/>
              <w:right w:val="single" w:color="auto" w:sz="4" w:space="0"/>
            </w:tcBorders>
            <w:vAlign w:val="center"/>
          </w:tcPr>
          <w:p w14:paraId="49CEF0C0">
            <w:pPr>
              <w:jc w:val="center"/>
              <w:rPr>
                <w:rFonts w:ascii="方正仿宋_GBK" w:hAnsi="宋体" w:eastAsia="方正仿宋_GBK" w:cs="仿宋"/>
                <w:color w:val="auto"/>
                <w:sz w:val="21"/>
                <w:szCs w:val="21"/>
                <w:highlight w:val="none"/>
              </w:rPr>
            </w:pPr>
          </w:p>
        </w:tc>
        <w:tc>
          <w:tcPr>
            <w:tcW w:w="492" w:type="pct"/>
            <w:vMerge w:val="continue"/>
            <w:tcBorders>
              <w:top w:val="nil"/>
              <w:left w:val="single" w:color="auto" w:sz="4" w:space="0"/>
              <w:bottom w:val="single" w:color="auto" w:sz="4" w:space="0"/>
              <w:right w:val="single" w:color="auto" w:sz="4" w:space="0"/>
            </w:tcBorders>
            <w:vAlign w:val="center"/>
          </w:tcPr>
          <w:p w14:paraId="31F2E2E2">
            <w:pPr>
              <w:jc w:val="center"/>
              <w:rPr>
                <w:rFonts w:ascii="方正仿宋_GBK" w:hAnsi="宋体" w:eastAsia="方正仿宋_GBK" w:cs="仿宋"/>
                <w:color w:val="auto"/>
                <w:sz w:val="21"/>
                <w:szCs w:val="21"/>
                <w:highlight w:val="none"/>
              </w:rPr>
            </w:pPr>
          </w:p>
        </w:tc>
        <w:tc>
          <w:tcPr>
            <w:tcW w:w="2073" w:type="pct"/>
            <w:tcBorders>
              <w:top w:val="nil"/>
              <w:left w:val="nil"/>
              <w:bottom w:val="single" w:color="auto" w:sz="4" w:space="0"/>
              <w:right w:val="single" w:color="auto" w:sz="4" w:space="0"/>
            </w:tcBorders>
          </w:tcPr>
          <w:p w14:paraId="6DD619F3">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车门、车窗、后备箱关闭不严等情况通报和控制</w:t>
            </w:r>
          </w:p>
        </w:tc>
        <w:tc>
          <w:tcPr>
            <w:tcW w:w="1326" w:type="pct"/>
            <w:tcBorders>
              <w:top w:val="nil"/>
              <w:left w:val="nil"/>
              <w:bottom w:val="single" w:color="auto" w:sz="4" w:space="0"/>
              <w:right w:val="single" w:color="auto" w:sz="4" w:space="0"/>
            </w:tcBorders>
          </w:tcPr>
          <w:p w14:paraId="58A4D4E0">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发现1例次不符要求扣1分</w:t>
            </w:r>
          </w:p>
        </w:tc>
        <w:tc>
          <w:tcPr>
            <w:tcW w:w="434" w:type="pct"/>
            <w:tcBorders>
              <w:top w:val="nil"/>
              <w:left w:val="nil"/>
              <w:bottom w:val="single" w:color="auto" w:sz="4" w:space="0"/>
              <w:right w:val="single" w:color="auto" w:sz="4" w:space="0"/>
            </w:tcBorders>
          </w:tcPr>
          <w:p w14:paraId="598AF205">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r w14:paraId="10E0A317">
        <w:tblPrEx>
          <w:tblCellMar>
            <w:top w:w="0" w:type="dxa"/>
            <w:left w:w="108" w:type="dxa"/>
            <w:bottom w:w="0" w:type="dxa"/>
            <w:right w:w="108" w:type="dxa"/>
          </w:tblCellMar>
        </w:tblPrEx>
        <w:trPr>
          <w:trHeight w:val="502" w:hRule="atLeast"/>
        </w:trPr>
        <w:tc>
          <w:tcPr>
            <w:tcW w:w="360" w:type="pct"/>
            <w:tcBorders>
              <w:top w:val="single" w:color="auto" w:sz="4" w:space="0"/>
              <w:left w:val="single" w:color="auto" w:sz="4" w:space="0"/>
              <w:bottom w:val="single" w:color="auto" w:sz="4" w:space="0"/>
              <w:right w:val="single" w:color="auto" w:sz="4" w:space="0"/>
            </w:tcBorders>
            <w:vAlign w:val="center"/>
          </w:tcPr>
          <w:p w14:paraId="7E04F3D4">
            <w:pPr>
              <w:widowControl/>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315" w:type="pct"/>
            <w:tcBorders>
              <w:top w:val="single" w:color="auto" w:sz="4" w:space="0"/>
              <w:left w:val="nil"/>
              <w:bottom w:val="single" w:color="auto" w:sz="4" w:space="0"/>
              <w:right w:val="single" w:color="auto" w:sz="4" w:space="0"/>
            </w:tcBorders>
            <w:vAlign w:val="center"/>
          </w:tcPr>
          <w:p w14:paraId="4CA0BD62">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应急管理</w:t>
            </w:r>
          </w:p>
        </w:tc>
        <w:tc>
          <w:tcPr>
            <w:tcW w:w="492" w:type="pct"/>
            <w:tcBorders>
              <w:top w:val="single" w:color="auto" w:sz="4" w:space="0"/>
              <w:left w:val="nil"/>
              <w:bottom w:val="single" w:color="auto" w:sz="4" w:space="0"/>
              <w:right w:val="single" w:color="auto" w:sz="4" w:space="0"/>
            </w:tcBorders>
            <w:vAlign w:val="center"/>
          </w:tcPr>
          <w:p w14:paraId="4A9F2E19">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30分</w:t>
            </w:r>
          </w:p>
        </w:tc>
        <w:tc>
          <w:tcPr>
            <w:tcW w:w="2073" w:type="pct"/>
            <w:tcBorders>
              <w:top w:val="nil"/>
              <w:left w:val="nil"/>
              <w:bottom w:val="single" w:color="auto" w:sz="4" w:space="0"/>
              <w:right w:val="single" w:color="auto" w:sz="4" w:space="0"/>
            </w:tcBorders>
          </w:tcPr>
          <w:p w14:paraId="4241B055">
            <w:pPr>
              <w:ind w:firstLine="420" w:firstLineChars="200"/>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有危害医院工作人员及其它人员安全事件苗头时，接通知10分钟未到场</w:t>
            </w:r>
          </w:p>
        </w:tc>
        <w:tc>
          <w:tcPr>
            <w:tcW w:w="1326" w:type="pct"/>
            <w:tcBorders>
              <w:top w:val="nil"/>
              <w:left w:val="nil"/>
              <w:bottom w:val="single" w:color="auto" w:sz="4" w:space="0"/>
              <w:right w:val="single" w:color="auto" w:sz="4" w:space="0"/>
            </w:tcBorders>
          </w:tcPr>
          <w:p w14:paraId="1D62C67D">
            <w:pPr>
              <w:jc w:val="center"/>
              <w:rPr>
                <w:rFonts w:ascii="方正仿宋_GBK" w:hAnsi="宋体" w:eastAsia="方正仿宋_GBK" w:cs="仿宋"/>
                <w:color w:val="auto"/>
                <w:sz w:val="21"/>
                <w:szCs w:val="21"/>
                <w:highlight w:val="none"/>
              </w:rPr>
            </w:pPr>
            <w:r>
              <w:rPr>
                <w:rFonts w:hint="eastAsia" w:ascii="方正仿宋_GBK" w:hAnsi="宋体" w:eastAsia="方正仿宋_GBK" w:cs="仿宋"/>
                <w:color w:val="auto"/>
                <w:sz w:val="21"/>
                <w:szCs w:val="21"/>
                <w:highlight w:val="none"/>
              </w:rPr>
              <w:t>每迟到1分钟扣1分</w:t>
            </w:r>
          </w:p>
        </w:tc>
        <w:tc>
          <w:tcPr>
            <w:tcW w:w="434" w:type="pct"/>
            <w:tcBorders>
              <w:top w:val="nil"/>
              <w:left w:val="nil"/>
              <w:bottom w:val="single" w:color="auto" w:sz="4" w:space="0"/>
              <w:right w:val="single" w:color="auto" w:sz="4" w:space="0"/>
            </w:tcBorders>
          </w:tcPr>
          <w:p w14:paraId="2E1B9D4C">
            <w:pPr>
              <w:widowControl/>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　</w:t>
            </w:r>
          </w:p>
        </w:tc>
      </w:tr>
    </w:tbl>
    <w:p w14:paraId="067B0724">
      <w:pPr>
        <w:wordWrap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备注：保洁服务与安保服务考核分别采取100分制计算，最终得分按7:3计入月考核。</w:t>
      </w:r>
    </w:p>
    <w:p w14:paraId="43B87BF7">
      <w:pPr>
        <w:rPr>
          <w:rFonts w:hint="eastAsia"/>
          <w:lang w:val="en-US" w:eastAsia="zh-CN"/>
        </w:rPr>
      </w:pPr>
    </w:p>
    <w:p w14:paraId="58C68649">
      <w:pPr>
        <w:pStyle w:val="14"/>
        <w:jc w:val="center"/>
        <w:rPr>
          <w:b/>
          <w:color w:val="auto"/>
          <w:highlight w:val="none"/>
        </w:rPr>
      </w:pPr>
    </w:p>
    <w:p w14:paraId="6DCFAE10">
      <w:pPr>
        <w:rPr>
          <w:rFonts w:hint="eastAsia"/>
          <w:lang w:val="en-US" w:eastAsia="zh-CN"/>
        </w:rPr>
      </w:pPr>
    </w:p>
    <w:p w14:paraId="3B245DDB">
      <w:pPr>
        <w:pStyle w:val="2"/>
        <w:rPr>
          <w:rFonts w:hint="eastAsia"/>
          <w:lang w:val="en-US" w:eastAsia="zh-CN"/>
        </w:rPr>
      </w:pPr>
    </w:p>
    <w:p w14:paraId="405DB47D">
      <w:pPr>
        <w:rPr>
          <w:rFonts w:hint="eastAsia"/>
          <w:lang w:val="en-US" w:eastAsia="zh-CN"/>
        </w:rPr>
      </w:pPr>
    </w:p>
    <w:p w14:paraId="5BAFE8F3">
      <w:pPr>
        <w:pStyle w:val="2"/>
        <w:rPr>
          <w:rFonts w:hint="default"/>
          <w:lang w:val="en-US" w:eastAsia="zh-CN"/>
        </w:rPr>
      </w:pPr>
      <w:r>
        <w:rPr>
          <w:rFonts w:hint="eastAsia"/>
          <w:lang w:val="en-US" w:eastAsia="zh-CN"/>
        </w:rPr>
        <w:t xml:space="preserve">              </w:t>
      </w:r>
    </w:p>
    <w:p w14:paraId="71D7E22F">
      <w:pPr>
        <w:ind w:firstLine="4560" w:firstLineChars="1900"/>
        <w:rPr>
          <w:rFonts w:hint="eastAsia" w:ascii="宋体" w:hAnsi="宋体" w:eastAsia="宋体" w:cs="宋体"/>
          <w:color w:val="auto"/>
          <w:highlight w:val="none"/>
        </w:rPr>
      </w:pPr>
      <w:bookmarkStart w:id="160" w:name="_GoBack"/>
      <w:bookmarkEnd w:id="160"/>
      <w:r>
        <w:rPr>
          <w:rFonts w:hint="eastAsia" w:ascii="宋体" w:hAnsi="宋体" w:eastAsia="宋体" w:cs="宋体"/>
          <w:color w:val="auto"/>
          <w:sz w:val="24"/>
          <w:szCs w:val="24"/>
          <w:highlight w:val="none"/>
        </w:rPr>
        <w:t>（结束）</w:t>
      </w:r>
    </w:p>
    <w:p w14:paraId="263F05A7">
      <w:pPr>
        <w:pStyle w:val="4"/>
        <w:rPr>
          <w:rFonts w:hint="eastAsia" w:ascii="宋体" w:hAnsi="宋体" w:eastAsia="宋体" w:cs="宋体"/>
          <w:color w:val="auto"/>
          <w:highlight w:val="none"/>
        </w:rPr>
      </w:pPr>
    </w:p>
    <w:p w14:paraId="5A17B30A">
      <w:pPr>
        <w:pStyle w:val="15"/>
        <w:ind w:left="560" w:firstLine="880"/>
        <w:rPr>
          <w:rFonts w:hint="eastAsia" w:ascii="宋体" w:hAnsi="宋体" w:eastAsia="宋体" w:cs="宋体"/>
          <w:color w:val="auto"/>
          <w:highlight w:val="none"/>
          <w:lang w:val="en-US" w:eastAsia="zh-CN"/>
        </w:rPr>
      </w:pPr>
    </w:p>
    <w:p w14:paraId="21F141AE">
      <w:pPr>
        <w:rPr>
          <w:rFonts w:hint="eastAsia" w:ascii="宋体" w:hAnsi="宋体" w:eastAsia="宋体" w:cs="宋体"/>
          <w:color w:val="auto"/>
          <w:highlight w:val="none"/>
          <w:lang w:val="en-US" w:eastAsia="zh-CN"/>
        </w:rPr>
      </w:pPr>
    </w:p>
    <w:p w14:paraId="78989062">
      <w:pPr>
        <w:pStyle w:val="4"/>
        <w:rPr>
          <w:rFonts w:hint="eastAsia" w:ascii="宋体" w:hAnsi="宋体" w:eastAsia="宋体" w:cs="宋体"/>
          <w:color w:val="auto"/>
          <w:highlight w:val="none"/>
          <w:lang w:val="en-US" w:eastAsia="zh-CN"/>
        </w:rPr>
      </w:pPr>
    </w:p>
    <w:p w14:paraId="283CB3A5">
      <w:pPr>
        <w:rPr>
          <w:rFonts w:hint="eastAsia" w:ascii="宋体" w:hAnsi="宋体" w:eastAsia="宋体" w:cs="宋体"/>
          <w:color w:val="auto"/>
          <w:highlight w:val="none"/>
          <w:lang w:val="en-US" w:eastAsia="zh-CN"/>
        </w:rPr>
      </w:pPr>
    </w:p>
    <w:p w14:paraId="7EF5B98F">
      <w:pPr>
        <w:pStyle w:val="4"/>
        <w:rPr>
          <w:rFonts w:hint="eastAsia" w:ascii="宋体" w:hAnsi="宋体" w:eastAsia="宋体" w:cs="宋体"/>
          <w:color w:val="auto"/>
          <w:highlight w:val="none"/>
          <w:lang w:val="en-US" w:eastAsia="zh-CN"/>
        </w:rPr>
      </w:pPr>
    </w:p>
    <w:p w14:paraId="3EC91F04">
      <w:pPr>
        <w:rPr>
          <w:rFonts w:hint="eastAsia" w:ascii="宋体" w:hAnsi="宋体" w:eastAsia="宋体" w:cs="宋体"/>
          <w:color w:val="auto"/>
          <w:highlight w:val="none"/>
          <w:lang w:val="en-US" w:eastAsia="zh-CN"/>
        </w:rPr>
      </w:pPr>
    </w:p>
    <w:p w14:paraId="514AC176">
      <w:pPr>
        <w:pStyle w:val="4"/>
        <w:rPr>
          <w:rFonts w:hint="eastAsia" w:ascii="宋体" w:hAnsi="宋体" w:eastAsia="宋体" w:cs="宋体"/>
          <w:color w:val="auto"/>
          <w:highlight w:val="none"/>
          <w:lang w:val="en-US" w:eastAsia="zh-CN"/>
        </w:rPr>
      </w:pPr>
    </w:p>
    <w:p w14:paraId="082F5E6B">
      <w:pPr>
        <w:rPr>
          <w:rFonts w:hint="eastAsia" w:ascii="宋体" w:hAnsi="宋体" w:eastAsia="宋体" w:cs="宋体"/>
          <w:color w:val="auto"/>
          <w:highlight w:val="none"/>
          <w:lang w:val="en-US" w:eastAsia="zh-CN"/>
        </w:rPr>
      </w:pPr>
    </w:p>
    <w:p w14:paraId="302EC62A">
      <w:pPr>
        <w:pStyle w:val="4"/>
        <w:rPr>
          <w:rFonts w:hint="eastAsia" w:ascii="宋体" w:hAnsi="宋体" w:eastAsia="宋体" w:cs="宋体"/>
          <w:color w:val="auto"/>
          <w:highlight w:val="none"/>
          <w:lang w:val="en-US" w:eastAsia="zh-CN"/>
        </w:rPr>
      </w:pPr>
    </w:p>
    <w:p w14:paraId="2673DA51">
      <w:pPr>
        <w:rPr>
          <w:rFonts w:hint="eastAsia" w:ascii="宋体" w:hAnsi="宋体" w:eastAsia="宋体" w:cs="宋体"/>
          <w:color w:val="auto"/>
          <w:highlight w:val="none"/>
          <w:lang w:val="en-US" w:eastAsia="zh-CN"/>
        </w:rPr>
      </w:pPr>
    </w:p>
    <w:p w14:paraId="33F40FE0">
      <w:pPr>
        <w:outlineLvl w:val="0"/>
        <w:rPr>
          <w:rFonts w:hint="eastAsia" w:ascii="宋体" w:hAnsi="宋体" w:eastAsia="宋体" w:cs="宋体"/>
          <w:b/>
          <w:bCs/>
          <w:color w:val="auto"/>
          <w:szCs w:val="28"/>
          <w:highlight w:val="none"/>
          <w:lang w:val="en-US" w:eastAsia="zh-CN"/>
        </w:rPr>
      </w:pPr>
    </w:p>
    <w:sectPr>
      <w:headerReference r:id="rId12" w:type="default"/>
      <w:footerReference r:id="rId13" w:type="default"/>
      <w:pgSz w:w="11907" w:h="16840"/>
      <w:pgMar w:top="1440" w:right="1080" w:bottom="1440" w:left="1080"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0627">
    <w:pPr>
      <w:pStyle w:val="9"/>
      <w:framePr w:wrap="around" w:vAnchor="text" w:hAnchor="margin" w:xAlign="center" w:y="1"/>
      <w:jc w:val="center"/>
      <w:rPr>
        <w:rStyle w:val="18"/>
        <w:rFonts w:hint="eastAsia"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p w14:paraId="4037AA0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1159C">
    <w:pPr>
      <w:pStyle w:val="9"/>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- 2 -</w:t>
    </w:r>
    <w:r>
      <w:rPr>
        <w:rFonts w:ascii="宋体"/>
        <w:sz w:val="21"/>
        <w:szCs w:val="21"/>
      </w:rPr>
      <w:fldChar w:fldCharType="end"/>
    </w:r>
  </w:p>
  <w:p w14:paraId="0E4EA00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52A06">
    <w:pPr>
      <w:pStyle w:val="9"/>
      <w:framePr w:wrap="around" w:vAnchor="text" w:hAnchor="margin" w:xAlign="center" w:y="1"/>
      <w:rPr>
        <w:rStyle w:val="18"/>
      </w:rPr>
    </w:pPr>
    <w:r>
      <w:fldChar w:fldCharType="begin"/>
    </w:r>
    <w:r>
      <w:rPr>
        <w:rStyle w:val="18"/>
      </w:rPr>
      <w:instrText xml:space="preserve">PAGE  </w:instrText>
    </w:r>
    <w:r>
      <w:fldChar w:fldCharType="end"/>
    </w:r>
  </w:p>
  <w:p w14:paraId="23B791F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21627">
    <w:pPr>
      <w:pStyle w:val="9"/>
      <w:framePr w:wrap="around" w:vAnchor="text" w:hAnchor="margin" w:xAlign="center" w:y="1"/>
      <w:rPr>
        <w:rStyle w:val="18"/>
      </w:rPr>
    </w:pPr>
  </w:p>
  <w:p w14:paraId="50CF8BFC">
    <w:pPr>
      <w:pStyle w:val="9"/>
      <w:jc w:val="center"/>
      <w:rPr>
        <w:rFonts w:ascii="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FE38">
    <w:pPr>
      <w:pStyle w:val="9"/>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5566">
    <w:pPr>
      <w:pStyle w:val="9"/>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- 41 -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44F0">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D6824">
    <w:pPr>
      <w:pStyle w:val="1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08604">
    <w:pPr>
      <w:pStyle w:val="10"/>
      <w:jc w:val="left"/>
      <w:rPr>
        <w:rFonts w:hint="eastAsia" w:eastAsia="宋体"/>
        <w:lang w:eastAsia="zh-CN"/>
      </w:rPr>
    </w:pPr>
    <w:r>
      <w:rPr>
        <w:rFonts w:hint="eastAsia" w:ascii="宋体" w:hAnsi="宋体" w:cs="宋体"/>
        <w:sz w:val="21"/>
        <w:szCs w:val="21"/>
      </w:rPr>
      <w:t>重庆市沙坪坝区</w:t>
    </w:r>
    <w:r>
      <w:rPr>
        <w:rFonts w:hint="eastAsia" w:ascii="宋体" w:hAnsi="宋体" w:cs="宋体"/>
        <w:sz w:val="21"/>
        <w:szCs w:val="21"/>
        <w:lang w:eastAsia="zh-CN"/>
      </w:rPr>
      <w:t>凤凰镇卫生院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3758">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CADC">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60008"/>
    <w:multiLevelType w:val="singleLevel"/>
    <w:tmpl w:val="B2A60008"/>
    <w:lvl w:ilvl="0" w:tentative="0">
      <w:start w:val="3"/>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YzliMDY2NGUxODQ3Y2Q1YmUwNWE2ZTk5ODNmNmEifQ=="/>
  </w:docVars>
  <w:rsids>
    <w:rsidRoot w:val="4F5C49EB"/>
    <w:rsid w:val="0BB43BE3"/>
    <w:rsid w:val="0C162B5D"/>
    <w:rsid w:val="1F60331D"/>
    <w:rsid w:val="287814A2"/>
    <w:rsid w:val="29D9329E"/>
    <w:rsid w:val="2DB130A6"/>
    <w:rsid w:val="2F27656F"/>
    <w:rsid w:val="338656A6"/>
    <w:rsid w:val="386C070B"/>
    <w:rsid w:val="3AC86B4F"/>
    <w:rsid w:val="3BBB5051"/>
    <w:rsid w:val="3F2319A9"/>
    <w:rsid w:val="41EA0D2B"/>
    <w:rsid w:val="42D00689"/>
    <w:rsid w:val="4F5C49EB"/>
    <w:rsid w:val="51B36318"/>
    <w:rsid w:val="552F5C31"/>
    <w:rsid w:val="60BC6411"/>
    <w:rsid w:val="61515430"/>
    <w:rsid w:val="6A5D4945"/>
    <w:rsid w:val="6B122D3D"/>
    <w:rsid w:val="6F6C15E2"/>
    <w:rsid w:val="709C1A26"/>
    <w:rsid w:val="76F6043A"/>
    <w:rsid w:val="774F5CDF"/>
    <w:rsid w:val="787F2483"/>
    <w:rsid w:val="79F8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rPr>
      <w:rFonts w:ascii="仿宋_GB2312" w:eastAsia="仿宋_GB2312"/>
      <w:sz w:val="32"/>
    </w:rPr>
  </w:style>
  <w:style w:type="paragraph" w:styleId="5">
    <w:name w:val="Body Text Indent"/>
    <w:basedOn w:val="1"/>
    <w:autoRedefine/>
    <w:qFormat/>
    <w:uiPriority w:val="0"/>
    <w:pPr>
      <w:spacing w:line="700" w:lineRule="exact"/>
      <w:ind w:left="960"/>
    </w:pPr>
    <w:rPr>
      <w:sz w:val="44"/>
    </w:rPr>
  </w:style>
  <w:style w:type="paragraph" w:styleId="6">
    <w:name w:val="Plain Text"/>
    <w:basedOn w:val="1"/>
    <w:autoRedefine/>
    <w:qFormat/>
    <w:uiPriority w:val="0"/>
    <w:rPr>
      <w:rFonts w:ascii="宋体" w:hAnsi="Courier New"/>
      <w:sz w:val="21"/>
    </w:rPr>
  </w:style>
  <w:style w:type="paragraph" w:styleId="7">
    <w:name w:val="Date"/>
    <w:basedOn w:val="1"/>
    <w:next w:val="1"/>
    <w:autoRedefine/>
    <w:qFormat/>
    <w:uiPriority w:val="0"/>
  </w:style>
  <w:style w:type="paragraph" w:styleId="8">
    <w:name w:val="Body Text Indent 2"/>
    <w:basedOn w:val="1"/>
    <w:autoRedefine/>
    <w:qFormat/>
    <w:uiPriority w:val="0"/>
    <w:pPr>
      <w:snapToGrid w:val="0"/>
      <w:spacing w:line="560" w:lineRule="atLeast"/>
      <w:ind w:firstLine="54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0"/>
    <w:pPr>
      <w:spacing w:line="180" w:lineRule="auto"/>
      <w:jc w:val="center"/>
    </w:pPr>
    <w:rPr>
      <w:sz w:val="30"/>
    </w:rPr>
  </w:style>
  <w:style w:type="paragraph" w:styleId="12">
    <w:name w:val="Subtitle"/>
    <w:basedOn w:val="1"/>
    <w:next w:val="1"/>
    <w:qFormat/>
    <w:uiPriority w:val="0"/>
    <w:pPr>
      <w:widowControl/>
      <w:jc w:val="center"/>
    </w:pPr>
    <w:rPr>
      <w:kern w:val="0"/>
      <w:sz w:val="20"/>
      <w:szCs w:val="24"/>
      <w:u w:val="single"/>
      <w:lang w:eastAsia="en-US"/>
    </w:rPr>
  </w:style>
  <w:style w:type="paragraph" w:styleId="13">
    <w:name w:val="toc 2"/>
    <w:basedOn w:val="1"/>
    <w:next w:val="1"/>
    <w:autoRedefine/>
    <w:qFormat/>
    <w:uiPriority w:val="39"/>
    <w:pPr>
      <w:ind w:left="420" w:leftChars="200"/>
    </w:pPr>
  </w:style>
  <w:style w:type="paragraph" w:styleId="14">
    <w:name w:val="Body Text 2"/>
    <w:basedOn w:val="1"/>
    <w:qFormat/>
    <w:uiPriority w:val="0"/>
    <w:pPr>
      <w:adjustRightInd w:val="0"/>
      <w:snapToGrid w:val="0"/>
      <w:spacing w:after="120" w:line="480" w:lineRule="auto"/>
    </w:pPr>
    <w:rPr>
      <w:sz w:val="24"/>
    </w:rPr>
  </w:style>
  <w:style w:type="paragraph" w:styleId="15">
    <w:name w:val="Body Text First Indent 2"/>
    <w:basedOn w:val="5"/>
    <w:next w:val="1"/>
    <w:autoRedefine/>
    <w:qFormat/>
    <w:uiPriority w:val="0"/>
    <w:pPr>
      <w:spacing w:after="120" w:afterLines="0" w:line="240" w:lineRule="auto"/>
      <w:ind w:left="420" w:leftChars="200" w:firstLine="420" w:firstLineChars="200"/>
    </w:pPr>
  </w:style>
  <w:style w:type="character" w:styleId="18">
    <w:name w:val="page number"/>
    <w:autoRedefine/>
    <w:qFormat/>
    <w:uiPriority w:val="0"/>
  </w:style>
  <w:style w:type="paragraph" w:customStyle="1" w:styleId="19">
    <w:name w:val="1"/>
    <w:basedOn w:val="1"/>
    <w:next w:val="6"/>
    <w:autoRedefine/>
    <w:qFormat/>
    <w:uiPriority w:val="0"/>
    <w:rPr>
      <w:rFonts w:ascii="宋体" w:hAnsi="Courier New"/>
      <w:sz w:val="21"/>
    </w:rPr>
  </w:style>
  <w:style w:type="paragraph" w:customStyle="1" w:styleId="20">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13482</Words>
  <Characters>13961</Characters>
  <Lines>0</Lines>
  <Paragraphs>0</Paragraphs>
  <TotalTime>1</TotalTime>
  <ScaleCrop>false</ScaleCrop>
  <LinksUpToDate>false</LinksUpToDate>
  <CharactersWithSpaces>14315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2024-03-15T06:46:00Z</dcterms:created>
  <dc:creator>Administrator</dc:creator>
  <cp:lastModifiedBy>万美</cp:lastModifiedBy>
  <cp:lastPrinted>2025-06-18T01:19:00Z</cp:lastPrinted>
  <dcterms:modified xsi:type="dcterms:W3CDTF">2025-06-20T03:26:28Z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4E1863023B44479A9DE8965DBFFDF709_13</vt:lpwstr>
  </property>
  <property fmtid="{D5CDD505-2E9C-101B-9397-08002B2CF9AE}" pid="4" name="KSOTemplateDocerSaveRecord">
    <vt:lpwstr>eyJoZGlkIjoiMDQ5ODE2NDMxMGU5MjhkYzcxYmRmOTU3NTkxNWIxNzEiLCJ1c2VySWQiOiI2Mjk3OTEwOTYifQ==</vt:lpwstr>
  </property>
</Properties>
</file>