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81C9614">
      <w:pPr>
        <w:keepNext w:val="0"/>
        <w:keepLines w:val="0"/>
        <w:pageBreakBefore w:val="0"/>
        <w:widowControl w:val="0"/>
        <w:kinsoku/>
        <w:wordWrap/>
        <w:overflowPunct/>
        <w:topLinePunct w:val="0"/>
        <w:autoSpaceDE/>
        <w:autoSpaceDN/>
        <w:bidi w:val="0"/>
        <w:adjustRightInd w:val="0"/>
        <w:snapToGrid w:val="0"/>
        <w:spacing w:line="360" w:lineRule="auto"/>
        <w:ind w:left="2891" w:right="0" w:rightChars="0" w:hanging="2880" w:hangingChars="900"/>
        <w:jc w:val="left"/>
        <w:textAlignment w:val="auto"/>
        <w:outlineLvl w:val="9"/>
        <w:rPr>
          <w:rFonts w:hint="eastAsia" w:ascii="宋体" w:hAnsi="宋体" w:eastAsia="宋体" w:cs="宋体"/>
          <w:b w:val="0"/>
          <w:bCs w:val="0"/>
          <w:sz w:val="32"/>
          <w:szCs w:val="32"/>
          <w:lang w:eastAsia="zh-CN"/>
        </w:rPr>
      </w:pPr>
      <w:bookmarkStart w:id="0" w:name="_Toc15726"/>
      <w:bookmarkStart w:id="1" w:name="_Toc106034620"/>
      <w:bookmarkStart w:id="2" w:name="_Toc11641050"/>
      <w:bookmarkStart w:id="3" w:name="_Toc65660329"/>
      <w:bookmarkStart w:id="4" w:name="_Toc12789052"/>
      <w:bookmarkStart w:id="5" w:name="_Toc24173"/>
      <w:r>
        <w:rPr>
          <w:rFonts w:hint="eastAsia" w:ascii="宋体" w:hAnsi="宋体" w:eastAsia="宋体" w:cs="宋体"/>
          <w:b w:val="0"/>
          <w:bCs w:val="0"/>
          <w:sz w:val="32"/>
          <w:szCs w:val="32"/>
        </w:rPr>
        <w:t>项目名称：</w:t>
      </w:r>
      <w:r>
        <w:rPr>
          <w:rFonts w:hint="eastAsia" w:ascii="宋体" w:hAnsi="宋体" w:cs="宋体"/>
          <w:b w:val="0"/>
          <w:bCs w:val="0"/>
          <w:sz w:val="32"/>
          <w:szCs w:val="32"/>
          <w:lang w:eastAsia="zh-CN"/>
        </w:rPr>
        <w:t>虎小哥党群服务中心家具采购项目</w:t>
      </w:r>
    </w:p>
    <w:p w14:paraId="03F4EC5F">
      <w:pPr>
        <w:adjustRightInd w:val="0"/>
        <w:snapToGrid w:val="0"/>
        <w:spacing w:line="360" w:lineRule="auto"/>
        <w:ind w:left="2891" w:hanging="2880" w:hangingChars="900"/>
        <w:jc w:val="left"/>
        <w:outlineLvl w:val="9"/>
        <w:rPr>
          <w:rFonts w:hint="eastAsia" w:ascii="宋体" w:hAnsi="宋体" w:eastAsia="宋体" w:cs="宋体"/>
          <w:sz w:val="32"/>
          <w:highlight w:val="none"/>
        </w:rPr>
      </w:pPr>
      <w:r>
        <w:rPr>
          <w:rFonts w:hint="eastAsia" w:ascii="宋体" w:hAnsi="宋体" w:eastAsia="宋体" w:cs="宋体"/>
          <w:b w:val="0"/>
          <w:bCs w:val="0"/>
          <w:sz w:val="32"/>
          <w:szCs w:val="32"/>
        </w:rPr>
        <w:t>项目</w:t>
      </w:r>
      <w:r>
        <w:rPr>
          <w:rFonts w:hint="eastAsia" w:ascii="宋体" w:hAnsi="宋体" w:eastAsia="宋体" w:cs="宋体"/>
          <w:b w:val="0"/>
          <w:bCs w:val="0"/>
          <w:sz w:val="32"/>
          <w:szCs w:val="32"/>
          <w:lang w:val="en-US" w:eastAsia="zh-CN"/>
        </w:rPr>
        <w:t>编号</w:t>
      </w:r>
      <w:r>
        <w:rPr>
          <w:rFonts w:hint="eastAsia" w:ascii="宋体" w:hAnsi="宋体" w:eastAsia="宋体" w:cs="宋体"/>
          <w:b w:val="0"/>
          <w:bCs w:val="0"/>
          <w:sz w:val="32"/>
          <w:szCs w:val="32"/>
        </w:rPr>
        <w:t>：</w:t>
      </w:r>
      <w:r>
        <w:rPr>
          <w:rFonts w:hint="eastAsia" w:ascii="宋体" w:hAnsi="宋体" w:cs="Times New Roman"/>
          <w:color w:val="auto"/>
          <w:sz w:val="32"/>
          <w:szCs w:val="32"/>
          <w:highlight w:val="none"/>
          <w:lang w:val="en-US" w:eastAsia="zh-CN"/>
        </w:rPr>
        <w:t>LZ</w:t>
      </w:r>
      <w:r>
        <w:rPr>
          <w:rFonts w:hint="eastAsia" w:ascii="宋体" w:hAnsi="宋体" w:eastAsia="宋体" w:cs="Times New Roman"/>
          <w:color w:val="auto"/>
          <w:sz w:val="32"/>
          <w:szCs w:val="32"/>
          <w:highlight w:val="none"/>
          <w:lang w:val="en-US" w:eastAsia="zh-CN"/>
        </w:rPr>
        <w:t>202</w:t>
      </w:r>
      <w:r>
        <w:rPr>
          <w:rFonts w:hint="eastAsia" w:ascii="宋体" w:hAnsi="宋体" w:cs="Times New Roman"/>
          <w:color w:val="auto"/>
          <w:sz w:val="32"/>
          <w:szCs w:val="32"/>
          <w:highlight w:val="none"/>
          <w:lang w:val="en-US" w:eastAsia="zh-CN"/>
        </w:rPr>
        <w:t>51020001</w:t>
      </w:r>
    </w:p>
    <w:p w14:paraId="27C91423">
      <w:pPr>
        <w:pStyle w:val="8"/>
        <w:rPr>
          <w:rFonts w:hint="eastAsia"/>
        </w:rPr>
      </w:pPr>
    </w:p>
    <w:p w14:paraId="5C61CC76">
      <w:pPr>
        <w:spacing w:line="240" w:lineRule="auto"/>
        <w:jc w:val="center"/>
        <w:outlineLvl w:val="0"/>
        <w:rPr>
          <w:rFonts w:hint="eastAsia" w:ascii="宋体" w:hAnsi="宋体" w:eastAsia="宋体" w:cs="Times New Roman"/>
          <w:color w:val="auto"/>
          <w:spacing w:val="80"/>
          <w:sz w:val="112"/>
          <w:szCs w:val="112"/>
          <w:highlight w:val="none"/>
          <w:lang w:val="en-US" w:eastAsia="zh-CN"/>
        </w:rPr>
      </w:pPr>
    </w:p>
    <w:p w14:paraId="692AC3BB">
      <w:pPr>
        <w:spacing w:line="240" w:lineRule="auto"/>
        <w:jc w:val="center"/>
        <w:outlineLvl w:val="0"/>
        <w:rPr>
          <w:rFonts w:hint="eastAsia" w:ascii="宋体" w:hAnsi="宋体" w:eastAsia="宋体" w:cs="Times New Roman"/>
          <w:color w:val="auto"/>
          <w:spacing w:val="80"/>
          <w:sz w:val="84"/>
          <w:szCs w:val="84"/>
          <w:highlight w:val="none"/>
          <w:lang w:val="en-US" w:eastAsia="zh-CN"/>
        </w:rPr>
      </w:pPr>
    </w:p>
    <w:p w14:paraId="0DD8EFF1">
      <w:pPr>
        <w:spacing w:line="240" w:lineRule="auto"/>
        <w:jc w:val="both"/>
        <w:outlineLvl w:val="0"/>
        <w:rPr>
          <w:rFonts w:hint="eastAsia" w:ascii="宋体" w:hAnsi="宋体" w:eastAsia="宋体" w:cs="Times New Roman"/>
          <w:color w:val="auto"/>
          <w:spacing w:val="80"/>
          <w:sz w:val="84"/>
          <w:szCs w:val="84"/>
          <w:highlight w:val="none"/>
          <w:lang w:val="en-US" w:eastAsia="zh-CN"/>
        </w:rPr>
      </w:pPr>
    </w:p>
    <w:p w14:paraId="30C1B88D">
      <w:pPr>
        <w:spacing w:line="240" w:lineRule="auto"/>
        <w:jc w:val="center"/>
        <w:outlineLvl w:val="0"/>
        <w:rPr>
          <w:rFonts w:hint="eastAsia" w:ascii="宋体" w:hAnsi="宋体" w:eastAsia="宋体" w:cs="宋体"/>
          <w:sz w:val="72"/>
          <w:szCs w:val="72"/>
          <w:highlight w:val="none"/>
        </w:rPr>
      </w:pPr>
      <w:r>
        <w:rPr>
          <w:rFonts w:hint="eastAsia" w:ascii="宋体" w:hAnsi="宋体" w:cs="Times New Roman"/>
          <w:color w:val="auto"/>
          <w:spacing w:val="80"/>
          <w:sz w:val="72"/>
          <w:szCs w:val="72"/>
          <w:highlight w:val="none"/>
          <w:lang w:val="en-US" w:eastAsia="zh-CN"/>
        </w:rPr>
        <w:t>竞争性比选文件</w:t>
      </w:r>
    </w:p>
    <w:p w14:paraId="4274E522">
      <w:pPr>
        <w:pStyle w:val="26"/>
        <w:spacing w:line="500" w:lineRule="exact"/>
        <w:ind w:left="0"/>
        <w:jc w:val="center"/>
        <w:rPr>
          <w:rFonts w:hint="eastAsia" w:ascii="宋体" w:hAnsi="宋体" w:eastAsia="宋体" w:cs="宋体"/>
          <w:sz w:val="32"/>
          <w:highlight w:val="none"/>
        </w:rPr>
      </w:pPr>
    </w:p>
    <w:p w14:paraId="07E45712">
      <w:pPr>
        <w:pStyle w:val="26"/>
        <w:spacing w:line="500" w:lineRule="exact"/>
        <w:ind w:left="0"/>
        <w:jc w:val="center"/>
        <w:rPr>
          <w:rFonts w:hint="eastAsia" w:ascii="宋体" w:hAnsi="宋体" w:eastAsia="宋体" w:cs="宋体"/>
          <w:sz w:val="32"/>
          <w:highlight w:val="none"/>
        </w:rPr>
      </w:pPr>
    </w:p>
    <w:p w14:paraId="730D017A">
      <w:pPr>
        <w:pStyle w:val="26"/>
        <w:spacing w:line="500" w:lineRule="exact"/>
        <w:ind w:left="0"/>
        <w:jc w:val="both"/>
        <w:rPr>
          <w:rFonts w:hint="eastAsia" w:ascii="宋体" w:hAnsi="宋体" w:eastAsia="宋体" w:cs="宋体"/>
          <w:sz w:val="32"/>
          <w:highlight w:val="none"/>
        </w:rPr>
      </w:pPr>
    </w:p>
    <w:p w14:paraId="2B693C34">
      <w:pPr>
        <w:pStyle w:val="26"/>
        <w:spacing w:line="500" w:lineRule="exact"/>
        <w:ind w:left="0"/>
        <w:jc w:val="both"/>
        <w:rPr>
          <w:rFonts w:hint="eastAsia" w:ascii="宋体" w:hAnsi="宋体" w:eastAsia="宋体" w:cs="宋体"/>
          <w:sz w:val="32"/>
          <w:highlight w:val="none"/>
        </w:rPr>
      </w:pPr>
    </w:p>
    <w:p w14:paraId="0AE3BC52">
      <w:pPr>
        <w:pStyle w:val="26"/>
        <w:spacing w:line="500" w:lineRule="exact"/>
        <w:ind w:left="0"/>
        <w:jc w:val="center"/>
        <w:rPr>
          <w:rFonts w:hint="eastAsia" w:ascii="宋体" w:hAnsi="宋体" w:eastAsia="宋体" w:cs="宋体"/>
          <w:sz w:val="32"/>
          <w:highlight w:val="none"/>
        </w:rPr>
      </w:pPr>
    </w:p>
    <w:p w14:paraId="2287059C">
      <w:pPr>
        <w:spacing w:line="480" w:lineRule="auto"/>
        <w:jc w:val="center"/>
        <w:outlineLvl w:val="0"/>
        <w:rPr>
          <w:rFonts w:hint="default" w:ascii="宋体" w:hAnsi="宋体" w:eastAsia="宋体" w:cs="宋体"/>
          <w:b/>
          <w:bCs/>
          <w:sz w:val="32"/>
          <w:szCs w:val="32"/>
          <w:highlight w:val="none"/>
          <w:u w:val="none"/>
          <w:lang w:val="en-US" w:eastAsia="zh-CN"/>
        </w:rPr>
      </w:pPr>
      <w:r>
        <w:rPr>
          <w:rFonts w:hint="eastAsia" w:ascii="宋体" w:hAnsi="宋体" w:eastAsia="宋体" w:cs="宋体"/>
          <w:b/>
          <w:bCs/>
          <w:sz w:val="32"/>
          <w:szCs w:val="32"/>
          <w:highlight w:val="none"/>
          <w:u w:val="none"/>
          <w:lang w:val="en-US" w:eastAsia="zh-CN"/>
        </w:rPr>
        <w:t xml:space="preserve"> </w:t>
      </w:r>
    </w:p>
    <w:p w14:paraId="2EC11682">
      <w:pPr>
        <w:spacing w:line="500" w:lineRule="exact"/>
        <w:ind w:firstLine="643" w:firstLineChars="200"/>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rPr>
        <w:t xml:space="preserve"> </w:t>
      </w:r>
    </w:p>
    <w:p w14:paraId="55869454">
      <w:pPr>
        <w:pStyle w:val="70"/>
        <w:rPr>
          <w:rFonts w:hint="eastAsia" w:ascii="宋体" w:hAnsi="宋体" w:eastAsia="宋体" w:cs="宋体"/>
          <w:b/>
          <w:bCs/>
          <w:sz w:val="32"/>
          <w:szCs w:val="32"/>
          <w:highlight w:val="none"/>
        </w:rPr>
      </w:pPr>
    </w:p>
    <w:p w14:paraId="0D4B8CE2">
      <w:pPr>
        <w:pStyle w:val="70"/>
        <w:rPr>
          <w:rFonts w:hint="eastAsia" w:ascii="宋体" w:hAnsi="宋体" w:eastAsia="宋体" w:cs="宋体"/>
          <w:b/>
          <w:bCs/>
          <w:sz w:val="32"/>
          <w:szCs w:val="32"/>
          <w:highlight w:val="none"/>
        </w:rPr>
      </w:pPr>
    </w:p>
    <w:p w14:paraId="06C5CC34">
      <w:pPr>
        <w:spacing w:line="500" w:lineRule="exact"/>
        <w:jc w:val="both"/>
        <w:rPr>
          <w:rFonts w:hint="eastAsia" w:ascii="宋体" w:hAnsi="宋体" w:eastAsia="宋体" w:cs="宋体"/>
          <w:b/>
          <w:bCs/>
          <w:sz w:val="32"/>
          <w:szCs w:val="32"/>
          <w:highlight w:val="none"/>
        </w:rPr>
      </w:pPr>
    </w:p>
    <w:p w14:paraId="2F33E148">
      <w:pPr>
        <w:spacing w:line="480" w:lineRule="auto"/>
        <w:jc w:val="both"/>
        <w:outlineLvl w:val="0"/>
        <w:rPr>
          <w:rFonts w:hint="eastAsia" w:ascii="宋体" w:hAnsi="宋体" w:eastAsia="宋体" w:cs="宋体"/>
          <w:b w:val="0"/>
          <w:bCs w:val="0"/>
          <w:sz w:val="32"/>
          <w:szCs w:val="32"/>
          <w:highlight w:val="none"/>
          <w:lang w:val="en-US" w:eastAsia="zh-CN"/>
        </w:rPr>
      </w:pP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val="0"/>
          <w:bCs w:val="0"/>
          <w:sz w:val="32"/>
          <w:szCs w:val="32"/>
          <w:highlight w:val="none"/>
          <w:lang w:val="en-US" w:eastAsia="zh-CN"/>
        </w:rPr>
        <w:t xml:space="preserve"> 比选人</w:t>
      </w:r>
      <w:r>
        <w:rPr>
          <w:rFonts w:hint="eastAsia" w:ascii="宋体" w:hAnsi="宋体" w:eastAsia="宋体" w:cs="宋体"/>
          <w:b w:val="0"/>
          <w:bCs w:val="0"/>
          <w:sz w:val="32"/>
          <w:szCs w:val="32"/>
          <w:highlight w:val="none"/>
        </w:rPr>
        <w:t>：</w:t>
      </w:r>
      <w:r>
        <w:rPr>
          <w:rFonts w:hint="eastAsia" w:ascii="宋体" w:hAnsi="宋体" w:eastAsia="宋体" w:cs="宋体"/>
          <w:b w:val="0"/>
          <w:bCs w:val="0"/>
          <w:sz w:val="32"/>
          <w:szCs w:val="32"/>
          <w:highlight w:val="none"/>
          <w:u w:val="single"/>
        </w:rPr>
        <w:t>重庆市沙坪坝区人民政府虎溪街道办事处</w:t>
      </w:r>
      <w:r>
        <w:rPr>
          <w:rFonts w:hint="eastAsia" w:ascii="宋体" w:hAnsi="宋体" w:eastAsia="宋体" w:cs="宋体"/>
          <w:b w:val="0"/>
          <w:bCs w:val="0"/>
          <w:sz w:val="32"/>
          <w:szCs w:val="32"/>
          <w:highlight w:val="none"/>
          <w:u w:val="none"/>
          <w:lang w:eastAsia="zh-CN"/>
        </w:rPr>
        <w:t>（</w:t>
      </w:r>
      <w:r>
        <w:rPr>
          <w:rFonts w:hint="eastAsia" w:ascii="宋体" w:hAnsi="宋体" w:eastAsia="宋体" w:cs="宋体"/>
          <w:b w:val="0"/>
          <w:bCs w:val="0"/>
          <w:sz w:val="32"/>
          <w:szCs w:val="32"/>
          <w:highlight w:val="none"/>
          <w:u w:val="none"/>
          <w:lang w:val="en-US" w:eastAsia="zh-CN"/>
        </w:rPr>
        <w:t>盖公章</w:t>
      </w:r>
      <w:r>
        <w:rPr>
          <w:rFonts w:hint="eastAsia" w:ascii="宋体" w:hAnsi="宋体" w:eastAsia="宋体" w:cs="宋体"/>
          <w:b w:val="0"/>
          <w:bCs w:val="0"/>
          <w:sz w:val="32"/>
          <w:szCs w:val="32"/>
          <w:highlight w:val="none"/>
          <w:u w:val="none"/>
          <w:lang w:eastAsia="zh-CN"/>
        </w:rPr>
        <w:t>）</w:t>
      </w:r>
    </w:p>
    <w:p w14:paraId="50DC5DFF">
      <w:pPr>
        <w:spacing w:line="480" w:lineRule="auto"/>
        <w:ind w:firstLine="320" w:firstLineChars="100"/>
        <w:jc w:val="both"/>
        <w:outlineLvl w:val="0"/>
        <w:rPr>
          <w:rFonts w:hint="eastAsia" w:ascii="宋体" w:hAnsi="宋体" w:eastAsia="宋体" w:cs="宋体"/>
          <w:b w:val="0"/>
          <w:bCs w:val="0"/>
          <w:sz w:val="32"/>
          <w:szCs w:val="32"/>
          <w:highlight w:val="none"/>
          <w:lang w:eastAsia="zh-CN"/>
        </w:rPr>
      </w:pPr>
      <w:r>
        <w:rPr>
          <w:rFonts w:hint="eastAsia" w:ascii="宋体" w:hAnsi="宋体" w:eastAsia="宋体" w:cs="宋体"/>
          <w:b w:val="0"/>
          <w:bCs w:val="0"/>
          <w:sz w:val="32"/>
          <w:szCs w:val="32"/>
          <w:highlight w:val="none"/>
          <w:lang w:eastAsia="zh-CN"/>
        </w:rPr>
        <w:t>比选代理机构</w:t>
      </w:r>
      <w:r>
        <w:rPr>
          <w:rFonts w:hint="eastAsia" w:ascii="宋体" w:hAnsi="宋体" w:eastAsia="宋体" w:cs="宋体"/>
          <w:b w:val="0"/>
          <w:bCs w:val="0"/>
          <w:sz w:val="32"/>
          <w:szCs w:val="32"/>
          <w:highlight w:val="none"/>
        </w:rPr>
        <w:t>：</w:t>
      </w:r>
      <w:r>
        <w:rPr>
          <w:rFonts w:hint="eastAsia" w:ascii="宋体" w:hAnsi="宋体" w:cs="宋体"/>
          <w:b w:val="0"/>
          <w:bCs w:val="0"/>
          <w:sz w:val="32"/>
          <w:szCs w:val="32"/>
          <w:highlight w:val="none"/>
          <w:u w:val="single"/>
          <w:lang w:val="en-US" w:eastAsia="zh-CN"/>
        </w:rPr>
        <w:t>四川乐咨工程项目管理有限公司</w:t>
      </w:r>
      <w:r>
        <w:rPr>
          <w:rFonts w:hint="eastAsia" w:ascii="宋体" w:hAnsi="宋体" w:eastAsia="宋体" w:cs="宋体"/>
          <w:b w:val="0"/>
          <w:bCs w:val="0"/>
          <w:sz w:val="32"/>
          <w:szCs w:val="32"/>
          <w:highlight w:val="none"/>
          <w:u w:val="none"/>
          <w:lang w:eastAsia="zh-CN"/>
        </w:rPr>
        <w:t>（</w:t>
      </w:r>
      <w:r>
        <w:rPr>
          <w:rFonts w:hint="eastAsia" w:ascii="宋体" w:hAnsi="宋体" w:eastAsia="宋体" w:cs="宋体"/>
          <w:b w:val="0"/>
          <w:bCs w:val="0"/>
          <w:sz w:val="32"/>
          <w:szCs w:val="32"/>
          <w:highlight w:val="none"/>
          <w:u w:val="none"/>
          <w:lang w:val="en-US" w:eastAsia="zh-CN"/>
        </w:rPr>
        <w:t>盖公章</w:t>
      </w:r>
      <w:r>
        <w:rPr>
          <w:rFonts w:hint="eastAsia" w:ascii="宋体" w:hAnsi="宋体" w:eastAsia="宋体" w:cs="宋体"/>
          <w:b w:val="0"/>
          <w:bCs w:val="0"/>
          <w:sz w:val="32"/>
          <w:szCs w:val="32"/>
          <w:highlight w:val="none"/>
          <w:u w:val="none"/>
          <w:lang w:eastAsia="zh-CN"/>
        </w:rPr>
        <w:t>）</w:t>
      </w:r>
    </w:p>
    <w:p w14:paraId="139C7D53">
      <w:pPr>
        <w:snapToGrid w:val="0"/>
        <w:spacing w:line="480" w:lineRule="auto"/>
        <w:jc w:val="center"/>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t>二○二</w:t>
      </w:r>
      <w:r>
        <w:rPr>
          <w:rFonts w:hint="eastAsia" w:ascii="宋体" w:hAnsi="宋体" w:cs="宋体"/>
          <w:b w:val="0"/>
          <w:bCs w:val="0"/>
          <w:sz w:val="32"/>
          <w:szCs w:val="32"/>
          <w:highlight w:val="none"/>
          <w:lang w:val="en-US" w:eastAsia="zh-CN"/>
        </w:rPr>
        <w:t>五</w:t>
      </w:r>
      <w:r>
        <w:rPr>
          <w:rFonts w:hint="eastAsia" w:ascii="宋体" w:hAnsi="宋体" w:eastAsia="宋体" w:cs="宋体"/>
          <w:b w:val="0"/>
          <w:bCs w:val="0"/>
          <w:sz w:val="32"/>
          <w:szCs w:val="32"/>
          <w:highlight w:val="none"/>
        </w:rPr>
        <w:t>年</w:t>
      </w:r>
      <w:r>
        <w:rPr>
          <w:rFonts w:hint="eastAsia" w:ascii="宋体" w:hAnsi="宋体" w:cs="宋体"/>
          <w:b w:val="0"/>
          <w:bCs w:val="0"/>
          <w:sz w:val="32"/>
          <w:szCs w:val="32"/>
          <w:highlight w:val="none"/>
          <w:lang w:val="en-US" w:eastAsia="zh-CN"/>
        </w:rPr>
        <w:t>十</w:t>
      </w:r>
      <w:r>
        <w:rPr>
          <w:rFonts w:hint="eastAsia" w:ascii="宋体" w:hAnsi="宋体" w:eastAsia="宋体" w:cs="宋体"/>
          <w:b w:val="0"/>
          <w:bCs w:val="0"/>
          <w:sz w:val="32"/>
          <w:szCs w:val="32"/>
          <w:highlight w:val="none"/>
        </w:rPr>
        <w:t>月</w:t>
      </w:r>
    </w:p>
    <w:p w14:paraId="7FD69447">
      <w:pPr>
        <w:pageBreakBefore w:val="0"/>
        <w:kinsoku/>
        <w:wordWrap/>
        <w:overflowPunct/>
        <w:topLinePunct w:val="0"/>
        <w:autoSpaceDE/>
        <w:autoSpaceDN/>
        <w:bidi w:val="0"/>
        <w:adjustRightInd w:val="0"/>
        <w:snapToGrid w:val="0"/>
        <w:spacing w:line="360" w:lineRule="auto"/>
        <w:ind w:left="0" w:leftChars="0" w:right="0" w:rightChars="0"/>
        <w:jc w:val="center"/>
        <w:rPr>
          <w:rFonts w:hint="eastAsia" w:ascii="宋体" w:hAnsi="宋体" w:eastAsia="宋体" w:cs="宋体"/>
          <w:b/>
          <w:bCs/>
          <w:sz w:val="32"/>
          <w:szCs w:val="32"/>
        </w:rPr>
        <w:sectPr>
          <w:headerReference r:id="rId3" w:type="default"/>
          <w:pgSz w:w="11907" w:h="16840"/>
          <w:pgMar w:top="1134" w:right="1191" w:bottom="1134" w:left="1304" w:header="964" w:footer="992" w:gutter="0"/>
          <w:pgNumType w:fmt="numberInDash"/>
          <w:cols w:space="720" w:num="1"/>
          <w:docGrid w:linePitch="312" w:charSpace="0"/>
        </w:sectPr>
      </w:pPr>
    </w:p>
    <w:p w14:paraId="3A9FFB22">
      <w:pPr>
        <w:pStyle w:val="25"/>
        <w:jc w:val="center"/>
        <w:rPr>
          <w:rFonts w:hint="default" w:ascii="宋体" w:hAnsi="宋体" w:eastAsia="宋体" w:cs="宋体"/>
          <w:b/>
          <w:bCs/>
          <w:sz w:val="32"/>
          <w:szCs w:val="32"/>
        </w:rPr>
      </w:pPr>
      <w:r>
        <w:rPr>
          <w:rFonts w:hint="eastAsia" w:ascii="宋体" w:hAnsi="宋体" w:eastAsia="宋体" w:cs="宋体"/>
          <w:b/>
          <w:bCs/>
          <w:sz w:val="32"/>
          <w:szCs w:val="32"/>
        </w:rPr>
        <w:t>目  录</w:t>
      </w:r>
    </w:p>
    <w:p w14:paraId="32D43ED4">
      <w:pPr>
        <w:pStyle w:val="25"/>
        <w:rPr>
          <w:rFonts w:hint="eastAsia"/>
        </w:rPr>
      </w:pPr>
    </w:p>
    <w:p w14:paraId="158DA2F5">
      <w:pPr>
        <w:pStyle w:val="40"/>
        <w:keepNext w:val="0"/>
        <w:keepLines w:val="0"/>
        <w:pageBreakBefore w:val="0"/>
        <w:widowControl w:val="0"/>
        <w:tabs>
          <w:tab w:val="right" w:leader="dot" w:pos="9412"/>
        </w:tabs>
        <w:kinsoku/>
        <w:wordWrap/>
        <w:overflowPunct/>
        <w:topLinePunct w:val="0"/>
        <w:autoSpaceDE/>
        <w:autoSpaceDN/>
        <w:bidi w:val="0"/>
        <w:adjustRightInd w:val="0"/>
        <w:snapToGrid w:val="0"/>
        <w:spacing w:line="480" w:lineRule="auto"/>
        <w:textAlignment w:val="auto"/>
      </w:pPr>
      <w:r>
        <w:rPr>
          <w:rFonts w:hint="eastAsia" w:ascii="宋体" w:hAnsi="宋体" w:eastAsia="宋体" w:cs="宋体"/>
        </w:rPr>
        <w:fldChar w:fldCharType="begin"/>
      </w:r>
      <w:r>
        <w:rPr>
          <w:rFonts w:hint="eastAsia" w:ascii="宋体" w:hAnsi="宋体" w:eastAsia="宋体" w:cs="宋体"/>
        </w:rPr>
        <w:instrText xml:space="preserve">TOC \o "1-1"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_Toc30464 </w:instrText>
      </w:r>
      <w:r>
        <w:rPr>
          <w:rFonts w:hint="eastAsia" w:ascii="宋体" w:hAnsi="宋体" w:eastAsia="宋体" w:cs="宋体"/>
        </w:rPr>
        <w:fldChar w:fldCharType="separate"/>
      </w:r>
      <w:r>
        <w:rPr>
          <w:rFonts w:hint="eastAsia" w:ascii="宋体" w:hAnsi="宋体" w:eastAsia="宋体" w:cs="宋体"/>
          <w:kern w:val="2"/>
          <w:lang w:val="en-US" w:eastAsia="zh-CN" w:bidi="ar-SA"/>
        </w:rPr>
        <w:t>第一篇  竞争性比选公告</w:t>
      </w:r>
      <w:r>
        <w:tab/>
      </w:r>
      <w:r>
        <w:fldChar w:fldCharType="begin"/>
      </w:r>
      <w:r>
        <w:instrText xml:space="preserve"> PAGEREF _Toc30464 \h </w:instrText>
      </w:r>
      <w:r>
        <w:fldChar w:fldCharType="separate"/>
      </w:r>
      <w:r>
        <w:t>- 2 -</w:t>
      </w:r>
      <w:r>
        <w:fldChar w:fldCharType="end"/>
      </w:r>
      <w:r>
        <w:rPr>
          <w:rFonts w:hint="eastAsia" w:ascii="宋体" w:hAnsi="宋体" w:eastAsia="宋体" w:cs="宋体"/>
        </w:rPr>
        <w:fldChar w:fldCharType="end"/>
      </w:r>
    </w:p>
    <w:p w14:paraId="123C67FA">
      <w:pPr>
        <w:pStyle w:val="40"/>
        <w:keepNext w:val="0"/>
        <w:keepLines w:val="0"/>
        <w:pageBreakBefore w:val="0"/>
        <w:widowControl w:val="0"/>
        <w:tabs>
          <w:tab w:val="right" w:leader="dot" w:pos="9412"/>
        </w:tabs>
        <w:kinsoku/>
        <w:wordWrap/>
        <w:overflowPunct/>
        <w:topLinePunct w:val="0"/>
        <w:autoSpaceDE/>
        <w:autoSpaceDN/>
        <w:bidi w:val="0"/>
        <w:adjustRightInd w:val="0"/>
        <w:snapToGrid w:val="0"/>
        <w:spacing w:line="480" w:lineRule="auto"/>
        <w:textAlignment w:val="auto"/>
      </w:pPr>
      <w:r>
        <w:rPr>
          <w:rFonts w:hint="eastAsia" w:ascii="宋体" w:hAnsi="宋体" w:eastAsia="宋体" w:cs="宋体"/>
        </w:rPr>
        <w:fldChar w:fldCharType="begin"/>
      </w:r>
      <w:r>
        <w:rPr>
          <w:rFonts w:hint="eastAsia" w:ascii="宋体" w:hAnsi="宋体" w:eastAsia="宋体" w:cs="宋体"/>
        </w:rPr>
        <w:instrText xml:space="preserve"> HYPERLINK \l _Toc17146 </w:instrText>
      </w:r>
      <w:r>
        <w:rPr>
          <w:rFonts w:hint="eastAsia" w:ascii="宋体" w:hAnsi="宋体" w:eastAsia="宋体" w:cs="宋体"/>
        </w:rPr>
        <w:fldChar w:fldCharType="separate"/>
      </w:r>
      <w:r>
        <w:rPr>
          <w:rFonts w:hint="eastAsia" w:ascii="宋体" w:hAnsi="宋体" w:eastAsia="宋体" w:cs="宋体"/>
          <w:kern w:val="2"/>
          <w:lang w:val="en-US" w:eastAsia="zh-CN" w:bidi="ar-SA"/>
        </w:rPr>
        <w:t>第二篇 比选项目技术（质量）需求</w:t>
      </w:r>
      <w:r>
        <w:tab/>
      </w:r>
      <w:r>
        <w:fldChar w:fldCharType="begin"/>
      </w:r>
      <w:r>
        <w:instrText xml:space="preserve"> PAGEREF _Toc17146 \h </w:instrText>
      </w:r>
      <w:r>
        <w:fldChar w:fldCharType="separate"/>
      </w:r>
      <w:r>
        <w:t>- 5 -</w:t>
      </w:r>
      <w:r>
        <w:fldChar w:fldCharType="end"/>
      </w:r>
      <w:r>
        <w:rPr>
          <w:rFonts w:hint="eastAsia" w:ascii="宋体" w:hAnsi="宋体" w:eastAsia="宋体" w:cs="宋体"/>
        </w:rPr>
        <w:fldChar w:fldCharType="end"/>
      </w:r>
    </w:p>
    <w:p w14:paraId="3690A7E1">
      <w:pPr>
        <w:pStyle w:val="40"/>
        <w:keepNext w:val="0"/>
        <w:keepLines w:val="0"/>
        <w:pageBreakBefore w:val="0"/>
        <w:widowControl w:val="0"/>
        <w:tabs>
          <w:tab w:val="right" w:leader="dot" w:pos="9412"/>
        </w:tabs>
        <w:kinsoku/>
        <w:wordWrap/>
        <w:overflowPunct/>
        <w:topLinePunct w:val="0"/>
        <w:autoSpaceDE/>
        <w:autoSpaceDN/>
        <w:bidi w:val="0"/>
        <w:adjustRightInd w:val="0"/>
        <w:snapToGrid w:val="0"/>
        <w:spacing w:line="480" w:lineRule="auto"/>
        <w:textAlignment w:val="auto"/>
      </w:pPr>
      <w:r>
        <w:rPr>
          <w:rFonts w:hint="eastAsia" w:ascii="宋体" w:hAnsi="宋体" w:eastAsia="宋体" w:cs="宋体"/>
        </w:rPr>
        <w:fldChar w:fldCharType="begin"/>
      </w:r>
      <w:r>
        <w:rPr>
          <w:rFonts w:hint="eastAsia" w:ascii="宋体" w:hAnsi="宋体" w:eastAsia="宋体" w:cs="宋体"/>
        </w:rPr>
        <w:instrText xml:space="preserve"> HYPERLINK \l _Toc30544 </w:instrText>
      </w:r>
      <w:r>
        <w:rPr>
          <w:rFonts w:hint="eastAsia" w:ascii="宋体" w:hAnsi="宋体" w:eastAsia="宋体" w:cs="宋体"/>
        </w:rPr>
        <w:fldChar w:fldCharType="separate"/>
      </w:r>
      <w:r>
        <w:rPr>
          <w:rFonts w:hint="eastAsia" w:ascii="宋体" w:hAnsi="宋体" w:eastAsia="宋体" w:cs="宋体"/>
          <w:kern w:val="2"/>
          <w:lang w:val="en-US" w:eastAsia="zh-CN" w:bidi="ar-SA"/>
        </w:rPr>
        <w:t>第三篇  项目服务需求</w:t>
      </w:r>
      <w:r>
        <w:tab/>
      </w:r>
      <w:r>
        <w:fldChar w:fldCharType="begin"/>
      </w:r>
      <w:r>
        <w:instrText xml:space="preserve"> PAGEREF _Toc30544 \h </w:instrText>
      </w:r>
      <w:r>
        <w:fldChar w:fldCharType="separate"/>
      </w:r>
      <w:r>
        <w:t>- 21 -</w:t>
      </w:r>
      <w:r>
        <w:fldChar w:fldCharType="end"/>
      </w:r>
      <w:r>
        <w:rPr>
          <w:rFonts w:hint="eastAsia" w:ascii="宋体" w:hAnsi="宋体" w:eastAsia="宋体" w:cs="宋体"/>
        </w:rPr>
        <w:fldChar w:fldCharType="end"/>
      </w:r>
    </w:p>
    <w:p w14:paraId="5FA94EFE">
      <w:pPr>
        <w:pStyle w:val="40"/>
        <w:keepNext w:val="0"/>
        <w:keepLines w:val="0"/>
        <w:pageBreakBefore w:val="0"/>
        <w:widowControl w:val="0"/>
        <w:tabs>
          <w:tab w:val="right" w:leader="dot" w:pos="9412"/>
        </w:tabs>
        <w:kinsoku/>
        <w:wordWrap/>
        <w:overflowPunct/>
        <w:topLinePunct w:val="0"/>
        <w:autoSpaceDE/>
        <w:autoSpaceDN/>
        <w:bidi w:val="0"/>
        <w:adjustRightInd w:val="0"/>
        <w:snapToGrid w:val="0"/>
        <w:spacing w:line="480" w:lineRule="auto"/>
        <w:textAlignment w:val="auto"/>
      </w:pPr>
      <w:r>
        <w:rPr>
          <w:rFonts w:hint="eastAsia" w:ascii="宋体" w:hAnsi="宋体" w:eastAsia="宋体" w:cs="宋体"/>
        </w:rPr>
        <w:fldChar w:fldCharType="begin"/>
      </w:r>
      <w:r>
        <w:rPr>
          <w:rFonts w:hint="eastAsia" w:ascii="宋体" w:hAnsi="宋体" w:eastAsia="宋体" w:cs="宋体"/>
        </w:rPr>
        <w:instrText xml:space="preserve"> HYPERLINK \l _Toc6069 </w:instrText>
      </w:r>
      <w:r>
        <w:rPr>
          <w:rFonts w:hint="eastAsia" w:ascii="宋体" w:hAnsi="宋体" w:eastAsia="宋体" w:cs="宋体"/>
        </w:rPr>
        <w:fldChar w:fldCharType="separate"/>
      </w:r>
      <w:r>
        <w:rPr>
          <w:rFonts w:hint="eastAsia" w:ascii="宋体" w:hAnsi="宋体" w:eastAsia="宋体" w:cs="宋体"/>
          <w:kern w:val="2"/>
          <w:lang w:val="en-US" w:eastAsia="zh-CN" w:bidi="ar-SA"/>
        </w:rPr>
        <w:t>第四篇  资格审查及评标办法</w:t>
      </w:r>
      <w:r>
        <w:tab/>
      </w:r>
      <w:r>
        <w:fldChar w:fldCharType="begin"/>
      </w:r>
      <w:r>
        <w:instrText xml:space="preserve"> PAGEREF _Toc6069 \h </w:instrText>
      </w:r>
      <w:r>
        <w:fldChar w:fldCharType="separate"/>
      </w:r>
      <w:r>
        <w:t>- 24 -</w:t>
      </w:r>
      <w:r>
        <w:fldChar w:fldCharType="end"/>
      </w:r>
      <w:r>
        <w:rPr>
          <w:rFonts w:hint="eastAsia" w:ascii="宋体" w:hAnsi="宋体" w:eastAsia="宋体" w:cs="宋体"/>
        </w:rPr>
        <w:fldChar w:fldCharType="end"/>
      </w:r>
    </w:p>
    <w:p w14:paraId="6D84675F">
      <w:pPr>
        <w:pStyle w:val="40"/>
        <w:keepNext w:val="0"/>
        <w:keepLines w:val="0"/>
        <w:pageBreakBefore w:val="0"/>
        <w:widowControl w:val="0"/>
        <w:tabs>
          <w:tab w:val="right" w:leader="dot" w:pos="9412"/>
        </w:tabs>
        <w:kinsoku/>
        <w:wordWrap/>
        <w:overflowPunct/>
        <w:topLinePunct w:val="0"/>
        <w:autoSpaceDE/>
        <w:autoSpaceDN/>
        <w:bidi w:val="0"/>
        <w:adjustRightInd w:val="0"/>
        <w:snapToGrid w:val="0"/>
        <w:spacing w:line="480" w:lineRule="auto"/>
        <w:textAlignment w:val="auto"/>
      </w:pPr>
      <w:r>
        <w:rPr>
          <w:rFonts w:hint="eastAsia" w:ascii="宋体" w:hAnsi="宋体" w:eastAsia="宋体" w:cs="宋体"/>
        </w:rPr>
        <w:fldChar w:fldCharType="begin"/>
      </w:r>
      <w:r>
        <w:rPr>
          <w:rFonts w:hint="eastAsia" w:ascii="宋体" w:hAnsi="宋体" w:eastAsia="宋体" w:cs="宋体"/>
        </w:rPr>
        <w:instrText xml:space="preserve"> HYPERLINK \l _Toc32330 </w:instrText>
      </w:r>
      <w:r>
        <w:rPr>
          <w:rFonts w:hint="eastAsia" w:ascii="宋体" w:hAnsi="宋体" w:eastAsia="宋体" w:cs="宋体"/>
        </w:rPr>
        <w:fldChar w:fldCharType="separate"/>
      </w:r>
      <w:r>
        <w:rPr>
          <w:rFonts w:hint="eastAsia" w:ascii="宋体" w:hAnsi="宋体" w:eastAsia="宋体" w:cs="宋体"/>
          <w:kern w:val="2"/>
          <w:lang w:val="en-US" w:eastAsia="zh-CN" w:bidi="ar-SA"/>
        </w:rPr>
        <w:t xml:space="preserve">第五篇  </w:t>
      </w:r>
      <w:r>
        <w:rPr>
          <w:rFonts w:hint="eastAsia" w:ascii="宋体" w:hAnsi="宋体" w:cs="宋体"/>
          <w:kern w:val="2"/>
          <w:lang w:val="en-US" w:eastAsia="zh-CN" w:bidi="ar-SA"/>
        </w:rPr>
        <w:t>竞选人</w:t>
      </w:r>
      <w:r>
        <w:rPr>
          <w:rFonts w:hint="eastAsia" w:ascii="宋体" w:hAnsi="宋体" w:eastAsia="宋体" w:cs="宋体"/>
          <w:kern w:val="2"/>
          <w:lang w:val="en-US" w:eastAsia="zh-CN" w:bidi="ar-SA"/>
        </w:rPr>
        <w:t>须知</w:t>
      </w:r>
      <w:r>
        <w:tab/>
      </w:r>
      <w:r>
        <w:fldChar w:fldCharType="begin"/>
      </w:r>
      <w:r>
        <w:instrText xml:space="preserve"> PAGEREF _Toc32330 \h </w:instrText>
      </w:r>
      <w:r>
        <w:fldChar w:fldCharType="separate"/>
      </w:r>
      <w:r>
        <w:t>- 28 -</w:t>
      </w:r>
      <w:r>
        <w:fldChar w:fldCharType="end"/>
      </w:r>
      <w:r>
        <w:rPr>
          <w:rFonts w:hint="eastAsia" w:ascii="宋体" w:hAnsi="宋体" w:eastAsia="宋体" w:cs="宋体"/>
        </w:rPr>
        <w:fldChar w:fldCharType="end"/>
      </w:r>
    </w:p>
    <w:p w14:paraId="4EB0A10B">
      <w:pPr>
        <w:pStyle w:val="40"/>
        <w:keepNext w:val="0"/>
        <w:keepLines w:val="0"/>
        <w:pageBreakBefore w:val="0"/>
        <w:widowControl w:val="0"/>
        <w:tabs>
          <w:tab w:val="right" w:leader="dot" w:pos="9412"/>
        </w:tabs>
        <w:kinsoku/>
        <w:wordWrap/>
        <w:overflowPunct/>
        <w:topLinePunct w:val="0"/>
        <w:autoSpaceDE/>
        <w:autoSpaceDN/>
        <w:bidi w:val="0"/>
        <w:adjustRightInd w:val="0"/>
        <w:snapToGrid w:val="0"/>
        <w:spacing w:line="480" w:lineRule="auto"/>
        <w:textAlignment w:val="auto"/>
      </w:pPr>
      <w:r>
        <w:rPr>
          <w:rFonts w:hint="eastAsia" w:ascii="宋体" w:hAnsi="宋体" w:eastAsia="宋体" w:cs="宋体"/>
        </w:rPr>
        <w:fldChar w:fldCharType="begin"/>
      </w:r>
      <w:r>
        <w:rPr>
          <w:rFonts w:hint="eastAsia" w:ascii="宋体" w:hAnsi="宋体" w:eastAsia="宋体" w:cs="宋体"/>
        </w:rPr>
        <w:instrText xml:space="preserve"> HYPERLINK \l _Toc8232 </w:instrText>
      </w:r>
      <w:r>
        <w:rPr>
          <w:rFonts w:hint="eastAsia" w:ascii="宋体" w:hAnsi="宋体" w:eastAsia="宋体" w:cs="宋体"/>
        </w:rPr>
        <w:fldChar w:fldCharType="separate"/>
      </w:r>
      <w:r>
        <w:rPr>
          <w:rFonts w:hint="eastAsia" w:ascii="宋体" w:hAnsi="宋体" w:eastAsia="宋体" w:cs="宋体"/>
        </w:rPr>
        <w:t>第六篇  合同条款及格式</w:t>
      </w:r>
      <w:r>
        <w:tab/>
      </w:r>
      <w:r>
        <w:fldChar w:fldCharType="begin"/>
      </w:r>
      <w:r>
        <w:instrText xml:space="preserve"> PAGEREF _Toc8232 \h </w:instrText>
      </w:r>
      <w:r>
        <w:fldChar w:fldCharType="separate"/>
      </w:r>
      <w:r>
        <w:t>- 35 -</w:t>
      </w:r>
      <w:r>
        <w:fldChar w:fldCharType="end"/>
      </w:r>
      <w:r>
        <w:rPr>
          <w:rFonts w:hint="eastAsia" w:ascii="宋体" w:hAnsi="宋体" w:eastAsia="宋体" w:cs="宋体"/>
        </w:rPr>
        <w:fldChar w:fldCharType="end"/>
      </w:r>
    </w:p>
    <w:p w14:paraId="3F98DA39">
      <w:pPr>
        <w:pStyle w:val="40"/>
        <w:keepNext w:val="0"/>
        <w:keepLines w:val="0"/>
        <w:pageBreakBefore w:val="0"/>
        <w:widowControl w:val="0"/>
        <w:tabs>
          <w:tab w:val="right" w:leader="dot" w:pos="9412"/>
        </w:tabs>
        <w:kinsoku/>
        <w:wordWrap/>
        <w:overflowPunct/>
        <w:topLinePunct w:val="0"/>
        <w:autoSpaceDE/>
        <w:autoSpaceDN/>
        <w:bidi w:val="0"/>
        <w:adjustRightInd w:val="0"/>
        <w:snapToGrid w:val="0"/>
        <w:spacing w:line="480" w:lineRule="auto"/>
        <w:textAlignment w:val="auto"/>
      </w:pPr>
      <w:r>
        <w:rPr>
          <w:rFonts w:hint="eastAsia" w:ascii="宋体" w:hAnsi="宋体" w:eastAsia="宋体" w:cs="宋体"/>
        </w:rPr>
        <w:fldChar w:fldCharType="begin"/>
      </w:r>
      <w:r>
        <w:rPr>
          <w:rFonts w:hint="eastAsia" w:ascii="宋体" w:hAnsi="宋体" w:eastAsia="宋体" w:cs="宋体"/>
        </w:rPr>
        <w:instrText xml:space="preserve"> HYPERLINK \l _Toc19762 </w:instrText>
      </w:r>
      <w:r>
        <w:rPr>
          <w:rFonts w:hint="eastAsia" w:ascii="宋体" w:hAnsi="宋体" w:eastAsia="宋体" w:cs="宋体"/>
        </w:rPr>
        <w:fldChar w:fldCharType="separate"/>
      </w:r>
      <w:r>
        <w:rPr>
          <w:rFonts w:hint="eastAsia" w:ascii="宋体" w:hAnsi="宋体" w:cs="宋体"/>
          <w:szCs w:val="32"/>
          <w:lang w:eastAsia="zh-CN"/>
        </w:rPr>
        <w:t>第七篇</w:t>
      </w:r>
      <w:r>
        <w:rPr>
          <w:rFonts w:hint="eastAsia" w:ascii="宋体" w:hAnsi="宋体" w:eastAsia="宋体" w:cs="宋体"/>
          <w:szCs w:val="32"/>
        </w:rPr>
        <w:t xml:space="preserve">  </w:t>
      </w:r>
      <w:r>
        <w:rPr>
          <w:rFonts w:hint="eastAsia" w:ascii="宋体" w:hAnsi="宋体" w:cs="宋体"/>
          <w:szCs w:val="32"/>
          <w:lang w:eastAsia="zh-CN"/>
        </w:rPr>
        <w:t>比选申请文件</w:t>
      </w:r>
      <w:r>
        <w:rPr>
          <w:rFonts w:hint="eastAsia" w:ascii="宋体" w:hAnsi="宋体" w:eastAsia="宋体" w:cs="宋体"/>
          <w:szCs w:val="32"/>
        </w:rPr>
        <w:t>格式</w:t>
      </w:r>
      <w:r>
        <w:tab/>
      </w:r>
      <w:r>
        <w:fldChar w:fldCharType="begin"/>
      </w:r>
      <w:r>
        <w:instrText xml:space="preserve"> PAGEREF _Toc19762 \h </w:instrText>
      </w:r>
      <w:r>
        <w:fldChar w:fldCharType="separate"/>
      </w:r>
      <w:r>
        <w:t>- 40 -</w:t>
      </w:r>
      <w:r>
        <w:fldChar w:fldCharType="end"/>
      </w:r>
      <w:r>
        <w:rPr>
          <w:rFonts w:hint="eastAsia" w:ascii="宋体" w:hAnsi="宋体" w:eastAsia="宋体" w:cs="宋体"/>
        </w:rPr>
        <w:fldChar w:fldCharType="end"/>
      </w:r>
    </w:p>
    <w:p w14:paraId="3A80E4C8">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jc w:val="left"/>
        <w:textAlignment w:val="auto"/>
        <w:rPr>
          <w:rFonts w:hint="eastAsia" w:ascii="宋体" w:hAnsi="宋体" w:eastAsia="宋体" w:cs="宋体"/>
        </w:rPr>
      </w:pPr>
      <w:r>
        <w:rPr>
          <w:rFonts w:hint="eastAsia" w:ascii="宋体" w:hAnsi="宋体" w:eastAsia="宋体" w:cs="宋体"/>
        </w:rPr>
        <w:fldChar w:fldCharType="end"/>
      </w:r>
    </w:p>
    <w:p w14:paraId="74DBF770">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rPr>
          <w:rFonts w:hint="eastAsia" w:ascii="宋体" w:hAnsi="宋体" w:eastAsia="宋体" w:cs="宋体"/>
          <w:sz w:val="24"/>
          <w:szCs w:val="24"/>
          <w:u w:val="single"/>
        </w:rPr>
      </w:pPr>
      <w:r>
        <w:rPr>
          <w:rFonts w:hint="eastAsia" w:ascii="宋体" w:hAnsi="宋体" w:eastAsia="宋体" w:cs="宋体"/>
        </w:rPr>
        <w:br w:type="page"/>
      </w:r>
      <w:bookmarkStart w:id="6" w:name="_Toc30464"/>
      <w:r>
        <w:rPr>
          <w:rFonts w:hint="eastAsia" w:ascii="宋体" w:hAnsi="宋体" w:eastAsia="宋体" w:cs="宋体"/>
          <w:b/>
          <w:kern w:val="2"/>
          <w:sz w:val="28"/>
          <w:lang w:val="en-US" w:eastAsia="zh-CN" w:bidi="ar-SA"/>
        </w:rPr>
        <w:t>第一篇  竞争性比选</w:t>
      </w:r>
      <w:bookmarkEnd w:id="0"/>
      <w:bookmarkEnd w:id="1"/>
      <w:bookmarkEnd w:id="2"/>
      <w:bookmarkEnd w:id="3"/>
      <w:bookmarkEnd w:id="4"/>
      <w:bookmarkEnd w:id="5"/>
      <w:r>
        <w:rPr>
          <w:rFonts w:hint="eastAsia" w:ascii="宋体" w:hAnsi="宋体" w:eastAsia="宋体" w:cs="宋体"/>
          <w:b/>
          <w:kern w:val="2"/>
          <w:sz w:val="28"/>
          <w:lang w:val="en-US" w:eastAsia="zh-CN" w:bidi="ar-SA"/>
        </w:rPr>
        <w:t>公告</w:t>
      </w:r>
      <w:bookmarkEnd w:id="6"/>
    </w:p>
    <w:p w14:paraId="616D635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cs="宋体"/>
          <w:sz w:val="24"/>
          <w:szCs w:val="24"/>
          <w:u w:val="single"/>
          <w:lang w:eastAsia="zh-CN"/>
        </w:rPr>
        <w:t>四川乐咨工程项目管理有限公司</w:t>
      </w:r>
      <w:r>
        <w:rPr>
          <w:rFonts w:hint="eastAsia" w:ascii="宋体" w:hAnsi="宋体" w:eastAsia="宋体" w:cs="宋体"/>
          <w:sz w:val="24"/>
          <w:szCs w:val="24"/>
        </w:rPr>
        <w:t>（以下简称：采购代理机构）受</w:t>
      </w:r>
      <w:r>
        <w:rPr>
          <w:rFonts w:hint="eastAsia" w:ascii="宋体" w:hAnsi="宋体" w:eastAsia="宋体" w:cs="宋体"/>
          <w:sz w:val="24"/>
          <w:szCs w:val="24"/>
          <w:u w:val="single"/>
        </w:rPr>
        <w:t>重庆市沙坪坝区人民政府虎溪街道办事处</w:t>
      </w:r>
      <w:r>
        <w:rPr>
          <w:rFonts w:hint="eastAsia" w:ascii="宋体" w:hAnsi="宋体" w:eastAsia="宋体" w:cs="宋体"/>
          <w:sz w:val="24"/>
          <w:szCs w:val="24"/>
        </w:rPr>
        <w:t>（以下</w:t>
      </w:r>
      <w:r>
        <w:rPr>
          <w:rFonts w:hint="eastAsia" w:ascii="宋体" w:hAnsi="宋体" w:eastAsia="宋体" w:cs="宋体"/>
          <w:sz w:val="24"/>
          <w:szCs w:val="24"/>
          <w:highlight w:val="none"/>
        </w:rPr>
        <w:t>简称：</w:t>
      </w:r>
      <w:r>
        <w:rPr>
          <w:rFonts w:hint="eastAsia" w:ascii="宋体" w:hAnsi="宋体" w:cs="宋体"/>
          <w:sz w:val="24"/>
          <w:szCs w:val="24"/>
          <w:highlight w:val="none"/>
          <w:lang w:eastAsia="zh-CN"/>
        </w:rPr>
        <w:t>比选人</w:t>
      </w:r>
      <w:r>
        <w:rPr>
          <w:rFonts w:hint="eastAsia" w:ascii="宋体" w:hAnsi="宋体" w:eastAsia="宋体" w:cs="宋体"/>
          <w:sz w:val="24"/>
          <w:szCs w:val="24"/>
          <w:highlight w:val="none"/>
        </w:rPr>
        <w:t>）的委托，对</w:t>
      </w:r>
      <w:r>
        <w:rPr>
          <w:rFonts w:hint="eastAsia" w:ascii="宋体" w:hAnsi="宋体" w:cs="宋体"/>
          <w:sz w:val="24"/>
          <w:szCs w:val="24"/>
          <w:highlight w:val="none"/>
          <w:u w:val="single"/>
          <w:lang w:eastAsia="zh-CN"/>
        </w:rPr>
        <w:t>虎小哥党群服务中心家具采购项目</w:t>
      </w:r>
      <w:r>
        <w:rPr>
          <w:rFonts w:hint="eastAsia" w:ascii="宋体" w:hAnsi="宋体" w:eastAsia="宋体" w:cs="宋体"/>
          <w:sz w:val="24"/>
          <w:szCs w:val="24"/>
          <w:highlight w:val="none"/>
        </w:rPr>
        <w:t>进行</w:t>
      </w:r>
      <w:r>
        <w:rPr>
          <w:rFonts w:hint="eastAsia" w:ascii="宋体" w:hAnsi="宋体" w:eastAsia="宋体" w:cs="宋体"/>
          <w:sz w:val="24"/>
          <w:szCs w:val="24"/>
          <w:highlight w:val="none"/>
          <w:u w:val="single"/>
          <w:lang w:eastAsia="zh-CN"/>
        </w:rPr>
        <w:t>公开</w:t>
      </w:r>
      <w:r>
        <w:rPr>
          <w:rFonts w:hint="eastAsia" w:ascii="宋体" w:hAnsi="宋体" w:eastAsia="宋体" w:cs="宋体"/>
          <w:sz w:val="24"/>
          <w:szCs w:val="24"/>
          <w:highlight w:val="none"/>
          <w:u w:val="single"/>
        </w:rPr>
        <w:t>竞争性比选</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项目经虎溪街道2025年第30次党</w:t>
      </w:r>
      <w:r>
        <w:rPr>
          <w:rFonts w:hint="eastAsia" w:ascii="宋体" w:hAnsi="宋体" w:cs="宋体"/>
          <w:sz w:val="24"/>
          <w:szCs w:val="24"/>
          <w:u w:val="single"/>
          <w:lang w:val="en-US" w:eastAsia="zh-CN"/>
        </w:rPr>
        <w:t>工委会审议通过批准实施</w:t>
      </w:r>
      <w:r>
        <w:rPr>
          <w:rFonts w:hint="eastAsia" w:ascii="宋体" w:hAnsi="宋体" w:eastAsia="宋体" w:cs="宋体"/>
          <w:sz w:val="24"/>
          <w:szCs w:val="24"/>
        </w:rPr>
        <w:t>。欢迎有资格的</w:t>
      </w:r>
      <w:r>
        <w:rPr>
          <w:rFonts w:hint="eastAsia" w:ascii="宋体" w:hAnsi="宋体" w:cs="宋体"/>
          <w:sz w:val="24"/>
          <w:szCs w:val="24"/>
          <w:lang w:eastAsia="zh-CN"/>
        </w:rPr>
        <w:t>竞选人</w:t>
      </w:r>
      <w:r>
        <w:rPr>
          <w:rFonts w:hint="eastAsia" w:ascii="宋体" w:hAnsi="宋体" w:eastAsia="宋体" w:cs="宋体"/>
          <w:sz w:val="24"/>
          <w:szCs w:val="24"/>
        </w:rPr>
        <w:t>前来参加</w:t>
      </w:r>
      <w:r>
        <w:rPr>
          <w:rFonts w:hint="eastAsia" w:ascii="宋体" w:hAnsi="宋体" w:eastAsia="宋体" w:cs="宋体"/>
          <w:sz w:val="24"/>
          <w:szCs w:val="24"/>
          <w:lang w:eastAsia="zh-CN"/>
        </w:rPr>
        <w:t>竞标</w:t>
      </w:r>
      <w:r>
        <w:rPr>
          <w:rFonts w:hint="eastAsia" w:ascii="宋体" w:hAnsi="宋体" w:eastAsia="宋体" w:cs="宋体"/>
          <w:sz w:val="24"/>
          <w:szCs w:val="24"/>
        </w:rPr>
        <w:t>。</w:t>
      </w:r>
    </w:p>
    <w:p w14:paraId="03867D9C">
      <w:pPr>
        <w:keepNext w:val="0"/>
        <w:keepLines w:val="0"/>
        <w:pageBreakBefore w:val="0"/>
        <w:widowControl w:val="0"/>
        <w:kinsoku w:val="0"/>
        <w:wordWrap/>
        <w:overflowPunct w:val="0"/>
        <w:topLinePunct w:val="0"/>
        <w:autoSpaceDE w:val="0"/>
        <w:autoSpaceDN w:val="0"/>
        <w:bidi w:val="0"/>
        <w:adjustRightInd w:val="0"/>
        <w:snapToGrid w:val="0"/>
        <w:spacing w:before="0" w:beforeLines="0" w:after="0" w:afterLines="0" w:line="360" w:lineRule="auto"/>
        <w:ind w:left="0" w:leftChars="0" w:right="0" w:rightChars="0" w:firstLine="482" w:firstLineChars="200"/>
        <w:jc w:val="left"/>
        <w:textAlignment w:val="auto"/>
        <w:outlineLvl w:val="1"/>
        <w:rPr>
          <w:rFonts w:hint="eastAsia" w:ascii="宋体" w:hAnsi="宋体" w:eastAsia="宋体" w:cs="宋体"/>
          <w:b/>
          <w:bCs/>
          <w:sz w:val="24"/>
          <w:szCs w:val="24"/>
        </w:rPr>
      </w:pPr>
      <w:bookmarkStart w:id="7" w:name="_Toc106034621"/>
      <w:bookmarkStart w:id="8" w:name="_Toc7758"/>
      <w:bookmarkStart w:id="9" w:name="_Toc313893526"/>
      <w:bookmarkStart w:id="10" w:name="_Toc317775175"/>
      <w:bookmarkStart w:id="11" w:name="_Toc65660330"/>
      <w:bookmarkStart w:id="12" w:name="_Toc18246"/>
      <w:r>
        <w:rPr>
          <w:rFonts w:hint="eastAsia" w:ascii="宋体" w:hAnsi="宋体" w:eastAsia="宋体" w:cs="宋体"/>
          <w:b/>
          <w:bCs/>
          <w:sz w:val="24"/>
          <w:szCs w:val="24"/>
        </w:rPr>
        <w:t>一、竞争性比选内容</w:t>
      </w:r>
      <w:bookmarkEnd w:id="7"/>
      <w:bookmarkEnd w:id="8"/>
      <w:bookmarkEnd w:id="9"/>
      <w:bookmarkEnd w:id="10"/>
      <w:bookmarkEnd w:id="11"/>
      <w:bookmarkEnd w:id="12"/>
    </w:p>
    <w:tbl>
      <w:tblPr>
        <w:tblStyle w:val="60"/>
        <w:tblW w:w="47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8"/>
        <w:gridCol w:w="1291"/>
        <w:gridCol w:w="1159"/>
        <w:gridCol w:w="1620"/>
        <w:gridCol w:w="1099"/>
      </w:tblGrid>
      <w:tr w14:paraId="1C8A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158" w:type="pct"/>
            <w:tcBorders>
              <w:top w:val="single" w:color="auto" w:sz="4" w:space="0"/>
              <w:left w:val="single" w:color="auto" w:sz="4" w:space="0"/>
              <w:right w:val="single" w:color="auto" w:sz="4" w:space="0"/>
            </w:tcBorders>
            <w:noWrap w:val="0"/>
            <w:vAlign w:val="center"/>
          </w:tcPr>
          <w:p w14:paraId="014F1ED3">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right="0" w:rightChars="0"/>
              <w:jc w:val="center"/>
              <w:textAlignment w:val="auto"/>
              <w:outlineLvl w:val="9"/>
              <w:rPr>
                <w:rFonts w:hint="default" w:ascii="Times New Roman" w:hAnsi="Times New Roman" w:eastAsia="宋体" w:cs="Times New Roman"/>
                <w:b/>
                <w:bCs/>
                <w:kern w:val="0"/>
                <w:sz w:val="21"/>
                <w:szCs w:val="24"/>
              </w:rPr>
            </w:pPr>
            <w:r>
              <w:rPr>
                <w:rFonts w:hint="default" w:ascii="Times New Roman" w:hAnsi="Times New Roman" w:cs="Times New Roman"/>
                <w:b/>
                <w:bCs/>
                <w:kern w:val="0"/>
                <w:sz w:val="21"/>
                <w:szCs w:val="24"/>
                <w:lang w:eastAsia="zh-CN"/>
              </w:rPr>
              <w:t>项目</w:t>
            </w:r>
            <w:r>
              <w:rPr>
                <w:rFonts w:hint="default" w:ascii="Times New Roman" w:hAnsi="Times New Roman" w:eastAsia="宋体" w:cs="Times New Roman"/>
                <w:b/>
                <w:bCs/>
                <w:kern w:val="0"/>
                <w:sz w:val="21"/>
                <w:szCs w:val="24"/>
              </w:rPr>
              <w:t>名称</w:t>
            </w:r>
          </w:p>
        </w:tc>
        <w:tc>
          <w:tcPr>
            <w:tcW w:w="709" w:type="pct"/>
            <w:tcBorders>
              <w:top w:val="single" w:color="auto" w:sz="4" w:space="0"/>
              <w:left w:val="single" w:color="auto" w:sz="4" w:space="0"/>
              <w:right w:val="single" w:color="auto" w:sz="4" w:space="0"/>
            </w:tcBorders>
            <w:noWrap w:val="0"/>
            <w:vAlign w:val="center"/>
          </w:tcPr>
          <w:p w14:paraId="6BB6AACD">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bCs/>
                <w:kern w:val="0"/>
                <w:sz w:val="21"/>
                <w:szCs w:val="24"/>
              </w:rPr>
            </w:pPr>
            <w:r>
              <w:rPr>
                <w:rFonts w:hint="default" w:ascii="Times New Roman" w:hAnsi="Times New Roman" w:eastAsia="宋体" w:cs="Times New Roman"/>
                <w:b/>
                <w:bCs/>
                <w:kern w:val="0"/>
                <w:sz w:val="21"/>
                <w:szCs w:val="24"/>
              </w:rPr>
              <w:t>最高限价</w:t>
            </w:r>
          </w:p>
          <w:p w14:paraId="5059FA94">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bCs/>
                <w:kern w:val="0"/>
                <w:sz w:val="21"/>
                <w:szCs w:val="24"/>
              </w:rPr>
            </w:pPr>
            <w:r>
              <w:rPr>
                <w:rFonts w:hint="default" w:ascii="Times New Roman" w:hAnsi="Times New Roman" w:eastAsia="宋体" w:cs="Times New Roman"/>
                <w:b/>
                <w:bCs/>
                <w:kern w:val="0"/>
                <w:sz w:val="21"/>
                <w:szCs w:val="24"/>
              </w:rPr>
              <w:t>（元）</w:t>
            </w:r>
          </w:p>
        </w:tc>
        <w:tc>
          <w:tcPr>
            <w:tcW w:w="637" w:type="pct"/>
            <w:tcBorders>
              <w:top w:val="single" w:color="auto" w:sz="4" w:space="0"/>
              <w:left w:val="single" w:color="auto" w:sz="4" w:space="0"/>
              <w:right w:val="single" w:color="auto" w:sz="4" w:space="0"/>
            </w:tcBorders>
            <w:noWrap w:val="0"/>
            <w:vAlign w:val="center"/>
          </w:tcPr>
          <w:p w14:paraId="1EE45170">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bCs/>
                <w:kern w:val="0"/>
                <w:sz w:val="21"/>
                <w:szCs w:val="24"/>
              </w:rPr>
            </w:pPr>
            <w:r>
              <w:rPr>
                <w:rFonts w:hint="default" w:ascii="Times New Roman" w:hAnsi="Times New Roman" w:eastAsia="宋体" w:cs="Times New Roman"/>
                <w:b/>
                <w:bCs/>
                <w:kern w:val="0"/>
                <w:sz w:val="21"/>
                <w:szCs w:val="24"/>
              </w:rPr>
              <w:t>保证金</w:t>
            </w:r>
          </w:p>
          <w:p w14:paraId="6D82F349">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bCs/>
                <w:kern w:val="0"/>
                <w:sz w:val="21"/>
                <w:szCs w:val="24"/>
              </w:rPr>
            </w:pPr>
            <w:r>
              <w:rPr>
                <w:rFonts w:hint="default" w:ascii="Times New Roman" w:hAnsi="Times New Roman" w:eastAsia="宋体" w:cs="Times New Roman"/>
                <w:b/>
                <w:bCs/>
                <w:kern w:val="0"/>
                <w:sz w:val="21"/>
                <w:szCs w:val="24"/>
              </w:rPr>
              <w:t>（元）</w:t>
            </w:r>
          </w:p>
        </w:tc>
        <w:tc>
          <w:tcPr>
            <w:tcW w:w="890" w:type="pct"/>
            <w:tcBorders>
              <w:top w:val="single" w:color="auto" w:sz="4" w:space="0"/>
              <w:left w:val="single" w:color="auto" w:sz="4" w:space="0"/>
              <w:right w:val="single" w:color="auto" w:sz="4" w:space="0"/>
            </w:tcBorders>
            <w:noWrap w:val="0"/>
            <w:vAlign w:val="center"/>
          </w:tcPr>
          <w:p w14:paraId="53505A4D">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bCs/>
                <w:kern w:val="0"/>
                <w:sz w:val="21"/>
                <w:szCs w:val="24"/>
              </w:rPr>
            </w:pPr>
            <w:r>
              <w:rPr>
                <w:rFonts w:hint="default" w:ascii="Times New Roman" w:hAnsi="Times New Roman" w:eastAsia="宋体" w:cs="Times New Roman"/>
                <w:b/>
                <w:bCs/>
                <w:kern w:val="0"/>
                <w:sz w:val="21"/>
                <w:szCs w:val="24"/>
              </w:rPr>
              <w:t>成交</w:t>
            </w:r>
            <w:r>
              <w:rPr>
                <w:rFonts w:hint="default" w:ascii="Times New Roman" w:hAnsi="Times New Roman" w:cs="Times New Roman"/>
                <w:b/>
                <w:bCs/>
                <w:kern w:val="0"/>
                <w:sz w:val="21"/>
                <w:szCs w:val="24"/>
                <w:lang w:eastAsia="zh-CN"/>
              </w:rPr>
              <w:t>竞选人</w:t>
            </w:r>
            <w:r>
              <w:rPr>
                <w:rFonts w:hint="default" w:ascii="Times New Roman" w:hAnsi="Times New Roman" w:eastAsia="宋体" w:cs="Times New Roman"/>
                <w:b/>
                <w:bCs/>
                <w:kern w:val="0"/>
                <w:sz w:val="21"/>
                <w:szCs w:val="24"/>
              </w:rPr>
              <w:t>数量（名）</w:t>
            </w:r>
          </w:p>
        </w:tc>
        <w:tc>
          <w:tcPr>
            <w:tcW w:w="604" w:type="pct"/>
            <w:tcBorders>
              <w:top w:val="single" w:color="auto" w:sz="4" w:space="0"/>
              <w:left w:val="single" w:color="auto" w:sz="4" w:space="0"/>
              <w:right w:val="single" w:color="auto" w:sz="4" w:space="0"/>
            </w:tcBorders>
            <w:noWrap w:val="0"/>
            <w:vAlign w:val="center"/>
          </w:tcPr>
          <w:p w14:paraId="275EBD54">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bCs/>
                <w:kern w:val="0"/>
                <w:sz w:val="21"/>
                <w:szCs w:val="24"/>
                <w:lang w:eastAsia="zh-CN"/>
              </w:rPr>
            </w:pPr>
            <w:r>
              <w:rPr>
                <w:rFonts w:hint="default" w:ascii="Times New Roman" w:hAnsi="Times New Roman" w:eastAsia="宋体" w:cs="Times New Roman"/>
                <w:b/>
                <w:bCs/>
                <w:kern w:val="0"/>
                <w:sz w:val="21"/>
                <w:szCs w:val="24"/>
                <w:lang w:eastAsia="zh-CN"/>
              </w:rPr>
              <w:t>质保期</w:t>
            </w:r>
          </w:p>
          <w:p w14:paraId="752DFE77">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bCs/>
                <w:kern w:val="0"/>
                <w:sz w:val="21"/>
                <w:szCs w:val="24"/>
                <w:lang w:eastAsia="zh-CN"/>
              </w:rPr>
            </w:pPr>
            <w:r>
              <w:rPr>
                <w:rFonts w:hint="default" w:ascii="Times New Roman" w:hAnsi="Times New Roman" w:eastAsia="宋体" w:cs="Times New Roman"/>
                <w:b/>
                <w:bCs/>
                <w:kern w:val="0"/>
                <w:sz w:val="21"/>
                <w:szCs w:val="24"/>
                <w:lang w:eastAsia="zh-CN"/>
              </w:rPr>
              <w:t>（年）</w:t>
            </w:r>
          </w:p>
        </w:tc>
      </w:tr>
      <w:tr w14:paraId="3C50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8" w:type="pct"/>
            <w:tcBorders>
              <w:top w:val="single" w:color="auto" w:sz="4" w:space="0"/>
              <w:left w:val="single" w:color="auto" w:sz="4" w:space="0"/>
              <w:bottom w:val="single" w:color="auto" w:sz="4" w:space="0"/>
              <w:right w:val="single" w:color="auto" w:sz="4" w:space="0"/>
            </w:tcBorders>
            <w:noWrap w:val="0"/>
            <w:vAlign w:val="center"/>
          </w:tcPr>
          <w:p w14:paraId="01748463">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kern w:val="0"/>
                <w:sz w:val="21"/>
                <w:szCs w:val="24"/>
                <w:lang w:eastAsia="zh-CN"/>
              </w:rPr>
            </w:pPr>
            <w:bookmarkStart w:id="13" w:name="_Hlk344477914"/>
            <w:r>
              <w:rPr>
                <w:rFonts w:hint="default" w:ascii="Times New Roman" w:hAnsi="Times New Roman" w:cs="Times New Roman"/>
                <w:kern w:val="0"/>
                <w:sz w:val="21"/>
                <w:szCs w:val="24"/>
                <w:lang w:eastAsia="zh-CN"/>
              </w:rPr>
              <w:t>虎小哥党群服务中心家具采购项目</w:t>
            </w:r>
          </w:p>
        </w:tc>
        <w:tc>
          <w:tcPr>
            <w:tcW w:w="709" w:type="pct"/>
            <w:tcBorders>
              <w:top w:val="single" w:color="auto" w:sz="4" w:space="0"/>
              <w:left w:val="single" w:color="auto" w:sz="4" w:space="0"/>
              <w:bottom w:val="single" w:color="auto" w:sz="4" w:space="0"/>
              <w:right w:val="single" w:color="auto" w:sz="4" w:space="0"/>
            </w:tcBorders>
            <w:noWrap w:val="0"/>
            <w:vAlign w:val="center"/>
          </w:tcPr>
          <w:p w14:paraId="2DA79688">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10</w:t>
            </w:r>
            <w:r>
              <w:rPr>
                <w:rFonts w:hint="eastAsia" w:cs="Times New Roman"/>
                <w:sz w:val="21"/>
                <w:szCs w:val="21"/>
                <w:highlight w:val="none"/>
                <w:lang w:val="en-US" w:eastAsia="zh-CN"/>
              </w:rPr>
              <w:t>7306</w:t>
            </w:r>
            <w:r>
              <w:rPr>
                <w:rFonts w:hint="default"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0</w:t>
            </w:r>
          </w:p>
        </w:tc>
        <w:tc>
          <w:tcPr>
            <w:tcW w:w="637" w:type="pct"/>
            <w:tcBorders>
              <w:top w:val="single" w:color="auto" w:sz="4" w:space="0"/>
              <w:left w:val="single" w:color="auto" w:sz="4" w:space="0"/>
              <w:bottom w:val="single" w:color="auto" w:sz="4" w:space="0"/>
              <w:right w:val="single" w:color="auto" w:sz="4" w:space="0"/>
            </w:tcBorders>
            <w:noWrap w:val="0"/>
            <w:vAlign w:val="center"/>
          </w:tcPr>
          <w:p w14:paraId="1EC720AA">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0</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659309F5">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04" w:type="pct"/>
            <w:tcBorders>
              <w:top w:val="single" w:color="auto" w:sz="4" w:space="0"/>
              <w:left w:val="single" w:color="auto" w:sz="4" w:space="0"/>
              <w:bottom w:val="single" w:color="auto" w:sz="4" w:space="0"/>
              <w:right w:val="single" w:color="auto" w:sz="4" w:space="0"/>
            </w:tcBorders>
            <w:noWrap w:val="0"/>
            <w:vAlign w:val="center"/>
          </w:tcPr>
          <w:p w14:paraId="7FAFB39E">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b/>
                <w:sz w:val="21"/>
                <w:szCs w:val="21"/>
                <w:lang w:val="en-US" w:eastAsia="zh-CN"/>
              </w:rPr>
            </w:pPr>
            <w:r>
              <w:rPr>
                <w:rFonts w:hint="default" w:ascii="Times New Roman" w:hAnsi="Times New Roman" w:cs="Times New Roman"/>
                <w:b w:val="0"/>
                <w:sz w:val="21"/>
                <w:szCs w:val="21"/>
                <w:lang w:val="en-US" w:eastAsia="zh-CN"/>
              </w:rPr>
              <w:t>2</w:t>
            </w:r>
          </w:p>
        </w:tc>
      </w:tr>
      <w:bookmarkEnd w:id="13"/>
    </w:tbl>
    <w:p w14:paraId="6040CEED">
      <w:pPr>
        <w:keepNext w:val="0"/>
        <w:keepLines w:val="0"/>
        <w:pageBreakBefore w:val="0"/>
        <w:widowControl w:val="0"/>
        <w:kinsoku w:val="0"/>
        <w:wordWrap/>
        <w:overflowPunct w:val="0"/>
        <w:topLinePunct w:val="0"/>
        <w:autoSpaceDE w:val="0"/>
        <w:autoSpaceDN w:val="0"/>
        <w:bidi w:val="0"/>
        <w:adjustRightInd w:val="0"/>
        <w:snapToGrid w:val="0"/>
        <w:spacing w:before="0" w:beforeLines="0" w:after="0" w:afterLines="0" w:line="360" w:lineRule="auto"/>
        <w:ind w:left="0" w:leftChars="0" w:right="0" w:rightChars="0" w:firstLine="482" w:firstLineChars="200"/>
        <w:jc w:val="left"/>
        <w:textAlignment w:val="auto"/>
        <w:outlineLvl w:val="1"/>
        <w:rPr>
          <w:rFonts w:hint="eastAsia" w:ascii="宋体" w:hAnsi="宋体" w:eastAsia="宋体" w:cs="宋体"/>
          <w:b/>
          <w:bCs/>
          <w:sz w:val="24"/>
          <w:szCs w:val="24"/>
        </w:rPr>
      </w:pPr>
      <w:bookmarkStart w:id="14" w:name="_Toc65660331"/>
      <w:bookmarkStart w:id="15" w:name="_Toc106034622"/>
      <w:bookmarkStart w:id="16" w:name="_Toc27028"/>
      <w:bookmarkStart w:id="17" w:name="_Toc3256"/>
      <w:bookmarkStart w:id="18" w:name="_Toc373860293"/>
      <w:bookmarkStart w:id="19" w:name="_Toc317775178"/>
      <w:r>
        <w:rPr>
          <w:rFonts w:hint="eastAsia" w:ascii="宋体" w:hAnsi="宋体" w:eastAsia="宋体" w:cs="宋体"/>
          <w:b/>
          <w:bCs/>
          <w:sz w:val="24"/>
          <w:szCs w:val="24"/>
        </w:rPr>
        <w:t>二、资金来源</w:t>
      </w:r>
      <w:bookmarkEnd w:id="14"/>
      <w:bookmarkEnd w:id="15"/>
      <w:bookmarkEnd w:id="16"/>
      <w:bookmarkEnd w:id="17"/>
    </w:p>
    <w:p w14:paraId="5C7967C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cs="宋体"/>
          <w:sz w:val="24"/>
          <w:highlight w:val="none"/>
          <w:u w:val="single"/>
          <w:lang w:val="en-US" w:eastAsia="zh-CN"/>
        </w:rPr>
        <w:t>财政资金</w:t>
      </w:r>
      <w:r>
        <w:rPr>
          <w:rFonts w:hint="eastAsia" w:ascii="宋体" w:hAnsi="宋体" w:eastAsia="宋体" w:cs="宋体"/>
          <w:sz w:val="24"/>
          <w:szCs w:val="24"/>
        </w:rPr>
        <w:t>，采购预</w:t>
      </w:r>
      <w:r>
        <w:rPr>
          <w:rFonts w:hint="default" w:ascii="Times New Roman" w:hAnsi="Times New Roman" w:eastAsia="宋体" w:cs="Times New Roman"/>
          <w:sz w:val="24"/>
          <w:szCs w:val="24"/>
          <w:highlight w:val="none"/>
        </w:rPr>
        <w:t>算</w:t>
      </w:r>
      <w:r>
        <w:rPr>
          <w:rFonts w:hint="default" w:ascii="Times New Roman" w:hAnsi="Times New Roman" w:cs="Times New Roman"/>
          <w:sz w:val="21"/>
          <w:szCs w:val="21"/>
          <w:highlight w:val="none"/>
          <w:lang w:val="en-US" w:eastAsia="zh-CN"/>
        </w:rPr>
        <w:t>107306.5</w:t>
      </w:r>
      <w:r>
        <w:rPr>
          <w:rFonts w:hint="eastAsia" w:cs="Times New Roman"/>
          <w:sz w:val="21"/>
          <w:szCs w:val="21"/>
          <w:highlight w:val="none"/>
          <w:lang w:val="en-US" w:eastAsia="zh-CN"/>
        </w:rPr>
        <w:t>0</w:t>
      </w:r>
      <w:r>
        <w:rPr>
          <w:rFonts w:hint="default" w:ascii="Times New Roman" w:hAnsi="Times New Roman" w:cs="Times New Roman"/>
          <w:sz w:val="21"/>
          <w:szCs w:val="21"/>
          <w:highlight w:val="none"/>
          <w:lang w:val="en-US" w:eastAsia="zh-CN"/>
        </w:rPr>
        <w:t>元</w:t>
      </w:r>
      <w:r>
        <w:rPr>
          <w:rFonts w:hint="default" w:ascii="Times New Roman" w:hAnsi="Times New Roman" w:eastAsia="宋体" w:cs="Times New Roman"/>
          <w:sz w:val="24"/>
          <w:szCs w:val="24"/>
          <w:highlight w:val="none"/>
        </w:rPr>
        <w:t>。</w:t>
      </w:r>
    </w:p>
    <w:p w14:paraId="63ABFA12">
      <w:pPr>
        <w:keepNext w:val="0"/>
        <w:keepLines w:val="0"/>
        <w:pageBreakBefore w:val="0"/>
        <w:widowControl w:val="0"/>
        <w:kinsoku w:val="0"/>
        <w:wordWrap/>
        <w:overflowPunct w:val="0"/>
        <w:topLinePunct w:val="0"/>
        <w:autoSpaceDE w:val="0"/>
        <w:autoSpaceDN w:val="0"/>
        <w:bidi w:val="0"/>
        <w:adjustRightInd w:val="0"/>
        <w:snapToGrid w:val="0"/>
        <w:spacing w:before="0" w:beforeLines="0" w:after="0" w:afterLines="0" w:line="360" w:lineRule="auto"/>
        <w:ind w:left="0" w:leftChars="0" w:right="0" w:rightChars="0" w:firstLine="482" w:firstLineChars="200"/>
        <w:jc w:val="left"/>
        <w:textAlignment w:val="auto"/>
        <w:outlineLvl w:val="1"/>
        <w:rPr>
          <w:rFonts w:hint="eastAsia" w:ascii="宋体" w:hAnsi="宋体" w:eastAsia="宋体" w:cs="宋体"/>
          <w:b/>
          <w:bCs/>
          <w:sz w:val="24"/>
          <w:szCs w:val="24"/>
        </w:rPr>
      </w:pPr>
      <w:bookmarkStart w:id="20" w:name="_Toc106034623"/>
      <w:bookmarkStart w:id="21" w:name="_Toc64731996"/>
      <w:bookmarkStart w:id="22" w:name="_Toc18548"/>
      <w:bookmarkStart w:id="23" w:name="_Toc13541"/>
      <w:bookmarkStart w:id="24" w:name="_Toc65660332"/>
      <w:r>
        <w:rPr>
          <w:rFonts w:hint="eastAsia" w:ascii="宋体" w:hAnsi="宋体" w:eastAsia="宋体" w:cs="宋体"/>
          <w:b/>
          <w:bCs/>
          <w:sz w:val="24"/>
          <w:szCs w:val="24"/>
        </w:rPr>
        <w:t>三、</w:t>
      </w:r>
      <w:r>
        <w:rPr>
          <w:rFonts w:hint="eastAsia" w:ascii="宋体" w:hAnsi="宋体" w:cs="宋体"/>
          <w:b/>
          <w:bCs/>
          <w:sz w:val="24"/>
          <w:szCs w:val="24"/>
          <w:lang w:eastAsia="zh-CN"/>
        </w:rPr>
        <w:t>竞选人</w:t>
      </w:r>
      <w:r>
        <w:rPr>
          <w:rFonts w:hint="eastAsia" w:ascii="宋体" w:hAnsi="宋体" w:eastAsia="宋体" w:cs="宋体"/>
          <w:b/>
          <w:bCs/>
          <w:sz w:val="24"/>
          <w:szCs w:val="24"/>
        </w:rPr>
        <w:t>资格条件</w:t>
      </w:r>
      <w:bookmarkEnd w:id="20"/>
      <w:bookmarkEnd w:id="21"/>
      <w:bookmarkEnd w:id="22"/>
      <w:bookmarkEnd w:id="23"/>
      <w:bookmarkEnd w:id="24"/>
    </w:p>
    <w:p w14:paraId="69C9344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sz w:val="24"/>
          <w:szCs w:val="24"/>
          <w:u w:val="thick"/>
        </w:rPr>
      </w:pPr>
      <w:r>
        <w:rPr>
          <w:rFonts w:hint="eastAsia" w:ascii="宋体" w:hAnsi="宋体" w:eastAsia="宋体" w:cs="宋体"/>
          <w:sz w:val="24"/>
          <w:szCs w:val="24"/>
        </w:rPr>
        <w:t>（一）基本资格条件</w:t>
      </w:r>
    </w:p>
    <w:p w14:paraId="31683FF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1.具有独立承担民事责任的能力；</w:t>
      </w:r>
    </w:p>
    <w:p w14:paraId="697938B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2.具有良好的商业信誉和健全的财务会计制度；</w:t>
      </w:r>
    </w:p>
    <w:p w14:paraId="361ACD2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w:t>
      </w:r>
    </w:p>
    <w:p w14:paraId="6625B41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4.有依法缴纳税收和社会保障资金的良好记录；</w:t>
      </w:r>
    </w:p>
    <w:p w14:paraId="49F2291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5.参加政府采购活动前三年内，在经营活动中没有重大违法记录；</w:t>
      </w:r>
    </w:p>
    <w:p w14:paraId="6C6BD70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6.法律、行政法规规定的其他条件。</w:t>
      </w:r>
    </w:p>
    <w:p w14:paraId="70CE0FA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（二）特定资格条件</w:t>
      </w:r>
    </w:p>
    <w:p w14:paraId="5A7D683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无。</w:t>
      </w:r>
    </w:p>
    <w:p w14:paraId="2CDB7DCE">
      <w:pPr>
        <w:keepNext w:val="0"/>
        <w:keepLines w:val="0"/>
        <w:pageBreakBefore w:val="0"/>
        <w:widowControl w:val="0"/>
        <w:kinsoku w:val="0"/>
        <w:wordWrap/>
        <w:overflowPunct w:val="0"/>
        <w:topLinePunct w:val="0"/>
        <w:autoSpaceDE w:val="0"/>
        <w:autoSpaceDN w:val="0"/>
        <w:bidi w:val="0"/>
        <w:adjustRightInd w:val="0"/>
        <w:snapToGrid w:val="0"/>
        <w:spacing w:before="0" w:beforeLines="0" w:after="0" w:afterLines="0" w:line="360" w:lineRule="auto"/>
        <w:ind w:left="0" w:leftChars="0" w:right="0" w:rightChars="0" w:firstLine="482" w:firstLineChars="200"/>
        <w:jc w:val="left"/>
        <w:textAlignment w:val="auto"/>
        <w:outlineLvl w:val="1"/>
        <w:rPr>
          <w:rFonts w:hint="eastAsia" w:ascii="宋体" w:hAnsi="宋体" w:eastAsia="宋体" w:cs="宋体"/>
          <w:b/>
          <w:bCs/>
          <w:sz w:val="24"/>
          <w:szCs w:val="24"/>
        </w:rPr>
      </w:pPr>
      <w:bookmarkStart w:id="25" w:name="_Toc106034624"/>
      <w:bookmarkStart w:id="26" w:name="_Toc11908"/>
      <w:bookmarkStart w:id="27" w:name="_Toc65660333"/>
      <w:bookmarkStart w:id="28" w:name="_Toc1386"/>
      <w:r>
        <w:rPr>
          <w:rFonts w:hint="eastAsia" w:ascii="宋体" w:hAnsi="宋体" w:eastAsia="宋体" w:cs="宋体"/>
          <w:b/>
          <w:bCs/>
          <w:sz w:val="24"/>
          <w:szCs w:val="24"/>
        </w:rPr>
        <w:t>四、</w:t>
      </w:r>
      <w:r>
        <w:rPr>
          <w:rFonts w:hint="eastAsia" w:ascii="宋体" w:hAnsi="宋体" w:eastAsia="宋体" w:cs="宋体"/>
          <w:b/>
          <w:bCs/>
          <w:sz w:val="24"/>
          <w:szCs w:val="24"/>
          <w:lang w:eastAsia="zh-CN"/>
        </w:rPr>
        <w:t>竞标</w:t>
      </w:r>
      <w:r>
        <w:rPr>
          <w:rFonts w:hint="eastAsia" w:ascii="宋体" w:hAnsi="宋体" w:eastAsia="宋体" w:cs="宋体"/>
          <w:b/>
          <w:bCs/>
          <w:sz w:val="24"/>
          <w:szCs w:val="24"/>
        </w:rPr>
        <w:t>报名及开标有关说明</w:t>
      </w:r>
      <w:bookmarkEnd w:id="18"/>
      <w:bookmarkEnd w:id="25"/>
      <w:bookmarkEnd w:id="26"/>
      <w:bookmarkEnd w:id="27"/>
      <w:bookmarkEnd w:id="28"/>
    </w:p>
    <w:bookmarkEnd w:id="19"/>
    <w:p w14:paraId="4F4C88CD">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bookmarkStart w:id="29" w:name="_Toc525047161"/>
      <w:bookmarkStart w:id="30" w:name="_Toc106034625"/>
      <w:bookmarkStart w:id="31" w:name="_Toc65660334"/>
      <w:bookmarkStart w:id="32" w:name="_Toc373860294"/>
      <w:bookmarkStart w:id="33" w:name="_Toc11956"/>
      <w:bookmarkStart w:id="34" w:name="_Toc521053053"/>
      <w:bookmarkStart w:id="35" w:name="_Toc6178"/>
      <w:r>
        <w:rPr>
          <w:rFonts w:hint="eastAsia" w:ascii="宋体" w:hAnsi="宋体" w:eastAsia="宋体" w:cs="宋体"/>
          <w:sz w:val="24"/>
          <w:szCs w:val="24"/>
          <w:highlight w:val="none"/>
        </w:rPr>
        <w:t>（一）</w:t>
      </w:r>
      <w:r>
        <w:rPr>
          <w:rFonts w:hint="eastAsia" w:ascii="宋体" w:hAnsi="宋体" w:cs="宋体"/>
          <w:sz w:val="24"/>
          <w:szCs w:val="24"/>
          <w:lang w:eastAsia="zh-CN"/>
        </w:rPr>
        <w:t>竞选人</w:t>
      </w:r>
      <w:r>
        <w:rPr>
          <w:rFonts w:hint="eastAsia" w:ascii="宋体" w:hAnsi="宋体" w:cs="宋体"/>
          <w:sz w:val="24"/>
          <w:szCs w:val="24"/>
        </w:rPr>
        <w:t>应通过“行采家”平台（http://www.gec123.com）进行注册，成为正式</w:t>
      </w:r>
      <w:r>
        <w:rPr>
          <w:rFonts w:hint="eastAsia" w:ascii="宋体" w:hAnsi="宋体" w:cs="宋体"/>
          <w:sz w:val="24"/>
          <w:szCs w:val="24"/>
          <w:lang w:eastAsia="zh-CN"/>
        </w:rPr>
        <w:t>竞选人</w:t>
      </w:r>
      <w:r>
        <w:rPr>
          <w:rFonts w:hint="eastAsia" w:ascii="宋体" w:hAnsi="宋体" w:cs="宋体"/>
          <w:sz w:val="24"/>
          <w:szCs w:val="24"/>
        </w:rPr>
        <w:t>方能参与采购活动</w:t>
      </w:r>
      <w:r>
        <w:rPr>
          <w:rFonts w:hint="eastAsia" w:ascii="宋体" w:hAnsi="宋体" w:eastAsia="宋体" w:cs="宋体"/>
          <w:sz w:val="24"/>
          <w:szCs w:val="24"/>
          <w:highlight w:val="none"/>
        </w:rPr>
        <w:t>。</w:t>
      </w:r>
    </w:p>
    <w:p w14:paraId="1D701A32">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（二）凡有意参加</w:t>
      </w:r>
      <w:r>
        <w:rPr>
          <w:rFonts w:hint="eastAsia" w:ascii="宋体" w:hAnsi="宋体" w:eastAsia="宋体" w:cs="宋体"/>
          <w:sz w:val="24"/>
          <w:szCs w:val="24"/>
          <w:highlight w:val="none"/>
          <w:lang w:val="en-US" w:eastAsia="zh-CN"/>
        </w:rPr>
        <w:t>比选</w:t>
      </w:r>
      <w:r>
        <w:rPr>
          <w:rFonts w:hint="eastAsia" w:ascii="宋体" w:hAnsi="宋体" w:eastAsia="宋体" w:cs="宋体"/>
          <w:sz w:val="24"/>
          <w:szCs w:val="24"/>
          <w:highlight w:val="none"/>
        </w:rPr>
        <w:t>的</w:t>
      </w:r>
      <w:r>
        <w:rPr>
          <w:rFonts w:hint="eastAsia" w:ascii="宋体" w:hAnsi="宋体" w:cs="宋体"/>
          <w:sz w:val="24"/>
          <w:szCs w:val="24"/>
          <w:highlight w:val="none"/>
          <w:lang w:eastAsia="zh-CN"/>
        </w:rPr>
        <w:t>竞选人</w:t>
      </w:r>
      <w:r>
        <w:rPr>
          <w:rFonts w:hint="eastAsia" w:ascii="宋体" w:hAnsi="宋体" w:eastAsia="宋体" w:cs="宋体"/>
          <w:sz w:val="24"/>
          <w:szCs w:val="24"/>
          <w:highlight w:val="none"/>
        </w:rPr>
        <w:t>，请在</w:t>
      </w:r>
      <w:r>
        <w:rPr>
          <w:rFonts w:hint="eastAsia" w:ascii="宋体" w:hAnsi="宋体" w:eastAsia="宋体" w:cs="宋体"/>
          <w:sz w:val="24"/>
          <w:szCs w:val="24"/>
          <w:highlight w:val="none"/>
          <w:lang w:eastAsia="zh-CN"/>
        </w:rPr>
        <w:t>“行采家”</w:t>
      </w:r>
      <w:r>
        <w:rPr>
          <w:rFonts w:hint="eastAsia" w:ascii="宋体" w:hAnsi="宋体" w:eastAsia="宋体" w:cs="宋体"/>
          <w:sz w:val="24"/>
          <w:szCs w:val="24"/>
          <w:highlight w:val="none"/>
        </w:rPr>
        <w:t>上下载本项目</w:t>
      </w:r>
      <w:r>
        <w:rPr>
          <w:rFonts w:hint="eastAsia" w:ascii="宋体" w:hAnsi="宋体" w:cs="宋体"/>
          <w:sz w:val="24"/>
          <w:szCs w:val="24"/>
          <w:highlight w:val="none"/>
          <w:lang w:eastAsia="zh-CN"/>
        </w:rPr>
        <w:t>竞争性比选文件</w:t>
      </w:r>
      <w:r>
        <w:rPr>
          <w:rFonts w:hint="eastAsia" w:ascii="宋体" w:hAnsi="宋体" w:eastAsia="宋体" w:cs="宋体"/>
          <w:sz w:val="24"/>
          <w:szCs w:val="24"/>
          <w:highlight w:val="none"/>
        </w:rPr>
        <w:t>以及图纸、澄清等</w:t>
      </w:r>
      <w:r>
        <w:rPr>
          <w:rFonts w:hint="eastAsia" w:ascii="宋体" w:hAnsi="宋体" w:cs="宋体"/>
          <w:sz w:val="24"/>
          <w:szCs w:val="24"/>
          <w:highlight w:val="none"/>
          <w:lang w:val="en-US" w:eastAsia="zh-CN"/>
        </w:rPr>
        <w:t>竞标</w:t>
      </w:r>
      <w:r>
        <w:rPr>
          <w:rFonts w:hint="eastAsia" w:ascii="宋体" w:hAnsi="宋体" w:eastAsia="宋体" w:cs="宋体"/>
          <w:sz w:val="24"/>
          <w:szCs w:val="24"/>
          <w:highlight w:val="none"/>
        </w:rPr>
        <w:t>前公布的所有项目资料，无论</w:t>
      </w:r>
      <w:r>
        <w:rPr>
          <w:rFonts w:hint="eastAsia" w:ascii="宋体" w:hAnsi="宋体" w:cs="宋体"/>
          <w:sz w:val="24"/>
          <w:szCs w:val="24"/>
          <w:highlight w:val="none"/>
          <w:lang w:eastAsia="zh-CN"/>
        </w:rPr>
        <w:t>竞选人</w:t>
      </w:r>
      <w:r>
        <w:rPr>
          <w:rFonts w:hint="eastAsia" w:ascii="宋体" w:hAnsi="宋体" w:eastAsia="宋体" w:cs="宋体"/>
          <w:sz w:val="24"/>
          <w:szCs w:val="24"/>
          <w:highlight w:val="none"/>
        </w:rPr>
        <w:t>下载与否，均视为已知晓所有</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实质性要求内容</w:t>
      </w:r>
      <w:r>
        <w:rPr>
          <w:rFonts w:hint="eastAsia" w:ascii="宋体" w:hAnsi="宋体" w:eastAsia="宋体" w:cs="宋体"/>
          <w:color w:val="auto"/>
          <w:sz w:val="24"/>
          <w:szCs w:val="24"/>
          <w:highlight w:val="none"/>
        </w:rPr>
        <w:t>。</w:t>
      </w:r>
    </w:p>
    <w:p w14:paraId="3472CC9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三</w:t>
      </w:r>
      <w:r>
        <w:rPr>
          <w:rFonts w:hint="eastAsia" w:ascii="宋体" w:hAnsi="宋体" w:eastAsia="宋体" w:cs="宋体"/>
          <w:sz w:val="24"/>
          <w:szCs w:val="24"/>
        </w:rPr>
        <w:t xml:space="preserve">) </w:t>
      </w:r>
      <w:r>
        <w:rPr>
          <w:rFonts w:hint="eastAsia" w:ascii="宋体" w:hAnsi="宋体" w:cs="宋体"/>
          <w:sz w:val="24"/>
          <w:szCs w:val="24"/>
          <w:lang w:eastAsia="zh-CN"/>
        </w:rPr>
        <w:t>竞争性比选文件</w:t>
      </w:r>
      <w:r>
        <w:rPr>
          <w:rFonts w:hint="eastAsia" w:ascii="宋体" w:hAnsi="宋体" w:eastAsia="宋体" w:cs="宋体"/>
          <w:sz w:val="24"/>
          <w:szCs w:val="24"/>
        </w:rPr>
        <w:t>公告期限</w:t>
      </w:r>
      <w:r>
        <w:rPr>
          <w:rFonts w:hint="eastAsia" w:ascii="宋体" w:hAnsi="宋体" w:cs="宋体"/>
          <w:sz w:val="24"/>
          <w:szCs w:val="24"/>
          <w:lang w:eastAsia="zh-CN"/>
        </w:rPr>
        <w:t>：</w:t>
      </w:r>
      <w:r>
        <w:rPr>
          <w:rFonts w:hint="eastAsia" w:ascii="宋体" w:hAnsi="宋体" w:eastAsia="宋体" w:cs="宋体"/>
          <w:sz w:val="24"/>
          <w:szCs w:val="24"/>
        </w:rPr>
        <w:t>自</w:t>
      </w:r>
      <w:r>
        <w:rPr>
          <w:rFonts w:hint="eastAsia" w:ascii="宋体" w:hAnsi="宋体" w:eastAsia="宋体" w:cs="宋体"/>
          <w:sz w:val="24"/>
          <w:szCs w:val="24"/>
          <w:lang w:eastAsia="zh-CN"/>
        </w:rPr>
        <w:t>比选公告</w:t>
      </w:r>
      <w:r>
        <w:rPr>
          <w:rFonts w:hint="eastAsia" w:ascii="宋体" w:hAnsi="宋体" w:eastAsia="宋体" w:cs="宋体"/>
          <w:sz w:val="24"/>
          <w:szCs w:val="24"/>
        </w:rPr>
        <w:t>发布之日起</w:t>
      </w:r>
      <w:r>
        <w:rPr>
          <w:rFonts w:hint="eastAsia" w:ascii="宋体" w:hAnsi="宋体" w:cs="宋体"/>
          <w:sz w:val="24"/>
          <w:szCs w:val="24"/>
          <w:lang w:val="en-US" w:eastAsia="zh-CN"/>
        </w:rPr>
        <w:t>三</w:t>
      </w:r>
      <w:r>
        <w:rPr>
          <w:rFonts w:hint="eastAsia" w:ascii="宋体" w:hAnsi="宋体" w:eastAsia="宋体" w:cs="宋体"/>
          <w:sz w:val="24"/>
          <w:szCs w:val="24"/>
        </w:rPr>
        <w:t>个工作日</w:t>
      </w:r>
      <w:r>
        <w:rPr>
          <w:rFonts w:hint="eastAsia" w:ascii="宋体" w:hAnsi="宋体" w:eastAsia="宋体" w:cs="宋体"/>
          <w:sz w:val="24"/>
          <w:szCs w:val="24"/>
          <w:lang w:eastAsia="zh-CN"/>
        </w:rPr>
        <w:t>。</w:t>
      </w:r>
    </w:p>
    <w:p w14:paraId="48BDAB0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四</w:t>
      </w:r>
      <w:r>
        <w:rPr>
          <w:rFonts w:hint="eastAsia" w:ascii="宋体" w:hAnsi="宋体" w:eastAsia="宋体" w:cs="宋体"/>
          <w:sz w:val="24"/>
          <w:szCs w:val="24"/>
        </w:rPr>
        <w:t>)报名及</w:t>
      </w:r>
      <w:r>
        <w:rPr>
          <w:rFonts w:hint="eastAsia" w:ascii="宋体" w:hAnsi="宋体" w:cs="宋体"/>
          <w:sz w:val="24"/>
          <w:szCs w:val="24"/>
          <w:lang w:eastAsia="zh-CN"/>
        </w:rPr>
        <w:t>竞争性比选文件</w:t>
      </w:r>
      <w:r>
        <w:rPr>
          <w:rFonts w:hint="eastAsia" w:ascii="宋体" w:hAnsi="宋体" w:eastAsia="宋体" w:cs="宋体"/>
          <w:sz w:val="24"/>
          <w:szCs w:val="24"/>
        </w:rPr>
        <w:t>发售</w:t>
      </w:r>
    </w:p>
    <w:p w14:paraId="56E620B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eastAsia="zh-CN"/>
        </w:rPr>
        <w:t>.</w:t>
      </w:r>
      <w:r>
        <w:rPr>
          <w:rFonts w:hint="eastAsia" w:ascii="宋体" w:hAnsi="宋体" w:eastAsia="宋体" w:cs="宋体"/>
          <w:sz w:val="24"/>
          <w:szCs w:val="24"/>
        </w:rPr>
        <w:t>报名和</w:t>
      </w:r>
      <w:r>
        <w:rPr>
          <w:rFonts w:hint="eastAsia" w:ascii="宋体" w:hAnsi="宋体" w:cs="宋体"/>
          <w:sz w:val="24"/>
          <w:szCs w:val="24"/>
          <w:lang w:eastAsia="zh-CN"/>
        </w:rPr>
        <w:t>竞争性比选文件</w:t>
      </w:r>
      <w:r>
        <w:rPr>
          <w:rFonts w:hint="eastAsia" w:ascii="宋体" w:hAnsi="宋体" w:eastAsia="宋体" w:cs="宋体"/>
          <w:sz w:val="24"/>
          <w:szCs w:val="24"/>
        </w:rPr>
        <w:t>发售期</w:t>
      </w:r>
      <w:r>
        <w:rPr>
          <w:rFonts w:hint="eastAsia" w:ascii="宋体" w:hAnsi="宋体" w:cs="宋体"/>
          <w:sz w:val="24"/>
          <w:szCs w:val="24"/>
          <w:lang w:eastAsia="zh-CN"/>
        </w:rPr>
        <w:t>：</w:t>
      </w:r>
      <w:r>
        <w:rPr>
          <w:rFonts w:hint="eastAsia" w:ascii="宋体" w:hAnsi="宋体" w:eastAsia="宋体" w:cs="宋体"/>
          <w:sz w:val="24"/>
          <w:szCs w:val="24"/>
          <w:highlight w:val="none"/>
          <w:lang w:val="en-US" w:eastAsia="zh-CN"/>
        </w:rPr>
        <w:t>202</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28</w:t>
      </w:r>
      <w:r>
        <w:rPr>
          <w:rFonts w:hint="eastAsia" w:ascii="宋体" w:hAnsi="宋体" w:eastAsia="宋体" w:cs="宋体"/>
          <w:sz w:val="24"/>
          <w:szCs w:val="24"/>
          <w:highlight w:val="none"/>
        </w:rPr>
        <w:t>日至</w:t>
      </w:r>
      <w:r>
        <w:rPr>
          <w:rFonts w:hint="eastAsia" w:ascii="宋体" w:hAnsi="宋体" w:eastAsia="宋体" w:cs="宋体"/>
          <w:sz w:val="24"/>
          <w:szCs w:val="24"/>
          <w:highlight w:val="none"/>
          <w:lang w:val="en-US" w:eastAsia="zh-CN"/>
        </w:rPr>
        <w:t>202</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rPr>
        <w:t>日。</w:t>
      </w:r>
    </w:p>
    <w:p w14:paraId="3543246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eastAsia="zh-CN"/>
        </w:rPr>
        <w:t>竞争性比选文件</w:t>
      </w:r>
      <w:r>
        <w:rPr>
          <w:rFonts w:hint="eastAsia" w:ascii="宋体" w:hAnsi="宋体" w:eastAsia="宋体" w:cs="宋体"/>
          <w:sz w:val="24"/>
          <w:szCs w:val="24"/>
        </w:rPr>
        <w:t>售价</w:t>
      </w:r>
      <w:r>
        <w:rPr>
          <w:rFonts w:hint="eastAsia" w:ascii="宋体" w:hAnsi="宋体" w:cs="宋体"/>
          <w:sz w:val="24"/>
          <w:szCs w:val="24"/>
          <w:lang w:eastAsia="zh-CN"/>
        </w:rPr>
        <w:t>：</w:t>
      </w:r>
      <w:r>
        <w:rPr>
          <w:rFonts w:hint="eastAsia" w:ascii="宋体" w:hAnsi="宋体" w:eastAsia="宋体" w:cs="宋体"/>
          <w:sz w:val="24"/>
          <w:szCs w:val="24"/>
        </w:rPr>
        <w:t>人民币</w:t>
      </w:r>
      <w:r>
        <w:rPr>
          <w:rFonts w:hint="eastAsia" w:ascii="宋体" w:hAnsi="宋体" w:cs="宋体"/>
          <w:sz w:val="24"/>
          <w:szCs w:val="24"/>
          <w:lang w:val="en-US" w:eastAsia="zh-CN"/>
        </w:rPr>
        <w:t>400.00</w:t>
      </w:r>
      <w:r>
        <w:rPr>
          <w:rFonts w:hint="eastAsia" w:ascii="宋体" w:hAnsi="宋体" w:eastAsia="宋体" w:cs="宋体"/>
          <w:sz w:val="24"/>
          <w:szCs w:val="24"/>
        </w:rPr>
        <w:t>元/份 (售后不退)</w:t>
      </w:r>
    </w:p>
    <w:p w14:paraId="10FD0CC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2.1 </w:t>
      </w:r>
      <w:r>
        <w:rPr>
          <w:rFonts w:hint="eastAsia" w:ascii="宋体" w:hAnsi="宋体" w:cs="宋体"/>
          <w:color w:val="auto"/>
          <w:sz w:val="24"/>
          <w:szCs w:val="24"/>
          <w:lang w:eastAsia="zh-CN"/>
        </w:rPr>
        <w:t>竞争性比选文件</w:t>
      </w:r>
      <w:r>
        <w:rPr>
          <w:rFonts w:hint="eastAsia" w:ascii="宋体" w:hAnsi="宋体" w:eastAsia="宋体" w:cs="宋体"/>
          <w:color w:val="auto"/>
          <w:sz w:val="24"/>
          <w:szCs w:val="24"/>
        </w:rPr>
        <w:t>购买方式</w:t>
      </w:r>
    </w:p>
    <w:p w14:paraId="4F89416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在</w:t>
      </w:r>
      <w:r>
        <w:rPr>
          <w:rFonts w:hint="eastAsia" w:ascii="宋体" w:hAnsi="宋体" w:cs="宋体"/>
          <w:color w:val="auto"/>
          <w:sz w:val="24"/>
          <w:szCs w:val="24"/>
          <w:highlight w:val="none"/>
          <w:lang w:val="en-US" w:eastAsia="zh-CN"/>
        </w:rPr>
        <w:t>竞争性比选文件</w:t>
      </w:r>
      <w:r>
        <w:rPr>
          <w:rFonts w:hint="eastAsia" w:ascii="宋体" w:hAnsi="宋体" w:eastAsia="宋体" w:cs="宋体"/>
          <w:color w:val="auto"/>
          <w:sz w:val="24"/>
          <w:szCs w:val="24"/>
          <w:highlight w:val="none"/>
        </w:rPr>
        <w:t>发售期内，请</w:t>
      </w:r>
      <w:r>
        <w:rPr>
          <w:rFonts w:hint="eastAsia" w:ascii="宋体" w:hAnsi="宋体" w:cs="宋体"/>
          <w:color w:val="auto"/>
          <w:sz w:val="24"/>
          <w:szCs w:val="24"/>
          <w:highlight w:val="none"/>
          <w:lang w:eastAsia="zh-CN"/>
        </w:rPr>
        <w:t>竞选人</w:t>
      </w:r>
      <w:r>
        <w:rPr>
          <w:rFonts w:hint="eastAsia" w:ascii="宋体" w:hAnsi="宋体" w:eastAsia="宋体" w:cs="宋体"/>
          <w:color w:val="auto"/>
          <w:sz w:val="24"/>
          <w:szCs w:val="24"/>
          <w:highlight w:val="none"/>
        </w:rPr>
        <w:t>递交《文件发售登记表》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缴费凭证</w:t>
      </w:r>
      <w:r>
        <w:rPr>
          <w:rFonts w:hint="eastAsia" w:ascii="宋体" w:hAnsi="宋体" w:cs="宋体"/>
          <w:color w:val="auto"/>
          <w:sz w:val="24"/>
          <w:szCs w:val="24"/>
          <w:highlight w:val="none"/>
          <w:lang w:val="en-US" w:eastAsia="zh-CN"/>
        </w:rPr>
        <w:t>及相关附件加盖单位公章</w:t>
      </w:r>
      <w:r>
        <w:rPr>
          <w:rFonts w:hint="eastAsia" w:ascii="宋体" w:hAnsi="宋体" w:eastAsia="宋体" w:cs="宋体"/>
          <w:color w:val="auto"/>
          <w:sz w:val="24"/>
          <w:szCs w:val="24"/>
          <w:highlight w:val="none"/>
        </w:rPr>
        <w:t>扫描后发送至</w:t>
      </w:r>
      <w:r>
        <w:rPr>
          <w:rFonts w:hint="eastAsia" w:ascii="宋体" w:hAnsi="宋体" w:cs="宋体"/>
          <w:color w:val="auto"/>
          <w:sz w:val="24"/>
          <w:szCs w:val="24"/>
          <w:highlight w:val="none"/>
          <w:lang w:val="en-US" w:eastAsia="zh-CN"/>
        </w:rPr>
        <w:t>1121820703</w:t>
      </w:r>
      <w:r>
        <w:rPr>
          <w:rFonts w:hint="eastAsia" w:ascii="宋体" w:hAnsi="宋体" w:eastAsia="宋体" w:cs="宋体"/>
          <w:color w:val="auto"/>
          <w:sz w:val="24"/>
          <w:szCs w:val="24"/>
          <w:highlight w:val="none"/>
        </w:rPr>
        <w:t>@qq.com（邮箱）进行</w:t>
      </w:r>
      <w:r>
        <w:rPr>
          <w:rFonts w:hint="eastAsia" w:ascii="宋体" w:hAnsi="宋体" w:cs="宋体"/>
          <w:color w:val="auto"/>
          <w:sz w:val="24"/>
          <w:szCs w:val="24"/>
          <w:highlight w:val="none"/>
          <w:lang w:val="en-US" w:eastAsia="zh-CN"/>
        </w:rPr>
        <w:t>报名并购买</w:t>
      </w:r>
      <w:r>
        <w:rPr>
          <w:rFonts w:hint="eastAsia" w:ascii="宋体" w:hAnsi="宋体" w:eastAsia="宋体" w:cs="宋体"/>
          <w:color w:val="auto"/>
          <w:sz w:val="24"/>
          <w:szCs w:val="24"/>
          <w:highlight w:val="none"/>
        </w:rPr>
        <w:t>竞争性比选文件。（</w:t>
      </w:r>
      <w:r>
        <w:rPr>
          <w:rFonts w:hint="eastAsia" w:ascii="宋体" w:hAnsi="宋体" w:eastAsia="宋体" w:cs="宋体"/>
          <w:color w:val="auto"/>
          <w:sz w:val="24"/>
          <w:szCs w:val="24"/>
          <w:highlight w:val="none"/>
          <w:lang w:val="en-US" w:eastAsia="zh-CN"/>
        </w:rPr>
        <w:t>获取</w:t>
      </w:r>
      <w:r>
        <w:rPr>
          <w:rFonts w:hint="eastAsia" w:ascii="宋体" w:hAnsi="宋体" w:eastAsia="宋体" w:cs="宋体"/>
          <w:color w:val="auto"/>
          <w:sz w:val="24"/>
          <w:szCs w:val="24"/>
          <w:highlight w:val="none"/>
        </w:rPr>
        <w:t>截止时间按邮箱显示邮件达到时间为准）</w:t>
      </w:r>
      <w:r>
        <w:rPr>
          <w:rFonts w:hint="eastAsia" w:ascii="宋体" w:hAnsi="宋体" w:eastAsia="宋体" w:cs="宋体"/>
          <w:sz w:val="24"/>
          <w:szCs w:val="24"/>
        </w:rPr>
        <w:t>在报名和</w:t>
      </w:r>
      <w:r>
        <w:rPr>
          <w:rFonts w:hint="eastAsia" w:ascii="宋体" w:hAnsi="宋体" w:cs="宋体"/>
          <w:sz w:val="24"/>
          <w:szCs w:val="24"/>
          <w:lang w:eastAsia="zh-CN"/>
        </w:rPr>
        <w:t>竞争性比选文件</w:t>
      </w:r>
      <w:r>
        <w:rPr>
          <w:rFonts w:hint="eastAsia" w:ascii="宋体" w:hAnsi="宋体" w:eastAsia="宋体" w:cs="宋体"/>
          <w:sz w:val="24"/>
          <w:szCs w:val="24"/>
        </w:rPr>
        <w:t>发售期内购买了</w:t>
      </w:r>
      <w:r>
        <w:rPr>
          <w:rFonts w:hint="eastAsia" w:ascii="宋体"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竞选人</w:t>
      </w:r>
      <w:r>
        <w:rPr>
          <w:rFonts w:hint="eastAsia" w:ascii="宋体" w:hAnsi="宋体" w:eastAsia="宋体" w:cs="宋体"/>
          <w:color w:val="auto"/>
          <w:sz w:val="24"/>
          <w:szCs w:val="24"/>
          <w:highlight w:val="none"/>
        </w:rPr>
        <w:t>，其</w:t>
      </w:r>
      <w:r>
        <w:rPr>
          <w:rFonts w:hint="eastAsia" w:ascii="宋体" w:hAnsi="宋体" w:cs="宋体"/>
          <w:color w:val="auto"/>
          <w:sz w:val="24"/>
          <w:szCs w:val="24"/>
          <w:highlight w:val="none"/>
          <w:lang w:eastAsia="zh-CN"/>
        </w:rPr>
        <w:t>比选申请文件</w:t>
      </w:r>
      <w:r>
        <w:rPr>
          <w:rFonts w:hint="eastAsia" w:ascii="宋体" w:hAnsi="宋体" w:eastAsia="宋体" w:cs="宋体"/>
          <w:color w:val="auto"/>
          <w:sz w:val="24"/>
          <w:szCs w:val="24"/>
          <w:highlight w:val="none"/>
        </w:rPr>
        <w:t>才被接收。</w:t>
      </w:r>
    </w:p>
    <w:p w14:paraId="657060B0">
      <w:pPr>
        <w:numPr>
          <w:ilvl w:val="0"/>
          <w:numId w:val="13"/>
        </w:numPr>
        <w:adjustRightInd w:val="0"/>
        <w:snapToGrid w:val="0"/>
        <w:spacing w:line="360" w:lineRule="auto"/>
        <w:ind w:firstLine="480" w:firstLineChars="200"/>
        <w:jc w:val="both"/>
        <w:rPr>
          <w:rFonts w:hint="eastAsia" w:ascii="宋体" w:hAnsi="宋体" w:cs="宋体"/>
          <w:sz w:val="24"/>
          <w:szCs w:val="24"/>
          <w:highlight w:val="none"/>
          <w:lang w:eastAsia="zh-CN"/>
        </w:rPr>
      </w:pPr>
      <w:r>
        <w:rPr>
          <w:rFonts w:hint="eastAsia" w:ascii="宋体" w:hAnsi="宋体" w:eastAsia="宋体" w:cs="宋体"/>
          <w:color w:val="auto"/>
          <w:sz w:val="24"/>
          <w:szCs w:val="24"/>
          <w:highlight w:val="none"/>
        </w:rPr>
        <w:t>递交</w:t>
      </w:r>
      <w:r>
        <w:rPr>
          <w:rFonts w:hint="eastAsia" w:ascii="宋体" w:hAnsi="宋体" w:cs="宋体"/>
          <w:color w:val="auto"/>
          <w:sz w:val="24"/>
          <w:szCs w:val="24"/>
          <w:highlight w:val="none"/>
          <w:lang w:val="en-US" w:eastAsia="zh-CN"/>
        </w:rPr>
        <w:t>比选申请文件</w:t>
      </w:r>
      <w:r>
        <w:rPr>
          <w:rFonts w:hint="eastAsia" w:ascii="宋体" w:hAnsi="宋体" w:eastAsia="宋体" w:cs="宋体"/>
          <w:color w:val="auto"/>
          <w:sz w:val="24"/>
          <w:szCs w:val="24"/>
          <w:highlight w:val="none"/>
        </w:rPr>
        <w:t>地址：重庆市沙坪坝区人民政府虎溪街道办事处</w:t>
      </w:r>
      <w:r>
        <w:rPr>
          <w:rFonts w:hint="eastAsia" w:ascii="宋体" w:hAnsi="宋体" w:cs="宋体"/>
          <w:color w:val="auto"/>
          <w:sz w:val="24"/>
          <w:szCs w:val="24"/>
          <w:highlight w:val="none"/>
          <w:lang w:val="en-US" w:eastAsia="zh-CN"/>
        </w:rPr>
        <w:t>2单元209会议室</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重庆市沙坪坝区</w:t>
      </w:r>
      <w:r>
        <w:rPr>
          <w:rFonts w:hint="eastAsia" w:ascii="宋体" w:hAnsi="宋体" w:cs="宋体"/>
          <w:color w:val="auto"/>
          <w:sz w:val="24"/>
          <w:szCs w:val="24"/>
          <w:highlight w:val="none"/>
          <w:lang w:val="en-US" w:eastAsia="zh-CN"/>
        </w:rPr>
        <w:t>大学城北路68号</w:t>
      </w:r>
      <w:r>
        <w:rPr>
          <w:rFonts w:hint="eastAsia" w:ascii="宋体" w:hAnsi="宋体" w:cs="宋体"/>
          <w:sz w:val="24"/>
          <w:szCs w:val="24"/>
          <w:highlight w:val="none"/>
          <w:lang w:eastAsia="zh-CN"/>
        </w:rPr>
        <w:t>）。</w:t>
      </w:r>
    </w:p>
    <w:p w14:paraId="4BC2E5CA">
      <w:pPr>
        <w:numPr>
          <w:ilvl w:val="0"/>
          <w:numId w:val="13"/>
        </w:numPr>
        <w:adjustRightInd w:val="0"/>
        <w:snapToGrid w:val="0"/>
        <w:spacing w:line="360" w:lineRule="auto"/>
        <w:ind w:firstLine="480" w:firstLineChars="200"/>
        <w:jc w:val="both"/>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递交比选申请文件开始时间：2025年10月31日 09时30分</w:t>
      </w:r>
      <w:r>
        <w:rPr>
          <w:rFonts w:hint="eastAsia" w:ascii="宋体" w:hAnsi="宋体" w:eastAsia="宋体" w:cs="宋体"/>
          <w:sz w:val="24"/>
          <w:szCs w:val="24"/>
        </w:rPr>
        <w:t>(北京时间)</w:t>
      </w:r>
      <w:r>
        <w:rPr>
          <w:rFonts w:hint="eastAsia" w:ascii="宋体" w:hAnsi="宋体" w:cs="宋体"/>
          <w:sz w:val="24"/>
          <w:szCs w:val="24"/>
          <w:highlight w:val="none"/>
          <w:lang w:val="en-US" w:eastAsia="zh-CN"/>
        </w:rPr>
        <w:t xml:space="preserve"> 。  </w:t>
      </w:r>
    </w:p>
    <w:p w14:paraId="3823D7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七</w:t>
      </w:r>
      <w:r>
        <w:rPr>
          <w:rFonts w:hint="eastAsia" w:ascii="宋体" w:hAnsi="宋体" w:eastAsia="宋体" w:cs="宋体"/>
          <w:sz w:val="24"/>
          <w:szCs w:val="24"/>
          <w:lang w:eastAsia="zh-CN"/>
        </w:rPr>
        <w:t>）</w:t>
      </w:r>
      <w:r>
        <w:rPr>
          <w:rFonts w:hint="eastAsia" w:ascii="宋体" w:hAnsi="宋体" w:eastAsia="宋体" w:cs="宋体"/>
          <w:color w:val="auto"/>
          <w:sz w:val="24"/>
          <w:szCs w:val="24"/>
          <w:highlight w:val="none"/>
        </w:rPr>
        <w:t>递交</w:t>
      </w:r>
      <w:r>
        <w:rPr>
          <w:rFonts w:hint="eastAsia" w:ascii="宋体" w:hAnsi="宋体" w:cs="宋体"/>
          <w:color w:val="auto"/>
          <w:sz w:val="24"/>
          <w:szCs w:val="24"/>
          <w:highlight w:val="none"/>
          <w:lang w:val="en-US" w:eastAsia="zh-CN"/>
        </w:rPr>
        <w:t>比选申请文件</w:t>
      </w:r>
      <w:r>
        <w:rPr>
          <w:rFonts w:hint="eastAsia" w:ascii="宋体" w:hAnsi="宋体" w:eastAsia="宋体" w:cs="宋体"/>
          <w:sz w:val="24"/>
          <w:szCs w:val="24"/>
        </w:rPr>
        <w:t>截止时间</w:t>
      </w:r>
      <w:r>
        <w:rPr>
          <w:rFonts w:hint="eastAsia" w:ascii="宋体" w:hAnsi="宋体" w:cs="宋体"/>
          <w:sz w:val="24"/>
          <w:szCs w:val="24"/>
          <w:lang w:eastAsia="zh-CN"/>
        </w:rPr>
        <w:t>：</w:t>
      </w:r>
      <w:r>
        <w:rPr>
          <w:rFonts w:hint="eastAsia" w:ascii="宋体" w:hAnsi="宋体" w:eastAsia="宋体" w:cs="宋体"/>
          <w:sz w:val="24"/>
          <w:szCs w:val="24"/>
        </w:rPr>
        <w:t>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w:t>
      </w:r>
      <w:r>
        <w:rPr>
          <w:rFonts w:hint="eastAsia" w:ascii="宋体" w:hAnsi="宋体" w:cs="宋体"/>
          <w:sz w:val="24"/>
          <w:szCs w:val="24"/>
          <w:lang w:val="en-US" w:eastAsia="zh-CN"/>
        </w:rPr>
        <w:t>10</w:t>
      </w:r>
      <w:r>
        <w:rPr>
          <w:rFonts w:hint="eastAsia" w:ascii="宋体" w:hAnsi="宋体" w:eastAsia="宋体" w:cs="宋体"/>
          <w:sz w:val="24"/>
          <w:szCs w:val="24"/>
        </w:rPr>
        <w:t>时</w:t>
      </w:r>
      <w:r>
        <w:rPr>
          <w:rFonts w:hint="eastAsia" w:ascii="宋体" w:hAnsi="宋体" w:cs="宋体"/>
          <w:sz w:val="24"/>
          <w:szCs w:val="24"/>
          <w:lang w:val="en-US" w:eastAsia="zh-CN"/>
        </w:rPr>
        <w:t>0</w:t>
      </w:r>
      <w:r>
        <w:rPr>
          <w:rFonts w:hint="eastAsia" w:ascii="宋体" w:hAnsi="宋体" w:eastAsia="宋体" w:cs="宋体"/>
          <w:sz w:val="24"/>
          <w:szCs w:val="24"/>
        </w:rPr>
        <w:t>0分(北京时间)</w:t>
      </w:r>
      <w:r>
        <w:rPr>
          <w:rFonts w:hint="eastAsia" w:ascii="宋体" w:hAnsi="宋体" w:cs="宋体"/>
          <w:sz w:val="24"/>
          <w:szCs w:val="24"/>
          <w:lang w:eastAsia="zh-CN"/>
        </w:rPr>
        <w:t>。</w:t>
      </w:r>
    </w:p>
    <w:p w14:paraId="208247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八</w:t>
      </w:r>
      <w:r>
        <w:rPr>
          <w:rFonts w:hint="eastAsia" w:ascii="宋体" w:hAnsi="宋体" w:eastAsia="宋体" w:cs="宋体"/>
          <w:sz w:val="24"/>
          <w:szCs w:val="24"/>
          <w:lang w:eastAsia="zh-CN"/>
        </w:rPr>
        <w:t>）</w:t>
      </w:r>
      <w:r>
        <w:rPr>
          <w:rFonts w:hint="eastAsia" w:ascii="宋体" w:hAnsi="宋体" w:eastAsia="宋体" w:cs="宋体"/>
          <w:sz w:val="24"/>
          <w:szCs w:val="24"/>
        </w:rPr>
        <w:t>开标时间</w:t>
      </w:r>
      <w:r>
        <w:rPr>
          <w:rFonts w:hint="eastAsia" w:ascii="宋体" w:hAnsi="宋体" w:cs="宋体"/>
          <w:sz w:val="24"/>
          <w:szCs w:val="24"/>
          <w:lang w:eastAsia="zh-CN"/>
        </w:rPr>
        <w:t>：</w:t>
      </w:r>
      <w:r>
        <w:rPr>
          <w:rFonts w:hint="eastAsia" w:ascii="宋体" w:hAnsi="宋体" w:eastAsia="宋体" w:cs="宋体"/>
          <w:sz w:val="24"/>
          <w:szCs w:val="24"/>
        </w:rPr>
        <w:t>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w:t>
      </w:r>
      <w:r>
        <w:rPr>
          <w:rFonts w:hint="eastAsia" w:ascii="宋体" w:hAnsi="宋体" w:cs="宋体"/>
          <w:sz w:val="24"/>
          <w:szCs w:val="24"/>
          <w:lang w:val="en-US" w:eastAsia="zh-CN"/>
        </w:rPr>
        <w:t>10</w:t>
      </w:r>
      <w:r>
        <w:rPr>
          <w:rFonts w:hint="eastAsia" w:ascii="宋体" w:hAnsi="宋体" w:eastAsia="宋体" w:cs="宋体"/>
          <w:sz w:val="24"/>
          <w:szCs w:val="24"/>
        </w:rPr>
        <w:t>时</w:t>
      </w:r>
      <w:r>
        <w:rPr>
          <w:rFonts w:hint="eastAsia" w:ascii="宋体" w:hAnsi="宋体" w:cs="宋体"/>
          <w:sz w:val="24"/>
          <w:szCs w:val="24"/>
          <w:lang w:val="en-US" w:eastAsia="zh-CN"/>
        </w:rPr>
        <w:t>0</w:t>
      </w:r>
      <w:r>
        <w:rPr>
          <w:rFonts w:hint="eastAsia" w:ascii="宋体" w:hAnsi="宋体" w:eastAsia="宋体" w:cs="宋体"/>
          <w:sz w:val="24"/>
          <w:szCs w:val="24"/>
        </w:rPr>
        <w:t>0分(北京时间)</w:t>
      </w:r>
      <w:r>
        <w:rPr>
          <w:rFonts w:hint="eastAsia" w:ascii="宋体" w:hAnsi="宋体" w:cs="宋体"/>
          <w:sz w:val="24"/>
          <w:szCs w:val="24"/>
          <w:lang w:eastAsia="zh-CN"/>
        </w:rPr>
        <w:t>。</w:t>
      </w:r>
    </w:p>
    <w:p w14:paraId="0BED27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九</w:t>
      </w:r>
      <w:r>
        <w:rPr>
          <w:rFonts w:hint="eastAsia" w:ascii="宋体" w:hAnsi="宋体" w:eastAsia="宋体" w:cs="宋体"/>
          <w:sz w:val="24"/>
          <w:szCs w:val="24"/>
          <w:lang w:eastAsia="zh-CN"/>
        </w:rPr>
        <w:t>）</w:t>
      </w:r>
      <w:r>
        <w:rPr>
          <w:rFonts w:hint="eastAsia" w:ascii="宋体" w:hAnsi="宋体" w:eastAsia="宋体" w:cs="宋体"/>
          <w:sz w:val="24"/>
          <w:szCs w:val="24"/>
        </w:rPr>
        <w:t>开标地点</w:t>
      </w:r>
      <w:r>
        <w:rPr>
          <w:rFonts w:hint="eastAsia" w:ascii="宋体" w:hAnsi="宋体" w:cs="宋体"/>
          <w:sz w:val="24"/>
          <w:szCs w:val="24"/>
          <w:lang w:eastAsia="zh-CN"/>
        </w:rPr>
        <w:t>：</w:t>
      </w:r>
      <w:r>
        <w:rPr>
          <w:rFonts w:hint="eastAsia" w:ascii="宋体" w:hAnsi="宋体" w:cs="宋体"/>
          <w:sz w:val="24"/>
          <w:szCs w:val="24"/>
          <w:lang w:val="en-US" w:eastAsia="zh-CN"/>
        </w:rPr>
        <w:t>同</w:t>
      </w:r>
      <w:r>
        <w:rPr>
          <w:rFonts w:hint="eastAsia" w:ascii="宋体" w:hAnsi="宋体" w:eastAsia="宋体" w:cs="宋体"/>
          <w:sz w:val="24"/>
          <w:szCs w:val="24"/>
        </w:rPr>
        <w:t>递交</w:t>
      </w:r>
      <w:r>
        <w:rPr>
          <w:rFonts w:hint="eastAsia" w:ascii="宋体" w:hAnsi="宋体" w:eastAsia="宋体" w:cs="宋体"/>
          <w:sz w:val="24"/>
          <w:szCs w:val="24"/>
          <w:lang w:val="en-US" w:eastAsia="zh-CN"/>
        </w:rPr>
        <w:t>竞选</w:t>
      </w:r>
      <w:r>
        <w:rPr>
          <w:rFonts w:hint="eastAsia" w:ascii="宋体" w:hAnsi="宋体" w:eastAsia="宋体" w:cs="宋体"/>
          <w:sz w:val="24"/>
          <w:szCs w:val="24"/>
        </w:rPr>
        <w:t>文件地址</w:t>
      </w:r>
      <w:r>
        <w:rPr>
          <w:rFonts w:hint="eastAsia" w:ascii="宋体" w:hAnsi="宋体" w:cs="宋体"/>
          <w:sz w:val="24"/>
          <w:szCs w:val="24"/>
          <w:lang w:eastAsia="zh-CN"/>
        </w:rPr>
        <w:t>。</w:t>
      </w:r>
    </w:p>
    <w:p w14:paraId="2748F56A">
      <w:pPr>
        <w:keepNext w:val="0"/>
        <w:keepLines w:val="0"/>
        <w:pageBreakBefore w:val="0"/>
        <w:kinsoku w:val="0"/>
        <w:wordWrap/>
        <w:overflowPunct w:val="0"/>
        <w:topLinePunct w:val="0"/>
        <w:autoSpaceDE w:val="0"/>
        <w:autoSpaceDN w:val="0"/>
        <w:bidi w:val="0"/>
        <w:adjustRightInd w:val="0"/>
        <w:snapToGrid w:val="0"/>
        <w:spacing w:before="0" w:beforeLines="0" w:after="0" w:afterLines="0" w:line="360" w:lineRule="auto"/>
        <w:ind w:left="0" w:leftChars="0" w:right="0" w:rightChars="0" w:firstLine="241" w:firstLineChars="1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五、竞标保证金</w:t>
      </w:r>
      <w:bookmarkEnd w:id="29"/>
      <w:bookmarkEnd w:id="30"/>
      <w:bookmarkEnd w:id="31"/>
      <w:bookmarkEnd w:id="32"/>
      <w:bookmarkEnd w:id="33"/>
      <w:bookmarkEnd w:id="34"/>
      <w:bookmarkEnd w:id="35"/>
    </w:p>
    <w:p w14:paraId="27EB828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保证金递交</w:t>
      </w:r>
    </w:p>
    <w:p w14:paraId="159BD1D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w:t>
      </w:r>
      <w:r>
        <w:rPr>
          <w:rFonts w:hint="eastAsia" w:ascii="宋体" w:hAnsi="宋体" w:cs="宋体"/>
          <w:sz w:val="24"/>
          <w:szCs w:val="24"/>
          <w:highlight w:val="none"/>
          <w:lang w:eastAsia="zh-CN"/>
        </w:rPr>
        <w:t>.</w:t>
      </w:r>
      <w:r>
        <w:rPr>
          <w:rFonts w:hint="eastAsia" w:ascii="宋体" w:hAnsi="宋体" w:eastAsia="宋体" w:cs="宋体"/>
          <w:sz w:val="24"/>
          <w:szCs w:val="24"/>
          <w:highlight w:val="none"/>
          <w:lang w:val="en-US" w:eastAsia="zh-CN"/>
        </w:rPr>
        <w:t>竞标保证金金额：竞</w:t>
      </w:r>
      <w:r>
        <w:rPr>
          <w:rFonts w:hint="eastAsia" w:ascii="宋体" w:hAnsi="宋体" w:cs="宋体"/>
          <w:sz w:val="24"/>
          <w:szCs w:val="24"/>
          <w:highlight w:val="none"/>
          <w:lang w:val="en-US" w:eastAsia="zh-CN"/>
        </w:rPr>
        <w:t>选</w:t>
      </w:r>
      <w:r>
        <w:rPr>
          <w:rFonts w:hint="eastAsia" w:ascii="宋体" w:hAnsi="宋体" w:eastAsia="宋体" w:cs="宋体"/>
          <w:sz w:val="24"/>
          <w:szCs w:val="24"/>
          <w:highlight w:val="none"/>
          <w:lang w:val="en-US" w:eastAsia="zh-CN"/>
        </w:rPr>
        <w:t>人</w:t>
      </w:r>
      <w:r>
        <w:rPr>
          <w:rFonts w:hint="eastAsia" w:ascii="宋体" w:hAnsi="宋体" w:eastAsia="宋体" w:cs="宋体"/>
          <w:sz w:val="24"/>
          <w:szCs w:val="24"/>
          <w:highlight w:val="none"/>
        </w:rPr>
        <w:t>应按</w:t>
      </w:r>
      <w:r>
        <w:rPr>
          <w:rFonts w:hint="eastAsia" w:ascii="宋体" w:hAnsi="宋体" w:cs="宋体"/>
          <w:sz w:val="24"/>
          <w:szCs w:val="24"/>
          <w:highlight w:val="none"/>
          <w:lang w:val="en-US" w:eastAsia="zh-CN"/>
        </w:rPr>
        <w:t>竞争性比选文件</w:t>
      </w:r>
      <w:r>
        <w:rPr>
          <w:rFonts w:hint="eastAsia" w:ascii="宋体" w:hAnsi="宋体" w:eastAsia="宋体" w:cs="宋体"/>
          <w:sz w:val="24"/>
          <w:szCs w:val="24"/>
          <w:highlight w:val="none"/>
        </w:rPr>
        <w:t>要求足额交纳</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w:t>
      </w:r>
      <w:r>
        <w:rPr>
          <w:rFonts w:hint="eastAsia" w:ascii="宋体" w:hAnsi="宋体" w:cs="宋体"/>
          <w:sz w:val="24"/>
          <w:szCs w:val="24"/>
          <w:highlight w:val="none"/>
          <w:lang w:eastAsia="zh-CN"/>
        </w:rPr>
        <w:t>；</w:t>
      </w:r>
    </w:p>
    <w:p w14:paraId="0515452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保证金的</w:t>
      </w:r>
      <w:r>
        <w:rPr>
          <w:rFonts w:hint="eastAsia" w:ascii="宋体" w:hAnsi="宋体" w:cs="宋体"/>
          <w:sz w:val="24"/>
          <w:szCs w:val="24"/>
          <w:highlight w:val="none"/>
          <w:lang w:eastAsia="zh-CN"/>
        </w:rPr>
        <w:t>缴纳</w:t>
      </w:r>
      <w:r>
        <w:rPr>
          <w:rFonts w:hint="eastAsia" w:ascii="宋体" w:hAnsi="宋体" w:eastAsia="宋体" w:cs="宋体"/>
          <w:sz w:val="24"/>
          <w:szCs w:val="24"/>
          <w:highlight w:val="none"/>
        </w:rPr>
        <w:t>方式：</w:t>
      </w:r>
      <w:r>
        <w:rPr>
          <w:rFonts w:hint="eastAsia" w:ascii="宋体" w:hAnsi="宋体" w:cs="宋体"/>
          <w:sz w:val="24"/>
          <w:szCs w:val="24"/>
          <w:highlight w:val="none"/>
          <w:lang w:val="en-US" w:eastAsia="zh-CN"/>
        </w:rPr>
        <w:t>本项目不缴纳</w:t>
      </w:r>
    </w:p>
    <w:p w14:paraId="208D5AC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银行转账</w:t>
      </w: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w:t>
      </w:r>
    </w:p>
    <w:p w14:paraId="120A844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保证金汇至以下指定账户：</w:t>
      </w:r>
    </w:p>
    <w:p w14:paraId="4902862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账  号：</w:t>
      </w:r>
      <w:r>
        <w:rPr>
          <w:rFonts w:hint="eastAsia" w:ascii="宋体" w:hAnsi="宋体" w:cs="宋体"/>
          <w:sz w:val="24"/>
          <w:szCs w:val="24"/>
          <w:highlight w:val="none"/>
          <w:lang w:val="en-US" w:eastAsia="zh-CN"/>
        </w:rPr>
        <w:t>/</w:t>
      </w:r>
    </w:p>
    <w:p w14:paraId="4EA6924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户  名：</w:t>
      </w:r>
      <w:r>
        <w:rPr>
          <w:rFonts w:hint="eastAsia" w:ascii="宋体" w:hAnsi="宋体" w:cs="宋体"/>
          <w:sz w:val="24"/>
          <w:szCs w:val="24"/>
          <w:highlight w:val="none"/>
          <w:lang w:val="en-US" w:eastAsia="zh-CN"/>
        </w:rPr>
        <w:t>/</w:t>
      </w:r>
    </w:p>
    <w:p w14:paraId="39D86AD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r>
        <w:rPr>
          <w:rFonts w:hint="eastAsia" w:ascii="宋体" w:hAnsi="宋体" w:cs="宋体"/>
          <w:sz w:val="24"/>
          <w:szCs w:val="24"/>
          <w:highlight w:val="none"/>
          <w:lang w:val="en-US" w:eastAsia="zh-CN"/>
        </w:rPr>
        <w:t>/</w:t>
      </w:r>
    </w:p>
    <w:p w14:paraId="5AFEE5E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.保证金</w:t>
      </w:r>
      <w:r>
        <w:rPr>
          <w:rFonts w:hint="eastAsia" w:ascii="宋体" w:hAnsi="宋体" w:eastAsia="宋体" w:cs="宋体"/>
          <w:sz w:val="24"/>
          <w:szCs w:val="24"/>
          <w:highlight w:val="none"/>
          <w:lang w:eastAsia="zh-CN"/>
        </w:rPr>
        <w:t>提交</w:t>
      </w:r>
      <w:r>
        <w:rPr>
          <w:rFonts w:hint="eastAsia" w:ascii="宋体" w:hAnsi="宋体" w:eastAsia="宋体" w:cs="宋体"/>
          <w:sz w:val="24"/>
          <w:szCs w:val="24"/>
          <w:highlight w:val="none"/>
        </w:rPr>
        <w:t>截止时间：</w:t>
      </w:r>
      <w:r>
        <w:rPr>
          <w:rFonts w:hint="eastAsia" w:ascii="宋体" w:hAnsi="宋体" w:cs="宋体"/>
          <w:color w:val="auto"/>
          <w:sz w:val="24"/>
          <w:szCs w:val="24"/>
          <w:highlight w:val="none"/>
          <w:lang w:val="en-US" w:eastAsia="zh-CN"/>
        </w:rPr>
        <w:t>递交比选申请文件截止时间前一日</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r>
        <w:rPr>
          <w:rFonts w:hint="eastAsia" w:ascii="宋体" w:hAnsi="宋体" w:eastAsia="宋体" w:cs="宋体"/>
          <w:sz w:val="24"/>
          <w:szCs w:val="24"/>
          <w:highlight w:val="none"/>
        </w:rPr>
        <w:t>；</w:t>
      </w:r>
    </w:p>
    <w:p w14:paraId="03853F6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.转款备注：</w:t>
      </w:r>
      <w:r>
        <w:rPr>
          <w:rFonts w:hint="eastAsia" w:ascii="宋体" w:hAnsi="宋体" w:cs="宋体"/>
          <w:color w:val="auto"/>
          <w:sz w:val="24"/>
          <w:szCs w:val="24"/>
          <w:highlight w:val="none"/>
          <w:u w:val="single"/>
          <w:lang w:val="en-US" w:eastAsia="zh-CN"/>
        </w:rPr>
        <w:t>项目名称</w:t>
      </w:r>
      <w:r>
        <w:rPr>
          <w:rFonts w:hint="eastAsia" w:ascii="宋体" w:hAnsi="宋体" w:eastAsia="宋体" w:cs="宋体"/>
          <w:color w:val="auto"/>
          <w:sz w:val="24"/>
          <w:szCs w:val="24"/>
          <w:highlight w:val="none"/>
        </w:rPr>
        <w:t>（可简写）</w:t>
      </w:r>
      <w:r>
        <w:rPr>
          <w:rFonts w:hint="eastAsia" w:ascii="宋体" w:hAnsi="宋体" w:cs="宋体"/>
          <w:sz w:val="24"/>
          <w:szCs w:val="24"/>
          <w:highlight w:val="none"/>
          <w:lang w:eastAsia="zh-CN"/>
        </w:rPr>
        <w:t>；</w:t>
      </w:r>
    </w:p>
    <w:p w14:paraId="55F8860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竞</w:t>
      </w:r>
      <w:r>
        <w:rPr>
          <w:rFonts w:hint="eastAsia" w:ascii="宋体" w:hAnsi="宋体" w:cs="宋体"/>
          <w:sz w:val="24"/>
          <w:szCs w:val="24"/>
          <w:highlight w:val="none"/>
          <w:lang w:val="en-US" w:eastAsia="zh-CN"/>
        </w:rPr>
        <w:t>选</w:t>
      </w:r>
      <w:r>
        <w:rPr>
          <w:rFonts w:hint="eastAsia" w:ascii="宋体" w:hAnsi="宋体" w:eastAsia="宋体" w:cs="宋体"/>
          <w:sz w:val="24"/>
          <w:szCs w:val="24"/>
          <w:highlight w:val="none"/>
          <w:lang w:val="en-US" w:eastAsia="zh-CN"/>
        </w:rPr>
        <w:t>人</w:t>
      </w:r>
      <w:r>
        <w:rPr>
          <w:rFonts w:hint="eastAsia" w:ascii="宋体" w:hAnsi="宋体" w:eastAsia="宋体" w:cs="宋体"/>
          <w:sz w:val="24"/>
          <w:szCs w:val="24"/>
          <w:highlight w:val="none"/>
        </w:rPr>
        <w:t>在银行转账（电汇）时，须充分考虑银行转账（电汇）的时间差风险，如同城转账、异地转账或汇款、跨行转账或汇款的时间要求；采用转账方式提交</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保证金的</w:t>
      </w:r>
      <w:r>
        <w:rPr>
          <w:rFonts w:hint="eastAsia" w:ascii="宋体" w:hAnsi="宋体" w:eastAsia="宋体" w:cs="宋体"/>
          <w:sz w:val="24"/>
          <w:szCs w:val="24"/>
          <w:highlight w:val="none"/>
          <w:lang w:val="en-US" w:eastAsia="zh-CN"/>
        </w:rPr>
        <w:t>竞标人</w:t>
      </w:r>
      <w:r>
        <w:rPr>
          <w:rFonts w:hint="eastAsia" w:ascii="宋体" w:hAnsi="宋体" w:eastAsia="宋体" w:cs="宋体"/>
          <w:sz w:val="24"/>
          <w:szCs w:val="24"/>
          <w:highlight w:val="none"/>
        </w:rPr>
        <w:t>应在转账凭证复印件上加盖公章装入</w:t>
      </w:r>
      <w:r>
        <w:rPr>
          <w:rFonts w:hint="eastAsia" w:ascii="宋体" w:hAnsi="宋体" w:cs="宋体"/>
          <w:sz w:val="24"/>
          <w:szCs w:val="24"/>
          <w:highlight w:val="none"/>
          <w:lang w:eastAsia="zh-CN"/>
        </w:rPr>
        <w:t>比选申请文件</w:t>
      </w:r>
      <w:r>
        <w:rPr>
          <w:rFonts w:hint="eastAsia" w:ascii="宋体" w:hAnsi="宋体" w:eastAsia="宋体" w:cs="宋体"/>
          <w:sz w:val="24"/>
          <w:szCs w:val="24"/>
          <w:highlight w:val="none"/>
        </w:rPr>
        <w:t>中。</w:t>
      </w:r>
    </w:p>
    <w:p w14:paraId="1900566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保证金金额应严格按照</w:t>
      </w:r>
      <w:r>
        <w:rPr>
          <w:rFonts w:hint="eastAsia" w:ascii="宋体" w:hAnsi="宋体" w:cs="宋体"/>
          <w:sz w:val="24"/>
          <w:szCs w:val="24"/>
          <w:highlight w:val="none"/>
          <w:lang w:val="en-US" w:eastAsia="zh-CN"/>
        </w:rPr>
        <w:t>竞争性比选文件</w:t>
      </w:r>
      <w:r>
        <w:rPr>
          <w:rFonts w:hint="eastAsia" w:ascii="宋体" w:hAnsi="宋体" w:eastAsia="宋体" w:cs="宋体"/>
          <w:sz w:val="24"/>
          <w:szCs w:val="24"/>
          <w:highlight w:val="none"/>
        </w:rPr>
        <w:t>中有关要求提供，</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保证金的有效期应当符合</w:t>
      </w:r>
      <w:r>
        <w:rPr>
          <w:rFonts w:hint="eastAsia" w:ascii="宋体" w:hAnsi="宋体" w:cs="宋体"/>
          <w:sz w:val="24"/>
          <w:szCs w:val="24"/>
          <w:highlight w:val="none"/>
          <w:lang w:val="en-US" w:eastAsia="zh-CN"/>
        </w:rPr>
        <w:t>竞争性比选文件</w:t>
      </w:r>
      <w:r>
        <w:rPr>
          <w:rFonts w:hint="eastAsia" w:ascii="宋体" w:hAnsi="宋体" w:eastAsia="宋体" w:cs="宋体"/>
          <w:sz w:val="24"/>
          <w:szCs w:val="24"/>
          <w:highlight w:val="none"/>
        </w:rPr>
        <w:t>规定。</w:t>
      </w:r>
    </w:p>
    <w:p w14:paraId="74274F1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未按上述要求提交</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保证金的</w:t>
      </w:r>
      <w:r>
        <w:rPr>
          <w:rFonts w:hint="eastAsia" w:ascii="宋体" w:hAnsi="宋体" w:cs="宋体"/>
          <w:sz w:val="24"/>
          <w:szCs w:val="24"/>
          <w:highlight w:val="none"/>
          <w:lang w:eastAsia="zh-CN"/>
        </w:rPr>
        <w:t>比选申请文件</w:t>
      </w:r>
      <w:r>
        <w:rPr>
          <w:rFonts w:hint="eastAsia" w:ascii="宋体" w:hAnsi="宋体" w:eastAsia="宋体" w:cs="宋体"/>
          <w:sz w:val="24"/>
          <w:szCs w:val="24"/>
          <w:highlight w:val="none"/>
        </w:rPr>
        <w:t>将可能被视为无效并可能导致</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被拒绝。</w:t>
      </w:r>
    </w:p>
    <w:p w14:paraId="01F2AF9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（二）保证金退还方式</w:t>
      </w:r>
    </w:p>
    <w:p w14:paraId="43A3E57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除中选候选人</w:t>
      </w:r>
      <w:r>
        <w:rPr>
          <w:rFonts w:hint="eastAsia" w:ascii="宋体" w:hAnsi="宋体" w:eastAsia="宋体" w:cs="宋体"/>
          <w:sz w:val="24"/>
          <w:szCs w:val="24"/>
          <w:highlight w:val="none"/>
        </w:rPr>
        <w:t>以外的</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保证金，在</w:t>
      </w:r>
      <w:r>
        <w:rPr>
          <w:rFonts w:hint="eastAsia" w:ascii="宋体" w:hAnsi="宋体" w:cs="宋体"/>
          <w:sz w:val="24"/>
          <w:szCs w:val="24"/>
          <w:highlight w:val="none"/>
          <w:lang w:val="en-US" w:eastAsia="zh-CN"/>
        </w:rPr>
        <w:t>中选</w:t>
      </w:r>
      <w:r>
        <w:rPr>
          <w:rFonts w:hint="eastAsia" w:ascii="宋体" w:hAnsi="宋体" w:eastAsia="宋体" w:cs="宋体"/>
          <w:sz w:val="24"/>
          <w:szCs w:val="24"/>
          <w:highlight w:val="none"/>
          <w:lang w:val="en-US" w:eastAsia="zh-CN"/>
        </w:rPr>
        <w:t>通知书</w:t>
      </w:r>
      <w:r>
        <w:rPr>
          <w:rFonts w:hint="eastAsia" w:ascii="宋体" w:hAnsi="宋体" w:eastAsia="宋体" w:cs="宋体"/>
          <w:sz w:val="24"/>
          <w:szCs w:val="24"/>
          <w:highlight w:val="none"/>
        </w:rPr>
        <w:t>发放后5个工作日内以</w:t>
      </w:r>
      <w:r>
        <w:rPr>
          <w:rFonts w:hint="eastAsia" w:ascii="宋体" w:hAnsi="宋体" w:eastAsia="宋体" w:cs="宋体"/>
          <w:sz w:val="24"/>
          <w:szCs w:val="24"/>
          <w:highlight w:val="none"/>
          <w:lang w:val="en-US" w:eastAsia="zh-CN"/>
        </w:rPr>
        <w:t>现金或</w:t>
      </w:r>
      <w:r>
        <w:rPr>
          <w:rFonts w:hint="eastAsia" w:ascii="宋体" w:hAnsi="宋体" w:eastAsia="宋体" w:cs="宋体"/>
          <w:sz w:val="24"/>
          <w:szCs w:val="24"/>
          <w:highlight w:val="none"/>
        </w:rPr>
        <w:t>转账形式直接退还。</w:t>
      </w:r>
    </w:p>
    <w:p w14:paraId="592D2DC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中选候选人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竞标</w:t>
      </w:r>
      <w:r>
        <w:rPr>
          <w:rFonts w:hint="eastAsia" w:ascii="宋体" w:hAnsi="宋体" w:eastAsia="宋体" w:cs="宋体"/>
          <w:sz w:val="24"/>
          <w:szCs w:val="24"/>
          <w:highlight w:val="none"/>
        </w:rPr>
        <w:t>保证金，在</w:t>
      </w:r>
      <w:r>
        <w:rPr>
          <w:rFonts w:hint="eastAsia" w:ascii="宋体" w:hAnsi="宋体" w:eastAsia="宋体" w:cs="宋体"/>
          <w:sz w:val="24"/>
          <w:szCs w:val="24"/>
          <w:highlight w:val="none"/>
          <w:lang w:val="en-US" w:eastAsia="zh-CN"/>
        </w:rPr>
        <w:t>中选人</w:t>
      </w:r>
      <w:r>
        <w:rPr>
          <w:rFonts w:hint="eastAsia" w:ascii="宋体" w:hAnsi="宋体" w:eastAsia="宋体" w:cs="宋体"/>
          <w:sz w:val="24"/>
          <w:szCs w:val="24"/>
          <w:highlight w:val="none"/>
        </w:rPr>
        <w:t>与</w:t>
      </w:r>
      <w:r>
        <w:rPr>
          <w:rFonts w:hint="eastAsia" w:ascii="宋体" w:hAnsi="宋体" w:eastAsia="宋体" w:cs="宋体"/>
          <w:sz w:val="24"/>
          <w:szCs w:val="24"/>
          <w:highlight w:val="none"/>
          <w:lang w:val="en-US" w:eastAsia="zh-CN"/>
        </w:rPr>
        <w:t>比选</w:t>
      </w:r>
      <w:r>
        <w:rPr>
          <w:rFonts w:hint="eastAsia" w:ascii="宋体" w:hAnsi="宋体" w:eastAsia="宋体" w:cs="宋体"/>
          <w:sz w:val="24"/>
          <w:szCs w:val="24"/>
          <w:highlight w:val="none"/>
        </w:rPr>
        <w:t>人签订合同后5个工作日内以</w:t>
      </w:r>
      <w:r>
        <w:rPr>
          <w:rFonts w:hint="eastAsia" w:ascii="宋体" w:hAnsi="宋体" w:eastAsia="宋体" w:cs="宋体"/>
          <w:sz w:val="24"/>
          <w:szCs w:val="24"/>
          <w:highlight w:val="none"/>
          <w:lang w:val="en-US" w:eastAsia="zh-CN"/>
        </w:rPr>
        <w:t>现金或</w:t>
      </w:r>
      <w:r>
        <w:rPr>
          <w:rFonts w:hint="eastAsia" w:ascii="宋体" w:hAnsi="宋体" w:eastAsia="宋体" w:cs="宋体"/>
          <w:sz w:val="24"/>
          <w:szCs w:val="24"/>
          <w:highlight w:val="none"/>
        </w:rPr>
        <w:t>转</w:t>
      </w:r>
      <w:r>
        <w:rPr>
          <w:rFonts w:hint="eastAsia" w:ascii="宋体" w:hAnsi="宋体" w:eastAsia="宋体" w:cs="宋体"/>
          <w:sz w:val="24"/>
          <w:szCs w:val="24"/>
        </w:rPr>
        <w:t>账形式直接退还。</w:t>
      </w:r>
    </w:p>
    <w:p w14:paraId="74D18774">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kern w:val="2"/>
          <w:sz w:val="24"/>
          <w:szCs w:val="24"/>
          <w:lang w:val="en-US" w:eastAsia="zh-CN" w:bidi="ar-SA"/>
        </w:rPr>
      </w:pPr>
      <w:bookmarkStart w:id="36" w:name="_Toc4355"/>
      <w:bookmarkStart w:id="37" w:name="_Toc2945"/>
      <w:bookmarkStart w:id="38" w:name="_Toc525047162"/>
      <w:bookmarkStart w:id="39" w:name="_Toc106034626"/>
      <w:bookmarkStart w:id="40" w:name="_Toc521053054"/>
      <w:bookmarkStart w:id="41" w:name="_Toc479668114"/>
      <w:bookmarkStart w:id="42" w:name="_Toc65660335"/>
      <w:r>
        <w:rPr>
          <w:rFonts w:hint="eastAsia" w:ascii="宋体" w:hAnsi="宋体" w:eastAsia="宋体" w:cs="宋体"/>
          <w:b/>
          <w:bCs/>
          <w:kern w:val="2"/>
          <w:sz w:val="24"/>
          <w:szCs w:val="24"/>
          <w:lang w:val="en-US" w:eastAsia="zh-CN" w:bidi="ar-SA"/>
        </w:rPr>
        <w:t>六、</w:t>
      </w:r>
      <w:bookmarkEnd w:id="36"/>
      <w:bookmarkEnd w:id="37"/>
      <w:bookmarkEnd w:id="38"/>
      <w:bookmarkEnd w:id="39"/>
      <w:bookmarkEnd w:id="40"/>
      <w:bookmarkEnd w:id="41"/>
      <w:bookmarkEnd w:id="42"/>
      <w:bookmarkStart w:id="43" w:name="_Toc521053055"/>
      <w:bookmarkStart w:id="44" w:name="_Toc16269"/>
      <w:bookmarkStart w:id="45" w:name="_Toc6563"/>
      <w:bookmarkStart w:id="46" w:name="_Toc65660336"/>
      <w:bookmarkStart w:id="47" w:name="_Toc525047163"/>
      <w:bookmarkStart w:id="48" w:name="_Toc106034627"/>
      <w:r>
        <w:rPr>
          <w:rFonts w:hint="eastAsia" w:ascii="宋体" w:hAnsi="宋体" w:eastAsia="宋体" w:cs="宋体"/>
          <w:b/>
          <w:bCs/>
          <w:kern w:val="2"/>
          <w:sz w:val="24"/>
          <w:szCs w:val="24"/>
          <w:lang w:val="en-US" w:eastAsia="zh-CN" w:bidi="ar-SA"/>
        </w:rPr>
        <w:t>其它有关规定</w:t>
      </w:r>
      <w:bookmarkEnd w:id="43"/>
      <w:bookmarkEnd w:id="44"/>
      <w:bookmarkEnd w:id="45"/>
      <w:bookmarkEnd w:id="46"/>
      <w:bookmarkEnd w:id="47"/>
      <w:bookmarkEnd w:id="48"/>
    </w:p>
    <w:p w14:paraId="631FEE5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（一）单位负责人为同一人或者存在直接控股、管理关系的不同</w:t>
      </w:r>
      <w:r>
        <w:rPr>
          <w:rFonts w:hint="eastAsia" w:ascii="宋体" w:hAnsi="宋体" w:cs="宋体"/>
          <w:sz w:val="24"/>
          <w:szCs w:val="24"/>
          <w:lang w:eastAsia="zh-CN"/>
        </w:rPr>
        <w:t>竞选人</w:t>
      </w:r>
      <w:r>
        <w:rPr>
          <w:rFonts w:hint="eastAsia" w:ascii="宋体" w:hAnsi="宋体" w:eastAsia="宋体" w:cs="宋体"/>
          <w:sz w:val="24"/>
          <w:szCs w:val="24"/>
        </w:rPr>
        <w:t>，不得参加同一合同项（包）下的采购活动，否则均为无效响应。</w:t>
      </w:r>
    </w:p>
    <w:p w14:paraId="56785D3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（二）为采购项目提供整体设计、规范编制或者项目管理、监理、检测等服务的</w:t>
      </w:r>
      <w:r>
        <w:rPr>
          <w:rFonts w:hint="eastAsia" w:ascii="宋体" w:hAnsi="宋体" w:cs="宋体"/>
          <w:sz w:val="24"/>
          <w:szCs w:val="24"/>
          <w:lang w:eastAsia="zh-CN"/>
        </w:rPr>
        <w:t>竞选人</w:t>
      </w:r>
      <w:r>
        <w:rPr>
          <w:rFonts w:hint="eastAsia" w:ascii="宋体" w:hAnsi="宋体" w:eastAsia="宋体" w:cs="宋体"/>
          <w:sz w:val="24"/>
          <w:szCs w:val="24"/>
        </w:rPr>
        <w:t>，不得再参加该采购项目的其他采购活动。</w:t>
      </w:r>
    </w:p>
    <w:p w14:paraId="66AFDD6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（三）本项目的澄清文件（如果有）一律在</w:t>
      </w:r>
      <w:r>
        <w:rPr>
          <w:rFonts w:hint="eastAsia" w:ascii="宋体" w:hAnsi="宋体" w:cs="宋体"/>
          <w:sz w:val="24"/>
          <w:szCs w:val="24"/>
        </w:rPr>
        <w:t>“行采家”平台（http://www.gec123.com）</w:t>
      </w:r>
      <w:r>
        <w:rPr>
          <w:rFonts w:hint="eastAsia" w:ascii="宋体" w:hAnsi="宋体" w:eastAsia="宋体" w:cs="宋体"/>
          <w:sz w:val="24"/>
          <w:szCs w:val="24"/>
          <w:lang w:eastAsia="zh-CN"/>
        </w:rPr>
        <w:t>网</w:t>
      </w:r>
      <w:r>
        <w:rPr>
          <w:rFonts w:hint="eastAsia" w:ascii="宋体" w:hAnsi="宋体" w:eastAsia="宋体" w:cs="宋体"/>
          <w:sz w:val="24"/>
          <w:szCs w:val="24"/>
        </w:rPr>
        <w:t>上发布，请各</w:t>
      </w:r>
      <w:r>
        <w:rPr>
          <w:rFonts w:hint="eastAsia" w:ascii="宋体" w:hAnsi="宋体" w:cs="宋体"/>
          <w:sz w:val="24"/>
          <w:szCs w:val="24"/>
          <w:lang w:eastAsia="zh-CN"/>
        </w:rPr>
        <w:t>竞选人</w:t>
      </w:r>
      <w:r>
        <w:rPr>
          <w:rFonts w:hint="eastAsia" w:ascii="宋体" w:hAnsi="宋体" w:eastAsia="宋体" w:cs="宋体"/>
          <w:sz w:val="24"/>
          <w:szCs w:val="24"/>
        </w:rPr>
        <w:t>注意下载或到采购代理机构处领取；无论</w:t>
      </w:r>
      <w:r>
        <w:rPr>
          <w:rFonts w:hint="eastAsia" w:ascii="宋体" w:hAnsi="宋体" w:cs="宋体"/>
          <w:sz w:val="24"/>
          <w:szCs w:val="24"/>
          <w:lang w:eastAsia="zh-CN"/>
        </w:rPr>
        <w:t>竞选人</w:t>
      </w:r>
      <w:r>
        <w:rPr>
          <w:rFonts w:hint="eastAsia" w:ascii="宋体" w:hAnsi="宋体" w:eastAsia="宋体" w:cs="宋体"/>
          <w:sz w:val="24"/>
          <w:szCs w:val="24"/>
        </w:rPr>
        <w:t>下载或领取与否，均视同</w:t>
      </w:r>
      <w:r>
        <w:rPr>
          <w:rFonts w:hint="eastAsia" w:ascii="宋体" w:hAnsi="宋体" w:cs="宋体"/>
          <w:sz w:val="24"/>
          <w:szCs w:val="24"/>
          <w:lang w:eastAsia="zh-CN"/>
        </w:rPr>
        <w:t>竞选人</w:t>
      </w:r>
      <w:r>
        <w:rPr>
          <w:rFonts w:hint="eastAsia" w:ascii="宋体" w:hAnsi="宋体" w:eastAsia="宋体" w:cs="宋体"/>
          <w:sz w:val="24"/>
          <w:szCs w:val="24"/>
        </w:rPr>
        <w:t>已知晓本项目澄清文件（如果有）的内容。</w:t>
      </w:r>
    </w:p>
    <w:p w14:paraId="270934C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（四）超过</w:t>
      </w:r>
      <w:r>
        <w:rPr>
          <w:rFonts w:hint="eastAsia" w:ascii="宋体" w:hAnsi="宋体" w:cs="宋体"/>
          <w:sz w:val="24"/>
          <w:szCs w:val="24"/>
          <w:lang w:eastAsia="zh-CN"/>
        </w:rPr>
        <w:t>比选申请文件</w:t>
      </w:r>
      <w:r>
        <w:rPr>
          <w:rFonts w:hint="eastAsia" w:ascii="宋体" w:hAnsi="宋体" w:eastAsia="宋体" w:cs="宋体"/>
          <w:sz w:val="24"/>
          <w:szCs w:val="24"/>
        </w:rPr>
        <w:t>截止时间递交的</w:t>
      </w:r>
      <w:r>
        <w:rPr>
          <w:rFonts w:hint="eastAsia" w:ascii="宋体" w:hAnsi="宋体" w:cs="宋体"/>
          <w:sz w:val="24"/>
          <w:szCs w:val="24"/>
          <w:lang w:eastAsia="zh-CN"/>
        </w:rPr>
        <w:t>比选申请文件</w:t>
      </w:r>
      <w:r>
        <w:rPr>
          <w:rFonts w:hint="eastAsia" w:ascii="宋体" w:hAnsi="宋体" w:eastAsia="宋体" w:cs="宋体"/>
          <w:sz w:val="24"/>
          <w:szCs w:val="24"/>
        </w:rPr>
        <w:t>，恕不接收。</w:t>
      </w:r>
    </w:p>
    <w:p w14:paraId="1B63645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（五）</w:t>
      </w:r>
      <w:r>
        <w:rPr>
          <w:rFonts w:hint="eastAsia" w:ascii="宋体" w:hAnsi="宋体" w:eastAsia="宋体" w:cs="宋体"/>
          <w:sz w:val="24"/>
          <w:szCs w:val="24"/>
          <w:lang w:val="en-US" w:eastAsia="zh-CN"/>
        </w:rPr>
        <w:t>比选</w:t>
      </w:r>
      <w:r>
        <w:rPr>
          <w:rFonts w:hint="eastAsia" w:ascii="宋体" w:hAnsi="宋体" w:eastAsia="宋体" w:cs="宋体"/>
          <w:sz w:val="24"/>
          <w:szCs w:val="24"/>
        </w:rPr>
        <w:t>费用：无论</w:t>
      </w:r>
      <w:r>
        <w:rPr>
          <w:rFonts w:hint="eastAsia" w:ascii="宋体" w:hAnsi="宋体" w:eastAsia="宋体" w:cs="宋体"/>
          <w:sz w:val="24"/>
          <w:szCs w:val="24"/>
          <w:lang w:val="en-US" w:eastAsia="zh-CN"/>
        </w:rPr>
        <w:t>比选</w:t>
      </w:r>
      <w:r>
        <w:rPr>
          <w:rFonts w:hint="eastAsia" w:ascii="宋体" w:hAnsi="宋体" w:eastAsia="宋体" w:cs="宋体"/>
          <w:sz w:val="24"/>
          <w:szCs w:val="24"/>
        </w:rPr>
        <w:t>结果如何，</w:t>
      </w:r>
      <w:r>
        <w:rPr>
          <w:rFonts w:hint="eastAsia" w:ascii="宋体" w:hAnsi="宋体" w:cs="宋体"/>
          <w:sz w:val="24"/>
          <w:szCs w:val="24"/>
          <w:lang w:eastAsia="zh-CN"/>
        </w:rPr>
        <w:t>竞选人</w:t>
      </w:r>
      <w:r>
        <w:rPr>
          <w:rFonts w:hint="eastAsia" w:ascii="宋体" w:hAnsi="宋体" w:eastAsia="宋体" w:cs="宋体"/>
          <w:sz w:val="24"/>
          <w:szCs w:val="24"/>
        </w:rPr>
        <w:t>参与本项目</w:t>
      </w:r>
      <w:r>
        <w:rPr>
          <w:rFonts w:hint="eastAsia" w:ascii="宋体" w:hAnsi="宋体" w:eastAsia="宋体" w:cs="宋体"/>
          <w:sz w:val="24"/>
          <w:szCs w:val="24"/>
          <w:lang w:val="en-US" w:eastAsia="zh-CN"/>
        </w:rPr>
        <w:t>比选</w:t>
      </w:r>
      <w:r>
        <w:rPr>
          <w:rFonts w:hint="eastAsia" w:ascii="宋体" w:hAnsi="宋体" w:eastAsia="宋体" w:cs="宋体"/>
          <w:sz w:val="24"/>
          <w:szCs w:val="24"/>
        </w:rPr>
        <w:t>的所有费用均应由</w:t>
      </w:r>
      <w:r>
        <w:rPr>
          <w:rFonts w:hint="eastAsia" w:ascii="宋体" w:hAnsi="宋体" w:cs="宋体"/>
          <w:sz w:val="24"/>
          <w:szCs w:val="24"/>
          <w:lang w:eastAsia="zh-CN"/>
        </w:rPr>
        <w:t>竞选人</w:t>
      </w:r>
      <w:r>
        <w:rPr>
          <w:rFonts w:hint="eastAsia" w:ascii="宋体" w:hAnsi="宋体" w:eastAsia="宋体" w:cs="宋体"/>
          <w:sz w:val="24"/>
          <w:szCs w:val="24"/>
        </w:rPr>
        <w:t>自行承担。</w:t>
      </w:r>
    </w:p>
    <w:p w14:paraId="1C9AB415">
      <w:pPr>
        <w:pStyle w:val="7"/>
        <w:keepNext/>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0" w:firstLineChars="200"/>
        <w:jc w:val="left"/>
        <w:textAlignment w:val="auto"/>
        <w:rPr>
          <w:rFonts w:hint="eastAsia" w:ascii="宋体" w:hAnsi="宋体" w:eastAsia="宋体" w:cs="宋体"/>
          <w:b/>
          <w:sz w:val="24"/>
          <w:szCs w:val="24"/>
        </w:rPr>
      </w:pPr>
      <w:r>
        <w:rPr>
          <w:rFonts w:hint="eastAsia" w:ascii="宋体" w:hAnsi="宋体" w:eastAsia="宋体" w:cs="宋体"/>
          <w:sz w:val="24"/>
          <w:szCs w:val="24"/>
        </w:rPr>
        <w:t>（六）</w:t>
      </w:r>
      <w:r>
        <w:rPr>
          <w:rFonts w:hint="eastAsia" w:ascii="宋体" w:hAnsi="宋体" w:eastAsia="宋体" w:cs="宋体"/>
          <w:b/>
          <w:sz w:val="24"/>
          <w:szCs w:val="24"/>
        </w:rPr>
        <w:t>本项目不接受联合体，否则按无效文件处理。</w:t>
      </w:r>
    </w:p>
    <w:p w14:paraId="19AAF44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（七）</w:t>
      </w:r>
      <w:r>
        <w:rPr>
          <w:rFonts w:hint="eastAsia" w:ascii="宋体" w:hAnsi="宋体" w:eastAsia="宋体" w:cs="宋体"/>
          <w:b/>
          <w:sz w:val="24"/>
          <w:szCs w:val="24"/>
        </w:rPr>
        <w:t>本项目不接受分包，否则按无效文件处理。</w:t>
      </w:r>
      <w:r>
        <w:rPr>
          <w:rFonts w:hint="eastAsia" w:ascii="宋体" w:hAnsi="宋体" w:cs="宋体"/>
          <w:b/>
          <w:sz w:val="24"/>
          <w:szCs w:val="24"/>
          <w:lang w:val="en-US" w:eastAsia="zh-CN"/>
        </w:rPr>
        <w:t>若</w:t>
      </w:r>
      <w:r>
        <w:rPr>
          <w:rFonts w:hint="eastAsia" w:ascii="宋体" w:hAnsi="宋体" w:cs="宋体"/>
          <w:b/>
          <w:sz w:val="24"/>
          <w:szCs w:val="24"/>
          <w:lang w:eastAsia="zh-CN"/>
        </w:rPr>
        <w:t>竞选人</w:t>
      </w:r>
      <w:r>
        <w:rPr>
          <w:rFonts w:hint="eastAsia" w:ascii="宋体" w:hAnsi="宋体" w:eastAsia="宋体" w:cs="宋体"/>
          <w:b/>
          <w:sz w:val="24"/>
          <w:szCs w:val="24"/>
        </w:rPr>
        <w:t>为代理商的，投标时</w:t>
      </w:r>
      <w:r>
        <w:rPr>
          <w:rFonts w:hint="eastAsia" w:ascii="宋体" w:hAnsi="宋体" w:cs="宋体"/>
          <w:b/>
          <w:sz w:val="24"/>
          <w:szCs w:val="24"/>
          <w:lang w:val="en-US" w:eastAsia="zh-CN"/>
        </w:rPr>
        <w:t>须</w:t>
      </w:r>
      <w:r>
        <w:rPr>
          <w:rFonts w:hint="eastAsia" w:ascii="宋体" w:hAnsi="宋体" w:eastAsia="宋体" w:cs="宋体"/>
          <w:b/>
          <w:sz w:val="24"/>
          <w:szCs w:val="24"/>
        </w:rPr>
        <w:t>提供生产厂家授权文件。</w:t>
      </w:r>
    </w:p>
    <w:p w14:paraId="0E61F57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rPr>
      </w:pPr>
      <w:r>
        <w:rPr>
          <w:rFonts w:hint="eastAsia" w:ascii="宋体" w:hAnsi="宋体" w:eastAsia="宋体" w:cs="宋体"/>
          <w:sz w:val="24"/>
          <w:szCs w:val="24"/>
        </w:rPr>
        <w:t>（八）按照《财政部关于在政府采购活动中查询及使用信用记录有关问题的通知》财库〔2016〕125号，</w:t>
      </w:r>
      <w:r>
        <w:rPr>
          <w:rFonts w:hint="eastAsia" w:ascii="宋体" w:hAnsi="宋体" w:cs="宋体"/>
          <w:sz w:val="24"/>
          <w:szCs w:val="24"/>
          <w:lang w:eastAsia="zh-CN"/>
        </w:rPr>
        <w:t>竞选人</w:t>
      </w:r>
      <w:r>
        <w:rPr>
          <w:rFonts w:hint="eastAsia" w:ascii="宋体" w:hAnsi="宋体" w:eastAsia="宋体" w:cs="宋体"/>
          <w:sz w:val="24"/>
          <w:szCs w:val="24"/>
        </w:rPr>
        <w:t>列入失信被执行人、重大税收违法案件当事人名单、政府采购严重违法失信行为记录名单及其他不符合《中华人民共和国政府采购法》第二十二条规定条件的</w:t>
      </w:r>
      <w:r>
        <w:rPr>
          <w:rFonts w:hint="eastAsia" w:ascii="宋体" w:hAnsi="宋体" w:cs="宋体"/>
          <w:sz w:val="24"/>
          <w:szCs w:val="24"/>
          <w:lang w:eastAsia="zh-CN"/>
        </w:rPr>
        <w:t>竞选人</w:t>
      </w:r>
      <w:r>
        <w:rPr>
          <w:rFonts w:hint="eastAsia" w:ascii="宋体" w:hAnsi="宋体" w:eastAsia="宋体" w:cs="宋体"/>
          <w:sz w:val="24"/>
          <w:szCs w:val="24"/>
        </w:rPr>
        <w:t>，将拒绝其参与采购活动。</w:t>
      </w:r>
    </w:p>
    <w:p w14:paraId="3C9A6C25">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rPr>
      </w:pPr>
      <w:bookmarkStart w:id="49" w:name="_Toc525047164"/>
      <w:bookmarkStart w:id="50" w:name="_Toc10415"/>
      <w:bookmarkStart w:id="51" w:name="_Toc1733"/>
      <w:bookmarkStart w:id="52" w:name="_Toc65660337"/>
      <w:bookmarkStart w:id="53" w:name="_Toc521053056"/>
      <w:bookmarkStart w:id="54" w:name="_Toc106034628"/>
      <w:r>
        <w:rPr>
          <w:rFonts w:hint="eastAsia" w:ascii="宋体" w:hAnsi="宋体" w:eastAsia="宋体" w:cs="宋体"/>
          <w:b/>
          <w:bCs/>
          <w:sz w:val="24"/>
          <w:szCs w:val="24"/>
          <w:lang w:eastAsia="zh-CN"/>
        </w:rPr>
        <w:t>七</w:t>
      </w:r>
      <w:r>
        <w:rPr>
          <w:rFonts w:hint="eastAsia" w:ascii="宋体" w:hAnsi="宋体" w:eastAsia="宋体" w:cs="宋体"/>
          <w:b/>
          <w:bCs/>
          <w:sz w:val="24"/>
          <w:szCs w:val="24"/>
        </w:rPr>
        <w:t>、联系方式</w:t>
      </w:r>
      <w:bookmarkEnd w:id="49"/>
      <w:bookmarkEnd w:id="50"/>
      <w:bookmarkEnd w:id="51"/>
      <w:bookmarkEnd w:id="52"/>
      <w:bookmarkEnd w:id="53"/>
      <w:bookmarkEnd w:id="54"/>
    </w:p>
    <w:p w14:paraId="25A8E51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cs="宋体"/>
          <w:sz w:val="24"/>
          <w:szCs w:val="24"/>
          <w:lang w:eastAsia="zh-CN"/>
        </w:rPr>
        <w:t>比选人</w:t>
      </w:r>
      <w:r>
        <w:rPr>
          <w:rFonts w:hint="eastAsia" w:ascii="宋体" w:hAnsi="宋体" w:eastAsia="宋体" w:cs="宋体"/>
          <w:sz w:val="24"/>
          <w:szCs w:val="24"/>
        </w:rPr>
        <w:t>：重庆市沙坪坝区人民政府虎溪街道办事处</w:t>
      </w:r>
    </w:p>
    <w:p w14:paraId="5CADB702">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eastAsia" w:ascii="宋体" w:hAnsi="宋体" w:eastAsia="宋体" w:cs="宋体"/>
          <w:sz w:val="24"/>
          <w:szCs w:val="24"/>
          <w:lang w:eastAsia="zh-CN"/>
        </w:rPr>
      </w:pPr>
      <w:r>
        <w:rPr>
          <w:rFonts w:hint="eastAsia" w:ascii="宋体" w:hAnsi="宋体" w:eastAsia="宋体" w:cs="宋体"/>
          <w:sz w:val="24"/>
          <w:szCs w:val="24"/>
        </w:rPr>
        <w:t>联系人：</w:t>
      </w:r>
      <w:r>
        <w:rPr>
          <w:rFonts w:hint="eastAsia" w:ascii="宋体" w:hAnsi="宋体" w:cs="宋体"/>
          <w:sz w:val="24"/>
          <w:szCs w:val="24"/>
          <w:lang w:val="en-US" w:eastAsia="zh-CN"/>
        </w:rPr>
        <w:t>吴</w:t>
      </w:r>
      <w:r>
        <w:rPr>
          <w:rFonts w:hint="eastAsia" w:ascii="宋体" w:hAnsi="宋体" w:eastAsia="宋体" w:cs="宋体"/>
          <w:sz w:val="24"/>
          <w:szCs w:val="24"/>
          <w:lang w:eastAsia="zh-CN"/>
        </w:rPr>
        <w:t>老师</w:t>
      </w:r>
    </w:p>
    <w:p w14:paraId="0F5FAD4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default" w:ascii="宋体" w:hAnsi="宋体" w:eastAsia="宋体" w:cs="宋体"/>
          <w:sz w:val="24"/>
          <w:szCs w:val="24"/>
          <w:lang w:val="en-US" w:eastAsia="zh-CN"/>
        </w:rPr>
      </w:pPr>
      <w:r>
        <w:rPr>
          <w:rFonts w:hint="eastAsia" w:ascii="宋体" w:hAnsi="宋体" w:eastAsia="宋体" w:cs="宋体"/>
          <w:sz w:val="24"/>
          <w:szCs w:val="24"/>
        </w:rPr>
        <w:t>电  话：</w:t>
      </w:r>
      <w:r>
        <w:rPr>
          <w:rFonts w:hint="eastAsia" w:ascii="宋体" w:hAnsi="宋体" w:eastAsia="宋体" w:cs="宋体"/>
          <w:i w:val="0"/>
          <w:iCs w:val="0"/>
          <w:caps w:val="0"/>
          <w:spacing w:val="0"/>
          <w:sz w:val="24"/>
          <w:szCs w:val="24"/>
          <w:shd w:val="clear"/>
        </w:rPr>
        <w:t>023-616917</w:t>
      </w:r>
      <w:r>
        <w:rPr>
          <w:rFonts w:hint="eastAsia" w:ascii="宋体" w:hAnsi="宋体" w:cs="宋体"/>
          <w:i w:val="0"/>
          <w:iCs w:val="0"/>
          <w:caps w:val="0"/>
          <w:spacing w:val="0"/>
          <w:sz w:val="24"/>
          <w:szCs w:val="24"/>
          <w:shd w:val="clear"/>
          <w:lang w:val="en-US" w:eastAsia="zh-CN"/>
        </w:rPr>
        <w:t>47</w:t>
      </w:r>
    </w:p>
    <w:p w14:paraId="789D460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eastAsia" w:ascii="宋体" w:hAnsi="宋体" w:eastAsia="宋体" w:cs="宋体"/>
          <w:sz w:val="24"/>
          <w:szCs w:val="24"/>
          <w:lang w:eastAsia="zh-CN"/>
        </w:rPr>
      </w:pPr>
      <w:r>
        <w:rPr>
          <w:rFonts w:hint="eastAsia" w:ascii="宋体" w:hAnsi="宋体" w:eastAsia="宋体" w:cs="宋体"/>
          <w:sz w:val="24"/>
          <w:szCs w:val="24"/>
        </w:rPr>
        <w:t>地  址：重庆市沙坪坝区</w:t>
      </w:r>
      <w:r>
        <w:rPr>
          <w:rFonts w:hint="eastAsia" w:ascii="宋体" w:hAnsi="宋体" w:cs="宋体"/>
          <w:sz w:val="24"/>
          <w:szCs w:val="24"/>
          <w:lang w:val="en-US" w:eastAsia="zh-CN"/>
        </w:rPr>
        <w:t xml:space="preserve">大学城北路68号 </w:t>
      </w:r>
    </w:p>
    <w:p w14:paraId="5907625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eastAsia" w:ascii="宋体" w:hAnsi="宋体" w:eastAsia="宋体" w:cs="宋体"/>
          <w:sz w:val="24"/>
          <w:szCs w:val="24"/>
          <w:lang w:eastAsia="zh-CN"/>
        </w:rPr>
      </w:pPr>
      <w:r>
        <w:rPr>
          <w:rFonts w:hint="eastAsia" w:ascii="宋体" w:hAnsi="宋体" w:eastAsia="宋体" w:cs="宋体"/>
          <w:sz w:val="24"/>
          <w:szCs w:val="24"/>
        </w:rPr>
        <w:t>（二）采购代理机构：</w:t>
      </w:r>
      <w:r>
        <w:rPr>
          <w:rFonts w:hint="eastAsia" w:ascii="宋体" w:hAnsi="宋体" w:cs="宋体"/>
          <w:sz w:val="24"/>
          <w:szCs w:val="24"/>
          <w:lang w:eastAsia="zh-CN"/>
        </w:rPr>
        <w:t>四川乐咨工程项目管理有限公司</w:t>
      </w:r>
    </w:p>
    <w:p w14:paraId="48AE013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cs="宋体"/>
          <w:sz w:val="24"/>
          <w:szCs w:val="24"/>
          <w:lang w:val="en-US" w:eastAsia="zh-CN"/>
        </w:rPr>
        <w:t>周</w:t>
      </w:r>
      <w:r>
        <w:rPr>
          <w:rFonts w:hint="eastAsia" w:ascii="宋体" w:hAnsi="宋体" w:eastAsia="宋体" w:cs="宋体"/>
          <w:sz w:val="24"/>
          <w:szCs w:val="24"/>
        </w:rPr>
        <w:t>老师</w:t>
      </w:r>
    </w:p>
    <w:p w14:paraId="01C3E57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default" w:ascii="宋体" w:hAnsi="宋体" w:eastAsia="宋体" w:cs="宋体"/>
          <w:sz w:val="24"/>
          <w:szCs w:val="24"/>
          <w:lang w:val="en-US" w:eastAsia="zh-CN"/>
        </w:rPr>
      </w:pPr>
      <w:r>
        <w:rPr>
          <w:rFonts w:hint="eastAsia" w:ascii="宋体" w:hAnsi="宋体" w:eastAsia="宋体" w:cs="宋体"/>
          <w:sz w:val="24"/>
          <w:szCs w:val="24"/>
        </w:rPr>
        <w:t>电  话：</w:t>
      </w:r>
      <w:r>
        <w:rPr>
          <w:rFonts w:hint="eastAsia" w:ascii="宋体" w:hAnsi="宋体" w:cs="宋体"/>
          <w:sz w:val="24"/>
          <w:szCs w:val="24"/>
          <w:lang w:val="en-US" w:eastAsia="zh-CN"/>
        </w:rPr>
        <w:t>0833-2487458、17790211676</w:t>
      </w:r>
    </w:p>
    <w:p w14:paraId="4CF7AFA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outlineLvl w:val="2"/>
        <w:rPr>
          <w:rFonts w:hint="eastAsia" w:ascii="宋体" w:hAnsi="宋体" w:eastAsia="宋体" w:cs="宋体"/>
          <w:sz w:val="24"/>
          <w:szCs w:val="24"/>
        </w:rPr>
      </w:pPr>
      <w:r>
        <w:rPr>
          <w:rFonts w:hint="eastAsia" w:ascii="宋体" w:hAnsi="宋体" w:eastAsia="宋体" w:cs="宋体"/>
          <w:sz w:val="24"/>
          <w:szCs w:val="24"/>
        </w:rPr>
        <w:t>地  址：乐山市市中区柏杨中路33号10楼</w:t>
      </w:r>
    </w:p>
    <w:p w14:paraId="7597D6BD">
      <w:pPr>
        <w:pStyle w:val="3"/>
        <w:keepNext/>
        <w:pageBreakBefore w:val="0"/>
        <w:numPr>
          <w:ilvl w:val="0"/>
          <w:numId w:val="14"/>
        </w:numPr>
        <w:kinsoku/>
        <w:wordWrap/>
        <w:overflowPunct/>
        <w:topLinePunct w:val="0"/>
        <w:autoSpaceDE/>
        <w:autoSpaceDN/>
        <w:bidi w:val="0"/>
        <w:adjustRightInd w:val="0"/>
        <w:snapToGrid w:val="0"/>
        <w:spacing w:before="0" w:beforeLines="0" w:after="0" w:afterLines="0" w:line="360" w:lineRule="auto"/>
        <w:ind w:left="0" w:leftChars="0" w:right="0" w:rightChars="0" w:firstLine="562" w:firstLineChars="200"/>
        <w:jc w:val="center"/>
        <w:textAlignment w:val="auto"/>
        <w:rPr>
          <w:rFonts w:hint="eastAsia" w:ascii="宋体" w:hAnsi="宋体" w:eastAsia="宋体" w:cs="宋体"/>
        </w:rPr>
        <w:sectPr>
          <w:footerReference r:id="rId4" w:type="default"/>
          <w:pgSz w:w="11907" w:h="16840"/>
          <w:pgMar w:top="1134" w:right="1191" w:bottom="1134" w:left="1304" w:header="964" w:footer="992" w:gutter="0"/>
          <w:pgNumType w:fmt="numberInDash" w:start="1"/>
          <w:cols w:space="720" w:num="1"/>
          <w:docGrid w:linePitch="312" w:charSpace="0"/>
        </w:sectPr>
      </w:pPr>
    </w:p>
    <w:p w14:paraId="5566888D">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rPr>
          <w:rFonts w:hint="eastAsia" w:ascii="宋体" w:hAnsi="宋体" w:eastAsia="宋体" w:cs="宋体"/>
          <w:b/>
          <w:kern w:val="2"/>
          <w:sz w:val="28"/>
          <w:lang w:val="en-US" w:eastAsia="zh-CN" w:bidi="ar-SA"/>
        </w:rPr>
      </w:pPr>
      <w:bookmarkStart w:id="55" w:name="_Toc14516"/>
      <w:bookmarkStart w:id="56" w:name="_Toc65660338"/>
      <w:bookmarkStart w:id="57" w:name="_Toc106034629"/>
      <w:bookmarkStart w:id="58" w:name="_Toc1292"/>
      <w:bookmarkStart w:id="59" w:name="_Toc17146"/>
      <w:bookmarkStart w:id="60" w:name="_Toc102227313"/>
      <w:r>
        <w:rPr>
          <w:rFonts w:hint="eastAsia" w:ascii="宋体" w:hAnsi="宋体" w:eastAsia="宋体" w:cs="宋体"/>
          <w:b/>
          <w:kern w:val="2"/>
          <w:sz w:val="28"/>
          <w:lang w:val="en-US" w:eastAsia="zh-CN" w:bidi="ar-SA"/>
        </w:rPr>
        <w:t>第二篇 比选项目技术（质量）需求</w:t>
      </w:r>
      <w:bookmarkEnd w:id="55"/>
      <w:bookmarkEnd w:id="56"/>
      <w:bookmarkEnd w:id="57"/>
      <w:bookmarkEnd w:id="58"/>
      <w:bookmarkEnd w:id="59"/>
      <w:bookmarkStart w:id="61" w:name="_Toc65660339"/>
      <w:bookmarkStart w:id="62" w:name="_Toc24129"/>
      <w:bookmarkStart w:id="63" w:name="_Toc26971"/>
      <w:bookmarkStart w:id="64" w:name="_Toc106034630"/>
    </w:p>
    <w:p w14:paraId="0AEA64D7">
      <w:pPr>
        <w:pStyle w:val="7"/>
        <w:keepNext/>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textAlignment w:val="auto"/>
        <w:rPr>
          <w:rFonts w:hint="eastAsia" w:ascii="宋体" w:hAnsi="宋体" w:eastAsia="宋体" w:cs="宋体"/>
          <w:b/>
          <w:bCs/>
          <w:sz w:val="24"/>
        </w:rPr>
      </w:pPr>
      <w:r>
        <w:rPr>
          <w:rFonts w:hint="eastAsia" w:ascii="宋体" w:hAnsi="宋体" w:eastAsia="宋体" w:cs="宋体"/>
          <w:b/>
          <w:bCs/>
          <w:sz w:val="24"/>
        </w:rPr>
        <w:t>一、项目一览表</w:t>
      </w:r>
      <w:bookmarkEnd w:id="61"/>
      <w:bookmarkEnd w:id="62"/>
      <w:bookmarkEnd w:id="63"/>
      <w:bookmarkEnd w:id="64"/>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5352"/>
        <w:gridCol w:w="3822"/>
        <w:gridCol w:w="3418"/>
      </w:tblGrid>
      <w:tr w14:paraId="2CA9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30" w:type="dxa"/>
            <w:noWrap w:val="0"/>
            <w:vAlign w:val="center"/>
          </w:tcPr>
          <w:p w14:paraId="7D7D30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5352" w:type="dxa"/>
            <w:noWrap w:val="0"/>
            <w:vAlign w:val="center"/>
          </w:tcPr>
          <w:p w14:paraId="4EE0A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eastAsia" w:ascii="宋体" w:hAnsi="宋体" w:eastAsia="宋体" w:cs="宋体"/>
                <w:b/>
                <w:sz w:val="21"/>
                <w:szCs w:val="21"/>
              </w:rPr>
            </w:pPr>
            <w:r>
              <w:rPr>
                <w:rFonts w:hint="eastAsia" w:ascii="宋体" w:hAnsi="宋体" w:eastAsia="宋体" w:cs="宋体"/>
                <w:b/>
                <w:sz w:val="21"/>
                <w:szCs w:val="21"/>
              </w:rPr>
              <w:t>产品名称（设备名称）</w:t>
            </w:r>
          </w:p>
        </w:tc>
        <w:tc>
          <w:tcPr>
            <w:tcW w:w="3822" w:type="dxa"/>
            <w:noWrap w:val="0"/>
            <w:vAlign w:val="center"/>
          </w:tcPr>
          <w:p w14:paraId="3D8B89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eastAsia" w:ascii="宋体" w:hAnsi="宋体" w:eastAsia="宋体" w:cs="宋体"/>
                <w:b/>
                <w:sz w:val="21"/>
                <w:szCs w:val="21"/>
              </w:rPr>
            </w:pPr>
            <w:r>
              <w:rPr>
                <w:rFonts w:hint="eastAsia" w:ascii="宋体" w:hAnsi="宋体" w:eastAsia="宋体" w:cs="宋体"/>
                <w:b/>
                <w:sz w:val="21"/>
                <w:szCs w:val="21"/>
              </w:rPr>
              <w:t>数量/单位</w:t>
            </w:r>
          </w:p>
        </w:tc>
        <w:tc>
          <w:tcPr>
            <w:tcW w:w="3418" w:type="dxa"/>
            <w:noWrap w:val="0"/>
            <w:vAlign w:val="center"/>
          </w:tcPr>
          <w:p w14:paraId="334FAC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eastAsia" w:ascii="宋体" w:hAnsi="宋体" w:eastAsia="宋体" w:cs="宋体"/>
                <w:b/>
                <w:sz w:val="21"/>
                <w:szCs w:val="21"/>
              </w:rPr>
            </w:pPr>
            <w:r>
              <w:rPr>
                <w:rFonts w:hint="eastAsia" w:ascii="宋体" w:hAnsi="宋体" w:eastAsia="宋体" w:cs="宋体"/>
                <w:b/>
                <w:sz w:val="21"/>
                <w:szCs w:val="21"/>
              </w:rPr>
              <w:t>备注</w:t>
            </w:r>
          </w:p>
        </w:tc>
      </w:tr>
      <w:tr w14:paraId="549D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30" w:type="dxa"/>
            <w:noWrap w:val="0"/>
            <w:vAlign w:val="center"/>
          </w:tcPr>
          <w:p w14:paraId="09EFD109">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outlineLvl w:val="0"/>
              <w:rPr>
                <w:rFonts w:hint="eastAsia" w:ascii="宋体" w:hAnsi="宋体" w:eastAsia="宋体" w:cs="宋体"/>
                <w:sz w:val="21"/>
                <w:szCs w:val="21"/>
              </w:rPr>
            </w:pPr>
            <w:bookmarkStart w:id="65" w:name="_Toc7983"/>
            <w:bookmarkStart w:id="66" w:name="_Toc23965"/>
            <w:bookmarkStart w:id="67" w:name="_Toc18415"/>
            <w:r>
              <w:rPr>
                <w:rFonts w:hint="eastAsia" w:ascii="宋体" w:hAnsi="宋体" w:eastAsia="宋体" w:cs="宋体"/>
                <w:sz w:val="21"/>
                <w:szCs w:val="21"/>
              </w:rPr>
              <w:t>1</w:t>
            </w:r>
            <w:bookmarkEnd w:id="65"/>
            <w:bookmarkEnd w:id="66"/>
            <w:bookmarkEnd w:id="67"/>
          </w:p>
        </w:tc>
        <w:tc>
          <w:tcPr>
            <w:tcW w:w="5352" w:type="dxa"/>
            <w:noWrap w:val="0"/>
            <w:vAlign w:val="center"/>
          </w:tcPr>
          <w:p w14:paraId="1E8F2A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outlineLvl w:val="0"/>
              <w:rPr>
                <w:rFonts w:hint="eastAsia" w:ascii="宋体" w:hAnsi="宋体" w:eastAsia="宋体" w:cs="宋体"/>
                <w:sz w:val="18"/>
                <w:szCs w:val="18"/>
                <w:lang w:eastAsia="zh-CN"/>
              </w:rPr>
            </w:pPr>
            <w:r>
              <w:rPr>
                <w:rFonts w:hint="eastAsia" w:ascii="宋体" w:hAnsi="宋体" w:cs="宋体"/>
                <w:sz w:val="21"/>
                <w:szCs w:val="21"/>
                <w:lang w:eastAsia="zh-CN"/>
              </w:rPr>
              <w:t>虎小哥党群服务中心家具采购项目</w:t>
            </w:r>
          </w:p>
        </w:tc>
        <w:tc>
          <w:tcPr>
            <w:tcW w:w="3822" w:type="dxa"/>
            <w:noWrap w:val="0"/>
            <w:vAlign w:val="center"/>
          </w:tcPr>
          <w:p w14:paraId="7F7D2C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eastAsia" w:ascii="宋体" w:hAnsi="宋体" w:eastAsia="宋体" w:cs="宋体"/>
                <w:sz w:val="21"/>
                <w:szCs w:val="21"/>
              </w:rPr>
            </w:pPr>
            <w:r>
              <w:rPr>
                <w:rFonts w:hint="eastAsia" w:ascii="宋体" w:hAnsi="宋体" w:eastAsia="宋体" w:cs="宋体"/>
                <w:sz w:val="21"/>
                <w:szCs w:val="21"/>
              </w:rPr>
              <w:t>1/批</w:t>
            </w:r>
          </w:p>
        </w:tc>
        <w:tc>
          <w:tcPr>
            <w:tcW w:w="3418" w:type="dxa"/>
            <w:noWrap w:val="0"/>
            <w:vAlign w:val="center"/>
          </w:tcPr>
          <w:p w14:paraId="59E92B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 xml:space="preserve"> </w:t>
            </w:r>
          </w:p>
        </w:tc>
      </w:tr>
    </w:tbl>
    <w:p w14:paraId="3886AF74">
      <w:pPr>
        <w:pStyle w:val="7"/>
        <w:keepNext/>
        <w:pageBreakBefore w:val="0"/>
        <w:numPr>
          <w:ilvl w:val="0"/>
          <w:numId w:val="15"/>
        </w:numPr>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textAlignment w:val="auto"/>
        <w:rPr>
          <w:rFonts w:hint="eastAsia" w:ascii="宋体" w:hAnsi="宋体" w:eastAsia="宋体" w:cs="宋体"/>
          <w:b/>
          <w:bCs/>
          <w:sz w:val="24"/>
        </w:rPr>
      </w:pPr>
      <w:bookmarkStart w:id="68" w:name="_Toc11439"/>
      <w:bookmarkStart w:id="69" w:name="_Toc65660340"/>
      <w:bookmarkStart w:id="70" w:name="_Toc106034631"/>
      <w:bookmarkStart w:id="71" w:name="_Toc10723"/>
      <w:r>
        <w:rPr>
          <w:rFonts w:hint="eastAsia" w:ascii="宋体" w:hAnsi="宋体" w:eastAsia="宋体" w:cs="宋体"/>
          <w:b/>
          <w:bCs/>
          <w:sz w:val="24"/>
        </w:rPr>
        <w:t>技术规格及质量要求</w:t>
      </w:r>
      <w:bookmarkEnd w:id="68"/>
      <w:bookmarkEnd w:id="69"/>
      <w:bookmarkEnd w:id="70"/>
      <w:bookmarkEnd w:id="71"/>
    </w:p>
    <w:tbl>
      <w:tblPr>
        <w:tblStyle w:val="6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73"/>
        <w:gridCol w:w="4050"/>
        <w:gridCol w:w="986"/>
        <w:gridCol w:w="707"/>
        <w:gridCol w:w="814"/>
        <w:gridCol w:w="728"/>
        <w:gridCol w:w="3577"/>
        <w:gridCol w:w="1347"/>
      </w:tblGrid>
      <w:tr w14:paraId="065A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5000" w:type="pct"/>
            <w:gridSpan w:val="9"/>
            <w:noWrap/>
            <w:vAlign w:val="center"/>
          </w:tcPr>
          <w:p w14:paraId="0BF38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highlight w:val="none"/>
                <w:u w:val="none"/>
                <w:lang w:val="en-US" w:eastAsia="zh-CN" w:bidi="ar"/>
              </w:rPr>
              <w:t>虎小哥党群服务中心家具采购</w:t>
            </w:r>
            <w:r>
              <w:rPr>
                <w:rFonts w:hint="eastAsia" w:ascii="宋体" w:hAnsi="宋体" w:cs="宋体"/>
                <w:b/>
                <w:bCs/>
                <w:i w:val="0"/>
                <w:iCs w:val="0"/>
                <w:color w:val="000000"/>
                <w:kern w:val="0"/>
                <w:sz w:val="40"/>
                <w:szCs w:val="40"/>
                <w:highlight w:val="none"/>
                <w:u w:val="none"/>
                <w:lang w:val="en-US" w:eastAsia="zh-CN" w:bidi="ar"/>
              </w:rPr>
              <w:t>清单</w:t>
            </w:r>
          </w:p>
        </w:tc>
      </w:tr>
      <w:tr w14:paraId="768A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51" w:type="pct"/>
            <w:noWrap/>
            <w:vAlign w:val="center"/>
          </w:tcPr>
          <w:p w14:paraId="121D4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50" w:type="pct"/>
            <w:noWrap w:val="0"/>
            <w:vAlign w:val="center"/>
          </w:tcPr>
          <w:p w14:paraId="4376E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1459" w:type="pct"/>
            <w:noWrap/>
            <w:vAlign w:val="center"/>
          </w:tcPr>
          <w:p w14:paraId="26CF05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设计图</w:t>
            </w:r>
          </w:p>
        </w:tc>
        <w:tc>
          <w:tcPr>
            <w:tcW w:w="355" w:type="pct"/>
            <w:noWrap/>
            <w:vAlign w:val="center"/>
          </w:tcPr>
          <w:p w14:paraId="6A62F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规格mm</w:t>
            </w:r>
          </w:p>
        </w:tc>
        <w:tc>
          <w:tcPr>
            <w:tcW w:w="254" w:type="pct"/>
            <w:noWrap/>
            <w:vAlign w:val="center"/>
          </w:tcPr>
          <w:p w14:paraId="6F13F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293" w:type="pct"/>
            <w:noWrap/>
            <w:vAlign w:val="center"/>
          </w:tcPr>
          <w:p w14:paraId="38D505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62" w:type="pct"/>
            <w:noWrap/>
            <w:vAlign w:val="center"/>
          </w:tcPr>
          <w:p w14:paraId="039A7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r>
              <w:rPr>
                <w:rFonts w:hint="eastAsia" w:ascii="宋体" w:hAnsi="宋体" w:cs="宋体"/>
                <w:b/>
                <w:bCs/>
                <w:i w:val="0"/>
                <w:iCs w:val="0"/>
                <w:color w:val="000000"/>
                <w:kern w:val="0"/>
                <w:sz w:val="24"/>
                <w:szCs w:val="24"/>
                <w:u w:val="none"/>
                <w:lang w:val="en-US" w:eastAsia="zh-CN" w:bidi="ar"/>
              </w:rPr>
              <w:t>限价</w:t>
            </w:r>
          </w:p>
        </w:tc>
        <w:tc>
          <w:tcPr>
            <w:tcW w:w="1289" w:type="pct"/>
            <w:noWrap/>
            <w:vAlign w:val="center"/>
          </w:tcPr>
          <w:p w14:paraId="1B1B0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项目特征</w:t>
            </w:r>
          </w:p>
        </w:tc>
        <w:tc>
          <w:tcPr>
            <w:tcW w:w="485" w:type="pct"/>
            <w:noWrap/>
            <w:vAlign w:val="center"/>
          </w:tcPr>
          <w:p w14:paraId="17461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所处房间</w:t>
            </w:r>
          </w:p>
        </w:tc>
      </w:tr>
      <w:tr w14:paraId="7FE3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251" w:type="pct"/>
            <w:noWrap/>
            <w:vAlign w:val="center"/>
          </w:tcPr>
          <w:p w14:paraId="36F986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0" w:type="pct"/>
            <w:noWrap w:val="0"/>
            <w:vAlign w:val="center"/>
          </w:tcPr>
          <w:p w14:paraId="3133C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长条桌</w:t>
            </w:r>
          </w:p>
        </w:tc>
        <w:tc>
          <w:tcPr>
            <w:tcW w:w="1459" w:type="pct"/>
            <w:noWrap w:val="0"/>
            <w:vAlign w:val="center"/>
          </w:tcPr>
          <w:p w14:paraId="05D482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29845</wp:posOffset>
                  </wp:positionH>
                  <wp:positionV relativeFrom="paragraph">
                    <wp:posOffset>725170</wp:posOffset>
                  </wp:positionV>
                  <wp:extent cx="2425700" cy="839470"/>
                  <wp:effectExtent l="0" t="0" r="12700" b="17780"/>
                  <wp:wrapNone/>
                  <wp:docPr id="22" name="图片_3"/>
                  <wp:cNvGraphicFramePr/>
                  <a:graphic xmlns:a="http://schemas.openxmlformats.org/drawingml/2006/main">
                    <a:graphicData uri="http://schemas.openxmlformats.org/drawingml/2006/picture">
                      <pic:pic xmlns:pic="http://schemas.openxmlformats.org/drawingml/2006/picture">
                        <pic:nvPicPr>
                          <pic:cNvPr id="22" name="图片_3"/>
                          <pic:cNvPicPr/>
                        </pic:nvPicPr>
                        <pic:blipFill>
                          <a:blip r:embed="rId8"/>
                          <a:stretch>
                            <a:fillRect/>
                          </a:stretch>
                        </pic:blipFill>
                        <pic:spPr>
                          <a:xfrm>
                            <a:off x="0" y="0"/>
                            <a:ext cx="2425700" cy="839470"/>
                          </a:xfrm>
                          <a:prstGeom prst="rect">
                            <a:avLst/>
                          </a:prstGeom>
                          <a:noFill/>
                          <a:ln>
                            <a:noFill/>
                          </a:ln>
                        </pic:spPr>
                      </pic:pic>
                    </a:graphicData>
                  </a:graphic>
                </wp:anchor>
              </w:drawing>
            </w:r>
          </w:p>
        </w:tc>
        <w:tc>
          <w:tcPr>
            <w:tcW w:w="355" w:type="pct"/>
            <w:noWrap/>
            <w:vAlign w:val="center"/>
          </w:tcPr>
          <w:p w14:paraId="544E2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3600</w:t>
            </w:r>
            <w:r>
              <w:rPr>
                <w:rFonts w:hint="eastAsia" w:ascii="宋体" w:hAnsi="宋体" w:eastAsia="宋体" w:cs="宋体"/>
                <w:i w:val="0"/>
                <w:iCs w:val="0"/>
                <w:color w:val="000000"/>
                <w:kern w:val="0"/>
                <w:sz w:val="24"/>
                <w:szCs w:val="24"/>
                <w:highlight w:val="none"/>
                <w:u w:val="none"/>
                <w:lang w:val="en-US" w:eastAsia="zh-CN" w:bidi="ar"/>
              </w:rPr>
              <w:t>*</w:t>
            </w:r>
            <w:r>
              <w:rPr>
                <w:rFonts w:hint="eastAsia" w:ascii="宋体" w:hAnsi="宋体" w:cs="宋体"/>
                <w:i w:val="0"/>
                <w:iCs w:val="0"/>
                <w:color w:val="000000"/>
                <w:kern w:val="0"/>
                <w:sz w:val="24"/>
                <w:szCs w:val="24"/>
                <w:highlight w:val="none"/>
                <w:u w:val="none"/>
                <w:lang w:val="en-US" w:eastAsia="zh-CN" w:bidi="ar"/>
              </w:rPr>
              <w:t>1200</w:t>
            </w:r>
            <w:r>
              <w:rPr>
                <w:rFonts w:hint="eastAsia" w:ascii="宋体" w:hAnsi="宋体" w:eastAsia="宋体" w:cs="宋体"/>
                <w:i w:val="0"/>
                <w:iCs w:val="0"/>
                <w:color w:val="000000"/>
                <w:kern w:val="0"/>
                <w:sz w:val="24"/>
                <w:szCs w:val="24"/>
                <w:highlight w:val="none"/>
                <w:u w:val="none"/>
                <w:lang w:val="en-US" w:eastAsia="zh-CN" w:bidi="ar"/>
              </w:rPr>
              <w:t>*750</w:t>
            </w:r>
          </w:p>
        </w:tc>
        <w:tc>
          <w:tcPr>
            <w:tcW w:w="254" w:type="pct"/>
            <w:noWrap/>
            <w:vAlign w:val="center"/>
          </w:tcPr>
          <w:p w14:paraId="5271C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293" w:type="pct"/>
            <w:noWrap/>
            <w:vAlign w:val="center"/>
          </w:tcPr>
          <w:p w14:paraId="5D045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1</w:t>
            </w:r>
          </w:p>
        </w:tc>
        <w:tc>
          <w:tcPr>
            <w:tcW w:w="728" w:type="dxa"/>
            <w:noWrap/>
            <w:vAlign w:val="center"/>
          </w:tcPr>
          <w:p w14:paraId="5016EA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cs="宋体"/>
                <w:i w:val="0"/>
                <w:iCs w:val="0"/>
                <w:color w:val="000000"/>
                <w:kern w:val="0"/>
                <w:sz w:val="24"/>
                <w:szCs w:val="24"/>
                <w:highlight w:val="none"/>
                <w:u w:val="none"/>
                <w:lang w:val="en-US" w:eastAsia="zh-CN" w:bidi="ar"/>
              </w:rPr>
              <w:t>7800</w:t>
            </w:r>
          </w:p>
        </w:tc>
        <w:tc>
          <w:tcPr>
            <w:tcW w:w="1289" w:type="pct"/>
            <w:noWrap w:val="0"/>
            <w:vAlign w:val="center"/>
          </w:tcPr>
          <w:p w14:paraId="08EC9D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1、面材：选用优质特级白蜡木，优良生产工艺烘干</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2、油漆：采用</w:t>
            </w:r>
            <w:r>
              <w:rPr>
                <w:rFonts w:hint="eastAsia" w:ascii="宋体" w:hAnsi="宋体" w:eastAsia="宋体" w:cs="宋体"/>
                <w:i w:val="0"/>
                <w:iCs w:val="0"/>
                <w:color w:val="000000"/>
                <w:kern w:val="0"/>
                <w:sz w:val="22"/>
                <w:szCs w:val="22"/>
                <w:highlight w:val="none"/>
                <w:u w:val="none"/>
                <w:lang w:val="en-US" w:eastAsia="zh-CN" w:bidi="ar"/>
              </w:rPr>
              <w:t>中高档环保油漆,非显孔亚光，两面均衡油饰,漆膜附着力达到1级；                                                                                                                                     3、脚架：优质白蜡木四脚桌架，符合或优于国家标准</w:t>
            </w:r>
            <w:r>
              <w:rPr>
                <w:rFonts w:hint="eastAsia" w:ascii="宋体" w:hAnsi="宋体" w:eastAsia="宋体" w:cs="宋体"/>
                <w:i w:val="0"/>
                <w:iCs w:val="0"/>
                <w:color w:val="000000"/>
                <w:kern w:val="0"/>
                <w:sz w:val="22"/>
                <w:szCs w:val="22"/>
                <w:u w:val="none"/>
                <w:lang w:val="en-US" w:eastAsia="zh-CN" w:bidi="ar"/>
              </w:rPr>
              <w:t>，木制件外观贯通裂缝、虫蛀、腐朽材、树脂囊、节子、死节、孔洞、夹皮和树脂道、树脂道、其他轻微材质缺陷未见缺陷，木工要求合格，漆膜外观要求合格。</w:t>
            </w:r>
          </w:p>
        </w:tc>
        <w:tc>
          <w:tcPr>
            <w:tcW w:w="485" w:type="pct"/>
            <w:noWrap/>
            <w:vAlign w:val="center"/>
          </w:tcPr>
          <w:p w14:paraId="6AE14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小会议室</w:t>
            </w:r>
          </w:p>
        </w:tc>
      </w:tr>
      <w:tr w14:paraId="36CD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atLeast"/>
        </w:trPr>
        <w:tc>
          <w:tcPr>
            <w:tcW w:w="251" w:type="pct"/>
            <w:noWrap/>
            <w:vAlign w:val="center"/>
          </w:tcPr>
          <w:p w14:paraId="262C5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50" w:type="pct"/>
            <w:noWrap w:val="0"/>
            <w:vAlign w:val="center"/>
          </w:tcPr>
          <w:p w14:paraId="401A2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w:t>
            </w:r>
          </w:p>
        </w:tc>
        <w:tc>
          <w:tcPr>
            <w:tcW w:w="1459" w:type="pct"/>
            <w:noWrap w:val="0"/>
            <w:vAlign w:val="center"/>
          </w:tcPr>
          <w:p w14:paraId="45B6E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34290</wp:posOffset>
                  </wp:positionH>
                  <wp:positionV relativeFrom="paragraph">
                    <wp:posOffset>2408555</wp:posOffset>
                  </wp:positionV>
                  <wp:extent cx="2327910" cy="1031875"/>
                  <wp:effectExtent l="0" t="0" r="15240" b="15875"/>
                  <wp:wrapNone/>
                  <wp:docPr id="23" name="图片_4"/>
                  <wp:cNvGraphicFramePr/>
                  <a:graphic xmlns:a="http://schemas.openxmlformats.org/drawingml/2006/main">
                    <a:graphicData uri="http://schemas.openxmlformats.org/drawingml/2006/picture">
                      <pic:pic xmlns:pic="http://schemas.openxmlformats.org/drawingml/2006/picture">
                        <pic:nvPicPr>
                          <pic:cNvPr id="23" name="图片_4"/>
                          <pic:cNvPicPr/>
                        </pic:nvPicPr>
                        <pic:blipFill>
                          <a:blip r:embed="rId9"/>
                          <a:stretch>
                            <a:fillRect/>
                          </a:stretch>
                        </pic:blipFill>
                        <pic:spPr>
                          <a:xfrm>
                            <a:off x="0" y="0"/>
                            <a:ext cx="2327910" cy="1031875"/>
                          </a:xfrm>
                          <a:prstGeom prst="rect">
                            <a:avLst/>
                          </a:prstGeom>
                          <a:noFill/>
                          <a:ln>
                            <a:noFill/>
                          </a:ln>
                        </pic:spPr>
                      </pic:pic>
                    </a:graphicData>
                  </a:graphic>
                </wp:anchor>
              </w:drawing>
            </w:r>
          </w:p>
        </w:tc>
        <w:tc>
          <w:tcPr>
            <w:tcW w:w="355" w:type="pct"/>
            <w:noWrap/>
            <w:vAlign w:val="center"/>
          </w:tcPr>
          <w:p w14:paraId="02BCD6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490*550*680</w:t>
            </w:r>
          </w:p>
        </w:tc>
        <w:tc>
          <w:tcPr>
            <w:tcW w:w="254" w:type="pct"/>
            <w:noWrap/>
            <w:vAlign w:val="center"/>
          </w:tcPr>
          <w:p w14:paraId="70FAFC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93" w:type="pct"/>
            <w:noWrap/>
            <w:vAlign w:val="center"/>
          </w:tcPr>
          <w:p w14:paraId="3F1A3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28" w:type="dxa"/>
            <w:noWrap/>
            <w:vAlign w:val="center"/>
          </w:tcPr>
          <w:p w14:paraId="23FEE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590</w:t>
            </w:r>
          </w:p>
        </w:tc>
        <w:tc>
          <w:tcPr>
            <w:tcW w:w="1289" w:type="pct"/>
            <w:noWrap w:val="0"/>
            <w:vAlign w:val="center"/>
          </w:tcPr>
          <w:p w14:paraId="5BA314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highlight w:val="none"/>
                <w:u w:val="none"/>
                <w:lang w:val="en-US" w:eastAsia="zh-CN" w:bidi="ar"/>
              </w:rPr>
              <w:t>1、椅子面材：选用优质特级白蜡木，优良生产工艺烘干</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2、油漆：采用中高档环保油漆</w:t>
            </w:r>
            <w:r>
              <w:rPr>
                <w:rFonts w:hint="eastAsia" w:ascii="宋体" w:hAnsi="宋体" w:eastAsia="宋体" w:cs="宋体"/>
                <w:i w:val="0"/>
                <w:iCs w:val="0"/>
                <w:color w:val="000000"/>
                <w:kern w:val="0"/>
                <w:sz w:val="22"/>
                <w:szCs w:val="22"/>
                <w:highlight w:val="none"/>
                <w:u w:val="none"/>
                <w:lang w:val="en-US" w:eastAsia="zh-CN" w:bidi="ar"/>
              </w:rPr>
              <w:t>,非显孔亚光，两面均衡油饰,漆膜附着力达到1级；                                                                                                                                     3、椅架：优质白蜡木四脚椅架，</w:t>
            </w:r>
            <w:r>
              <w:rPr>
                <w:rFonts w:hint="eastAsia" w:ascii="宋体" w:hAnsi="宋体" w:eastAsia="宋体" w:cs="宋体"/>
                <w:i w:val="0"/>
                <w:iCs w:val="0"/>
                <w:color w:val="000000"/>
                <w:kern w:val="0"/>
                <w:sz w:val="22"/>
                <w:szCs w:val="22"/>
                <w:u w:val="none"/>
                <w:lang w:val="en-US" w:eastAsia="zh-CN" w:bidi="ar"/>
              </w:rPr>
              <w:t>符合或优于国家标准，木制件外观贯通裂缝、虫蛀、腐朽材、树脂囊、节子、死节、孔洞、夹皮和树脂道、树脂道、其他轻微材质缺陷未见缺陷，木工要求合格，漆膜外观要求合格。4、面材：采用优质环保网布，</w:t>
            </w:r>
            <w:r>
              <w:rPr>
                <w:rFonts w:hint="eastAsia" w:ascii="宋体" w:hAnsi="宋体" w:eastAsia="宋体" w:cs="宋体"/>
                <w:i w:val="0"/>
                <w:iCs w:val="0"/>
                <w:color w:val="000000"/>
                <w:kern w:val="0"/>
                <w:sz w:val="22"/>
                <w:szCs w:val="22"/>
                <w:u w:val="none"/>
                <w:lang w:val="en-US" w:eastAsia="zh-CN" w:bidi="ar"/>
              </w:rPr>
              <w:t>符合GB 18401-2010《国家纺织产品基本安全技术规范》技术标准，甲醛含量、可分解致癌芳香胺染料检测结果为合格；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5、海绵：采用中高档</w:t>
            </w:r>
            <w:r>
              <w:rPr>
                <w:rFonts w:hint="eastAsia" w:ascii="宋体" w:hAnsi="宋体" w:eastAsia="宋体" w:cs="宋体"/>
                <w:i w:val="0"/>
                <w:iCs w:val="0"/>
                <w:color w:val="000000"/>
                <w:kern w:val="0"/>
                <w:sz w:val="22"/>
                <w:szCs w:val="22"/>
                <w:u w:val="none"/>
                <w:lang w:val="en-US" w:eastAsia="zh-CN" w:bidi="ar"/>
              </w:rPr>
              <w:t>环保聚氨酯泡沫塑料海绵，符合GB/T 10802-2006《通用软质聚醚型聚氨酯泡沫塑料》标准，回弹率≥40%，拉伸强度≥150kPa，伸长率≥240%，撕裂强度≥4N/cm；</w:t>
            </w:r>
          </w:p>
        </w:tc>
        <w:tc>
          <w:tcPr>
            <w:tcW w:w="485" w:type="pct"/>
            <w:noWrap/>
            <w:vAlign w:val="center"/>
          </w:tcPr>
          <w:p w14:paraId="16CF57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小会议室</w:t>
            </w:r>
          </w:p>
        </w:tc>
      </w:tr>
      <w:tr w14:paraId="3F8D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0" w:hRule="atLeast"/>
        </w:trPr>
        <w:tc>
          <w:tcPr>
            <w:tcW w:w="251" w:type="pct"/>
            <w:noWrap/>
            <w:vAlign w:val="center"/>
          </w:tcPr>
          <w:p w14:paraId="6A0E3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50" w:type="pct"/>
            <w:noWrap w:val="0"/>
            <w:vAlign w:val="center"/>
          </w:tcPr>
          <w:p w14:paraId="622F0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茶水置放柜</w:t>
            </w:r>
          </w:p>
        </w:tc>
        <w:tc>
          <w:tcPr>
            <w:tcW w:w="1459" w:type="pct"/>
            <w:noWrap/>
            <w:vAlign w:val="center"/>
          </w:tcPr>
          <w:p w14:paraId="77E2DF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258445</wp:posOffset>
                  </wp:positionH>
                  <wp:positionV relativeFrom="paragraph">
                    <wp:posOffset>448310</wp:posOffset>
                  </wp:positionV>
                  <wp:extent cx="2075180" cy="2052955"/>
                  <wp:effectExtent l="0" t="0" r="1270" b="4445"/>
                  <wp:wrapNone/>
                  <wp:docPr id="24" name="图片_34"/>
                  <wp:cNvGraphicFramePr/>
                  <a:graphic xmlns:a="http://schemas.openxmlformats.org/drawingml/2006/main">
                    <a:graphicData uri="http://schemas.openxmlformats.org/drawingml/2006/picture">
                      <pic:pic xmlns:pic="http://schemas.openxmlformats.org/drawingml/2006/picture">
                        <pic:nvPicPr>
                          <pic:cNvPr id="24" name="图片_34"/>
                          <pic:cNvPicPr/>
                        </pic:nvPicPr>
                        <pic:blipFill>
                          <a:blip r:embed="rId10"/>
                          <a:stretch>
                            <a:fillRect/>
                          </a:stretch>
                        </pic:blipFill>
                        <pic:spPr>
                          <a:xfrm>
                            <a:off x="0" y="0"/>
                            <a:ext cx="2075180" cy="2052955"/>
                          </a:xfrm>
                          <a:prstGeom prst="rect">
                            <a:avLst/>
                          </a:prstGeom>
                          <a:noFill/>
                          <a:ln>
                            <a:noFill/>
                          </a:ln>
                        </pic:spPr>
                      </pic:pic>
                    </a:graphicData>
                  </a:graphic>
                </wp:anchor>
              </w:drawing>
            </w:r>
          </w:p>
        </w:tc>
        <w:tc>
          <w:tcPr>
            <w:tcW w:w="355" w:type="pct"/>
            <w:noWrap/>
            <w:vAlign w:val="center"/>
          </w:tcPr>
          <w:p w14:paraId="45FE96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1800*400*750</w:t>
            </w:r>
          </w:p>
        </w:tc>
        <w:tc>
          <w:tcPr>
            <w:tcW w:w="254" w:type="pct"/>
            <w:noWrap/>
            <w:vAlign w:val="center"/>
          </w:tcPr>
          <w:p w14:paraId="4174B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93" w:type="pct"/>
            <w:noWrap/>
            <w:vAlign w:val="center"/>
          </w:tcPr>
          <w:p w14:paraId="3D749D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8" w:type="dxa"/>
            <w:noWrap/>
            <w:vAlign w:val="center"/>
          </w:tcPr>
          <w:p w14:paraId="74150B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p>
        </w:tc>
        <w:tc>
          <w:tcPr>
            <w:tcW w:w="1289" w:type="pct"/>
            <w:noWrap w:val="0"/>
            <w:vAlign w:val="center"/>
          </w:tcPr>
          <w:p w14:paraId="6A9D31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柜体采用三聚氰胺板：要求静曲强度≥20.0MPa:内结合强度≥0.54MPa:含水率：6.5-7.2%，密度0.69-0.72g/Cm³,2h吸水厚度膨胀率≤0.8%,表面胶合强度≥1.45MPa,表面耐磨磨耗值≤10mg/100r,甲醛释放量：气候箱法E1≤0.015mg/m³。检验依据：GB/T15102-2017《浸渍胶膜纸饰面纤维板和刨花板》GB 18580-2017 《室内装饰装修材料  人造板及其制品中甲醛释放限量》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2、三聚氰胺纸：甲醛释放量B级≤3mg/L;检验依据：GB/T 28995-2012《人造板饰面专用纸》。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3、封边：采用中高档封边条，符合GB/T 4463-2013《家具用封边条技术要求》标准要求，甲醛释放量≤0.1mg/L。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4、五金件：选用优质五金配件。</w:t>
            </w:r>
          </w:p>
        </w:tc>
        <w:tc>
          <w:tcPr>
            <w:tcW w:w="485" w:type="pct"/>
            <w:noWrap/>
            <w:vAlign w:val="center"/>
          </w:tcPr>
          <w:p w14:paraId="11AA3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24小时驿站</w:t>
            </w:r>
          </w:p>
        </w:tc>
      </w:tr>
      <w:tr w14:paraId="6166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atLeast"/>
        </w:trPr>
        <w:tc>
          <w:tcPr>
            <w:tcW w:w="251" w:type="pct"/>
            <w:noWrap/>
            <w:vAlign w:val="center"/>
          </w:tcPr>
          <w:p w14:paraId="1213BF5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4"/>
                <w:szCs w:val="20"/>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50" w:type="pct"/>
            <w:noWrap w:val="0"/>
            <w:vAlign w:val="center"/>
          </w:tcPr>
          <w:p w14:paraId="5719EE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4"/>
                <w:szCs w:val="20"/>
                <w:highlight w:val="none"/>
                <w:u w:val="none"/>
              </w:rPr>
            </w:pPr>
            <w:r>
              <w:rPr>
                <w:rFonts w:hint="eastAsia" w:ascii="宋体" w:hAnsi="宋体" w:eastAsia="宋体" w:cs="宋体"/>
                <w:i w:val="0"/>
                <w:iCs w:val="0"/>
                <w:color w:val="000000"/>
                <w:kern w:val="0"/>
                <w:sz w:val="24"/>
                <w:szCs w:val="24"/>
                <w:highlight w:val="none"/>
                <w:u w:val="none"/>
                <w:lang w:val="en-US" w:eastAsia="zh-CN" w:bidi="ar"/>
              </w:rPr>
              <w:t>长条桌+4</w:t>
            </w:r>
            <w:r>
              <w:rPr>
                <w:rFonts w:hint="eastAsia" w:ascii="宋体" w:hAnsi="宋体" w:cs="宋体"/>
                <w:i w:val="0"/>
                <w:iCs w:val="0"/>
                <w:color w:val="000000"/>
                <w:kern w:val="0"/>
                <w:sz w:val="24"/>
                <w:szCs w:val="24"/>
                <w:highlight w:val="none"/>
                <w:u w:val="none"/>
                <w:lang w:val="en-US" w:eastAsia="zh-CN" w:bidi="ar"/>
              </w:rPr>
              <w:t>个</w:t>
            </w:r>
            <w:r>
              <w:rPr>
                <w:rFonts w:hint="eastAsia" w:ascii="宋体" w:hAnsi="宋体" w:eastAsia="宋体" w:cs="宋体"/>
                <w:i w:val="0"/>
                <w:iCs w:val="0"/>
                <w:color w:val="000000"/>
                <w:kern w:val="0"/>
                <w:sz w:val="24"/>
                <w:szCs w:val="24"/>
                <w:highlight w:val="none"/>
                <w:u w:val="none"/>
                <w:lang w:val="en-US" w:eastAsia="zh-CN" w:bidi="ar"/>
              </w:rPr>
              <w:t>圆凳</w:t>
            </w:r>
          </w:p>
        </w:tc>
        <w:tc>
          <w:tcPr>
            <w:tcW w:w="1459" w:type="pct"/>
            <w:noWrap/>
            <w:vAlign w:val="center"/>
          </w:tcPr>
          <w:p w14:paraId="4F8B1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60325</wp:posOffset>
                  </wp:positionH>
                  <wp:positionV relativeFrom="paragraph">
                    <wp:posOffset>541020</wp:posOffset>
                  </wp:positionV>
                  <wp:extent cx="2308860" cy="1562735"/>
                  <wp:effectExtent l="0" t="0" r="15240" b="18415"/>
                  <wp:wrapNone/>
                  <wp:docPr id="25" name="图片_33"/>
                  <wp:cNvGraphicFramePr/>
                  <a:graphic xmlns:a="http://schemas.openxmlformats.org/drawingml/2006/main">
                    <a:graphicData uri="http://schemas.openxmlformats.org/drawingml/2006/picture">
                      <pic:pic xmlns:pic="http://schemas.openxmlformats.org/drawingml/2006/picture">
                        <pic:nvPicPr>
                          <pic:cNvPr id="25" name="图片_33"/>
                          <pic:cNvPicPr/>
                        </pic:nvPicPr>
                        <pic:blipFill>
                          <a:blip r:embed="rId11"/>
                          <a:stretch>
                            <a:fillRect/>
                          </a:stretch>
                        </pic:blipFill>
                        <pic:spPr>
                          <a:xfrm>
                            <a:off x="0" y="0"/>
                            <a:ext cx="2308860" cy="1562735"/>
                          </a:xfrm>
                          <a:prstGeom prst="rect">
                            <a:avLst/>
                          </a:prstGeom>
                          <a:noFill/>
                          <a:ln>
                            <a:noFill/>
                          </a:ln>
                        </pic:spPr>
                      </pic:pic>
                    </a:graphicData>
                  </a:graphic>
                </wp:anchor>
              </w:drawing>
            </w:r>
          </w:p>
        </w:tc>
        <w:tc>
          <w:tcPr>
            <w:tcW w:w="355" w:type="pct"/>
            <w:noWrap w:val="0"/>
            <w:vAlign w:val="center"/>
          </w:tcPr>
          <w:p w14:paraId="6ABA2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1800*400*750+</w:t>
            </w:r>
            <w:r>
              <w:rPr>
                <w:rFonts w:hint="eastAsia" w:ascii="宋体" w:hAnsi="宋体" w:cs="宋体"/>
                <w:i w:val="0"/>
                <w:iCs w:val="0"/>
                <w:color w:val="000000"/>
                <w:kern w:val="0"/>
                <w:sz w:val="24"/>
                <w:szCs w:val="24"/>
                <w:u w:val="none"/>
                <w:lang w:val="en-US" w:eastAsia="zh-CN" w:bidi="ar"/>
              </w:rPr>
              <w:t>4个</w:t>
            </w:r>
            <w:r>
              <w:rPr>
                <w:rFonts w:hint="eastAsia" w:ascii="宋体" w:hAnsi="宋体" w:eastAsia="宋体" w:cs="宋体"/>
                <w:i w:val="0"/>
                <w:iCs w:val="0"/>
                <w:color w:val="000000"/>
                <w:kern w:val="0"/>
                <w:sz w:val="24"/>
                <w:szCs w:val="24"/>
                <w:u w:val="none"/>
                <w:lang w:val="en-US" w:eastAsia="zh-CN" w:bidi="ar"/>
              </w:rPr>
              <w:t>凳子直径350*850高</w:t>
            </w:r>
          </w:p>
        </w:tc>
        <w:tc>
          <w:tcPr>
            <w:tcW w:w="254" w:type="pct"/>
            <w:noWrap/>
            <w:vAlign w:val="center"/>
          </w:tcPr>
          <w:p w14:paraId="2E7F7D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293" w:type="pct"/>
            <w:noWrap/>
            <w:vAlign w:val="center"/>
          </w:tcPr>
          <w:p w14:paraId="66D9F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8" w:type="dxa"/>
            <w:noWrap/>
            <w:vAlign w:val="center"/>
          </w:tcPr>
          <w:p w14:paraId="7DCBD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1900</w:t>
            </w:r>
          </w:p>
        </w:tc>
        <w:tc>
          <w:tcPr>
            <w:tcW w:w="1289" w:type="pct"/>
            <w:noWrap w:val="0"/>
            <w:vAlign w:val="center"/>
          </w:tcPr>
          <w:p w14:paraId="28F635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桌子面板采用三聚氰胺板：要求静曲强度≥20.0MPa:内结合强度≥0.54MPa:含水率：6.5-7.2%，密度0.69-0.72g/Cm³,2h吸水厚度膨胀率≤0.8%,表面胶合强度≥1.45MPa,表面耐磨磨耗值≤10mg/100r,甲醛释放量：气候箱法E1≤0.015mg/m³。检验依据：GB/T15102-2017《浸渍胶膜纸饰面纤维板和刨花板》GB 18580-2017 《室内装饰装修材料  人造板及其制品中甲醛释放限量》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2、三聚氰胺纸：甲醛释放量B级≤3mg/L;检验依据：GB/T 28995-2012《人造板饰面专用纸》。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3、桌椅骨架：采用2.0MM厚优质热镀锌方管烤漆。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4、封边：采用中高档封边条</w:t>
            </w:r>
            <w:r>
              <w:rPr>
                <w:rFonts w:hint="eastAsia" w:ascii="宋体" w:hAnsi="宋体" w:eastAsia="宋体" w:cs="宋体"/>
                <w:i w:val="0"/>
                <w:iCs w:val="0"/>
                <w:color w:val="000000"/>
                <w:kern w:val="0"/>
                <w:sz w:val="22"/>
                <w:szCs w:val="22"/>
                <w:u w:val="none"/>
                <w:lang w:val="en-US" w:eastAsia="zh-CN" w:bidi="ar"/>
              </w:rPr>
              <w:t>，符合GB/T 4463-2013《家具用封边条技术要求》标准要求，甲醛释放量≤0.1mg/L。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5、五金件：选用优质五金配件</w:t>
            </w:r>
            <w:r>
              <w:rPr>
                <w:rFonts w:hint="eastAsia" w:ascii="宋体" w:hAnsi="宋体" w:eastAsia="宋体" w:cs="宋体"/>
                <w:i w:val="0"/>
                <w:iCs w:val="0"/>
                <w:color w:val="000000"/>
                <w:kern w:val="0"/>
                <w:sz w:val="22"/>
                <w:szCs w:val="22"/>
                <w:u w:val="none"/>
                <w:lang w:val="en-US" w:eastAsia="zh-CN" w:bidi="ar"/>
              </w:rPr>
              <w:t>。</w:t>
            </w:r>
          </w:p>
        </w:tc>
        <w:tc>
          <w:tcPr>
            <w:tcW w:w="485" w:type="pct"/>
            <w:noWrap/>
            <w:vAlign w:val="center"/>
          </w:tcPr>
          <w:p w14:paraId="1357A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24小时驿站</w:t>
            </w:r>
          </w:p>
        </w:tc>
      </w:tr>
      <w:tr w14:paraId="38B0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251" w:type="pct"/>
            <w:noWrap/>
            <w:vAlign w:val="center"/>
          </w:tcPr>
          <w:p w14:paraId="160E8B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50" w:type="pct"/>
            <w:noWrap w:val="0"/>
            <w:vAlign w:val="center"/>
          </w:tcPr>
          <w:p w14:paraId="4E1325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长条沙发</w:t>
            </w:r>
          </w:p>
        </w:tc>
        <w:tc>
          <w:tcPr>
            <w:tcW w:w="1459" w:type="pct"/>
            <w:noWrap/>
            <w:vAlign w:val="center"/>
          </w:tcPr>
          <w:p w14:paraId="68098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87630</wp:posOffset>
                  </wp:positionH>
                  <wp:positionV relativeFrom="paragraph">
                    <wp:posOffset>1362075</wp:posOffset>
                  </wp:positionV>
                  <wp:extent cx="2214880" cy="1092200"/>
                  <wp:effectExtent l="0" t="0" r="13970" b="12700"/>
                  <wp:wrapNone/>
                  <wp:docPr id="34" name="图片_32"/>
                  <wp:cNvGraphicFramePr/>
                  <a:graphic xmlns:a="http://schemas.openxmlformats.org/drawingml/2006/main">
                    <a:graphicData uri="http://schemas.openxmlformats.org/drawingml/2006/picture">
                      <pic:pic xmlns:pic="http://schemas.openxmlformats.org/drawingml/2006/picture">
                        <pic:nvPicPr>
                          <pic:cNvPr id="34" name="图片_32"/>
                          <pic:cNvPicPr/>
                        </pic:nvPicPr>
                        <pic:blipFill>
                          <a:blip r:embed="rId12"/>
                          <a:stretch>
                            <a:fillRect/>
                          </a:stretch>
                        </pic:blipFill>
                        <pic:spPr>
                          <a:xfrm>
                            <a:off x="0" y="0"/>
                            <a:ext cx="2214880" cy="1092200"/>
                          </a:xfrm>
                          <a:prstGeom prst="rect">
                            <a:avLst/>
                          </a:prstGeom>
                          <a:noFill/>
                          <a:ln>
                            <a:noFill/>
                          </a:ln>
                        </pic:spPr>
                      </pic:pic>
                    </a:graphicData>
                  </a:graphic>
                </wp:anchor>
              </w:drawing>
            </w:r>
          </w:p>
        </w:tc>
        <w:tc>
          <w:tcPr>
            <w:tcW w:w="355" w:type="pct"/>
            <w:noWrap/>
            <w:vAlign w:val="center"/>
          </w:tcPr>
          <w:p w14:paraId="3E86A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1500*400*450</w:t>
            </w:r>
          </w:p>
        </w:tc>
        <w:tc>
          <w:tcPr>
            <w:tcW w:w="254" w:type="pct"/>
            <w:noWrap/>
            <w:vAlign w:val="center"/>
          </w:tcPr>
          <w:p w14:paraId="4ECBF9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93" w:type="pct"/>
            <w:noWrap/>
            <w:vAlign w:val="center"/>
          </w:tcPr>
          <w:p w14:paraId="54A17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8" w:type="dxa"/>
            <w:noWrap/>
            <w:vAlign w:val="center"/>
          </w:tcPr>
          <w:p w14:paraId="364AD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w:t>
            </w:r>
          </w:p>
        </w:tc>
        <w:tc>
          <w:tcPr>
            <w:tcW w:w="1289" w:type="pct"/>
            <w:noWrap w:val="0"/>
            <w:vAlign w:val="center"/>
          </w:tcPr>
          <w:p w14:paraId="57CFDE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1、沙发面料：采用优质头层牛皮，符合GB 18401-2010《国家纺织产品基本安全技术规范》，甲醛含量（C类）未检出（检出限：20mg/kg）。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2、海绵：采用成型棉：符合GB/T 10802- 2023《通用软质聚氨酯泡沫塑料》、GB17927.1-2011《软体家具 床垫和沙发 抗引燃特性的评定 第1部分：阴燃的香烟》、QB/T 2280-2016《办公家具 办公椅》标准，甲醛释放量≤0.05mg/ ㎡h， TV0C ≤0.25mg/㎡h，香烟抗引燃特性试验未观察到表面出现任何续燃、阴燃现象，评定阻燃达到Ⅰ级。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3、框架：采用优质橡胶木，符合GB/T 16734-1997《中国主要木材名称》、GB/T 29894-2013《木材鉴别方法通则》、GB 18584-2001《室内装饰装修材料 木家具中有害物质限量》标准，甲醛释放量（mg/L）≤0.05。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4、打底：高弹力弹簧+尼龙绷带。</w:t>
            </w:r>
          </w:p>
        </w:tc>
        <w:tc>
          <w:tcPr>
            <w:tcW w:w="485" w:type="pct"/>
            <w:noWrap/>
            <w:vAlign w:val="center"/>
          </w:tcPr>
          <w:p w14:paraId="10A33D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24小时驿站</w:t>
            </w:r>
          </w:p>
        </w:tc>
      </w:tr>
      <w:tr w14:paraId="0484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trPr>
        <w:tc>
          <w:tcPr>
            <w:tcW w:w="251" w:type="pct"/>
            <w:noWrap/>
            <w:vAlign w:val="center"/>
          </w:tcPr>
          <w:p w14:paraId="4ED177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50" w:type="pct"/>
            <w:noWrap w:val="0"/>
            <w:vAlign w:val="center"/>
          </w:tcPr>
          <w:p w14:paraId="5F202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定制休闲圆桌</w:t>
            </w:r>
          </w:p>
        </w:tc>
        <w:tc>
          <w:tcPr>
            <w:tcW w:w="1459" w:type="pct"/>
            <w:noWrap/>
            <w:vAlign w:val="center"/>
          </w:tcPr>
          <w:p w14:paraId="12096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142240</wp:posOffset>
                  </wp:positionH>
                  <wp:positionV relativeFrom="paragraph">
                    <wp:posOffset>210820</wp:posOffset>
                  </wp:positionV>
                  <wp:extent cx="2244725" cy="1668780"/>
                  <wp:effectExtent l="0" t="0" r="3175" b="7620"/>
                  <wp:wrapNone/>
                  <wp:docPr id="33" name="图片_6"/>
                  <wp:cNvGraphicFramePr/>
                  <a:graphic xmlns:a="http://schemas.openxmlformats.org/drawingml/2006/main">
                    <a:graphicData uri="http://schemas.openxmlformats.org/drawingml/2006/picture">
                      <pic:pic xmlns:pic="http://schemas.openxmlformats.org/drawingml/2006/picture">
                        <pic:nvPicPr>
                          <pic:cNvPr id="33" name="图片_6"/>
                          <pic:cNvPicPr/>
                        </pic:nvPicPr>
                        <pic:blipFill>
                          <a:blip r:embed="rId13"/>
                          <a:stretch>
                            <a:fillRect/>
                          </a:stretch>
                        </pic:blipFill>
                        <pic:spPr>
                          <a:xfrm>
                            <a:off x="0" y="0"/>
                            <a:ext cx="2244725" cy="1668780"/>
                          </a:xfrm>
                          <a:prstGeom prst="rect">
                            <a:avLst/>
                          </a:prstGeom>
                          <a:noFill/>
                          <a:ln>
                            <a:noFill/>
                          </a:ln>
                        </pic:spPr>
                      </pic:pic>
                    </a:graphicData>
                  </a:graphic>
                </wp:anchor>
              </w:drawing>
            </w:r>
          </w:p>
        </w:tc>
        <w:tc>
          <w:tcPr>
            <w:tcW w:w="355" w:type="pct"/>
            <w:noWrap/>
            <w:vAlign w:val="center"/>
          </w:tcPr>
          <w:p w14:paraId="6BCCC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直径700</w:t>
            </w:r>
          </w:p>
        </w:tc>
        <w:tc>
          <w:tcPr>
            <w:tcW w:w="254" w:type="pct"/>
            <w:noWrap/>
            <w:vAlign w:val="center"/>
          </w:tcPr>
          <w:p w14:paraId="3D0F7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93" w:type="pct"/>
            <w:noWrap/>
            <w:vAlign w:val="center"/>
          </w:tcPr>
          <w:p w14:paraId="76A152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28" w:type="dxa"/>
            <w:noWrap/>
            <w:vAlign w:val="center"/>
          </w:tcPr>
          <w:p w14:paraId="3EE7C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w:t>
            </w:r>
          </w:p>
        </w:tc>
        <w:tc>
          <w:tcPr>
            <w:tcW w:w="1289" w:type="pct"/>
            <w:noWrap w:val="0"/>
            <w:vAlign w:val="center"/>
          </w:tcPr>
          <w:p w14:paraId="786CE7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1、圆桌面材：选用优质特级白蜡木，优良生产工艺烘干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2、油漆：采用中高档环保油漆</w:t>
            </w:r>
            <w:r>
              <w:rPr>
                <w:rFonts w:hint="eastAsia" w:ascii="宋体" w:hAnsi="宋体" w:eastAsia="宋体" w:cs="宋体"/>
                <w:i w:val="0"/>
                <w:iCs w:val="0"/>
                <w:color w:val="000000"/>
                <w:kern w:val="0"/>
                <w:sz w:val="22"/>
                <w:szCs w:val="22"/>
                <w:u w:val="none"/>
                <w:lang w:val="en-US" w:eastAsia="zh-CN" w:bidi="ar"/>
              </w:rPr>
              <w:t>,非显孔亚光，两面均衡油饰,漆膜附着力达到1级；                                                                                                                                     3、脚架：优质白蜡木四脚椅架</w:t>
            </w:r>
            <w:r>
              <w:rPr>
                <w:rFonts w:hint="eastAsia" w:ascii="宋体" w:hAnsi="宋体" w:eastAsia="宋体" w:cs="宋体"/>
                <w:i w:val="0"/>
                <w:iCs w:val="0"/>
                <w:color w:val="000000"/>
                <w:kern w:val="0"/>
                <w:sz w:val="22"/>
                <w:szCs w:val="22"/>
                <w:u w:val="none"/>
                <w:lang w:val="en-US" w:eastAsia="zh-CN" w:bidi="ar"/>
              </w:rPr>
              <w:t>，符合或优于国家标准，木制件外观贯通裂缝、虫蛀、腐朽材、树脂囊、节子、死节、孔洞、夹皮和树脂道、树脂道、其他轻微材质缺陷未见缺陷，木工要求合格，漆膜外观要求合格。</w:t>
            </w:r>
          </w:p>
        </w:tc>
        <w:tc>
          <w:tcPr>
            <w:tcW w:w="485" w:type="pct"/>
            <w:noWrap/>
            <w:vAlign w:val="center"/>
          </w:tcPr>
          <w:p w14:paraId="69FCF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w:t>
            </w:r>
          </w:p>
        </w:tc>
      </w:tr>
      <w:tr w14:paraId="4FA7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51" w:type="pct"/>
            <w:noWrap/>
            <w:vAlign w:val="center"/>
          </w:tcPr>
          <w:p w14:paraId="03089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50" w:type="pct"/>
            <w:noWrap w:val="0"/>
            <w:vAlign w:val="center"/>
          </w:tcPr>
          <w:p w14:paraId="6B6CC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定制休闲椅子</w:t>
            </w:r>
          </w:p>
        </w:tc>
        <w:tc>
          <w:tcPr>
            <w:tcW w:w="1459" w:type="pct"/>
            <w:noWrap/>
            <w:vAlign w:val="center"/>
          </w:tcPr>
          <w:p w14:paraId="5AEFD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111760</wp:posOffset>
                  </wp:positionH>
                  <wp:positionV relativeFrom="paragraph">
                    <wp:posOffset>201930</wp:posOffset>
                  </wp:positionV>
                  <wp:extent cx="2233930" cy="1681480"/>
                  <wp:effectExtent l="0" t="0" r="13970" b="13970"/>
                  <wp:wrapNone/>
                  <wp:docPr id="35" name="图片_7"/>
                  <wp:cNvGraphicFramePr/>
                  <a:graphic xmlns:a="http://schemas.openxmlformats.org/drawingml/2006/main">
                    <a:graphicData uri="http://schemas.openxmlformats.org/drawingml/2006/picture">
                      <pic:pic xmlns:pic="http://schemas.openxmlformats.org/drawingml/2006/picture">
                        <pic:nvPicPr>
                          <pic:cNvPr id="35" name="图片_7"/>
                          <pic:cNvPicPr/>
                        </pic:nvPicPr>
                        <pic:blipFill>
                          <a:blip r:embed="rId14"/>
                          <a:stretch>
                            <a:fillRect/>
                          </a:stretch>
                        </pic:blipFill>
                        <pic:spPr>
                          <a:xfrm>
                            <a:off x="0" y="0"/>
                            <a:ext cx="2233930" cy="1681480"/>
                          </a:xfrm>
                          <a:prstGeom prst="rect">
                            <a:avLst/>
                          </a:prstGeom>
                          <a:noFill/>
                          <a:ln>
                            <a:noFill/>
                          </a:ln>
                        </pic:spPr>
                      </pic:pic>
                    </a:graphicData>
                  </a:graphic>
                </wp:anchor>
              </w:drawing>
            </w:r>
          </w:p>
        </w:tc>
        <w:tc>
          <w:tcPr>
            <w:tcW w:w="355" w:type="pct"/>
            <w:noWrap/>
            <w:vAlign w:val="center"/>
          </w:tcPr>
          <w:p w14:paraId="68437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450*550*950</w:t>
            </w:r>
          </w:p>
        </w:tc>
        <w:tc>
          <w:tcPr>
            <w:tcW w:w="254" w:type="pct"/>
            <w:noWrap/>
            <w:vAlign w:val="center"/>
          </w:tcPr>
          <w:p w14:paraId="22384C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93" w:type="pct"/>
            <w:noWrap/>
            <w:vAlign w:val="center"/>
          </w:tcPr>
          <w:p w14:paraId="5A64A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28" w:type="dxa"/>
            <w:noWrap/>
            <w:vAlign w:val="center"/>
          </w:tcPr>
          <w:p w14:paraId="7B33BC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w:t>
            </w:r>
          </w:p>
        </w:tc>
        <w:tc>
          <w:tcPr>
            <w:tcW w:w="1289" w:type="pct"/>
            <w:noWrap w:val="0"/>
            <w:vAlign w:val="center"/>
          </w:tcPr>
          <w:p w14:paraId="2E83B3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1、椅子面材：选用优质特级白蜡木，优良生产工艺烘干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2、油漆：采用中高档环保油漆</w:t>
            </w:r>
            <w:r>
              <w:rPr>
                <w:rFonts w:hint="eastAsia" w:ascii="宋体" w:hAnsi="宋体" w:eastAsia="宋体" w:cs="宋体"/>
                <w:i w:val="0"/>
                <w:iCs w:val="0"/>
                <w:color w:val="000000"/>
                <w:kern w:val="0"/>
                <w:sz w:val="22"/>
                <w:szCs w:val="22"/>
                <w:u w:val="none"/>
                <w:lang w:val="en-US" w:eastAsia="zh-CN" w:bidi="ar"/>
              </w:rPr>
              <w:t>,非显孔亚光，两面均衡油饰,漆膜附着力达到1级；                                                                                                                                     3、椅架：优质白蜡木四脚椅架</w:t>
            </w:r>
            <w:r>
              <w:rPr>
                <w:rFonts w:hint="eastAsia" w:ascii="宋体" w:hAnsi="宋体" w:eastAsia="宋体" w:cs="宋体"/>
                <w:i w:val="0"/>
                <w:iCs w:val="0"/>
                <w:color w:val="000000"/>
                <w:kern w:val="0"/>
                <w:sz w:val="22"/>
                <w:szCs w:val="22"/>
                <w:u w:val="none"/>
                <w:lang w:val="en-US" w:eastAsia="zh-CN" w:bidi="ar"/>
              </w:rPr>
              <w:t>，符合或优于国家标准，木制件外观贯通裂缝、虫蛀、腐朽材、树脂囊、节子、死节、孔洞、夹皮和树脂道、树脂道、其他轻微材质缺陷未见缺陷，木工要求合格，漆膜外观要求合格。4、面材：采用优质环保网布，符合GB 18401-2010《国家纺织产品基本安全技术规范》技术标准，甲醛含量、可分解致癌芳香胺染料检测结果为合格；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5、海绵：采用中高档</w:t>
            </w:r>
            <w:r>
              <w:rPr>
                <w:rFonts w:hint="eastAsia" w:ascii="宋体" w:hAnsi="宋体" w:eastAsia="宋体" w:cs="宋体"/>
                <w:i w:val="0"/>
                <w:iCs w:val="0"/>
                <w:color w:val="000000"/>
                <w:kern w:val="0"/>
                <w:sz w:val="22"/>
                <w:szCs w:val="22"/>
                <w:u w:val="none"/>
                <w:lang w:val="en-US" w:eastAsia="zh-CN" w:bidi="ar"/>
              </w:rPr>
              <w:t>环保聚氨酯泡沫塑料海绵，符合GB/T 10802-2006《通用软质聚醚型聚氨酯泡沫塑料》标准，回弹率≥40%，拉伸强度≥150kPa，伸长率≥240%，撕裂强度≥4N/cm；</w:t>
            </w:r>
          </w:p>
        </w:tc>
        <w:tc>
          <w:tcPr>
            <w:tcW w:w="485" w:type="pct"/>
            <w:noWrap/>
            <w:vAlign w:val="center"/>
          </w:tcPr>
          <w:p w14:paraId="2901E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w:t>
            </w:r>
          </w:p>
        </w:tc>
      </w:tr>
      <w:tr w14:paraId="315D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251" w:type="pct"/>
            <w:noWrap/>
            <w:vAlign w:val="center"/>
          </w:tcPr>
          <w:p w14:paraId="18AEA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50" w:type="pct"/>
            <w:noWrap w:val="0"/>
            <w:vAlign w:val="center"/>
          </w:tcPr>
          <w:p w14:paraId="73A154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定制靠背组合沙发</w:t>
            </w:r>
          </w:p>
        </w:tc>
        <w:tc>
          <w:tcPr>
            <w:tcW w:w="1459" w:type="pct"/>
            <w:noWrap/>
            <w:vAlign w:val="center"/>
          </w:tcPr>
          <w:p w14:paraId="45E45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99060</wp:posOffset>
                  </wp:positionH>
                  <wp:positionV relativeFrom="paragraph">
                    <wp:posOffset>283845</wp:posOffset>
                  </wp:positionV>
                  <wp:extent cx="2165985" cy="1517650"/>
                  <wp:effectExtent l="0" t="0" r="5715" b="6350"/>
                  <wp:wrapNone/>
                  <wp:docPr id="36" name="图片_8"/>
                  <wp:cNvGraphicFramePr/>
                  <a:graphic xmlns:a="http://schemas.openxmlformats.org/drawingml/2006/main">
                    <a:graphicData uri="http://schemas.openxmlformats.org/drawingml/2006/picture">
                      <pic:pic xmlns:pic="http://schemas.openxmlformats.org/drawingml/2006/picture">
                        <pic:nvPicPr>
                          <pic:cNvPr id="36" name="图片_8"/>
                          <pic:cNvPicPr/>
                        </pic:nvPicPr>
                        <pic:blipFill>
                          <a:blip r:embed="rId15"/>
                          <a:stretch>
                            <a:fillRect/>
                          </a:stretch>
                        </pic:blipFill>
                        <pic:spPr>
                          <a:xfrm>
                            <a:off x="0" y="0"/>
                            <a:ext cx="2165985" cy="1517650"/>
                          </a:xfrm>
                          <a:prstGeom prst="rect">
                            <a:avLst/>
                          </a:prstGeom>
                          <a:noFill/>
                          <a:ln>
                            <a:noFill/>
                          </a:ln>
                        </pic:spPr>
                      </pic:pic>
                    </a:graphicData>
                  </a:graphic>
                </wp:anchor>
              </w:drawing>
            </w:r>
          </w:p>
        </w:tc>
        <w:tc>
          <w:tcPr>
            <w:tcW w:w="355" w:type="pct"/>
            <w:noWrap/>
            <w:vAlign w:val="center"/>
          </w:tcPr>
          <w:p w14:paraId="1D0E9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1500*400*700*4方*2套</w:t>
            </w:r>
          </w:p>
        </w:tc>
        <w:tc>
          <w:tcPr>
            <w:tcW w:w="254" w:type="pct"/>
            <w:noWrap/>
            <w:vAlign w:val="center"/>
          </w:tcPr>
          <w:p w14:paraId="43C85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293" w:type="pct"/>
            <w:noWrap/>
            <w:vAlign w:val="center"/>
          </w:tcPr>
          <w:p w14:paraId="01F4C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28" w:type="dxa"/>
            <w:noWrap/>
            <w:vAlign w:val="center"/>
          </w:tcPr>
          <w:p w14:paraId="5F785B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7500</w:t>
            </w:r>
          </w:p>
        </w:tc>
        <w:tc>
          <w:tcPr>
            <w:tcW w:w="1289" w:type="pct"/>
            <w:noWrap w:val="0"/>
            <w:vAlign w:val="center"/>
          </w:tcPr>
          <w:p w14:paraId="5721F5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1、定制沙发面料：采用优质头层牛皮，符合GB 18401-2010《国家纺织产品基本安全技术规范》，甲醛含量（C类）未检出（检出限：20mg/kg）。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2、海绵：采用成型棉：符合GB/T 10802- 2023《通用软质聚氨酯泡沫塑料》、GB17927.1-2011《软体家具 床垫和沙发 抗引燃特性的评定 第1部分：阴燃的香烟》、QB/T 2280-2016《办公家具 办公椅》标准，甲醛释放量≤0.05mg/ ㎡h， TV0C ≤0.25mg/㎡h，香烟抗引燃特性试验未观察到表面出现任何续燃、阴燃现象，评定阻燃达到Ⅰ级。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3、框架：采用优质橡胶木，符合GB/T 16734-1997《中国主要木材名称》、GB/T 29894-2013《木材鉴别方法通则》、GB 18584-2001《室内装饰装修材料 木家具中有害物质限量》标准，甲醛释放量（mg/L）≤0.05。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4、打底：高弹力弹簧+尼龙绷带。</w:t>
            </w:r>
          </w:p>
        </w:tc>
        <w:tc>
          <w:tcPr>
            <w:tcW w:w="485" w:type="pct"/>
            <w:noWrap/>
            <w:vAlign w:val="center"/>
          </w:tcPr>
          <w:p w14:paraId="39679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大厅书架旁</w:t>
            </w:r>
          </w:p>
        </w:tc>
      </w:tr>
      <w:tr w14:paraId="2E51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251" w:type="pct"/>
            <w:noWrap/>
            <w:vAlign w:val="center"/>
          </w:tcPr>
          <w:p w14:paraId="4284A9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50" w:type="pct"/>
            <w:noWrap w:val="0"/>
            <w:vAlign w:val="center"/>
          </w:tcPr>
          <w:p w14:paraId="498EB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圆形坐垫</w:t>
            </w:r>
          </w:p>
        </w:tc>
        <w:tc>
          <w:tcPr>
            <w:tcW w:w="1459" w:type="pct"/>
            <w:noWrap/>
            <w:vAlign w:val="center"/>
          </w:tcPr>
          <w:p w14:paraId="024AC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346710</wp:posOffset>
                  </wp:positionH>
                  <wp:positionV relativeFrom="paragraph">
                    <wp:posOffset>529590</wp:posOffset>
                  </wp:positionV>
                  <wp:extent cx="1627505" cy="1423035"/>
                  <wp:effectExtent l="0" t="0" r="10795" b="5715"/>
                  <wp:wrapNone/>
                  <wp:docPr id="31" name="图片_9"/>
                  <wp:cNvGraphicFramePr/>
                  <a:graphic xmlns:a="http://schemas.openxmlformats.org/drawingml/2006/main">
                    <a:graphicData uri="http://schemas.openxmlformats.org/drawingml/2006/picture">
                      <pic:pic xmlns:pic="http://schemas.openxmlformats.org/drawingml/2006/picture">
                        <pic:nvPicPr>
                          <pic:cNvPr id="31" name="图片_9"/>
                          <pic:cNvPicPr/>
                        </pic:nvPicPr>
                        <pic:blipFill>
                          <a:blip r:embed="rId16"/>
                          <a:stretch>
                            <a:fillRect/>
                          </a:stretch>
                        </pic:blipFill>
                        <pic:spPr>
                          <a:xfrm>
                            <a:off x="0" y="0"/>
                            <a:ext cx="1627505" cy="1423035"/>
                          </a:xfrm>
                          <a:prstGeom prst="rect">
                            <a:avLst/>
                          </a:prstGeom>
                          <a:noFill/>
                          <a:ln>
                            <a:noFill/>
                          </a:ln>
                        </pic:spPr>
                      </pic:pic>
                    </a:graphicData>
                  </a:graphic>
                </wp:anchor>
              </w:drawing>
            </w:r>
          </w:p>
        </w:tc>
        <w:tc>
          <w:tcPr>
            <w:tcW w:w="355" w:type="pct"/>
            <w:noWrap/>
            <w:vAlign w:val="center"/>
          </w:tcPr>
          <w:p w14:paraId="0308A1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直径400</w:t>
            </w:r>
          </w:p>
        </w:tc>
        <w:tc>
          <w:tcPr>
            <w:tcW w:w="254" w:type="pct"/>
            <w:noWrap/>
            <w:vAlign w:val="center"/>
          </w:tcPr>
          <w:p w14:paraId="73B61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93" w:type="pct"/>
            <w:noWrap/>
            <w:vAlign w:val="center"/>
          </w:tcPr>
          <w:p w14:paraId="3AADCE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28" w:type="dxa"/>
            <w:noWrap/>
            <w:vAlign w:val="center"/>
          </w:tcPr>
          <w:p w14:paraId="43AAD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289" w:type="pct"/>
            <w:noWrap w:val="0"/>
            <w:vAlign w:val="center"/>
          </w:tcPr>
          <w:p w14:paraId="218DEA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1、面材：采用优质环保网</w:t>
            </w:r>
            <w:r>
              <w:rPr>
                <w:rFonts w:hint="eastAsia" w:ascii="宋体" w:hAnsi="宋体" w:eastAsia="宋体" w:cs="宋体"/>
                <w:i w:val="0"/>
                <w:iCs w:val="0"/>
                <w:color w:val="000000"/>
                <w:kern w:val="0"/>
                <w:sz w:val="22"/>
                <w:szCs w:val="22"/>
                <w:u w:val="none"/>
                <w:lang w:val="en-US" w:eastAsia="zh-CN" w:bidi="ar"/>
              </w:rPr>
              <w:t>布，符合GB 18401-2010《国家纺织产品基本安全技术规范》技术标准，甲醛含量、可分解致癌芳香胺染料检测结果为合格；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2、海绵：采用中高档环</w:t>
            </w:r>
            <w:r>
              <w:rPr>
                <w:rFonts w:hint="eastAsia" w:ascii="宋体" w:hAnsi="宋体" w:eastAsia="宋体" w:cs="宋体"/>
                <w:i w:val="0"/>
                <w:iCs w:val="0"/>
                <w:color w:val="000000"/>
                <w:kern w:val="0"/>
                <w:sz w:val="22"/>
                <w:szCs w:val="22"/>
                <w:u w:val="none"/>
                <w:lang w:val="en-US" w:eastAsia="zh-CN" w:bidi="ar"/>
              </w:rPr>
              <w:t>保聚氨酯泡沫塑料海绵，符合GB/T 10802-2006《通用软质聚醚型聚氨酯泡沫塑料》标准，回弹率≥40%，拉伸强度≥150kPa，伸长率≥2</w:t>
            </w:r>
            <w:bookmarkStart w:id="177" w:name="_GoBack"/>
            <w:bookmarkEnd w:id="177"/>
            <w:r>
              <w:rPr>
                <w:rFonts w:hint="eastAsia" w:ascii="宋体" w:hAnsi="宋体" w:eastAsia="宋体" w:cs="宋体"/>
                <w:i w:val="0"/>
                <w:iCs w:val="0"/>
                <w:color w:val="000000"/>
                <w:kern w:val="0"/>
                <w:sz w:val="22"/>
                <w:szCs w:val="22"/>
                <w:u w:val="none"/>
                <w:lang w:val="en-US" w:eastAsia="zh-CN" w:bidi="ar"/>
              </w:rPr>
              <w:t>40%，撕裂强度≥4N/cm；</w:t>
            </w:r>
          </w:p>
        </w:tc>
        <w:tc>
          <w:tcPr>
            <w:tcW w:w="485" w:type="pct"/>
            <w:noWrap/>
            <w:vAlign w:val="center"/>
          </w:tcPr>
          <w:p w14:paraId="6FACBC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大厅书架底座上</w:t>
            </w:r>
          </w:p>
        </w:tc>
      </w:tr>
      <w:tr w14:paraId="515B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251" w:type="pct"/>
            <w:noWrap/>
            <w:vAlign w:val="center"/>
          </w:tcPr>
          <w:p w14:paraId="24870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50" w:type="pct"/>
            <w:noWrap w:val="0"/>
            <w:vAlign w:val="center"/>
          </w:tcPr>
          <w:p w14:paraId="612BB5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金属收纳柜</w:t>
            </w:r>
          </w:p>
        </w:tc>
        <w:tc>
          <w:tcPr>
            <w:tcW w:w="1459" w:type="pct"/>
            <w:noWrap/>
            <w:vAlign w:val="center"/>
          </w:tcPr>
          <w:p w14:paraId="3BDFED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214630</wp:posOffset>
                  </wp:positionH>
                  <wp:positionV relativeFrom="paragraph">
                    <wp:posOffset>450850</wp:posOffset>
                  </wp:positionV>
                  <wp:extent cx="1966595" cy="2579370"/>
                  <wp:effectExtent l="0" t="0" r="14605" b="11430"/>
                  <wp:wrapNone/>
                  <wp:docPr id="37" name="图片_31"/>
                  <wp:cNvGraphicFramePr/>
                  <a:graphic xmlns:a="http://schemas.openxmlformats.org/drawingml/2006/main">
                    <a:graphicData uri="http://schemas.openxmlformats.org/drawingml/2006/picture">
                      <pic:pic xmlns:pic="http://schemas.openxmlformats.org/drawingml/2006/picture">
                        <pic:nvPicPr>
                          <pic:cNvPr id="37" name="图片_31"/>
                          <pic:cNvPicPr/>
                        </pic:nvPicPr>
                        <pic:blipFill>
                          <a:blip r:embed="rId17"/>
                          <a:stretch>
                            <a:fillRect/>
                          </a:stretch>
                        </pic:blipFill>
                        <pic:spPr>
                          <a:xfrm>
                            <a:off x="0" y="0"/>
                            <a:ext cx="1966595" cy="2579370"/>
                          </a:xfrm>
                          <a:prstGeom prst="rect">
                            <a:avLst/>
                          </a:prstGeom>
                          <a:noFill/>
                          <a:ln>
                            <a:noFill/>
                          </a:ln>
                        </pic:spPr>
                      </pic:pic>
                    </a:graphicData>
                  </a:graphic>
                </wp:anchor>
              </w:drawing>
            </w:r>
          </w:p>
        </w:tc>
        <w:tc>
          <w:tcPr>
            <w:tcW w:w="355" w:type="pct"/>
            <w:noWrap/>
            <w:vAlign w:val="center"/>
          </w:tcPr>
          <w:p w14:paraId="25EFA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1800*350*2000</w:t>
            </w:r>
          </w:p>
        </w:tc>
        <w:tc>
          <w:tcPr>
            <w:tcW w:w="254" w:type="pct"/>
            <w:noWrap/>
            <w:vAlign w:val="center"/>
          </w:tcPr>
          <w:p w14:paraId="57C30A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93" w:type="pct"/>
            <w:noWrap/>
            <w:vAlign w:val="center"/>
          </w:tcPr>
          <w:p w14:paraId="4FE6C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8" w:type="dxa"/>
            <w:noWrap/>
            <w:vAlign w:val="center"/>
          </w:tcPr>
          <w:p w14:paraId="1B123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1900</w:t>
            </w:r>
          </w:p>
        </w:tc>
        <w:tc>
          <w:tcPr>
            <w:tcW w:w="1289" w:type="pct"/>
            <w:noWrap w:val="0"/>
            <w:vAlign w:val="center"/>
          </w:tcPr>
          <w:p w14:paraId="17EAA7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1、金属收纳柜结构：采用12毫米薄边设计，内部采用上二下一可调隔板。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2、材料：采用0.8mm厚 优质一级冷轧钢板，经过酸洗、磷化、除油、除锈、等十位工艺处理不易生锈经久耐用点焊、无漏焊假焊、焊疤。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3、涂层:环氧聚酯粉末，抗撞击、耐腐蚀性强、光泽性好、附着力强、整体采用灰色亚光漆。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4、配件:优质铝合金拉手、望通锁具互开率极低。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5、造型:上玻下铁门造型，空间利用率大、外型优美有质感。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6、功能:门、开拉顺畅无阻挡、门缝间隙一致、柜体外形轮廓垂直无变型。</w:t>
            </w:r>
          </w:p>
        </w:tc>
        <w:tc>
          <w:tcPr>
            <w:tcW w:w="485" w:type="pct"/>
            <w:noWrap/>
            <w:vAlign w:val="center"/>
          </w:tcPr>
          <w:p w14:paraId="491F1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24小时驿站</w:t>
            </w:r>
          </w:p>
        </w:tc>
      </w:tr>
      <w:tr w14:paraId="0646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2" w:hRule="atLeast"/>
        </w:trPr>
        <w:tc>
          <w:tcPr>
            <w:tcW w:w="251" w:type="pct"/>
            <w:noWrap/>
            <w:vAlign w:val="center"/>
          </w:tcPr>
          <w:p w14:paraId="3E629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50" w:type="pct"/>
            <w:noWrap w:val="0"/>
            <w:vAlign w:val="center"/>
          </w:tcPr>
          <w:p w14:paraId="5D151C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办公桌椅（四桌</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四椅）</w:t>
            </w:r>
          </w:p>
        </w:tc>
        <w:tc>
          <w:tcPr>
            <w:tcW w:w="1459" w:type="pct"/>
            <w:noWrap/>
            <w:vAlign w:val="center"/>
          </w:tcPr>
          <w:p w14:paraId="7F97C0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104140</wp:posOffset>
                  </wp:positionH>
                  <wp:positionV relativeFrom="paragraph">
                    <wp:posOffset>1240790</wp:posOffset>
                  </wp:positionV>
                  <wp:extent cx="2317750" cy="2299335"/>
                  <wp:effectExtent l="0" t="0" r="6350" b="5715"/>
                  <wp:wrapNone/>
                  <wp:docPr id="28" name="图片_29"/>
                  <wp:cNvGraphicFramePr/>
                  <a:graphic xmlns:a="http://schemas.openxmlformats.org/drawingml/2006/main">
                    <a:graphicData uri="http://schemas.openxmlformats.org/drawingml/2006/picture">
                      <pic:pic xmlns:pic="http://schemas.openxmlformats.org/drawingml/2006/picture">
                        <pic:nvPicPr>
                          <pic:cNvPr id="28" name="图片_29"/>
                          <pic:cNvPicPr/>
                        </pic:nvPicPr>
                        <pic:blipFill>
                          <a:blip r:embed="rId18"/>
                          <a:stretch>
                            <a:fillRect/>
                          </a:stretch>
                        </pic:blipFill>
                        <pic:spPr>
                          <a:xfrm>
                            <a:off x="0" y="0"/>
                            <a:ext cx="2317750" cy="2299335"/>
                          </a:xfrm>
                          <a:prstGeom prst="rect">
                            <a:avLst/>
                          </a:prstGeom>
                          <a:noFill/>
                          <a:ln>
                            <a:noFill/>
                          </a:ln>
                        </pic:spPr>
                      </pic:pic>
                    </a:graphicData>
                  </a:graphic>
                </wp:anchor>
              </w:drawing>
            </w:r>
          </w:p>
        </w:tc>
        <w:tc>
          <w:tcPr>
            <w:tcW w:w="355" w:type="pct"/>
            <w:noWrap/>
            <w:vAlign w:val="center"/>
          </w:tcPr>
          <w:p w14:paraId="63931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1400*550*750</w:t>
            </w:r>
          </w:p>
        </w:tc>
        <w:tc>
          <w:tcPr>
            <w:tcW w:w="254" w:type="pct"/>
            <w:noWrap/>
            <w:vAlign w:val="center"/>
          </w:tcPr>
          <w:p w14:paraId="4A2E1D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293" w:type="pct"/>
            <w:noWrap/>
            <w:vAlign w:val="center"/>
          </w:tcPr>
          <w:p w14:paraId="1FF5C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28" w:type="dxa"/>
            <w:noWrap/>
            <w:vAlign w:val="center"/>
          </w:tcPr>
          <w:p w14:paraId="63C05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w:t>
            </w:r>
          </w:p>
        </w:tc>
        <w:tc>
          <w:tcPr>
            <w:tcW w:w="1289" w:type="pct"/>
            <w:noWrap w:val="0"/>
            <w:vAlign w:val="center"/>
          </w:tcPr>
          <w:p w14:paraId="07F85D6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1、实木多层板：E0级，25MM加厚桌面 ，桌边圆滑倒角设计。符合GB/T 9846-2015《普通胶合板》GB 18580-2017 《室内装饰装修材料人造板及其制品中甲醛释放量》GB/T 17657-2013 《人造板及饰面人造板理化性能试验方法》GB/T 35601-2017《绿色产品评价人造板和木质地板》GB/T 39600-2021《人造板及其制品甲醛释放量分级》。含水率Ⅲ类5%～16%：7.5%，合格数与试件数之比≥90%:100%;静曲强度顺纹：57Mpa，横纹：49Mpa；弹性模量顺纹：7300Mpa，横纹：5200Mpa；浸渍剥离：14.5mm；胶合强度：0.82Mpa；甲醛释放量：0.015mg/m；密度：0.73g/cm³；挥发性有机化合物苯.甲苯.二甲苯.总挥发性有机化合物(TVOC)：未检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2、封边条：采用PVC全自动机械热压封边，符合QB/T 4463-2013《家具用封边条技术要求》、GB 28481-2012《塑料家具中有害物质限量》、GB 6675.4-2014《玩具安全 第4部分:特定元素的迁移》检测标准，检测项目包含：有害物质限量（塑料封边条-邻苯二甲酸酯（DBP、BBP、DEHP、DNOP、DINP和DIDP）的总量≤0.1%）。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五金配件：表面经镀铬、酸洗、磷化、防锈处理，美观经久耐用。铰链：符合QB/T2189《家具五金杯状暗铰链》检测标准，检测项目包含：垂直静载荷、水平静载荷圴检验合格；耐腐蚀18h，1.5mm以下锈点不应超过20点/dm2，其中1.0mm以上的锈点不应超过5点/dm2（距离边缘棱角2mm以内的不计）检验合格。锁具：符合QB/T 1621-2015《家具锁》检测标准，检测项目包含：锁头直径不小于20mm的弹子锁、叶片锁使用寿命不少于10000次检验合格；钥匙拔出静拉力弹子锁不应大于6N。</w:t>
            </w:r>
          </w:p>
        </w:tc>
        <w:tc>
          <w:tcPr>
            <w:tcW w:w="485" w:type="pct"/>
            <w:noWrap/>
            <w:vAlign w:val="center"/>
          </w:tcPr>
          <w:p w14:paraId="2F4AB8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物业办公室</w:t>
            </w:r>
          </w:p>
        </w:tc>
      </w:tr>
      <w:tr w14:paraId="7D5E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7" w:hRule="atLeast"/>
        </w:trPr>
        <w:tc>
          <w:tcPr>
            <w:tcW w:w="251" w:type="pct"/>
            <w:noWrap/>
            <w:vAlign w:val="center"/>
          </w:tcPr>
          <w:p w14:paraId="40AFE1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50" w:type="pct"/>
            <w:noWrap w:val="0"/>
            <w:vAlign w:val="center"/>
          </w:tcPr>
          <w:p w14:paraId="1AC88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大、小会议室可折叠桌子</w:t>
            </w:r>
          </w:p>
        </w:tc>
        <w:tc>
          <w:tcPr>
            <w:tcW w:w="1459" w:type="pct"/>
            <w:noWrap/>
            <w:vAlign w:val="center"/>
          </w:tcPr>
          <w:p w14:paraId="5CBB1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wp:posOffset>
                  </wp:positionH>
                  <wp:positionV relativeFrom="paragraph">
                    <wp:posOffset>1152525</wp:posOffset>
                  </wp:positionV>
                  <wp:extent cx="2420620" cy="1793875"/>
                  <wp:effectExtent l="0" t="0" r="17780" b="15875"/>
                  <wp:wrapNone/>
                  <wp:docPr id="32" name="图片_10"/>
                  <wp:cNvGraphicFramePr/>
                  <a:graphic xmlns:a="http://schemas.openxmlformats.org/drawingml/2006/main">
                    <a:graphicData uri="http://schemas.openxmlformats.org/drawingml/2006/picture">
                      <pic:pic xmlns:pic="http://schemas.openxmlformats.org/drawingml/2006/picture">
                        <pic:nvPicPr>
                          <pic:cNvPr id="32" name="图片_10"/>
                          <pic:cNvPicPr/>
                        </pic:nvPicPr>
                        <pic:blipFill>
                          <a:blip r:embed="rId19"/>
                          <a:stretch>
                            <a:fillRect/>
                          </a:stretch>
                        </pic:blipFill>
                        <pic:spPr>
                          <a:xfrm>
                            <a:off x="0" y="0"/>
                            <a:ext cx="2420620" cy="1793875"/>
                          </a:xfrm>
                          <a:prstGeom prst="rect">
                            <a:avLst/>
                          </a:prstGeom>
                          <a:noFill/>
                          <a:ln>
                            <a:noFill/>
                          </a:ln>
                        </pic:spPr>
                      </pic:pic>
                    </a:graphicData>
                  </a:graphic>
                </wp:anchor>
              </w:drawing>
            </w:r>
          </w:p>
        </w:tc>
        <w:tc>
          <w:tcPr>
            <w:tcW w:w="355" w:type="pct"/>
            <w:noWrap/>
            <w:vAlign w:val="center"/>
          </w:tcPr>
          <w:p w14:paraId="02969F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1600*500*750</w:t>
            </w:r>
          </w:p>
        </w:tc>
        <w:tc>
          <w:tcPr>
            <w:tcW w:w="254" w:type="pct"/>
            <w:noWrap/>
            <w:vAlign w:val="center"/>
          </w:tcPr>
          <w:p w14:paraId="67F8E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293" w:type="pct"/>
            <w:noWrap/>
            <w:vAlign w:val="center"/>
          </w:tcPr>
          <w:p w14:paraId="778FF6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728" w:type="dxa"/>
            <w:noWrap/>
            <w:vAlign w:val="center"/>
          </w:tcPr>
          <w:p w14:paraId="39D00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460</w:t>
            </w:r>
          </w:p>
        </w:tc>
        <w:tc>
          <w:tcPr>
            <w:tcW w:w="1289" w:type="pct"/>
            <w:noWrap w:val="0"/>
            <w:vAlign w:val="center"/>
          </w:tcPr>
          <w:p w14:paraId="5D3C2A2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1、实木多层板：E0级，25MM加厚桌面 ，桌边圆滑倒角设计。符合GB/T 9846-2015《普通胶合板》GB 18580-2017 《室内装饰装修材料人造板及其制品中甲醛释放量》GB/T 17657-2013 《人造板及饰面人造板理化性能试验方法》GB/T 35601-2017《绿色产品评价人造板和木质地板》GB/T 39600-2021《人造板及其制品甲醛释放量分级》。含水率Ⅲ类5%～16%：7.5%，合格数与试件数之比≥90%:100%;静曲强度顺纹：57Mpa，横纹：49Mpa；弹性模量顺纹：7300Mpa，横纹：5200Mpa；浸渍剥离：14.5mm；胶合强度：0.82Mpa；甲醛释放量：0.015mg/m；密度：0.73g/cm³；挥发性有机化合物苯.甲苯.二甲苯.总挥发性有机化合物(TVOC)：未检出。</w:t>
            </w:r>
          </w:p>
          <w:p w14:paraId="46BE89F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2、封边条：采用PVC全自动机械热压封边，符合QB/T 4463-2013《家具用封边条技术要求》、GB 28481-2012《塑料家具中有害物质限量》、GB 6675.4-2014《玩具安全 第4部分:特定元素的迁移》检测标准，检测项目包含：有害物质限量（塑料封边条-邻苯二甲酸酯（DBP、BBP、DEHP、DNOP、DINP和DIDP）的总量≤0.1%）。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五金配件：表面经镀铬、酸洗、磷化、防锈处理，美观经久耐用。铰链：符合QB/T2189《家具五金杯状暗铰链》检测标准，检测项目包含：垂直静载荷、水平静载荷圴检验合格；耐腐蚀18h，1.5mm以下锈点不应超过20点/dm2，其中1.0mm以上的锈点不应超过5点/dm2（距离边缘棱角2mm以内的不计）检验合格。锁具：符合QB/T 1621-2015《家具锁》检测标准，检测项目包含：锁头直径不小于20mm的弹子锁、叶片锁使用寿命不少于10000次检验合格；钥匙拔出静拉力弹子锁不应大于6N。</w:t>
            </w:r>
          </w:p>
        </w:tc>
        <w:tc>
          <w:tcPr>
            <w:tcW w:w="485" w:type="pct"/>
            <w:noWrap/>
            <w:vAlign w:val="center"/>
          </w:tcPr>
          <w:p w14:paraId="1DB990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大小会议室</w:t>
            </w:r>
          </w:p>
        </w:tc>
      </w:tr>
      <w:tr w14:paraId="233B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trPr>
        <w:tc>
          <w:tcPr>
            <w:tcW w:w="251" w:type="pct"/>
            <w:noWrap/>
            <w:vAlign w:val="center"/>
          </w:tcPr>
          <w:p w14:paraId="1C745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50" w:type="pct"/>
            <w:noWrap w:val="0"/>
            <w:vAlign w:val="center"/>
          </w:tcPr>
          <w:p w14:paraId="362D51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大、小会议室折叠椅子</w:t>
            </w:r>
          </w:p>
        </w:tc>
        <w:tc>
          <w:tcPr>
            <w:tcW w:w="1459" w:type="pct"/>
            <w:noWrap/>
            <w:vAlign w:val="center"/>
          </w:tcPr>
          <w:p w14:paraId="57AD5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53975</wp:posOffset>
                  </wp:positionH>
                  <wp:positionV relativeFrom="paragraph">
                    <wp:posOffset>78105</wp:posOffset>
                  </wp:positionV>
                  <wp:extent cx="2371090" cy="1707515"/>
                  <wp:effectExtent l="0" t="0" r="10160" b="6985"/>
                  <wp:wrapNone/>
                  <wp:docPr id="38" name="图片_11"/>
                  <wp:cNvGraphicFramePr/>
                  <a:graphic xmlns:a="http://schemas.openxmlformats.org/drawingml/2006/main">
                    <a:graphicData uri="http://schemas.openxmlformats.org/drawingml/2006/picture">
                      <pic:pic xmlns:pic="http://schemas.openxmlformats.org/drawingml/2006/picture">
                        <pic:nvPicPr>
                          <pic:cNvPr id="38" name="图片_11"/>
                          <pic:cNvPicPr/>
                        </pic:nvPicPr>
                        <pic:blipFill>
                          <a:blip r:embed="rId20"/>
                          <a:stretch>
                            <a:fillRect/>
                          </a:stretch>
                        </pic:blipFill>
                        <pic:spPr>
                          <a:xfrm>
                            <a:off x="0" y="0"/>
                            <a:ext cx="2371090" cy="1707515"/>
                          </a:xfrm>
                          <a:prstGeom prst="rect">
                            <a:avLst/>
                          </a:prstGeom>
                          <a:noFill/>
                          <a:ln>
                            <a:noFill/>
                          </a:ln>
                        </pic:spPr>
                      </pic:pic>
                    </a:graphicData>
                  </a:graphic>
                </wp:anchor>
              </w:drawing>
            </w:r>
          </w:p>
        </w:tc>
        <w:tc>
          <w:tcPr>
            <w:tcW w:w="355" w:type="pct"/>
            <w:noWrap/>
            <w:vAlign w:val="center"/>
          </w:tcPr>
          <w:p w14:paraId="67442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450*550*800</w:t>
            </w:r>
          </w:p>
        </w:tc>
        <w:tc>
          <w:tcPr>
            <w:tcW w:w="254" w:type="pct"/>
            <w:noWrap/>
            <w:vAlign w:val="center"/>
          </w:tcPr>
          <w:p w14:paraId="60B5E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293" w:type="pct"/>
            <w:noWrap/>
            <w:vAlign w:val="center"/>
          </w:tcPr>
          <w:p w14:paraId="03EB2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728" w:type="dxa"/>
            <w:noWrap/>
            <w:vAlign w:val="center"/>
          </w:tcPr>
          <w:p w14:paraId="67F55C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289" w:type="pct"/>
            <w:noWrap w:val="0"/>
            <w:vAlign w:val="center"/>
          </w:tcPr>
          <w:p w14:paraId="5014D3A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1.黑色全新PP+玻纤背框，扪华宇透气网布；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2.黑色PP固定腰靠；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3.黑色PP连体固定扶手；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4.原生高弹海绵,12MM厚木板，扪华宇透气网布；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2.5mm厚度原位锁定蝴蝶底盘，可倾仰；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6.过SGS认证气杆，100mm缩50mm；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7.310mm黑色八爪脚，静压1000KG;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8.50mm尼龙+PU静音脚轮过BIFMA。</w:t>
            </w:r>
          </w:p>
        </w:tc>
        <w:tc>
          <w:tcPr>
            <w:tcW w:w="485" w:type="pct"/>
            <w:noWrap/>
            <w:vAlign w:val="center"/>
          </w:tcPr>
          <w:p w14:paraId="20175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大小会议室</w:t>
            </w:r>
          </w:p>
        </w:tc>
      </w:tr>
      <w:tr w14:paraId="6395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251" w:type="pct"/>
            <w:noWrap/>
            <w:vAlign w:val="center"/>
          </w:tcPr>
          <w:p w14:paraId="1F451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50" w:type="pct"/>
            <w:noWrap w:val="0"/>
            <w:vAlign w:val="center"/>
          </w:tcPr>
          <w:p w14:paraId="152D3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定制接待台+座椅</w:t>
            </w:r>
          </w:p>
        </w:tc>
        <w:tc>
          <w:tcPr>
            <w:tcW w:w="1459" w:type="pct"/>
            <w:noWrap/>
            <w:vAlign w:val="center"/>
          </w:tcPr>
          <w:p w14:paraId="131B5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wp:posOffset>
                  </wp:positionH>
                  <wp:positionV relativeFrom="paragraph">
                    <wp:posOffset>596265</wp:posOffset>
                  </wp:positionV>
                  <wp:extent cx="2402840" cy="1163955"/>
                  <wp:effectExtent l="0" t="0" r="16510" b="17145"/>
                  <wp:wrapNone/>
                  <wp:docPr id="26" name="图片_12"/>
                  <wp:cNvGraphicFramePr/>
                  <a:graphic xmlns:a="http://schemas.openxmlformats.org/drawingml/2006/main">
                    <a:graphicData uri="http://schemas.openxmlformats.org/drawingml/2006/picture">
                      <pic:pic xmlns:pic="http://schemas.openxmlformats.org/drawingml/2006/picture">
                        <pic:nvPicPr>
                          <pic:cNvPr id="26" name="图片_12"/>
                          <pic:cNvPicPr/>
                        </pic:nvPicPr>
                        <pic:blipFill>
                          <a:blip r:embed="rId21"/>
                          <a:stretch>
                            <a:fillRect/>
                          </a:stretch>
                        </pic:blipFill>
                        <pic:spPr>
                          <a:xfrm>
                            <a:off x="0" y="0"/>
                            <a:ext cx="2402840" cy="1163955"/>
                          </a:xfrm>
                          <a:prstGeom prst="rect">
                            <a:avLst/>
                          </a:prstGeom>
                          <a:noFill/>
                          <a:ln>
                            <a:noFill/>
                          </a:ln>
                        </pic:spPr>
                      </pic:pic>
                    </a:graphicData>
                  </a:graphic>
                </wp:anchor>
              </w:drawing>
            </w:r>
          </w:p>
        </w:tc>
        <w:tc>
          <w:tcPr>
            <w:tcW w:w="355" w:type="pct"/>
            <w:noWrap/>
            <w:vAlign w:val="center"/>
          </w:tcPr>
          <w:p w14:paraId="53CA2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2000*650*850</w:t>
            </w:r>
          </w:p>
        </w:tc>
        <w:tc>
          <w:tcPr>
            <w:tcW w:w="254" w:type="pct"/>
            <w:noWrap/>
            <w:vAlign w:val="center"/>
          </w:tcPr>
          <w:p w14:paraId="17E37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293" w:type="pct"/>
            <w:noWrap/>
            <w:vAlign w:val="center"/>
          </w:tcPr>
          <w:p w14:paraId="4C809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8" w:type="dxa"/>
            <w:noWrap/>
            <w:vAlign w:val="center"/>
          </w:tcPr>
          <w:p w14:paraId="39618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10500</w:t>
            </w:r>
          </w:p>
        </w:tc>
        <w:tc>
          <w:tcPr>
            <w:tcW w:w="1289" w:type="pct"/>
            <w:noWrap w:val="0"/>
            <w:vAlign w:val="center"/>
          </w:tcPr>
          <w:p w14:paraId="1517CBB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1、木皮：采用天然木皮贴面，经烘干、防虫、防腐处理、经久耐用、不开裂、表面平整耐久，符合GB/T 13010-2020《木材工业用单板》、GB/T 3324-2017《木家具通用技术条件》标准,甲醛释放量（mg/L）≤0.05。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2、基材：采用E0级实木多层板，符合GB/T 11718-2021《中密度纤维板》、GB18580-2017《室内装饰装修材料 人造板及其制品中甲醛释放限量》、GB/T 39600-2021《人造板及其制品甲醛释放量分级》、 GB/T 35601-2017《绿色产品评价 人造板和木质地板》、GB8624-2012《建筑材料及制品燃烧性能分级》标准。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3、白乳胶：采用环保白乳胶，符合GB 18583-2008《室内装饰装修材料 胶粘剂中有害物质限量》、GB 33372-2020《胶粘剂挥发性有机化合物限量》标准。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4、漆：采用环保水性漆，符合GB 18581-2020《木器涂料中有害物质限量》标准。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5、五金配件：采用优质三合一偏心连接件。      </w:t>
            </w:r>
          </w:p>
        </w:tc>
        <w:tc>
          <w:tcPr>
            <w:tcW w:w="485" w:type="pct"/>
            <w:noWrap/>
            <w:vAlign w:val="center"/>
          </w:tcPr>
          <w:p w14:paraId="29D7B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w:t>
            </w:r>
          </w:p>
        </w:tc>
      </w:tr>
      <w:tr w14:paraId="0496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4" w:hRule="atLeast"/>
        </w:trPr>
        <w:tc>
          <w:tcPr>
            <w:tcW w:w="251" w:type="pct"/>
            <w:noWrap/>
            <w:vAlign w:val="center"/>
          </w:tcPr>
          <w:p w14:paraId="3DE7D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50" w:type="pct"/>
            <w:noWrap w:val="0"/>
            <w:vAlign w:val="center"/>
          </w:tcPr>
          <w:p w14:paraId="31A8FC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定制书柜+异形座位</w:t>
            </w:r>
          </w:p>
        </w:tc>
        <w:tc>
          <w:tcPr>
            <w:tcW w:w="1459" w:type="pct"/>
            <w:noWrap/>
            <w:vAlign w:val="center"/>
          </w:tcPr>
          <w:p w14:paraId="5E8BC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31750</wp:posOffset>
                  </wp:positionH>
                  <wp:positionV relativeFrom="paragraph">
                    <wp:posOffset>694055</wp:posOffset>
                  </wp:positionV>
                  <wp:extent cx="2287905" cy="1687195"/>
                  <wp:effectExtent l="0" t="0" r="17145" b="8255"/>
                  <wp:wrapNone/>
                  <wp:docPr id="29" name="图片_13"/>
                  <wp:cNvGraphicFramePr/>
                  <a:graphic xmlns:a="http://schemas.openxmlformats.org/drawingml/2006/main">
                    <a:graphicData uri="http://schemas.openxmlformats.org/drawingml/2006/picture">
                      <pic:pic xmlns:pic="http://schemas.openxmlformats.org/drawingml/2006/picture">
                        <pic:nvPicPr>
                          <pic:cNvPr id="29" name="图片_13"/>
                          <pic:cNvPicPr/>
                        </pic:nvPicPr>
                        <pic:blipFill>
                          <a:blip r:embed="rId22"/>
                          <a:stretch>
                            <a:fillRect/>
                          </a:stretch>
                        </pic:blipFill>
                        <pic:spPr>
                          <a:xfrm>
                            <a:off x="0" y="0"/>
                            <a:ext cx="2287905" cy="1687195"/>
                          </a:xfrm>
                          <a:prstGeom prst="rect">
                            <a:avLst/>
                          </a:prstGeom>
                          <a:noFill/>
                          <a:ln>
                            <a:noFill/>
                          </a:ln>
                        </pic:spPr>
                      </pic:pic>
                    </a:graphicData>
                  </a:graphic>
                </wp:anchor>
              </w:drawing>
            </w:r>
          </w:p>
        </w:tc>
        <w:tc>
          <w:tcPr>
            <w:tcW w:w="355" w:type="pct"/>
            <w:noWrap w:val="0"/>
            <w:vAlign w:val="center"/>
          </w:tcPr>
          <w:p w14:paraId="376A3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4000*350*2900+3500*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350*2900+异形阶梯800*6500</w:t>
            </w:r>
          </w:p>
        </w:tc>
        <w:tc>
          <w:tcPr>
            <w:tcW w:w="254" w:type="pct"/>
            <w:noWrap/>
            <w:vAlign w:val="center"/>
          </w:tcPr>
          <w:p w14:paraId="33979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93" w:type="pct"/>
            <w:noWrap/>
            <w:vAlign w:val="center"/>
          </w:tcPr>
          <w:p w14:paraId="22304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26.95</w:t>
            </w:r>
          </w:p>
        </w:tc>
        <w:tc>
          <w:tcPr>
            <w:tcW w:w="728" w:type="dxa"/>
            <w:noWrap/>
            <w:vAlign w:val="center"/>
          </w:tcPr>
          <w:p w14:paraId="19081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770</w:t>
            </w:r>
          </w:p>
        </w:tc>
        <w:tc>
          <w:tcPr>
            <w:tcW w:w="1289" w:type="pct"/>
            <w:noWrap w:val="0"/>
            <w:vAlign w:val="center"/>
          </w:tcPr>
          <w:p w14:paraId="62DA295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1、柜体为实木多层板：E0级，25MM加厚桌面 ，桌边圆滑倒角设计。符合GB/T 9846-2015《普通胶合板》GB 18580-2017 《室内装饰装修材料人造板及其制品中甲醛释放量》GB/T 17657-2013 《人造板及饰面人造板理化性能试验方法》GB/T 35601-2017《绿色产品评价人造板和木质地板》GB/T 39600-2021《人造板及其制品甲醛释放量分级》。含水率Ⅲ类5%～16%：7.5%，合格数与试件数之比≥90%:100%;静曲强度顺纹：57Mpa，横纹：49Mpa；弹性模量顺纹：7300Mpa，横纹：5200Mpa；浸渍剥离：14.5mm；胶合强度：0.82Mpa；甲醛释放量：0.015mg/m；密度：0.73g/cm³；挥发性有机化合物苯.甲苯.二甲苯.总挥发性有机化合物(TVOC)：未检出。</w:t>
            </w:r>
          </w:p>
          <w:p w14:paraId="1A19B95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2、封边条：采用PVC全自动机械热压封边，符合QB/T 4463-2013《家具用封边条技术要求》、GB 28481-2012《塑料家具中有害物质限量》、GB 6675.4-2014《玩具安全 第4部分:特定元素的迁移》检测标准，检测项目包含：有害物质限量（塑料封边条-邻苯二甲酸酯（DBP、BBP、DEHP、DNOP、DINP和DIDP）的总量≤0.1%）。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五金配件：表面经镀铬、酸洗、磷化、防锈处理，美观经久耐用。铰链：符合QB/T2189《家具五金杯状暗铰链》检测标准，检测项目包含：垂直静载荷、水平静载荷圴检验合格；耐腐蚀18h，1.5mm以下锈点不应超过20点/dm2，其中1.0mm以上的锈点不应超过5点/dm2（距离边缘棱角2mm以内的不计）检验合格。锁具：符合QB/T 1621-2015《家具锁》检测标准，检测项目包含：锁头直径不小于20mm的弹子锁、叶片锁使用寿命不少于10000次检验合格；钥匙拔出静拉力弹子锁不应大于6N。</w:t>
            </w:r>
          </w:p>
        </w:tc>
        <w:tc>
          <w:tcPr>
            <w:tcW w:w="485" w:type="pct"/>
            <w:noWrap/>
            <w:vAlign w:val="center"/>
          </w:tcPr>
          <w:p w14:paraId="73FD6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w:t>
            </w:r>
          </w:p>
        </w:tc>
      </w:tr>
      <w:tr w14:paraId="1022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251" w:type="pct"/>
            <w:noWrap/>
            <w:vAlign w:val="center"/>
          </w:tcPr>
          <w:p w14:paraId="4E095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50" w:type="pct"/>
            <w:noWrap w:val="0"/>
            <w:vAlign w:val="center"/>
          </w:tcPr>
          <w:p w14:paraId="4F27B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大会议室排练杆</w:t>
            </w:r>
          </w:p>
        </w:tc>
        <w:tc>
          <w:tcPr>
            <w:tcW w:w="1459" w:type="pct"/>
            <w:noWrap w:val="0"/>
            <w:vAlign w:val="center"/>
          </w:tcPr>
          <w:p w14:paraId="2DD29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200025</wp:posOffset>
                  </wp:positionH>
                  <wp:positionV relativeFrom="paragraph">
                    <wp:posOffset>102870</wp:posOffset>
                  </wp:positionV>
                  <wp:extent cx="2219325" cy="1190625"/>
                  <wp:effectExtent l="0" t="0" r="9525" b="9525"/>
                  <wp:wrapNone/>
                  <wp:docPr id="27" name="图片_2"/>
                  <wp:cNvGraphicFramePr/>
                  <a:graphic xmlns:a="http://schemas.openxmlformats.org/drawingml/2006/main">
                    <a:graphicData uri="http://schemas.openxmlformats.org/drawingml/2006/picture">
                      <pic:pic xmlns:pic="http://schemas.openxmlformats.org/drawingml/2006/picture">
                        <pic:nvPicPr>
                          <pic:cNvPr id="27" name="图片_2"/>
                          <pic:cNvPicPr/>
                        </pic:nvPicPr>
                        <pic:blipFill>
                          <a:blip r:embed="rId23"/>
                          <a:stretch>
                            <a:fillRect/>
                          </a:stretch>
                        </pic:blipFill>
                        <pic:spPr>
                          <a:xfrm>
                            <a:off x="0" y="0"/>
                            <a:ext cx="2219325" cy="1190625"/>
                          </a:xfrm>
                          <a:prstGeom prst="rect">
                            <a:avLst/>
                          </a:prstGeom>
                          <a:noFill/>
                          <a:ln>
                            <a:noFill/>
                          </a:ln>
                        </pic:spPr>
                      </pic:pic>
                    </a:graphicData>
                  </a:graphic>
                </wp:anchor>
              </w:drawing>
            </w:r>
          </w:p>
        </w:tc>
        <w:tc>
          <w:tcPr>
            <w:tcW w:w="355" w:type="pct"/>
            <w:noWrap/>
            <w:vAlign w:val="center"/>
          </w:tcPr>
          <w:p w14:paraId="6254D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直径55mm</w:t>
            </w:r>
          </w:p>
        </w:tc>
        <w:tc>
          <w:tcPr>
            <w:tcW w:w="254" w:type="pct"/>
            <w:noWrap/>
            <w:vAlign w:val="center"/>
          </w:tcPr>
          <w:p w14:paraId="11058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293" w:type="pct"/>
            <w:noWrap/>
            <w:vAlign w:val="center"/>
          </w:tcPr>
          <w:p w14:paraId="447B7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728" w:type="dxa"/>
            <w:noWrap/>
            <w:vAlign w:val="center"/>
          </w:tcPr>
          <w:p w14:paraId="1CF30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1289" w:type="pct"/>
            <w:noWrap w:val="0"/>
            <w:vAlign w:val="center"/>
          </w:tcPr>
          <w:p w14:paraId="5BE7F1F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1.横杆天然纯实木，55mm直径内涵22mm实心锰钢，聚酯清漆涂刷经久耐用，光滑亮度高。立柱45号钢管烤漆经久耐用，立柱直径48mm升降心32mm，一对7kg。升降高度低杆固定60cm，高杆80-120cm；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2.多节套管式设计，配备旋紧结构；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3.升降旋钮衔接处为二级焊焊接，全方位焊接，焊接牢固；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4.选用优质加粗螺丝用于钢管固定；</w:t>
            </w:r>
          </w:p>
        </w:tc>
        <w:tc>
          <w:tcPr>
            <w:tcW w:w="485" w:type="pct"/>
            <w:noWrap w:val="0"/>
            <w:vAlign w:val="center"/>
          </w:tcPr>
          <w:p w14:paraId="7A6356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大会议室</w:t>
            </w:r>
          </w:p>
        </w:tc>
      </w:tr>
      <w:tr w14:paraId="4C79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trPr>
        <w:tc>
          <w:tcPr>
            <w:tcW w:w="251" w:type="pct"/>
            <w:noWrap/>
            <w:vAlign w:val="center"/>
          </w:tcPr>
          <w:p w14:paraId="3639BB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50" w:type="pct"/>
            <w:noWrap w:val="0"/>
            <w:vAlign w:val="center"/>
          </w:tcPr>
          <w:p w14:paraId="0F9BB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大会议室镜子</w:t>
            </w:r>
          </w:p>
        </w:tc>
        <w:tc>
          <w:tcPr>
            <w:tcW w:w="1459" w:type="pct"/>
            <w:noWrap w:val="0"/>
            <w:vAlign w:val="center"/>
          </w:tcPr>
          <w:p w14:paraId="2DB3A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560070</wp:posOffset>
                  </wp:positionH>
                  <wp:positionV relativeFrom="paragraph">
                    <wp:posOffset>-34290</wp:posOffset>
                  </wp:positionV>
                  <wp:extent cx="1117600" cy="1069340"/>
                  <wp:effectExtent l="0" t="0" r="6350" b="16510"/>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24"/>
                          <a:stretch>
                            <a:fillRect/>
                          </a:stretch>
                        </pic:blipFill>
                        <pic:spPr>
                          <a:xfrm>
                            <a:off x="0" y="0"/>
                            <a:ext cx="1117600" cy="1069340"/>
                          </a:xfrm>
                          <a:prstGeom prst="rect">
                            <a:avLst/>
                          </a:prstGeom>
                          <a:noFill/>
                          <a:ln>
                            <a:noFill/>
                          </a:ln>
                        </pic:spPr>
                      </pic:pic>
                    </a:graphicData>
                  </a:graphic>
                </wp:anchor>
              </w:drawing>
            </w:r>
          </w:p>
        </w:tc>
        <w:tc>
          <w:tcPr>
            <w:tcW w:w="355" w:type="pct"/>
            <w:noWrap/>
            <w:vAlign w:val="center"/>
          </w:tcPr>
          <w:p w14:paraId="1ED32C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5500*2200</w:t>
            </w:r>
          </w:p>
        </w:tc>
        <w:tc>
          <w:tcPr>
            <w:tcW w:w="254" w:type="pct"/>
            <w:noWrap/>
            <w:vAlign w:val="center"/>
          </w:tcPr>
          <w:p w14:paraId="185D1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93" w:type="pct"/>
            <w:noWrap/>
            <w:vAlign w:val="center"/>
          </w:tcPr>
          <w:p w14:paraId="68C253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728" w:type="dxa"/>
            <w:noWrap/>
            <w:vAlign w:val="center"/>
          </w:tcPr>
          <w:p w14:paraId="6192A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1289" w:type="pct"/>
            <w:noWrap w:val="0"/>
            <w:vAlign w:val="center"/>
          </w:tcPr>
          <w:p w14:paraId="2A98400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1.1.5mm厚201拉丝不锈钢折盒子作边框，边框宽4cm；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2.优质浮法玻璃做镜子，厚度8mm</w:t>
            </w:r>
          </w:p>
        </w:tc>
        <w:tc>
          <w:tcPr>
            <w:tcW w:w="485" w:type="pct"/>
            <w:noWrap w:val="0"/>
            <w:vAlign w:val="center"/>
          </w:tcPr>
          <w:p w14:paraId="25633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大会议室</w:t>
            </w:r>
          </w:p>
        </w:tc>
      </w:tr>
      <w:tr w14:paraId="54F6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trPr>
        <w:tc>
          <w:tcPr>
            <w:tcW w:w="251" w:type="pct"/>
            <w:noWrap/>
            <w:vAlign w:val="center"/>
          </w:tcPr>
          <w:p w14:paraId="02969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50" w:type="pct"/>
            <w:noWrap w:val="0"/>
            <w:vAlign w:val="center"/>
          </w:tcPr>
          <w:p w14:paraId="1D274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室外定制长椅</w:t>
            </w:r>
          </w:p>
        </w:tc>
        <w:tc>
          <w:tcPr>
            <w:tcW w:w="1459" w:type="pct"/>
            <w:noWrap w:val="0"/>
            <w:vAlign w:val="center"/>
          </w:tcPr>
          <w:p w14:paraId="6A2D1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260350</wp:posOffset>
                  </wp:positionH>
                  <wp:positionV relativeFrom="paragraph">
                    <wp:posOffset>-37465</wp:posOffset>
                  </wp:positionV>
                  <wp:extent cx="1692275" cy="1202055"/>
                  <wp:effectExtent l="0" t="0" r="3175" b="17145"/>
                  <wp:wrapNone/>
                  <wp:docPr id="30" name="图片_1"/>
                  <wp:cNvGraphicFramePr/>
                  <a:graphic xmlns:a="http://schemas.openxmlformats.org/drawingml/2006/main">
                    <a:graphicData uri="http://schemas.openxmlformats.org/drawingml/2006/picture">
                      <pic:pic xmlns:pic="http://schemas.openxmlformats.org/drawingml/2006/picture">
                        <pic:nvPicPr>
                          <pic:cNvPr id="30" name="图片_1"/>
                          <pic:cNvPicPr/>
                        </pic:nvPicPr>
                        <pic:blipFill>
                          <a:blip r:embed="rId25"/>
                          <a:stretch>
                            <a:fillRect/>
                          </a:stretch>
                        </pic:blipFill>
                        <pic:spPr>
                          <a:xfrm>
                            <a:off x="0" y="0"/>
                            <a:ext cx="1692275" cy="1202055"/>
                          </a:xfrm>
                          <a:prstGeom prst="rect">
                            <a:avLst/>
                          </a:prstGeom>
                          <a:noFill/>
                          <a:ln>
                            <a:noFill/>
                          </a:ln>
                        </pic:spPr>
                      </pic:pic>
                    </a:graphicData>
                  </a:graphic>
                </wp:anchor>
              </w:drawing>
            </w:r>
          </w:p>
        </w:tc>
        <w:tc>
          <w:tcPr>
            <w:tcW w:w="355" w:type="pct"/>
            <w:noWrap/>
            <w:vAlign w:val="center"/>
          </w:tcPr>
          <w:p w14:paraId="23AE5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2000*420*400</w:t>
            </w:r>
          </w:p>
        </w:tc>
        <w:tc>
          <w:tcPr>
            <w:tcW w:w="254" w:type="pct"/>
            <w:noWrap/>
            <w:vAlign w:val="center"/>
          </w:tcPr>
          <w:p w14:paraId="68A00D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293" w:type="pct"/>
            <w:noWrap/>
            <w:vAlign w:val="center"/>
          </w:tcPr>
          <w:p w14:paraId="653E5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28" w:type="dxa"/>
            <w:noWrap/>
            <w:vAlign w:val="center"/>
          </w:tcPr>
          <w:p w14:paraId="6DCA6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1289" w:type="pct"/>
            <w:noWrap w:val="0"/>
            <w:vAlign w:val="center"/>
          </w:tcPr>
          <w:p w14:paraId="5E0D74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1.一体焊接201不锈钢，两端加长预埋金属方管，预埋，混凝土固定；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2.精品塑木做椅面，最大承重1000斤，无靠背</w:t>
            </w:r>
          </w:p>
        </w:tc>
        <w:tc>
          <w:tcPr>
            <w:tcW w:w="485" w:type="pct"/>
            <w:noWrap w:val="0"/>
            <w:vAlign w:val="center"/>
          </w:tcPr>
          <w:p w14:paraId="702AC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w:t>
            </w:r>
          </w:p>
        </w:tc>
      </w:tr>
    </w:tbl>
    <w:p w14:paraId="69F91900">
      <w:pPr>
        <w:rPr>
          <w:rFonts w:hint="eastAsia"/>
        </w:rPr>
      </w:pPr>
    </w:p>
    <w:p w14:paraId="6B75827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44"/>
          <w:szCs w:val="44"/>
          <w:lang w:val="en-US" w:eastAsia="zh-CN"/>
        </w:rPr>
      </w:pPr>
    </w:p>
    <w:p w14:paraId="7E75EE88">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rPr>
          <w:rFonts w:hint="eastAsia" w:ascii="宋体" w:hAnsi="宋体" w:eastAsia="宋体" w:cs="宋体"/>
          <w:b w:val="0"/>
          <w:sz w:val="36"/>
          <w:szCs w:val="30"/>
        </w:rPr>
        <w:sectPr>
          <w:pgSz w:w="16840" w:h="11907" w:orient="landscape"/>
          <w:pgMar w:top="1304" w:right="1587" w:bottom="1191" w:left="1587" w:header="964" w:footer="992" w:gutter="0"/>
          <w:pgNumType w:fmt="numberInDash"/>
          <w:cols w:space="720" w:num="1"/>
          <w:rtlGutter w:val="0"/>
          <w:docGrid w:linePitch="312" w:charSpace="0"/>
        </w:sectPr>
      </w:pPr>
    </w:p>
    <w:p w14:paraId="789BCB9E">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rPr>
          <w:rFonts w:hint="eastAsia" w:ascii="宋体" w:hAnsi="宋体" w:eastAsia="宋体" w:cs="宋体"/>
          <w:b/>
          <w:kern w:val="2"/>
          <w:sz w:val="28"/>
          <w:lang w:val="en-US" w:eastAsia="zh-CN" w:bidi="ar-SA"/>
        </w:rPr>
      </w:pPr>
      <w:bookmarkStart w:id="72" w:name="_Toc13356"/>
      <w:bookmarkStart w:id="73" w:name="_Toc65660341"/>
      <w:bookmarkStart w:id="74" w:name="_Toc15492"/>
      <w:bookmarkStart w:id="75" w:name="_Toc106034632"/>
      <w:bookmarkStart w:id="76" w:name="_Toc30544"/>
      <w:r>
        <w:rPr>
          <w:rFonts w:hint="eastAsia" w:ascii="宋体" w:hAnsi="宋体" w:eastAsia="宋体" w:cs="宋体"/>
          <w:b/>
          <w:kern w:val="2"/>
          <w:sz w:val="28"/>
          <w:lang w:val="en-US" w:eastAsia="zh-CN" w:bidi="ar-SA"/>
        </w:rPr>
        <w:t xml:space="preserve">第三篇  </w:t>
      </w:r>
      <w:bookmarkEnd w:id="60"/>
      <w:r>
        <w:rPr>
          <w:rFonts w:hint="eastAsia" w:ascii="宋体" w:hAnsi="宋体" w:eastAsia="宋体" w:cs="宋体"/>
          <w:b/>
          <w:kern w:val="2"/>
          <w:sz w:val="28"/>
          <w:lang w:val="en-US" w:eastAsia="zh-CN" w:bidi="ar-SA"/>
        </w:rPr>
        <w:t>项目服务</w:t>
      </w:r>
      <w:bookmarkEnd w:id="72"/>
      <w:bookmarkEnd w:id="73"/>
      <w:bookmarkEnd w:id="74"/>
      <w:r>
        <w:rPr>
          <w:rFonts w:hint="eastAsia" w:ascii="宋体" w:hAnsi="宋体" w:eastAsia="宋体" w:cs="宋体"/>
          <w:b/>
          <w:kern w:val="2"/>
          <w:sz w:val="28"/>
          <w:lang w:val="en-US" w:eastAsia="zh-CN" w:bidi="ar-SA"/>
        </w:rPr>
        <w:t>需求</w:t>
      </w:r>
      <w:bookmarkEnd w:id="75"/>
      <w:bookmarkEnd w:id="76"/>
    </w:p>
    <w:p w14:paraId="32E46B49">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rPr>
      </w:pPr>
      <w:bookmarkStart w:id="77" w:name="_Toc106034633"/>
      <w:bookmarkStart w:id="78" w:name="_Toc12935"/>
      <w:bookmarkStart w:id="79" w:name="_Toc65660342"/>
      <w:bookmarkStart w:id="80" w:name="_Toc13555"/>
      <w:bookmarkStart w:id="81" w:name="_Toc342913389"/>
      <w:r>
        <w:rPr>
          <w:rFonts w:hint="eastAsia" w:ascii="宋体" w:hAnsi="宋体" w:eastAsia="宋体" w:cs="宋体"/>
          <w:b/>
          <w:color w:val="auto"/>
          <w:sz w:val="24"/>
          <w:szCs w:val="24"/>
          <w:highlight w:val="none"/>
        </w:rPr>
        <w:t>一、交货时间、地点及验收方式</w:t>
      </w:r>
      <w:bookmarkEnd w:id="77"/>
      <w:bookmarkEnd w:id="78"/>
      <w:bookmarkEnd w:id="79"/>
      <w:bookmarkEnd w:id="80"/>
    </w:p>
    <w:p w14:paraId="37FAC4B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（一）交货时间</w:t>
      </w:r>
    </w:p>
    <w:p w14:paraId="7B89CD9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签订合同后</w:t>
      </w:r>
      <w:r>
        <w:rPr>
          <w:rFonts w:hint="eastAsia" w:ascii="宋体" w:hAnsi="宋体" w:cs="宋体"/>
          <w:sz w:val="24"/>
          <w:szCs w:val="24"/>
          <w:highlight w:val="none"/>
          <w:lang w:val="en-US" w:eastAsia="zh-CN"/>
        </w:rPr>
        <w:t>15日</w:t>
      </w:r>
      <w:r>
        <w:rPr>
          <w:rFonts w:hint="eastAsia" w:ascii="宋体" w:hAnsi="宋体" w:eastAsia="宋体" w:cs="宋体"/>
          <w:sz w:val="24"/>
          <w:szCs w:val="24"/>
          <w:highlight w:val="none"/>
        </w:rPr>
        <w:t>内。</w:t>
      </w:r>
    </w:p>
    <w:p w14:paraId="21212E0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（二）交货地点</w:t>
      </w:r>
    </w:p>
    <w:p w14:paraId="3BA6118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交货地点：</w:t>
      </w:r>
      <w:r>
        <w:rPr>
          <w:rFonts w:hint="eastAsia" w:ascii="宋体" w:hAnsi="宋体" w:cs="宋体"/>
          <w:sz w:val="24"/>
          <w:szCs w:val="24"/>
          <w:lang w:val="en-US" w:eastAsia="zh-CN"/>
        </w:rPr>
        <w:t>虎溪街道虎小哥党群服务中心</w:t>
      </w:r>
      <w:r>
        <w:rPr>
          <w:rFonts w:hint="eastAsia" w:ascii="宋体" w:hAnsi="宋体" w:eastAsia="宋体" w:cs="宋体"/>
          <w:sz w:val="24"/>
          <w:szCs w:val="24"/>
        </w:rPr>
        <w:t>。</w:t>
      </w:r>
    </w:p>
    <w:p w14:paraId="7CFEA724">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（三）验收方式</w:t>
      </w:r>
    </w:p>
    <w:p w14:paraId="2BFE8AC6">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交货验收 </w:t>
      </w:r>
    </w:p>
    <w:p w14:paraId="312C37EC">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（1）开箱验收：货物运卸至现场后，</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出具合格证</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u w:val="single"/>
          <w:lang w:eastAsia="zh-CN"/>
        </w:rPr>
        <w:t>出具家具板材、零配件、油漆</w:t>
      </w:r>
      <w:r>
        <w:rPr>
          <w:rFonts w:hint="eastAsia" w:ascii="宋体" w:hAnsi="宋体" w:eastAsia="宋体" w:cs="宋体"/>
          <w:color w:val="auto"/>
          <w:kern w:val="0"/>
          <w:sz w:val="24"/>
          <w:szCs w:val="24"/>
          <w:highlight w:val="none"/>
          <w:u w:val="single"/>
        </w:rPr>
        <w:t>等相关</w:t>
      </w:r>
      <w:r>
        <w:rPr>
          <w:rFonts w:hint="eastAsia" w:ascii="宋体" w:hAnsi="宋体" w:cs="宋体"/>
          <w:color w:val="auto"/>
          <w:kern w:val="0"/>
          <w:sz w:val="24"/>
          <w:szCs w:val="24"/>
          <w:highlight w:val="none"/>
          <w:u w:val="single"/>
          <w:lang w:eastAsia="zh-CN"/>
        </w:rPr>
        <w:t>检测</w:t>
      </w:r>
      <w:r>
        <w:rPr>
          <w:rFonts w:hint="eastAsia" w:ascii="宋体" w:hAnsi="宋体" w:eastAsia="宋体" w:cs="宋体"/>
          <w:color w:val="auto"/>
          <w:kern w:val="0"/>
          <w:sz w:val="24"/>
          <w:szCs w:val="24"/>
          <w:highlight w:val="none"/>
          <w:u w:val="single"/>
        </w:rPr>
        <w:t>报告</w:t>
      </w:r>
      <w:r>
        <w:rPr>
          <w:rFonts w:hint="eastAsia" w:ascii="宋体" w:hAnsi="宋体" w:cs="宋体"/>
          <w:color w:val="auto"/>
          <w:kern w:val="0"/>
          <w:sz w:val="24"/>
          <w:szCs w:val="24"/>
          <w:highlight w:val="none"/>
          <w:u w:val="single"/>
          <w:lang w:eastAsia="zh-CN"/>
        </w:rPr>
        <w:t>（</w:t>
      </w:r>
      <w:r>
        <w:rPr>
          <w:rFonts w:hint="eastAsia" w:ascii="宋体" w:hAnsi="宋体" w:cs="宋体"/>
          <w:color w:val="auto"/>
          <w:kern w:val="0"/>
          <w:sz w:val="24"/>
          <w:szCs w:val="24"/>
          <w:highlight w:val="none"/>
          <w:u w:val="single"/>
          <w:lang w:val="en-US" w:eastAsia="zh-CN"/>
        </w:rPr>
        <w:t>含</w:t>
      </w:r>
      <w:r>
        <w:rPr>
          <w:rFonts w:hint="eastAsia" w:ascii="宋体" w:hAnsi="宋体" w:eastAsia="宋体" w:cs="宋体"/>
          <w:i w:val="0"/>
          <w:iCs w:val="0"/>
          <w:color w:val="000000"/>
          <w:kern w:val="0"/>
          <w:sz w:val="22"/>
          <w:szCs w:val="22"/>
          <w:u w:val="none"/>
          <w:lang w:val="en-US" w:eastAsia="zh-CN" w:bidi="ar"/>
        </w:rPr>
        <w:t>提供2023年以来由第三方具有CMA资质的检测机构出具的“实木多层板”检验报告，受检单位是响应人或产品制造商</w:t>
      </w:r>
      <w:r>
        <w:rPr>
          <w:rFonts w:hint="eastAsia" w:ascii="宋体" w:hAnsi="宋体" w:cs="宋体"/>
          <w:i w:val="0"/>
          <w:iCs w:val="0"/>
          <w:color w:val="000000"/>
          <w:kern w:val="0"/>
          <w:sz w:val="22"/>
          <w:szCs w:val="22"/>
          <w:u w:val="none"/>
          <w:lang w:val="en-US" w:eastAsia="zh-CN" w:bidi="ar"/>
        </w:rPr>
        <w:t>），</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对货物的数量、规格、质量进行联合检验。如发现货物的质量、规格、颜色等与合同或双方确认的封样样品（或描述）不符，</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 xml:space="preserve">无条件更换，并按合同违约责任进行违约处罚。 </w:t>
      </w:r>
    </w:p>
    <w:p w14:paraId="50BF102A">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（2）破坏性实验：开箱验收合格后，</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可</w:t>
      </w:r>
      <w:r>
        <w:rPr>
          <w:rFonts w:hint="eastAsia" w:ascii="宋体" w:hAnsi="宋体" w:eastAsia="宋体" w:cs="宋体"/>
          <w:color w:val="auto"/>
          <w:kern w:val="0"/>
          <w:sz w:val="24"/>
          <w:szCs w:val="24"/>
          <w:highlight w:val="none"/>
          <w:lang w:eastAsia="zh-CN"/>
        </w:rPr>
        <w:t>随</w:t>
      </w:r>
      <w:r>
        <w:rPr>
          <w:rFonts w:hint="eastAsia" w:ascii="宋体" w:hAnsi="宋体" w:eastAsia="宋体" w:cs="宋体"/>
          <w:color w:val="auto"/>
          <w:kern w:val="0"/>
          <w:sz w:val="24"/>
          <w:szCs w:val="24"/>
          <w:highlight w:val="none"/>
        </w:rPr>
        <w:t>机抽取部分到场家具进行破坏行实验（具体数量由</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确定），并送相关权威检验部门进行检测，同类产品送检样品全部检验合格则视为检验结果为合格（满足国家规范标准及合同相应要求），所有检验费用（含家具成本）由</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承担；若同类家具中有任一送检样品经检验为不合格，则视为检验结果为不合格，由</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 xml:space="preserve">承担所有检验费用（含家具成本），无条件更换全部同类家具，并按合同违约责任进行违约处罚。 </w:t>
      </w:r>
    </w:p>
    <w:p w14:paraId="17365D2A">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完工验收 </w:t>
      </w:r>
    </w:p>
    <w:p w14:paraId="7C6E31B7">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货物安装完毕由</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 xml:space="preserve">在确定的一段时间内做最终的完工调试验收，就产品的正常使用情况进行最终的检查验收，经几方签字确认后视为完工验收合格。 </w:t>
      </w:r>
    </w:p>
    <w:p w14:paraId="0AEBB7FC">
      <w:pPr>
        <w:pageBreakBefore w:val="0"/>
        <w:kinsoku/>
        <w:wordWrap/>
        <w:overflowPunct w:val="0"/>
        <w:topLinePunct w:val="0"/>
        <w:autoSpaceDE w:val="0"/>
        <w:autoSpaceDN w:val="0"/>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验收过程应有</w:t>
      </w: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lang w:eastAsia="zh-CN"/>
        </w:rPr>
        <w:t>人、</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 xml:space="preserve">共同参加，并签署书面验收凭证作为办理支付的依据。 </w:t>
      </w:r>
      <w:bookmarkStart w:id="82" w:name="_Toc65660343"/>
      <w:bookmarkStart w:id="83" w:name="_Toc24110"/>
      <w:bookmarkStart w:id="84" w:name="_Toc106034634"/>
      <w:bookmarkStart w:id="85" w:name="_Toc1838"/>
    </w:p>
    <w:p w14:paraId="644F4EAB">
      <w:pPr>
        <w:pStyle w:val="8"/>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二、报价要求</w:t>
      </w:r>
    </w:p>
    <w:p w14:paraId="32153023">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bookmarkStart w:id="86" w:name="_Toc20718"/>
      <w:r>
        <w:rPr>
          <w:rFonts w:hint="eastAsia" w:ascii="宋体" w:hAnsi="宋体" w:eastAsia="宋体" w:cs="宋体"/>
          <w:color w:val="auto"/>
          <w:kern w:val="0"/>
          <w:sz w:val="24"/>
          <w:szCs w:val="24"/>
          <w:highlight w:val="none"/>
        </w:rPr>
        <w:t>（一）本次报价须为人民币报价，</w:t>
      </w:r>
      <w:bookmarkEnd w:id="86"/>
      <w:bookmarkStart w:id="87" w:name="_Toc26648"/>
      <w:bookmarkStart w:id="88" w:name="_Toc267320051"/>
      <w:r>
        <w:rPr>
          <w:rFonts w:hint="eastAsia" w:ascii="宋体" w:hAnsi="宋体" w:eastAsia="宋体" w:cs="宋体"/>
          <w:color w:val="auto"/>
          <w:kern w:val="0"/>
          <w:sz w:val="24"/>
          <w:szCs w:val="24"/>
          <w:highlight w:val="none"/>
          <w:lang w:eastAsia="zh-CN"/>
        </w:rPr>
        <w:t>本项目综合单价为全费用综合包干单价，含人材机费用、材料采购费、采保费、运输费、措施费、管理费、利润、税金和一定范围内的风险费等所有费用。</w:t>
      </w:r>
      <w:r>
        <w:rPr>
          <w:rFonts w:hint="eastAsia" w:ascii="宋体" w:hAnsi="宋体" w:eastAsia="宋体" w:cs="宋体"/>
          <w:color w:val="auto"/>
          <w:kern w:val="0"/>
          <w:sz w:val="24"/>
          <w:szCs w:val="24"/>
          <w:highlight w:val="none"/>
        </w:rPr>
        <w:t xml:space="preserve">包含但不限于以下三个部分： </w:t>
      </w:r>
    </w:p>
    <w:p w14:paraId="77352D29">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货物价：货到</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现场落地交货价，包含但不限于</w:t>
      </w:r>
      <w:r>
        <w:rPr>
          <w:rFonts w:hint="eastAsia" w:ascii="宋体" w:hAnsi="宋体" w:eastAsia="宋体" w:cs="宋体"/>
          <w:color w:val="auto"/>
          <w:kern w:val="0"/>
          <w:sz w:val="24"/>
          <w:szCs w:val="24"/>
          <w:highlight w:val="none"/>
          <w:lang w:eastAsia="zh-CN"/>
        </w:rPr>
        <w:t>本项目</w:t>
      </w:r>
      <w:r>
        <w:rPr>
          <w:rFonts w:hint="eastAsia" w:ascii="宋体" w:hAnsi="宋体" w:eastAsia="宋体" w:cs="宋体"/>
          <w:color w:val="auto"/>
          <w:kern w:val="0"/>
          <w:sz w:val="24"/>
          <w:szCs w:val="24"/>
          <w:highlight w:val="none"/>
        </w:rPr>
        <w:t xml:space="preserve">货物的各项技术成本、生产成本、销售费用等。 </w:t>
      </w:r>
    </w:p>
    <w:p w14:paraId="68387C9A">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相关费用：包括货物包装费、运输费（含运输风险费用）、装卸费、赶工费、保管费、专用工具、备品备件费、安装费用（安装范围材料搬运费、垂直运输费、保险费、安装人工及水电费、辅助材料费等）、措施费（安装货物所需采取的措施的费用）、安全文明施工费、调试验收费（调试水电费、检测费、耗材费用等）、配合费（因交叉工作须相互配合所产生的相关费用）、专利费、技术培训费、 风险费、税费等，即移交</w:t>
      </w:r>
      <w:r>
        <w:rPr>
          <w:rFonts w:hint="eastAsia" w:ascii="宋体" w:hAnsi="宋体" w:eastAsia="宋体" w:cs="宋体"/>
          <w:color w:val="auto"/>
          <w:kern w:val="0"/>
          <w:sz w:val="24"/>
          <w:szCs w:val="24"/>
          <w:highlight w:val="none"/>
          <w:lang w:eastAsia="zh-CN"/>
        </w:rPr>
        <w:t>甲方</w:t>
      </w:r>
      <w:r>
        <w:rPr>
          <w:rFonts w:hint="eastAsia" w:ascii="宋体" w:hAnsi="宋体" w:eastAsia="宋体" w:cs="宋体"/>
          <w:color w:val="auto"/>
          <w:kern w:val="0"/>
          <w:sz w:val="24"/>
          <w:szCs w:val="24"/>
          <w:highlight w:val="none"/>
        </w:rPr>
        <w:t xml:space="preserve">前的所有费用。 </w:t>
      </w:r>
    </w:p>
    <w:p w14:paraId="43B8854E">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质保期所需的费用；包含质保期内免费为</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 xml:space="preserve">提供质量保证、技术服务、维护保养、检修等服务的费用，质保期内因货物质量问题引起的修复及更换费用，以及因此造成的损失等。 </w:t>
      </w:r>
    </w:p>
    <w:p w14:paraId="025314F0">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2" w:firstLineChars="200"/>
        <w:textAlignment w:val="auto"/>
        <w:outlineLvl w:val="2"/>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三、质量保证及售后服务</w:t>
      </w:r>
    </w:p>
    <w:p w14:paraId="547EE62F">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（一）</w:t>
      </w:r>
      <w:r>
        <w:rPr>
          <w:rFonts w:hint="eastAsia" w:ascii="宋体" w:hAnsi="宋体" w:eastAsia="宋体" w:cs="宋体"/>
          <w:color w:val="auto"/>
          <w:kern w:val="0"/>
          <w:sz w:val="24"/>
          <w:szCs w:val="24"/>
          <w:highlight w:val="none"/>
        </w:rPr>
        <w:t>本</w:t>
      </w:r>
      <w:r>
        <w:rPr>
          <w:rFonts w:hint="eastAsia" w:ascii="宋体" w:hAnsi="宋体" w:eastAsia="宋体" w:cs="宋体"/>
          <w:color w:val="auto"/>
          <w:kern w:val="0"/>
          <w:sz w:val="24"/>
          <w:szCs w:val="24"/>
          <w:highlight w:val="none"/>
          <w:lang w:eastAsia="zh-CN"/>
        </w:rPr>
        <w:t>项目</w:t>
      </w:r>
      <w:r>
        <w:rPr>
          <w:rFonts w:hint="eastAsia" w:ascii="宋体" w:hAnsi="宋体" w:eastAsia="宋体" w:cs="宋体"/>
          <w:color w:val="auto"/>
          <w:kern w:val="0"/>
          <w:sz w:val="24"/>
          <w:szCs w:val="24"/>
          <w:highlight w:val="none"/>
        </w:rPr>
        <w:t>货物免费质保期为</w:t>
      </w:r>
      <w:r>
        <w:rPr>
          <w:rFonts w:hint="eastAsia" w:ascii="宋体" w:hAnsi="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年，从</w:t>
      </w:r>
      <w:r>
        <w:rPr>
          <w:rFonts w:hint="eastAsia" w:ascii="宋体" w:hAnsi="宋体" w:eastAsia="宋体" w:cs="宋体"/>
          <w:color w:val="auto"/>
          <w:kern w:val="0"/>
          <w:sz w:val="24"/>
          <w:szCs w:val="24"/>
          <w:highlight w:val="none"/>
          <w:lang w:eastAsia="zh-CN"/>
        </w:rPr>
        <w:t>项目</w:t>
      </w:r>
      <w:r>
        <w:rPr>
          <w:rFonts w:hint="eastAsia" w:ascii="宋体" w:hAnsi="宋体" w:eastAsia="宋体" w:cs="宋体"/>
          <w:color w:val="auto"/>
          <w:kern w:val="0"/>
          <w:sz w:val="24"/>
          <w:szCs w:val="24"/>
          <w:highlight w:val="none"/>
        </w:rPr>
        <w:t>所有货物通过最终验收之日起算。终身维护</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w:t>
      </w:r>
    </w:p>
    <w:p w14:paraId="005165AB">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 xml:space="preserve">应保证所供的货物是全新的、未使用过的，并完全符合合同规定的质量、规格和性能要求。 </w:t>
      </w:r>
    </w:p>
    <w:p w14:paraId="47B80E05">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在产品的整个使用过程中，</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应对产品应达到的性能、指标、参数、品牌负有产品质量责任，并对因产品质量缺陷引起的安全问题负责，由</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 xml:space="preserve">承担因此造成的一切损失。 </w:t>
      </w:r>
    </w:p>
    <w:p w14:paraId="554DC4EB">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质保期内，在接到</w:t>
      </w: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lang w:eastAsia="zh-CN"/>
        </w:rPr>
        <w:t>人</w:t>
      </w:r>
      <w:r>
        <w:rPr>
          <w:rFonts w:hint="eastAsia" w:ascii="宋体" w:hAnsi="宋体" w:eastAsia="宋体" w:cs="宋体"/>
          <w:color w:val="auto"/>
          <w:kern w:val="0"/>
          <w:sz w:val="24"/>
          <w:szCs w:val="24"/>
          <w:highlight w:val="none"/>
        </w:rPr>
        <w:t xml:space="preserve">要求对所购产品进行维修的通知后，24小时内响应，48小时内安排人到现场，免费更换一切在正常情况下损坏的零配件。 </w:t>
      </w:r>
    </w:p>
    <w:p w14:paraId="5C06DC33">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在质量保证期内如果合同产品出现故障，</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应自负费用提供质保期服务，对相关合同货物进行修理或更换以消除故障，满足正常使用；但如果</w:t>
      </w:r>
      <w:r>
        <w:rPr>
          <w:rFonts w:hint="eastAsia" w:ascii="宋体" w:hAnsi="宋体" w:eastAsia="宋体" w:cs="宋体"/>
          <w:color w:val="auto"/>
          <w:kern w:val="0"/>
          <w:sz w:val="24"/>
          <w:szCs w:val="24"/>
          <w:highlight w:val="none"/>
          <w:lang w:eastAsia="zh-CN"/>
        </w:rPr>
        <w:t>本项目</w:t>
      </w:r>
      <w:r>
        <w:rPr>
          <w:rFonts w:hint="eastAsia" w:ascii="宋体" w:hAnsi="宋体" w:eastAsia="宋体" w:cs="宋体"/>
          <w:color w:val="auto"/>
          <w:kern w:val="0"/>
          <w:sz w:val="24"/>
          <w:szCs w:val="24"/>
          <w:highlight w:val="none"/>
        </w:rPr>
        <w:t>货物的故障或损坏是由于</w:t>
      </w: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rPr>
        <w:t>人</w:t>
      </w:r>
      <w:r>
        <w:rPr>
          <w:rFonts w:hint="eastAsia" w:ascii="宋体" w:hAnsi="宋体" w:eastAsia="宋体" w:cs="宋体"/>
          <w:color w:val="auto"/>
          <w:kern w:val="0"/>
          <w:sz w:val="24"/>
          <w:szCs w:val="24"/>
          <w:highlight w:val="none"/>
          <w:lang w:eastAsia="zh-CN"/>
        </w:rPr>
        <w:t>人</w:t>
      </w:r>
      <w:r>
        <w:rPr>
          <w:rFonts w:hint="eastAsia" w:ascii="宋体" w:hAnsi="宋体" w:eastAsia="宋体" w:cs="宋体"/>
          <w:color w:val="auto"/>
          <w:kern w:val="0"/>
          <w:sz w:val="24"/>
          <w:szCs w:val="24"/>
          <w:highlight w:val="none"/>
        </w:rPr>
        <w:t>为破坏造成的，则对</w:t>
      </w:r>
      <w:r>
        <w:rPr>
          <w:rFonts w:hint="eastAsia" w:ascii="宋体" w:hAnsi="宋体" w:eastAsia="宋体" w:cs="宋体"/>
          <w:color w:val="auto"/>
          <w:kern w:val="0"/>
          <w:sz w:val="24"/>
          <w:szCs w:val="24"/>
          <w:highlight w:val="none"/>
          <w:lang w:eastAsia="zh-CN"/>
        </w:rPr>
        <w:t>本项目</w:t>
      </w:r>
      <w:r>
        <w:rPr>
          <w:rFonts w:hint="eastAsia" w:ascii="宋体" w:hAnsi="宋体" w:eastAsia="宋体" w:cs="宋体"/>
          <w:color w:val="auto"/>
          <w:kern w:val="0"/>
          <w:sz w:val="24"/>
          <w:szCs w:val="24"/>
          <w:highlight w:val="none"/>
        </w:rPr>
        <w:t>货物进行修理和更换的费用应由</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 xml:space="preserve">承担。  </w:t>
      </w:r>
    </w:p>
    <w:p w14:paraId="21A0AD72">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在保修期外</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上门维修可收取维修费，如有更换零件，</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按出厂价收取所需修复或更换的零部件的材料费；</w:t>
      </w: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lang w:eastAsia="zh-CN"/>
        </w:rPr>
        <w:t>人</w:t>
      </w:r>
      <w:r>
        <w:rPr>
          <w:rFonts w:hint="eastAsia" w:ascii="宋体" w:hAnsi="宋体" w:eastAsia="宋体" w:cs="宋体"/>
          <w:color w:val="auto"/>
          <w:kern w:val="0"/>
          <w:sz w:val="24"/>
          <w:szCs w:val="24"/>
          <w:highlight w:val="none"/>
        </w:rPr>
        <w:t xml:space="preserve">也可以自行选择维修商。 </w:t>
      </w:r>
    </w:p>
    <w:p w14:paraId="1E4D156F">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（七）</w:t>
      </w:r>
      <w:r>
        <w:rPr>
          <w:rFonts w:hint="eastAsia" w:ascii="宋体" w:hAnsi="宋体" w:eastAsia="宋体" w:cs="宋体"/>
          <w:color w:val="auto"/>
          <w:kern w:val="0"/>
          <w:sz w:val="24"/>
          <w:szCs w:val="24"/>
          <w:highlight w:val="none"/>
        </w:rPr>
        <w:t>质量保证期届满且</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按照合同约定履行完毕质量保证期内义务后，</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及时向</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提出质量保证回访，无质量问题（或消除质量问题）后，</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应向</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 xml:space="preserve">出具合同货物的质量保证期届满相关凭据，并支付质保金。 </w:t>
      </w:r>
    </w:p>
    <w:p w14:paraId="7472E5FF">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（八）</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应配备充足的技术人员，并根据</w:t>
      </w: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lang w:eastAsia="zh-CN"/>
        </w:rPr>
        <w:t>人</w:t>
      </w:r>
      <w:r>
        <w:rPr>
          <w:rFonts w:hint="eastAsia" w:ascii="宋体" w:hAnsi="宋体" w:eastAsia="宋体" w:cs="宋体"/>
          <w:color w:val="auto"/>
          <w:kern w:val="0"/>
          <w:sz w:val="24"/>
          <w:szCs w:val="24"/>
          <w:highlight w:val="none"/>
        </w:rPr>
        <w:t>要求，通过进行电话联系或派遣技术熟练、称职的技术人员到施工场地为</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提供服务。如果</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技术人员不合格，</w:t>
      </w: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lang w:eastAsia="zh-CN"/>
        </w:rPr>
        <w:t>人</w:t>
      </w:r>
      <w:r>
        <w:rPr>
          <w:rFonts w:hint="eastAsia" w:ascii="宋体" w:hAnsi="宋体" w:eastAsia="宋体" w:cs="宋体"/>
          <w:color w:val="auto"/>
          <w:kern w:val="0"/>
          <w:sz w:val="24"/>
          <w:szCs w:val="24"/>
          <w:highlight w:val="none"/>
        </w:rPr>
        <w:t>有权要求</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撤换，因撤换而产生的费用应由</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承担。</w:t>
      </w:r>
    </w:p>
    <w:p w14:paraId="36A7BADB">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color w:val="auto"/>
          <w:sz w:val="24"/>
          <w:szCs w:val="24"/>
          <w:highlight w:val="none"/>
        </w:rPr>
        <w:t>四、付款方式</w:t>
      </w:r>
      <w:bookmarkEnd w:id="87"/>
      <w:bookmarkEnd w:id="88"/>
    </w:p>
    <w:p w14:paraId="7D037EBE">
      <w:pPr>
        <w:pStyle w:val="33"/>
        <w:spacing w:line="500" w:lineRule="exact"/>
        <w:ind w:firstLine="480" w:firstLineChars="200"/>
        <w:rPr>
          <w:rFonts w:hint="eastAsia" w:ascii="宋体" w:hAnsi="宋体" w:eastAsia="宋体" w:cs="宋体"/>
          <w:b w:val="0"/>
          <w:bCs w:val="0"/>
          <w:color w:val="auto"/>
          <w:sz w:val="24"/>
          <w:szCs w:val="24"/>
          <w:highlight w:val="none"/>
          <w:lang w:val="en-US" w:eastAsia="zh-CN"/>
        </w:rPr>
      </w:pPr>
      <w:bookmarkStart w:id="89" w:name="_Toc32039"/>
      <w:bookmarkStart w:id="90" w:name="_Toc267320052"/>
      <w:r>
        <w:rPr>
          <w:rFonts w:hint="eastAsia" w:ascii="宋体" w:hAnsi="宋体" w:eastAsia="宋体" w:cs="宋体"/>
          <w:b w:val="0"/>
          <w:bCs w:val="0"/>
          <w:color w:val="auto"/>
          <w:sz w:val="24"/>
          <w:szCs w:val="24"/>
          <w:highlight w:val="none"/>
          <w:lang w:val="en-US" w:eastAsia="zh-CN"/>
        </w:rPr>
        <w:t>1.本项目质保金为签约合同价的3%，质保期是</w:t>
      </w:r>
      <w:r>
        <w:rPr>
          <w:rFonts w:hint="eastAsia" w:ascii="宋体" w:hAnsi="宋体" w:eastAsia="宋体" w:cs="宋体"/>
          <w:b w:val="0"/>
          <w:bCs w:val="0"/>
          <w:color w:val="auto"/>
          <w:sz w:val="24"/>
          <w:szCs w:val="24"/>
          <w:highlight w:val="none"/>
          <w:u w:val="single"/>
          <w:lang w:val="en-US" w:eastAsia="zh-CN"/>
        </w:rPr>
        <w:t>贰</w:t>
      </w:r>
      <w:r>
        <w:rPr>
          <w:rFonts w:hint="eastAsia" w:ascii="宋体" w:hAnsi="宋体" w:eastAsia="宋体" w:cs="宋体"/>
          <w:b w:val="0"/>
          <w:bCs w:val="0"/>
          <w:color w:val="auto"/>
          <w:sz w:val="24"/>
          <w:szCs w:val="24"/>
          <w:highlight w:val="none"/>
          <w:lang w:val="en-US" w:eastAsia="zh-CN"/>
        </w:rPr>
        <w:t>年，保修期内乙方免费提供配件及上门服务。合同履行完毕经甲方验收合格后5日内，乙方通过现金转账形式向甲方缴纳质保金，待质保期满</w:t>
      </w:r>
      <w:r>
        <w:rPr>
          <w:rFonts w:hint="eastAsia" w:ascii="宋体" w:hAnsi="宋体" w:eastAsia="宋体" w:cs="宋体"/>
          <w:b w:val="0"/>
          <w:bCs w:val="0"/>
          <w:color w:val="auto"/>
          <w:sz w:val="24"/>
          <w:szCs w:val="24"/>
          <w:highlight w:val="none"/>
          <w:u w:val="single"/>
          <w:lang w:val="en-US" w:eastAsia="zh-CN"/>
        </w:rPr>
        <w:t>贰</w:t>
      </w:r>
      <w:r>
        <w:rPr>
          <w:rFonts w:hint="eastAsia" w:ascii="宋体" w:hAnsi="宋体" w:eastAsia="宋体" w:cs="宋体"/>
          <w:b w:val="0"/>
          <w:bCs w:val="0"/>
          <w:color w:val="auto"/>
          <w:sz w:val="24"/>
          <w:szCs w:val="24"/>
          <w:highlight w:val="none"/>
          <w:lang w:val="en-US" w:eastAsia="zh-CN"/>
        </w:rPr>
        <w:t xml:space="preserve">年后无息退还。 </w:t>
      </w:r>
    </w:p>
    <w:p w14:paraId="48704E4F">
      <w:pPr>
        <w:pStyle w:val="33"/>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2.合同生效后，甲方按以下约定支付合同款：</w:t>
      </w:r>
    </w:p>
    <w:p w14:paraId="700CF9A1">
      <w:pPr>
        <w:pStyle w:val="33"/>
        <w:spacing w:line="500" w:lineRule="exact"/>
        <w:ind w:firstLine="480" w:firstLineChars="200"/>
        <w:rPr>
          <w:rFonts w:hint="eastAsia" w:ascii="宋体" w:hAnsi="宋体" w:eastAsia="宋体" w:cs="宋体"/>
          <w:b w:val="0"/>
          <w:bCs w:val="0"/>
          <w:color w:val="auto"/>
          <w:sz w:val="24"/>
          <w:szCs w:val="24"/>
          <w:highlight w:val="yellow"/>
          <w:lang w:val="en-US" w:eastAsia="zh-CN"/>
        </w:rPr>
      </w:pPr>
      <w:r>
        <w:rPr>
          <w:rFonts w:hint="eastAsia" w:ascii="宋体" w:hAnsi="宋体" w:eastAsia="宋体" w:cs="宋体"/>
          <w:b w:val="0"/>
          <w:bCs w:val="0"/>
          <w:color w:val="auto"/>
          <w:sz w:val="24"/>
          <w:szCs w:val="24"/>
          <w:highlight w:val="none"/>
          <w:lang w:val="en-US" w:eastAsia="zh-CN"/>
        </w:rPr>
        <w:t>合同签订后五日内，乙方出具等额的增值税发票和预付款担保函，甲方支付合同金额的30%预付款。乙方按期交货并安装完工后经甲方验收合格，取得验收合格手续、开具足额增值税发票后，待甲方收到质保金后支付至合同结算金额的100%。合同结算金额以实际验收合格的家具数量进行结算。</w:t>
      </w:r>
    </w:p>
    <w:p w14:paraId="06F1C6F9">
      <w:pPr>
        <w:pStyle w:val="33"/>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五、知识产权</w:t>
      </w:r>
      <w:bookmarkEnd w:id="89"/>
      <w:bookmarkEnd w:id="90"/>
    </w:p>
    <w:p w14:paraId="49C42E8E">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rPr>
        <w:t>人在中华人民共和国境内使用</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提供的货物及服务时免受第三方提出的侵犯其专利权或其它知识产权的起诉。如果第三方提出侵权指控，</w:t>
      </w:r>
      <w:r>
        <w:rPr>
          <w:rFonts w:hint="eastAsia" w:ascii="宋体" w:hAnsi="宋体" w:cs="宋体"/>
          <w:color w:val="auto"/>
          <w:kern w:val="0"/>
          <w:sz w:val="24"/>
          <w:szCs w:val="24"/>
          <w:highlight w:val="none"/>
          <w:lang w:val="en-US" w:eastAsia="zh-CN"/>
        </w:rPr>
        <w:t>中选</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应承担由此而引起的一切法律责任和费用。</w:t>
      </w:r>
    </w:p>
    <w:p w14:paraId="717876EA">
      <w:pPr>
        <w:pStyle w:val="8"/>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firstLine="482" w:firstLineChars="200"/>
        <w:textAlignment w:val="auto"/>
        <w:rPr>
          <w:rFonts w:hint="eastAsia" w:ascii="宋体" w:hAnsi="宋体" w:eastAsia="宋体" w:cs="宋体"/>
          <w:b/>
          <w:color w:val="auto"/>
          <w:sz w:val="24"/>
          <w:szCs w:val="24"/>
          <w:highlight w:val="none"/>
        </w:rPr>
      </w:pPr>
      <w:bookmarkStart w:id="91" w:name="_Toc267320053"/>
      <w:bookmarkStart w:id="92" w:name="_Toc15434"/>
      <w:r>
        <w:rPr>
          <w:rFonts w:hint="eastAsia" w:ascii="宋体" w:hAnsi="宋体" w:eastAsia="宋体" w:cs="宋体"/>
          <w:b/>
          <w:color w:val="auto"/>
          <w:sz w:val="24"/>
          <w:szCs w:val="24"/>
          <w:highlight w:val="none"/>
        </w:rPr>
        <w:t>六、培训</w:t>
      </w:r>
      <w:bookmarkEnd w:id="91"/>
      <w:bookmarkEnd w:id="92"/>
    </w:p>
    <w:p w14:paraId="0966FDC2">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对其提供产品的使用和操作应尽培训义务。</w:t>
      </w:r>
      <w:r>
        <w:rPr>
          <w:rFonts w:hint="eastAsia" w:ascii="宋体" w:hAnsi="宋体" w:cs="宋体"/>
          <w:color w:val="auto"/>
          <w:kern w:val="0"/>
          <w:sz w:val="24"/>
          <w:szCs w:val="24"/>
          <w:highlight w:val="none"/>
          <w:lang w:eastAsia="zh-CN"/>
        </w:rPr>
        <w:t>竞选人</w:t>
      </w:r>
      <w:r>
        <w:rPr>
          <w:rFonts w:hint="eastAsia" w:ascii="宋体" w:hAnsi="宋体" w:eastAsia="宋体" w:cs="宋体"/>
          <w:color w:val="auto"/>
          <w:kern w:val="0"/>
          <w:sz w:val="24"/>
          <w:szCs w:val="24"/>
          <w:highlight w:val="none"/>
        </w:rPr>
        <w:t>应提供对</w:t>
      </w:r>
      <w:r>
        <w:rPr>
          <w:rFonts w:hint="eastAsia" w:ascii="宋体" w:hAnsi="宋体" w:eastAsia="宋体" w:cs="宋体"/>
          <w:color w:val="auto"/>
          <w:kern w:val="0"/>
          <w:sz w:val="24"/>
          <w:szCs w:val="24"/>
          <w:highlight w:val="none"/>
          <w:lang w:val="en-US" w:eastAsia="zh-CN"/>
        </w:rPr>
        <w:t>比选</w:t>
      </w:r>
      <w:r>
        <w:rPr>
          <w:rFonts w:hint="eastAsia" w:ascii="宋体" w:hAnsi="宋体" w:eastAsia="宋体" w:cs="宋体"/>
          <w:color w:val="auto"/>
          <w:kern w:val="0"/>
          <w:sz w:val="24"/>
          <w:szCs w:val="24"/>
          <w:highlight w:val="none"/>
        </w:rPr>
        <w:t>人的基本免费培训，使</w:t>
      </w:r>
      <w:r>
        <w:rPr>
          <w:rFonts w:hint="eastAsia" w:ascii="宋体" w:hAnsi="宋体" w:cs="宋体"/>
          <w:color w:val="auto"/>
          <w:kern w:val="0"/>
          <w:sz w:val="24"/>
          <w:szCs w:val="24"/>
          <w:highlight w:val="none"/>
          <w:lang w:eastAsia="zh-CN"/>
        </w:rPr>
        <w:t>比选人</w:t>
      </w:r>
      <w:r>
        <w:rPr>
          <w:rFonts w:hint="eastAsia" w:ascii="宋体" w:hAnsi="宋体" w:eastAsia="宋体" w:cs="宋体"/>
          <w:color w:val="auto"/>
          <w:kern w:val="0"/>
          <w:sz w:val="24"/>
          <w:szCs w:val="24"/>
          <w:highlight w:val="none"/>
        </w:rPr>
        <w:t>使用人员能够正常操作。</w:t>
      </w:r>
    </w:p>
    <w:p w14:paraId="593AFC37">
      <w:pPr>
        <w:pStyle w:val="8"/>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firstLine="482" w:firstLineChars="200"/>
        <w:textAlignment w:val="auto"/>
        <w:rPr>
          <w:rFonts w:hint="eastAsia" w:ascii="宋体" w:hAnsi="宋体" w:eastAsia="宋体" w:cs="宋体"/>
          <w:b/>
          <w:color w:val="auto"/>
          <w:sz w:val="24"/>
          <w:highlight w:val="none"/>
        </w:rPr>
      </w:pPr>
      <w:bookmarkStart w:id="93" w:name="_Toc6689"/>
      <w:r>
        <w:rPr>
          <w:rFonts w:hint="eastAsia" w:ascii="宋体" w:hAnsi="宋体" w:eastAsia="宋体" w:cs="宋体"/>
          <w:b/>
          <w:color w:val="auto"/>
          <w:sz w:val="24"/>
          <w:highlight w:val="none"/>
        </w:rPr>
        <w:t>七、附件、图纸及包装要求</w:t>
      </w:r>
      <w:bookmarkEnd w:id="93"/>
    </w:p>
    <w:p w14:paraId="077BBABE">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8"/>
          <w:highlight w:val="none"/>
        </w:rPr>
        <w:t>所有设备按照制造商规定的产品包装和随机标准附件为准。</w:t>
      </w:r>
    </w:p>
    <w:p w14:paraId="0F038C45">
      <w:pPr>
        <w:pageBreakBefore w:val="0"/>
        <w:kinsoku/>
        <w:wordWrap/>
        <w:overflowPunct/>
        <w:topLinePunct w:val="0"/>
        <w:autoSpaceDE/>
        <w:autoSpaceDN/>
        <w:bidi w:val="0"/>
        <w:adjustRightInd w:val="0"/>
        <w:snapToGrid w:val="0"/>
        <w:spacing w:line="360" w:lineRule="auto"/>
        <w:ind w:left="0" w:leftChars="0" w:right="0" w:rightChars="0" w:firstLine="723" w:firstLineChars="300"/>
        <w:jc w:val="left"/>
        <w:rPr>
          <w:rFonts w:hint="eastAsia" w:ascii="宋体" w:hAnsi="宋体" w:eastAsia="宋体" w:cs="宋体"/>
          <w:sz w:val="24"/>
          <w:szCs w:val="24"/>
        </w:rPr>
      </w:pPr>
      <w:bookmarkStart w:id="94" w:name="_Toc267320054"/>
      <w:bookmarkStart w:id="95" w:name="_Toc75793516"/>
      <w:r>
        <w:rPr>
          <w:rFonts w:hint="eastAsia" w:ascii="宋体" w:hAnsi="宋体" w:eastAsia="宋体" w:cs="宋体"/>
          <w:b/>
          <w:color w:val="auto"/>
          <w:sz w:val="24"/>
          <w:szCs w:val="24"/>
          <w:highlight w:val="none"/>
        </w:rPr>
        <w:t>八、</w:t>
      </w:r>
      <w:bookmarkEnd w:id="94"/>
      <w:r>
        <w:rPr>
          <w:rFonts w:hint="eastAsia" w:ascii="宋体" w:hAnsi="宋体" w:eastAsia="宋体" w:cs="宋体"/>
          <w:b/>
          <w:color w:val="auto"/>
          <w:sz w:val="24"/>
          <w:szCs w:val="24"/>
          <w:highlight w:val="none"/>
        </w:rPr>
        <w:t>其他商务要求内容</w:t>
      </w:r>
    </w:p>
    <w:bookmarkEnd w:id="82"/>
    <w:bookmarkEnd w:id="83"/>
    <w:bookmarkEnd w:id="84"/>
    <w:bookmarkEnd w:id="85"/>
    <w:bookmarkEnd w:id="95"/>
    <w:p w14:paraId="28BC9029">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rPr>
          <w:rStyle w:val="71"/>
          <w:rFonts w:hint="eastAsia" w:ascii="宋体" w:hAnsi="宋体" w:eastAsia="宋体" w:cs="宋体"/>
          <w:b/>
          <w:sz w:val="32"/>
          <w:szCs w:val="32"/>
        </w:rPr>
      </w:pPr>
      <w:bookmarkStart w:id="96" w:name="_Toc16123"/>
      <w:bookmarkStart w:id="97" w:name="_Toc65660349"/>
      <w:bookmarkStart w:id="98" w:name="_Toc24195"/>
      <w:bookmarkStart w:id="99" w:name="_Toc106034640"/>
    </w:p>
    <w:p w14:paraId="069245BE">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rPr>
          <w:rStyle w:val="71"/>
          <w:rFonts w:hint="eastAsia" w:ascii="宋体" w:hAnsi="宋体" w:eastAsia="宋体" w:cs="宋体"/>
          <w:b/>
          <w:sz w:val="32"/>
          <w:szCs w:val="32"/>
        </w:rPr>
      </w:pPr>
    </w:p>
    <w:p w14:paraId="1A17B730">
      <w:pPr>
        <w:rPr>
          <w:rStyle w:val="71"/>
          <w:rFonts w:hint="eastAsia" w:ascii="宋体" w:hAnsi="宋体" w:eastAsia="宋体" w:cs="宋体"/>
          <w:b/>
          <w:sz w:val="32"/>
          <w:szCs w:val="32"/>
        </w:rPr>
      </w:pPr>
    </w:p>
    <w:p w14:paraId="1515A674">
      <w:pPr>
        <w:pStyle w:val="25"/>
        <w:rPr>
          <w:rStyle w:val="71"/>
          <w:rFonts w:hint="eastAsia" w:ascii="宋体" w:hAnsi="宋体" w:eastAsia="宋体" w:cs="宋体"/>
          <w:b/>
          <w:sz w:val="32"/>
          <w:szCs w:val="32"/>
        </w:rPr>
      </w:pPr>
    </w:p>
    <w:p w14:paraId="2A5755C2">
      <w:pPr>
        <w:rPr>
          <w:rStyle w:val="71"/>
          <w:rFonts w:hint="eastAsia" w:ascii="宋体" w:hAnsi="宋体" w:eastAsia="宋体" w:cs="宋体"/>
          <w:b/>
          <w:sz w:val="32"/>
          <w:szCs w:val="32"/>
        </w:rPr>
      </w:pPr>
    </w:p>
    <w:p w14:paraId="564CE58A">
      <w:pPr>
        <w:pStyle w:val="25"/>
        <w:rPr>
          <w:rStyle w:val="71"/>
          <w:rFonts w:hint="eastAsia" w:ascii="宋体" w:hAnsi="宋体" w:eastAsia="宋体" w:cs="宋体"/>
          <w:b/>
          <w:sz w:val="32"/>
          <w:szCs w:val="32"/>
        </w:rPr>
      </w:pPr>
    </w:p>
    <w:p w14:paraId="78C56CF2">
      <w:pPr>
        <w:rPr>
          <w:rStyle w:val="71"/>
          <w:rFonts w:hint="eastAsia" w:ascii="宋体" w:hAnsi="宋体" w:eastAsia="宋体" w:cs="宋体"/>
          <w:b/>
          <w:sz w:val="32"/>
          <w:szCs w:val="32"/>
        </w:rPr>
      </w:pPr>
    </w:p>
    <w:p w14:paraId="0C0FA974">
      <w:pPr>
        <w:pStyle w:val="25"/>
        <w:rPr>
          <w:rStyle w:val="71"/>
          <w:rFonts w:hint="eastAsia" w:ascii="宋体" w:hAnsi="宋体" w:eastAsia="宋体" w:cs="宋体"/>
          <w:b/>
          <w:sz w:val="32"/>
          <w:szCs w:val="32"/>
        </w:rPr>
      </w:pPr>
    </w:p>
    <w:p w14:paraId="7E129062">
      <w:pPr>
        <w:rPr>
          <w:rStyle w:val="71"/>
          <w:rFonts w:hint="eastAsia" w:ascii="宋体" w:hAnsi="宋体" w:eastAsia="宋体" w:cs="宋体"/>
          <w:b/>
          <w:sz w:val="32"/>
          <w:szCs w:val="32"/>
        </w:rPr>
      </w:pPr>
    </w:p>
    <w:p w14:paraId="7BD27E88">
      <w:pPr>
        <w:pStyle w:val="25"/>
        <w:rPr>
          <w:rStyle w:val="71"/>
          <w:rFonts w:hint="eastAsia" w:ascii="宋体" w:hAnsi="宋体" w:eastAsia="宋体" w:cs="宋体"/>
          <w:b/>
          <w:sz w:val="32"/>
          <w:szCs w:val="32"/>
        </w:rPr>
      </w:pPr>
    </w:p>
    <w:p w14:paraId="3481679D">
      <w:pPr>
        <w:rPr>
          <w:rStyle w:val="71"/>
          <w:rFonts w:hint="eastAsia" w:ascii="宋体" w:hAnsi="宋体" w:eastAsia="宋体" w:cs="宋体"/>
          <w:b/>
          <w:sz w:val="32"/>
          <w:szCs w:val="32"/>
        </w:rPr>
      </w:pPr>
    </w:p>
    <w:p w14:paraId="3B4F39E6">
      <w:pPr>
        <w:pStyle w:val="25"/>
        <w:rPr>
          <w:rStyle w:val="71"/>
          <w:rFonts w:hint="eastAsia" w:ascii="宋体" w:hAnsi="宋体" w:eastAsia="宋体" w:cs="宋体"/>
          <w:b/>
          <w:sz w:val="32"/>
          <w:szCs w:val="32"/>
        </w:rPr>
      </w:pPr>
    </w:p>
    <w:p w14:paraId="7701DDC3">
      <w:pPr>
        <w:rPr>
          <w:rStyle w:val="71"/>
          <w:rFonts w:hint="eastAsia" w:ascii="宋体" w:hAnsi="宋体" w:eastAsia="宋体" w:cs="宋体"/>
          <w:b/>
          <w:sz w:val="32"/>
          <w:szCs w:val="32"/>
        </w:rPr>
      </w:pPr>
    </w:p>
    <w:p w14:paraId="1648AACB">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rPr>
          <w:rFonts w:hint="eastAsia" w:ascii="宋体" w:hAnsi="宋体" w:eastAsia="宋体" w:cs="宋体"/>
          <w:b/>
          <w:kern w:val="2"/>
          <w:sz w:val="28"/>
          <w:lang w:val="en-US" w:eastAsia="zh-CN" w:bidi="ar-SA"/>
        </w:rPr>
      </w:pPr>
      <w:bookmarkStart w:id="100" w:name="_Toc6069"/>
      <w:r>
        <w:rPr>
          <w:rFonts w:hint="eastAsia" w:ascii="宋体" w:hAnsi="宋体" w:eastAsia="宋体" w:cs="宋体"/>
          <w:b/>
          <w:kern w:val="2"/>
          <w:sz w:val="28"/>
          <w:lang w:val="en-US" w:eastAsia="zh-CN" w:bidi="ar-SA"/>
        </w:rPr>
        <w:t xml:space="preserve">第四篇  </w:t>
      </w:r>
      <w:bookmarkEnd w:id="96"/>
      <w:bookmarkEnd w:id="97"/>
      <w:bookmarkEnd w:id="98"/>
      <w:bookmarkEnd w:id="99"/>
      <w:bookmarkEnd w:id="100"/>
      <w:r>
        <w:rPr>
          <w:rFonts w:hint="eastAsia" w:ascii="宋体" w:hAnsi="宋体" w:eastAsia="宋体" w:cs="宋体"/>
          <w:b/>
          <w:kern w:val="2"/>
          <w:sz w:val="28"/>
          <w:lang w:val="en-US" w:eastAsia="zh-CN" w:bidi="ar-SA"/>
        </w:rPr>
        <w:t>竞选程序及方法、评审标准、无效响应和采购终止</w:t>
      </w:r>
    </w:p>
    <w:p w14:paraId="0D1D4C3E">
      <w:pPr>
        <w:pStyle w:val="7"/>
        <w:keepNext w:val="0"/>
        <w:keepLines w:val="0"/>
        <w:kinsoku w:val="0"/>
        <w:autoSpaceDE w:val="0"/>
        <w:autoSpaceDN w:val="0"/>
        <w:adjustRightInd w:val="0"/>
        <w:snapToGrid w:val="0"/>
        <w:spacing w:before="0" w:after="0" w:line="360" w:lineRule="auto"/>
        <w:ind w:firstLine="480" w:firstLineChars="200"/>
        <w:rPr>
          <w:rFonts w:hint="eastAsia" w:ascii="宋体" w:hAnsi="宋体" w:eastAsia="宋体" w:cs="宋体"/>
          <w:sz w:val="24"/>
          <w:highlight w:val="none"/>
        </w:rPr>
      </w:pPr>
      <w:bookmarkStart w:id="101" w:name="_Toc76462333"/>
      <w:bookmarkStart w:id="102" w:name="_Toc1485859301"/>
      <w:bookmarkStart w:id="103" w:name="_Toc64732012"/>
      <w:bookmarkStart w:id="104" w:name="_Toc9361"/>
      <w:bookmarkStart w:id="105" w:name="_Toc5167"/>
      <w:bookmarkStart w:id="106" w:name="_Toc65660350"/>
      <w:bookmarkStart w:id="107" w:name="_Toc106034641"/>
      <w:r>
        <w:rPr>
          <w:rFonts w:hint="eastAsia" w:ascii="宋体" w:hAnsi="宋体" w:eastAsia="宋体" w:cs="宋体"/>
          <w:sz w:val="24"/>
          <w:highlight w:val="none"/>
        </w:rPr>
        <w:t>一、</w:t>
      </w:r>
      <w:r>
        <w:rPr>
          <w:rFonts w:hint="eastAsia" w:ascii="宋体" w:hAnsi="宋体" w:cs="宋体"/>
          <w:sz w:val="24"/>
          <w:szCs w:val="24"/>
          <w:highlight w:val="none"/>
        </w:rPr>
        <w:t>竞选</w:t>
      </w:r>
      <w:r>
        <w:rPr>
          <w:rFonts w:hint="eastAsia" w:ascii="宋体" w:hAnsi="宋体" w:eastAsia="宋体" w:cs="宋体"/>
          <w:sz w:val="24"/>
          <w:highlight w:val="none"/>
        </w:rPr>
        <w:t>程序及方法</w:t>
      </w:r>
      <w:bookmarkEnd w:id="101"/>
      <w:bookmarkEnd w:id="102"/>
    </w:p>
    <w:p w14:paraId="5A6B53AD">
      <w:pPr>
        <w:kinsoku w:val="0"/>
        <w:autoSpaceDE w:val="0"/>
        <w:autoSpaceDN w:val="0"/>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rPr>
        <w:t>（一）竞选按</w:t>
      </w:r>
      <w:r>
        <w:rPr>
          <w:rFonts w:hint="eastAsia" w:ascii="宋体" w:hAnsi="宋体" w:cs="宋体"/>
          <w:sz w:val="24"/>
          <w:szCs w:val="24"/>
          <w:highlight w:val="none"/>
          <w:lang w:eastAsia="zh-CN"/>
        </w:rPr>
        <w:t>竞争性比选文件</w:t>
      </w:r>
      <w:r>
        <w:rPr>
          <w:rFonts w:hint="eastAsia" w:ascii="宋体" w:hAnsi="宋体" w:cs="宋体"/>
          <w:sz w:val="24"/>
          <w:szCs w:val="24"/>
          <w:highlight w:val="none"/>
        </w:rPr>
        <w:t>规定的时间和地点进行，竞选人须有法定代表人（或其授权代表）或自然人参加并签到</w:t>
      </w:r>
      <w:r>
        <w:rPr>
          <w:rFonts w:hint="eastAsia" w:ascii="宋体" w:hAnsi="宋体" w:cs="宋体"/>
          <w:sz w:val="24"/>
          <w:szCs w:val="24"/>
          <w:highlight w:val="none"/>
          <w:lang w:eastAsia="zh-CN"/>
        </w:rPr>
        <w:t>。</w:t>
      </w:r>
    </w:p>
    <w:p w14:paraId="2D7733D9">
      <w:pPr>
        <w:kinsoku w:val="0"/>
        <w:autoSpaceDE w:val="0"/>
        <w:autoSpaceDN w:val="0"/>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w:t>
      </w:r>
      <w:r>
        <w:rPr>
          <w:rFonts w:hint="eastAsia" w:ascii="宋体" w:hAnsi="宋体" w:cs="宋体"/>
          <w:sz w:val="24"/>
          <w:szCs w:val="24"/>
          <w:highlight w:val="none"/>
          <w:lang w:eastAsia="zh-CN"/>
        </w:rPr>
        <w:t>竞争性比选评审小组</w:t>
      </w:r>
      <w:r>
        <w:rPr>
          <w:rFonts w:hint="eastAsia" w:ascii="宋体" w:hAnsi="宋体" w:cs="宋体"/>
          <w:sz w:val="24"/>
          <w:szCs w:val="24"/>
          <w:highlight w:val="none"/>
        </w:rPr>
        <w:t>对各竞选人的资格条件、比选申请文件的有效性、完整性和响应程度进行审查。各竞选人只有在完全符合要求的前提下，才能参与正式竞选。</w:t>
      </w:r>
    </w:p>
    <w:p w14:paraId="642E9C02">
      <w:pPr>
        <w:kinsoku w:val="0"/>
        <w:autoSpaceDE w:val="0"/>
        <w:autoSpaceDN w:val="0"/>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sz w:val="24"/>
          <w:szCs w:val="24"/>
          <w:highlight w:val="none"/>
        </w:rPr>
        <w:t>1.</w:t>
      </w:r>
      <w:r>
        <w:rPr>
          <w:rFonts w:hint="eastAsia" w:ascii="宋体" w:hAnsi="宋体" w:cs="宋体"/>
          <w:kern w:val="0"/>
          <w:sz w:val="24"/>
          <w:szCs w:val="24"/>
          <w:highlight w:val="none"/>
        </w:rPr>
        <w:t>资格性审查。依据法律法规和</w:t>
      </w:r>
      <w:r>
        <w:rPr>
          <w:rFonts w:hint="eastAsia" w:ascii="宋体" w:hAnsi="宋体" w:cs="宋体"/>
          <w:kern w:val="0"/>
          <w:sz w:val="24"/>
          <w:szCs w:val="24"/>
          <w:highlight w:val="none"/>
          <w:lang w:eastAsia="zh-CN"/>
        </w:rPr>
        <w:t>竞争性比选文件</w:t>
      </w:r>
      <w:r>
        <w:rPr>
          <w:rFonts w:hint="eastAsia" w:ascii="宋体" w:hAnsi="宋体" w:cs="宋体"/>
          <w:kern w:val="0"/>
          <w:sz w:val="24"/>
          <w:szCs w:val="24"/>
          <w:highlight w:val="none"/>
        </w:rPr>
        <w:t>的规定，对</w:t>
      </w:r>
      <w:r>
        <w:rPr>
          <w:rFonts w:hint="eastAsia" w:ascii="宋体" w:hAnsi="宋体" w:cs="宋体"/>
          <w:kern w:val="0"/>
          <w:sz w:val="24"/>
          <w:szCs w:val="24"/>
          <w:highlight w:val="none"/>
          <w:lang w:eastAsia="zh-CN"/>
        </w:rPr>
        <w:t>比选申请文件</w:t>
      </w:r>
      <w:r>
        <w:rPr>
          <w:rFonts w:hint="eastAsia" w:ascii="宋体" w:hAnsi="宋体" w:cs="宋体"/>
          <w:kern w:val="0"/>
          <w:sz w:val="24"/>
          <w:szCs w:val="24"/>
          <w:highlight w:val="none"/>
        </w:rPr>
        <w:t>中的资格证明、等进行审查，以确定</w:t>
      </w:r>
      <w:r>
        <w:rPr>
          <w:rFonts w:hint="eastAsia" w:ascii="宋体" w:hAnsi="宋体" w:cs="宋体"/>
          <w:sz w:val="24"/>
          <w:szCs w:val="24"/>
          <w:highlight w:val="none"/>
        </w:rPr>
        <w:t>竞选人</w:t>
      </w:r>
      <w:r>
        <w:rPr>
          <w:rFonts w:hint="eastAsia" w:ascii="宋体" w:hAnsi="宋体" w:cs="宋体"/>
          <w:kern w:val="0"/>
          <w:sz w:val="24"/>
          <w:szCs w:val="24"/>
          <w:highlight w:val="none"/>
        </w:rPr>
        <w:t>是否具备</w:t>
      </w:r>
      <w:r>
        <w:rPr>
          <w:rFonts w:hint="eastAsia" w:ascii="宋体" w:hAnsi="宋体" w:cs="宋体"/>
          <w:kern w:val="0"/>
          <w:sz w:val="24"/>
          <w:szCs w:val="24"/>
          <w:highlight w:val="none"/>
          <w:lang w:val="en-US" w:eastAsia="zh-CN"/>
        </w:rPr>
        <w:t>竞选</w:t>
      </w:r>
      <w:r>
        <w:rPr>
          <w:rFonts w:hint="eastAsia" w:ascii="宋体" w:hAnsi="宋体" w:cs="宋体"/>
          <w:kern w:val="0"/>
          <w:sz w:val="24"/>
          <w:szCs w:val="24"/>
          <w:highlight w:val="none"/>
        </w:rPr>
        <w:t>资格。资格性审查资料表如下：</w:t>
      </w:r>
    </w:p>
    <w:tbl>
      <w:tblPr>
        <w:tblStyle w:val="60"/>
        <w:tblW w:w="48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45"/>
        <w:gridCol w:w="2636"/>
        <w:gridCol w:w="4960"/>
      </w:tblGrid>
      <w:tr w14:paraId="7083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tcBorders>
              <w:top w:val="single" w:color="auto" w:sz="4" w:space="0"/>
              <w:left w:val="single" w:color="auto" w:sz="4" w:space="0"/>
              <w:bottom w:val="single" w:color="auto" w:sz="4" w:space="0"/>
              <w:right w:val="single" w:color="auto" w:sz="4" w:space="0"/>
            </w:tcBorders>
            <w:noWrap w:val="0"/>
            <w:vAlign w:val="center"/>
          </w:tcPr>
          <w:p w14:paraId="6457EE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b/>
                <w:kern w:val="0"/>
                <w:sz w:val="24"/>
                <w:szCs w:val="24"/>
              </w:rPr>
            </w:pPr>
            <w:r>
              <w:rPr>
                <w:rFonts w:hint="eastAsia" w:ascii="宋体" w:hAnsi="宋体" w:eastAsia="宋体" w:cs="宋体"/>
                <w:b/>
                <w:kern w:val="0"/>
                <w:sz w:val="24"/>
                <w:szCs w:val="24"/>
              </w:rPr>
              <w:t>序号</w:t>
            </w:r>
          </w:p>
        </w:tc>
        <w:tc>
          <w:tcPr>
            <w:tcW w:w="1909" w:type="pct"/>
            <w:gridSpan w:val="2"/>
            <w:tcBorders>
              <w:top w:val="single" w:color="auto" w:sz="4" w:space="0"/>
              <w:left w:val="single" w:color="auto" w:sz="4" w:space="0"/>
              <w:bottom w:val="single" w:color="auto" w:sz="4" w:space="0"/>
              <w:right w:val="single" w:color="auto" w:sz="4" w:space="0"/>
            </w:tcBorders>
            <w:noWrap w:val="0"/>
            <w:vAlign w:val="center"/>
          </w:tcPr>
          <w:p w14:paraId="67CC28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b/>
                <w:kern w:val="0"/>
                <w:sz w:val="24"/>
                <w:szCs w:val="24"/>
              </w:rPr>
            </w:pPr>
            <w:r>
              <w:rPr>
                <w:rFonts w:hint="eastAsia" w:ascii="宋体" w:hAnsi="宋体" w:eastAsia="宋体" w:cs="宋体"/>
                <w:b/>
                <w:kern w:val="0"/>
                <w:sz w:val="24"/>
                <w:szCs w:val="24"/>
              </w:rPr>
              <w:t>检查因素</w:t>
            </w:r>
          </w:p>
        </w:tc>
        <w:tc>
          <w:tcPr>
            <w:tcW w:w="2644" w:type="pct"/>
            <w:tcBorders>
              <w:top w:val="single" w:color="auto" w:sz="4" w:space="0"/>
              <w:left w:val="single" w:color="auto" w:sz="4" w:space="0"/>
              <w:bottom w:val="single" w:color="auto" w:sz="4" w:space="0"/>
              <w:right w:val="single" w:color="auto" w:sz="4" w:space="0"/>
            </w:tcBorders>
            <w:noWrap w:val="0"/>
            <w:vAlign w:val="center"/>
          </w:tcPr>
          <w:p w14:paraId="39670D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b/>
                <w:kern w:val="0"/>
                <w:sz w:val="24"/>
                <w:szCs w:val="24"/>
              </w:rPr>
            </w:pPr>
            <w:r>
              <w:rPr>
                <w:rFonts w:hint="eastAsia" w:ascii="宋体" w:hAnsi="宋体" w:eastAsia="宋体" w:cs="宋体"/>
                <w:b/>
                <w:kern w:val="0"/>
                <w:sz w:val="24"/>
                <w:szCs w:val="24"/>
              </w:rPr>
              <w:t>检查内容</w:t>
            </w:r>
          </w:p>
        </w:tc>
      </w:tr>
      <w:tr w14:paraId="486E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vMerge w:val="restart"/>
            <w:noWrap w:val="0"/>
            <w:vAlign w:val="center"/>
          </w:tcPr>
          <w:p w14:paraId="661C63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rPr>
                <w:rFonts w:hint="default" w:ascii="宋体" w:hAnsi="宋体" w:eastAsia="宋体" w:cs="宋体"/>
                <w:sz w:val="24"/>
                <w:szCs w:val="24"/>
              </w:rPr>
            </w:pPr>
            <w:r>
              <w:rPr>
                <w:rFonts w:hint="eastAsia" w:ascii="宋体" w:hAnsi="宋体" w:eastAsia="宋体" w:cs="宋体"/>
                <w:sz w:val="24"/>
                <w:szCs w:val="24"/>
              </w:rPr>
              <w:t>（一）</w:t>
            </w:r>
          </w:p>
        </w:tc>
        <w:tc>
          <w:tcPr>
            <w:tcW w:w="503" w:type="pct"/>
            <w:vMerge w:val="restart"/>
            <w:noWrap w:val="0"/>
            <w:vAlign w:val="center"/>
          </w:tcPr>
          <w:p w14:paraId="1E962C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sz w:val="24"/>
                <w:szCs w:val="24"/>
                <w:lang w:val="zh-CN"/>
              </w:rPr>
            </w:pPr>
            <w:r>
              <w:rPr>
                <w:rFonts w:hint="eastAsia" w:ascii="宋体" w:hAnsi="宋体" w:eastAsia="宋体" w:cs="宋体"/>
                <w:sz w:val="24"/>
                <w:szCs w:val="24"/>
                <w:lang w:val="zh-CN"/>
              </w:rPr>
              <w:t>资格审查</w:t>
            </w:r>
          </w:p>
        </w:tc>
        <w:tc>
          <w:tcPr>
            <w:tcW w:w="1405" w:type="pct"/>
            <w:noWrap w:val="0"/>
            <w:vAlign w:val="center"/>
          </w:tcPr>
          <w:p w14:paraId="73D084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sz w:val="24"/>
                <w:szCs w:val="24"/>
              </w:rPr>
            </w:pPr>
            <w:r>
              <w:rPr>
                <w:rFonts w:hint="eastAsia" w:ascii="宋体" w:hAnsi="宋体" w:eastAsia="宋体" w:cs="宋体"/>
                <w:sz w:val="24"/>
                <w:szCs w:val="24"/>
              </w:rPr>
              <w:t>1.具有独立承担民事责任的能力</w:t>
            </w:r>
          </w:p>
        </w:tc>
        <w:tc>
          <w:tcPr>
            <w:tcW w:w="2644" w:type="pct"/>
            <w:noWrap w:val="0"/>
            <w:vAlign w:val="center"/>
          </w:tcPr>
          <w:p w14:paraId="109D9A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竞选人</w:t>
            </w:r>
            <w:r>
              <w:rPr>
                <w:rFonts w:hint="eastAsia" w:ascii="宋体" w:hAnsi="宋体" w:eastAsia="宋体" w:cs="宋体"/>
                <w:sz w:val="24"/>
                <w:szCs w:val="24"/>
              </w:rPr>
              <w:t>有效的营业执照副本、税务登记证副本、组织机构代码证副本或三证合一后的营业执照扫描件</w:t>
            </w:r>
            <w:r>
              <w:rPr>
                <w:rFonts w:hint="eastAsia" w:ascii="宋体" w:hAnsi="宋体" w:cs="宋体"/>
                <w:sz w:val="24"/>
                <w:szCs w:val="24"/>
                <w:lang w:eastAsia="zh-CN"/>
              </w:rPr>
              <w:t>；</w:t>
            </w:r>
            <w:r>
              <w:rPr>
                <w:rFonts w:hint="eastAsia" w:ascii="宋体" w:hAnsi="宋体" w:eastAsia="宋体" w:cs="宋体"/>
                <w:sz w:val="24"/>
                <w:szCs w:val="24"/>
              </w:rPr>
              <w:t xml:space="preserve"> </w:t>
            </w:r>
          </w:p>
          <w:p w14:paraId="4422AE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竞选人</w:t>
            </w:r>
            <w:r>
              <w:rPr>
                <w:rFonts w:hint="eastAsia" w:ascii="宋体" w:hAnsi="宋体" w:eastAsia="宋体" w:cs="宋体"/>
                <w:sz w:val="24"/>
                <w:szCs w:val="24"/>
              </w:rPr>
              <w:t>法定代表人身份证明和法定代表人授权代表委托书。</w:t>
            </w:r>
          </w:p>
        </w:tc>
      </w:tr>
      <w:tr w14:paraId="36A0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vMerge w:val="continue"/>
            <w:noWrap w:val="0"/>
            <w:vAlign w:val="center"/>
          </w:tcPr>
          <w:p w14:paraId="76703D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503" w:type="pct"/>
            <w:vMerge w:val="continue"/>
            <w:noWrap w:val="0"/>
            <w:vAlign w:val="center"/>
          </w:tcPr>
          <w:p w14:paraId="43E915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lang w:val="zh-CN"/>
              </w:rPr>
            </w:pPr>
          </w:p>
        </w:tc>
        <w:tc>
          <w:tcPr>
            <w:tcW w:w="1405" w:type="pct"/>
            <w:noWrap w:val="0"/>
            <w:vAlign w:val="center"/>
          </w:tcPr>
          <w:p w14:paraId="57E801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sz w:val="24"/>
                <w:szCs w:val="24"/>
              </w:rPr>
            </w:pPr>
            <w:r>
              <w:rPr>
                <w:rFonts w:hint="eastAsia" w:ascii="宋体" w:hAnsi="宋体" w:eastAsia="宋体" w:cs="宋体"/>
                <w:sz w:val="24"/>
                <w:szCs w:val="24"/>
                <w:lang w:val="zh-CN"/>
              </w:rPr>
              <w:t>2.</w:t>
            </w:r>
            <w:r>
              <w:rPr>
                <w:rFonts w:hint="eastAsia" w:ascii="宋体" w:hAnsi="宋体" w:eastAsia="宋体" w:cs="宋体"/>
                <w:sz w:val="24"/>
                <w:szCs w:val="24"/>
              </w:rPr>
              <w:t>具有良好的商业信誉和健全的财务会计制度</w:t>
            </w:r>
          </w:p>
        </w:tc>
        <w:tc>
          <w:tcPr>
            <w:tcW w:w="2644" w:type="pct"/>
            <w:vMerge w:val="restart"/>
            <w:noWrap w:val="0"/>
            <w:vAlign w:val="center"/>
          </w:tcPr>
          <w:p w14:paraId="710AE2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4"/>
                <w:lang w:val="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CN" w:eastAsia="zh-CN"/>
              </w:rPr>
              <w:t>竞选人</w:t>
            </w:r>
            <w:r>
              <w:rPr>
                <w:rFonts w:hint="eastAsia" w:ascii="宋体" w:hAnsi="宋体" w:eastAsia="宋体" w:cs="宋体"/>
                <w:sz w:val="24"/>
                <w:szCs w:val="24"/>
                <w:lang w:val="zh-CN"/>
              </w:rPr>
              <w:t>提供“基本资格条件承诺函”（详见第七篇）。</w:t>
            </w:r>
          </w:p>
          <w:p w14:paraId="5C82C2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①提供2023年或2024年度经审计的财务审计报告扫描件（至少包含报告本身以及报告中提及的财务报表）；②可提供截至比选申请文件递交截止日一年内银行出具的资信证；③事业单位或成立不足一年的法人或者组织提供公司财务报表（包含资产负债表、现金流量表、利润表）和公司财务制度扫描件；④也可提供具有健全的财务会计制度的承诺函。</w:t>
            </w:r>
          </w:p>
          <w:p w14:paraId="551B35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竞选人</w:t>
            </w:r>
            <w:r>
              <w:rPr>
                <w:rFonts w:hint="eastAsia" w:ascii="宋体" w:hAnsi="宋体" w:eastAsia="宋体" w:cs="宋体"/>
                <w:sz w:val="24"/>
                <w:szCs w:val="24"/>
                <w:lang w:val="en-US" w:eastAsia="zh-CN"/>
              </w:rPr>
              <w:t>依据自身情况，提供以上①②③④条中任意提供1条即可（有效）。</w:t>
            </w:r>
          </w:p>
        </w:tc>
      </w:tr>
      <w:tr w14:paraId="628B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vMerge w:val="continue"/>
            <w:noWrap w:val="0"/>
            <w:vAlign w:val="center"/>
          </w:tcPr>
          <w:p w14:paraId="21F586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503" w:type="pct"/>
            <w:vMerge w:val="continue"/>
            <w:noWrap w:val="0"/>
            <w:vAlign w:val="center"/>
          </w:tcPr>
          <w:p w14:paraId="22A2CA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lang w:val="zh-CN"/>
              </w:rPr>
            </w:pPr>
          </w:p>
        </w:tc>
        <w:tc>
          <w:tcPr>
            <w:tcW w:w="1405" w:type="pct"/>
            <w:noWrap w:val="0"/>
            <w:vAlign w:val="center"/>
          </w:tcPr>
          <w:p w14:paraId="45475F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sz w:val="24"/>
                <w:szCs w:val="24"/>
                <w:lang w:val="zh-CN"/>
              </w:rPr>
            </w:pPr>
            <w:r>
              <w:rPr>
                <w:rFonts w:hint="eastAsia" w:ascii="宋体" w:hAnsi="宋体" w:eastAsia="宋体" w:cs="宋体"/>
                <w:sz w:val="24"/>
                <w:szCs w:val="24"/>
                <w:lang w:val="zh-CN"/>
              </w:rPr>
              <w:t>3.具有履行合同所必需的设备和专业技术能力</w:t>
            </w:r>
          </w:p>
        </w:tc>
        <w:tc>
          <w:tcPr>
            <w:tcW w:w="2644" w:type="pct"/>
            <w:vMerge w:val="continue"/>
            <w:noWrap w:val="0"/>
            <w:vAlign w:val="center"/>
          </w:tcPr>
          <w:p w14:paraId="236D10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highlight w:val="yellow"/>
                <w:lang w:val="zh-CN"/>
              </w:rPr>
            </w:pPr>
          </w:p>
        </w:tc>
      </w:tr>
      <w:tr w14:paraId="7E96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vMerge w:val="continue"/>
            <w:noWrap w:val="0"/>
            <w:vAlign w:val="center"/>
          </w:tcPr>
          <w:p w14:paraId="1F8F18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503" w:type="pct"/>
            <w:vMerge w:val="continue"/>
            <w:noWrap w:val="0"/>
            <w:vAlign w:val="center"/>
          </w:tcPr>
          <w:p w14:paraId="5D4233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lang w:val="zh-CN"/>
              </w:rPr>
            </w:pPr>
          </w:p>
        </w:tc>
        <w:tc>
          <w:tcPr>
            <w:tcW w:w="1405" w:type="pct"/>
            <w:noWrap w:val="0"/>
            <w:vAlign w:val="center"/>
          </w:tcPr>
          <w:p w14:paraId="679A94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sz w:val="24"/>
                <w:szCs w:val="24"/>
                <w:lang w:val="zh-CN"/>
              </w:rPr>
            </w:pPr>
            <w:r>
              <w:rPr>
                <w:rFonts w:hint="eastAsia" w:ascii="宋体" w:hAnsi="宋体" w:eastAsia="宋体" w:cs="宋体"/>
                <w:sz w:val="24"/>
                <w:szCs w:val="24"/>
                <w:lang w:val="zh-CN"/>
              </w:rPr>
              <w:t>4.有依法缴纳税收和社会保障金的良好记录</w:t>
            </w:r>
          </w:p>
        </w:tc>
        <w:tc>
          <w:tcPr>
            <w:tcW w:w="2644" w:type="pct"/>
            <w:vMerge w:val="continue"/>
            <w:noWrap w:val="0"/>
            <w:vAlign w:val="center"/>
          </w:tcPr>
          <w:p w14:paraId="529079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rPr>
                <w:rFonts w:hint="default" w:ascii="宋体" w:hAnsi="宋体" w:eastAsia="宋体" w:cs="宋体"/>
                <w:sz w:val="24"/>
                <w:szCs w:val="24"/>
                <w:lang w:val="zh-CN"/>
              </w:rPr>
            </w:pPr>
          </w:p>
        </w:tc>
      </w:tr>
      <w:tr w14:paraId="0929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vMerge w:val="continue"/>
            <w:noWrap w:val="0"/>
            <w:vAlign w:val="center"/>
          </w:tcPr>
          <w:p w14:paraId="59D058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503" w:type="pct"/>
            <w:vMerge w:val="continue"/>
            <w:noWrap w:val="0"/>
            <w:vAlign w:val="center"/>
          </w:tcPr>
          <w:p w14:paraId="026868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lang w:val="zh-CN"/>
              </w:rPr>
            </w:pPr>
          </w:p>
        </w:tc>
        <w:tc>
          <w:tcPr>
            <w:tcW w:w="1405" w:type="pct"/>
            <w:noWrap w:val="0"/>
            <w:vAlign w:val="center"/>
          </w:tcPr>
          <w:p w14:paraId="51C70B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sz w:val="24"/>
                <w:szCs w:val="24"/>
                <w:lang w:val="zh-CN"/>
              </w:rPr>
            </w:pPr>
            <w:r>
              <w:rPr>
                <w:rFonts w:hint="eastAsia" w:ascii="宋体" w:hAnsi="宋体" w:eastAsia="宋体" w:cs="宋体"/>
                <w:sz w:val="24"/>
                <w:szCs w:val="24"/>
              </w:rPr>
              <w:t>5.参加</w:t>
            </w:r>
            <w:r>
              <w:rPr>
                <w:rFonts w:hint="eastAsia" w:ascii="宋体" w:hAnsi="宋体" w:cs="宋体"/>
                <w:sz w:val="24"/>
                <w:szCs w:val="24"/>
                <w:lang w:val="en-US" w:eastAsia="zh-CN"/>
              </w:rPr>
              <w:t>政府</w:t>
            </w:r>
            <w:r>
              <w:rPr>
                <w:rFonts w:hint="eastAsia" w:ascii="宋体" w:hAnsi="宋体" w:eastAsia="宋体" w:cs="宋体"/>
                <w:sz w:val="24"/>
                <w:szCs w:val="24"/>
              </w:rPr>
              <w:t>采购活动前三年内，在经营活动中没有重大违法记录</w:t>
            </w:r>
          </w:p>
        </w:tc>
        <w:tc>
          <w:tcPr>
            <w:tcW w:w="2644" w:type="pct"/>
            <w:vMerge w:val="continue"/>
            <w:noWrap w:val="0"/>
            <w:vAlign w:val="center"/>
          </w:tcPr>
          <w:p w14:paraId="222FFD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r>
      <w:tr w14:paraId="68D4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vMerge w:val="continue"/>
            <w:noWrap w:val="0"/>
            <w:vAlign w:val="center"/>
          </w:tcPr>
          <w:p w14:paraId="764A40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503" w:type="pct"/>
            <w:vMerge w:val="continue"/>
            <w:noWrap w:val="0"/>
            <w:vAlign w:val="center"/>
          </w:tcPr>
          <w:p w14:paraId="394FFD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4049" w:type="pct"/>
            <w:gridSpan w:val="2"/>
            <w:noWrap w:val="0"/>
            <w:vAlign w:val="center"/>
          </w:tcPr>
          <w:p w14:paraId="3068A5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rPr>
                <w:rFonts w:hint="default" w:ascii="宋体" w:hAnsi="宋体" w:eastAsia="宋体" w:cs="宋体"/>
                <w:sz w:val="24"/>
                <w:szCs w:val="24"/>
              </w:rPr>
            </w:pPr>
            <w:r>
              <w:rPr>
                <w:rFonts w:hint="eastAsia" w:ascii="宋体" w:hAnsi="宋体" w:eastAsia="宋体" w:cs="宋体"/>
                <w:sz w:val="24"/>
                <w:szCs w:val="24"/>
              </w:rPr>
              <w:t>6.法律、行政法规规定的其他条件</w:t>
            </w:r>
          </w:p>
        </w:tc>
      </w:tr>
      <w:tr w14:paraId="6DEE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vMerge w:val="continue"/>
            <w:noWrap w:val="0"/>
            <w:vAlign w:val="center"/>
          </w:tcPr>
          <w:p w14:paraId="5D63C3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503" w:type="pct"/>
            <w:vMerge w:val="continue"/>
            <w:noWrap w:val="0"/>
            <w:vAlign w:val="center"/>
          </w:tcPr>
          <w:p w14:paraId="313677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p>
        </w:tc>
        <w:tc>
          <w:tcPr>
            <w:tcW w:w="1405" w:type="pct"/>
            <w:noWrap w:val="0"/>
            <w:vAlign w:val="center"/>
          </w:tcPr>
          <w:p w14:paraId="4EA055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rPr>
                <w:rFonts w:hint="default" w:ascii="宋体" w:hAnsi="宋体" w:eastAsia="宋体" w:cs="宋体"/>
                <w:sz w:val="24"/>
                <w:szCs w:val="24"/>
              </w:rPr>
            </w:pPr>
            <w:r>
              <w:rPr>
                <w:rFonts w:hint="eastAsia" w:ascii="宋体" w:hAnsi="宋体" w:eastAsia="宋体" w:cs="宋体"/>
                <w:sz w:val="24"/>
                <w:szCs w:val="24"/>
              </w:rPr>
              <w:t>7.本项目的特定资格要求</w:t>
            </w:r>
          </w:p>
        </w:tc>
        <w:tc>
          <w:tcPr>
            <w:tcW w:w="2644" w:type="pct"/>
            <w:noWrap w:val="0"/>
            <w:vAlign w:val="center"/>
          </w:tcPr>
          <w:p w14:paraId="0C4043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r>
              <w:rPr>
                <w:rFonts w:hint="eastAsia" w:ascii="宋体" w:hAnsi="宋体" w:eastAsia="宋体" w:cs="宋体"/>
                <w:sz w:val="24"/>
                <w:szCs w:val="24"/>
              </w:rPr>
              <w:t>按“第一篇三、竞选人资格要求（三）本项目的特定资格要求”的要求提交（如果有）。</w:t>
            </w:r>
          </w:p>
        </w:tc>
      </w:tr>
      <w:tr w14:paraId="1526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noWrap w:val="0"/>
            <w:vAlign w:val="center"/>
          </w:tcPr>
          <w:p w14:paraId="3124F1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rPr>
                <w:rFonts w:hint="default" w:ascii="宋体" w:hAnsi="宋体" w:eastAsia="宋体" w:cs="宋体"/>
                <w:sz w:val="24"/>
                <w:szCs w:val="24"/>
              </w:rPr>
            </w:pPr>
            <w:r>
              <w:rPr>
                <w:rFonts w:hint="eastAsia" w:ascii="宋体" w:hAnsi="宋体" w:eastAsia="宋体" w:cs="宋体"/>
                <w:sz w:val="24"/>
                <w:szCs w:val="24"/>
              </w:rPr>
              <w:t>（二）</w:t>
            </w:r>
          </w:p>
        </w:tc>
        <w:tc>
          <w:tcPr>
            <w:tcW w:w="1909" w:type="pct"/>
            <w:gridSpan w:val="2"/>
            <w:noWrap w:val="0"/>
            <w:vAlign w:val="center"/>
          </w:tcPr>
          <w:p w14:paraId="18A9FD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rPr>
                <w:rFonts w:hint="default" w:ascii="宋体" w:hAnsi="宋体" w:eastAsia="宋体" w:cs="宋体"/>
                <w:sz w:val="24"/>
                <w:szCs w:val="24"/>
              </w:rPr>
            </w:pPr>
            <w:r>
              <w:rPr>
                <w:rFonts w:hint="eastAsia" w:ascii="宋体" w:hAnsi="宋体" w:eastAsia="宋体" w:cs="宋体"/>
                <w:sz w:val="24"/>
                <w:szCs w:val="24"/>
              </w:rPr>
              <w:t>落实采购政策需满足的资格要求</w:t>
            </w:r>
          </w:p>
        </w:tc>
        <w:tc>
          <w:tcPr>
            <w:tcW w:w="2644" w:type="pct"/>
            <w:noWrap w:val="0"/>
            <w:vAlign w:val="center"/>
          </w:tcPr>
          <w:p w14:paraId="45272F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default" w:ascii="宋体" w:hAnsi="宋体" w:eastAsia="宋体" w:cs="宋体"/>
                <w:sz w:val="24"/>
                <w:szCs w:val="24"/>
              </w:rPr>
            </w:pPr>
            <w:r>
              <w:rPr>
                <w:rFonts w:hint="eastAsia" w:ascii="宋体" w:hAnsi="宋体" w:eastAsia="宋体" w:cs="宋体"/>
                <w:sz w:val="24"/>
                <w:szCs w:val="24"/>
              </w:rPr>
              <w:t>按“第一篇三、</w:t>
            </w:r>
            <w:r>
              <w:rPr>
                <w:rFonts w:hint="eastAsia" w:ascii="宋体" w:hAnsi="宋体" w:eastAsia="宋体" w:cs="宋体"/>
                <w:sz w:val="24"/>
                <w:szCs w:val="24"/>
                <w:lang w:eastAsia="zh-CN"/>
              </w:rPr>
              <w:t>竞选人</w:t>
            </w:r>
            <w:r>
              <w:rPr>
                <w:rFonts w:hint="eastAsia" w:ascii="宋体" w:hAnsi="宋体" w:eastAsia="宋体" w:cs="宋体"/>
                <w:sz w:val="24"/>
                <w:szCs w:val="24"/>
              </w:rPr>
              <w:t>资格要求（二）落实采购政策需满足的资格要求”的要求提交（如果有）。</w:t>
            </w:r>
          </w:p>
        </w:tc>
      </w:tr>
      <w:tr w14:paraId="0FC4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6" w:type="pct"/>
            <w:noWrap w:val="0"/>
            <w:vAlign w:val="top"/>
          </w:tcPr>
          <w:p w14:paraId="67230A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rPr>
                <w:rFonts w:hint="default" w:ascii="宋体" w:hAnsi="宋体" w:eastAsia="宋体" w:cs="宋体"/>
                <w:sz w:val="24"/>
                <w:szCs w:val="24"/>
              </w:rPr>
            </w:pPr>
            <w:r>
              <w:rPr>
                <w:rFonts w:hint="eastAsia" w:ascii="宋体" w:hAnsi="宋体" w:eastAsia="宋体" w:cs="宋体"/>
                <w:sz w:val="24"/>
                <w:szCs w:val="24"/>
              </w:rPr>
              <w:t>（三）</w:t>
            </w:r>
          </w:p>
        </w:tc>
        <w:tc>
          <w:tcPr>
            <w:tcW w:w="1909" w:type="pct"/>
            <w:gridSpan w:val="2"/>
            <w:noWrap w:val="0"/>
            <w:vAlign w:val="center"/>
          </w:tcPr>
          <w:p w14:paraId="3DA0FF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rPr>
                <w:rFonts w:hint="default" w:ascii="宋体" w:hAnsi="宋体" w:eastAsia="宋体" w:cs="宋体"/>
                <w:sz w:val="24"/>
                <w:szCs w:val="24"/>
              </w:rPr>
            </w:pPr>
            <w:r>
              <w:rPr>
                <w:rFonts w:hint="eastAsia" w:ascii="宋体" w:hAnsi="宋体" w:eastAsia="宋体" w:cs="宋体"/>
                <w:sz w:val="24"/>
                <w:szCs w:val="24"/>
                <w:lang w:eastAsia="zh-CN"/>
              </w:rPr>
              <w:t>竞标</w:t>
            </w:r>
            <w:r>
              <w:rPr>
                <w:rFonts w:hint="eastAsia" w:ascii="宋体" w:hAnsi="宋体" w:eastAsia="宋体" w:cs="宋体"/>
                <w:sz w:val="24"/>
                <w:szCs w:val="24"/>
              </w:rPr>
              <w:t>保证金</w:t>
            </w:r>
          </w:p>
        </w:tc>
        <w:tc>
          <w:tcPr>
            <w:tcW w:w="2644" w:type="pct"/>
            <w:noWrap w:val="0"/>
            <w:vAlign w:val="center"/>
          </w:tcPr>
          <w:p w14:paraId="36BDE8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rPr>
                <w:rFonts w:hint="default" w:ascii="宋体" w:hAnsi="宋体" w:eastAsia="宋体" w:cs="宋体"/>
                <w:sz w:val="24"/>
                <w:szCs w:val="24"/>
              </w:rPr>
            </w:pPr>
            <w:r>
              <w:rPr>
                <w:rFonts w:hint="eastAsia" w:ascii="宋体" w:hAnsi="宋体" w:eastAsia="宋体" w:cs="宋体"/>
                <w:sz w:val="24"/>
                <w:szCs w:val="24"/>
              </w:rPr>
              <w:t>按照</w:t>
            </w:r>
            <w:r>
              <w:rPr>
                <w:rFonts w:hint="eastAsia" w:ascii="宋体" w:hAnsi="宋体" w:cs="宋体"/>
                <w:sz w:val="24"/>
                <w:szCs w:val="24"/>
                <w:lang w:eastAsia="zh-CN"/>
              </w:rPr>
              <w:t>竞争性比选文件</w:t>
            </w:r>
            <w:r>
              <w:rPr>
                <w:rFonts w:hint="eastAsia" w:ascii="宋体" w:hAnsi="宋体" w:eastAsia="宋体" w:cs="宋体"/>
                <w:sz w:val="24"/>
                <w:szCs w:val="24"/>
              </w:rPr>
              <w:t>要求足额</w:t>
            </w:r>
            <w:r>
              <w:rPr>
                <w:rFonts w:hint="eastAsia" w:ascii="宋体" w:hAnsi="宋体" w:cs="宋体"/>
                <w:sz w:val="24"/>
                <w:szCs w:val="24"/>
                <w:lang w:eastAsia="zh-CN"/>
              </w:rPr>
              <w:t>缴</w:t>
            </w:r>
            <w:r>
              <w:rPr>
                <w:rFonts w:hint="eastAsia" w:ascii="宋体" w:hAnsi="宋体" w:eastAsia="宋体" w:cs="宋体"/>
                <w:sz w:val="24"/>
                <w:szCs w:val="24"/>
              </w:rPr>
              <w:t>纳所参与包的</w:t>
            </w:r>
            <w:r>
              <w:rPr>
                <w:rFonts w:hint="eastAsia" w:ascii="宋体" w:hAnsi="宋体" w:eastAsia="宋体" w:cs="宋体"/>
                <w:sz w:val="24"/>
                <w:szCs w:val="24"/>
                <w:lang w:eastAsia="zh-CN"/>
              </w:rPr>
              <w:t>竞标</w:t>
            </w:r>
            <w:r>
              <w:rPr>
                <w:rFonts w:hint="eastAsia" w:ascii="宋体" w:hAnsi="宋体" w:eastAsia="宋体" w:cs="宋体"/>
                <w:sz w:val="24"/>
                <w:szCs w:val="24"/>
              </w:rPr>
              <w:t>保证金。（如果有）</w:t>
            </w:r>
          </w:p>
        </w:tc>
      </w:tr>
    </w:tbl>
    <w:p w14:paraId="518C9B6F">
      <w:pPr>
        <w:kinsoku w:val="0"/>
        <w:autoSpaceDE w:val="0"/>
        <w:autoSpaceDN w:val="0"/>
        <w:adjustRightInd w:val="0"/>
        <w:snapToGrid w:val="0"/>
        <w:spacing w:line="360" w:lineRule="auto"/>
        <w:ind w:firstLine="560" w:firstLineChars="200"/>
        <w:rPr>
          <w:rFonts w:hint="eastAsia"/>
        </w:rPr>
      </w:pPr>
    </w:p>
    <w:bookmarkEnd w:id="103"/>
    <w:bookmarkEnd w:id="104"/>
    <w:bookmarkEnd w:id="105"/>
    <w:bookmarkEnd w:id="106"/>
    <w:bookmarkEnd w:id="107"/>
    <w:p w14:paraId="115A956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注：</w:t>
      </w:r>
    </w:p>
    <w:p w14:paraId="1CD5775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cs="宋体"/>
          <w:kern w:val="0"/>
          <w:sz w:val="24"/>
          <w:szCs w:val="24"/>
          <w:lang w:eastAsia="zh-CN"/>
        </w:rPr>
        <w:t>.</w:t>
      </w:r>
      <w:r>
        <w:rPr>
          <w:rFonts w:hint="eastAsia" w:ascii="宋体" w:hAnsi="宋体" w:eastAsia="宋体" w:cs="宋体"/>
          <w:kern w:val="0"/>
          <w:sz w:val="24"/>
          <w:szCs w:val="24"/>
        </w:rPr>
        <w:t>根据《中华人民共和国政府采购法实施条例》第十九条“参加政府采购活动前三年内，在经营活动中没有重大违法记录”中“重大违法记录”，是指</w:t>
      </w:r>
      <w:r>
        <w:rPr>
          <w:rFonts w:hint="eastAsia" w:ascii="宋体" w:hAnsi="宋体" w:cs="宋体"/>
          <w:kern w:val="0"/>
          <w:sz w:val="24"/>
          <w:szCs w:val="24"/>
          <w:lang w:eastAsia="zh-CN"/>
        </w:rPr>
        <w:t>竞选人</w:t>
      </w:r>
      <w:r>
        <w:rPr>
          <w:rFonts w:hint="eastAsia" w:ascii="宋体" w:hAnsi="宋体" w:eastAsia="宋体" w:cs="宋体"/>
          <w:kern w:val="0"/>
          <w:sz w:val="24"/>
          <w:szCs w:val="24"/>
        </w:rPr>
        <w:t>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w:t>
      </w:r>
      <w:r>
        <w:rPr>
          <w:rFonts w:hint="eastAsia" w:ascii="宋体" w:hAnsi="宋体" w:cs="宋体"/>
          <w:kern w:val="0"/>
          <w:sz w:val="24"/>
          <w:szCs w:val="24"/>
          <w:lang w:eastAsia="zh-CN"/>
        </w:rPr>
        <w:t>）</w:t>
      </w:r>
      <w:r>
        <w:rPr>
          <w:rFonts w:hint="eastAsia" w:ascii="宋体" w:hAnsi="宋体" w:eastAsia="宋体" w:cs="宋体"/>
          <w:kern w:val="0"/>
          <w:sz w:val="24"/>
          <w:szCs w:val="24"/>
        </w:rPr>
        <w:t>3号）”执行。</w:t>
      </w:r>
      <w:r>
        <w:rPr>
          <w:rFonts w:hint="eastAsia" w:ascii="宋体" w:hAnsi="宋体" w:cs="宋体"/>
          <w:kern w:val="0"/>
          <w:sz w:val="24"/>
          <w:szCs w:val="24"/>
          <w:lang w:eastAsia="zh-CN"/>
        </w:rPr>
        <w:t>竞选人</w:t>
      </w:r>
      <w:r>
        <w:rPr>
          <w:rFonts w:hint="eastAsia" w:ascii="宋体" w:hAnsi="宋体" w:eastAsia="宋体" w:cs="宋体"/>
          <w:kern w:val="0"/>
          <w:sz w:val="24"/>
          <w:szCs w:val="24"/>
        </w:rPr>
        <w:t>可于</w:t>
      </w:r>
      <w:r>
        <w:rPr>
          <w:rFonts w:hint="eastAsia" w:ascii="宋体" w:hAnsi="宋体" w:cs="宋体"/>
          <w:kern w:val="0"/>
          <w:sz w:val="24"/>
          <w:szCs w:val="24"/>
          <w:lang w:eastAsia="zh-CN"/>
        </w:rPr>
        <w:t>比选申请文件</w:t>
      </w:r>
      <w:r>
        <w:rPr>
          <w:rFonts w:hint="eastAsia" w:ascii="宋体" w:hAnsi="宋体" w:eastAsia="宋体" w:cs="宋体"/>
          <w:kern w:val="0"/>
          <w:sz w:val="24"/>
          <w:szCs w:val="24"/>
        </w:rPr>
        <w:t>递交截止时间前通过 “信用中国”网站(www.creditchina.gov.cn)、"中国政府采购网"(www.ccgp.gov.cn)等渠道查询信用记录</w:t>
      </w:r>
      <w:r>
        <w:rPr>
          <w:rFonts w:hint="eastAsia" w:ascii="宋体" w:hAnsi="宋体" w:cs="宋体"/>
          <w:kern w:val="0"/>
          <w:sz w:val="24"/>
          <w:szCs w:val="24"/>
          <w:lang w:eastAsia="zh-CN"/>
        </w:rPr>
        <w:t>；</w:t>
      </w:r>
    </w:p>
    <w:p w14:paraId="795F6E4C">
      <w:pPr>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cs="宋体"/>
          <w:sz w:val="24"/>
          <w:szCs w:val="24"/>
          <w:lang w:eastAsia="zh-CN"/>
        </w:rPr>
        <w:t>竞选人</w:t>
      </w:r>
      <w:r>
        <w:rPr>
          <w:rFonts w:hint="eastAsia" w:ascii="宋体" w:hAnsi="宋体" w:eastAsia="宋体" w:cs="宋体"/>
          <w:sz w:val="24"/>
          <w:szCs w:val="24"/>
        </w:rPr>
        <w:t>按“多证合一”登记制度办理营业执照的，税务登记证(副本)和社会保险登记证以</w:t>
      </w:r>
      <w:r>
        <w:rPr>
          <w:rFonts w:hint="eastAsia" w:ascii="宋体" w:hAnsi="宋体" w:cs="宋体"/>
          <w:sz w:val="24"/>
          <w:szCs w:val="24"/>
          <w:lang w:eastAsia="zh-CN"/>
        </w:rPr>
        <w:t>竞选人</w:t>
      </w:r>
      <w:r>
        <w:rPr>
          <w:rFonts w:hint="eastAsia" w:ascii="宋体" w:hAnsi="宋体" w:eastAsia="宋体" w:cs="宋体"/>
          <w:sz w:val="24"/>
          <w:szCs w:val="24"/>
        </w:rPr>
        <w:t>所提供的营业执照(副本) 复印件为准。</w:t>
      </w:r>
    </w:p>
    <w:p w14:paraId="4C296E9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二</w:t>
      </w:r>
      <w:r>
        <w:rPr>
          <w:rFonts w:hint="eastAsia" w:ascii="宋体" w:hAnsi="宋体" w:eastAsia="宋体" w:cs="宋体"/>
          <w:sz w:val="24"/>
          <w:szCs w:val="24"/>
        </w:rPr>
        <w:t>)符合性审查</w:t>
      </w:r>
    </w:p>
    <w:p w14:paraId="35BC0E6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cs="宋体"/>
          <w:sz w:val="24"/>
          <w:szCs w:val="24"/>
          <w:lang w:eastAsia="zh-CN"/>
        </w:rPr>
      </w:pPr>
      <w:r>
        <w:rPr>
          <w:rFonts w:hint="eastAsia" w:ascii="宋体" w:hAnsi="宋体" w:cs="宋体"/>
          <w:sz w:val="24"/>
          <w:szCs w:val="24"/>
          <w:lang w:eastAsia="zh-CN"/>
        </w:rPr>
        <w:t>竞争性比选评审小组</w:t>
      </w:r>
      <w:r>
        <w:rPr>
          <w:rFonts w:hint="eastAsia" w:ascii="宋体" w:hAnsi="宋体" w:eastAsia="宋体" w:cs="宋体"/>
          <w:sz w:val="24"/>
          <w:szCs w:val="24"/>
        </w:rPr>
        <w:t>应当对符合资格的</w:t>
      </w:r>
      <w:r>
        <w:rPr>
          <w:rFonts w:hint="eastAsia" w:ascii="宋体" w:hAnsi="宋体" w:cs="宋体"/>
          <w:sz w:val="24"/>
          <w:szCs w:val="24"/>
          <w:lang w:eastAsia="zh-CN"/>
        </w:rPr>
        <w:t>竞选人</w:t>
      </w:r>
      <w:r>
        <w:rPr>
          <w:rFonts w:hint="eastAsia" w:ascii="宋体" w:hAnsi="宋体" w:eastAsia="宋体" w:cs="宋体"/>
          <w:sz w:val="24"/>
          <w:szCs w:val="24"/>
        </w:rPr>
        <w:t>的</w:t>
      </w:r>
      <w:r>
        <w:rPr>
          <w:rFonts w:hint="eastAsia" w:ascii="宋体" w:hAnsi="宋体" w:cs="宋体"/>
          <w:sz w:val="24"/>
          <w:szCs w:val="24"/>
          <w:lang w:eastAsia="zh-CN"/>
        </w:rPr>
        <w:t>比选申请文件</w:t>
      </w:r>
      <w:r>
        <w:rPr>
          <w:rFonts w:hint="eastAsia" w:ascii="宋体" w:hAnsi="宋体" w:eastAsia="宋体" w:cs="宋体"/>
          <w:sz w:val="24"/>
          <w:szCs w:val="24"/>
        </w:rPr>
        <w:t>进行符合性审查，以确定其是否满足</w:t>
      </w:r>
      <w:r>
        <w:rPr>
          <w:rFonts w:hint="eastAsia" w:ascii="宋体" w:hAnsi="宋体" w:cs="宋体"/>
          <w:sz w:val="24"/>
          <w:szCs w:val="24"/>
          <w:lang w:eastAsia="zh-CN"/>
        </w:rPr>
        <w:t>竞争性比选文件</w:t>
      </w:r>
      <w:r>
        <w:rPr>
          <w:rFonts w:hint="eastAsia" w:ascii="宋体" w:hAnsi="宋体" w:eastAsia="宋体" w:cs="宋体"/>
          <w:sz w:val="24"/>
          <w:szCs w:val="24"/>
        </w:rPr>
        <w:t>的实质性要求。符合性审查资料表如下</w:t>
      </w:r>
      <w:r>
        <w:rPr>
          <w:rFonts w:hint="eastAsia" w:ascii="宋体" w:hAnsi="宋体" w:cs="宋体"/>
          <w:sz w:val="24"/>
          <w:szCs w:val="24"/>
          <w:lang w:eastAsia="zh-CN"/>
        </w:rPr>
        <w:t>：</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97"/>
        <w:gridCol w:w="2237"/>
        <w:gridCol w:w="5156"/>
      </w:tblGrid>
      <w:tr w14:paraId="2991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38" w:type="dxa"/>
            <w:noWrap w:val="0"/>
            <w:vAlign w:val="center"/>
          </w:tcPr>
          <w:p w14:paraId="7F55C9B8">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3734" w:type="dxa"/>
            <w:gridSpan w:val="2"/>
            <w:noWrap w:val="0"/>
            <w:vAlign w:val="center"/>
          </w:tcPr>
          <w:p w14:paraId="131E1B97">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评审因素</w:t>
            </w:r>
          </w:p>
        </w:tc>
        <w:tc>
          <w:tcPr>
            <w:tcW w:w="5156" w:type="dxa"/>
            <w:noWrap w:val="0"/>
            <w:vAlign w:val="center"/>
          </w:tcPr>
          <w:p w14:paraId="0570C9A8">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评审标准</w:t>
            </w:r>
          </w:p>
        </w:tc>
      </w:tr>
      <w:tr w14:paraId="32F9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38" w:type="dxa"/>
            <w:vMerge w:val="restart"/>
            <w:noWrap w:val="0"/>
            <w:vAlign w:val="center"/>
          </w:tcPr>
          <w:p w14:paraId="2624F1F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497" w:type="dxa"/>
            <w:vMerge w:val="restart"/>
            <w:noWrap w:val="0"/>
            <w:vAlign w:val="center"/>
          </w:tcPr>
          <w:p w14:paraId="1B91B8D1">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有效性审查</w:t>
            </w:r>
          </w:p>
        </w:tc>
        <w:tc>
          <w:tcPr>
            <w:tcW w:w="2237" w:type="dxa"/>
            <w:noWrap w:val="0"/>
            <w:vAlign w:val="center"/>
          </w:tcPr>
          <w:p w14:paraId="679FE283">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sz w:val="24"/>
                <w:szCs w:val="24"/>
                <w:lang w:eastAsia="zh-CN"/>
              </w:rPr>
              <w:t>比选申请文件</w:t>
            </w:r>
            <w:r>
              <w:rPr>
                <w:rFonts w:hint="eastAsia" w:ascii="宋体" w:hAnsi="宋体" w:eastAsia="宋体" w:cs="宋体"/>
                <w:sz w:val="24"/>
                <w:szCs w:val="24"/>
              </w:rPr>
              <w:t>签</w:t>
            </w:r>
            <w:r>
              <w:rPr>
                <w:rFonts w:hint="eastAsia" w:ascii="宋体" w:hAnsi="宋体" w:eastAsia="宋体" w:cs="宋体"/>
                <w:sz w:val="24"/>
                <w:szCs w:val="24"/>
                <w:lang w:eastAsia="zh-CN"/>
              </w:rPr>
              <w:t>字</w:t>
            </w:r>
            <w:r>
              <w:rPr>
                <w:rFonts w:hint="eastAsia" w:ascii="宋体" w:hAnsi="宋体" w:eastAsia="宋体" w:cs="宋体"/>
                <w:sz w:val="24"/>
                <w:szCs w:val="24"/>
              </w:rPr>
              <w:t>或盖章</w:t>
            </w:r>
          </w:p>
        </w:tc>
        <w:tc>
          <w:tcPr>
            <w:tcW w:w="5156" w:type="dxa"/>
            <w:noWrap w:val="0"/>
            <w:vAlign w:val="center"/>
          </w:tcPr>
          <w:p w14:paraId="2BC0F446">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sz w:val="24"/>
                <w:szCs w:val="24"/>
              </w:rPr>
              <w:t>按“</w:t>
            </w:r>
            <w:r>
              <w:rPr>
                <w:rFonts w:hint="eastAsia" w:ascii="宋体" w:hAnsi="宋体" w:eastAsia="宋体" w:cs="宋体"/>
                <w:sz w:val="24"/>
                <w:szCs w:val="24"/>
                <w:lang w:eastAsia="zh-CN"/>
              </w:rPr>
              <w:t>第七篇比选申请文件</w:t>
            </w:r>
            <w:r>
              <w:rPr>
                <w:rFonts w:hint="eastAsia" w:ascii="宋体" w:hAnsi="宋体" w:eastAsia="宋体" w:cs="宋体"/>
                <w:sz w:val="24"/>
                <w:szCs w:val="24"/>
              </w:rPr>
              <w:t>格式”要求签</w:t>
            </w:r>
            <w:r>
              <w:rPr>
                <w:rFonts w:hint="eastAsia" w:ascii="宋体" w:hAnsi="宋体" w:eastAsia="宋体" w:cs="宋体"/>
                <w:sz w:val="24"/>
                <w:szCs w:val="24"/>
                <w:lang w:eastAsia="zh-CN"/>
              </w:rPr>
              <w:t>字</w:t>
            </w:r>
            <w:r>
              <w:rPr>
                <w:rFonts w:hint="eastAsia" w:ascii="宋体" w:hAnsi="宋体" w:eastAsia="宋体" w:cs="宋体"/>
                <w:sz w:val="24"/>
                <w:szCs w:val="24"/>
              </w:rPr>
              <w:t>或盖章</w:t>
            </w:r>
          </w:p>
        </w:tc>
      </w:tr>
      <w:tr w14:paraId="6671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trPr>
        <w:tc>
          <w:tcPr>
            <w:tcW w:w="738" w:type="dxa"/>
            <w:vMerge w:val="continue"/>
            <w:noWrap w:val="0"/>
            <w:vAlign w:val="center"/>
          </w:tcPr>
          <w:p w14:paraId="7F47D7C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p>
        </w:tc>
        <w:tc>
          <w:tcPr>
            <w:tcW w:w="1497" w:type="dxa"/>
            <w:vMerge w:val="continue"/>
            <w:noWrap w:val="0"/>
            <w:vAlign w:val="center"/>
          </w:tcPr>
          <w:p w14:paraId="06A7C0F6">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p>
        </w:tc>
        <w:tc>
          <w:tcPr>
            <w:tcW w:w="2237" w:type="dxa"/>
            <w:noWrap w:val="0"/>
            <w:vAlign w:val="center"/>
          </w:tcPr>
          <w:p w14:paraId="6D1BC514">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法定代表人身份证明及授权委托书</w:t>
            </w:r>
          </w:p>
        </w:tc>
        <w:tc>
          <w:tcPr>
            <w:tcW w:w="5156" w:type="dxa"/>
            <w:noWrap w:val="0"/>
            <w:vAlign w:val="center"/>
          </w:tcPr>
          <w:p w14:paraId="2B7A8428">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法定代表人身份证明及授权委托书有效，符合</w:t>
            </w:r>
            <w:r>
              <w:rPr>
                <w:rFonts w:hint="eastAsia" w:ascii="宋体" w:hAnsi="宋体" w:eastAsia="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规定的格式，签字或盖章齐全。</w:t>
            </w:r>
          </w:p>
        </w:tc>
      </w:tr>
      <w:tr w14:paraId="2EF8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trPr>
        <w:tc>
          <w:tcPr>
            <w:tcW w:w="738" w:type="dxa"/>
            <w:vMerge w:val="continue"/>
            <w:noWrap w:val="0"/>
            <w:vAlign w:val="center"/>
          </w:tcPr>
          <w:p w14:paraId="50D9F9D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p>
        </w:tc>
        <w:tc>
          <w:tcPr>
            <w:tcW w:w="1497" w:type="dxa"/>
            <w:vMerge w:val="continue"/>
            <w:noWrap w:val="0"/>
            <w:vAlign w:val="center"/>
          </w:tcPr>
          <w:p w14:paraId="6EA287B1">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p>
        </w:tc>
        <w:tc>
          <w:tcPr>
            <w:tcW w:w="2237" w:type="dxa"/>
            <w:noWrap w:val="0"/>
            <w:vAlign w:val="center"/>
          </w:tcPr>
          <w:p w14:paraId="2B749C29">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报价唯一</w:t>
            </w:r>
          </w:p>
        </w:tc>
        <w:tc>
          <w:tcPr>
            <w:tcW w:w="5156" w:type="dxa"/>
            <w:noWrap w:val="0"/>
            <w:vAlign w:val="center"/>
          </w:tcPr>
          <w:p w14:paraId="36361AB5">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zh-CN"/>
              </w:rPr>
              <w:t>只能在采购预算范围内报价，</w:t>
            </w:r>
            <w:r>
              <w:rPr>
                <w:rFonts w:hint="eastAsia" w:ascii="宋体" w:hAnsi="宋体" w:eastAsia="宋体" w:cs="宋体"/>
                <w:color w:val="auto"/>
                <w:sz w:val="24"/>
                <w:szCs w:val="24"/>
                <w:highlight w:val="none"/>
              </w:rPr>
              <w:t>只能有一个有效报价，不得提交选择性报价。</w:t>
            </w:r>
          </w:p>
        </w:tc>
      </w:tr>
      <w:tr w14:paraId="4000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8" w:type="dxa"/>
            <w:noWrap w:val="0"/>
            <w:vAlign w:val="center"/>
          </w:tcPr>
          <w:p w14:paraId="496D7C4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497" w:type="dxa"/>
            <w:noWrap w:val="0"/>
            <w:vAlign w:val="center"/>
          </w:tcPr>
          <w:p w14:paraId="697238C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完整性审查</w:t>
            </w:r>
          </w:p>
        </w:tc>
        <w:tc>
          <w:tcPr>
            <w:tcW w:w="2237" w:type="dxa"/>
            <w:noWrap w:val="0"/>
            <w:vAlign w:val="center"/>
          </w:tcPr>
          <w:p w14:paraId="1DF34379">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比选申请文件</w:t>
            </w:r>
            <w:r>
              <w:rPr>
                <w:rFonts w:hint="eastAsia" w:ascii="宋体" w:hAnsi="宋体" w:eastAsia="宋体" w:cs="宋体"/>
                <w:color w:val="auto"/>
                <w:kern w:val="0"/>
                <w:sz w:val="24"/>
                <w:szCs w:val="24"/>
                <w:highlight w:val="none"/>
                <w:lang w:val="zh-CN"/>
              </w:rPr>
              <w:t>份数</w:t>
            </w:r>
          </w:p>
        </w:tc>
        <w:tc>
          <w:tcPr>
            <w:tcW w:w="5156" w:type="dxa"/>
            <w:noWrap w:val="0"/>
            <w:vAlign w:val="center"/>
          </w:tcPr>
          <w:p w14:paraId="6BA887AF">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比选申请文件</w:t>
            </w:r>
            <w:r>
              <w:rPr>
                <w:rFonts w:hint="eastAsia" w:ascii="宋体" w:hAnsi="宋体" w:eastAsia="宋体" w:cs="宋体"/>
                <w:color w:val="auto"/>
                <w:sz w:val="24"/>
                <w:szCs w:val="24"/>
                <w:highlight w:val="none"/>
                <w:lang w:val="zh-CN"/>
              </w:rPr>
              <w:t>正、副本数量（含电子文档）符合</w:t>
            </w:r>
            <w:r>
              <w:rPr>
                <w:rFonts w:hint="eastAsia" w:ascii="宋体" w:hAnsi="宋体" w:eastAsia="宋体" w:cs="宋体"/>
                <w:color w:val="auto"/>
                <w:sz w:val="24"/>
                <w:szCs w:val="24"/>
                <w:highlight w:val="none"/>
                <w:lang w:eastAsia="zh-CN"/>
              </w:rPr>
              <w:t>竞争性比选文件</w:t>
            </w:r>
            <w:r>
              <w:rPr>
                <w:rFonts w:hint="eastAsia" w:ascii="宋体" w:hAnsi="宋体" w:eastAsia="宋体" w:cs="宋体"/>
                <w:color w:val="auto"/>
                <w:sz w:val="24"/>
                <w:szCs w:val="24"/>
                <w:highlight w:val="none"/>
                <w:lang w:val="zh-CN"/>
              </w:rPr>
              <w:t>要求。</w:t>
            </w:r>
          </w:p>
        </w:tc>
      </w:tr>
      <w:tr w14:paraId="0AD6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8" w:type="dxa"/>
            <w:vMerge w:val="restart"/>
            <w:noWrap w:val="0"/>
            <w:vAlign w:val="center"/>
          </w:tcPr>
          <w:p w14:paraId="6B5AE2B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1497" w:type="dxa"/>
            <w:vMerge w:val="restart"/>
            <w:noWrap w:val="0"/>
            <w:vAlign w:val="center"/>
          </w:tcPr>
          <w:p w14:paraId="1EC8F404">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lang w:eastAsia="zh-CN"/>
              </w:rPr>
              <w:t>竞争性比选文件</w:t>
            </w:r>
            <w:r>
              <w:rPr>
                <w:rFonts w:hint="eastAsia" w:ascii="宋体" w:hAnsi="宋体" w:eastAsia="宋体" w:cs="宋体"/>
                <w:color w:val="auto"/>
                <w:kern w:val="0"/>
                <w:sz w:val="24"/>
                <w:szCs w:val="24"/>
                <w:highlight w:val="none"/>
              </w:rPr>
              <w:t>的响应程度审查</w:t>
            </w:r>
          </w:p>
        </w:tc>
        <w:tc>
          <w:tcPr>
            <w:tcW w:w="2237" w:type="dxa"/>
            <w:noWrap w:val="0"/>
            <w:vAlign w:val="center"/>
          </w:tcPr>
          <w:p w14:paraId="701B8F15">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实质性响应</w:t>
            </w:r>
          </w:p>
        </w:tc>
        <w:tc>
          <w:tcPr>
            <w:tcW w:w="5156" w:type="dxa"/>
            <w:noWrap w:val="0"/>
            <w:vAlign w:val="center"/>
          </w:tcPr>
          <w:p w14:paraId="73BB0464">
            <w:pPr>
              <w:pStyle w:val="35"/>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lang w:val="en-US" w:eastAsia="zh-CN"/>
              </w:rPr>
            </w:pPr>
            <w:r>
              <w:rPr>
                <w:rFonts w:hint="eastAsia" w:ascii="宋体" w:hAnsi="宋体" w:eastAsia="宋体" w:cs="宋体"/>
                <w:kern w:val="0"/>
                <w:sz w:val="24"/>
                <w:szCs w:val="24"/>
              </w:rPr>
              <w:t>对</w:t>
            </w:r>
            <w:r>
              <w:rPr>
                <w:rFonts w:hint="eastAsia" w:ascii="宋体" w:hAnsi="宋体" w:eastAsia="宋体" w:cs="宋体"/>
                <w:kern w:val="0"/>
                <w:sz w:val="24"/>
                <w:szCs w:val="24"/>
                <w:lang w:eastAsia="zh-CN"/>
              </w:rPr>
              <w:t>竞争性比选文件</w:t>
            </w:r>
            <w:r>
              <w:rPr>
                <w:rFonts w:hint="eastAsia" w:ascii="宋体" w:hAnsi="宋体" w:eastAsia="宋体" w:cs="宋体"/>
                <w:kern w:val="0"/>
                <w:sz w:val="24"/>
                <w:szCs w:val="24"/>
              </w:rPr>
              <w:t>第二篇、第三篇规定的比选内容进行实质性响应。</w:t>
            </w:r>
          </w:p>
        </w:tc>
      </w:tr>
      <w:tr w14:paraId="7F0F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trPr>
        <w:tc>
          <w:tcPr>
            <w:tcW w:w="738" w:type="dxa"/>
            <w:vMerge w:val="continue"/>
            <w:noWrap w:val="0"/>
            <w:vAlign w:val="center"/>
          </w:tcPr>
          <w:p w14:paraId="18DAEEB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p>
        </w:tc>
        <w:tc>
          <w:tcPr>
            <w:tcW w:w="1497" w:type="dxa"/>
            <w:vMerge w:val="continue"/>
            <w:noWrap w:val="0"/>
            <w:vAlign w:val="center"/>
          </w:tcPr>
          <w:p w14:paraId="1D5078F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lang w:val="zh-CN"/>
              </w:rPr>
            </w:pPr>
          </w:p>
        </w:tc>
        <w:tc>
          <w:tcPr>
            <w:tcW w:w="2237" w:type="dxa"/>
            <w:noWrap w:val="0"/>
            <w:vAlign w:val="center"/>
          </w:tcPr>
          <w:p w14:paraId="72775662">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竞选</w:t>
            </w:r>
            <w:r>
              <w:rPr>
                <w:rFonts w:hint="eastAsia" w:ascii="宋体" w:hAnsi="宋体" w:eastAsia="宋体" w:cs="宋体"/>
                <w:color w:val="auto"/>
                <w:kern w:val="0"/>
                <w:sz w:val="24"/>
                <w:szCs w:val="24"/>
                <w:highlight w:val="none"/>
              </w:rPr>
              <w:t>有效期</w:t>
            </w:r>
          </w:p>
        </w:tc>
        <w:tc>
          <w:tcPr>
            <w:tcW w:w="5156" w:type="dxa"/>
            <w:noWrap w:val="0"/>
            <w:vAlign w:val="center"/>
          </w:tcPr>
          <w:p w14:paraId="6EA4A1F9">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比选申请文件</w:t>
            </w:r>
            <w:r>
              <w:rPr>
                <w:rFonts w:hint="eastAsia" w:ascii="宋体" w:hAnsi="宋体" w:eastAsia="宋体" w:cs="宋体"/>
                <w:color w:val="auto"/>
                <w:kern w:val="0"/>
                <w:sz w:val="24"/>
                <w:szCs w:val="24"/>
                <w:highlight w:val="none"/>
              </w:rPr>
              <w:t>及有关承诺文件有效期为提交</w:t>
            </w:r>
            <w:r>
              <w:rPr>
                <w:rFonts w:hint="eastAsia" w:ascii="宋体" w:hAnsi="宋体" w:eastAsia="宋体" w:cs="宋体"/>
                <w:color w:val="auto"/>
                <w:kern w:val="0"/>
                <w:sz w:val="24"/>
                <w:szCs w:val="24"/>
                <w:highlight w:val="none"/>
                <w:lang w:eastAsia="zh-CN"/>
              </w:rPr>
              <w:t>比选申请文件</w:t>
            </w:r>
            <w:r>
              <w:rPr>
                <w:rFonts w:hint="eastAsia" w:ascii="宋体" w:hAnsi="宋体" w:eastAsia="宋体" w:cs="宋体"/>
                <w:color w:val="auto"/>
                <w:kern w:val="0"/>
                <w:sz w:val="24"/>
                <w:szCs w:val="24"/>
                <w:highlight w:val="none"/>
              </w:rPr>
              <w:t>截止时间起90天。</w:t>
            </w:r>
          </w:p>
        </w:tc>
      </w:tr>
    </w:tbl>
    <w:p w14:paraId="7FF69308">
      <w:pPr>
        <w:bidi w:val="0"/>
        <w:rPr>
          <w:rFonts w:hint="eastAsia"/>
        </w:rPr>
      </w:pPr>
    </w:p>
    <w:p w14:paraId="56C4A123">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三</w:t>
      </w:r>
      <w:r>
        <w:rPr>
          <w:rFonts w:hint="eastAsia" w:ascii="宋体" w:hAnsi="宋体" w:eastAsia="宋体" w:cs="宋体"/>
          <w:sz w:val="24"/>
          <w:szCs w:val="24"/>
        </w:rPr>
        <w:t>)澄清有关问题。对</w:t>
      </w:r>
      <w:r>
        <w:rPr>
          <w:rFonts w:hint="eastAsia" w:ascii="宋体" w:hAnsi="宋体" w:cs="宋体"/>
          <w:sz w:val="24"/>
          <w:szCs w:val="24"/>
          <w:lang w:eastAsia="zh-CN"/>
        </w:rPr>
        <w:t>比选申请文件</w:t>
      </w:r>
      <w:r>
        <w:rPr>
          <w:rFonts w:hint="eastAsia" w:ascii="宋体" w:hAnsi="宋体" w:eastAsia="宋体" w:cs="宋体"/>
          <w:sz w:val="24"/>
          <w:szCs w:val="24"/>
        </w:rPr>
        <w:t>中</w:t>
      </w:r>
      <w:r>
        <w:rPr>
          <w:rFonts w:hint="eastAsia" w:ascii="宋体" w:hAnsi="宋体" w:cs="宋体"/>
          <w:sz w:val="24"/>
          <w:szCs w:val="24"/>
          <w:lang w:eastAsia="zh-CN"/>
        </w:rPr>
        <w:t>含义</w:t>
      </w:r>
      <w:r>
        <w:rPr>
          <w:rFonts w:hint="eastAsia" w:ascii="宋体" w:hAnsi="宋体" w:eastAsia="宋体" w:cs="宋体"/>
          <w:sz w:val="24"/>
          <w:szCs w:val="24"/>
        </w:rPr>
        <w:t>不明确、同类问题表述不一致或者有明显文字和计算错误的内容，</w:t>
      </w:r>
      <w:r>
        <w:rPr>
          <w:rFonts w:hint="eastAsia" w:ascii="宋体" w:hAnsi="宋体" w:cs="宋体"/>
          <w:sz w:val="24"/>
          <w:szCs w:val="24"/>
          <w:lang w:eastAsia="zh-CN"/>
        </w:rPr>
        <w:t>竞争性比选评审小组</w:t>
      </w:r>
      <w:r>
        <w:rPr>
          <w:rFonts w:hint="eastAsia" w:ascii="宋体" w:hAnsi="宋体" w:eastAsia="宋体" w:cs="宋体"/>
          <w:sz w:val="24"/>
          <w:szCs w:val="24"/>
        </w:rPr>
        <w:t>可以书面形式(应当由</w:t>
      </w:r>
      <w:r>
        <w:rPr>
          <w:rFonts w:hint="eastAsia" w:ascii="宋体" w:hAnsi="宋体" w:cs="宋体"/>
          <w:sz w:val="24"/>
          <w:szCs w:val="24"/>
          <w:lang w:eastAsia="zh-CN"/>
        </w:rPr>
        <w:t>竞争性比选评审小组</w:t>
      </w:r>
      <w:r>
        <w:rPr>
          <w:rFonts w:hint="eastAsia" w:ascii="宋体" w:hAnsi="宋体" w:eastAsia="宋体" w:cs="宋体"/>
          <w:sz w:val="24"/>
          <w:szCs w:val="24"/>
        </w:rPr>
        <w:t>成员签字) 要求</w:t>
      </w:r>
      <w:r>
        <w:rPr>
          <w:rFonts w:hint="eastAsia" w:ascii="宋体" w:hAnsi="宋体" w:cs="宋体"/>
          <w:sz w:val="24"/>
          <w:szCs w:val="24"/>
          <w:lang w:eastAsia="zh-CN"/>
        </w:rPr>
        <w:t>竞选人</w:t>
      </w:r>
      <w:r>
        <w:rPr>
          <w:rFonts w:hint="eastAsia" w:ascii="宋体" w:hAnsi="宋体" w:eastAsia="宋体" w:cs="宋体"/>
          <w:sz w:val="24"/>
          <w:szCs w:val="24"/>
        </w:rPr>
        <w:t>作出必要澄清、说明或者纠正。</w:t>
      </w:r>
      <w:r>
        <w:rPr>
          <w:rFonts w:hint="eastAsia" w:ascii="宋体" w:hAnsi="宋体" w:cs="宋体"/>
          <w:sz w:val="24"/>
          <w:szCs w:val="24"/>
          <w:lang w:eastAsia="zh-CN"/>
        </w:rPr>
        <w:t>竞选人</w:t>
      </w:r>
      <w:r>
        <w:rPr>
          <w:rFonts w:hint="eastAsia" w:ascii="宋体" w:hAnsi="宋体" w:eastAsia="宋体" w:cs="宋体"/>
          <w:sz w:val="24"/>
          <w:szCs w:val="24"/>
        </w:rPr>
        <w:t>的澄清、说明或者补正应当采用书面形式，由其法定代表人(或其授权代表)或自然人签字，其澄清的内容不得超出</w:t>
      </w:r>
      <w:r>
        <w:rPr>
          <w:rFonts w:hint="eastAsia" w:ascii="宋体" w:hAnsi="宋体" w:cs="宋体"/>
          <w:sz w:val="24"/>
          <w:szCs w:val="24"/>
          <w:lang w:eastAsia="zh-CN"/>
        </w:rPr>
        <w:t>比选申请文件</w:t>
      </w:r>
      <w:r>
        <w:rPr>
          <w:rFonts w:hint="eastAsia" w:ascii="宋体" w:hAnsi="宋体" w:eastAsia="宋体" w:cs="宋体"/>
          <w:sz w:val="24"/>
          <w:szCs w:val="24"/>
        </w:rPr>
        <w:t>的范围或者改变</w:t>
      </w:r>
      <w:r>
        <w:rPr>
          <w:rFonts w:hint="eastAsia" w:ascii="宋体" w:hAnsi="宋体" w:cs="宋体"/>
          <w:sz w:val="24"/>
          <w:szCs w:val="24"/>
          <w:lang w:eastAsia="zh-CN"/>
        </w:rPr>
        <w:t>比选申请文件</w:t>
      </w:r>
      <w:r>
        <w:rPr>
          <w:rFonts w:hint="eastAsia" w:ascii="宋体" w:hAnsi="宋体" w:eastAsia="宋体" w:cs="宋体"/>
          <w:sz w:val="24"/>
          <w:szCs w:val="24"/>
        </w:rPr>
        <w:t>的实质性内容。</w:t>
      </w:r>
    </w:p>
    <w:p w14:paraId="7D1B528B">
      <w:pPr>
        <w:pStyle w:val="36"/>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四</w:t>
      </w:r>
      <w:r>
        <w:rPr>
          <w:rFonts w:hint="eastAsia" w:ascii="宋体" w:hAnsi="宋体" w:eastAsia="宋体" w:cs="宋体"/>
          <w:sz w:val="24"/>
          <w:szCs w:val="24"/>
        </w:rPr>
        <w:t>)比较与评价。</w:t>
      </w:r>
      <w:r>
        <w:rPr>
          <w:rFonts w:hint="eastAsia" w:ascii="宋体" w:hAnsi="宋体" w:cs="宋体"/>
          <w:sz w:val="24"/>
          <w:szCs w:val="24"/>
          <w:lang w:eastAsia="zh-CN"/>
        </w:rPr>
        <w:t>竞争性比选评审小组</w:t>
      </w:r>
      <w:r>
        <w:rPr>
          <w:rFonts w:hint="eastAsia" w:ascii="宋体" w:hAnsi="宋体" w:eastAsia="宋体" w:cs="宋体"/>
          <w:sz w:val="24"/>
          <w:szCs w:val="24"/>
        </w:rPr>
        <w:t>按</w:t>
      </w:r>
      <w:r>
        <w:rPr>
          <w:rFonts w:hint="eastAsia" w:ascii="宋体" w:hAnsi="宋体" w:cs="宋体"/>
          <w:sz w:val="24"/>
          <w:szCs w:val="24"/>
          <w:lang w:eastAsia="zh-CN"/>
        </w:rPr>
        <w:t>竞争性比选文件</w:t>
      </w:r>
      <w:r>
        <w:rPr>
          <w:rFonts w:hint="eastAsia" w:ascii="宋体" w:hAnsi="宋体" w:eastAsia="宋体" w:cs="宋体"/>
          <w:sz w:val="24"/>
          <w:szCs w:val="24"/>
        </w:rPr>
        <w:t>中规定的评标方法和标准，对递交的</w:t>
      </w:r>
      <w:r>
        <w:rPr>
          <w:rFonts w:hint="eastAsia" w:ascii="宋体" w:hAnsi="宋体" w:cs="宋体"/>
          <w:sz w:val="24"/>
          <w:szCs w:val="24"/>
          <w:lang w:eastAsia="zh-CN"/>
        </w:rPr>
        <w:t>比选申请文件</w:t>
      </w:r>
      <w:r>
        <w:rPr>
          <w:rFonts w:hint="eastAsia" w:ascii="宋体" w:hAnsi="宋体" w:cs="宋体"/>
          <w:sz w:val="24"/>
          <w:szCs w:val="24"/>
          <w:lang w:val="en-US" w:eastAsia="zh-CN"/>
        </w:rPr>
        <w:t>按</w:t>
      </w:r>
      <w:r>
        <w:rPr>
          <w:rFonts w:hint="eastAsia" w:ascii="宋体" w:hAnsi="宋体" w:eastAsia="宋体" w:cs="宋体"/>
          <w:sz w:val="24"/>
          <w:szCs w:val="24"/>
        </w:rPr>
        <w:t>要求进行资格</w:t>
      </w:r>
      <w:r>
        <w:rPr>
          <w:rFonts w:hint="eastAsia" w:ascii="宋体" w:hAnsi="宋体" w:cs="宋体"/>
          <w:sz w:val="24"/>
          <w:szCs w:val="24"/>
          <w:lang w:val="en-US" w:eastAsia="zh-CN"/>
        </w:rPr>
        <w:t>性</w:t>
      </w:r>
      <w:r>
        <w:rPr>
          <w:rFonts w:hint="eastAsia" w:ascii="宋体" w:hAnsi="宋体" w:eastAsia="宋体" w:cs="宋体"/>
          <w:sz w:val="24"/>
          <w:szCs w:val="24"/>
        </w:rPr>
        <w:t>审查</w:t>
      </w:r>
      <w:r>
        <w:rPr>
          <w:rFonts w:hint="eastAsia" w:ascii="宋体" w:hAnsi="宋体" w:cs="宋体"/>
          <w:sz w:val="24"/>
          <w:szCs w:val="24"/>
          <w:lang w:val="en-US" w:eastAsia="zh-CN"/>
        </w:rPr>
        <w:t>和符合性审查</w:t>
      </w:r>
      <w:r>
        <w:rPr>
          <w:rFonts w:hint="eastAsia" w:ascii="宋体" w:hAnsi="宋体" w:eastAsia="宋体" w:cs="宋体"/>
          <w:sz w:val="24"/>
          <w:szCs w:val="24"/>
        </w:rPr>
        <w:t>并出具</w:t>
      </w:r>
      <w:r>
        <w:rPr>
          <w:rFonts w:hint="eastAsia" w:ascii="宋体" w:hAnsi="宋体" w:cs="宋体"/>
          <w:sz w:val="24"/>
          <w:szCs w:val="24"/>
          <w:lang w:val="en-US" w:eastAsia="zh-CN"/>
        </w:rPr>
        <w:t>报告</w:t>
      </w:r>
      <w:r>
        <w:rPr>
          <w:rFonts w:hint="eastAsia" w:ascii="宋体" w:hAnsi="宋体" w:eastAsia="宋体" w:cs="宋体"/>
          <w:sz w:val="24"/>
          <w:szCs w:val="24"/>
        </w:rPr>
        <w:t>。</w:t>
      </w:r>
    </w:p>
    <w:p w14:paraId="4402A8E9">
      <w:pPr>
        <w:pStyle w:val="36"/>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五</w:t>
      </w:r>
      <w:r>
        <w:rPr>
          <w:rFonts w:hint="eastAsia" w:ascii="宋体" w:hAnsi="宋体" w:eastAsia="宋体" w:cs="宋体"/>
          <w:sz w:val="24"/>
          <w:szCs w:val="24"/>
          <w:highlight w:val="none"/>
        </w:rPr>
        <w:t>) 推荐中标候选人名单。</w:t>
      </w:r>
    </w:p>
    <w:p w14:paraId="2F9DEFE5">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本项目采用最低评标价法。</w:t>
      </w:r>
    </w:p>
    <w:p w14:paraId="35096C67">
      <w:pPr>
        <w:snapToGrid w:val="0"/>
        <w:spacing w:line="360" w:lineRule="auto"/>
        <w:ind w:firstLine="480" w:firstLineChars="200"/>
        <w:rPr>
          <w:rFonts w:hint="eastAsia"/>
          <w:highlight w:val="none"/>
        </w:rPr>
      </w:pPr>
      <w:r>
        <w:rPr>
          <w:rFonts w:hint="eastAsia" w:ascii="宋体" w:hAnsi="宋体" w:cs="宋体"/>
          <w:sz w:val="24"/>
          <w:szCs w:val="24"/>
          <w:highlight w:val="none"/>
        </w:rPr>
        <w:t>最低评标价法，竞选人竞选报价从低到高顺序排列，比选申请文件满足竞争性比选文件全部实质性要求且竞选报价最低的竞选人为排名第一的中标候选人。若</w:t>
      </w:r>
      <w:r>
        <w:rPr>
          <w:rFonts w:hint="eastAsia" w:ascii="宋体" w:hAnsi="宋体" w:cs="宋体"/>
          <w:sz w:val="24"/>
          <w:szCs w:val="24"/>
          <w:highlight w:val="none"/>
          <w:lang w:eastAsia="zh-CN"/>
        </w:rPr>
        <w:t>竞选报价</w:t>
      </w:r>
      <w:r>
        <w:rPr>
          <w:rFonts w:hint="eastAsia" w:ascii="宋体" w:hAnsi="宋体" w:cs="宋体"/>
          <w:sz w:val="24"/>
          <w:szCs w:val="24"/>
          <w:highlight w:val="none"/>
        </w:rPr>
        <w:t>相同的，采取随机抽取的方式确定中标候选人排名顺序。</w:t>
      </w:r>
    </w:p>
    <w:p w14:paraId="69F64E40">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bookmarkStart w:id="108" w:name="_Toc10768"/>
      <w:bookmarkStart w:id="109" w:name="_Toc20055"/>
      <w:bookmarkStart w:id="110" w:name="_Toc106034645"/>
      <w:bookmarkStart w:id="111" w:name="_Toc65660354"/>
      <w:r>
        <w:rPr>
          <w:rFonts w:hint="eastAsia" w:ascii="宋体" w:hAnsi="宋体" w:eastAsia="宋体" w:cs="宋体"/>
          <w:sz w:val="24"/>
          <w:szCs w:val="24"/>
        </w:rPr>
        <w:t>说明:</w:t>
      </w:r>
      <w:r>
        <w:rPr>
          <w:rFonts w:hint="eastAsia" w:hAnsi="宋体" w:cs="宋体"/>
          <w:sz w:val="24"/>
          <w:szCs w:val="24"/>
          <w:lang w:eastAsia="zh-CN"/>
        </w:rPr>
        <w:t>竞争性比选评审小组</w:t>
      </w:r>
      <w:r>
        <w:rPr>
          <w:rFonts w:hint="eastAsia" w:ascii="宋体" w:hAnsi="宋体" w:eastAsia="宋体" w:cs="宋体"/>
          <w:sz w:val="24"/>
          <w:szCs w:val="24"/>
        </w:rPr>
        <w:t>认为</w:t>
      </w:r>
      <w:r>
        <w:rPr>
          <w:rFonts w:hint="eastAsia" w:hAnsi="宋体" w:cs="宋体"/>
          <w:sz w:val="24"/>
          <w:szCs w:val="24"/>
          <w:lang w:eastAsia="zh-CN"/>
        </w:rPr>
        <w:t>竞选人</w:t>
      </w:r>
      <w:r>
        <w:rPr>
          <w:rFonts w:hint="eastAsia" w:ascii="宋体" w:hAnsi="宋体" w:eastAsia="宋体" w:cs="宋体"/>
          <w:sz w:val="24"/>
          <w:szCs w:val="24"/>
        </w:rPr>
        <w:t>的报价明显低于其他通过符合性审查</w:t>
      </w:r>
      <w:r>
        <w:rPr>
          <w:rFonts w:hint="eastAsia" w:hAnsi="宋体" w:cs="宋体"/>
          <w:sz w:val="24"/>
          <w:szCs w:val="24"/>
          <w:lang w:eastAsia="zh-CN"/>
        </w:rPr>
        <w:t>竞选人</w:t>
      </w:r>
      <w:r>
        <w:rPr>
          <w:rFonts w:hint="eastAsia" w:ascii="宋体" w:hAnsi="宋体" w:eastAsia="宋体" w:cs="宋体"/>
          <w:sz w:val="24"/>
          <w:szCs w:val="24"/>
        </w:rPr>
        <w:t>的报价，有可能影响产品质量或者不能诚信履约的，应当要求其在评标现场合理的时间内提供书面说明，必要时提交相关证明材料</w:t>
      </w:r>
      <w:r>
        <w:rPr>
          <w:rFonts w:hint="eastAsia" w:hAnsi="宋体" w:cs="宋体"/>
          <w:sz w:val="24"/>
          <w:szCs w:val="24"/>
          <w:lang w:eastAsia="zh-CN"/>
        </w:rPr>
        <w:t>；</w:t>
      </w:r>
      <w:r>
        <w:rPr>
          <w:rFonts w:hint="eastAsia" w:ascii="宋体" w:hAnsi="宋体" w:eastAsia="宋体" w:cs="宋体"/>
          <w:sz w:val="24"/>
          <w:szCs w:val="24"/>
        </w:rPr>
        <w:t>书面说明应当按照国家财务会计制度的规定要求，逐项就</w:t>
      </w:r>
      <w:r>
        <w:rPr>
          <w:rFonts w:hint="eastAsia" w:hAnsi="宋体" w:cs="宋体"/>
          <w:sz w:val="24"/>
          <w:szCs w:val="24"/>
          <w:lang w:eastAsia="zh-CN"/>
        </w:rPr>
        <w:t>竞选人</w:t>
      </w:r>
      <w:r>
        <w:rPr>
          <w:rFonts w:hint="eastAsia" w:ascii="宋体" w:hAnsi="宋体" w:eastAsia="宋体" w:cs="宋体"/>
          <w:sz w:val="24"/>
          <w:szCs w:val="24"/>
        </w:rPr>
        <w:t>提供的货物、工程和服务的主营业务成本、税金及附加、销售费用、管理费用、财务费用等成本构成事项详细陈述。</w:t>
      </w:r>
      <w:r>
        <w:rPr>
          <w:rFonts w:hint="eastAsia" w:hAnsi="宋体" w:cs="宋体"/>
          <w:sz w:val="24"/>
          <w:szCs w:val="24"/>
          <w:lang w:eastAsia="zh-CN"/>
        </w:rPr>
        <w:t>竞选人</w:t>
      </w:r>
      <w:r>
        <w:rPr>
          <w:rFonts w:hint="eastAsia" w:ascii="宋体" w:hAnsi="宋体" w:eastAsia="宋体" w:cs="宋体"/>
          <w:sz w:val="24"/>
          <w:szCs w:val="24"/>
        </w:rPr>
        <w:t>书面说明应当签字确认或者加盖公章，否则无效。提供书面说明后，</w:t>
      </w:r>
      <w:r>
        <w:rPr>
          <w:rFonts w:hint="eastAsia" w:hAnsi="宋体" w:cs="宋体"/>
          <w:sz w:val="24"/>
          <w:szCs w:val="24"/>
          <w:lang w:eastAsia="zh-CN"/>
        </w:rPr>
        <w:t>竞争性比选评审小组</w:t>
      </w:r>
      <w:r>
        <w:rPr>
          <w:rFonts w:hint="eastAsia" w:ascii="宋体" w:hAnsi="宋体" w:eastAsia="宋体" w:cs="宋体"/>
          <w:sz w:val="24"/>
          <w:szCs w:val="24"/>
        </w:rPr>
        <w:t>应当结合采购项目采购需求、专业实际情况、</w:t>
      </w:r>
      <w:r>
        <w:rPr>
          <w:rFonts w:hint="eastAsia" w:hAnsi="宋体" w:cs="宋体"/>
          <w:sz w:val="24"/>
          <w:szCs w:val="24"/>
          <w:lang w:eastAsia="zh-CN"/>
        </w:rPr>
        <w:t>竞选人</w:t>
      </w:r>
      <w:r>
        <w:rPr>
          <w:rFonts w:hint="eastAsia" w:ascii="宋体" w:hAnsi="宋体" w:eastAsia="宋体" w:cs="宋体"/>
          <w:sz w:val="24"/>
          <w:szCs w:val="24"/>
        </w:rPr>
        <w:t>财务状况报告、与其他</w:t>
      </w:r>
      <w:r>
        <w:rPr>
          <w:rFonts w:hint="eastAsia" w:hAnsi="宋体" w:cs="宋体"/>
          <w:sz w:val="24"/>
          <w:szCs w:val="24"/>
          <w:lang w:eastAsia="zh-CN"/>
        </w:rPr>
        <w:t>竞选人</w:t>
      </w:r>
      <w:r>
        <w:rPr>
          <w:rFonts w:hint="eastAsia" w:ascii="宋体" w:hAnsi="宋体" w:eastAsia="宋体" w:cs="宋体"/>
          <w:sz w:val="24"/>
          <w:szCs w:val="24"/>
        </w:rPr>
        <w:t>比较情况等就</w:t>
      </w:r>
      <w:r>
        <w:rPr>
          <w:rFonts w:hint="eastAsia" w:hAnsi="宋体" w:cs="宋体"/>
          <w:sz w:val="24"/>
          <w:szCs w:val="24"/>
          <w:lang w:eastAsia="zh-CN"/>
        </w:rPr>
        <w:t>竞选人</w:t>
      </w:r>
      <w:r>
        <w:rPr>
          <w:rFonts w:hint="eastAsia" w:ascii="宋体" w:hAnsi="宋体" w:eastAsia="宋体" w:cs="宋体"/>
          <w:sz w:val="24"/>
          <w:szCs w:val="24"/>
        </w:rPr>
        <w:t>书面说明进行审查评价。</w:t>
      </w:r>
      <w:r>
        <w:rPr>
          <w:rFonts w:hint="eastAsia" w:hAnsi="宋体" w:cs="宋体"/>
          <w:sz w:val="24"/>
          <w:szCs w:val="24"/>
          <w:lang w:eastAsia="zh-CN"/>
        </w:rPr>
        <w:t>竞选人</w:t>
      </w:r>
      <w:r>
        <w:rPr>
          <w:rFonts w:hint="eastAsia" w:ascii="宋体" w:hAnsi="宋体" w:eastAsia="宋体" w:cs="宋体"/>
          <w:sz w:val="24"/>
          <w:szCs w:val="24"/>
        </w:rPr>
        <w:t>拒绝或者变相拒绝提供有效书面说明或者书面说明不能证明其报价合理性的，</w:t>
      </w:r>
      <w:r>
        <w:rPr>
          <w:rFonts w:hint="eastAsia" w:hAnsi="宋体" w:cs="宋体"/>
          <w:sz w:val="24"/>
          <w:szCs w:val="24"/>
          <w:lang w:eastAsia="zh-CN"/>
        </w:rPr>
        <w:t>竞争性比选评审小组</w:t>
      </w:r>
      <w:r>
        <w:rPr>
          <w:rFonts w:hint="eastAsia" w:ascii="宋体" w:hAnsi="宋体" w:eastAsia="宋体" w:cs="宋体"/>
          <w:sz w:val="24"/>
          <w:szCs w:val="24"/>
        </w:rPr>
        <w:t>应当将其</w:t>
      </w:r>
      <w:r>
        <w:rPr>
          <w:rFonts w:hint="eastAsia" w:hAnsi="宋体" w:cs="宋体"/>
          <w:sz w:val="24"/>
          <w:szCs w:val="24"/>
          <w:lang w:eastAsia="zh-CN"/>
        </w:rPr>
        <w:t>比选申请文件</w:t>
      </w:r>
      <w:r>
        <w:rPr>
          <w:rFonts w:hint="eastAsia" w:ascii="宋体" w:hAnsi="宋体" w:eastAsia="宋体" w:cs="宋体"/>
          <w:sz w:val="24"/>
          <w:szCs w:val="24"/>
        </w:rPr>
        <w:t>作为无效投标处理。特别提醒：请</w:t>
      </w:r>
      <w:r>
        <w:rPr>
          <w:rFonts w:hint="eastAsia" w:hAnsi="宋体" w:cs="宋体"/>
          <w:sz w:val="24"/>
          <w:szCs w:val="24"/>
          <w:lang w:eastAsia="zh-CN"/>
        </w:rPr>
        <w:t>竞选人</w:t>
      </w:r>
      <w:r>
        <w:rPr>
          <w:rFonts w:hint="eastAsia" w:ascii="宋体" w:hAnsi="宋体" w:eastAsia="宋体" w:cs="宋体"/>
          <w:sz w:val="24"/>
          <w:szCs w:val="24"/>
        </w:rPr>
        <w:t>认真阅读上述内容，如认为自己的报价可能大幅度低于其他有效报价的，请按要求提前准备相关证明材料，以备评审所需。</w:t>
      </w:r>
    </w:p>
    <w:p w14:paraId="07FECB02">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rPr>
          <w:rFonts w:hint="eastAsia" w:ascii="宋体" w:hAnsi="宋体" w:eastAsia="宋体" w:cs="宋体"/>
        </w:rPr>
      </w:pPr>
      <w:r>
        <w:rPr>
          <w:rFonts w:hint="eastAsia" w:ascii="宋体" w:hAnsi="宋体" w:eastAsia="宋体" w:cs="宋体"/>
        </w:rPr>
        <w:t>四、无效</w:t>
      </w:r>
      <w:r>
        <w:rPr>
          <w:rFonts w:hint="eastAsia" w:ascii="宋体" w:hAnsi="宋体" w:eastAsia="宋体" w:cs="宋体"/>
          <w:lang w:eastAsia="zh-CN"/>
        </w:rPr>
        <w:t>竞标</w:t>
      </w:r>
      <w:r>
        <w:rPr>
          <w:rFonts w:hint="eastAsia" w:ascii="宋体" w:hAnsi="宋体" w:eastAsia="宋体" w:cs="宋体"/>
        </w:rPr>
        <w:t>条款</w:t>
      </w:r>
    </w:p>
    <w:p w14:paraId="3D0FBC28">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hAnsi="宋体" w:cs="宋体"/>
          <w:sz w:val="24"/>
          <w:szCs w:val="24"/>
          <w:lang w:eastAsia="zh-CN"/>
        </w:rPr>
        <w:t>竞选人</w:t>
      </w:r>
      <w:r>
        <w:rPr>
          <w:rFonts w:hint="eastAsia" w:ascii="宋体" w:hAnsi="宋体" w:eastAsia="宋体" w:cs="宋体"/>
          <w:sz w:val="24"/>
          <w:szCs w:val="24"/>
        </w:rPr>
        <w:t>或其</w:t>
      </w:r>
      <w:r>
        <w:rPr>
          <w:rFonts w:hint="eastAsia" w:hAnsi="宋体" w:cs="宋体"/>
          <w:sz w:val="24"/>
          <w:szCs w:val="24"/>
          <w:lang w:eastAsia="zh-CN"/>
        </w:rPr>
        <w:t>比选申请文件</w:t>
      </w:r>
      <w:r>
        <w:rPr>
          <w:rFonts w:hint="eastAsia" w:ascii="宋体" w:hAnsi="宋体" w:eastAsia="宋体" w:cs="宋体"/>
          <w:sz w:val="24"/>
          <w:szCs w:val="24"/>
        </w:rPr>
        <w:t>出现下列情况之一者，应为无效</w:t>
      </w:r>
      <w:r>
        <w:rPr>
          <w:rFonts w:hint="eastAsia" w:ascii="宋体" w:hAnsi="宋体" w:eastAsia="宋体" w:cs="宋体"/>
          <w:sz w:val="24"/>
          <w:szCs w:val="24"/>
          <w:lang w:eastAsia="zh-CN"/>
        </w:rPr>
        <w:t>竞标</w:t>
      </w:r>
      <w:r>
        <w:rPr>
          <w:rFonts w:hint="eastAsia" w:ascii="宋体" w:hAnsi="宋体" w:eastAsia="宋体" w:cs="宋体"/>
          <w:sz w:val="24"/>
          <w:szCs w:val="24"/>
        </w:rPr>
        <w:t>:</w:t>
      </w:r>
    </w:p>
    <w:p w14:paraId="0FA9E115">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(一)未按照</w:t>
      </w:r>
      <w:r>
        <w:rPr>
          <w:rFonts w:hint="eastAsia" w:hAnsi="宋体" w:cs="宋体"/>
          <w:sz w:val="24"/>
          <w:szCs w:val="24"/>
          <w:lang w:eastAsia="zh-CN"/>
        </w:rPr>
        <w:t>竞争性比选文件</w:t>
      </w:r>
      <w:r>
        <w:rPr>
          <w:rFonts w:hint="eastAsia" w:ascii="宋体" w:hAnsi="宋体" w:eastAsia="宋体" w:cs="宋体"/>
          <w:sz w:val="24"/>
          <w:szCs w:val="24"/>
        </w:rPr>
        <w:t>的规定提交</w:t>
      </w:r>
      <w:r>
        <w:rPr>
          <w:rFonts w:hint="eastAsia" w:ascii="宋体" w:hAnsi="宋体" w:eastAsia="宋体" w:cs="宋体"/>
          <w:sz w:val="24"/>
          <w:szCs w:val="24"/>
          <w:lang w:eastAsia="zh-CN"/>
        </w:rPr>
        <w:t>竞标</w:t>
      </w:r>
      <w:r>
        <w:rPr>
          <w:rFonts w:hint="eastAsia" w:ascii="宋体" w:hAnsi="宋体" w:eastAsia="宋体" w:cs="宋体"/>
          <w:sz w:val="24"/>
          <w:szCs w:val="24"/>
        </w:rPr>
        <w:t>保证金的</w:t>
      </w:r>
      <w:r>
        <w:rPr>
          <w:rFonts w:hint="eastAsia" w:ascii="宋体" w:hAnsi="宋体" w:eastAsia="宋体" w:cs="宋体"/>
          <w:sz w:val="24"/>
          <w:szCs w:val="24"/>
          <w:lang w:eastAsia="zh-CN"/>
        </w:rPr>
        <w:t>；</w:t>
      </w:r>
    </w:p>
    <w:p w14:paraId="5EB63CF0">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hAnsi="宋体" w:cs="宋体"/>
          <w:sz w:val="24"/>
          <w:szCs w:val="24"/>
          <w:lang w:eastAsia="zh-CN"/>
        </w:rPr>
        <w:t>比选申请文件</w:t>
      </w:r>
      <w:r>
        <w:rPr>
          <w:rFonts w:hint="eastAsia" w:ascii="宋体" w:hAnsi="宋体" w:eastAsia="宋体" w:cs="宋体"/>
          <w:sz w:val="24"/>
          <w:szCs w:val="24"/>
        </w:rPr>
        <w:t>未按</w:t>
      </w:r>
      <w:r>
        <w:rPr>
          <w:rFonts w:hint="eastAsia" w:hAnsi="宋体" w:cs="宋体"/>
          <w:sz w:val="24"/>
          <w:szCs w:val="24"/>
          <w:lang w:eastAsia="zh-CN"/>
        </w:rPr>
        <w:t>竞争性比选文件</w:t>
      </w:r>
      <w:r>
        <w:rPr>
          <w:rFonts w:hint="eastAsia" w:ascii="宋体" w:hAnsi="宋体" w:eastAsia="宋体" w:cs="宋体"/>
          <w:sz w:val="24"/>
          <w:szCs w:val="24"/>
        </w:rPr>
        <w:t>要求签</w:t>
      </w:r>
      <w:r>
        <w:rPr>
          <w:rFonts w:hint="eastAsia" w:ascii="宋体" w:hAnsi="宋体" w:eastAsia="宋体" w:cs="宋体"/>
          <w:sz w:val="24"/>
          <w:szCs w:val="24"/>
          <w:lang w:eastAsia="zh-CN"/>
        </w:rPr>
        <w:t>字</w:t>
      </w:r>
      <w:r>
        <w:rPr>
          <w:rFonts w:hint="eastAsia" w:ascii="宋体" w:hAnsi="宋体" w:eastAsia="宋体" w:cs="宋体"/>
          <w:sz w:val="24"/>
          <w:szCs w:val="24"/>
        </w:rPr>
        <w:t>、盖章的</w:t>
      </w:r>
      <w:r>
        <w:rPr>
          <w:rFonts w:hint="eastAsia" w:ascii="宋体" w:hAnsi="宋体" w:eastAsia="宋体" w:cs="宋体"/>
          <w:sz w:val="24"/>
          <w:szCs w:val="24"/>
          <w:lang w:eastAsia="zh-CN"/>
        </w:rPr>
        <w:t>；</w:t>
      </w:r>
    </w:p>
    <w:p w14:paraId="47BCF2B6">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(三)不具备</w:t>
      </w:r>
      <w:r>
        <w:rPr>
          <w:rFonts w:hint="eastAsia" w:hAnsi="宋体" w:cs="宋体"/>
          <w:sz w:val="24"/>
          <w:szCs w:val="24"/>
          <w:lang w:eastAsia="zh-CN"/>
        </w:rPr>
        <w:t>竞争性比选文件</w:t>
      </w:r>
      <w:r>
        <w:rPr>
          <w:rFonts w:hint="eastAsia" w:ascii="宋体" w:hAnsi="宋体" w:eastAsia="宋体" w:cs="宋体"/>
          <w:sz w:val="24"/>
          <w:szCs w:val="24"/>
        </w:rPr>
        <w:t>中规定的资格要求的</w:t>
      </w:r>
      <w:r>
        <w:rPr>
          <w:rFonts w:hint="eastAsia" w:ascii="宋体" w:hAnsi="宋体" w:eastAsia="宋体" w:cs="宋体"/>
          <w:sz w:val="24"/>
          <w:szCs w:val="24"/>
          <w:lang w:eastAsia="zh-CN"/>
        </w:rPr>
        <w:t>；</w:t>
      </w:r>
    </w:p>
    <w:p w14:paraId="1D13D186">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(四)报价超过</w:t>
      </w:r>
      <w:r>
        <w:rPr>
          <w:rFonts w:hint="eastAsia" w:hAnsi="宋体" w:cs="宋体"/>
          <w:sz w:val="24"/>
          <w:szCs w:val="24"/>
          <w:lang w:eastAsia="zh-CN"/>
        </w:rPr>
        <w:t>竞争性比选文件</w:t>
      </w:r>
      <w:r>
        <w:rPr>
          <w:rFonts w:hint="eastAsia" w:ascii="宋体" w:hAnsi="宋体" w:eastAsia="宋体" w:cs="宋体"/>
          <w:sz w:val="24"/>
          <w:szCs w:val="24"/>
        </w:rPr>
        <w:t>中规定的预算金额或者最高限价的</w:t>
      </w:r>
      <w:r>
        <w:rPr>
          <w:rFonts w:hint="eastAsia" w:ascii="宋体" w:hAnsi="宋体" w:eastAsia="宋体" w:cs="宋体"/>
          <w:sz w:val="24"/>
          <w:szCs w:val="24"/>
          <w:lang w:eastAsia="zh-CN"/>
        </w:rPr>
        <w:t>；</w:t>
      </w:r>
    </w:p>
    <w:p w14:paraId="0411EE56">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(五)</w:t>
      </w:r>
      <w:r>
        <w:rPr>
          <w:rFonts w:hint="eastAsia" w:hAnsi="宋体" w:cs="宋体"/>
          <w:sz w:val="24"/>
          <w:szCs w:val="24"/>
          <w:lang w:eastAsia="zh-CN"/>
        </w:rPr>
        <w:t>比选申请文件</w:t>
      </w:r>
      <w:r>
        <w:rPr>
          <w:rFonts w:hint="eastAsia" w:ascii="宋体" w:hAnsi="宋体" w:eastAsia="宋体" w:cs="宋体"/>
          <w:sz w:val="24"/>
          <w:szCs w:val="24"/>
        </w:rPr>
        <w:t>含有</w:t>
      </w:r>
      <w:r>
        <w:rPr>
          <w:rFonts w:hint="eastAsia" w:hAnsi="宋体" w:cs="宋体"/>
          <w:sz w:val="24"/>
          <w:szCs w:val="24"/>
          <w:lang w:eastAsia="zh-CN"/>
        </w:rPr>
        <w:t>比选人</w:t>
      </w:r>
      <w:r>
        <w:rPr>
          <w:rFonts w:hint="eastAsia" w:ascii="宋体" w:hAnsi="宋体" w:eastAsia="宋体" w:cs="宋体"/>
          <w:sz w:val="24"/>
          <w:szCs w:val="24"/>
        </w:rPr>
        <w:t>不能接受的附加条件的</w:t>
      </w:r>
      <w:r>
        <w:rPr>
          <w:rFonts w:hint="eastAsia" w:ascii="宋体" w:hAnsi="宋体" w:eastAsia="宋体" w:cs="宋体"/>
          <w:sz w:val="24"/>
          <w:szCs w:val="24"/>
          <w:lang w:eastAsia="zh-CN"/>
        </w:rPr>
        <w:t>；</w:t>
      </w:r>
    </w:p>
    <w:p w14:paraId="438B76F3">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(六)</w:t>
      </w:r>
      <w:r>
        <w:rPr>
          <w:rFonts w:hint="eastAsia" w:hAnsi="宋体" w:cs="宋体"/>
          <w:sz w:val="24"/>
          <w:szCs w:val="24"/>
          <w:lang w:eastAsia="zh-CN"/>
        </w:rPr>
        <w:t>竞选人</w:t>
      </w:r>
      <w:r>
        <w:rPr>
          <w:rFonts w:hint="eastAsia" w:ascii="宋体" w:hAnsi="宋体" w:eastAsia="宋体" w:cs="宋体"/>
          <w:sz w:val="24"/>
          <w:szCs w:val="24"/>
        </w:rPr>
        <w:t>串通</w:t>
      </w:r>
      <w:r>
        <w:rPr>
          <w:rFonts w:hint="eastAsia" w:ascii="宋体" w:hAnsi="宋体" w:eastAsia="宋体" w:cs="宋体"/>
          <w:sz w:val="24"/>
          <w:szCs w:val="24"/>
          <w:lang w:eastAsia="zh-CN"/>
        </w:rPr>
        <w:t>竞标</w:t>
      </w:r>
      <w:r>
        <w:rPr>
          <w:rFonts w:hint="eastAsia" w:ascii="宋体" w:hAnsi="宋体" w:eastAsia="宋体" w:cs="宋体"/>
          <w:sz w:val="24"/>
          <w:szCs w:val="24"/>
        </w:rPr>
        <w:t>的</w:t>
      </w:r>
      <w:r>
        <w:rPr>
          <w:rFonts w:hint="eastAsia" w:ascii="宋体" w:hAnsi="宋体" w:eastAsia="宋体" w:cs="宋体"/>
          <w:sz w:val="24"/>
          <w:szCs w:val="24"/>
          <w:lang w:eastAsia="zh-CN"/>
        </w:rPr>
        <w:t>；</w:t>
      </w:r>
    </w:p>
    <w:p w14:paraId="3A3A67D7">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(七)</w:t>
      </w:r>
      <w:r>
        <w:rPr>
          <w:rFonts w:hint="eastAsia" w:hAnsi="宋体" w:cs="宋体"/>
          <w:sz w:val="24"/>
          <w:szCs w:val="24"/>
          <w:lang w:eastAsia="zh-CN"/>
        </w:rPr>
        <w:t>竞选人</w:t>
      </w:r>
      <w:r>
        <w:rPr>
          <w:rFonts w:hint="eastAsia" w:ascii="宋体" w:hAnsi="宋体" w:eastAsia="宋体" w:cs="宋体"/>
          <w:sz w:val="24"/>
          <w:szCs w:val="24"/>
        </w:rPr>
        <w:t>以联合体形式参与</w:t>
      </w:r>
      <w:r>
        <w:rPr>
          <w:rFonts w:hint="eastAsia" w:ascii="宋体" w:hAnsi="宋体" w:eastAsia="宋体" w:cs="宋体"/>
          <w:sz w:val="24"/>
          <w:szCs w:val="24"/>
          <w:lang w:eastAsia="zh-CN"/>
        </w:rPr>
        <w:t>竞标</w:t>
      </w:r>
      <w:r>
        <w:rPr>
          <w:rFonts w:hint="eastAsia" w:ascii="宋体" w:hAnsi="宋体" w:eastAsia="宋体" w:cs="宋体"/>
          <w:sz w:val="24"/>
          <w:szCs w:val="24"/>
        </w:rPr>
        <w:t>的</w:t>
      </w:r>
      <w:r>
        <w:rPr>
          <w:rFonts w:hint="eastAsia" w:ascii="宋体" w:hAnsi="宋体" w:eastAsia="宋体" w:cs="宋体"/>
          <w:sz w:val="24"/>
          <w:szCs w:val="24"/>
          <w:lang w:eastAsia="zh-CN"/>
        </w:rPr>
        <w:t>；</w:t>
      </w:r>
    </w:p>
    <w:p w14:paraId="1835384D">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(八)</w:t>
      </w:r>
      <w:r>
        <w:rPr>
          <w:rFonts w:hint="eastAsia" w:hAnsi="宋体" w:cs="宋体"/>
          <w:sz w:val="24"/>
          <w:szCs w:val="24"/>
          <w:lang w:eastAsia="zh-CN"/>
        </w:rPr>
        <w:t>竞选人</w:t>
      </w:r>
      <w:r>
        <w:rPr>
          <w:rFonts w:hint="eastAsia" w:ascii="宋体" w:hAnsi="宋体" w:eastAsia="宋体" w:cs="宋体"/>
          <w:sz w:val="24"/>
          <w:szCs w:val="24"/>
        </w:rPr>
        <w:t>进行合同分包的</w:t>
      </w:r>
      <w:r>
        <w:rPr>
          <w:rFonts w:hint="eastAsia" w:ascii="宋体" w:hAnsi="宋体" w:eastAsia="宋体" w:cs="宋体"/>
          <w:sz w:val="24"/>
          <w:szCs w:val="24"/>
          <w:lang w:eastAsia="zh-CN"/>
        </w:rPr>
        <w:t>；</w:t>
      </w:r>
    </w:p>
    <w:p w14:paraId="30638AFF">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(九)法律、法规和</w:t>
      </w:r>
      <w:r>
        <w:rPr>
          <w:rFonts w:hint="eastAsia" w:hAnsi="宋体" w:cs="宋体"/>
          <w:sz w:val="24"/>
          <w:szCs w:val="24"/>
          <w:lang w:eastAsia="zh-CN"/>
        </w:rPr>
        <w:t>竞争性比选文件</w:t>
      </w:r>
      <w:r>
        <w:rPr>
          <w:rFonts w:hint="eastAsia" w:ascii="宋体" w:hAnsi="宋体" w:eastAsia="宋体" w:cs="宋体"/>
          <w:sz w:val="24"/>
          <w:szCs w:val="24"/>
        </w:rPr>
        <w:t>规定的其他无效情形。</w:t>
      </w:r>
    </w:p>
    <w:p w14:paraId="0F054904">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rPr>
          <w:rFonts w:hint="eastAsia" w:ascii="宋体" w:hAnsi="宋体" w:eastAsia="宋体" w:cs="宋体"/>
        </w:rPr>
      </w:pPr>
      <w:r>
        <w:rPr>
          <w:rFonts w:hint="eastAsia" w:ascii="宋体" w:hAnsi="宋体" w:eastAsia="宋体" w:cs="宋体"/>
        </w:rPr>
        <w:t>五、废标条款</w:t>
      </w:r>
    </w:p>
    <w:p w14:paraId="38089711">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在本次采购活动中，出现下列情形之一的，应予废标:</w:t>
      </w:r>
    </w:p>
    <w:p w14:paraId="6B687DF7">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(一)符合专业条件的</w:t>
      </w:r>
      <w:r>
        <w:rPr>
          <w:rFonts w:hint="eastAsia" w:hAnsi="宋体" w:cs="宋体"/>
          <w:sz w:val="24"/>
          <w:szCs w:val="24"/>
          <w:lang w:eastAsia="zh-CN"/>
        </w:rPr>
        <w:t>竞选人</w:t>
      </w:r>
      <w:r>
        <w:rPr>
          <w:rFonts w:hint="eastAsia" w:ascii="宋体" w:hAnsi="宋体" w:eastAsia="宋体" w:cs="宋体"/>
          <w:sz w:val="24"/>
          <w:szCs w:val="24"/>
          <w:lang w:eastAsia="zh-CN"/>
        </w:rPr>
        <w:t>或者对</w:t>
      </w:r>
      <w:r>
        <w:rPr>
          <w:rFonts w:hint="eastAsia" w:hAnsi="宋体" w:cs="宋体"/>
          <w:sz w:val="24"/>
          <w:szCs w:val="24"/>
          <w:lang w:eastAsia="zh-CN"/>
        </w:rPr>
        <w:t>竞争性比选文件</w:t>
      </w:r>
      <w:r>
        <w:rPr>
          <w:rFonts w:hint="eastAsia" w:ascii="宋体" w:hAnsi="宋体" w:eastAsia="宋体" w:cs="宋体"/>
          <w:sz w:val="24"/>
          <w:szCs w:val="24"/>
          <w:lang w:eastAsia="zh-CN"/>
        </w:rPr>
        <w:t>作实质响应的</w:t>
      </w:r>
      <w:r>
        <w:rPr>
          <w:rFonts w:hint="eastAsia" w:hAnsi="宋体" w:cs="宋体"/>
          <w:sz w:val="24"/>
          <w:szCs w:val="24"/>
          <w:lang w:eastAsia="zh-CN"/>
        </w:rPr>
        <w:t>竞选人</w:t>
      </w:r>
      <w:r>
        <w:rPr>
          <w:rFonts w:hint="eastAsia" w:ascii="宋体" w:hAnsi="宋体" w:eastAsia="宋体" w:cs="宋体"/>
          <w:sz w:val="24"/>
          <w:szCs w:val="24"/>
          <w:lang w:eastAsia="zh-CN"/>
        </w:rPr>
        <w:t>不足三家的；</w:t>
      </w:r>
    </w:p>
    <w:p w14:paraId="20774AFF">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(二)</w:t>
      </w:r>
      <w:r>
        <w:rPr>
          <w:rFonts w:hint="eastAsia" w:hAnsi="宋体" w:cs="宋体"/>
          <w:sz w:val="24"/>
          <w:szCs w:val="24"/>
          <w:lang w:eastAsia="zh-CN"/>
        </w:rPr>
        <w:t>竞选人</w:t>
      </w:r>
      <w:r>
        <w:rPr>
          <w:rFonts w:hint="eastAsia" w:ascii="宋体" w:hAnsi="宋体" w:eastAsia="宋体" w:cs="宋体"/>
          <w:sz w:val="24"/>
          <w:szCs w:val="24"/>
          <w:lang w:eastAsia="zh-CN"/>
        </w:rPr>
        <w:t>的报价均超过了采购预算，</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lang w:eastAsia="zh-CN"/>
        </w:rPr>
        <w:t>人不能支付的；</w:t>
      </w:r>
    </w:p>
    <w:p w14:paraId="42734FF2">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(三)出现影响采购公正的违法、违规行为的；</w:t>
      </w:r>
    </w:p>
    <w:p w14:paraId="55092C8B">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(四)因重大变故，采购任务取消的。</w:t>
      </w:r>
    </w:p>
    <w:p w14:paraId="475DC8C1">
      <w:pPr>
        <w:pStyle w:val="15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废标后，除采购任务取消情况外，应当重</w:t>
      </w:r>
      <w:r>
        <w:rPr>
          <w:rFonts w:hint="eastAsia" w:ascii="宋体" w:hAnsi="宋体" w:eastAsia="宋体" w:cs="宋体"/>
          <w:sz w:val="24"/>
          <w:szCs w:val="24"/>
        </w:rPr>
        <w:t>新组织采购。</w:t>
      </w:r>
      <w:bookmarkEnd w:id="108"/>
      <w:bookmarkEnd w:id="109"/>
      <w:bookmarkEnd w:id="110"/>
      <w:bookmarkEnd w:id="111"/>
    </w:p>
    <w:p w14:paraId="3BD326DD">
      <w:pPr>
        <w:pStyle w:val="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center"/>
        <w:textAlignment w:val="auto"/>
        <w:outlineLvl w:val="0"/>
        <w:rPr>
          <w:rFonts w:hint="eastAsia" w:ascii="宋体" w:hAnsi="宋体" w:eastAsia="宋体" w:cs="宋体"/>
        </w:rPr>
      </w:pPr>
      <w:r>
        <w:rPr>
          <w:rFonts w:hint="eastAsia" w:ascii="宋体" w:hAnsi="宋体" w:eastAsia="宋体" w:cs="宋体"/>
          <w:sz w:val="24"/>
          <w:szCs w:val="24"/>
        </w:rPr>
        <w:br w:type="page"/>
      </w:r>
      <w:r>
        <w:rPr>
          <w:rFonts w:hint="eastAsia" w:ascii="宋体" w:hAnsi="宋体" w:eastAsia="宋体" w:cs="宋体"/>
          <w:b/>
          <w:kern w:val="2"/>
          <w:sz w:val="28"/>
          <w:lang w:val="en-US" w:eastAsia="zh-CN" w:bidi="ar-SA"/>
        </w:rPr>
        <w:t xml:space="preserve"> </w:t>
      </w:r>
      <w:bookmarkStart w:id="112" w:name="_Toc32330"/>
      <w:r>
        <w:rPr>
          <w:rFonts w:hint="eastAsia" w:ascii="宋体" w:hAnsi="宋体" w:eastAsia="宋体" w:cs="宋体"/>
          <w:b/>
          <w:kern w:val="2"/>
          <w:sz w:val="28"/>
          <w:lang w:val="en-US" w:eastAsia="zh-CN" w:bidi="ar-SA"/>
        </w:rPr>
        <w:t xml:space="preserve">第五篇  </w:t>
      </w:r>
      <w:r>
        <w:rPr>
          <w:rFonts w:hint="eastAsia" w:hAnsi="宋体" w:cs="宋体"/>
          <w:b/>
          <w:kern w:val="2"/>
          <w:sz w:val="28"/>
          <w:lang w:val="en-US" w:eastAsia="zh-CN" w:bidi="ar-SA"/>
        </w:rPr>
        <w:t>竞选人</w:t>
      </w:r>
      <w:r>
        <w:rPr>
          <w:rFonts w:hint="eastAsia" w:ascii="宋体" w:hAnsi="宋体" w:eastAsia="宋体" w:cs="宋体"/>
          <w:b/>
          <w:kern w:val="2"/>
          <w:sz w:val="28"/>
          <w:lang w:val="en-US" w:eastAsia="zh-CN" w:bidi="ar-SA"/>
        </w:rPr>
        <w:t>须知</w:t>
      </w:r>
      <w:bookmarkEnd w:id="112"/>
    </w:p>
    <w:p w14:paraId="19DCCCC2">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lang w:eastAsia="zh-CN"/>
        </w:rPr>
      </w:pPr>
      <w:bookmarkStart w:id="113" w:name="_Toc106034650"/>
      <w:bookmarkStart w:id="114" w:name="_Toc29821"/>
      <w:bookmarkStart w:id="115" w:name="_Toc1092"/>
      <w:bookmarkStart w:id="116" w:name="_Toc65660359"/>
      <w:r>
        <w:rPr>
          <w:rFonts w:hint="eastAsia" w:ascii="宋体" w:hAnsi="宋体" w:eastAsia="宋体" w:cs="宋体"/>
          <w:b/>
          <w:bCs/>
          <w:sz w:val="24"/>
          <w:szCs w:val="24"/>
        </w:rPr>
        <w:t>一、</w:t>
      </w:r>
      <w:r>
        <w:rPr>
          <w:rFonts w:hint="eastAsia" w:ascii="宋体" w:hAnsi="宋体" w:cs="宋体"/>
          <w:b/>
          <w:bCs/>
          <w:sz w:val="24"/>
          <w:szCs w:val="24"/>
          <w:lang w:eastAsia="zh-CN"/>
        </w:rPr>
        <w:t>竞选人</w:t>
      </w:r>
    </w:p>
    <w:p w14:paraId="3BE55DC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(一)</w:t>
      </w:r>
      <w:r>
        <w:rPr>
          <w:rFonts w:hint="eastAsia" w:ascii="宋体" w:hAnsi="宋体" w:cs="宋体"/>
          <w:sz w:val="24"/>
          <w:szCs w:val="24"/>
          <w:lang w:eastAsia="zh-CN"/>
        </w:rPr>
        <w:t>竞选人</w:t>
      </w:r>
    </w:p>
    <w:p w14:paraId="773CA33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竞选人</w:t>
      </w:r>
      <w:r>
        <w:rPr>
          <w:rFonts w:hint="eastAsia" w:ascii="宋体" w:hAnsi="宋体" w:eastAsia="宋体" w:cs="宋体"/>
          <w:sz w:val="24"/>
          <w:szCs w:val="24"/>
        </w:rPr>
        <w:t>是指响应</w:t>
      </w:r>
      <w:r>
        <w:rPr>
          <w:rFonts w:hint="eastAsia" w:ascii="宋体" w:hAnsi="宋体" w:cs="宋体"/>
          <w:sz w:val="24"/>
          <w:szCs w:val="24"/>
          <w:lang w:eastAsia="zh-CN"/>
        </w:rPr>
        <w:t>竞争性比选文件</w:t>
      </w:r>
      <w:r>
        <w:rPr>
          <w:rFonts w:hint="eastAsia" w:ascii="宋体" w:hAnsi="宋体" w:eastAsia="宋体" w:cs="宋体"/>
          <w:sz w:val="24"/>
          <w:szCs w:val="24"/>
        </w:rPr>
        <w:t>、参加</w:t>
      </w:r>
      <w:r>
        <w:rPr>
          <w:rFonts w:hint="eastAsia" w:ascii="宋体" w:hAnsi="宋体" w:eastAsia="宋体" w:cs="宋体"/>
          <w:sz w:val="24"/>
          <w:szCs w:val="24"/>
          <w:lang w:eastAsia="zh-CN"/>
        </w:rPr>
        <w:t>公开</w:t>
      </w:r>
      <w:r>
        <w:rPr>
          <w:rFonts w:hint="eastAsia" w:ascii="宋体" w:hAnsi="宋体" w:eastAsia="宋体" w:cs="宋体"/>
          <w:sz w:val="24"/>
          <w:szCs w:val="24"/>
        </w:rPr>
        <w:t>竞争的法人、其他组织或者自然人。</w:t>
      </w:r>
    </w:p>
    <w:p w14:paraId="1FCD114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(二)合格</w:t>
      </w:r>
      <w:r>
        <w:rPr>
          <w:rFonts w:hint="eastAsia" w:ascii="宋体" w:hAnsi="宋体" w:cs="宋体"/>
          <w:sz w:val="24"/>
          <w:szCs w:val="24"/>
          <w:lang w:eastAsia="zh-CN"/>
        </w:rPr>
        <w:t>竞选人</w:t>
      </w:r>
      <w:r>
        <w:rPr>
          <w:rFonts w:hint="eastAsia" w:ascii="宋体" w:hAnsi="宋体" w:eastAsia="宋体" w:cs="宋体"/>
          <w:sz w:val="24"/>
          <w:szCs w:val="24"/>
        </w:rPr>
        <w:t>条件</w:t>
      </w:r>
    </w:p>
    <w:p w14:paraId="585F35C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合格</w:t>
      </w:r>
      <w:r>
        <w:rPr>
          <w:rFonts w:hint="eastAsia" w:ascii="宋体" w:hAnsi="宋体" w:cs="宋体"/>
          <w:sz w:val="24"/>
          <w:szCs w:val="24"/>
          <w:lang w:eastAsia="zh-CN"/>
        </w:rPr>
        <w:t>竞选人</w:t>
      </w:r>
      <w:r>
        <w:rPr>
          <w:rFonts w:hint="eastAsia" w:ascii="宋体" w:hAnsi="宋体" w:eastAsia="宋体" w:cs="宋体"/>
          <w:sz w:val="24"/>
          <w:szCs w:val="24"/>
        </w:rPr>
        <w:t>应完全符合</w:t>
      </w:r>
      <w:r>
        <w:rPr>
          <w:rFonts w:hint="eastAsia" w:ascii="宋体" w:hAnsi="宋体" w:cs="宋体"/>
          <w:sz w:val="24"/>
          <w:szCs w:val="24"/>
          <w:lang w:eastAsia="zh-CN"/>
        </w:rPr>
        <w:t>竞争性比选文件</w:t>
      </w:r>
      <w:r>
        <w:rPr>
          <w:rFonts w:hint="eastAsia" w:ascii="宋体" w:hAnsi="宋体" w:eastAsia="宋体" w:cs="宋体"/>
          <w:sz w:val="24"/>
          <w:szCs w:val="24"/>
        </w:rPr>
        <w:t>第一篇中规定的</w:t>
      </w:r>
      <w:r>
        <w:rPr>
          <w:rFonts w:hint="eastAsia" w:ascii="宋体" w:hAnsi="宋体" w:cs="宋体"/>
          <w:sz w:val="24"/>
          <w:szCs w:val="24"/>
          <w:lang w:eastAsia="zh-CN"/>
        </w:rPr>
        <w:t>竞选人</w:t>
      </w:r>
      <w:r>
        <w:rPr>
          <w:rFonts w:hint="eastAsia" w:ascii="宋体" w:hAnsi="宋体" w:eastAsia="宋体" w:cs="宋体"/>
          <w:sz w:val="24"/>
          <w:szCs w:val="24"/>
        </w:rPr>
        <w:t>资格条件，并对</w:t>
      </w:r>
      <w:r>
        <w:rPr>
          <w:rFonts w:hint="eastAsia" w:ascii="宋体" w:hAnsi="宋体" w:cs="宋体"/>
          <w:sz w:val="24"/>
          <w:szCs w:val="24"/>
          <w:lang w:eastAsia="zh-CN"/>
        </w:rPr>
        <w:t>竞争性比选文件</w:t>
      </w:r>
      <w:r>
        <w:rPr>
          <w:rFonts w:hint="eastAsia" w:ascii="宋体" w:hAnsi="宋体" w:eastAsia="宋体" w:cs="宋体"/>
          <w:sz w:val="24"/>
          <w:szCs w:val="24"/>
        </w:rPr>
        <w:t>作出</w:t>
      </w:r>
    </w:p>
    <w:p w14:paraId="282C16AA">
      <w:pPr>
        <w:pageBreakBefore w:val="0"/>
        <w:kinsoku/>
        <w:wordWrap/>
        <w:overflowPunct/>
        <w:topLinePunct w:val="0"/>
        <w:autoSpaceDE/>
        <w:autoSpaceDN/>
        <w:bidi w:val="0"/>
        <w:adjustRightInd w:val="0"/>
        <w:snapToGrid w:val="0"/>
        <w:spacing w:line="360" w:lineRule="auto"/>
        <w:ind w:right="0" w:rightChars="0"/>
        <w:jc w:val="left"/>
        <w:rPr>
          <w:rFonts w:hint="eastAsia" w:ascii="宋体" w:hAnsi="宋体" w:eastAsia="宋体" w:cs="宋体"/>
          <w:sz w:val="24"/>
          <w:szCs w:val="24"/>
        </w:rPr>
      </w:pPr>
      <w:r>
        <w:rPr>
          <w:rFonts w:hint="eastAsia" w:ascii="宋体" w:hAnsi="宋体" w:eastAsia="宋体" w:cs="宋体"/>
          <w:sz w:val="24"/>
          <w:szCs w:val="24"/>
        </w:rPr>
        <w:t>实质性响应。</w:t>
      </w:r>
    </w:p>
    <w:p w14:paraId="33A8780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cs="宋体"/>
          <w:sz w:val="24"/>
          <w:szCs w:val="24"/>
          <w:lang w:eastAsia="zh-CN"/>
        </w:rPr>
        <w:t>竞选人</w:t>
      </w:r>
      <w:r>
        <w:rPr>
          <w:rFonts w:hint="eastAsia" w:ascii="宋体" w:hAnsi="宋体" w:eastAsia="宋体" w:cs="宋体"/>
          <w:sz w:val="24"/>
          <w:szCs w:val="24"/>
        </w:rPr>
        <w:t>的风险</w:t>
      </w:r>
    </w:p>
    <w:p w14:paraId="47AA018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竞选人</w:t>
      </w:r>
      <w:r>
        <w:rPr>
          <w:rFonts w:hint="eastAsia" w:ascii="宋体" w:hAnsi="宋体" w:eastAsia="宋体" w:cs="宋体"/>
          <w:sz w:val="24"/>
          <w:szCs w:val="24"/>
        </w:rPr>
        <w:t>没有按照</w:t>
      </w:r>
      <w:r>
        <w:rPr>
          <w:rFonts w:hint="eastAsia" w:ascii="宋体" w:hAnsi="宋体" w:cs="宋体"/>
          <w:sz w:val="24"/>
          <w:szCs w:val="24"/>
          <w:lang w:eastAsia="zh-CN"/>
        </w:rPr>
        <w:t>竞争性比选文件</w:t>
      </w:r>
      <w:r>
        <w:rPr>
          <w:rFonts w:hint="eastAsia" w:ascii="宋体" w:hAnsi="宋体" w:eastAsia="宋体" w:cs="宋体"/>
          <w:sz w:val="24"/>
          <w:szCs w:val="24"/>
        </w:rPr>
        <w:t>要求提供全部资料，或者</w:t>
      </w:r>
      <w:r>
        <w:rPr>
          <w:rFonts w:hint="eastAsia" w:ascii="宋体" w:hAnsi="宋体" w:cs="宋体"/>
          <w:sz w:val="24"/>
          <w:szCs w:val="24"/>
          <w:lang w:eastAsia="zh-CN"/>
        </w:rPr>
        <w:t>竞选人</w:t>
      </w:r>
      <w:r>
        <w:rPr>
          <w:rFonts w:hint="eastAsia" w:ascii="宋体" w:hAnsi="宋体" w:eastAsia="宋体" w:cs="宋体"/>
          <w:sz w:val="24"/>
          <w:szCs w:val="24"/>
        </w:rPr>
        <w:t>没有对</w:t>
      </w:r>
      <w:r>
        <w:rPr>
          <w:rFonts w:hint="eastAsia" w:ascii="宋体" w:hAnsi="宋体" w:cs="宋体"/>
          <w:sz w:val="24"/>
          <w:szCs w:val="24"/>
          <w:lang w:eastAsia="zh-CN"/>
        </w:rPr>
        <w:t>竞争性比选文件</w:t>
      </w:r>
      <w:r>
        <w:rPr>
          <w:rFonts w:hint="eastAsia" w:ascii="宋体" w:hAnsi="宋体" w:eastAsia="宋体" w:cs="宋体"/>
          <w:sz w:val="24"/>
          <w:szCs w:val="24"/>
        </w:rPr>
        <w:t>在各方面作出实质性响应，可能导致</w:t>
      </w:r>
      <w:r>
        <w:rPr>
          <w:rFonts w:hint="eastAsia" w:ascii="宋体" w:hAnsi="宋体" w:eastAsia="宋体" w:cs="宋体"/>
          <w:sz w:val="24"/>
          <w:szCs w:val="24"/>
          <w:lang w:eastAsia="zh-CN"/>
        </w:rPr>
        <w:t>竞标</w:t>
      </w:r>
      <w:r>
        <w:rPr>
          <w:rFonts w:hint="eastAsia" w:ascii="宋体" w:hAnsi="宋体" w:eastAsia="宋体" w:cs="宋体"/>
          <w:sz w:val="24"/>
          <w:szCs w:val="24"/>
        </w:rPr>
        <w:t>被拒绝或评定为无效</w:t>
      </w:r>
      <w:r>
        <w:rPr>
          <w:rFonts w:hint="eastAsia" w:ascii="宋体" w:hAnsi="宋体" w:eastAsia="宋体" w:cs="宋体"/>
          <w:sz w:val="24"/>
          <w:szCs w:val="24"/>
          <w:lang w:eastAsia="zh-CN"/>
        </w:rPr>
        <w:t>竞标</w:t>
      </w:r>
      <w:r>
        <w:rPr>
          <w:rFonts w:hint="eastAsia" w:ascii="宋体" w:hAnsi="宋体" w:eastAsia="宋体" w:cs="宋体"/>
          <w:sz w:val="24"/>
          <w:szCs w:val="24"/>
        </w:rPr>
        <w:t>。</w:t>
      </w:r>
    </w:p>
    <w:p w14:paraId="2E692D2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(四)法律责任</w:t>
      </w:r>
    </w:p>
    <w:p w14:paraId="208CDE6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竞选人</w:t>
      </w:r>
      <w:r>
        <w:rPr>
          <w:rFonts w:hint="eastAsia" w:ascii="宋体" w:hAnsi="宋体" w:eastAsia="宋体" w:cs="宋体"/>
          <w:sz w:val="24"/>
          <w:szCs w:val="24"/>
        </w:rPr>
        <w:t>违反《中华人民共和国政府采购法》、《中华人民共和国政府采购实施条例》等相关规定，将按规定追究</w:t>
      </w:r>
      <w:r>
        <w:rPr>
          <w:rFonts w:hint="eastAsia" w:ascii="宋体" w:hAnsi="宋体" w:cs="宋体"/>
          <w:sz w:val="24"/>
          <w:szCs w:val="24"/>
          <w:lang w:eastAsia="zh-CN"/>
        </w:rPr>
        <w:t>竞选人</w:t>
      </w:r>
      <w:r>
        <w:rPr>
          <w:rFonts w:hint="eastAsia" w:ascii="宋体" w:hAnsi="宋体" w:eastAsia="宋体" w:cs="宋体"/>
          <w:sz w:val="24"/>
          <w:szCs w:val="24"/>
        </w:rPr>
        <w:t>法律责任。</w:t>
      </w:r>
    </w:p>
    <w:p w14:paraId="478E2347">
      <w:pPr>
        <w:pStyle w:val="7"/>
        <w:pageBreakBefore w:val="0"/>
        <w:numPr>
          <w:ilvl w:val="-1"/>
          <w:numId w:val="0"/>
        </w:numPr>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cs="宋体"/>
          <w:b/>
          <w:bCs/>
          <w:sz w:val="24"/>
          <w:szCs w:val="24"/>
          <w:lang w:val="en-US" w:eastAsia="zh-CN"/>
        </w:rPr>
        <w:t>二、</w:t>
      </w:r>
      <w:r>
        <w:rPr>
          <w:rFonts w:hint="eastAsia" w:ascii="宋体" w:hAnsi="宋体" w:cs="宋体"/>
          <w:b/>
          <w:bCs/>
          <w:sz w:val="24"/>
          <w:szCs w:val="24"/>
          <w:lang w:eastAsia="zh-CN"/>
        </w:rPr>
        <w:t>竞争性比选文件</w:t>
      </w:r>
    </w:p>
    <w:p w14:paraId="41CF26B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cs="宋体"/>
          <w:sz w:val="24"/>
          <w:szCs w:val="24"/>
          <w:lang w:eastAsia="zh-CN"/>
        </w:rPr>
        <w:t>竞争性比选文件</w:t>
      </w:r>
      <w:r>
        <w:rPr>
          <w:rFonts w:hint="eastAsia" w:ascii="宋体" w:hAnsi="宋体" w:eastAsia="宋体" w:cs="宋体"/>
          <w:sz w:val="24"/>
          <w:szCs w:val="24"/>
        </w:rPr>
        <w:t>是</w:t>
      </w:r>
      <w:r>
        <w:rPr>
          <w:rFonts w:hint="eastAsia" w:ascii="宋体" w:hAnsi="宋体" w:cs="宋体"/>
          <w:sz w:val="24"/>
          <w:szCs w:val="24"/>
          <w:lang w:eastAsia="zh-CN"/>
        </w:rPr>
        <w:t>竞选人</w:t>
      </w:r>
      <w:r>
        <w:rPr>
          <w:rFonts w:hint="eastAsia" w:ascii="宋体" w:hAnsi="宋体" w:eastAsia="宋体" w:cs="宋体"/>
          <w:sz w:val="24"/>
          <w:szCs w:val="24"/>
        </w:rPr>
        <w:t>编制</w:t>
      </w:r>
      <w:r>
        <w:rPr>
          <w:rFonts w:hint="eastAsia" w:ascii="宋体" w:hAnsi="宋体" w:cs="宋体"/>
          <w:sz w:val="24"/>
          <w:szCs w:val="24"/>
          <w:lang w:eastAsia="zh-CN"/>
        </w:rPr>
        <w:t>比选申请文件</w:t>
      </w:r>
      <w:r>
        <w:rPr>
          <w:rFonts w:hint="eastAsia" w:ascii="宋体" w:hAnsi="宋体" w:eastAsia="宋体" w:cs="宋体"/>
          <w:sz w:val="24"/>
          <w:szCs w:val="24"/>
        </w:rPr>
        <w:t>的依据，是</w:t>
      </w:r>
      <w:r>
        <w:rPr>
          <w:rFonts w:hint="eastAsia" w:ascii="宋体" w:hAnsi="宋体" w:cs="宋体"/>
          <w:sz w:val="24"/>
          <w:szCs w:val="24"/>
          <w:lang w:eastAsia="zh-CN"/>
        </w:rPr>
        <w:t>竞争性比选评审小组</w:t>
      </w:r>
      <w:r>
        <w:rPr>
          <w:rFonts w:hint="eastAsia" w:ascii="宋体" w:hAnsi="宋体" w:eastAsia="宋体" w:cs="宋体"/>
          <w:sz w:val="24"/>
          <w:szCs w:val="24"/>
        </w:rPr>
        <w:t>评判</w:t>
      </w:r>
      <w:r>
        <w:rPr>
          <w:rFonts w:hint="eastAsia" w:ascii="宋体" w:hAnsi="宋体" w:eastAsia="宋体" w:cs="宋体"/>
          <w:sz w:val="24"/>
          <w:szCs w:val="24"/>
          <w:lang w:eastAsia="zh-CN"/>
        </w:rPr>
        <w:t>的</w:t>
      </w:r>
      <w:r>
        <w:rPr>
          <w:rFonts w:hint="eastAsia" w:ascii="宋体" w:hAnsi="宋体" w:eastAsia="宋体" w:cs="宋体"/>
          <w:sz w:val="24"/>
          <w:szCs w:val="24"/>
        </w:rPr>
        <w:t>依据和标准。</w:t>
      </w:r>
      <w:r>
        <w:rPr>
          <w:rFonts w:hint="eastAsia" w:ascii="宋体" w:hAnsi="宋体" w:cs="宋体"/>
          <w:sz w:val="24"/>
          <w:szCs w:val="24"/>
          <w:lang w:eastAsia="zh-CN"/>
        </w:rPr>
        <w:t>竞争性比选文件</w:t>
      </w:r>
      <w:r>
        <w:rPr>
          <w:rFonts w:hint="eastAsia" w:ascii="宋体" w:hAnsi="宋体" w:eastAsia="宋体" w:cs="宋体"/>
          <w:sz w:val="24"/>
          <w:szCs w:val="24"/>
        </w:rPr>
        <w:t>也是</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人与</w:t>
      </w:r>
      <w:r>
        <w:rPr>
          <w:rFonts w:hint="eastAsia" w:ascii="宋体" w:hAnsi="宋体" w:cs="宋体"/>
          <w:sz w:val="24"/>
          <w:szCs w:val="24"/>
          <w:lang w:eastAsia="zh-CN"/>
        </w:rPr>
        <w:t>竞选人</w:t>
      </w:r>
      <w:r>
        <w:rPr>
          <w:rFonts w:hint="eastAsia" w:ascii="宋体" w:hAnsi="宋体" w:eastAsia="宋体" w:cs="宋体"/>
          <w:sz w:val="24"/>
          <w:szCs w:val="24"/>
        </w:rPr>
        <w:t>签订合同的基础。</w:t>
      </w:r>
    </w:p>
    <w:p w14:paraId="35A0E7D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cs="宋体"/>
          <w:sz w:val="24"/>
          <w:szCs w:val="24"/>
          <w:lang w:eastAsia="zh-CN"/>
        </w:rPr>
        <w:t>竞争性比选文件</w:t>
      </w:r>
      <w:r>
        <w:rPr>
          <w:rFonts w:hint="eastAsia" w:ascii="宋体" w:hAnsi="宋体" w:eastAsia="宋体" w:cs="宋体"/>
          <w:sz w:val="24"/>
          <w:szCs w:val="24"/>
        </w:rPr>
        <w:t>由</w:t>
      </w:r>
      <w:r>
        <w:rPr>
          <w:rFonts w:hint="eastAsia" w:ascii="宋体" w:hAnsi="宋体" w:eastAsia="宋体" w:cs="宋体"/>
          <w:sz w:val="24"/>
          <w:szCs w:val="24"/>
          <w:lang w:eastAsia="zh-CN"/>
        </w:rPr>
        <w:t>竞标</w:t>
      </w:r>
      <w:r>
        <w:rPr>
          <w:rFonts w:hint="eastAsia" w:ascii="宋体" w:hAnsi="宋体" w:eastAsia="宋体" w:cs="宋体"/>
          <w:sz w:val="24"/>
          <w:szCs w:val="24"/>
        </w:rPr>
        <w:t>邀请书</w:t>
      </w:r>
      <w:r>
        <w:rPr>
          <w:rFonts w:hint="eastAsia" w:ascii="宋体" w:hAnsi="宋体" w:cs="宋体"/>
          <w:sz w:val="24"/>
          <w:szCs w:val="24"/>
          <w:lang w:eastAsia="zh-CN"/>
        </w:rPr>
        <w:t>、</w:t>
      </w:r>
      <w:r>
        <w:rPr>
          <w:rFonts w:hint="eastAsia" w:ascii="宋体" w:hAnsi="宋体" w:eastAsia="宋体" w:cs="宋体"/>
          <w:sz w:val="24"/>
          <w:szCs w:val="24"/>
          <w:lang w:val="en-US" w:eastAsia="zh-CN"/>
        </w:rPr>
        <w:t>比选项目技术（质量）需求</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服务</w:t>
      </w:r>
      <w:r>
        <w:rPr>
          <w:rFonts w:hint="eastAsia" w:ascii="宋体" w:hAnsi="宋体" w:eastAsia="宋体" w:cs="宋体"/>
          <w:sz w:val="24"/>
          <w:szCs w:val="24"/>
          <w:lang w:val="en-US" w:eastAsia="zh-CN"/>
        </w:rPr>
        <w:t>要求</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资格审查及评标办法</w:t>
      </w:r>
      <w:r>
        <w:rPr>
          <w:rFonts w:hint="eastAsia" w:ascii="宋体" w:hAnsi="宋体" w:cs="宋体"/>
          <w:sz w:val="24"/>
          <w:szCs w:val="24"/>
          <w:lang w:val="en-US" w:eastAsia="zh-CN"/>
        </w:rPr>
        <w:t>、竞选人</w:t>
      </w:r>
      <w:r>
        <w:rPr>
          <w:rFonts w:hint="eastAsia" w:ascii="宋体" w:hAnsi="宋体" w:eastAsia="宋体" w:cs="宋体"/>
          <w:sz w:val="24"/>
          <w:szCs w:val="24"/>
          <w:lang w:val="en-US" w:eastAsia="zh-CN"/>
        </w:rPr>
        <w:t>须知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合同条款及格式</w:t>
      </w:r>
      <w:r>
        <w:rPr>
          <w:rFonts w:hint="eastAsia" w:ascii="宋体" w:hAnsi="宋体" w:cs="宋体"/>
          <w:sz w:val="24"/>
          <w:szCs w:val="24"/>
          <w:lang w:val="en-US" w:eastAsia="zh-CN"/>
        </w:rPr>
        <w:t>、比选申请文件</w:t>
      </w:r>
      <w:r>
        <w:rPr>
          <w:rFonts w:hint="eastAsia" w:ascii="宋体" w:hAnsi="宋体" w:eastAsia="宋体" w:cs="宋体"/>
          <w:sz w:val="24"/>
          <w:szCs w:val="24"/>
          <w:lang w:val="en-US" w:eastAsia="zh-CN"/>
        </w:rPr>
        <w:t>格式等七部分组成。</w:t>
      </w:r>
    </w:p>
    <w:p w14:paraId="791A7440">
      <w:pPr>
        <w:pageBreakBefore w:val="0"/>
        <w:kinsoku/>
        <w:wordWrap/>
        <w:overflowPunct/>
        <w:topLinePunct w:val="0"/>
        <w:autoSpaceDE/>
        <w:autoSpaceDN/>
        <w:bidi w:val="0"/>
        <w:adjustRightInd w:val="0"/>
        <w:snapToGrid w:val="0"/>
        <w:spacing w:line="360" w:lineRule="auto"/>
        <w:ind w:right="0" w:rightChars="0" w:firstLine="480" w:firstLineChars="200"/>
        <w:jc w:val="both"/>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代理机构对</w:t>
      </w:r>
      <w:r>
        <w:rPr>
          <w:rFonts w:hint="eastAsia" w:ascii="宋体" w:hAnsi="宋体" w:cs="宋体"/>
          <w:sz w:val="24"/>
          <w:szCs w:val="24"/>
          <w:lang w:eastAsia="zh-CN"/>
        </w:rPr>
        <w:t>竞争性比选文件</w:t>
      </w:r>
      <w:r>
        <w:rPr>
          <w:rFonts w:hint="eastAsia" w:ascii="宋体" w:hAnsi="宋体" w:eastAsia="宋体" w:cs="宋体"/>
          <w:sz w:val="24"/>
          <w:szCs w:val="24"/>
        </w:rPr>
        <w:t>所作的一切有效的书面通知、修改及补充，都是</w:t>
      </w:r>
      <w:r>
        <w:rPr>
          <w:rFonts w:hint="eastAsia" w:ascii="宋体" w:hAnsi="宋体" w:cs="宋体"/>
          <w:sz w:val="24"/>
          <w:szCs w:val="24"/>
          <w:lang w:eastAsia="zh-CN"/>
        </w:rPr>
        <w:t>竞争性比选文件</w:t>
      </w:r>
      <w:r>
        <w:rPr>
          <w:rFonts w:hint="eastAsia" w:ascii="宋体" w:hAnsi="宋体" w:eastAsia="宋体" w:cs="宋体"/>
          <w:sz w:val="24"/>
          <w:szCs w:val="24"/>
        </w:rPr>
        <w:t>不可分割的部分。</w:t>
      </w:r>
    </w:p>
    <w:p w14:paraId="27D2B473">
      <w:pPr>
        <w:pageBreakBefore w:val="0"/>
        <w:kinsoku/>
        <w:wordWrap/>
        <w:overflowPunct/>
        <w:topLinePunct w:val="0"/>
        <w:autoSpaceDE/>
        <w:autoSpaceDN/>
        <w:bidi w:val="0"/>
        <w:adjustRightInd w:val="0"/>
        <w:snapToGrid w:val="0"/>
        <w:spacing w:line="360" w:lineRule="auto"/>
        <w:ind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三</w:t>
      </w:r>
      <w:r>
        <w:rPr>
          <w:rFonts w:hint="eastAsia" w:ascii="宋体" w:hAnsi="宋体" w:cs="宋体"/>
          <w:sz w:val="24"/>
          <w:szCs w:val="24"/>
          <w:lang w:eastAsia="zh-CN"/>
        </w:rPr>
        <w:t>）</w:t>
      </w:r>
      <w:r>
        <w:rPr>
          <w:rFonts w:hint="eastAsia" w:ascii="宋体" w:hAnsi="宋体" w:eastAsia="宋体" w:cs="宋体"/>
          <w:sz w:val="24"/>
          <w:szCs w:val="24"/>
        </w:rPr>
        <w:t>本项目的</w:t>
      </w:r>
      <w:r>
        <w:rPr>
          <w:rFonts w:hint="eastAsia" w:ascii="宋体" w:hAnsi="宋体" w:cs="宋体"/>
          <w:sz w:val="24"/>
          <w:szCs w:val="24"/>
          <w:lang w:eastAsia="zh-CN"/>
        </w:rPr>
        <w:t>竞争性比选文件</w:t>
      </w:r>
      <w:r>
        <w:rPr>
          <w:rFonts w:hint="eastAsia" w:ascii="宋体" w:hAnsi="宋体" w:eastAsia="宋体" w:cs="宋体"/>
          <w:sz w:val="24"/>
          <w:szCs w:val="24"/>
        </w:rPr>
        <w:t>、澄清文件(如果有)一律在</w:t>
      </w:r>
      <w:r>
        <w:rPr>
          <w:rFonts w:hint="eastAsia" w:ascii="宋体" w:hAnsi="宋体" w:cs="宋体"/>
          <w:sz w:val="24"/>
          <w:szCs w:val="24"/>
        </w:rPr>
        <w:t>“行采家”平台（http://www.gec123.com）</w:t>
      </w:r>
      <w:r>
        <w:rPr>
          <w:rFonts w:hint="eastAsia" w:ascii="宋体" w:hAnsi="宋体" w:eastAsia="宋体" w:cs="宋体"/>
          <w:sz w:val="24"/>
          <w:szCs w:val="24"/>
          <w:lang w:eastAsia="zh-CN"/>
        </w:rPr>
        <w:t>网</w:t>
      </w:r>
      <w:r>
        <w:rPr>
          <w:rFonts w:hint="eastAsia" w:ascii="宋体" w:hAnsi="宋体" w:eastAsia="宋体" w:cs="宋体"/>
          <w:sz w:val="24"/>
          <w:szCs w:val="24"/>
        </w:rPr>
        <w:t>上发布，请各</w:t>
      </w:r>
      <w:r>
        <w:rPr>
          <w:rFonts w:hint="eastAsia" w:ascii="宋体" w:hAnsi="宋体" w:cs="宋体"/>
          <w:sz w:val="24"/>
          <w:szCs w:val="24"/>
          <w:lang w:eastAsia="zh-CN"/>
        </w:rPr>
        <w:t>竞选人</w:t>
      </w:r>
      <w:r>
        <w:rPr>
          <w:rFonts w:hint="eastAsia" w:ascii="宋体" w:hAnsi="宋体" w:eastAsia="宋体" w:cs="宋体"/>
          <w:sz w:val="24"/>
          <w:szCs w:val="24"/>
        </w:rPr>
        <w:t>注意下载或到</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代理机构处领取</w:t>
      </w:r>
      <w:r>
        <w:rPr>
          <w:rFonts w:hint="eastAsia" w:ascii="宋体" w:hAnsi="宋体" w:cs="宋体"/>
          <w:sz w:val="24"/>
          <w:szCs w:val="24"/>
          <w:lang w:eastAsia="zh-CN"/>
        </w:rPr>
        <w:t>，</w:t>
      </w:r>
      <w:r>
        <w:rPr>
          <w:rFonts w:hint="eastAsia" w:ascii="宋体" w:hAnsi="宋体" w:eastAsia="宋体" w:cs="宋体"/>
          <w:sz w:val="24"/>
          <w:szCs w:val="24"/>
        </w:rPr>
        <w:t>无论</w:t>
      </w:r>
      <w:r>
        <w:rPr>
          <w:rFonts w:hint="eastAsia" w:ascii="宋体" w:hAnsi="宋体" w:cs="宋体"/>
          <w:sz w:val="24"/>
          <w:szCs w:val="24"/>
          <w:lang w:eastAsia="zh-CN"/>
        </w:rPr>
        <w:t>竞选人</w:t>
      </w:r>
      <w:r>
        <w:rPr>
          <w:rFonts w:hint="eastAsia" w:ascii="宋体" w:hAnsi="宋体" w:eastAsia="宋体" w:cs="宋体"/>
          <w:sz w:val="24"/>
          <w:szCs w:val="24"/>
        </w:rPr>
        <w:t>下载或领取与否，均视同</w:t>
      </w:r>
      <w:r>
        <w:rPr>
          <w:rFonts w:hint="eastAsia" w:ascii="宋体" w:hAnsi="宋体" w:cs="宋体"/>
          <w:sz w:val="24"/>
          <w:szCs w:val="24"/>
          <w:lang w:eastAsia="zh-CN"/>
        </w:rPr>
        <w:t>竞选人</w:t>
      </w:r>
      <w:r>
        <w:rPr>
          <w:rFonts w:hint="eastAsia" w:ascii="宋体" w:hAnsi="宋体" w:eastAsia="宋体" w:cs="宋体"/>
          <w:sz w:val="24"/>
          <w:szCs w:val="24"/>
        </w:rPr>
        <w:t>已知晓本项目</w:t>
      </w:r>
      <w:r>
        <w:rPr>
          <w:rFonts w:hint="eastAsia" w:ascii="宋体" w:hAnsi="宋体" w:cs="宋体"/>
          <w:sz w:val="24"/>
          <w:szCs w:val="24"/>
          <w:lang w:eastAsia="zh-CN"/>
        </w:rPr>
        <w:t>竞争性比选文件</w:t>
      </w:r>
      <w:r>
        <w:rPr>
          <w:rFonts w:hint="eastAsia" w:ascii="宋体" w:hAnsi="宋体" w:eastAsia="宋体" w:cs="宋体"/>
          <w:sz w:val="24"/>
          <w:szCs w:val="24"/>
        </w:rPr>
        <w:t>、澄清文件的内容。</w:t>
      </w:r>
    </w:p>
    <w:p w14:paraId="677BF2DD">
      <w:pPr>
        <w:pageBreakBefore w:val="0"/>
        <w:numPr>
          <w:ilvl w:val="0"/>
          <w:numId w:val="0"/>
        </w:numPr>
        <w:kinsoku/>
        <w:wordWrap/>
        <w:overflowPunct/>
        <w:topLinePunct w:val="0"/>
        <w:autoSpaceDE/>
        <w:autoSpaceDN/>
        <w:bidi w:val="0"/>
        <w:adjustRightInd w:val="0"/>
        <w:snapToGrid w:val="0"/>
        <w:spacing w:line="360" w:lineRule="auto"/>
        <w:ind w:right="0" w:rightChars="0" w:firstLine="240" w:firstLineChars="1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四</w:t>
      </w:r>
      <w:r>
        <w:rPr>
          <w:rFonts w:hint="eastAsia" w:ascii="宋体" w:hAnsi="宋体" w:cs="宋体"/>
          <w:sz w:val="24"/>
          <w:szCs w:val="24"/>
          <w:lang w:eastAsia="zh-CN"/>
        </w:rPr>
        <w:t>）</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代理机构对已发出的</w:t>
      </w:r>
      <w:r>
        <w:rPr>
          <w:rFonts w:hint="eastAsia" w:ascii="宋体" w:hAnsi="宋体" w:cs="宋体"/>
          <w:sz w:val="24"/>
          <w:szCs w:val="24"/>
          <w:lang w:eastAsia="zh-CN"/>
        </w:rPr>
        <w:t>竞争性比选文件</w:t>
      </w:r>
      <w:r>
        <w:rPr>
          <w:rFonts w:hint="eastAsia" w:ascii="宋体" w:hAnsi="宋体" w:eastAsia="宋体" w:cs="宋体"/>
          <w:sz w:val="24"/>
          <w:szCs w:val="24"/>
        </w:rPr>
        <w:t>需要进行澄清或修改的，应以书面形式或公告形式通知所有</w:t>
      </w:r>
      <w:r>
        <w:rPr>
          <w:rFonts w:hint="eastAsia" w:ascii="宋体" w:hAnsi="宋体" w:cs="宋体"/>
          <w:sz w:val="24"/>
          <w:szCs w:val="24"/>
          <w:lang w:eastAsia="zh-CN"/>
        </w:rPr>
        <w:t>竞争性比选文件</w:t>
      </w:r>
      <w:r>
        <w:rPr>
          <w:rFonts w:hint="eastAsia" w:ascii="宋体" w:hAnsi="宋体" w:eastAsia="宋体" w:cs="宋体"/>
          <w:sz w:val="24"/>
          <w:szCs w:val="24"/>
        </w:rPr>
        <w:t>收受人。该澄清或者修改的内容为</w:t>
      </w:r>
      <w:r>
        <w:rPr>
          <w:rFonts w:hint="eastAsia" w:ascii="宋体" w:hAnsi="宋体" w:cs="宋体"/>
          <w:sz w:val="24"/>
          <w:szCs w:val="24"/>
          <w:lang w:eastAsia="zh-CN"/>
        </w:rPr>
        <w:t>竞争性比选文件</w:t>
      </w:r>
      <w:r>
        <w:rPr>
          <w:rFonts w:hint="eastAsia" w:ascii="宋体" w:hAnsi="宋体" w:eastAsia="宋体" w:cs="宋体"/>
          <w:sz w:val="24"/>
          <w:szCs w:val="24"/>
        </w:rPr>
        <w:t>的组成部分。</w:t>
      </w:r>
    </w:p>
    <w:p w14:paraId="3C03C352">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三、</w:t>
      </w:r>
      <w:r>
        <w:rPr>
          <w:rFonts w:hint="eastAsia" w:ascii="宋体" w:hAnsi="宋体" w:cs="宋体"/>
          <w:b/>
          <w:bCs/>
          <w:sz w:val="24"/>
          <w:szCs w:val="24"/>
          <w:lang w:eastAsia="zh-CN"/>
        </w:rPr>
        <w:t>比选申请文件</w:t>
      </w:r>
    </w:p>
    <w:p w14:paraId="06EE894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竞选人</w:t>
      </w:r>
      <w:r>
        <w:rPr>
          <w:rFonts w:hint="eastAsia" w:ascii="宋体" w:hAnsi="宋体" w:eastAsia="宋体" w:cs="宋体"/>
          <w:sz w:val="24"/>
          <w:szCs w:val="24"/>
        </w:rPr>
        <w:t>应当按照</w:t>
      </w:r>
      <w:r>
        <w:rPr>
          <w:rFonts w:hint="eastAsia" w:ascii="宋体" w:hAnsi="宋体" w:cs="宋体"/>
          <w:sz w:val="24"/>
          <w:szCs w:val="24"/>
          <w:lang w:eastAsia="zh-CN"/>
        </w:rPr>
        <w:t>竞争性比选文件</w:t>
      </w:r>
      <w:r>
        <w:rPr>
          <w:rFonts w:hint="eastAsia" w:ascii="宋体" w:hAnsi="宋体" w:eastAsia="宋体" w:cs="宋体"/>
          <w:sz w:val="24"/>
          <w:szCs w:val="24"/>
        </w:rPr>
        <w:t>的要求编制</w:t>
      </w:r>
      <w:r>
        <w:rPr>
          <w:rFonts w:hint="eastAsia" w:ascii="宋体" w:hAnsi="宋体" w:cs="宋体"/>
          <w:sz w:val="24"/>
          <w:szCs w:val="24"/>
          <w:lang w:eastAsia="zh-CN"/>
        </w:rPr>
        <w:t>比选申请文件</w:t>
      </w:r>
      <w:r>
        <w:rPr>
          <w:rFonts w:hint="eastAsia" w:ascii="宋体" w:hAnsi="宋体" w:eastAsia="宋体" w:cs="宋体"/>
          <w:sz w:val="24"/>
          <w:szCs w:val="24"/>
        </w:rPr>
        <w:t>，并对</w:t>
      </w:r>
      <w:r>
        <w:rPr>
          <w:rFonts w:hint="eastAsia" w:ascii="宋体" w:hAnsi="宋体" w:cs="宋体"/>
          <w:sz w:val="24"/>
          <w:szCs w:val="24"/>
          <w:lang w:eastAsia="zh-CN"/>
        </w:rPr>
        <w:t>竞争性比选文件</w:t>
      </w:r>
      <w:r>
        <w:rPr>
          <w:rFonts w:hint="eastAsia" w:ascii="宋体" w:hAnsi="宋体" w:eastAsia="宋体" w:cs="宋体"/>
          <w:sz w:val="24"/>
          <w:szCs w:val="24"/>
        </w:rPr>
        <w:t>提出的要求和条件作出实质性响应，</w:t>
      </w:r>
      <w:r>
        <w:rPr>
          <w:rFonts w:hint="eastAsia" w:ascii="宋体" w:hAnsi="宋体" w:cs="宋体"/>
          <w:sz w:val="24"/>
          <w:szCs w:val="24"/>
          <w:lang w:eastAsia="zh-CN"/>
        </w:rPr>
        <w:t>比选申请文件</w:t>
      </w:r>
      <w:r>
        <w:rPr>
          <w:rFonts w:hint="eastAsia" w:ascii="宋体" w:hAnsi="宋体" w:eastAsia="宋体" w:cs="宋体"/>
          <w:sz w:val="24"/>
          <w:szCs w:val="24"/>
        </w:rPr>
        <w:t>原则上采用软面订本，同时应编制完整的页码、目录。</w:t>
      </w:r>
    </w:p>
    <w:p w14:paraId="7943C51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cs="宋体"/>
          <w:sz w:val="24"/>
          <w:szCs w:val="24"/>
          <w:lang w:eastAsia="zh-CN"/>
        </w:rPr>
        <w:t>比选申请文件</w:t>
      </w:r>
      <w:r>
        <w:rPr>
          <w:rFonts w:hint="eastAsia" w:ascii="宋体" w:hAnsi="宋体" w:eastAsia="宋体" w:cs="宋体"/>
          <w:sz w:val="24"/>
          <w:szCs w:val="24"/>
        </w:rPr>
        <w:t>组成</w:t>
      </w:r>
    </w:p>
    <w:p w14:paraId="0D39B16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比选申请文件</w:t>
      </w:r>
      <w:r>
        <w:rPr>
          <w:rFonts w:hint="eastAsia" w:ascii="宋体" w:hAnsi="宋体" w:eastAsia="宋体" w:cs="宋体"/>
          <w:sz w:val="24"/>
          <w:szCs w:val="24"/>
        </w:rPr>
        <w:t>由</w:t>
      </w:r>
      <w:r>
        <w:rPr>
          <w:rFonts w:hint="eastAsia" w:ascii="宋体" w:hAnsi="宋体" w:cs="宋体"/>
          <w:sz w:val="24"/>
          <w:szCs w:val="24"/>
          <w:lang w:eastAsia="zh-CN"/>
        </w:rPr>
        <w:t>第七篇</w:t>
      </w:r>
      <w:r>
        <w:rPr>
          <w:rFonts w:hint="eastAsia" w:ascii="宋体" w:hAnsi="宋体" w:eastAsia="宋体" w:cs="宋体"/>
          <w:sz w:val="24"/>
          <w:szCs w:val="24"/>
        </w:rPr>
        <w:t>“</w:t>
      </w:r>
      <w:r>
        <w:rPr>
          <w:rFonts w:hint="eastAsia" w:ascii="宋体" w:hAnsi="宋体" w:cs="宋体"/>
          <w:sz w:val="24"/>
          <w:szCs w:val="24"/>
          <w:lang w:eastAsia="zh-CN"/>
        </w:rPr>
        <w:t>比选申请文件</w:t>
      </w:r>
      <w:r>
        <w:rPr>
          <w:rFonts w:hint="eastAsia" w:ascii="宋体" w:hAnsi="宋体" w:eastAsia="宋体" w:cs="宋体"/>
          <w:sz w:val="24"/>
          <w:szCs w:val="24"/>
        </w:rPr>
        <w:t>格式”规定的部分和</w:t>
      </w:r>
      <w:r>
        <w:rPr>
          <w:rFonts w:hint="eastAsia" w:ascii="宋体" w:hAnsi="宋体" w:cs="宋体"/>
          <w:sz w:val="24"/>
          <w:szCs w:val="24"/>
          <w:lang w:eastAsia="zh-CN"/>
        </w:rPr>
        <w:t>竞选人</w:t>
      </w:r>
      <w:r>
        <w:rPr>
          <w:rFonts w:hint="eastAsia" w:ascii="宋体" w:hAnsi="宋体" w:eastAsia="宋体" w:cs="宋体"/>
          <w:sz w:val="24"/>
          <w:szCs w:val="24"/>
        </w:rPr>
        <w:t>所作的一切有效补充、修改和承诺等文件组成，</w:t>
      </w:r>
      <w:r>
        <w:rPr>
          <w:rFonts w:hint="eastAsia" w:ascii="宋体" w:hAnsi="宋体" w:cs="宋体"/>
          <w:sz w:val="24"/>
          <w:szCs w:val="24"/>
          <w:lang w:eastAsia="zh-CN"/>
        </w:rPr>
        <w:t>竞选人</w:t>
      </w:r>
      <w:r>
        <w:rPr>
          <w:rFonts w:hint="eastAsia" w:ascii="宋体" w:hAnsi="宋体" w:eastAsia="宋体" w:cs="宋体"/>
          <w:sz w:val="24"/>
          <w:szCs w:val="24"/>
        </w:rPr>
        <w:t>应按照</w:t>
      </w:r>
      <w:r>
        <w:rPr>
          <w:rFonts w:hint="eastAsia" w:ascii="宋体" w:hAnsi="宋体" w:cs="宋体"/>
          <w:sz w:val="24"/>
          <w:szCs w:val="24"/>
          <w:lang w:eastAsia="zh-CN"/>
        </w:rPr>
        <w:t>第七篇</w:t>
      </w:r>
      <w:r>
        <w:rPr>
          <w:rFonts w:hint="eastAsia" w:ascii="宋体" w:hAnsi="宋体" w:eastAsia="宋体" w:cs="宋体"/>
          <w:sz w:val="24"/>
          <w:szCs w:val="24"/>
        </w:rPr>
        <w:t>“</w:t>
      </w:r>
      <w:r>
        <w:rPr>
          <w:rFonts w:hint="eastAsia" w:ascii="宋体" w:hAnsi="宋体" w:cs="宋体"/>
          <w:sz w:val="24"/>
          <w:szCs w:val="24"/>
          <w:lang w:eastAsia="zh-CN"/>
        </w:rPr>
        <w:t>比选申请文件</w:t>
      </w:r>
      <w:r>
        <w:rPr>
          <w:rFonts w:hint="eastAsia" w:ascii="宋体" w:hAnsi="宋体" w:eastAsia="宋体" w:cs="宋体"/>
          <w:sz w:val="24"/>
          <w:szCs w:val="24"/>
        </w:rPr>
        <w:t>格式”规定的目录顺序组织编写和装订，否则有可能影响评委对</w:t>
      </w:r>
      <w:r>
        <w:rPr>
          <w:rFonts w:hint="eastAsia" w:ascii="宋体" w:hAnsi="宋体" w:cs="宋体"/>
          <w:sz w:val="24"/>
          <w:szCs w:val="24"/>
          <w:lang w:eastAsia="zh-CN"/>
        </w:rPr>
        <w:t>比选申请文件</w:t>
      </w:r>
      <w:r>
        <w:rPr>
          <w:rFonts w:hint="eastAsia" w:ascii="宋体" w:hAnsi="宋体" w:eastAsia="宋体" w:cs="宋体"/>
          <w:sz w:val="24"/>
          <w:szCs w:val="24"/>
        </w:rPr>
        <w:t>的评审。</w:t>
      </w:r>
    </w:p>
    <w:p w14:paraId="48D2042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(二)联合</w:t>
      </w:r>
      <w:r>
        <w:rPr>
          <w:rFonts w:hint="eastAsia" w:ascii="宋体" w:hAnsi="宋体" w:eastAsia="宋体" w:cs="宋体"/>
          <w:sz w:val="24"/>
          <w:szCs w:val="24"/>
          <w:lang w:eastAsia="zh-CN"/>
        </w:rPr>
        <w:t>竞标</w:t>
      </w:r>
    </w:p>
    <w:p w14:paraId="2DC03D6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本项目不接受联合体参与</w:t>
      </w:r>
      <w:r>
        <w:rPr>
          <w:rFonts w:hint="eastAsia" w:ascii="宋体" w:hAnsi="宋体" w:eastAsia="宋体" w:cs="宋体"/>
          <w:sz w:val="24"/>
          <w:szCs w:val="24"/>
          <w:lang w:eastAsia="zh-CN"/>
        </w:rPr>
        <w:t>竞标</w:t>
      </w:r>
      <w:r>
        <w:rPr>
          <w:rFonts w:hint="eastAsia" w:ascii="宋体" w:hAnsi="宋体" w:eastAsia="宋体" w:cs="宋体"/>
          <w:sz w:val="24"/>
          <w:szCs w:val="24"/>
        </w:rPr>
        <w:t>。</w:t>
      </w:r>
    </w:p>
    <w:p w14:paraId="2593B42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eastAsia="宋体" w:cs="宋体"/>
          <w:sz w:val="24"/>
          <w:szCs w:val="24"/>
          <w:lang w:eastAsia="zh-CN"/>
        </w:rPr>
        <w:t>竞标</w:t>
      </w:r>
      <w:r>
        <w:rPr>
          <w:rFonts w:hint="eastAsia" w:ascii="宋体" w:hAnsi="宋体" w:eastAsia="宋体" w:cs="宋体"/>
          <w:sz w:val="24"/>
          <w:szCs w:val="24"/>
        </w:rPr>
        <w:t>有效期</w:t>
      </w:r>
    </w:p>
    <w:p w14:paraId="203E779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竞标</w:t>
      </w:r>
      <w:r>
        <w:rPr>
          <w:rFonts w:hint="eastAsia" w:ascii="宋体" w:hAnsi="宋体" w:eastAsia="宋体" w:cs="宋体"/>
          <w:sz w:val="24"/>
          <w:szCs w:val="24"/>
        </w:rPr>
        <w:t>有效期为</w:t>
      </w:r>
      <w:r>
        <w:rPr>
          <w:rFonts w:hint="eastAsia" w:ascii="宋体" w:hAnsi="宋体" w:eastAsia="宋体" w:cs="宋体"/>
          <w:sz w:val="24"/>
          <w:szCs w:val="24"/>
          <w:lang w:eastAsia="zh-CN"/>
        </w:rPr>
        <w:t>竞标</w:t>
      </w:r>
      <w:r>
        <w:rPr>
          <w:rFonts w:hint="eastAsia" w:ascii="宋体" w:hAnsi="宋体" w:eastAsia="宋体" w:cs="宋体"/>
          <w:sz w:val="24"/>
          <w:szCs w:val="24"/>
        </w:rPr>
        <w:t>截止时间起90天内。</w:t>
      </w:r>
    </w:p>
    <w:p w14:paraId="6FBBB26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(四)</w:t>
      </w:r>
      <w:r>
        <w:rPr>
          <w:rFonts w:hint="eastAsia" w:ascii="宋体" w:hAnsi="宋体" w:eastAsia="宋体" w:cs="宋体"/>
          <w:sz w:val="24"/>
          <w:szCs w:val="24"/>
          <w:lang w:eastAsia="zh-CN"/>
        </w:rPr>
        <w:t>竞标</w:t>
      </w:r>
      <w:r>
        <w:rPr>
          <w:rFonts w:hint="eastAsia" w:ascii="宋体" w:hAnsi="宋体" w:eastAsia="宋体" w:cs="宋体"/>
          <w:sz w:val="24"/>
          <w:szCs w:val="24"/>
        </w:rPr>
        <w:t>保证金</w:t>
      </w:r>
    </w:p>
    <w:p w14:paraId="0DA7DC1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cs="宋体"/>
          <w:sz w:val="24"/>
          <w:szCs w:val="24"/>
          <w:lang w:eastAsia="zh-CN"/>
        </w:rPr>
        <w:t>竞选人</w:t>
      </w:r>
      <w:r>
        <w:rPr>
          <w:rFonts w:hint="eastAsia" w:ascii="宋体" w:hAnsi="宋体" w:eastAsia="宋体" w:cs="宋体"/>
          <w:sz w:val="24"/>
          <w:szCs w:val="24"/>
        </w:rPr>
        <w:t>应在</w:t>
      </w:r>
      <w:r>
        <w:rPr>
          <w:rFonts w:hint="eastAsia" w:ascii="宋体" w:hAnsi="宋体" w:eastAsia="宋体" w:cs="宋体"/>
          <w:sz w:val="24"/>
          <w:szCs w:val="24"/>
          <w:lang w:eastAsia="zh-CN"/>
        </w:rPr>
        <w:t>竞标</w:t>
      </w:r>
      <w:r>
        <w:rPr>
          <w:rFonts w:hint="eastAsia" w:ascii="宋体" w:hAnsi="宋体" w:eastAsia="宋体" w:cs="宋体"/>
          <w:sz w:val="24"/>
          <w:szCs w:val="24"/>
        </w:rPr>
        <w:t>截止时间前，按</w:t>
      </w:r>
      <w:r>
        <w:rPr>
          <w:rFonts w:hint="eastAsia" w:ascii="宋体" w:hAnsi="宋体" w:cs="宋体"/>
          <w:sz w:val="24"/>
          <w:szCs w:val="24"/>
          <w:lang w:eastAsia="zh-CN"/>
        </w:rPr>
        <w:t>竞争性比选文件</w:t>
      </w:r>
      <w:r>
        <w:rPr>
          <w:rFonts w:hint="eastAsia" w:ascii="宋体" w:hAnsi="宋体" w:eastAsia="宋体" w:cs="宋体"/>
          <w:sz w:val="24"/>
          <w:szCs w:val="24"/>
        </w:rPr>
        <w:t>第一篇规定交纳</w:t>
      </w:r>
      <w:r>
        <w:rPr>
          <w:rFonts w:hint="eastAsia" w:ascii="宋体" w:hAnsi="宋体" w:eastAsia="宋体" w:cs="宋体"/>
          <w:sz w:val="24"/>
          <w:szCs w:val="24"/>
          <w:lang w:eastAsia="zh-CN"/>
        </w:rPr>
        <w:t>竞标</w:t>
      </w:r>
      <w:r>
        <w:rPr>
          <w:rFonts w:hint="eastAsia" w:ascii="宋体" w:hAnsi="宋体" w:eastAsia="宋体" w:cs="宋体"/>
          <w:sz w:val="24"/>
          <w:szCs w:val="24"/>
        </w:rPr>
        <w:t>保证金</w:t>
      </w:r>
      <w:r>
        <w:rPr>
          <w:rFonts w:hint="eastAsia" w:ascii="宋体" w:hAnsi="宋体" w:cs="宋体"/>
          <w:sz w:val="24"/>
          <w:szCs w:val="24"/>
          <w:lang w:eastAsia="zh-CN"/>
        </w:rPr>
        <w:t>；</w:t>
      </w:r>
    </w:p>
    <w:p w14:paraId="207EBA0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竞标</w:t>
      </w:r>
      <w:r>
        <w:rPr>
          <w:rFonts w:hint="eastAsia" w:ascii="宋体" w:hAnsi="宋体" w:eastAsia="宋体" w:cs="宋体"/>
          <w:sz w:val="24"/>
          <w:szCs w:val="24"/>
        </w:rPr>
        <w:t>保证金为</w:t>
      </w:r>
      <w:r>
        <w:rPr>
          <w:rFonts w:hint="eastAsia" w:ascii="宋体" w:hAnsi="宋体" w:eastAsia="宋体" w:cs="宋体"/>
          <w:sz w:val="24"/>
          <w:szCs w:val="24"/>
          <w:lang w:eastAsia="zh-CN"/>
        </w:rPr>
        <w:t>竞标</w:t>
      </w:r>
      <w:r>
        <w:rPr>
          <w:rFonts w:hint="eastAsia" w:ascii="宋体" w:hAnsi="宋体" w:eastAsia="宋体" w:cs="宋体"/>
          <w:sz w:val="24"/>
          <w:szCs w:val="24"/>
        </w:rPr>
        <w:t>的有效约束条件</w:t>
      </w:r>
      <w:r>
        <w:rPr>
          <w:rFonts w:hint="eastAsia" w:ascii="宋体" w:hAnsi="宋体" w:cs="宋体"/>
          <w:sz w:val="24"/>
          <w:szCs w:val="24"/>
          <w:lang w:eastAsia="zh-CN"/>
        </w:rPr>
        <w:t>；</w:t>
      </w:r>
    </w:p>
    <w:p w14:paraId="4D2557A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eastAsia="zh-CN"/>
        </w:rPr>
        <w:t>竞标</w:t>
      </w:r>
      <w:r>
        <w:rPr>
          <w:rFonts w:hint="eastAsia" w:ascii="宋体" w:hAnsi="宋体" w:eastAsia="宋体" w:cs="宋体"/>
          <w:sz w:val="24"/>
          <w:szCs w:val="24"/>
        </w:rPr>
        <w:t>保证金的有效期限在</w:t>
      </w:r>
      <w:r>
        <w:rPr>
          <w:rFonts w:hint="eastAsia" w:ascii="宋体" w:hAnsi="宋体" w:eastAsia="宋体" w:cs="宋体"/>
          <w:sz w:val="24"/>
          <w:szCs w:val="24"/>
          <w:lang w:eastAsia="zh-CN"/>
        </w:rPr>
        <w:t>竞标</w:t>
      </w:r>
      <w:r>
        <w:rPr>
          <w:rFonts w:hint="eastAsia" w:ascii="宋体" w:hAnsi="宋体" w:eastAsia="宋体" w:cs="宋体"/>
          <w:sz w:val="24"/>
          <w:szCs w:val="24"/>
        </w:rPr>
        <w:t>有效期过后三十天继续有效</w:t>
      </w:r>
      <w:r>
        <w:rPr>
          <w:rFonts w:hint="eastAsia" w:ascii="宋体" w:hAnsi="宋体" w:cs="宋体"/>
          <w:sz w:val="24"/>
          <w:szCs w:val="24"/>
          <w:lang w:eastAsia="zh-CN"/>
        </w:rPr>
        <w:t>；</w:t>
      </w:r>
    </w:p>
    <w:p w14:paraId="137DE2E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eastAsia="zh-CN"/>
        </w:rPr>
        <w:t>竞标</w:t>
      </w:r>
      <w:r>
        <w:rPr>
          <w:rFonts w:hint="eastAsia" w:ascii="宋体" w:hAnsi="宋体" w:eastAsia="宋体" w:cs="宋体"/>
          <w:sz w:val="24"/>
          <w:szCs w:val="24"/>
        </w:rPr>
        <w:t>保证金币种应与</w:t>
      </w:r>
      <w:r>
        <w:rPr>
          <w:rFonts w:hint="eastAsia" w:ascii="宋体" w:hAnsi="宋体" w:eastAsia="宋体" w:cs="宋体"/>
          <w:sz w:val="24"/>
          <w:szCs w:val="24"/>
          <w:lang w:eastAsia="zh-CN"/>
        </w:rPr>
        <w:t>竞标</w:t>
      </w:r>
      <w:r>
        <w:rPr>
          <w:rFonts w:hint="eastAsia" w:ascii="宋体" w:hAnsi="宋体" w:eastAsia="宋体" w:cs="宋体"/>
          <w:sz w:val="24"/>
          <w:szCs w:val="24"/>
        </w:rPr>
        <w:t>报价币种相同</w:t>
      </w:r>
      <w:r>
        <w:rPr>
          <w:rFonts w:hint="eastAsia" w:ascii="宋体" w:hAnsi="宋体" w:cs="宋体"/>
          <w:sz w:val="24"/>
          <w:szCs w:val="24"/>
          <w:lang w:eastAsia="zh-CN"/>
        </w:rPr>
        <w:t>；</w:t>
      </w:r>
    </w:p>
    <w:p w14:paraId="6E5FEEE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cs="宋体"/>
          <w:sz w:val="24"/>
          <w:szCs w:val="24"/>
          <w:lang w:val="en-US" w:eastAsia="zh-CN"/>
        </w:rPr>
        <w:t>中选</w:t>
      </w:r>
      <w:r>
        <w:rPr>
          <w:rFonts w:hint="eastAsia" w:ascii="宋体" w:hAnsi="宋体" w:eastAsia="宋体" w:cs="宋体"/>
          <w:sz w:val="24"/>
          <w:szCs w:val="24"/>
          <w:lang w:eastAsia="zh-CN"/>
        </w:rPr>
        <w:t>通知书</w:t>
      </w:r>
      <w:r>
        <w:rPr>
          <w:rFonts w:hint="eastAsia" w:ascii="宋体" w:hAnsi="宋体" w:eastAsia="宋体" w:cs="宋体"/>
          <w:sz w:val="24"/>
          <w:szCs w:val="24"/>
        </w:rPr>
        <w:t>》发出后，由</w:t>
      </w:r>
      <w:r>
        <w:rPr>
          <w:rFonts w:hint="eastAsia" w:ascii="宋体" w:hAnsi="宋体" w:eastAsia="宋体" w:cs="宋体"/>
          <w:sz w:val="24"/>
          <w:szCs w:val="24"/>
          <w:lang w:eastAsia="zh-CN"/>
        </w:rPr>
        <w:t>代理机构在</w:t>
      </w:r>
      <w:r>
        <w:rPr>
          <w:rFonts w:hint="eastAsia" w:ascii="宋体" w:hAnsi="宋体" w:eastAsia="宋体" w:cs="宋体"/>
          <w:sz w:val="24"/>
          <w:szCs w:val="24"/>
        </w:rPr>
        <w:t>五个工作日内退还未中标人的投</w:t>
      </w:r>
      <w:r>
        <w:rPr>
          <w:rFonts w:hint="eastAsia" w:ascii="宋体" w:hAnsi="宋体" w:eastAsia="宋体" w:cs="宋体"/>
          <w:sz w:val="24"/>
          <w:szCs w:val="24"/>
          <w:lang w:eastAsia="zh-CN"/>
        </w:rPr>
        <w:t>标</w:t>
      </w:r>
      <w:r>
        <w:rPr>
          <w:rFonts w:hint="eastAsia" w:ascii="宋体" w:hAnsi="宋体" w:eastAsia="宋体" w:cs="宋体"/>
          <w:sz w:val="24"/>
          <w:szCs w:val="24"/>
        </w:rPr>
        <w:t>保证金</w:t>
      </w:r>
      <w:r>
        <w:rPr>
          <w:rFonts w:hint="eastAsia" w:ascii="宋体" w:hAnsi="宋体" w:cs="宋体"/>
          <w:sz w:val="24"/>
          <w:szCs w:val="24"/>
          <w:lang w:eastAsia="zh-CN"/>
        </w:rPr>
        <w:t>，</w:t>
      </w:r>
      <w:r>
        <w:rPr>
          <w:rFonts w:hint="eastAsia" w:ascii="宋体" w:hAnsi="宋体" w:eastAsia="宋体" w:cs="宋体"/>
          <w:sz w:val="24"/>
          <w:szCs w:val="24"/>
        </w:rPr>
        <w:t>在采购合同签订后，由</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lang w:eastAsia="zh-CN"/>
        </w:rPr>
        <w:t>代理机构</w:t>
      </w:r>
      <w:r>
        <w:rPr>
          <w:rFonts w:hint="eastAsia" w:ascii="宋体" w:hAnsi="宋体" w:eastAsia="宋体" w:cs="宋体"/>
          <w:sz w:val="24"/>
          <w:szCs w:val="24"/>
        </w:rPr>
        <w:t>五个工作日退还中标人的投</w:t>
      </w:r>
      <w:r>
        <w:rPr>
          <w:rFonts w:hint="eastAsia" w:ascii="宋体" w:hAnsi="宋体" w:eastAsia="宋体" w:cs="宋体"/>
          <w:sz w:val="24"/>
          <w:szCs w:val="24"/>
          <w:lang w:eastAsia="zh-CN"/>
        </w:rPr>
        <w:t>标</w:t>
      </w:r>
      <w:r>
        <w:rPr>
          <w:rFonts w:hint="eastAsia" w:ascii="宋体" w:hAnsi="宋体" w:eastAsia="宋体" w:cs="宋体"/>
          <w:sz w:val="24"/>
          <w:szCs w:val="24"/>
        </w:rPr>
        <w:t>保证金</w:t>
      </w:r>
      <w:r>
        <w:rPr>
          <w:rFonts w:hint="eastAsia" w:ascii="宋体" w:hAnsi="宋体" w:cs="宋体"/>
          <w:sz w:val="24"/>
          <w:szCs w:val="24"/>
          <w:lang w:eastAsia="zh-CN"/>
        </w:rPr>
        <w:t>；</w:t>
      </w:r>
    </w:p>
    <w:p w14:paraId="4B17C42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cs="宋体"/>
          <w:sz w:val="24"/>
          <w:szCs w:val="24"/>
          <w:lang w:eastAsia="zh-CN"/>
        </w:rPr>
        <w:t>竞选人</w:t>
      </w:r>
      <w:r>
        <w:rPr>
          <w:rFonts w:hint="eastAsia" w:ascii="宋体" w:hAnsi="宋体" w:eastAsia="宋体" w:cs="宋体"/>
          <w:sz w:val="24"/>
          <w:szCs w:val="24"/>
        </w:rPr>
        <w:t>有下列情形之一的，</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人或者</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代理机构可以不退还</w:t>
      </w:r>
      <w:r>
        <w:rPr>
          <w:rFonts w:hint="eastAsia" w:ascii="宋体" w:hAnsi="宋体" w:eastAsia="宋体" w:cs="宋体"/>
          <w:sz w:val="24"/>
          <w:szCs w:val="24"/>
          <w:lang w:eastAsia="zh-CN"/>
        </w:rPr>
        <w:t>竞标</w:t>
      </w:r>
      <w:r>
        <w:rPr>
          <w:rFonts w:hint="eastAsia" w:ascii="宋体" w:hAnsi="宋体" w:eastAsia="宋体" w:cs="宋体"/>
          <w:sz w:val="24"/>
          <w:szCs w:val="24"/>
        </w:rPr>
        <w:t>保证金:</w:t>
      </w:r>
    </w:p>
    <w:p w14:paraId="31FAB75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 xml:space="preserve">6.1 </w:t>
      </w:r>
      <w:r>
        <w:rPr>
          <w:rFonts w:hint="eastAsia" w:ascii="宋体" w:hAnsi="宋体" w:cs="宋体"/>
          <w:sz w:val="24"/>
          <w:szCs w:val="24"/>
          <w:lang w:eastAsia="zh-CN"/>
        </w:rPr>
        <w:t>竞选人</w:t>
      </w:r>
      <w:r>
        <w:rPr>
          <w:rFonts w:hint="eastAsia" w:ascii="宋体" w:hAnsi="宋体" w:eastAsia="宋体" w:cs="宋体"/>
          <w:sz w:val="24"/>
          <w:szCs w:val="24"/>
        </w:rPr>
        <w:t>在</w:t>
      </w:r>
      <w:r>
        <w:rPr>
          <w:rFonts w:hint="eastAsia" w:ascii="宋体" w:hAnsi="宋体" w:eastAsia="宋体" w:cs="宋体"/>
          <w:sz w:val="24"/>
          <w:szCs w:val="24"/>
          <w:lang w:eastAsia="zh-CN"/>
        </w:rPr>
        <w:t>竞标</w:t>
      </w:r>
      <w:r>
        <w:rPr>
          <w:rFonts w:hint="eastAsia" w:ascii="宋体" w:hAnsi="宋体" w:eastAsia="宋体" w:cs="宋体"/>
          <w:sz w:val="24"/>
          <w:szCs w:val="24"/>
        </w:rPr>
        <w:t>有效期</w:t>
      </w:r>
      <w:r>
        <w:rPr>
          <w:rFonts w:hint="eastAsia" w:ascii="宋体" w:hAnsi="宋体" w:eastAsia="宋体" w:cs="宋体"/>
          <w:sz w:val="24"/>
          <w:szCs w:val="24"/>
          <w:lang w:eastAsia="zh-CN"/>
        </w:rPr>
        <w:t>内</w:t>
      </w:r>
      <w:r>
        <w:rPr>
          <w:rFonts w:hint="eastAsia" w:ascii="宋体" w:hAnsi="宋体" w:eastAsia="宋体" w:cs="宋体"/>
          <w:sz w:val="24"/>
          <w:szCs w:val="24"/>
        </w:rPr>
        <w:t>撤回</w:t>
      </w:r>
      <w:r>
        <w:rPr>
          <w:rFonts w:hint="eastAsia" w:ascii="宋体" w:hAnsi="宋体" w:cs="宋体"/>
          <w:sz w:val="24"/>
          <w:szCs w:val="24"/>
          <w:lang w:eastAsia="zh-CN"/>
        </w:rPr>
        <w:t>比选申请文件</w:t>
      </w:r>
      <w:r>
        <w:rPr>
          <w:rFonts w:hint="eastAsia" w:ascii="宋体" w:hAnsi="宋体" w:eastAsia="宋体" w:cs="宋体"/>
          <w:sz w:val="24"/>
          <w:szCs w:val="24"/>
        </w:rPr>
        <w:t>的</w:t>
      </w:r>
      <w:r>
        <w:rPr>
          <w:rFonts w:hint="eastAsia" w:ascii="宋体" w:hAnsi="宋体" w:cs="宋体"/>
          <w:sz w:val="24"/>
          <w:szCs w:val="24"/>
          <w:lang w:eastAsia="zh-CN"/>
        </w:rPr>
        <w:t>；</w:t>
      </w:r>
    </w:p>
    <w:p w14:paraId="3A2566C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 xml:space="preserve">6.2 </w:t>
      </w:r>
      <w:r>
        <w:rPr>
          <w:rFonts w:hint="eastAsia" w:ascii="宋体" w:hAnsi="宋体" w:cs="宋体"/>
          <w:sz w:val="24"/>
          <w:szCs w:val="24"/>
          <w:lang w:eastAsia="zh-CN"/>
        </w:rPr>
        <w:t>竞选人</w:t>
      </w:r>
      <w:r>
        <w:rPr>
          <w:rFonts w:hint="eastAsia" w:ascii="宋体" w:hAnsi="宋体" w:eastAsia="宋体" w:cs="宋体"/>
          <w:sz w:val="24"/>
          <w:szCs w:val="24"/>
        </w:rPr>
        <w:t>在</w:t>
      </w:r>
      <w:r>
        <w:rPr>
          <w:rFonts w:hint="eastAsia" w:ascii="宋体" w:hAnsi="宋体" w:eastAsia="宋体" w:cs="宋体"/>
          <w:sz w:val="24"/>
          <w:szCs w:val="24"/>
          <w:lang w:eastAsia="zh-CN"/>
        </w:rPr>
        <w:t>竞标</w:t>
      </w:r>
      <w:r>
        <w:rPr>
          <w:rFonts w:hint="eastAsia" w:ascii="宋体" w:hAnsi="宋体" w:eastAsia="宋体" w:cs="宋体"/>
          <w:sz w:val="24"/>
          <w:szCs w:val="24"/>
        </w:rPr>
        <w:t>过程中弄虚作假，提供虚假材料的</w:t>
      </w:r>
      <w:r>
        <w:rPr>
          <w:rFonts w:hint="eastAsia" w:ascii="宋体" w:hAnsi="宋体" w:cs="宋体"/>
          <w:sz w:val="24"/>
          <w:szCs w:val="24"/>
          <w:lang w:eastAsia="zh-CN"/>
        </w:rPr>
        <w:t>；</w:t>
      </w:r>
    </w:p>
    <w:p w14:paraId="71C3DCF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6.</w:t>
      </w:r>
      <w:r>
        <w:rPr>
          <w:rFonts w:hint="eastAsia" w:ascii="宋体" w:hAnsi="宋体" w:cs="宋体"/>
          <w:sz w:val="24"/>
          <w:szCs w:val="24"/>
          <w:lang w:val="en-US" w:eastAsia="zh-CN"/>
        </w:rPr>
        <w:t>3</w:t>
      </w:r>
      <w:r>
        <w:rPr>
          <w:rFonts w:hint="eastAsia" w:ascii="宋体" w:hAnsi="宋体" w:eastAsia="宋体" w:cs="宋体"/>
          <w:sz w:val="24"/>
          <w:szCs w:val="24"/>
        </w:rPr>
        <w:t xml:space="preserve"> 中标人无正当理由不与</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人签订合同的</w:t>
      </w:r>
      <w:r>
        <w:rPr>
          <w:rFonts w:hint="eastAsia" w:ascii="宋体" w:hAnsi="宋体" w:cs="宋体"/>
          <w:sz w:val="24"/>
          <w:szCs w:val="24"/>
          <w:lang w:eastAsia="zh-CN"/>
        </w:rPr>
        <w:t>；</w:t>
      </w:r>
    </w:p>
    <w:p w14:paraId="0A8000A2">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6.</w:t>
      </w:r>
      <w:r>
        <w:rPr>
          <w:rFonts w:hint="eastAsia" w:ascii="宋体" w:hAnsi="宋体" w:cs="宋体"/>
          <w:sz w:val="24"/>
          <w:szCs w:val="24"/>
          <w:lang w:val="en-US" w:eastAsia="zh-CN"/>
        </w:rPr>
        <w:t>4</w:t>
      </w:r>
      <w:r>
        <w:rPr>
          <w:rFonts w:hint="eastAsia" w:ascii="宋体" w:hAnsi="宋体" w:eastAsia="宋体" w:cs="宋体"/>
          <w:sz w:val="24"/>
          <w:szCs w:val="24"/>
        </w:rPr>
        <w:t xml:space="preserve"> 中标人将中标项目转让给他人或者在</w:t>
      </w:r>
      <w:r>
        <w:rPr>
          <w:rFonts w:hint="eastAsia" w:ascii="宋体" w:hAnsi="宋体" w:cs="宋体"/>
          <w:sz w:val="24"/>
          <w:szCs w:val="24"/>
          <w:lang w:eastAsia="zh-CN"/>
        </w:rPr>
        <w:t>比选申请文件</w:t>
      </w:r>
      <w:r>
        <w:rPr>
          <w:rFonts w:hint="eastAsia" w:ascii="宋体" w:hAnsi="宋体" w:eastAsia="宋体" w:cs="宋体"/>
          <w:sz w:val="24"/>
          <w:szCs w:val="24"/>
        </w:rPr>
        <w:t>中未说明且未经</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人同意，将中标项目分包给他人的</w:t>
      </w:r>
      <w:r>
        <w:rPr>
          <w:rFonts w:hint="eastAsia" w:ascii="宋体" w:hAnsi="宋体" w:cs="宋体"/>
          <w:sz w:val="24"/>
          <w:szCs w:val="24"/>
          <w:lang w:eastAsia="zh-CN"/>
        </w:rPr>
        <w:t>；</w:t>
      </w:r>
    </w:p>
    <w:p w14:paraId="714D848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6.</w:t>
      </w:r>
      <w:r>
        <w:rPr>
          <w:rFonts w:hint="eastAsia" w:ascii="宋体" w:hAnsi="宋体" w:cs="宋体"/>
          <w:sz w:val="24"/>
          <w:szCs w:val="24"/>
          <w:lang w:val="en-US" w:eastAsia="zh-CN"/>
        </w:rPr>
        <w:t>5</w:t>
      </w:r>
      <w:r>
        <w:rPr>
          <w:rFonts w:hint="eastAsia" w:ascii="宋体" w:hAnsi="宋体" w:eastAsia="宋体" w:cs="宋体"/>
          <w:sz w:val="24"/>
          <w:szCs w:val="24"/>
        </w:rPr>
        <w:t>中标人拒绝履行合同义务的</w:t>
      </w:r>
      <w:r>
        <w:rPr>
          <w:rFonts w:hint="eastAsia" w:ascii="宋体" w:hAnsi="宋体" w:eastAsia="宋体" w:cs="宋体"/>
          <w:sz w:val="24"/>
          <w:szCs w:val="24"/>
          <w:lang w:eastAsia="zh-CN"/>
        </w:rPr>
        <w:t>；</w:t>
      </w:r>
    </w:p>
    <w:p w14:paraId="318585C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cs="宋体"/>
          <w:sz w:val="24"/>
          <w:szCs w:val="24"/>
          <w:lang w:val="en-US" w:eastAsia="zh-CN"/>
        </w:rPr>
        <w:t>6</w:t>
      </w:r>
      <w:r>
        <w:rPr>
          <w:rFonts w:hint="eastAsia" w:ascii="宋体" w:hAnsi="宋体" w:eastAsia="宋体" w:cs="宋体"/>
          <w:sz w:val="24"/>
          <w:szCs w:val="24"/>
        </w:rPr>
        <w:t>其他严重扰乱招</w:t>
      </w:r>
      <w:r>
        <w:rPr>
          <w:rFonts w:hint="eastAsia" w:ascii="宋体" w:hAnsi="宋体" w:eastAsia="宋体" w:cs="宋体"/>
          <w:sz w:val="24"/>
          <w:szCs w:val="24"/>
          <w:lang w:eastAsia="zh-CN"/>
        </w:rPr>
        <w:t>竞标</w:t>
      </w:r>
      <w:r>
        <w:rPr>
          <w:rFonts w:hint="eastAsia" w:ascii="宋体" w:hAnsi="宋体" w:eastAsia="宋体" w:cs="宋体"/>
          <w:sz w:val="24"/>
          <w:szCs w:val="24"/>
        </w:rPr>
        <w:t>程序的。</w:t>
      </w:r>
    </w:p>
    <w:p w14:paraId="7A37846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（五）</w:t>
      </w:r>
      <w:r>
        <w:rPr>
          <w:rFonts w:hint="eastAsia" w:ascii="宋体" w:hAnsi="宋体" w:cs="宋体"/>
          <w:sz w:val="24"/>
          <w:szCs w:val="24"/>
          <w:lang w:eastAsia="zh-CN"/>
        </w:rPr>
        <w:t>比选申请文件</w:t>
      </w:r>
      <w:r>
        <w:rPr>
          <w:rFonts w:hint="eastAsia" w:ascii="宋体" w:hAnsi="宋体" w:eastAsia="宋体" w:cs="宋体"/>
          <w:sz w:val="24"/>
          <w:szCs w:val="24"/>
        </w:rPr>
        <w:t>的份数和签</w:t>
      </w:r>
      <w:r>
        <w:rPr>
          <w:rFonts w:hint="eastAsia" w:ascii="宋体" w:hAnsi="宋体" w:cs="宋体"/>
          <w:sz w:val="24"/>
          <w:szCs w:val="24"/>
          <w:lang w:eastAsia="zh-CN"/>
        </w:rPr>
        <w:t>字</w:t>
      </w:r>
    </w:p>
    <w:p w14:paraId="01E0DFD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cs="宋体"/>
          <w:sz w:val="24"/>
          <w:szCs w:val="24"/>
          <w:lang w:eastAsia="zh-CN"/>
        </w:rPr>
        <w:t>比选申请文件</w:t>
      </w:r>
      <w:r>
        <w:rPr>
          <w:rFonts w:hint="eastAsia" w:ascii="宋体" w:hAnsi="宋体" w:eastAsia="宋体" w:cs="宋体"/>
          <w:sz w:val="24"/>
          <w:szCs w:val="24"/>
        </w:rPr>
        <w:t>一式</w:t>
      </w:r>
      <w:r>
        <w:rPr>
          <w:rFonts w:hint="eastAsia" w:ascii="宋体" w:hAnsi="宋体" w:cs="宋体"/>
          <w:sz w:val="24"/>
          <w:szCs w:val="24"/>
          <w:lang w:val="en-US" w:eastAsia="zh-CN"/>
        </w:rPr>
        <w:t>三</w:t>
      </w:r>
      <w:r>
        <w:rPr>
          <w:rFonts w:hint="eastAsia" w:ascii="宋体" w:hAnsi="宋体" w:eastAsia="宋体" w:cs="宋体"/>
          <w:sz w:val="24"/>
          <w:szCs w:val="24"/>
        </w:rPr>
        <w:t>份，其中正本一份，副本</w:t>
      </w:r>
      <w:r>
        <w:rPr>
          <w:rFonts w:hint="eastAsia" w:ascii="宋体" w:hAnsi="宋体" w:cs="宋体"/>
          <w:sz w:val="24"/>
          <w:szCs w:val="24"/>
          <w:lang w:val="en-US" w:eastAsia="zh-CN"/>
        </w:rPr>
        <w:t>一</w:t>
      </w:r>
      <w:r>
        <w:rPr>
          <w:rFonts w:hint="eastAsia" w:ascii="宋体" w:hAnsi="宋体" w:eastAsia="宋体" w:cs="宋体"/>
          <w:sz w:val="24"/>
          <w:szCs w:val="24"/>
        </w:rPr>
        <w:t>份，电子文档一份(电子文档内容应与</w:t>
      </w:r>
      <w:r>
        <w:rPr>
          <w:rFonts w:hint="eastAsia" w:ascii="宋体" w:hAnsi="宋体" w:cs="宋体"/>
          <w:sz w:val="24"/>
          <w:szCs w:val="24"/>
          <w:lang w:eastAsia="zh-CN"/>
        </w:rPr>
        <w:t>比选申请文件</w:t>
      </w:r>
      <w:r>
        <w:rPr>
          <w:rFonts w:hint="eastAsia" w:ascii="宋体" w:hAnsi="宋体" w:eastAsia="宋体" w:cs="宋体"/>
          <w:sz w:val="24"/>
          <w:szCs w:val="24"/>
        </w:rPr>
        <w:t>正本一致，推荐采用光盘或U盘为文件载体)。每套纸质</w:t>
      </w:r>
      <w:r>
        <w:rPr>
          <w:rFonts w:hint="eastAsia" w:ascii="宋体" w:hAnsi="宋体" w:cs="宋体"/>
          <w:sz w:val="24"/>
          <w:szCs w:val="24"/>
          <w:lang w:eastAsia="zh-CN"/>
        </w:rPr>
        <w:t>比选申请文件</w:t>
      </w:r>
      <w:r>
        <w:rPr>
          <w:rFonts w:hint="eastAsia" w:ascii="宋体" w:hAnsi="宋体" w:eastAsia="宋体" w:cs="宋体"/>
          <w:sz w:val="24"/>
          <w:szCs w:val="24"/>
        </w:rPr>
        <w:t>须在封面清楚地标明“正本”、“副本”或“电子文档”，副本应为正本的完整复印件，副本与正本不一致时以正本为准。</w:t>
      </w:r>
      <w:r>
        <w:rPr>
          <w:rFonts w:hint="eastAsia" w:ascii="宋体" w:hAnsi="宋体" w:cs="宋体"/>
          <w:sz w:val="24"/>
          <w:szCs w:val="24"/>
          <w:lang w:eastAsia="zh-CN"/>
        </w:rPr>
        <w:t>比选申请文件</w:t>
      </w:r>
      <w:r>
        <w:rPr>
          <w:rFonts w:hint="eastAsia" w:ascii="宋体" w:hAnsi="宋体" w:eastAsia="宋体" w:cs="宋体"/>
          <w:sz w:val="24"/>
          <w:szCs w:val="24"/>
        </w:rPr>
        <w:t>电子文档与纸质</w:t>
      </w:r>
      <w:r>
        <w:rPr>
          <w:rFonts w:hint="eastAsia" w:ascii="宋体" w:hAnsi="宋体" w:cs="宋体"/>
          <w:sz w:val="24"/>
          <w:szCs w:val="24"/>
          <w:lang w:eastAsia="zh-CN"/>
        </w:rPr>
        <w:t>比选申请文件</w:t>
      </w:r>
      <w:r>
        <w:rPr>
          <w:rFonts w:hint="eastAsia" w:ascii="宋体" w:hAnsi="宋体" w:eastAsia="宋体" w:cs="宋体"/>
          <w:sz w:val="24"/>
          <w:szCs w:val="24"/>
        </w:rPr>
        <w:t>正本不一致时，以纸质</w:t>
      </w:r>
      <w:r>
        <w:rPr>
          <w:rFonts w:hint="eastAsia" w:ascii="宋体" w:hAnsi="宋体" w:cs="宋体"/>
          <w:sz w:val="24"/>
          <w:szCs w:val="24"/>
          <w:lang w:eastAsia="zh-CN"/>
        </w:rPr>
        <w:t>比选申请文件</w:t>
      </w:r>
      <w:r>
        <w:rPr>
          <w:rFonts w:hint="eastAsia" w:ascii="宋体" w:hAnsi="宋体" w:eastAsia="宋体" w:cs="宋体"/>
          <w:sz w:val="24"/>
          <w:szCs w:val="24"/>
        </w:rPr>
        <w:t>正</w:t>
      </w:r>
      <w:r>
        <w:rPr>
          <w:rFonts w:hint="eastAsia" w:ascii="宋体" w:hAnsi="宋体" w:eastAsia="宋体" w:cs="宋体"/>
          <w:sz w:val="24"/>
          <w:szCs w:val="24"/>
          <w:lang w:eastAsia="zh-CN"/>
        </w:rPr>
        <w:t>本为准</w:t>
      </w:r>
      <w:r>
        <w:rPr>
          <w:rFonts w:hint="eastAsia" w:ascii="宋体" w:hAnsi="宋体" w:cs="宋体"/>
          <w:sz w:val="24"/>
          <w:szCs w:val="24"/>
          <w:lang w:eastAsia="zh-CN"/>
        </w:rPr>
        <w:t>；</w:t>
      </w:r>
    </w:p>
    <w:p w14:paraId="0F95306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2.在</w:t>
      </w:r>
      <w:r>
        <w:rPr>
          <w:rFonts w:hint="eastAsia" w:ascii="宋体" w:hAnsi="宋体" w:cs="宋体"/>
          <w:sz w:val="24"/>
          <w:szCs w:val="24"/>
          <w:lang w:eastAsia="zh-CN"/>
        </w:rPr>
        <w:t>比选申请文件</w:t>
      </w:r>
      <w:r>
        <w:rPr>
          <w:rFonts w:hint="eastAsia" w:ascii="宋体" w:hAnsi="宋体" w:eastAsia="宋体" w:cs="宋体"/>
          <w:sz w:val="24"/>
          <w:szCs w:val="24"/>
        </w:rPr>
        <w:t>正本中，</w:t>
      </w:r>
      <w:r>
        <w:rPr>
          <w:rFonts w:hint="eastAsia" w:ascii="宋体" w:hAnsi="宋体" w:cs="宋体"/>
          <w:sz w:val="24"/>
          <w:szCs w:val="24"/>
          <w:lang w:eastAsia="zh-CN"/>
        </w:rPr>
        <w:t>竞争性比选文件</w:t>
      </w:r>
      <w:r>
        <w:rPr>
          <w:rFonts w:hint="eastAsia" w:ascii="宋体" w:hAnsi="宋体" w:eastAsia="宋体" w:cs="宋体"/>
          <w:sz w:val="24"/>
          <w:szCs w:val="24"/>
          <w:lang w:eastAsia="zh-CN"/>
        </w:rPr>
        <w:t>第七篇</w:t>
      </w:r>
      <w:r>
        <w:rPr>
          <w:rFonts w:hint="eastAsia" w:ascii="宋体" w:hAnsi="宋体" w:cs="宋体"/>
          <w:sz w:val="24"/>
          <w:szCs w:val="24"/>
          <w:lang w:eastAsia="zh-CN"/>
        </w:rPr>
        <w:t>比选申请文件</w:t>
      </w:r>
      <w:r>
        <w:rPr>
          <w:rFonts w:hint="eastAsia" w:ascii="宋体" w:hAnsi="宋体" w:eastAsia="宋体" w:cs="宋体"/>
          <w:sz w:val="24"/>
          <w:szCs w:val="24"/>
        </w:rPr>
        <w:t>格式中规定签字、盖章的地方必须</w:t>
      </w:r>
      <w:r>
        <w:rPr>
          <w:rFonts w:hint="eastAsia" w:ascii="宋体" w:hAnsi="宋体" w:eastAsia="宋体" w:cs="宋体"/>
          <w:sz w:val="24"/>
          <w:szCs w:val="24"/>
          <w:lang w:eastAsia="zh-CN"/>
        </w:rPr>
        <w:t>按规定签字盖章</w:t>
      </w:r>
      <w:r>
        <w:rPr>
          <w:rFonts w:hint="eastAsia" w:ascii="宋体" w:hAnsi="宋体" w:cs="宋体"/>
          <w:sz w:val="24"/>
          <w:szCs w:val="24"/>
          <w:lang w:eastAsia="zh-CN"/>
        </w:rPr>
        <w:t>；</w:t>
      </w:r>
    </w:p>
    <w:p w14:paraId="1A21394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3.若</w:t>
      </w:r>
      <w:r>
        <w:rPr>
          <w:rFonts w:hint="eastAsia" w:ascii="宋体" w:hAnsi="宋体" w:cs="宋体"/>
          <w:sz w:val="24"/>
          <w:szCs w:val="24"/>
          <w:lang w:eastAsia="zh-CN"/>
        </w:rPr>
        <w:t>竞选人</w:t>
      </w:r>
      <w:r>
        <w:rPr>
          <w:rFonts w:hint="eastAsia" w:ascii="宋体" w:hAnsi="宋体" w:eastAsia="宋体" w:cs="宋体"/>
          <w:sz w:val="24"/>
          <w:szCs w:val="24"/>
        </w:rPr>
        <w:t>对</w:t>
      </w:r>
      <w:r>
        <w:rPr>
          <w:rFonts w:hint="eastAsia" w:ascii="宋体" w:hAnsi="宋体" w:cs="宋体"/>
          <w:sz w:val="24"/>
          <w:szCs w:val="24"/>
          <w:lang w:eastAsia="zh-CN"/>
        </w:rPr>
        <w:t>比选申请文件</w:t>
      </w:r>
      <w:r>
        <w:rPr>
          <w:rFonts w:hint="eastAsia" w:ascii="宋体" w:hAnsi="宋体" w:eastAsia="宋体" w:cs="宋体"/>
          <w:sz w:val="24"/>
          <w:szCs w:val="24"/>
        </w:rPr>
        <w:t>的错处作必要修改，则应在修改处加盖</w:t>
      </w:r>
      <w:r>
        <w:rPr>
          <w:rFonts w:hint="eastAsia" w:ascii="宋体" w:hAnsi="宋体" w:cs="宋体"/>
          <w:sz w:val="24"/>
          <w:szCs w:val="24"/>
          <w:lang w:eastAsia="zh-CN"/>
        </w:rPr>
        <w:t>竞选人</w:t>
      </w:r>
      <w:r>
        <w:rPr>
          <w:rFonts w:hint="eastAsia" w:ascii="宋体" w:hAnsi="宋体" w:eastAsia="宋体" w:cs="宋体"/>
          <w:sz w:val="24"/>
          <w:szCs w:val="24"/>
        </w:rPr>
        <w:t>公章或由法定代其规定签字、盖章</w:t>
      </w:r>
      <w:r>
        <w:rPr>
          <w:rFonts w:hint="eastAsia" w:ascii="宋体" w:hAnsi="宋体" w:cs="宋体"/>
          <w:sz w:val="24"/>
          <w:szCs w:val="24"/>
          <w:lang w:eastAsia="zh-CN"/>
        </w:rPr>
        <w:t>；</w:t>
      </w:r>
    </w:p>
    <w:p w14:paraId="186D6DF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4.电报、电话、传真形式的</w:t>
      </w:r>
      <w:r>
        <w:rPr>
          <w:rFonts w:hint="eastAsia" w:ascii="宋体" w:hAnsi="宋体" w:cs="宋体"/>
          <w:sz w:val="24"/>
          <w:szCs w:val="24"/>
          <w:lang w:eastAsia="zh-CN"/>
        </w:rPr>
        <w:t>比选申请文件</w:t>
      </w:r>
      <w:r>
        <w:rPr>
          <w:rFonts w:hint="eastAsia" w:ascii="宋体" w:hAnsi="宋体" w:eastAsia="宋体" w:cs="宋体"/>
          <w:sz w:val="24"/>
          <w:szCs w:val="24"/>
        </w:rPr>
        <w:t>概不接受</w:t>
      </w:r>
      <w:r>
        <w:rPr>
          <w:rFonts w:hint="eastAsia" w:ascii="宋体" w:hAnsi="宋体" w:eastAsia="宋体" w:cs="宋体"/>
          <w:sz w:val="24"/>
          <w:szCs w:val="24"/>
          <w:lang w:val="en-US" w:eastAsia="zh-CN"/>
        </w:rPr>
        <w:t>。</w:t>
      </w:r>
    </w:p>
    <w:p w14:paraId="76426DE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(六) </w:t>
      </w:r>
      <w:r>
        <w:rPr>
          <w:rFonts w:hint="eastAsia" w:ascii="宋体" w:hAnsi="宋体" w:eastAsia="宋体" w:cs="宋体"/>
          <w:sz w:val="24"/>
          <w:szCs w:val="24"/>
          <w:lang w:eastAsia="zh-CN"/>
        </w:rPr>
        <w:t>竞标</w:t>
      </w:r>
      <w:r>
        <w:rPr>
          <w:rFonts w:hint="eastAsia" w:ascii="宋体" w:hAnsi="宋体" w:eastAsia="宋体" w:cs="宋体"/>
          <w:sz w:val="24"/>
          <w:szCs w:val="24"/>
        </w:rPr>
        <w:t>报价</w:t>
      </w:r>
    </w:p>
    <w:p w14:paraId="1271774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cs="宋体"/>
          <w:sz w:val="24"/>
          <w:szCs w:val="24"/>
          <w:lang w:eastAsia="zh-CN"/>
        </w:rPr>
        <w:t>竞选人</w:t>
      </w:r>
      <w:r>
        <w:rPr>
          <w:rFonts w:hint="eastAsia" w:ascii="宋体" w:hAnsi="宋体" w:eastAsia="宋体" w:cs="宋体"/>
          <w:sz w:val="24"/>
          <w:szCs w:val="24"/>
        </w:rPr>
        <w:t>应严格按照“</w:t>
      </w:r>
      <w:r>
        <w:rPr>
          <w:rFonts w:hint="eastAsia" w:ascii="宋体" w:hAnsi="宋体" w:cs="宋体"/>
          <w:sz w:val="24"/>
          <w:szCs w:val="24"/>
          <w:lang w:eastAsia="zh-CN"/>
        </w:rPr>
        <w:t>比选申请文件</w:t>
      </w:r>
      <w:r>
        <w:rPr>
          <w:rFonts w:hint="eastAsia" w:ascii="宋体" w:hAnsi="宋体" w:eastAsia="宋体" w:cs="宋体"/>
          <w:sz w:val="24"/>
          <w:szCs w:val="24"/>
        </w:rPr>
        <w:t>格式”中“</w:t>
      </w:r>
      <w:r>
        <w:rPr>
          <w:rFonts w:hint="eastAsia" w:ascii="宋体" w:hAnsi="宋体" w:eastAsia="宋体" w:cs="宋体"/>
          <w:sz w:val="24"/>
          <w:szCs w:val="24"/>
          <w:lang w:eastAsia="zh-CN"/>
        </w:rPr>
        <w:t>竞标</w:t>
      </w:r>
      <w:r>
        <w:rPr>
          <w:rFonts w:hint="eastAsia" w:ascii="宋体" w:hAnsi="宋体" w:eastAsia="宋体" w:cs="宋体"/>
          <w:sz w:val="24"/>
          <w:szCs w:val="24"/>
        </w:rPr>
        <w:t>报价函”和“分项报价明细表”</w:t>
      </w:r>
      <w:r>
        <w:rPr>
          <w:rFonts w:hint="eastAsia" w:ascii="宋体" w:hAnsi="宋体" w:cs="宋体"/>
          <w:sz w:val="24"/>
          <w:szCs w:val="24"/>
          <w:lang w:eastAsia="zh-CN"/>
        </w:rPr>
        <w:t>的格式</w:t>
      </w:r>
      <w:r>
        <w:rPr>
          <w:rFonts w:hint="eastAsia" w:ascii="宋体" w:hAnsi="宋体" w:eastAsia="宋体" w:cs="宋体"/>
          <w:sz w:val="24"/>
          <w:szCs w:val="24"/>
        </w:rPr>
        <w:t>填写报价</w:t>
      </w:r>
      <w:r>
        <w:rPr>
          <w:rFonts w:hint="eastAsia" w:ascii="宋体" w:hAnsi="宋体" w:cs="宋体"/>
          <w:sz w:val="24"/>
          <w:szCs w:val="24"/>
          <w:lang w:eastAsia="zh-CN"/>
        </w:rPr>
        <w:t>；</w:t>
      </w:r>
    </w:p>
    <w:p w14:paraId="21872F3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cs="宋体"/>
          <w:sz w:val="24"/>
          <w:szCs w:val="24"/>
          <w:lang w:eastAsia="zh-CN"/>
        </w:rPr>
        <w:t>竞选人</w:t>
      </w:r>
      <w:r>
        <w:rPr>
          <w:rFonts w:hint="eastAsia" w:ascii="宋体" w:hAnsi="宋体" w:eastAsia="宋体" w:cs="宋体"/>
          <w:sz w:val="24"/>
          <w:szCs w:val="24"/>
        </w:rPr>
        <w:t>的报价为一次性报价，即在</w:t>
      </w:r>
      <w:r>
        <w:rPr>
          <w:rFonts w:hint="eastAsia" w:ascii="宋体" w:hAnsi="宋体" w:eastAsia="宋体" w:cs="宋体"/>
          <w:sz w:val="24"/>
          <w:szCs w:val="24"/>
          <w:lang w:eastAsia="zh-CN"/>
        </w:rPr>
        <w:t>竞标</w:t>
      </w:r>
      <w:r>
        <w:rPr>
          <w:rFonts w:hint="eastAsia" w:ascii="宋体" w:hAnsi="宋体" w:eastAsia="宋体" w:cs="宋体"/>
          <w:sz w:val="24"/>
          <w:szCs w:val="24"/>
        </w:rPr>
        <w:t>有效期内</w:t>
      </w:r>
      <w:r>
        <w:rPr>
          <w:rFonts w:hint="eastAsia" w:ascii="宋体" w:hAnsi="宋体" w:eastAsia="宋体" w:cs="宋体"/>
          <w:sz w:val="24"/>
          <w:szCs w:val="24"/>
          <w:lang w:eastAsia="zh-CN"/>
        </w:rPr>
        <w:t>竞标</w:t>
      </w:r>
      <w:r>
        <w:rPr>
          <w:rFonts w:hint="eastAsia" w:ascii="宋体" w:hAnsi="宋体" w:eastAsia="宋体" w:cs="宋体"/>
          <w:sz w:val="24"/>
          <w:szCs w:val="24"/>
        </w:rPr>
        <w:t>价格固定不变</w:t>
      </w:r>
      <w:r>
        <w:rPr>
          <w:rFonts w:hint="eastAsia" w:ascii="宋体" w:hAnsi="宋体" w:cs="宋体"/>
          <w:sz w:val="24"/>
          <w:szCs w:val="24"/>
          <w:lang w:eastAsia="zh-CN"/>
        </w:rPr>
        <w:t>；</w:t>
      </w:r>
    </w:p>
    <w:p w14:paraId="2262280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3.本项目只接受一个</w:t>
      </w:r>
      <w:r>
        <w:rPr>
          <w:rFonts w:hint="eastAsia" w:ascii="宋体" w:hAnsi="宋体" w:eastAsia="宋体" w:cs="宋体"/>
          <w:sz w:val="24"/>
          <w:szCs w:val="24"/>
          <w:lang w:eastAsia="zh-CN"/>
        </w:rPr>
        <w:t>竞标</w:t>
      </w:r>
      <w:r>
        <w:rPr>
          <w:rFonts w:hint="eastAsia" w:ascii="宋体" w:hAnsi="宋体" w:eastAsia="宋体" w:cs="宋体"/>
          <w:sz w:val="24"/>
          <w:szCs w:val="24"/>
        </w:rPr>
        <w:t>报价，有选择的或有条件的报价将不予接受</w:t>
      </w:r>
      <w:r>
        <w:rPr>
          <w:rFonts w:hint="eastAsia" w:ascii="宋体" w:hAnsi="宋体" w:cs="宋体"/>
          <w:sz w:val="24"/>
          <w:szCs w:val="24"/>
          <w:lang w:eastAsia="zh-CN"/>
        </w:rPr>
        <w:t>。</w:t>
      </w:r>
    </w:p>
    <w:p w14:paraId="71E1854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(七)修正错误</w:t>
      </w:r>
    </w:p>
    <w:p w14:paraId="5A9C34A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若</w:t>
      </w:r>
      <w:r>
        <w:rPr>
          <w:rFonts w:hint="eastAsia" w:ascii="宋体" w:hAnsi="宋体" w:cs="宋体"/>
          <w:sz w:val="24"/>
          <w:szCs w:val="24"/>
          <w:lang w:eastAsia="zh-CN"/>
        </w:rPr>
        <w:t>比选申请文件</w:t>
      </w:r>
      <w:r>
        <w:rPr>
          <w:rFonts w:hint="eastAsia" w:ascii="宋体" w:hAnsi="宋体" w:eastAsia="宋体" w:cs="宋体"/>
          <w:sz w:val="24"/>
          <w:szCs w:val="24"/>
        </w:rPr>
        <w:t>出现计算或表达上的错误，修正错误的原则如下:</w:t>
      </w:r>
    </w:p>
    <w:p w14:paraId="3FCC26C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cs="宋体"/>
          <w:sz w:val="24"/>
          <w:szCs w:val="24"/>
          <w:lang w:eastAsia="zh-CN"/>
        </w:rPr>
        <w:t>比选申请文件</w:t>
      </w:r>
      <w:r>
        <w:rPr>
          <w:rFonts w:hint="eastAsia" w:ascii="宋体" w:hAnsi="宋体" w:eastAsia="宋体" w:cs="宋体"/>
          <w:sz w:val="24"/>
          <w:szCs w:val="24"/>
        </w:rPr>
        <w:t>中</w:t>
      </w:r>
      <w:r>
        <w:rPr>
          <w:rFonts w:hint="eastAsia" w:ascii="宋体" w:hAnsi="宋体" w:eastAsia="宋体" w:cs="宋体"/>
          <w:sz w:val="24"/>
          <w:szCs w:val="24"/>
          <w:lang w:eastAsia="zh-CN"/>
        </w:rPr>
        <w:t>竞标</w:t>
      </w:r>
      <w:r>
        <w:rPr>
          <w:rFonts w:hint="eastAsia" w:ascii="宋体" w:hAnsi="宋体" w:eastAsia="宋体" w:cs="宋体"/>
          <w:sz w:val="24"/>
          <w:szCs w:val="24"/>
        </w:rPr>
        <w:t>报价函(报价表)内容与</w:t>
      </w:r>
      <w:r>
        <w:rPr>
          <w:rFonts w:hint="eastAsia" w:ascii="宋体" w:hAnsi="宋体" w:cs="宋体"/>
          <w:sz w:val="24"/>
          <w:szCs w:val="24"/>
          <w:lang w:eastAsia="zh-CN"/>
        </w:rPr>
        <w:t>比选申请文件</w:t>
      </w:r>
      <w:r>
        <w:rPr>
          <w:rFonts w:hint="eastAsia" w:ascii="宋体" w:hAnsi="宋体" w:eastAsia="宋体" w:cs="宋体"/>
          <w:sz w:val="24"/>
          <w:szCs w:val="24"/>
        </w:rPr>
        <w:t>中相应内容不一致的，以</w:t>
      </w:r>
      <w:r>
        <w:rPr>
          <w:rFonts w:hint="eastAsia" w:ascii="宋体" w:hAnsi="宋体" w:eastAsia="宋体" w:cs="宋体"/>
          <w:sz w:val="24"/>
          <w:szCs w:val="24"/>
          <w:lang w:eastAsia="zh-CN"/>
        </w:rPr>
        <w:t>竞标</w:t>
      </w:r>
      <w:r>
        <w:rPr>
          <w:rFonts w:hint="eastAsia" w:ascii="宋体" w:hAnsi="宋体" w:eastAsia="宋体" w:cs="宋体"/>
          <w:sz w:val="24"/>
          <w:szCs w:val="24"/>
        </w:rPr>
        <w:t>报价函(报价表)为准</w:t>
      </w:r>
      <w:r>
        <w:rPr>
          <w:rFonts w:hint="eastAsia" w:ascii="宋体" w:hAnsi="宋体" w:eastAsia="宋体" w:cs="宋体"/>
          <w:sz w:val="24"/>
          <w:szCs w:val="24"/>
          <w:lang w:eastAsia="zh-CN"/>
        </w:rPr>
        <w:t>；</w:t>
      </w:r>
    </w:p>
    <w:p w14:paraId="4D980EC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大写金额和小写金额不一致的，以大写金额为准</w:t>
      </w:r>
      <w:r>
        <w:rPr>
          <w:rFonts w:hint="eastAsia" w:ascii="宋体" w:hAnsi="宋体" w:eastAsia="宋体" w:cs="宋体"/>
          <w:sz w:val="24"/>
          <w:szCs w:val="24"/>
          <w:lang w:eastAsia="zh-CN"/>
        </w:rPr>
        <w:t>；</w:t>
      </w:r>
    </w:p>
    <w:p w14:paraId="6530945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单价金额小数点或者百分比有明显错位的，以</w:t>
      </w:r>
      <w:r>
        <w:rPr>
          <w:rFonts w:hint="eastAsia" w:ascii="宋体" w:hAnsi="宋体" w:eastAsia="宋体" w:cs="宋体"/>
          <w:sz w:val="24"/>
          <w:szCs w:val="24"/>
          <w:lang w:eastAsia="zh-CN"/>
        </w:rPr>
        <w:t>竞标</w:t>
      </w:r>
      <w:r>
        <w:rPr>
          <w:rFonts w:hint="eastAsia" w:ascii="宋体" w:hAnsi="宋体" w:eastAsia="宋体" w:cs="宋体"/>
          <w:sz w:val="24"/>
          <w:szCs w:val="24"/>
        </w:rPr>
        <w:t>报价函的总价为准，并修改单价</w:t>
      </w:r>
      <w:r>
        <w:rPr>
          <w:rFonts w:hint="eastAsia" w:ascii="宋体" w:hAnsi="宋体" w:cs="宋体"/>
          <w:sz w:val="24"/>
          <w:szCs w:val="24"/>
          <w:lang w:eastAsia="zh-CN"/>
        </w:rPr>
        <w:t>；</w:t>
      </w:r>
    </w:p>
    <w:p w14:paraId="2BA9677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总价金额与按单价汇总金额不一致的，以单价金额计算结果为准。</w:t>
      </w:r>
    </w:p>
    <w:p w14:paraId="0B5BB7F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竞争性比选评审小组</w:t>
      </w:r>
      <w:r>
        <w:rPr>
          <w:rFonts w:hint="eastAsia" w:ascii="宋体" w:hAnsi="宋体" w:eastAsia="宋体" w:cs="宋体"/>
          <w:sz w:val="24"/>
          <w:szCs w:val="24"/>
        </w:rPr>
        <w:t>按上述修正错误的原则及方法调整或修正</w:t>
      </w:r>
      <w:r>
        <w:rPr>
          <w:rFonts w:hint="eastAsia" w:ascii="宋体" w:hAnsi="宋体" w:cs="宋体"/>
          <w:sz w:val="24"/>
          <w:szCs w:val="24"/>
          <w:lang w:eastAsia="zh-CN"/>
        </w:rPr>
        <w:t>竞选人</w:t>
      </w:r>
      <w:r>
        <w:rPr>
          <w:rFonts w:hint="eastAsia" w:ascii="宋体" w:hAnsi="宋体" w:eastAsia="宋体" w:cs="宋体"/>
          <w:sz w:val="24"/>
          <w:szCs w:val="24"/>
          <w:lang w:eastAsia="zh-CN"/>
        </w:rPr>
        <w:t>竞标</w:t>
      </w:r>
      <w:r>
        <w:rPr>
          <w:rFonts w:hint="eastAsia" w:ascii="宋体" w:hAnsi="宋体" w:eastAsia="宋体" w:cs="宋体"/>
          <w:sz w:val="24"/>
          <w:szCs w:val="24"/>
        </w:rPr>
        <w:t>报价，若同时出现两种以上不一致的，按照前款规定的顺序修正，</w:t>
      </w:r>
      <w:r>
        <w:rPr>
          <w:rFonts w:hint="eastAsia" w:ascii="宋体" w:hAnsi="宋体" w:cs="宋体"/>
          <w:sz w:val="24"/>
          <w:szCs w:val="24"/>
          <w:lang w:eastAsia="zh-CN"/>
        </w:rPr>
        <w:t>竞选人</w:t>
      </w:r>
      <w:r>
        <w:rPr>
          <w:rFonts w:hint="eastAsia" w:ascii="宋体" w:hAnsi="宋体" w:eastAsia="宋体" w:cs="宋体"/>
          <w:sz w:val="24"/>
          <w:szCs w:val="24"/>
        </w:rPr>
        <w:t>同意并签字确认后，调整后的</w:t>
      </w:r>
      <w:r>
        <w:rPr>
          <w:rFonts w:hint="eastAsia" w:ascii="宋体" w:hAnsi="宋体" w:eastAsia="宋体" w:cs="宋体"/>
          <w:sz w:val="24"/>
          <w:szCs w:val="24"/>
          <w:lang w:eastAsia="zh-CN"/>
        </w:rPr>
        <w:t>竞标</w:t>
      </w:r>
      <w:r>
        <w:rPr>
          <w:rFonts w:hint="eastAsia" w:ascii="宋体" w:hAnsi="宋体" w:eastAsia="宋体" w:cs="宋体"/>
          <w:sz w:val="24"/>
          <w:szCs w:val="24"/>
        </w:rPr>
        <w:t>报价对</w:t>
      </w:r>
      <w:r>
        <w:rPr>
          <w:rFonts w:hint="eastAsia" w:ascii="宋体" w:hAnsi="宋体" w:cs="宋体"/>
          <w:sz w:val="24"/>
          <w:szCs w:val="24"/>
          <w:lang w:eastAsia="zh-CN"/>
        </w:rPr>
        <w:t>竞选人</w:t>
      </w:r>
      <w:r>
        <w:rPr>
          <w:rFonts w:hint="eastAsia" w:ascii="宋体" w:hAnsi="宋体" w:eastAsia="宋体" w:cs="宋体"/>
          <w:sz w:val="24"/>
          <w:szCs w:val="24"/>
        </w:rPr>
        <w:t>具有约束作用。如果</w:t>
      </w:r>
      <w:r>
        <w:rPr>
          <w:rFonts w:hint="eastAsia" w:ascii="宋体" w:hAnsi="宋体" w:cs="宋体"/>
          <w:sz w:val="24"/>
          <w:szCs w:val="24"/>
          <w:lang w:eastAsia="zh-CN"/>
        </w:rPr>
        <w:t>竞选人</w:t>
      </w:r>
      <w:r>
        <w:rPr>
          <w:rFonts w:hint="eastAsia" w:ascii="宋体" w:hAnsi="宋体" w:eastAsia="宋体" w:cs="宋体"/>
          <w:sz w:val="24"/>
          <w:szCs w:val="24"/>
        </w:rPr>
        <w:t>不接受修正后的报价，则其</w:t>
      </w:r>
      <w:r>
        <w:rPr>
          <w:rFonts w:hint="eastAsia" w:ascii="宋体" w:hAnsi="宋体" w:eastAsia="宋体" w:cs="宋体"/>
          <w:sz w:val="24"/>
          <w:szCs w:val="24"/>
          <w:lang w:eastAsia="zh-CN"/>
        </w:rPr>
        <w:t>竞标</w:t>
      </w:r>
      <w:r>
        <w:rPr>
          <w:rFonts w:hint="eastAsia" w:ascii="宋体" w:hAnsi="宋体" w:eastAsia="宋体" w:cs="宋体"/>
          <w:sz w:val="24"/>
          <w:szCs w:val="24"/>
        </w:rPr>
        <w:t>将作为无效</w:t>
      </w:r>
      <w:r>
        <w:rPr>
          <w:rFonts w:hint="eastAsia" w:ascii="宋体" w:hAnsi="宋体" w:eastAsia="宋体" w:cs="宋体"/>
          <w:sz w:val="24"/>
          <w:szCs w:val="24"/>
          <w:lang w:eastAsia="zh-CN"/>
        </w:rPr>
        <w:t>竞标</w:t>
      </w:r>
      <w:r>
        <w:rPr>
          <w:rFonts w:hint="eastAsia" w:ascii="宋体" w:hAnsi="宋体" w:eastAsia="宋体" w:cs="宋体"/>
          <w:sz w:val="24"/>
          <w:szCs w:val="24"/>
        </w:rPr>
        <w:t>处理。</w:t>
      </w:r>
    </w:p>
    <w:p w14:paraId="6BCE70B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(八)</w:t>
      </w:r>
      <w:r>
        <w:rPr>
          <w:rFonts w:hint="eastAsia" w:ascii="宋体" w:hAnsi="宋体" w:cs="宋体"/>
          <w:sz w:val="24"/>
          <w:szCs w:val="24"/>
          <w:lang w:eastAsia="zh-CN"/>
        </w:rPr>
        <w:t>比选申请文件</w:t>
      </w:r>
      <w:r>
        <w:rPr>
          <w:rFonts w:hint="eastAsia" w:ascii="宋体" w:hAnsi="宋体" w:eastAsia="宋体" w:cs="宋体"/>
          <w:sz w:val="24"/>
          <w:szCs w:val="24"/>
        </w:rPr>
        <w:t>的递交</w:t>
      </w:r>
    </w:p>
    <w:p w14:paraId="1434DAC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比选申请文件</w:t>
      </w:r>
      <w:r>
        <w:rPr>
          <w:rFonts w:hint="eastAsia" w:ascii="宋体" w:hAnsi="宋体" w:eastAsia="宋体" w:cs="宋体"/>
          <w:sz w:val="24"/>
          <w:szCs w:val="24"/>
        </w:rPr>
        <w:t>的正本、副本以及电子文档均应密封送达</w:t>
      </w:r>
      <w:r>
        <w:rPr>
          <w:rFonts w:hint="eastAsia" w:ascii="宋体" w:hAnsi="宋体" w:eastAsia="宋体" w:cs="宋体"/>
          <w:sz w:val="24"/>
          <w:szCs w:val="24"/>
          <w:lang w:eastAsia="zh-CN"/>
        </w:rPr>
        <w:t>竞标</w:t>
      </w:r>
      <w:r>
        <w:rPr>
          <w:rFonts w:hint="eastAsia" w:ascii="宋体" w:hAnsi="宋体" w:eastAsia="宋体" w:cs="宋体"/>
          <w:sz w:val="24"/>
          <w:szCs w:val="24"/>
        </w:rPr>
        <w:t>地点，应在封套上注明项目名称、</w:t>
      </w:r>
      <w:r>
        <w:rPr>
          <w:rFonts w:hint="eastAsia" w:ascii="宋体" w:hAnsi="宋体" w:cs="宋体"/>
          <w:sz w:val="24"/>
          <w:szCs w:val="24"/>
          <w:lang w:eastAsia="zh-CN"/>
        </w:rPr>
        <w:t>竞选人</w:t>
      </w:r>
      <w:r>
        <w:rPr>
          <w:rFonts w:hint="eastAsia" w:ascii="宋体" w:hAnsi="宋体" w:eastAsia="宋体" w:cs="宋体"/>
          <w:sz w:val="24"/>
          <w:szCs w:val="24"/>
        </w:rPr>
        <w:t>名称。若正本、副本以及电子文档分别进行密封的，还应在封套上注明“正本”“副本”、“电子文档”字样。</w:t>
      </w:r>
    </w:p>
    <w:p w14:paraId="72F223EF">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四、开标</w:t>
      </w:r>
    </w:p>
    <w:p w14:paraId="65A3B1B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一</w:t>
      </w:r>
      <w:r>
        <w:rPr>
          <w:rFonts w:hint="eastAsia" w:ascii="宋体" w:hAnsi="宋体" w:cs="宋体"/>
          <w:sz w:val="24"/>
          <w:szCs w:val="24"/>
          <w:lang w:eastAsia="zh-CN"/>
        </w:rPr>
        <w:t>）</w:t>
      </w:r>
      <w:r>
        <w:rPr>
          <w:rFonts w:hint="eastAsia" w:ascii="宋体" w:hAnsi="宋体" w:eastAsia="宋体" w:cs="宋体"/>
          <w:sz w:val="24"/>
          <w:szCs w:val="24"/>
        </w:rPr>
        <w:t>开标应当在</w:t>
      </w:r>
      <w:r>
        <w:rPr>
          <w:rFonts w:hint="eastAsia" w:ascii="宋体" w:hAnsi="宋体" w:cs="宋体"/>
          <w:sz w:val="24"/>
          <w:szCs w:val="24"/>
          <w:lang w:eastAsia="zh-CN"/>
        </w:rPr>
        <w:t>竞争性比选文件</w:t>
      </w:r>
      <w:r>
        <w:rPr>
          <w:rFonts w:hint="eastAsia" w:ascii="宋体" w:hAnsi="宋体" w:eastAsia="宋体" w:cs="宋体"/>
          <w:sz w:val="24"/>
          <w:szCs w:val="24"/>
        </w:rPr>
        <w:t>中“</w:t>
      </w:r>
      <w:r>
        <w:rPr>
          <w:rFonts w:hint="eastAsia" w:ascii="宋体" w:hAnsi="宋体" w:eastAsia="宋体" w:cs="宋体"/>
          <w:sz w:val="24"/>
          <w:szCs w:val="24"/>
          <w:lang w:eastAsia="zh-CN"/>
        </w:rPr>
        <w:t>比选公告</w:t>
      </w:r>
      <w:r>
        <w:rPr>
          <w:rFonts w:hint="eastAsia" w:ascii="宋体" w:hAnsi="宋体" w:eastAsia="宋体" w:cs="宋体"/>
          <w:sz w:val="24"/>
          <w:szCs w:val="24"/>
        </w:rPr>
        <w:t>”确定的时间和地点公开进行。</w:t>
      </w:r>
    </w:p>
    <w:p w14:paraId="06273EF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代理机构可视采购具体情况，延长</w:t>
      </w:r>
      <w:r>
        <w:rPr>
          <w:rFonts w:hint="eastAsia" w:ascii="宋体" w:hAnsi="宋体" w:eastAsia="宋体" w:cs="宋体"/>
          <w:sz w:val="24"/>
          <w:szCs w:val="24"/>
          <w:lang w:eastAsia="zh-CN"/>
        </w:rPr>
        <w:t>竞标</w:t>
      </w:r>
      <w:r>
        <w:rPr>
          <w:rFonts w:hint="eastAsia" w:ascii="宋体" w:hAnsi="宋体" w:eastAsia="宋体" w:cs="宋体"/>
          <w:sz w:val="24"/>
          <w:szCs w:val="24"/>
        </w:rPr>
        <w:t>截止时间和开标时间，并将变更时间书面通知所有</w:t>
      </w:r>
      <w:r>
        <w:rPr>
          <w:rFonts w:hint="eastAsia" w:ascii="宋体" w:hAnsi="宋体" w:cs="宋体"/>
          <w:sz w:val="24"/>
          <w:szCs w:val="24"/>
          <w:lang w:eastAsia="zh-CN"/>
        </w:rPr>
        <w:t>竞争性比选文件</w:t>
      </w:r>
      <w:r>
        <w:rPr>
          <w:rFonts w:hint="eastAsia" w:ascii="宋体" w:hAnsi="宋体" w:eastAsia="宋体" w:cs="宋体"/>
          <w:sz w:val="24"/>
          <w:szCs w:val="24"/>
        </w:rPr>
        <w:t>收受人。</w:t>
      </w:r>
    </w:p>
    <w:p w14:paraId="7A0F7F2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三</w:t>
      </w:r>
      <w:r>
        <w:rPr>
          <w:rFonts w:hint="eastAsia" w:ascii="宋体" w:hAnsi="宋体" w:cs="宋体"/>
          <w:sz w:val="24"/>
          <w:szCs w:val="24"/>
          <w:lang w:eastAsia="zh-CN"/>
        </w:rPr>
        <w:t>）</w:t>
      </w:r>
      <w:r>
        <w:rPr>
          <w:rFonts w:hint="eastAsia" w:ascii="宋体" w:hAnsi="宋体" w:eastAsia="宋体" w:cs="宋体"/>
          <w:sz w:val="24"/>
          <w:szCs w:val="24"/>
        </w:rPr>
        <w:t>开标由</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人或</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代理机构主持，邀请</w:t>
      </w:r>
      <w:r>
        <w:rPr>
          <w:rFonts w:hint="eastAsia" w:ascii="宋体" w:hAnsi="宋体" w:cs="宋体"/>
          <w:sz w:val="24"/>
          <w:szCs w:val="24"/>
          <w:lang w:eastAsia="zh-CN"/>
        </w:rPr>
        <w:t>竞选人</w:t>
      </w:r>
      <w:r>
        <w:rPr>
          <w:rFonts w:hint="eastAsia" w:ascii="宋体" w:hAnsi="宋体" w:eastAsia="宋体" w:cs="宋体"/>
          <w:sz w:val="24"/>
          <w:szCs w:val="24"/>
        </w:rPr>
        <w:t>和有关监督部门代表参加,有关监督部门可视情况派员现场监督。</w:t>
      </w:r>
    </w:p>
    <w:p w14:paraId="3840617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四</w:t>
      </w:r>
      <w:r>
        <w:rPr>
          <w:rFonts w:hint="eastAsia" w:ascii="宋体" w:hAnsi="宋体" w:cs="宋体"/>
          <w:sz w:val="24"/>
          <w:szCs w:val="24"/>
          <w:lang w:eastAsia="zh-CN"/>
        </w:rPr>
        <w:t>）</w:t>
      </w:r>
      <w:r>
        <w:rPr>
          <w:rFonts w:hint="eastAsia" w:ascii="宋体" w:hAnsi="宋体" w:eastAsia="宋体" w:cs="宋体"/>
          <w:sz w:val="24"/>
          <w:szCs w:val="24"/>
        </w:rPr>
        <w:t>开标时，由</w:t>
      </w:r>
      <w:r>
        <w:rPr>
          <w:rFonts w:hint="eastAsia" w:ascii="宋体" w:hAnsi="宋体" w:cs="宋体"/>
          <w:sz w:val="24"/>
          <w:szCs w:val="24"/>
          <w:lang w:eastAsia="zh-CN"/>
        </w:rPr>
        <w:t>竞选人</w:t>
      </w:r>
      <w:r>
        <w:rPr>
          <w:rFonts w:hint="eastAsia" w:ascii="宋体" w:hAnsi="宋体" w:eastAsia="宋体" w:cs="宋体"/>
          <w:sz w:val="24"/>
          <w:szCs w:val="24"/>
        </w:rPr>
        <w:t>或者其推选的代表检查</w:t>
      </w:r>
      <w:r>
        <w:rPr>
          <w:rFonts w:hint="eastAsia" w:ascii="宋体" w:hAnsi="宋体" w:cs="宋体"/>
          <w:sz w:val="24"/>
          <w:szCs w:val="24"/>
          <w:lang w:eastAsia="zh-CN"/>
        </w:rPr>
        <w:t>比选申请文件</w:t>
      </w:r>
      <w:r>
        <w:rPr>
          <w:rFonts w:hint="eastAsia" w:ascii="宋体" w:hAnsi="宋体" w:eastAsia="宋体" w:cs="宋体"/>
          <w:sz w:val="24"/>
          <w:szCs w:val="24"/>
        </w:rPr>
        <w:t>的密封情况</w:t>
      </w:r>
      <w:r>
        <w:rPr>
          <w:rFonts w:hint="eastAsia" w:ascii="宋体" w:hAnsi="宋体" w:cs="宋体"/>
          <w:sz w:val="24"/>
          <w:szCs w:val="24"/>
          <w:lang w:eastAsia="zh-CN"/>
        </w:rPr>
        <w:t>；</w:t>
      </w:r>
      <w:r>
        <w:rPr>
          <w:rFonts w:hint="eastAsia" w:ascii="宋体" w:hAnsi="宋体" w:eastAsia="宋体" w:cs="宋体"/>
          <w:sz w:val="24"/>
          <w:szCs w:val="24"/>
        </w:rPr>
        <w:t>经确认无误后</w:t>
      </w:r>
      <w:r>
        <w:rPr>
          <w:rFonts w:hint="eastAsia" w:ascii="宋体" w:hAnsi="宋体" w:cs="宋体"/>
          <w:sz w:val="24"/>
          <w:szCs w:val="24"/>
          <w:lang w:eastAsia="zh-CN"/>
        </w:rPr>
        <w:t>，</w:t>
      </w:r>
      <w:r>
        <w:rPr>
          <w:rFonts w:hint="eastAsia" w:ascii="宋体" w:hAnsi="宋体" w:eastAsia="宋体" w:cs="宋体"/>
          <w:sz w:val="24"/>
          <w:szCs w:val="24"/>
        </w:rPr>
        <w:t>由</w:t>
      </w:r>
      <w:r>
        <w:rPr>
          <w:rFonts w:hint="eastAsia" w:ascii="宋体" w:hAnsi="宋体" w:cs="宋体"/>
          <w:sz w:val="24"/>
          <w:szCs w:val="24"/>
          <w:lang w:val="en-US" w:eastAsia="zh-CN"/>
        </w:rPr>
        <w:t>比选</w:t>
      </w:r>
      <w:r>
        <w:rPr>
          <w:rFonts w:hint="eastAsia" w:ascii="宋体" w:hAnsi="宋体" w:eastAsia="宋体" w:cs="宋体"/>
          <w:sz w:val="24"/>
          <w:szCs w:val="24"/>
        </w:rPr>
        <w:t>人或者</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代理机构工作人员当众拆封，宣布</w:t>
      </w:r>
      <w:r>
        <w:rPr>
          <w:rFonts w:hint="eastAsia" w:ascii="宋体" w:hAnsi="宋体" w:cs="宋体"/>
          <w:sz w:val="24"/>
          <w:szCs w:val="24"/>
          <w:lang w:eastAsia="zh-CN"/>
        </w:rPr>
        <w:t>竞选人</w:t>
      </w:r>
      <w:r>
        <w:rPr>
          <w:rFonts w:hint="eastAsia" w:ascii="宋体" w:hAnsi="宋体" w:eastAsia="宋体" w:cs="宋体"/>
          <w:sz w:val="24"/>
          <w:szCs w:val="24"/>
        </w:rPr>
        <w:t>名称、</w:t>
      </w:r>
      <w:r>
        <w:rPr>
          <w:rFonts w:hint="eastAsia" w:ascii="宋体" w:hAnsi="宋体" w:eastAsia="宋体" w:cs="宋体"/>
          <w:sz w:val="24"/>
          <w:szCs w:val="24"/>
          <w:lang w:eastAsia="zh-CN"/>
        </w:rPr>
        <w:t>竞标</w:t>
      </w:r>
      <w:r>
        <w:rPr>
          <w:rFonts w:hint="eastAsia" w:ascii="宋体" w:hAnsi="宋体" w:eastAsia="宋体" w:cs="宋体"/>
          <w:sz w:val="24"/>
          <w:szCs w:val="24"/>
        </w:rPr>
        <w:t>价格和《</w:t>
      </w:r>
      <w:r>
        <w:rPr>
          <w:rFonts w:hint="eastAsia" w:ascii="宋体" w:hAnsi="宋体" w:eastAsia="宋体" w:cs="宋体"/>
          <w:sz w:val="24"/>
          <w:szCs w:val="24"/>
          <w:lang w:eastAsia="zh-CN"/>
        </w:rPr>
        <w:t>竞标</w:t>
      </w:r>
      <w:r>
        <w:rPr>
          <w:rFonts w:hint="eastAsia" w:ascii="宋体" w:hAnsi="宋体" w:eastAsia="宋体" w:cs="宋体"/>
          <w:sz w:val="24"/>
          <w:szCs w:val="24"/>
        </w:rPr>
        <w:t>报价函》规定的需要宣布的其他内容。</w:t>
      </w:r>
      <w:r>
        <w:rPr>
          <w:rFonts w:hint="eastAsia" w:ascii="宋体" w:hAnsi="宋体" w:cs="宋体"/>
          <w:sz w:val="24"/>
          <w:szCs w:val="24"/>
          <w:lang w:eastAsia="zh-CN"/>
        </w:rPr>
        <w:t>竞选人</w:t>
      </w:r>
      <w:r>
        <w:rPr>
          <w:rFonts w:hint="eastAsia" w:ascii="宋体" w:hAnsi="宋体" w:eastAsia="宋体" w:cs="宋体"/>
          <w:sz w:val="24"/>
          <w:szCs w:val="24"/>
        </w:rPr>
        <w:t>不足三家的，不得开标。</w:t>
      </w:r>
    </w:p>
    <w:p w14:paraId="2584276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五</w:t>
      </w:r>
      <w:r>
        <w:rPr>
          <w:rFonts w:hint="eastAsia" w:ascii="宋体" w:hAnsi="宋体" w:cs="宋体"/>
          <w:sz w:val="24"/>
          <w:szCs w:val="24"/>
          <w:lang w:eastAsia="zh-CN"/>
        </w:rPr>
        <w:t>）</w:t>
      </w:r>
      <w:r>
        <w:rPr>
          <w:rFonts w:hint="eastAsia" w:ascii="宋体" w:hAnsi="宋体" w:eastAsia="宋体" w:cs="宋体"/>
          <w:sz w:val="24"/>
          <w:szCs w:val="24"/>
        </w:rPr>
        <w:t>未宣读的</w:t>
      </w:r>
      <w:r>
        <w:rPr>
          <w:rFonts w:hint="eastAsia" w:ascii="宋体" w:hAnsi="宋体" w:eastAsia="宋体" w:cs="宋体"/>
          <w:sz w:val="24"/>
          <w:szCs w:val="24"/>
          <w:lang w:eastAsia="zh-CN"/>
        </w:rPr>
        <w:t>竞标</w:t>
      </w:r>
      <w:r>
        <w:rPr>
          <w:rFonts w:hint="eastAsia" w:ascii="宋体" w:hAnsi="宋体" w:eastAsia="宋体" w:cs="宋体"/>
          <w:sz w:val="24"/>
          <w:szCs w:val="24"/>
        </w:rPr>
        <w:t>价格、价格折扣和</w:t>
      </w:r>
      <w:r>
        <w:rPr>
          <w:rFonts w:hint="eastAsia" w:ascii="宋体" w:hAnsi="宋体" w:cs="宋体"/>
          <w:sz w:val="24"/>
          <w:szCs w:val="24"/>
          <w:lang w:eastAsia="zh-CN"/>
        </w:rPr>
        <w:t>竞争性比选文件</w:t>
      </w:r>
      <w:r>
        <w:rPr>
          <w:rFonts w:hint="eastAsia" w:ascii="宋体" w:hAnsi="宋体" w:eastAsia="宋体" w:cs="宋体"/>
          <w:sz w:val="24"/>
          <w:szCs w:val="24"/>
        </w:rPr>
        <w:t>允许提供的备选</w:t>
      </w:r>
      <w:r>
        <w:rPr>
          <w:rFonts w:hint="eastAsia" w:ascii="宋体" w:hAnsi="宋体" w:eastAsia="宋体" w:cs="宋体"/>
          <w:sz w:val="24"/>
          <w:szCs w:val="24"/>
          <w:lang w:eastAsia="zh-CN"/>
        </w:rPr>
        <w:t>竞标</w:t>
      </w:r>
      <w:r>
        <w:rPr>
          <w:rFonts w:hint="eastAsia" w:ascii="宋体" w:hAnsi="宋体" w:eastAsia="宋体" w:cs="宋体"/>
          <w:sz w:val="24"/>
          <w:szCs w:val="24"/>
        </w:rPr>
        <w:t>方案等实质性内容等，评标时不予承认。</w:t>
      </w:r>
    </w:p>
    <w:p w14:paraId="33EE3E2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六</w:t>
      </w:r>
      <w:r>
        <w:rPr>
          <w:rFonts w:hint="eastAsia" w:ascii="宋体" w:hAnsi="宋体" w:cs="宋体"/>
          <w:sz w:val="24"/>
          <w:szCs w:val="24"/>
          <w:lang w:eastAsia="zh-CN"/>
        </w:rPr>
        <w:t>）</w:t>
      </w:r>
      <w:r>
        <w:rPr>
          <w:rFonts w:hint="eastAsia" w:ascii="宋体" w:hAnsi="宋体" w:eastAsia="宋体" w:cs="宋体"/>
          <w:sz w:val="24"/>
          <w:szCs w:val="24"/>
        </w:rPr>
        <w:t>开标过程应由</w:t>
      </w:r>
      <w:r>
        <w:rPr>
          <w:rFonts w:hint="eastAsia" w:ascii="宋体" w:hAnsi="宋体" w:cs="宋体"/>
          <w:sz w:val="24"/>
          <w:szCs w:val="24"/>
          <w:lang w:val="en-US" w:eastAsia="zh-CN"/>
        </w:rPr>
        <w:t>比选</w:t>
      </w:r>
      <w:r>
        <w:rPr>
          <w:rFonts w:hint="eastAsia" w:ascii="宋体" w:hAnsi="宋体" w:eastAsia="宋体" w:cs="宋体"/>
          <w:sz w:val="24"/>
          <w:szCs w:val="24"/>
        </w:rPr>
        <w:t>人或</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代理机构指定专人负责记录，并存档备查。</w:t>
      </w:r>
    </w:p>
    <w:p w14:paraId="570C114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七</w:t>
      </w:r>
      <w:r>
        <w:rPr>
          <w:rFonts w:hint="eastAsia" w:ascii="宋体" w:hAnsi="宋体" w:cs="宋体"/>
          <w:sz w:val="24"/>
          <w:szCs w:val="24"/>
          <w:lang w:eastAsia="zh-CN"/>
        </w:rPr>
        <w:t>）竞选人</w:t>
      </w:r>
      <w:r>
        <w:rPr>
          <w:rFonts w:hint="eastAsia" w:ascii="宋体" w:hAnsi="宋体" w:eastAsia="宋体" w:cs="宋体"/>
          <w:sz w:val="24"/>
          <w:szCs w:val="24"/>
        </w:rPr>
        <w:t>未参加开标的，视同认可开标结果。</w:t>
      </w:r>
    </w:p>
    <w:p w14:paraId="388F1244">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评标</w:t>
      </w:r>
    </w:p>
    <w:p w14:paraId="53EB4B6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一</w:t>
      </w:r>
      <w:r>
        <w:rPr>
          <w:rFonts w:hint="eastAsia" w:ascii="宋体" w:hAnsi="宋体" w:cs="宋体"/>
          <w:sz w:val="24"/>
          <w:szCs w:val="24"/>
          <w:lang w:eastAsia="zh-CN"/>
        </w:rPr>
        <w:t>）</w:t>
      </w:r>
      <w:r>
        <w:rPr>
          <w:rFonts w:hint="eastAsia" w:ascii="宋体" w:hAnsi="宋体" w:eastAsia="宋体" w:cs="宋体"/>
          <w:sz w:val="24"/>
          <w:szCs w:val="24"/>
        </w:rPr>
        <w:t>见第四篇“评标”内容。</w:t>
      </w:r>
    </w:p>
    <w:p w14:paraId="241C086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）竞争性比选评审小组</w:t>
      </w:r>
      <w:r>
        <w:rPr>
          <w:rFonts w:hint="eastAsia" w:ascii="宋体" w:hAnsi="宋体" w:eastAsia="宋体" w:cs="宋体"/>
          <w:sz w:val="24"/>
          <w:szCs w:val="24"/>
        </w:rPr>
        <w:t>的组成:将由</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人依法组建。</w:t>
      </w:r>
    </w:p>
    <w:p w14:paraId="2743D38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三</w:t>
      </w:r>
      <w:r>
        <w:rPr>
          <w:rFonts w:hint="eastAsia" w:ascii="宋体" w:hAnsi="宋体" w:cs="宋体"/>
          <w:sz w:val="24"/>
          <w:szCs w:val="24"/>
          <w:lang w:eastAsia="zh-CN"/>
        </w:rPr>
        <w:t>）</w:t>
      </w:r>
      <w:r>
        <w:rPr>
          <w:rFonts w:hint="eastAsia" w:ascii="宋体" w:hAnsi="宋体" w:cs="宋体"/>
          <w:sz w:val="24"/>
          <w:szCs w:val="24"/>
          <w:lang w:val="en-US" w:eastAsia="zh-CN"/>
        </w:rPr>
        <w:t>比选</w:t>
      </w:r>
      <w:r>
        <w:rPr>
          <w:rFonts w:hint="eastAsia" w:ascii="宋体" w:hAnsi="宋体" w:eastAsia="宋体" w:cs="宋体"/>
          <w:sz w:val="24"/>
          <w:szCs w:val="24"/>
        </w:rPr>
        <w:t>人或其授权的</w:t>
      </w:r>
      <w:r>
        <w:rPr>
          <w:rFonts w:hint="eastAsia" w:ascii="宋体" w:hAnsi="宋体" w:cs="宋体"/>
          <w:sz w:val="24"/>
          <w:szCs w:val="24"/>
          <w:lang w:eastAsia="zh-CN"/>
        </w:rPr>
        <w:t>竞争性比选评审小组</w:t>
      </w:r>
      <w:r>
        <w:rPr>
          <w:rFonts w:hint="eastAsia" w:ascii="宋体" w:hAnsi="宋体" w:eastAsia="宋体" w:cs="宋体"/>
          <w:sz w:val="24"/>
          <w:szCs w:val="24"/>
        </w:rPr>
        <w:t>应按照评标报告中推荐的中标候选人排名顺序确定中标</w:t>
      </w:r>
      <w:r>
        <w:rPr>
          <w:rFonts w:hint="eastAsia" w:ascii="宋体" w:hAnsi="宋体" w:cs="宋体"/>
          <w:sz w:val="24"/>
          <w:szCs w:val="24"/>
          <w:lang w:eastAsia="zh-CN"/>
        </w:rPr>
        <w:t>人。</w:t>
      </w:r>
    </w:p>
    <w:p w14:paraId="23044754">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六、定标</w:t>
      </w:r>
    </w:p>
    <w:p w14:paraId="5A04C1E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一</w:t>
      </w:r>
      <w:r>
        <w:rPr>
          <w:rFonts w:hint="eastAsia" w:ascii="宋体" w:hAnsi="宋体" w:cs="宋体"/>
          <w:sz w:val="24"/>
          <w:szCs w:val="24"/>
          <w:lang w:eastAsia="zh-CN"/>
        </w:rPr>
        <w:t>）</w:t>
      </w:r>
      <w:r>
        <w:rPr>
          <w:rFonts w:hint="eastAsia" w:ascii="宋体" w:hAnsi="宋体" w:eastAsia="宋体" w:cs="宋体"/>
          <w:sz w:val="24"/>
          <w:szCs w:val="24"/>
        </w:rPr>
        <w:t>定标</w:t>
      </w:r>
      <w:r>
        <w:rPr>
          <w:rFonts w:hint="eastAsia" w:ascii="宋体" w:hAnsi="宋体" w:eastAsia="宋体" w:cs="宋体"/>
          <w:sz w:val="24"/>
          <w:szCs w:val="24"/>
          <w:lang w:eastAsia="zh-CN"/>
        </w:rPr>
        <w:t>程序：</w:t>
      </w:r>
      <w:r>
        <w:rPr>
          <w:rFonts w:hint="eastAsia" w:ascii="宋体" w:hAnsi="宋体" w:cs="宋体"/>
          <w:sz w:val="24"/>
          <w:szCs w:val="24"/>
          <w:lang w:eastAsia="zh-CN"/>
        </w:rPr>
        <w:t>比选人</w:t>
      </w:r>
      <w:r>
        <w:rPr>
          <w:rFonts w:hint="eastAsia" w:ascii="宋体" w:hAnsi="宋体" w:eastAsia="宋体" w:cs="宋体"/>
          <w:sz w:val="24"/>
          <w:szCs w:val="24"/>
          <w:lang w:eastAsia="zh-CN"/>
        </w:rPr>
        <w:t>或其授权的</w:t>
      </w:r>
      <w:r>
        <w:rPr>
          <w:rFonts w:hint="eastAsia" w:ascii="宋体" w:hAnsi="宋体" w:cs="宋体"/>
          <w:sz w:val="24"/>
          <w:szCs w:val="24"/>
          <w:lang w:eastAsia="zh-CN"/>
        </w:rPr>
        <w:t>竞争性比选评审小组</w:t>
      </w:r>
      <w:r>
        <w:rPr>
          <w:rFonts w:hint="eastAsia" w:ascii="宋体" w:hAnsi="宋体" w:eastAsia="宋体" w:cs="宋体"/>
          <w:sz w:val="24"/>
          <w:szCs w:val="24"/>
          <w:lang w:eastAsia="zh-CN"/>
        </w:rPr>
        <w:t>应按照评标报告中推荐的中标候选人排名顺序确定中标人。若</w:t>
      </w:r>
      <w:r>
        <w:rPr>
          <w:rFonts w:hint="eastAsia" w:ascii="宋体" w:hAnsi="宋体" w:cs="宋体"/>
          <w:sz w:val="24"/>
          <w:szCs w:val="24"/>
          <w:lang w:eastAsia="zh-CN"/>
        </w:rPr>
        <w:t>竞选报价</w:t>
      </w:r>
      <w:r>
        <w:rPr>
          <w:rFonts w:hint="eastAsia" w:ascii="宋体" w:hAnsi="宋体" w:eastAsia="宋体" w:cs="宋体"/>
          <w:sz w:val="24"/>
          <w:szCs w:val="24"/>
          <w:lang w:eastAsia="zh-CN"/>
        </w:rPr>
        <w:t>相同的，采取随机抽取的方式确定中标候选人排名顺序。</w:t>
      </w:r>
    </w:p>
    <w:p w14:paraId="46A1CDA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w:t>
      </w:r>
      <w:r>
        <w:rPr>
          <w:rFonts w:hint="eastAsia" w:ascii="宋体" w:hAnsi="宋体" w:eastAsia="宋体" w:cs="宋体"/>
          <w:sz w:val="24"/>
          <w:szCs w:val="24"/>
        </w:rPr>
        <w:t>定标原则</w:t>
      </w:r>
    </w:p>
    <w:p w14:paraId="1D038E4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代理机构应当在评标结束后2个工作日内将评标报告送</w:t>
      </w:r>
      <w:r>
        <w:rPr>
          <w:rFonts w:hint="eastAsia" w:ascii="宋体" w:hAnsi="宋体" w:cs="宋体"/>
          <w:sz w:val="24"/>
          <w:szCs w:val="24"/>
          <w:lang w:eastAsia="zh-CN"/>
        </w:rPr>
        <w:t>比选人；</w:t>
      </w:r>
    </w:p>
    <w:p w14:paraId="56AE536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人应当自收到评标报告之日起5个工作日内按评标报告推荐的中标候选人顺序确定中标人</w:t>
      </w:r>
      <w:r>
        <w:rPr>
          <w:rFonts w:hint="eastAsia" w:ascii="宋体" w:hAnsi="宋体" w:cs="宋体"/>
          <w:sz w:val="24"/>
          <w:szCs w:val="24"/>
          <w:lang w:eastAsia="zh-CN"/>
        </w:rPr>
        <w:t>；</w:t>
      </w:r>
    </w:p>
    <w:p w14:paraId="0E2AFB3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人或者</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代理机构应当自中标人确定之日起2个工作日内，在行采家（https://www.gec123.com）</w:t>
      </w:r>
      <w:r>
        <w:rPr>
          <w:rFonts w:hint="eastAsia" w:ascii="宋体" w:hAnsi="宋体" w:eastAsia="宋体" w:cs="宋体"/>
          <w:sz w:val="24"/>
          <w:szCs w:val="24"/>
          <w:lang w:eastAsia="zh-CN"/>
        </w:rPr>
        <w:t>网上发布</w:t>
      </w:r>
      <w:r>
        <w:rPr>
          <w:rFonts w:hint="eastAsia" w:ascii="宋体" w:hAnsi="宋体" w:eastAsia="宋体" w:cs="宋体"/>
          <w:sz w:val="24"/>
          <w:szCs w:val="24"/>
        </w:rPr>
        <w:t>。中标公告期限为1个工作日</w:t>
      </w:r>
      <w:r>
        <w:rPr>
          <w:rFonts w:hint="eastAsia" w:ascii="宋体" w:hAnsi="宋体" w:cs="宋体"/>
          <w:sz w:val="24"/>
          <w:szCs w:val="24"/>
          <w:lang w:eastAsia="zh-CN"/>
        </w:rPr>
        <w:t>；</w:t>
      </w:r>
    </w:p>
    <w:p w14:paraId="3FE456A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4.中标人变更</w:t>
      </w:r>
    </w:p>
    <w:p w14:paraId="60820E3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中标人拒绝与</w:t>
      </w:r>
      <w:r>
        <w:rPr>
          <w:rFonts w:hint="eastAsia" w:ascii="宋体" w:hAnsi="宋体" w:cs="宋体"/>
          <w:sz w:val="24"/>
          <w:szCs w:val="24"/>
          <w:lang w:eastAsia="zh-CN"/>
        </w:rPr>
        <w:t>比选人</w:t>
      </w:r>
      <w:r>
        <w:rPr>
          <w:rFonts w:hint="eastAsia" w:ascii="宋体" w:hAnsi="宋体" w:eastAsia="宋体" w:cs="宋体"/>
          <w:sz w:val="24"/>
          <w:szCs w:val="24"/>
        </w:rPr>
        <w:t>签订合同的，</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人可以按照评标报告推荐的中标候选人顺序确定排名下一位的候选人为中标人，也可以重新开展</w:t>
      </w:r>
      <w:r>
        <w:rPr>
          <w:rFonts w:hint="eastAsia" w:ascii="宋体" w:hAnsi="宋体" w:eastAsia="宋体" w:cs="宋体"/>
          <w:sz w:val="24"/>
          <w:szCs w:val="24"/>
          <w:lang w:eastAsia="zh-CN"/>
        </w:rPr>
        <w:t>采购比选</w:t>
      </w:r>
      <w:r>
        <w:rPr>
          <w:rFonts w:hint="eastAsia" w:ascii="宋体" w:hAnsi="宋体" w:eastAsia="宋体" w:cs="宋体"/>
          <w:sz w:val="24"/>
          <w:szCs w:val="24"/>
        </w:rPr>
        <w:t>活动。</w:t>
      </w:r>
    </w:p>
    <w:p w14:paraId="330981FB">
      <w:pPr>
        <w:pStyle w:val="7"/>
        <w:pageBreakBefore w:val="0"/>
        <w:numPr>
          <w:ilvl w:val="-1"/>
          <w:numId w:val="0"/>
        </w:numPr>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cs="宋体"/>
          <w:b/>
          <w:bCs/>
          <w:sz w:val="24"/>
          <w:szCs w:val="24"/>
          <w:lang w:val="en-US" w:eastAsia="zh-CN"/>
        </w:rPr>
        <w:t>七、</w:t>
      </w:r>
      <w:r>
        <w:rPr>
          <w:rFonts w:hint="eastAsia" w:ascii="宋体" w:hAnsi="宋体" w:eastAsia="宋体" w:cs="宋体"/>
          <w:b/>
          <w:bCs/>
          <w:sz w:val="24"/>
          <w:szCs w:val="24"/>
        </w:rPr>
        <w:t>中标</w:t>
      </w:r>
    </w:p>
    <w:p w14:paraId="5FC4AEC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（一）</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人依法确定中标人后，</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代理机构以书面形式发出</w:t>
      </w:r>
      <w:r>
        <w:rPr>
          <w:rFonts w:hint="eastAsia" w:ascii="宋体" w:hAnsi="宋体" w:cs="宋体"/>
          <w:sz w:val="24"/>
          <w:szCs w:val="24"/>
          <w:lang w:val="en-US" w:eastAsia="zh-CN"/>
        </w:rPr>
        <w:t>中选</w:t>
      </w:r>
      <w:r>
        <w:rPr>
          <w:rFonts w:hint="eastAsia" w:ascii="宋体" w:hAnsi="宋体" w:eastAsia="宋体" w:cs="宋体"/>
          <w:sz w:val="24"/>
          <w:szCs w:val="24"/>
          <w:lang w:eastAsia="zh-CN"/>
        </w:rPr>
        <w:t>通知书</w:t>
      </w:r>
      <w:r>
        <w:rPr>
          <w:rFonts w:hint="eastAsia" w:ascii="宋体" w:hAnsi="宋体" w:cs="宋体"/>
          <w:sz w:val="24"/>
          <w:szCs w:val="24"/>
          <w:lang w:eastAsia="zh-CN"/>
        </w:rPr>
        <w:t>。</w:t>
      </w:r>
    </w:p>
    <w:p w14:paraId="565019B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cs="宋体"/>
          <w:sz w:val="24"/>
          <w:szCs w:val="24"/>
          <w:lang w:val="en-US" w:eastAsia="zh-CN"/>
        </w:rPr>
        <w:t>中选</w:t>
      </w:r>
      <w:r>
        <w:rPr>
          <w:rFonts w:hint="eastAsia" w:ascii="宋体" w:hAnsi="宋体" w:eastAsia="宋体" w:cs="宋体"/>
          <w:sz w:val="24"/>
          <w:szCs w:val="24"/>
          <w:lang w:eastAsia="zh-CN"/>
        </w:rPr>
        <w:t>通知书</w:t>
      </w:r>
      <w:r>
        <w:rPr>
          <w:rFonts w:hint="eastAsia" w:ascii="宋体" w:hAnsi="宋体" w:eastAsia="宋体" w:cs="宋体"/>
          <w:sz w:val="24"/>
          <w:szCs w:val="24"/>
        </w:rPr>
        <w:t>发出后，</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人改变中标结果，或者中标人放弃中标，应当承担相应的法律责任。</w:t>
      </w:r>
    </w:p>
    <w:p w14:paraId="4F605478">
      <w:pPr>
        <w:pStyle w:val="7"/>
        <w:pageBreakBefore w:val="0"/>
        <w:numPr>
          <w:ilvl w:val="-1"/>
          <w:numId w:val="0"/>
        </w:numPr>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cs="宋体"/>
          <w:b/>
          <w:bCs/>
          <w:sz w:val="24"/>
          <w:szCs w:val="24"/>
          <w:lang w:val="en-US" w:eastAsia="zh-CN"/>
        </w:rPr>
        <w:t>八、</w:t>
      </w:r>
      <w:r>
        <w:rPr>
          <w:rFonts w:hint="eastAsia" w:ascii="宋体" w:hAnsi="宋体" w:eastAsia="宋体" w:cs="宋体"/>
          <w:b/>
          <w:bCs/>
          <w:sz w:val="24"/>
          <w:szCs w:val="24"/>
        </w:rPr>
        <w:t>询问、质疑和投诉</w:t>
      </w:r>
    </w:p>
    <w:p w14:paraId="63211150">
      <w:pPr>
        <w:pageBreakBefore w:val="0"/>
        <w:numPr>
          <w:ilvl w:val="0"/>
          <w:numId w:val="0"/>
        </w:numPr>
        <w:kinsoku/>
        <w:wordWrap/>
        <w:overflowPunct/>
        <w:topLinePunct w:val="0"/>
        <w:autoSpaceDE/>
        <w:autoSpaceDN/>
        <w:bidi w:val="0"/>
        <w:adjustRightInd w:val="0"/>
        <w:snapToGrid w:val="0"/>
        <w:spacing w:line="360" w:lineRule="auto"/>
        <w:ind w:leftChars="200" w:right="0" w:rightChars="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一</w:t>
      </w:r>
      <w:r>
        <w:rPr>
          <w:rFonts w:hint="eastAsia" w:ascii="宋体" w:hAnsi="宋体" w:cs="宋体"/>
          <w:sz w:val="24"/>
          <w:szCs w:val="24"/>
          <w:lang w:eastAsia="zh-CN"/>
        </w:rPr>
        <w:t>）</w:t>
      </w:r>
      <w:r>
        <w:rPr>
          <w:rFonts w:hint="eastAsia" w:ascii="宋体" w:hAnsi="宋体" w:eastAsia="宋体" w:cs="宋体"/>
          <w:sz w:val="24"/>
          <w:szCs w:val="24"/>
        </w:rPr>
        <w:t>询问</w:t>
      </w:r>
    </w:p>
    <w:p w14:paraId="5757166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人或者</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代理机构应当在3个工作日内对</w:t>
      </w:r>
      <w:r>
        <w:rPr>
          <w:rFonts w:hint="eastAsia" w:ascii="宋体" w:hAnsi="宋体" w:cs="宋体"/>
          <w:sz w:val="24"/>
          <w:szCs w:val="24"/>
          <w:lang w:eastAsia="zh-CN"/>
        </w:rPr>
        <w:t>竞选人</w:t>
      </w:r>
      <w:r>
        <w:rPr>
          <w:rFonts w:hint="eastAsia" w:ascii="宋体" w:hAnsi="宋体" w:eastAsia="宋体" w:cs="宋体"/>
          <w:sz w:val="24"/>
          <w:szCs w:val="24"/>
        </w:rPr>
        <w:t>依法提出的询问作出答复。投资询问可以是口头或书面形式。</w:t>
      </w:r>
    </w:p>
    <w:p w14:paraId="37C6FC6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w:t>
      </w:r>
      <w:r>
        <w:rPr>
          <w:rFonts w:hint="eastAsia" w:ascii="宋体" w:hAnsi="宋体" w:eastAsia="宋体" w:cs="宋体"/>
          <w:sz w:val="24"/>
          <w:szCs w:val="24"/>
        </w:rPr>
        <w:t>质疑</w:t>
      </w:r>
    </w:p>
    <w:p w14:paraId="5D07D0A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竞选人</w:t>
      </w:r>
      <w:r>
        <w:rPr>
          <w:rFonts w:hint="eastAsia" w:ascii="宋体" w:hAnsi="宋体" w:eastAsia="宋体" w:cs="宋体"/>
          <w:sz w:val="24"/>
          <w:szCs w:val="24"/>
        </w:rPr>
        <w:t>认为</w:t>
      </w:r>
      <w:r>
        <w:rPr>
          <w:rFonts w:hint="eastAsia" w:ascii="宋体" w:hAnsi="宋体" w:cs="宋体"/>
          <w:color w:val="auto"/>
          <w:sz w:val="24"/>
          <w:szCs w:val="24"/>
          <w:highlight w:val="none"/>
          <w:lang w:val="en-US" w:eastAsia="zh-CN"/>
        </w:rPr>
        <w:t>竞争性比选文件</w:t>
      </w:r>
      <w:r>
        <w:rPr>
          <w:rFonts w:hint="eastAsia" w:ascii="宋体" w:hAnsi="宋体" w:eastAsia="宋体" w:cs="宋体"/>
          <w:sz w:val="24"/>
          <w:szCs w:val="24"/>
        </w:rPr>
        <w:t>、采购过程和中标结果使自己的权益受到伤害的，可向</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人或</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代理机构以书面形式提出质疑。</w:t>
      </w:r>
    </w:p>
    <w:p w14:paraId="1AEED7D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提出质疑的应当是参与所质疑项目采购活动的</w:t>
      </w:r>
      <w:r>
        <w:rPr>
          <w:rFonts w:hint="eastAsia" w:ascii="宋体" w:hAnsi="宋体" w:cs="宋体"/>
          <w:sz w:val="24"/>
          <w:szCs w:val="24"/>
          <w:lang w:eastAsia="zh-CN"/>
        </w:rPr>
        <w:t>竞选人</w:t>
      </w:r>
      <w:r>
        <w:rPr>
          <w:rFonts w:hint="eastAsia" w:ascii="宋体" w:hAnsi="宋体" w:eastAsia="宋体" w:cs="宋体"/>
          <w:sz w:val="24"/>
          <w:szCs w:val="24"/>
        </w:rPr>
        <w:t>。</w:t>
      </w:r>
    </w:p>
    <w:p w14:paraId="3BDE742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1.质疑时限、内容</w:t>
      </w:r>
    </w:p>
    <w:p w14:paraId="7AC774C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 xml:space="preserve">1.1 </w:t>
      </w:r>
      <w:r>
        <w:rPr>
          <w:rFonts w:hint="eastAsia" w:ascii="宋体" w:hAnsi="宋体" w:cs="宋体"/>
          <w:sz w:val="24"/>
          <w:szCs w:val="24"/>
          <w:lang w:eastAsia="zh-CN"/>
        </w:rPr>
        <w:t>竞选人</w:t>
      </w:r>
      <w:r>
        <w:rPr>
          <w:rFonts w:hint="eastAsia" w:ascii="宋体" w:hAnsi="宋体" w:eastAsia="宋体" w:cs="宋体"/>
          <w:sz w:val="24"/>
          <w:szCs w:val="24"/>
        </w:rPr>
        <w:t>对</w:t>
      </w:r>
      <w:r>
        <w:rPr>
          <w:rFonts w:hint="eastAsia" w:ascii="宋体" w:hAnsi="宋体" w:cs="宋体"/>
          <w:sz w:val="24"/>
          <w:szCs w:val="24"/>
          <w:lang w:eastAsia="zh-CN"/>
        </w:rPr>
        <w:t>竞争性比选文件</w:t>
      </w:r>
      <w:r>
        <w:rPr>
          <w:rFonts w:hint="eastAsia" w:ascii="宋体" w:hAnsi="宋体" w:eastAsia="宋体" w:cs="宋体"/>
          <w:sz w:val="24"/>
          <w:szCs w:val="24"/>
        </w:rPr>
        <w:t>提出质疑的，应在依法获取</w:t>
      </w:r>
      <w:r>
        <w:rPr>
          <w:rFonts w:hint="eastAsia" w:ascii="宋体" w:hAnsi="宋体" w:cs="宋体"/>
          <w:sz w:val="24"/>
          <w:szCs w:val="24"/>
          <w:lang w:eastAsia="zh-CN"/>
        </w:rPr>
        <w:t>竞争性比选文件</w:t>
      </w:r>
      <w:r>
        <w:rPr>
          <w:rFonts w:hint="eastAsia" w:ascii="宋体" w:hAnsi="宋体" w:eastAsia="宋体" w:cs="宋体"/>
          <w:sz w:val="24"/>
          <w:szCs w:val="24"/>
        </w:rPr>
        <w:t>之日或者</w:t>
      </w:r>
      <w:r>
        <w:rPr>
          <w:rFonts w:hint="eastAsia" w:ascii="宋体" w:hAnsi="宋体" w:cs="宋体"/>
          <w:sz w:val="24"/>
          <w:szCs w:val="24"/>
          <w:lang w:eastAsia="zh-CN"/>
        </w:rPr>
        <w:t>竞争性比选文件</w:t>
      </w:r>
      <w:r>
        <w:rPr>
          <w:rFonts w:hint="eastAsia" w:ascii="宋体" w:hAnsi="宋体" w:eastAsia="宋体" w:cs="宋体"/>
          <w:sz w:val="24"/>
          <w:szCs w:val="24"/>
        </w:rPr>
        <w:t>公告期限届满之日起七个工作日内提出</w:t>
      </w:r>
      <w:r>
        <w:rPr>
          <w:rFonts w:hint="eastAsia" w:ascii="宋体" w:hAnsi="宋体" w:cs="宋体"/>
          <w:sz w:val="24"/>
          <w:szCs w:val="24"/>
          <w:lang w:eastAsia="zh-CN"/>
        </w:rPr>
        <w:t>；</w:t>
      </w:r>
    </w:p>
    <w:p w14:paraId="5D262D9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 xml:space="preserve">1.2 </w:t>
      </w:r>
      <w:r>
        <w:rPr>
          <w:rFonts w:hint="eastAsia" w:ascii="宋体" w:hAnsi="宋体" w:cs="宋体"/>
          <w:sz w:val="24"/>
          <w:szCs w:val="24"/>
          <w:lang w:eastAsia="zh-CN"/>
        </w:rPr>
        <w:t>竞选人</w:t>
      </w:r>
      <w:r>
        <w:rPr>
          <w:rFonts w:hint="eastAsia" w:ascii="宋体" w:hAnsi="宋体" w:eastAsia="宋体" w:cs="宋体"/>
          <w:sz w:val="24"/>
          <w:szCs w:val="24"/>
        </w:rPr>
        <w:t>对采购过程提出质疑的，应在各采购程序环节结束之日起七个工作日内提出</w:t>
      </w:r>
      <w:r>
        <w:rPr>
          <w:rFonts w:hint="eastAsia" w:ascii="宋体" w:hAnsi="宋体" w:cs="宋体"/>
          <w:sz w:val="24"/>
          <w:szCs w:val="24"/>
          <w:lang w:eastAsia="zh-CN"/>
        </w:rPr>
        <w:t>；</w:t>
      </w:r>
    </w:p>
    <w:p w14:paraId="031AF63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 xml:space="preserve">1.3 </w:t>
      </w:r>
      <w:r>
        <w:rPr>
          <w:rFonts w:hint="eastAsia" w:ascii="宋体" w:hAnsi="宋体" w:cs="宋体"/>
          <w:sz w:val="24"/>
          <w:szCs w:val="24"/>
          <w:lang w:eastAsia="zh-CN"/>
        </w:rPr>
        <w:t>竞选人</w:t>
      </w:r>
      <w:r>
        <w:rPr>
          <w:rFonts w:hint="eastAsia" w:ascii="宋体" w:hAnsi="宋体" w:eastAsia="宋体" w:cs="宋体"/>
          <w:sz w:val="24"/>
          <w:szCs w:val="24"/>
        </w:rPr>
        <w:t>对中标结果提出质疑的，应当在中标结果公告期限届满之日起七个工作内提出</w:t>
      </w:r>
      <w:r>
        <w:rPr>
          <w:rFonts w:hint="eastAsia" w:ascii="宋体" w:hAnsi="宋体" w:cs="宋体"/>
          <w:sz w:val="24"/>
          <w:szCs w:val="24"/>
          <w:lang w:eastAsia="zh-CN"/>
        </w:rPr>
        <w:t>；</w:t>
      </w:r>
    </w:p>
    <w:p w14:paraId="5728803F">
      <w:pPr>
        <w:pageBreakBefore w:val="0"/>
        <w:kinsoku/>
        <w:wordWrap/>
        <w:overflowPunct/>
        <w:topLinePunct w:val="0"/>
        <w:autoSpaceDE/>
        <w:autoSpaceDN/>
        <w:bidi w:val="0"/>
        <w:adjustRightInd w:val="0"/>
        <w:snapToGrid w:val="0"/>
        <w:spacing w:line="360" w:lineRule="auto"/>
        <w:ind w:left="476" w:leftChars="170" w:right="0" w:righ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rPr>
        <w:t xml:space="preserve">1.4 </w:t>
      </w:r>
      <w:r>
        <w:rPr>
          <w:rFonts w:hint="eastAsia" w:ascii="宋体" w:hAnsi="宋体" w:cs="宋体"/>
          <w:sz w:val="24"/>
          <w:szCs w:val="24"/>
          <w:lang w:eastAsia="zh-CN"/>
        </w:rPr>
        <w:t>竞选人</w:t>
      </w:r>
      <w:r>
        <w:rPr>
          <w:rFonts w:hint="eastAsia" w:ascii="宋体" w:hAnsi="宋体" w:eastAsia="宋体" w:cs="宋体"/>
          <w:sz w:val="24"/>
          <w:szCs w:val="24"/>
        </w:rPr>
        <w:t>提出质疑应当提交质疑函和必要的证明材料，质疑函应当包括下列内容</w:t>
      </w:r>
      <w:r>
        <w:rPr>
          <w:rFonts w:hint="eastAsia" w:ascii="宋体" w:hAnsi="宋体" w:cs="宋体"/>
          <w:sz w:val="24"/>
          <w:szCs w:val="24"/>
          <w:lang w:eastAsia="zh-CN"/>
        </w:rPr>
        <w:t>：</w:t>
      </w:r>
      <w:r>
        <w:rPr>
          <w:rFonts w:hint="eastAsia" w:ascii="宋体" w:hAnsi="宋体" w:eastAsia="宋体" w:cs="宋体"/>
          <w:sz w:val="24"/>
          <w:szCs w:val="24"/>
        </w:rPr>
        <w:t>1.4.1</w:t>
      </w:r>
      <w:r>
        <w:rPr>
          <w:rFonts w:hint="eastAsia" w:ascii="宋体" w:hAnsi="宋体" w:cs="宋体"/>
          <w:sz w:val="24"/>
          <w:szCs w:val="24"/>
          <w:lang w:eastAsia="zh-CN"/>
        </w:rPr>
        <w:t>竞选人</w:t>
      </w:r>
      <w:r>
        <w:rPr>
          <w:rFonts w:hint="eastAsia" w:ascii="宋体" w:hAnsi="宋体" w:eastAsia="宋体" w:cs="宋体"/>
          <w:sz w:val="24"/>
          <w:szCs w:val="24"/>
        </w:rPr>
        <w:t>的姓名或者名称、地址、邮编、联系人及联系电话</w:t>
      </w:r>
      <w:r>
        <w:rPr>
          <w:rFonts w:hint="eastAsia" w:ascii="宋体" w:hAnsi="宋体" w:eastAsia="宋体" w:cs="宋体"/>
          <w:sz w:val="24"/>
          <w:szCs w:val="24"/>
          <w:lang w:eastAsia="zh-CN"/>
        </w:rPr>
        <w:t>；</w:t>
      </w:r>
    </w:p>
    <w:p w14:paraId="445C82E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1.4.2质疑项目的名称、项目编号以及采购执行编号</w:t>
      </w:r>
      <w:r>
        <w:rPr>
          <w:rFonts w:hint="eastAsia" w:ascii="宋体" w:hAnsi="宋体" w:eastAsia="宋体" w:cs="宋体"/>
          <w:sz w:val="24"/>
          <w:szCs w:val="24"/>
          <w:lang w:eastAsia="zh-CN"/>
        </w:rPr>
        <w:t>；</w:t>
      </w:r>
    </w:p>
    <w:p w14:paraId="5CF20C3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1.4.3 具体、明确的质疑事项和与质疑事项相关的请求</w:t>
      </w:r>
      <w:r>
        <w:rPr>
          <w:rFonts w:hint="eastAsia" w:ascii="宋体" w:hAnsi="宋体" w:eastAsia="宋体" w:cs="宋体"/>
          <w:sz w:val="24"/>
          <w:szCs w:val="24"/>
          <w:lang w:eastAsia="zh-CN"/>
        </w:rPr>
        <w:t>；</w:t>
      </w:r>
    </w:p>
    <w:p w14:paraId="2DC07D9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1.4.4事实依据</w:t>
      </w:r>
      <w:r>
        <w:rPr>
          <w:rFonts w:hint="eastAsia" w:ascii="宋体" w:hAnsi="宋体" w:eastAsia="宋体" w:cs="宋体"/>
          <w:sz w:val="24"/>
          <w:szCs w:val="24"/>
          <w:lang w:eastAsia="zh-CN"/>
        </w:rPr>
        <w:t>；</w:t>
      </w:r>
    </w:p>
    <w:p w14:paraId="1508A11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1.4.5必要的法律依据</w:t>
      </w:r>
      <w:r>
        <w:rPr>
          <w:rFonts w:hint="eastAsia" w:ascii="宋体" w:hAnsi="宋体" w:eastAsia="宋体" w:cs="宋体"/>
          <w:sz w:val="24"/>
          <w:szCs w:val="24"/>
          <w:lang w:eastAsia="zh-CN"/>
        </w:rPr>
        <w:t>；</w:t>
      </w:r>
    </w:p>
    <w:p w14:paraId="41AF9CC2">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1.4.6提出质疑的日期</w:t>
      </w:r>
      <w:r>
        <w:rPr>
          <w:rFonts w:hint="eastAsia" w:ascii="宋体" w:hAnsi="宋体" w:eastAsia="宋体" w:cs="宋体"/>
          <w:sz w:val="24"/>
          <w:szCs w:val="24"/>
          <w:lang w:eastAsia="zh-CN"/>
        </w:rPr>
        <w:t>；</w:t>
      </w:r>
    </w:p>
    <w:p w14:paraId="3051287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1.4.7 营业执照(或事业单位法人证书，或个体工商户营业执照或有效的自然人身份证明)复印件</w:t>
      </w:r>
      <w:r>
        <w:rPr>
          <w:rFonts w:hint="eastAsia" w:ascii="宋体" w:hAnsi="宋体" w:eastAsia="宋体" w:cs="宋体"/>
          <w:sz w:val="24"/>
          <w:szCs w:val="24"/>
          <w:lang w:eastAsia="zh-CN"/>
        </w:rPr>
        <w:t>；</w:t>
      </w:r>
    </w:p>
    <w:p w14:paraId="113601C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1.4.8 法定代表人授权委托书原件、法定代表人身份证复印件和其授权代表的身份证复印件(</w:t>
      </w:r>
      <w:r>
        <w:rPr>
          <w:rFonts w:hint="eastAsia" w:ascii="宋体" w:hAnsi="宋体" w:cs="宋体"/>
          <w:sz w:val="24"/>
          <w:szCs w:val="24"/>
          <w:lang w:eastAsia="zh-CN"/>
        </w:rPr>
        <w:t>竞选人</w:t>
      </w:r>
      <w:r>
        <w:rPr>
          <w:rFonts w:hint="eastAsia" w:ascii="宋体" w:hAnsi="宋体" w:eastAsia="宋体" w:cs="宋体"/>
          <w:sz w:val="24"/>
          <w:szCs w:val="24"/>
        </w:rPr>
        <w:t>为自然人的提供自然人身份证复印件)</w:t>
      </w:r>
      <w:r>
        <w:rPr>
          <w:rFonts w:hint="eastAsia" w:ascii="宋体" w:hAnsi="宋体" w:cs="宋体"/>
          <w:sz w:val="24"/>
          <w:szCs w:val="24"/>
          <w:lang w:eastAsia="zh-CN"/>
        </w:rPr>
        <w:t>；</w:t>
      </w:r>
    </w:p>
    <w:p w14:paraId="68F3899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cs="宋体"/>
          <w:sz w:val="24"/>
          <w:szCs w:val="24"/>
          <w:lang w:eastAsia="zh-CN"/>
        </w:rPr>
      </w:pPr>
      <w:r>
        <w:rPr>
          <w:rFonts w:hint="eastAsia" w:ascii="宋体" w:hAnsi="宋体" w:eastAsia="宋体" w:cs="宋体"/>
          <w:sz w:val="24"/>
          <w:szCs w:val="24"/>
        </w:rPr>
        <w:t xml:space="preserve">1.5 </w:t>
      </w:r>
      <w:r>
        <w:rPr>
          <w:rFonts w:hint="eastAsia" w:ascii="宋体" w:hAnsi="宋体" w:cs="宋体"/>
          <w:sz w:val="24"/>
          <w:szCs w:val="24"/>
          <w:lang w:eastAsia="zh-CN"/>
        </w:rPr>
        <w:t>竞选人</w:t>
      </w:r>
      <w:r>
        <w:rPr>
          <w:rFonts w:hint="eastAsia" w:ascii="宋体" w:hAnsi="宋体" w:eastAsia="宋体" w:cs="宋体"/>
          <w:sz w:val="24"/>
          <w:szCs w:val="24"/>
        </w:rPr>
        <w:t>为自然人的，质疑函应当由本人签字，</w:t>
      </w:r>
      <w:r>
        <w:rPr>
          <w:rFonts w:hint="eastAsia" w:ascii="宋体" w:hAnsi="宋体" w:cs="宋体"/>
          <w:sz w:val="24"/>
          <w:szCs w:val="24"/>
          <w:lang w:eastAsia="zh-CN"/>
        </w:rPr>
        <w:t>竞选人</w:t>
      </w:r>
      <w:r>
        <w:rPr>
          <w:rFonts w:hint="eastAsia" w:ascii="宋体" w:hAnsi="宋体" w:eastAsia="宋体" w:cs="宋体"/>
          <w:sz w:val="24"/>
          <w:szCs w:val="24"/>
        </w:rPr>
        <w:t>为法人或者其他组织的质疑函应当由法定代表人、主要负责人，或者其授权代表签字或者盖章，并加盖公章</w:t>
      </w:r>
      <w:r>
        <w:rPr>
          <w:rFonts w:hint="eastAsia" w:ascii="宋体" w:hAnsi="宋体" w:cs="宋体"/>
          <w:sz w:val="24"/>
          <w:szCs w:val="24"/>
          <w:lang w:eastAsia="zh-CN"/>
        </w:rPr>
        <w:t>。</w:t>
      </w:r>
    </w:p>
    <w:p w14:paraId="07CD30E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2.质疑答复</w:t>
      </w:r>
    </w:p>
    <w:p w14:paraId="6E5E1F6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代理机构应当在收到</w:t>
      </w:r>
      <w:r>
        <w:rPr>
          <w:rFonts w:hint="eastAsia" w:ascii="宋体" w:hAnsi="宋体" w:cs="宋体"/>
          <w:sz w:val="24"/>
          <w:szCs w:val="24"/>
          <w:lang w:eastAsia="zh-CN"/>
        </w:rPr>
        <w:t>竞选人</w:t>
      </w:r>
      <w:r>
        <w:rPr>
          <w:rFonts w:hint="eastAsia" w:ascii="宋体" w:hAnsi="宋体" w:eastAsia="宋体" w:cs="宋体"/>
          <w:sz w:val="24"/>
          <w:szCs w:val="24"/>
        </w:rPr>
        <w:t>的书面质疑后七个工作日内作出答复，并以书面形式通知质疑</w:t>
      </w:r>
      <w:r>
        <w:rPr>
          <w:rFonts w:hint="eastAsia" w:ascii="宋体" w:hAnsi="宋体" w:cs="宋体"/>
          <w:sz w:val="24"/>
          <w:szCs w:val="24"/>
          <w:lang w:eastAsia="zh-CN"/>
        </w:rPr>
        <w:t>竞选人</w:t>
      </w:r>
      <w:r>
        <w:rPr>
          <w:rFonts w:hint="eastAsia" w:ascii="宋体" w:hAnsi="宋体" w:eastAsia="宋体" w:cs="宋体"/>
          <w:sz w:val="24"/>
          <w:szCs w:val="24"/>
        </w:rPr>
        <w:t>和其他有关</w:t>
      </w:r>
      <w:r>
        <w:rPr>
          <w:rFonts w:hint="eastAsia" w:ascii="宋体" w:hAnsi="宋体" w:cs="宋体"/>
          <w:sz w:val="24"/>
          <w:szCs w:val="24"/>
          <w:lang w:eastAsia="zh-CN"/>
        </w:rPr>
        <w:t>竞选人</w:t>
      </w:r>
      <w:r>
        <w:rPr>
          <w:rFonts w:hint="eastAsia" w:ascii="宋体" w:hAnsi="宋体" w:eastAsia="宋体" w:cs="宋体"/>
          <w:sz w:val="24"/>
          <w:szCs w:val="24"/>
        </w:rPr>
        <w:t>。</w:t>
      </w:r>
    </w:p>
    <w:p w14:paraId="10F56BA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3.其他</w:t>
      </w:r>
    </w:p>
    <w:p w14:paraId="406AAB3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 xml:space="preserve">3.1 </w:t>
      </w:r>
      <w:r>
        <w:rPr>
          <w:rFonts w:hint="eastAsia" w:ascii="宋体" w:hAnsi="宋体" w:cs="宋体"/>
          <w:sz w:val="24"/>
          <w:szCs w:val="24"/>
          <w:lang w:eastAsia="zh-CN"/>
        </w:rPr>
        <w:t>竞选人</w:t>
      </w:r>
      <w:r>
        <w:rPr>
          <w:rFonts w:hint="eastAsia" w:ascii="宋体" w:hAnsi="宋体" w:eastAsia="宋体" w:cs="宋体"/>
          <w:sz w:val="24"/>
          <w:szCs w:val="24"/>
        </w:rPr>
        <w:t>应按照《政府采购质疑和投诉办法》(财政部令第 94号及相关法律法规要求，在法定质疑期内一次性提出针对同一采购程序环节的质疑</w:t>
      </w:r>
      <w:r>
        <w:rPr>
          <w:rFonts w:hint="eastAsia" w:ascii="宋体" w:hAnsi="宋体" w:cs="宋体"/>
          <w:sz w:val="24"/>
          <w:szCs w:val="24"/>
          <w:lang w:eastAsia="zh-CN"/>
        </w:rPr>
        <w:t>；</w:t>
      </w:r>
    </w:p>
    <w:p w14:paraId="128A8A9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3.2质疑函范本可在财政部门户网站和中国政府采购网下载</w:t>
      </w:r>
      <w:r>
        <w:rPr>
          <w:rFonts w:hint="eastAsia" w:ascii="宋体" w:hAnsi="宋体" w:cs="宋体"/>
          <w:sz w:val="24"/>
          <w:szCs w:val="24"/>
          <w:lang w:eastAsia="zh-CN"/>
        </w:rPr>
        <w:t>。</w:t>
      </w:r>
    </w:p>
    <w:p w14:paraId="21E3F8C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4.质疑联系方式详见第一篇“联系方式”。</w:t>
      </w:r>
    </w:p>
    <w:p w14:paraId="1EF978F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(三) 投诉</w:t>
      </w:r>
    </w:p>
    <w:p w14:paraId="1CC55E6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eastAsia="zh-CN"/>
        </w:rPr>
        <w:t>竞选人</w:t>
      </w:r>
      <w:r>
        <w:rPr>
          <w:rFonts w:hint="eastAsia" w:ascii="宋体" w:hAnsi="宋体" w:eastAsia="宋体" w:cs="宋体"/>
          <w:sz w:val="24"/>
          <w:szCs w:val="24"/>
        </w:rPr>
        <w:t>对</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代理机构的答复不满意，或者</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代理机构未在规定时间内作出答复的，可以在答复期满后15个工作日内按照相关法律法规向</w:t>
      </w:r>
      <w:r>
        <w:rPr>
          <w:rFonts w:hint="eastAsia" w:ascii="宋体" w:hAnsi="宋体" w:cs="宋体"/>
          <w:sz w:val="24"/>
          <w:szCs w:val="24"/>
          <w:lang w:eastAsia="zh-CN"/>
        </w:rPr>
        <w:t>相关部门</w:t>
      </w:r>
      <w:r>
        <w:rPr>
          <w:rFonts w:hint="eastAsia" w:ascii="宋体" w:hAnsi="宋体" w:eastAsia="宋体" w:cs="宋体"/>
          <w:sz w:val="24"/>
          <w:szCs w:val="24"/>
        </w:rPr>
        <w:t>提起</w:t>
      </w:r>
    </w:p>
    <w:p w14:paraId="4B2F79E9">
      <w:pPr>
        <w:pageBreakBefore w:val="0"/>
        <w:kinsoku/>
        <w:wordWrap/>
        <w:overflowPunct/>
        <w:topLinePunct w:val="0"/>
        <w:autoSpaceDE/>
        <w:autoSpaceDN/>
        <w:bidi w:val="0"/>
        <w:adjustRightInd w:val="0"/>
        <w:snapToGrid w:val="0"/>
        <w:spacing w:line="360" w:lineRule="auto"/>
        <w:ind w:right="0" w:rightChars="0"/>
        <w:jc w:val="left"/>
        <w:rPr>
          <w:rFonts w:hint="eastAsia" w:ascii="宋体" w:hAnsi="宋体" w:eastAsia="宋体" w:cs="宋体"/>
          <w:sz w:val="24"/>
          <w:szCs w:val="24"/>
        </w:rPr>
      </w:pPr>
      <w:r>
        <w:rPr>
          <w:rFonts w:hint="eastAsia" w:ascii="宋体" w:hAnsi="宋体" w:eastAsia="宋体" w:cs="宋体"/>
          <w:sz w:val="24"/>
          <w:szCs w:val="24"/>
        </w:rPr>
        <w:t>投诉。</w:t>
      </w:r>
    </w:p>
    <w:p w14:paraId="55263B3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eastAsia="zh-CN"/>
        </w:rPr>
        <w:t>竞选人</w:t>
      </w:r>
      <w:r>
        <w:rPr>
          <w:rFonts w:hint="eastAsia" w:ascii="宋体" w:hAnsi="宋体" w:eastAsia="宋体" w:cs="宋体"/>
          <w:sz w:val="24"/>
          <w:szCs w:val="24"/>
        </w:rPr>
        <w:t>应按照《政府采购质疑和投诉办法》(财政部令第94 号及相关法律法规要求递交投诉书和必要的证明材料。投诉书范本可在财政部门户网站和中国政府采购网下载。</w:t>
      </w:r>
    </w:p>
    <w:p w14:paraId="6927CE8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3.投诉书应当使用中文，相关当事人提供外文书证或者外国语视听资料的，应当附有中文译本，由翻译机构盖章或者翻译人员签名</w:t>
      </w:r>
      <w:r>
        <w:rPr>
          <w:rFonts w:hint="eastAsia" w:ascii="宋体" w:hAnsi="宋体" w:cs="宋体"/>
          <w:sz w:val="24"/>
          <w:szCs w:val="24"/>
          <w:lang w:eastAsia="zh-CN"/>
        </w:rPr>
        <w:t>；</w:t>
      </w:r>
      <w:r>
        <w:rPr>
          <w:rFonts w:hint="eastAsia" w:ascii="宋体" w:hAnsi="宋体" w:eastAsia="宋体" w:cs="宋体"/>
          <w:sz w:val="24"/>
          <w:szCs w:val="24"/>
        </w:rPr>
        <w:t>相关当事人向</w:t>
      </w:r>
      <w:r>
        <w:rPr>
          <w:rFonts w:hint="eastAsia" w:ascii="宋体" w:hAnsi="宋体" w:cs="宋体"/>
          <w:sz w:val="24"/>
          <w:szCs w:val="24"/>
          <w:lang w:eastAsia="zh-CN"/>
        </w:rPr>
        <w:t>相关部门</w:t>
      </w:r>
      <w:r>
        <w:rPr>
          <w:rFonts w:hint="eastAsia" w:ascii="宋体" w:hAnsi="宋体" w:eastAsia="宋体" w:cs="宋体"/>
          <w:sz w:val="24"/>
          <w:szCs w:val="24"/>
        </w:rPr>
        <w:t>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w:t>
      </w:r>
      <w:r>
        <w:rPr>
          <w:rFonts w:hint="eastAsia" w:ascii="宋体" w:hAnsi="宋体" w:cs="宋体"/>
          <w:sz w:val="24"/>
          <w:szCs w:val="24"/>
          <w:lang w:eastAsia="zh-CN"/>
        </w:rPr>
        <w:t>。</w:t>
      </w:r>
    </w:p>
    <w:p w14:paraId="27283B4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4.在确定受理投诉后，</w:t>
      </w:r>
      <w:r>
        <w:rPr>
          <w:rFonts w:hint="eastAsia" w:ascii="宋体" w:hAnsi="宋体" w:cs="宋体"/>
          <w:sz w:val="24"/>
          <w:szCs w:val="24"/>
          <w:lang w:eastAsia="zh-CN"/>
        </w:rPr>
        <w:t>相关部门</w:t>
      </w:r>
      <w:r>
        <w:rPr>
          <w:rFonts w:hint="eastAsia" w:ascii="宋体" w:hAnsi="宋体" w:eastAsia="宋体" w:cs="宋体"/>
          <w:sz w:val="24"/>
          <w:szCs w:val="24"/>
        </w:rPr>
        <w:t>自受理投诉之日起30个工作日内(需要检验、检测应当履行相关的证明手续。鉴定、专家评审以及需要投诉人补正材料的，所需时间不计算在投诉处理期限内)对投诉事项作出处理决定。</w:t>
      </w:r>
    </w:p>
    <w:p w14:paraId="678B68E8">
      <w:pPr>
        <w:pStyle w:val="7"/>
        <w:pageBreakBefore w:val="0"/>
        <w:numPr>
          <w:ilvl w:val="0"/>
          <w:numId w:val="0"/>
        </w:numPr>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九、采购代理服务费</w:t>
      </w:r>
    </w:p>
    <w:p w14:paraId="13F62C5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default" w:ascii="宋体" w:hAnsi="宋体" w:eastAsia="宋体" w:cs="宋体"/>
          <w:sz w:val="24"/>
          <w:szCs w:val="24"/>
          <w:highlight w:val="yellow"/>
          <w:lang w:val="en-US" w:eastAsia="zh-CN"/>
        </w:rPr>
      </w:pP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highlight w:val="none"/>
        </w:rPr>
        <w:t>代理服务费的支付</w:t>
      </w: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本项目代理费包干价3000元，</w:t>
      </w:r>
      <w:r>
        <w:rPr>
          <w:rFonts w:hint="eastAsia" w:ascii="宋体" w:hAnsi="宋体" w:eastAsia="宋体" w:cs="宋体"/>
          <w:sz w:val="24"/>
          <w:szCs w:val="24"/>
          <w:highlight w:val="none"/>
        </w:rPr>
        <w:t>由中标单位在领取</w:t>
      </w:r>
      <w:r>
        <w:rPr>
          <w:rFonts w:hint="eastAsia" w:ascii="宋体" w:hAnsi="宋体" w:eastAsia="宋体" w:cs="宋体"/>
          <w:sz w:val="24"/>
          <w:szCs w:val="24"/>
          <w:highlight w:val="none"/>
          <w:lang w:eastAsia="zh-CN"/>
        </w:rPr>
        <w:t>成交通知书</w:t>
      </w:r>
      <w:r>
        <w:rPr>
          <w:rFonts w:hint="eastAsia" w:ascii="宋体" w:hAnsi="宋体" w:eastAsia="宋体" w:cs="宋体"/>
          <w:sz w:val="24"/>
          <w:szCs w:val="24"/>
          <w:highlight w:val="none"/>
        </w:rPr>
        <w:t>时一次性向代理公司支付。该费用竞标人自行考虑在竞标报价中，但不单独列出。</w:t>
      </w:r>
    </w:p>
    <w:p w14:paraId="6F093951">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十、成交通知</w:t>
      </w:r>
      <w:bookmarkEnd w:id="113"/>
      <w:bookmarkEnd w:id="114"/>
      <w:bookmarkEnd w:id="115"/>
      <w:bookmarkEnd w:id="116"/>
    </w:p>
    <w:p w14:paraId="66F86EE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（一）成交</w:t>
      </w:r>
      <w:r>
        <w:rPr>
          <w:rFonts w:hint="eastAsia" w:ascii="宋体" w:hAnsi="宋体" w:cs="宋体"/>
          <w:sz w:val="24"/>
          <w:szCs w:val="24"/>
          <w:lang w:eastAsia="zh-CN"/>
        </w:rPr>
        <w:t>竞选人</w:t>
      </w:r>
      <w:r>
        <w:rPr>
          <w:rFonts w:hint="eastAsia" w:ascii="宋体" w:hAnsi="宋体" w:eastAsia="宋体" w:cs="宋体"/>
          <w:sz w:val="24"/>
          <w:szCs w:val="24"/>
        </w:rPr>
        <w:t>确定后，</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代理机构将在行采家（https://www.gec123.com）上发布成交结果公告。</w:t>
      </w:r>
    </w:p>
    <w:p w14:paraId="7783118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（二）结果公</w:t>
      </w:r>
      <w:r>
        <w:rPr>
          <w:rFonts w:hint="eastAsia" w:ascii="宋体" w:hAnsi="宋体" w:eastAsia="宋体" w:cs="宋体"/>
          <w:sz w:val="24"/>
          <w:szCs w:val="24"/>
          <w:lang w:eastAsia="zh-CN"/>
        </w:rPr>
        <w:t>告发出同时，</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lang w:eastAsia="zh-CN"/>
        </w:rPr>
        <w:t>代理机构将以书面形式发出《</w:t>
      </w:r>
      <w:r>
        <w:rPr>
          <w:rFonts w:hint="eastAsia" w:ascii="宋体" w:hAnsi="宋体" w:cs="宋体"/>
          <w:sz w:val="24"/>
          <w:szCs w:val="24"/>
          <w:lang w:val="en-US" w:eastAsia="zh-CN"/>
        </w:rPr>
        <w:t>中选</w:t>
      </w:r>
      <w:r>
        <w:rPr>
          <w:rFonts w:hint="eastAsia" w:ascii="宋体" w:hAnsi="宋体" w:eastAsia="宋体" w:cs="宋体"/>
          <w:sz w:val="24"/>
          <w:szCs w:val="24"/>
          <w:lang w:eastAsia="zh-CN"/>
        </w:rPr>
        <w:t>通知书》</w:t>
      </w:r>
      <w:r>
        <w:rPr>
          <w:rFonts w:hint="eastAsia" w:ascii="宋体" w:hAnsi="宋体" w:cs="宋体"/>
          <w:sz w:val="24"/>
          <w:szCs w:val="24"/>
          <w:lang w:eastAsia="zh-CN"/>
        </w:rPr>
        <w:t>，</w:t>
      </w:r>
      <w:r>
        <w:rPr>
          <w:rFonts w:hint="eastAsia" w:ascii="宋体" w:hAnsi="宋体" w:eastAsia="宋体" w:cs="宋体"/>
          <w:sz w:val="24"/>
          <w:szCs w:val="24"/>
          <w:lang w:eastAsia="zh-CN"/>
        </w:rPr>
        <w:t>《</w:t>
      </w:r>
      <w:r>
        <w:rPr>
          <w:rFonts w:hint="eastAsia" w:ascii="宋体" w:hAnsi="宋体" w:cs="宋体"/>
          <w:color w:val="auto"/>
          <w:sz w:val="24"/>
          <w:szCs w:val="24"/>
          <w:highlight w:val="none"/>
          <w:lang w:val="en-US" w:eastAsia="zh-CN"/>
        </w:rPr>
        <w:t>中选</w:t>
      </w:r>
      <w:r>
        <w:rPr>
          <w:rFonts w:hint="eastAsia" w:ascii="宋体" w:hAnsi="宋体" w:eastAsia="宋体" w:cs="宋体"/>
          <w:sz w:val="24"/>
          <w:szCs w:val="24"/>
          <w:lang w:eastAsia="zh-CN"/>
        </w:rPr>
        <w:t>通知书》一经发出即发生法律效力。</w:t>
      </w:r>
    </w:p>
    <w:p w14:paraId="2D439AC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三</w:t>
      </w:r>
      <w:r>
        <w:rPr>
          <w:rFonts w:hint="eastAsia" w:ascii="宋体" w:hAnsi="宋体" w:cs="宋体"/>
          <w:sz w:val="24"/>
          <w:szCs w:val="24"/>
          <w:lang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中选</w:t>
      </w:r>
      <w:r>
        <w:rPr>
          <w:rFonts w:hint="eastAsia" w:ascii="宋体" w:hAnsi="宋体" w:eastAsia="宋体" w:cs="宋体"/>
          <w:sz w:val="24"/>
          <w:szCs w:val="24"/>
          <w:lang w:eastAsia="zh-CN"/>
        </w:rPr>
        <w:t>通知书》将作为签订合同的依据。</w:t>
      </w:r>
    </w:p>
    <w:p w14:paraId="4EBE175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lang w:eastAsia="zh-CN"/>
        </w:rPr>
        <w:t>人应当自成交通知书发出之日起三十日内，按照</w:t>
      </w:r>
      <w:r>
        <w:rPr>
          <w:rFonts w:hint="eastAsia" w:ascii="宋体" w:hAnsi="宋体" w:cs="宋体"/>
          <w:sz w:val="24"/>
          <w:szCs w:val="24"/>
          <w:lang w:eastAsia="zh-CN"/>
        </w:rPr>
        <w:t>竞争性比选文件</w:t>
      </w:r>
      <w:r>
        <w:rPr>
          <w:rFonts w:hint="eastAsia" w:ascii="宋体" w:hAnsi="宋体" w:eastAsia="宋体" w:cs="宋体"/>
          <w:sz w:val="24"/>
          <w:szCs w:val="24"/>
          <w:lang w:eastAsia="zh-CN"/>
        </w:rPr>
        <w:t>和中标人</w:t>
      </w:r>
      <w:r>
        <w:rPr>
          <w:rFonts w:hint="eastAsia" w:ascii="宋体" w:hAnsi="宋体" w:cs="宋体"/>
          <w:sz w:val="24"/>
          <w:szCs w:val="24"/>
          <w:lang w:eastAsia="zh-CN"/>
        </w:rPr>
        <w:t>比选申请文件</w:t>
      </w:r>
      <w:r>
        <w:rPr>
          <w:rFonts w:hint="eastAsia" w:ascii="宋体" w:hAnsi="宋体" w:eastAsia="宋体" w:cs="宋体"/>
          <w:sz w:val="24"/>
          <w:szCs w:val="24"/>
          <w:lang w:eastAsia="zh-CN"/>
        </w:rPr>
        <w:t>的约定，与中标人签订书面合同。所签订的合同不得对</w:t>
      </w:r>
      <w:r>
        <w:rPr>
          <w:rFonts w:hint="eastAsia" w:ascii="宋体" w:hAnsi="宋体" w:cs="宋体"/>
          <w:sz w:val="24"/>
          <w:szCs w:val="24"/>
          <w:lang w:eastAsia="zh-CN"/>
        </w:rPr>
        <w:t>竞争性比选文件</w:t>
      </w:r>
      <w:r>
        <w:rPr>
          <w:rFonts w:hint="eastAsia" w:ascii="宋体" w:hAnsi="宋体" w:eastAsia="宋体" w:cs="宋体"/>
          <w:sz w:val="24"/>
          <w:szCs w:val="24"/>
          <w:lang w:eastAsia="zh-CN"/>
        </w:rPr>
        <w:t>和中标人</w:t>
      </w:r>
      <w:r>
        <w:rPr>
          <w:rFonts w:hint="eastAsia" w:ascii="宋体" w:hAnsi="宋体" w:cs="宋体"/>
          <w:sz w:val="24"/>
          <w:szCs w:val="24"/>
          <w:lang w:eastAsia="zh-CN"/>
        </w:rPr>
        <w:t>比选申请文件</w:t>
      </w:r>
      <w:r>
        <w:rPr>
          <w:rFonts w:hint="eastAsia" w:ascii="宋体" w:hAnsi="宋体" w:eastAsia="宋体" w:cs="宋体"/>
          <w:sz w:val="24"/>
          <w:szCs w:val="24"/>
          <w:lang w:eastAsia="zh-CN"/>
        </w:rPr>
        <w:t>作实质性修改。</w:t>
      </w:r>
    </w:p>
    <w:p w14:paraId="07897682">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十一、签订合同</w:t>
      </w:r>
    </w:p>
    <w:p w14:paraId="399F359D">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一</w:t>
      </w:r>
      <w:r>
        <w:rPr>
          <w:rFonts w:hint="eastAsia" w:ascii="宋体" w:hAnsi="宋体" w:cs="宋体"/>
          <w:sz w:val="24"/>
          <w:szCs w:val="24"/>
          <w:lang w:eastAsia="zh-CN"/>
        </w:rPr>
        <w:t>）</w:t>
      </w:r>
      <w:r>
        <w:rPr>
          <w:rFonts w:hint="eastAsia" w:ascii="宋体" w:hAnsi="宋体" w:cs="宋体"/>
          <w:color w:val="auto"/>
          <w:sz w:val="24"/>
          <w:szCs w:val="24"/>
          <w:highlight w:val="none"/>
          <w:lang w:val="en-US" w:eastAsia="zh-CN"/>
        </w:rPr>
        <w:t>比选</w:t>
      </w:r>
      <w:r>
        <w:rPr>
          <w:rFonts w:hint="eastAsia" w:ascii="宋体" w:hAnsi="宋体" w:eastAsia="宋体" w:cs="宋体"/>
          <w:sz w:val="24"/>
          <w:szCs w:val="24"/>
        </w:rPr>
        <w:t>人应当自</w:t>
      </w:r>
      <w:r>
        <w:rPr>
          <w:rFonts w:hint="eastAsia" w:ascii="宋体" w:hAnsi="宋体" w:eastAsia="宋体" w:cs="宋体"/>
          <w:sz w:val="24"/>
          <w:szCs w:val="24"/>
          <w:lang w:eastAsia="zh-CN"/>
        </w:rPr>
        <w:t>成交通知书</w:t>
      </w:r>
      <w:r>
        <w:rPr>
          <w:rFonts w:hint="eastAsia" w:ascii="宋体" w:hAnsi="宋体" w:eastAsia="宋体" w:cs="宋体"/>
          <w:sz w:val="24"/>
          <w:szCs w:val="24"/>
        </w:rPr>
        <w:t>发出之日起</w:t>
      </w:r>
      <w:r>
        <w:rPr>
          <w:rFonts w:hint="eastAsia" w:ascii="宋体" w:hAnsi="宋体" w:cs="宋体"/>
          <w:sz w:val="24"/>
          <w:szCs w:val="24"/>
          <w:lang w:eastAsia="zh-CN"/>
        </w:rPr>
        <w:t>十五</w:t>
      </w:r>
      <w:r>
        <w:rPr>
          <w:rFonts w:hint="eastAsia" w:ascii="宋体" w:hAnsi="宋体" w:eastAsia="宋体" w:cs="宋体"/>
          <w:sz w:val="24"/>
          <w:szCs w:val="24"/>
        </w:rPr>
        <w:t>日内，按照</w:t>
      </w:r>
      <w:r>
        <w:rPr>
          <w:rFonts w:hint="eastAsia" w:ascii="宋体" w:hAnsi="宋体" w:cs="宋体"/>
          <w:sz w:val="24"/>
          <w:szCs w:val="24"/>
          <w:lang w:eastAsia="zh-CN"/>
        </w:rPr>
        <w:t>竞争性比选文件</w:t>
      </w:r>
      <w:r>
        <w:rPr>
          <w:rFonts w:hint="eastAsia" w:ascii="宋体" w:hAnsi="宋体" w:eastAsia="宋体" w:cs="宋体"/>
          <w:sz w:val="24"/>
          <w:szCs w:val="24"/>
        </w:rPr>
        <w:t>和中标人</w:t>
      </w:r>
      <w:r>
        <w:rPr>
          <w:rFonts w:hint="eastAsia" w:ascii="宋体" w:hAnsi="宋体" w:cs="宋体"/>
          <w:sz w:val="24"/>
          <w:szCs w:val="24"/>
          <w:lang w:eastAsia="zh-CN"/>
        </w:rPr>
        <w:t>比选申请文件</w:t>
      </w:r>
      <w:r>
        <w:rPr>
          <w:rFonts w:hint="eastAsia" w:ascii="宋体" w:hAnsi="宋体" w:eastAsia="宋体" w:cs="宋体"/>
          <w:sz w:val="24"/>
          <w:szCs w:val="24"/>
        </w:rPr>
        <w:t>的约定，与中标人签订书面合同。所签订的合同不得对</w:t>
      </w:r>
      <w:r>
        <w:rPr>
          <w:rFonts w:hint="eastAsia" w:ascii="宋体" w:hAnsi="宋体" w:cs="宋体"/>
          <w:sz w:val="24"/>
          <w:szCs w:val="24"/>
          <w:lang w:eastAsia="zh-CN"/>
        </w:rPr>
        <w:t>竞争性比选文件</w:t>
      </w:r>
      <w:r>
        <w:rPr>
          <w:rFonts w:hint="eastAsia" w:ascii="宋体" w:hAnsi="宋体" w:eastAsia="宋体" w:cs="宋体"/>
          <w:sz w:val="24"/>
          <w:szCs w:val="24"/>
        </w:rPr>
        <w:t>和中标人</w:t>
      </w:r>
      <w:r>
        <w:rPr>
          <w:rFonts w:hint="eastAsia" w:ascii="宋体" w:hAnsi="宋体" w:cs="宋体"/>
          <w:sz w:val="24"/>
          <w:szCs w:val="24"/>
          <w:lang w:eastAsia="zh-CN"/>
        </w:rPr>
        <w:t>比选申请文件</w:t>
      </w:r>
      <w:r>
        <w:rPr>
          <w:rFonts w:hint="eastAsia" w:ascii="宋体" w:hAnsi="宋体" w:eastAsia="宋体" w:cs="宋体"/>
          <w:sz w:val="24"/>
          <w:szCs w:val="24"/>
        </w:rPr>
        <w:t>作实质性修改，其他未尽事宜由</w:t>
      </w:r>
      <w:r>
        <w:rPr>
          <w:rFonts w:hint="eastAsia" w:ascii="宋体" w:hAnsi="宋体" w:cs="宋体"/>
          <w:sz w:val="24"/>
          <w:szCs w:val="24"/>
          <w:lang w:eastAsia="zh-CN"/>
        </w:rPr>
        <w:t>比选人</w:t>
      </w:r>
      <w:r>
        <w:rPr>
          <w:rFonts w:hint="eastAsia" w:ascii="宋体" w:hAnsi="宋体" w:eastAsia="宋体" w:cs="宋体"/>
          <w:sz w:val="24"/>
          <w:szCs w:val="24"/>
        </w:rPr>
        <w:t>和中标人在采购合同中详细约定。</w:t>
      </w:r>
    </w:p>
    <w:p w14:paraId="4458EE7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）竞争性比选文件</w:t>
      </w:r>
      <w:r>
        <w:rPr>
          <w:rFonts w:hint="eastAsia" w:ascii="宋体" w:hAnsi="宋体" w:eastAsia="宋体" w:cs="宋体"/>
          <w:sz w:val="24"/>
          <w:szCs w:val="24"/>
        </w:rPr>
        <w:t>、中标人的</w:t>
      </w:r>
      <w:r>
        <w:rPr>
          <w:rFonts w:hint="eastAsia" w:ascii="宋体" w:hAnsi="宋体" w:cs="宋体"/>
          <w:sz w:val="24"/>
          <w:szCs w:val="24"/>
          <w:lang w:eastAsia="zh-CN"/>
        </w:rPr>
        <w:t>比选申请文件</w:t>
      </w:r>
      <w:r>
        <w:rPr>
          <w:rFonts w:hint="eastAsia" w:ascii="宋体" w:hAnsi="宋体" w:eastAsia="宋体" w:cs="宋体"/>
          <w:sz w:val="24"/>
          <w:szCs w:val="24"/>
        </w:rPr>
        <w:t>及澄清文件等，均为签订采购合同的依据。</w:t>
      </w:r>
    </w:p>
    <w:p w14:paraId="5EF61DD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三</w:t>
      </w:r>
      <w:r>
        <w:rPr>
          <w:rFonts w:hint="eastAsia" w:ascii="宋体" w:hAnsi="宋体" w:cs="宋体"/>
          <w:sz w:val="24"/>
          <w:szCs w:val="24"/>
          <w:lang w:eastAsia="zh-CN"/>
        </w:rPr>
        <w:t>）</w:t>
      </w:r>
      <w:r>
        <w:rPr>
          <w:rFonts w:hint="eastAsia" w:ascii="宋体" w:hAnsi="宋体" w:eastAsia="宋体" w:cs="宋体"/>
          <w:sz w:val="24"/>
          <w:szCs w:val="24"/>
        </w:rPr>
        <w:t>合同生效条款由供需双方约定，法律、行政法规规定应当办理批准、登记等手</w:t>
      </w:r>
    </w:p>
    <w:p w14:paraId="231B28B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续后生效的合同，依照其规定。</w:t>
      </w:r>
    </w:p>
    <w:p w14:paraId="20F1523D">
      <w:pPr>
        <w:pStyle w:val="7"/>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2" w:firstLineChars="200"/>
        <w:jc w:val="left"/>
        <w:rPr>
          <w:rFonts w:hint="eastAsia" w:ascii="宋体" w:hAnsi="宋体" w:eastAsia="宋体" w:cs="宋体"/>
          <w:b/>
          <w:bCs/>
          <w:sz w:val="24"/>
          <w:szCs w:val="24"/>
        </w:rPr>
      </w:pPr>
      <w:bookmarkStart w:id="117" w:name="_Toc106034653"/>
      <w:r>
        <w:rPr>
          <w:rFonts w:hint="eastAsia" w:ascii="宋体" w:hAnsi="宋体" w:eastAsia="宋体" w:cs="宋体"/>
          <w:b/>
          <w:bCs/>
          <w:sz w:val="24"/>
          <w:szCs w:val="24"/>
        </w:rPr>
        <w:t>十二、项目验收</w:t>
      </w:r>
      <w:bookmarkEnd w:id="117"/>
    </w:p>
    <w:p w14:paraId="0390188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rPr>
        <w:t>合同执行完毕，</w:t>
      </w:r>
      <w:r>
        <w:rPr>
          <w:rFonts w:hint="eastAsia" w:ascii="宋体" w:hAnsi="宋体" w:cs="宋体"/>
          <w:color w:val="auto"/>
          <w:sz w:val="24"/>
          <w:szCs w:val="24"/>
          <w:highlight w:val="none"/>
          <w:lang w:val="en-US" w:eastAsia="zh-CN"/>
        </w:rPr>
        <w:t>比选</w:t>
      </w:r>
      <w:r>
        <w:rPr>
          <w:rFonts w:hint="eastAsia" w:ascii="宋体" w:hAnsi="宋体" w:eastAsia="宋体" w:cs="宋体"/>
          <w:sz w:val="24"/>
        </w:rPr>
        <w:t>人或</w:t>
      </w:r>
      <w:r>
        <w:rPr>
          <w:rFonts w:hint="eastAsia" w:ascii="宋体" w:hAnsi="宋体" w:cs="宋体"/>
          <w:color w:val="auto"/>
          <w:sz w:val="24"/>
          <w:szCs w:val="24"/>
          <w:highlight w:val="none"/>
          <w:lang w:val="en-US" w:eastAsia="zh-CN"/>
        </w:rPr>
        <w:t>比选</w:t>
      </w:r>
      <w:r>
        <w:rPr>
          <w:rFonts w:hint="eastAsia" w:ascii="宋体" w:hAnsi="宋体" w:eastAsia="宋体" w:cs="宋体"/>
          <w:sz w:val="24"/>
        </w:rPr>
        <w:t>代理机构原则上应在7个工作日内组织履约情况验收，不得无故拖延或附加额外条件。</w:t>
      </w:r>
    </w:p>
    <w:bookmarkEnd w:id="81"/>
    <w:p w14:paraId="307CFD36">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jc w:val="both"/>
        <w:rPr>
          <w:rFonts w:hint="eastAsia" w:ascii="宋体" w:hAnsi="宋体" w:eastAsia="宋体" w:cs="宋体"/>
          <w:sz w:val="32"/>
          <w:szCs w:val="32"/>
        </w:rPr>
      </w:pPr>
      <w:bookmarkStart w:id="118" w:name="_Toc12789059"/>
      <w:bookmarkStart w:id="119" w:name="_Toc11641055"/>
      <w:bookmarkStart w:id="120" w:name="_Toc28162"/>
      <w:bookmarkStart w:id="121" w:name="_Toc14861"/>
      <w:bookmarkStart w:id="122" w:name="_Toc65660365"/>
      <w:bookmarkStart w:id="123" w:name="_Toc106034657"/>
    </w:p>
    <w:p w14:paraId="27EF036E">
      <w:pPr>
        <w:pStyle w:val="3"/>
        <w:pageBreakBefore w:val="0"/>
        <w:kinsoku/>
        <w:wordWrap/>
        <w:overflowPunct/>
        <w:topLinePunct w:val="0"/>
        <w:autoSpaceDE/>
        <w:autoSpaceDN/>
        <w:bidi w:val="0"/>
        <w:adjustRightInd w:val="0"/>
        <w:snapToGrid w:val="0"/>
        <w:spacing w:before="0" w:beforeLines="0" w:after="0" w:afterLines="0" w:line="360" w:lineRule="auto"/>
        <w:ind w:left="0" w:leftChars="0" w:right="0" w:rightChars="0"/>
        <w:jc w:val="both"/>
        <w:rPr>
          <w:rFonts w:hint="eastAsia" w:ascii="宋体" w:hAnsi="宋体" w:eastAsia="宋体" w:cs="宋体"/>
          <w:sz w:val="32"/>
          <w:szCs w:val="32"/>
        </w:rPr>
      </w:pPr>
    </w:p>
    <w:p w14:paraId="6E4FE24D">
      <w:pPr>
        <w:rPr>
          <w:rFonts w:hint="eastAsia" w:ascii="宋体" w:hAnsi="宋体" w:eastAsia="宋体" w:cs="宋体"/>
          <w:sz w:val="32"/>
          <w:szCs w:val="32"/>
        </w:rPr>
      </w:pPr>
    </w:p>
    <w:p w14:paraId="52ABEE27">
      <w:pPr>
        <w:pStyle w:val="25"/>
        <w:rPr>
          <w:rFonts w:hint="eastAsia" w:ascii="宋体" w:hAnsi="宋体" w:eastAsia="宋体" w:cs="宋体"/>
          <w:sz w:val="32"/>
          <w:szCs w:val="32"/>
        </w:rPr>
      </w:pPr>
    </w:p>
    <w:p w14:paraId="5C2AD0E5">
      <w:pPr>
        <w:rPr>
          <w:rFonts w:hint="eastAsia" w:ascii="宋体" w:hAnsi="宋体" w:eastAsia="宋体" w:cs="宋体"/>
          <w:sz w:val="32"/>
          <w:szCs w:val="32"/>
        </w:rPr>
      </w:pPr>
    </w:p>
    <w:p w14:paraId="6A25DFCF">
      <w:pPr>
        <w:pStyle w:val="25"/>
        <w:rPr>
          <w:rFonts w:hint="eastAsia" w:ascii="宋体" w:hAnsi="宋体" w:eastAsia="宋体" w:cs="宋体"/>
          <w:sz w:val="32"/>
          <w:szCs w:val="32"/>
        </w:rPr>
      </w:pPr>
    </w:p>
    <w:p w14:paraId="39AF11DA">
      <w:pPr>
        <w:rPr>
          <w:rFonts w:hint="eastAsia" w:ascii="宋体" w:hAnsi="宋体" w:eastAsia="宋体" w:cs="宋体"/>
          <w:sz w:val="32"/>
          <w:szCs w:val="32"/>
        </w:rPr>
      </w:pPr>
    </w:p>
    <w:p w14:paraId="33679AD5">
      <w:pPr>
        <w:pStyle w:val="25"/>
        <w:rPr>
          <w:rFonts w:hint="eastAsia" w:ascii="宋体" w:hAnsi="宋体" w:eastAsia="宋体" w:cs="宋体"/>
          <w:sz w:val="32"/>
          <w:szCs w:val="32"/>
        </w:rPr>
      </w:pPr>
    </w:p>
    <w:p w14:paraId="19815629">
      <w:pPr>
        <w:rPr>
          <w:rFonts w:hint="eastAsia" w:ascii="宋体" w:hAnsi="宋体" w:eastAsia="宋体" w:cs="宋体"/>
          <w:sz w:val="32"/>
          <w:szCs w:val="32"/>
        </w:rPr>
      </w:pPr>
    </w:p>
    <w:p w14:paraId="70B0F771">
      <w:pPr>
        <w:pStyle w:val="25"/>
        <w:rPr>
          <w:rFonts w:hint="eastAsia" w:ascii="宋体" w:hAnsi="宋体" w:eastAsia="宋体" w:cs="宋体"/>
          <w:sz w:val="32"/>
          <w:szCs w:val="32"/>
        </w:rPr>
      </w:pPr>
    </w:p>
    <w:p w14:paraId="703D7ACC">
      <w:pPr>
        <w:rPr>
          <w:rFonts w:hint="eastAsia" w:ascii="宋体" w:hAnsi="宋体" w:eastAsia="宋体" w:cs="宋体"/>
          <w:sz w:val="32"/>
          <w:szCs w:val="32"/>
        </w:rPr>
      </w:pPr>
    </w:p>
    <w:p w14:paraId="3ACC32E1">
      <w:pPr>
        <w:pStyle w:val="25"/>
        <w:rPr>
          <w:rFonts w:hint="eastAsia" w:ascii="宋体" w:hAnsi="宋体" w:eastAsia="宋体" w:cs="宋体"/>
          <w:sz w:val="32"/>
          <w:szCs w:val="32"/>
        </w:rPr>
      </w:pPr>
    </w:p>
    <w:p w14:paraId="5CF6969F">
      <w:pPr>
        <w:rPr>
          <w:rFonts w:hint="eastAsia" w:ascii="宋体" w:hAnsi="宋体" w:eastAsia="宋体" w:cs="宋体"/>
          <w:sz w:val="32"/>
          <w:szCs w:val="32"/>
        </w:rPr>
      </w:pPr>
    </w:p>
    <w:p w14:paraId="64257EC7">
      <w:pPr>
        <w:pStyle w:val="8"/>
        <w:rPr>
          <w:rFonts w:hint="eastAsia" w:ascii="宋体" w:hAnsi="宋体" w:eastAsia="宋体" w:cs="宋体"/>
          <w:sz w:val="32"/>
          <w:szCs w:val="32"/>
        </w:rPr>
      </w:pPr>
    </w:p>
    <w:p w14:paraId="4DC0A752">
      <w:pPr>
        <w:rPr>
          <w:rFonts w:hint="eastAsia" w:ascii="宋体" w:hAnsi="宋体" w:eastAsia="宋体" w:cs="宋体"/>
          <w:sz w:val="32"/>
          <w:szCs w:val="32"/>
        </w:rPr>
      </w:pPr>
    </w:p>
    <w:p w14:paraId="218DC610">
      <w:pPr>
        <w:pStyle w:val="8"/>
        <w:rPr>
          <w:rFonts w:hint="eastAsia" w:ascii="宋体" w:hAnsi="宋体" w:eastAsia="宋体" w:cs="宋体"/>
          <w:sz w:val="32"/>
          <w:szCs w:val="32"/>
        </w:rPr>
      </w:pPr>
    </w:p>
    <w:p w14:paraId="4371B886">
      <w:pPr>
        <w:rPr>
          <w:rFonts w:hint="eastAsia" w:ascii="宋体" w:hAnsi="宋体" w:eastAsia="宋体" w:cs="宋体"/>
          <w:sz w:val="32"/>
          <w:szCs w:val="32"/>
        </w:rPr>
      </w:pPr>
    </w:p>
    <w:p w14:paraId="67B82DFF">
      <w:pPr>
        <w:bidi w:val="0"/>
        <w:rPr>
          <w:rFonts w:hint="eastAsia"/>
        </w:rPr>
      </w:pPr>
    </w:p>
    <w:p w14:paraId="217FAE05">
      <w:pPr>
        <w:rPr>
          <w:rFonts w:hint="eastAsia"/>
        </w:rPr>
      </w:pPr>
    </w:p>
    <w:p w14:paraId="1D5BC66A">
      <w:pPr>
        <w:pStyle w:val="3"/>
        <w:keepNext/>
        <w:keepLines w:val="0"/>
        <w:pageBreakBefore w:val="0"/>
        <w:widowControl/>
        <w:kinsoku/>
        <w:wordWrap/>
        <w:overflowPunct/>
        <w:topLinePunct w:val="0"/>
        <w:autoSpaceDE/>
        <w:autoSpaceDN/>
        <w:bidi w:val="0"/>
        <w:adjustRightInd w:val="0"/>
        <w:snapToGrid w:val="0"/>
        <w:spacing w:before="0" w:beforeLines="0" w:after="0" w:afterLines="0" w:line="360" w:lineRule="auto"/>
        <w:ind w:left="0" w:leftChars="0" w:right="0" w:rightChars="0"/>
        <w:textAlignment w:val="auto"/>
        <w:rPr>
          <w:rFonts w:hint="eastAsia" w:ascii="宋体" w:hAnsi="宋体" w:eastAsia="宋体" w:cs="宋体"/>
        </w:rPr>
      </w:pPr>
      <w:bookmarkStart w:id="124" w:name="_Toc8232"/>
      <w:r>
        <w:rPr>
          <w:rFonts w:hint="eastAsia" w:ascii="宋体" w:hAnsi="宋体" w:eastAsia="宋体" w:cs="宋体"/>
        </w:rPr>
        <w:t>第六篇</w:t>
      </w:r>
      <w:bookmarkEnd w:id="118"/>
      <w:bookmarkEnd w:id="119"/>
      <w:r>
        <w:rPr>
          <w:rFonts w:hint="eastAsia" w:ascii="宋体" w:hAnsi="宋体" w:eastAsia="宋体" w:cs="宋体"/>
        </w:rPr>
        <w:t xml:space="preserve">  合同条款</w:t>
      </w:r>
      <w:bookmarkEnd w:id="120"/>
      <w:bookmarkEnd w:id="121"/>
      <w:bookmarkEnd w:id="122"/>
      <w:bookmarkEnd w:id="123"/>
      <w:r>
        <w:rPr>
          <w:rFonts w:hint="eastAsia" w:ascii="宋体" w:hAnsi="宋体" w:eastAsia="宋体" w:cs="宋体"/>
        </w:rPr>
        <w:t>及格式</w:t>
      </w:r>
      <w:bookmarkEnd w:id="124"/>
    </w:p>
    <w:p w14:paraId="0C4A827E">
      <w:pPr>
        <w:pStyle w:val="8"/>
        <w:pageBreakBefore w:val="0"/>
        <w:kinsoku/>
        <w:wordWrap/>
        <w:overflowPunct/>
        <w:topLinePunct w:val="0"/>
        <w:autoSpaceDE/>
        <w:autoSpaceDN/>
        <w:bidi w:val="0"/>
        <w:adjustRightInd w:val="0"/>
        <w:snapToGrid w:val="0"/>
        <w:spacing w:line="360" w:lineRule="auto"/>
        <w:ind w:left="0" w:leftChars="0" w:right="0" w:rightChars="0" w:firstLine="480"/>
        <w:rPr>
          <w:rFonts w:hint="eastAsia" w:ascii="宋体" w:hAnsi="宋体" w:eastAsia="宋体" w:cs="宋体"/>
          <w:sz w:val="24"/>
          <w:szCs w:val="24"/>
        </w:rPr>
      </w:pPr>
      <w:r>
        <w:rPr>
          <w:rFonts w:hint="eastAsia" w:ascii="宋体" w:hAnsi="宋体" w:eastAsia="宋体" w:cs="宋体"/>
          <w:sz w:val="24"/>
          <w:szCs w:val="24"/>
        </w:rPr>
        <w:t>一</w:t>
      </w:r>
      <w:r>
        <w:rPr>
          <w:rStyle w:val="72"/>
          <w:rFonts w:hint="eastAsia" w:ascii="宋体" w:hAnsi="宋体" w:eastAsia="宋体" w:cs="宋体"/>
          <w:sz w:val="24"/>
          <w:szCs w:val="24"/>
        </w:rPr>
        <w:t>、合同主要条款</w:t>
      </w:r>
    </w:p>
    <w:p w14:paraId="4FF87BEB">
      <w:pPr>
        <w:pStyle w:val="8"/>
        <w:pageBreakBefore w:val="0"/>
        <w:kinsoku/>
        <w:wordWrap/>
        <w:overflowPunct/>
        <w:topLinePunct w:val="0"/>
        <w:autoSpaceDE/>
        <w:autoSpaceDN/>
        <w:bidi w:val="0"/>
        <w:adjustRightInd w:val="0"/>
        <w:snapToGrid w:val="0"/>
        <w:spacing w:line="360" w:lineRule="auto"/>
        <w:ind w:left="0" w:leftChars="0" w:right="0" w:rightChars="0" w:firstLine="480"/>
        <w:rPr>
          <w:rStyle w:val="72"/>
          <w:rFonts w:hint="eastAsia" w:ascii="宋体" w:hAnsi="宋体" w:eastAsia="宋体" w:cs="宋体"/>
          <w:sz w:val="24"/>
          <w:szCs w:val="24"/>
        </w:rPr>
      </w:pPr>
      <w:r>
        <w:rPr>
          <w:rStyle w:val="72"/>
          <w:rFonts w:hint="eastAsia" w:ascii="宋体" w:hAnsi="宋体" w:eastAsia="宋体" w:cs="宋体"/>
          <w:sz w:val="24"/>
          <w:szCs w:val="24"/>
        </w:rPr>
        <w:t>1.定义</w:t>
      </w:r>
    </w:p>
    <w:p w14:paraId="4FAF6BCB">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1.1 甲方(需方即</w:t>
      </w:r>
      <w:r>
        <w:rPr>
          <w:rFonts w:hint="eastAsia" w:ascii="宋体" w:hAnsi="宋体" w:cs="宋体"/>
          <w:sz w:val="24"/>
          <w:szCs w:val="24"/>
          <w:lang w:eastAsia="zh-CN"/>
        </w:rPr>
        <w:t>比选人</w:t>
      </w:r>
      <w:r>
        <w:rPr>
          <w:rFonts w:hint="eastAsia" w:ascii="宋体" w:hAnsi="宋体" w:eastAsia="宋体" w:cs="宋体"/>
          <w:sz w:val="24"/>
          <w:szCs w:val="24"/>
        </w:rPr>
        <w:t>，是指通过</w:t>
      </w:r>
      <w:r>
        <w:rPr>
          <w:rFonts w:hint="eastAsia" w:ascii="宋体" w:hAnsi="宋体" w:eastAsia="宋体" w:cs="宋体"/>
          <w:sz w:val="24"/>
          <w:szCs w:val="24"/>
          <w:lang w:eastAsia="zh-CN"/>
        </w:rPr>
        <w:t>比选</w:t>
      </w:r>
      <w:r>
        <w:rPr>
          <w:rFonts w:hint="eastAsia" w:ascii="宋体" w:hAnsi="宋体" w:eastAsia="宋体" w:cs="宋体"/>
          <w:sz w:val="24"/>
          <w:szCs w:val="24"/>
        </w:rPr>
        <w:t>采购，接受合同货物及服务的各级国家机关、事业单位和团体组织。</w:t>
      </w:r>
    </w:p>
    <w:p w14:paraId="3D70E916">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1.2 乙方(供方)即中标人，是指中标后提供合同货物和服务的自然人、法人及其他组织。</w:t>
      </w:r>
    </w:p>
    <w:p w14:paraId="48EFE5A9">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1.3合同是指由甲乙双方按照</w:t>
      </w:r>
      <w:r>
        <w:rPr>
          <w:rFonts w:hint="eastAsia" w:ascii="宋体" w:hAnsi="宋体" w:eastAsia="宋体" w:cs="宋体"/>
          <w:sz w:val="24"/>
          <w:szCs w:val="24"/>
          <w:lang w:eastAsia="zh-CN"/>
        </w:rPr>
        <w:t>采购文件</w:t>
      </w:r>
      <w:r>
        <w:rPr>
          <w:rFonts w:hint="eastAsia" w:ascii="宋体" w:hAnsi="宋体" w:eastAsia="宋体" w:cs="宋体"/>
          <w:sz w:val="24"/>
          <w:szCs w:val="24"/>
        </w:rPr>
        <w:t>和</w:t>
      </w:r>
      <w:r>
        <w:rPr>
          <w:rFonts w:hint="eastAsia" w:ascii="宋体" w:hAnsi="宋体" w:cs="宋体"/>
          <w:sz w:val="24"/>
          <w:szCs w:val="24"/>
          <w:lang w:eastAsia="zh-CN"/>
        </w:rPr>
        <w:t>比选申请文件</w:t>
      </w:r>
      <w:r>
        <w:rPr>
          <w:rFonts w:hint="eastAsia" w:ascii="宋体" w:hAnsi="宋体" w:eastAsia="宋体" w:cs="宋体"/>
          <w:sz w:val="24"/>
          <w:szCs w:val="24"/>
        </w:rPr>
        <w:t>的实质性内容，通过协商一致达成的书面协议。</w:t>
      </w:r>
    </w:p>
    <w:p w14:paraId="483A0B95">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1.4 合同价格指以中标价格为依据，在供方全面履行合同义务后，需方(或财政部门)应支付给供方的金额。</w:t>
      </w:r>
    </w:p>
    <w:p w14:paraId="128D6927">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1.5 技术资料是指合同货物及其相关的设计、制造、监造、检验、验收等文件(包括图纸、各种文字说明、标准)。</w:t>
      </w:r>
    </w:p>
    <w:p w14:paraId="68D76CB8">
      <w:pPr>
        <w:pStyle w:val="8"/>
        <w:pageBreakBefore w:val="0"/>
        <w:kinsoku/>
        <w:wordWrap/>
        <w:overflowPunct/>
        <w:topLinePunct w:val="0"/>
        <w:autoSpaceDE/>
        <w:autoSpaceDN/>
        <w:bidi w:val="0"/>
        <w:adjustRightInd w:val="0"/>
        <w:snapToGrid w:val="0"/>
        <w:spacing w:line="360" w:lineRule="auto"/>
        <w:ind w:left="0" w:leftChars="0" w:right="0" w:rightChars="0" w:firstLine="560"/>
        <w:jc w:val="both"/>
        <w:rPr>
          <w:rFonts w:hint="eastAsia" w:ascii="宋体" w:hAnsi="宋体" w:eastAsia="宋体" w:cs="宋体"/>
          <w:sz w:val="24"/>
          <w:szCs w:val="24"/>
        </w:rPr>
      </w:pPr>
      <w:r>
        <w:rPr>
          <w:rFonts w:hint="eastAsia" w:ascii="宋体" w:hAnsi="宋体" w:eastAsia="宋体" w:cs="宋体"/>
          <w:sz w:val="24"/>
          <w:szCs w:val="24"/>
        </w:rPr>
        <w:t>2.货物内容</w:t>
      </w:r>
    </w:p>
    <w:p w14:paraId="024AA4BC">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合同包括以下内容:货物名称、型号规格、技术参数、数量(单位)等内容。</w:t>
      </w:r>
    </w:p>
    <w:p w14:paraId="6E591457">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3.合同价格</w:t>
      </w:r>
    </w:p>
    <w:p w14:paraId="63711897">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3.1合同价格即合同总价。</w:t>
      </w:r>
    </w:p>
    <w:p w14:paraId="5C9A4678">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3.2 合同价格包括合同货物、技术资料、合同货物的税费、运杂费、保险费、包装费装卸费</w:t>
      </w:r>
      <w:r>
        <w:rPr>
          <w:rFonts w:hint="eastAsia" w:ascii="宋体" w:hAnsi="宋体" w:eastAsia="宋体" w:cs="宋体"/>
          <w:sz w:val="24"/>
          <w:szCs w:val="24"/>
          <w:lang w:eastAsia="zh-CN"/>
        </w:rPr>
        <w:t>、安装费、培训费、备品备件费及</w:t>
      </w:r>
      <w:r>
        <w:rPr>
          <w:rFonts w:hint="eastAsia" w:ascii="宋体" w:hAnsi="宋体" w:eastAsia="宋体" w:cs="宋体"/>
          <w:sz w:val="24"/>
          <w:szCs w:val="24"/>
        </w:rPr>
        <w:t>与货物有关的供方应纳的税费，所有税费由乙方负担。</w:t>
      </w:r>
      <w:r>
        <w:rPr>
          <w:rFonts w:hint="eastAsia" w:ascii="宋体" w:hAnsi="宋体" w:cs="宋体"/>
          <w:sz w:val="24"/>
          <w:szCs w:val="24"/>
          <w:lang w:eastAsia="zh-CN"/>
        </w:rPr>
        <w:t>竞选人</w:t>
      </w:r>
      <w:r>
        <w:rPr>
          <w:rFonts w:hint="eastAsia" w:ascii="宋体" w:hAnsi="宋体" w:eastAsia="宋体" w:cs="宋体"/>
          <w:sz w:val="24"/>
          <w:szCs w:val="24"/>
          <w:lang w:eastAsia="zh-CN"/>
        </w:rPr>
        <w:t>应充分考虑本次采购所涉及的成品设备因品牌差异化引起的尺寸偏差等情形，其所带来的一切风险和费用由竞标人自行考虑在本次报价中，比选人不再支付任何因此产生的费用。</w:t>
      </w:r>
    </w:p>
    <w:p w14:paraId="731B6314">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3.3合同货物单价为不变价。</w:t>
      </w:r>
    </w:p>
    <w:p w14:paraId="5739D07C">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4.转包或分包</w:t>
      </w:r>
    </w:p>
    <w:p w14:paraId="79E0D928">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4.1本合同范围的货物，应由方直接供应，不得转让他人供应</w:t>
      </w:r>
      <w:r>
        <w:rPr>
          <w:rFonts w:hint="eastAsia" w:ascii="宋体" w:hAnsi="宋体" w:cs="宋体"/>
          <w:sz w:val="24"/>
          <w:szCs w:val="24"/>
          <w:lang w:eastAsia="zh-CN"/>
        </w:rPr>
        <w:t>；</w:t>
      </w:r>
    </w:p>
    <w:p w14:paraId="22174AFF">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4.2 非经甲方书面同意，乙方不得将本合同范围的货物全部或部分分包给他人供应</w:t>
      </w:r>
      <w:r>
        <w:rPr>
          <w:rFonts w:hint="eastAsia" w:ascii="宋体" w:hAnsi="宋体" w:cs="宋体"/>
          <w:sz w:val="24"/>
          <w:szCs w:val="24"/>
          <w:lang w:eastAsia="zh-CN"/>
        </w:rPr>
        <w:t>；</w:t>
      </w:r>
    </w:p>
    <w:p w14:paraId="1E3F5658">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4.3如有转让和未经甲方同意的分包行为，甲方有权解除合同，并追究乙方的违约责任。</w:t>
      </w:r>
    </w:p>
    <w:p w14:paraId="2BDB61AC">
      <w:pPr>
        <w:pStyle w:val="8"/>
        <w:pageBreakBefore w:val="0"/>
        <w:kinsoku/>
        <w:wordWrap/>
        <w:overflowPunct/>
        <w:topLinePunct w:val="0"/>
        <w:autoSpaceDE/>
        <w:autoSpaceDN/>
        <w:bidi w:val="0"/>
        <w:adjustRightInd w:val="0"/>
        <w:snapToGrid w:val="0"/>
        <w:spacing w:line="360" w:lineRule="auto"/>
        <w:ind w:left="0" w:leftChars="0" w:right="0" w:rightChars="0" w:firstLine="120" w:firstLineChars="50"/>
        <w:rPr>
          <w:rFonts w:hint="eastAsia" w:ascii="宋体" w:hAnsi="宋体" w:eastAsia="宋体" w:cs="宋体"/>
          <w:sz w:val="24"/>
          <w:szCs w:val="24"/>
        </w:rPr>
      </w:pPr>
      <w:r>
        <w:rPr>
          <w:rFonts w:hint="eastAsia" w:ascii="宋体" w:hAnsi="宋体" w:eastAsia="宋体" w:cs="宋体"/>
          <w:sz w:val="24"/>
          <w:szCs w:val="24"/>
        </w:rPr>
        <w:t>5.质量保证及售后服务</w:t>
      </w:r>
    </w:p>
    <w:p w14:paraId="22A6BEB1">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5.1电话咨询</w:t>
      </w:r>
    </w:p>
    <w:p w14:paraId="0C2C6630">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成交</w:t>
      </w:r>
      <w:r>
        <w:rPr>
          <w:rFonts w:hint="eastAsia" w:ascii="宋体" w:hAnsi="宋体" w:cs="宋体"/>
          <w:sz w:val="24"/>
          <w:szCs w:val="24"/>
          <w:lang w:eastAsia="zh-CN"/>
        </w:rPr>
        <w:t>竞选人</w:t>
      </w:r>
      <w:r>
        <w:rPr>
          <w:rFonts w:hint="eastAsia" w:ascii="宋体" w:hAnsi="宋体" w:eastAsia="宋体" w:cs="宋体"/>
          <w:sz w:val="24"/>
          <w:szCs w:val="24"/>
        </w:rPr>
        <w:t>应当为用户提供技术援助电话，解答用户在使用中遇到的问题，及时为用户提出解决问题的建议。</w:t>
      </w:r>
    </w:p>
    <w:p w14:paraId="50483C34">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5.2现场响应</w:t>
      </w:r>
    </w:p>
    <w:p w14:paraId="38B3BEC2">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用户遇到使用及技术问题，电话咨询不能解决的，成交</w:t>
      </w:r>
      <w:r>
        <w:rPr>
          <w:rFonts w:hint="eastAsia" w:ascii="宋体" w:hAnsi="宋体" w:cs="宋体"/>
          <w:sz w:val="24"/>
          <w:szCs w:val="24"/>
          <w:lang w:eastAsia="zh-CN"/>
        </w:rPr>
        <w:t>竞选人</w:t>
      </w:r>
      <w:r>
        <w:rPr>
          <w:rFonts w:hint="eastAsia" w:ascii="宋体" w:hAnsi="宋体" w:eastAsia="宋体" w:cs="宋体"/>
          <w:sz w:val="24"/>
          <w:szCs w:val="24"/>
        </w:rPr>
        <w:t>或制造商应在3小时内采取相应响应措施；无法在3小时内解决的，应在8小时内派出专业人员进行技术支持。</w:t>
      </w:r>
    </w:p>
    <w:p w14:paraId="126F1DCC">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5.3技术升级</w:t>
      </w:r>
    </w:p>
    <w:p w14:paraId="497D1F9E">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在质保期内，如果成交</w:t>
      </w:r>
      <w:r>
        <w:rPr>
          <w:rFonts w:hint="eastAsia" w:ascii="宋体" w:hAnsi="宋体" w:cs="宋体"/>
          <w:sz w:val="24"/>
          <w:szCs w:val="24"/>
          <w:lang w:eastAsia="zh-CN"/>
        </w:rPr>
        <w:t>竞选人</w:t>
      </w:r>
      <w:r>
        <w:rPr>
          <w:rFonts w:hint="eastAsia" w:ascii="宋体" w:hAnsi="宋体" w:eastAsia="宋体" w:cs="宋体"/>
          <w:sz w:val="24"/>
          <w:szCs w:val="24"/>
        </w:rPr>
        <w:t>的产品技术升级，成交</w:t>
      </w:r>
      <w:r>
        <w:rPr>
          <w:rFonts w:hint="eastAsia" w:ascii="宋体" w:hAnsi="宋体" w:cs="宋体"/>
          <w:sz w:val="24"/>
          <w:szCs w:val="24"/>
          <w:lang w:eastAsia="zh-CN"/>
        </w:rPr>
        <w:t>竞选人</w:t>
      </w:r>
      <w:r>
        <w:rPr>
          <w:rFonts w:hint="eastAsia" w:ascii="宋体" w:hAnsi="宋体" w:eastAsia="宋体" w:cs="宋体"/>
          <w:sz w:val="24"/>
          <w:szCs w:val="24"/>
        </w:rPr>
        <w:t>应及时通知</w:t>
      </w:r>
      <w:r>
        <w:rPr>
          <w:rFonts w:hint="eastAsia" w:ascii="宋体" w:hAnsi="宋体" w:cs="宋体"/>
          <w:sz w:val="24"/>
          <w:szCs w:val="24"/>
          <w:lang w:eastAsia="zh-CN"/>
        </w:rPr>
        <w:t>比选人</w:t>
      </w:r>
      <w:r>
        <w:rPr>
          <w:rFonts w:hint="eastAsia" w:ascii="宋体" w:hAnsi="宋体" w:eastAsia="宋体" w:cs="宋体"/>
          <w:sz w:val="24"/>
          <w:szCs w:val="24"/>
        </w:rPr>
        <w:t>，如</w:t>
      </w:r>
      <w:r>
        <w:rPr>
          <w:rFonts w:hint="eastAsia" w:ascii="宋体" w:hAnsi="宋体" w:cs="宋体"/>
          <w:sz w:val="24"/>
          <w:szCs w:val="24"/>
          <w:lang w:eastAsia="zh-CN"/>
        </w:rPr>
        <w:t>比选人</w:t>
      </w:r>
      <w:r>
        <w:rPr>
          <w:rFonts w:hint="eastAsia" w:ascii="宋体" w:hAnsi="宋体" w:eastAsia="宋体" w:cs="宋体"/>
          <w:sz w:val="24"/>
          <w:szCs w:val="24"/>
        </w:rPr>
        <w:t>有相应要求，成交</w:t>
      </w:r>
      <w:r>
        <w:rPr>
          <w:rFonts w:hint="eastAsia" w:ascii="宋体" w:hAnsi="宋体" w:cs="宋体"/>
          <w:sz w:val="24"/>
          <w:szCs w:val="24"/>
          <w:lang w:eastAsia="zh-CN"/>
        </w:rPr>
        <w:t>竞选人</w:t>
      </w:r>
      <w:r>
        <w:rPr>
          <w:rFonts w:hint="eastAsia" w:ascii="宋体" w:hAnsi="宋体" w:eastAsia="宋体" w:cs="宋体"/>
          <w:sz w:val="24"/>
          <w:szCs w:val="24"/>
        </w:rPr>
        <w:t>应对</w:t>
      </w:r>
      <w:r>
        <w:rPr>
          <w:rFonts w:hint="eastAsia" w:ascii="宋体" w:hAnsi="宋体" w:cs="宋体"/>
          <w:sz w:val="24"/>
          <w:szCs w:val="24"/>
          <w:lang w:eastAsia="zh-CN"/>
        </w:rPr>
        <w:t>比选人</w:t>
      </w:r>
      <w:r>
        <w:rPr>
          <w:rFonts w:hint="eastAsia" w:ascii="宋体" w:hAnsi="宋体" w:eastAsia="宋体" w:cs="宋体"/>
          <w:sz w:val="24"/>
          <w:szCs w:val="24"/>
        </w:rPr>
        <w:t>进行升级服务。</w:t>
      </w:r>
    </w:p>
    <w:p w14:paraId="1F48771E">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5.4质保期外服务要求</w:t>
      </w:r>
    </w:p>
    <w:p w14:paraId="2FAF45B3">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质量保证期过后，成交</w:t>
      </w:r>
      <w:r>
        <w:rPr>
          <w:rFonts w:hint="eastAsia" w:ascii="宋体" w:hAnsi="宋体" w:cs="宋体"/>
          <w:sz w:val="24"/>
          <w:szCs w:val="24"/>
          <w:lang w:eastAsia="zh-CN"/>
        </w:rPr>
        <w:t>竞选人</w:t>
      </w:r>
      <w:r>
        <w:rPr>
          <w:rFonts w:hint="eastAsia" w:ascii="宋体" w:hAnsi="宋体" w:eastAsia="宋体" w:cs="宋体"/>
          <w:sz w:val="24"/>
          <w:szCs w:val="24"/>
        </w:rPr>
        <w:t>应同样提供免费电话咨询服务，并应承诺提供产品上门维护服务。</w:t>
      </w:r>
    </w:p>
    <w:p w14:paraId="35EB5194">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5.5质量保证期过后，</w:t>
      </w:r>
      <w:r>
        <w:rPr>
          <w:rFonts w:hint="eastAsia" w:ascii="宋体" w:hAnsi="宋体" w:cs="宋体"/>
          <w:sz w:val="24"/>
          <w:szCs w:val="24"/>
          <w:lang w:eastAsia="zh-CN"/>
        </w:rPr>
        <w:t>比选人</w:t>
      </w:r>
      <w:r>
        <w:rPr>
          <w:rFonts w:hint="eastAsia" w:ascii="宋体" w:hAnsi="宋体" w:eastAsia="宋体" w:cs="宋体"/>
          <w:sz w:val="24"/>
          <w:szCs w:val="24"/>
        </w:rPr>
        <w:t>需要继续由原成交</w:t>
      </w:r>
      <w:r>
        <w:rPr>
          <w:rFonts w:hint="eastAsia" w:ascii="宋体" w:hAnsi="宋体" w:cs="宋体"/>
          <w:sz w:val="24"/>
          <w:szCs w:val="24"/>
          <w:lang w:eastAsia="zh-CN"/>
        </w:rPr>
        <w:t>竞选人</w:t>
      </w:r>
      <w:r>
        <w:rPr>
          <w:rFonts w:hint="eastAsia" w:ascii="宋体" w:hAnsi="宋体" w:eastAsia="宋体" w:cs="宋体"/>
          <w:sz w:val="24"/>
          <w:szCs w:val="24"/>
        </w:rPr>
        <w:t>提供售后服务的，成交</w:t>
      </w:r>
      <w:r>
        <w:rPr>
          <w:rFonts w:hint="eastAsia" w:ascii="宋体" w:hAnsi="宋体" w:cs="宋体"/>
          <w:sz w:val="24"/>
          <w:szCs w:val="24"/>
          <w:lang w:eastAsia="zh-CN"/>
        </w:rPr>
        <w:t>竞选人</w:t>
      </w:r>
      <w:r>
        <w:rPr>
          <w:rFonts w:hint="eastAsia" w:ascii="宋体" w:hAnsi="宋体" w:eastAsia="宋体" w:cs="宋体"/>
          <w:sz w:val="24"/>
          <w:szCs w:val="24"/>
        </w:rPr>
        <w:t>应以优惠价格提供售后服务。</w:t>
      </w:r>
    </w:p>
    <w:p w14:paraId="07DBFD9E">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5.6备品备件及易损件</w:t>
      </w:r>
    </w:p>
    <w:p w14:paraId="056D7113">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cs="宋体"/>
          <w:sz w:val="24"/>
          <w:szCs w:val="24"/>
          <w:lang w:eastAsia="zh-CN"/>
        </w:rPr>
        <w:t>竞选人</w:t>
      </w:r>
      <w:r>
        <w:rPr>
          <w:rFonts w:hint="eastAsia" w:ascii="宋体" w:hAnsi="宋体" w:eastAsia="宋体" w:cs="宋体"/>
          <w:sz w:val="24"/>
          <w:szCs w:val="24"/>
        </w:rPr>
        <w:t>售后服务中，维修使用的备品备件及易损件应为原厂配件，未经</w:t>
      </w:r>
      <w:r>
        <w:rPr>
          <w:rFonts w:hint="eastAsia" w:ascii="宋体" w:hAnsi="宋体" w:cs="宋体"/>
          <w:sz w:val="24"/>
          <w:szCs w:val="24"/>
          <w:lang w:eastAsia="zh-CN"/>
        </w:rPr>
        <w:t>比选人</w:t>
      </w:r>
      <w:r>
        <w:rPr>
          <w:rFonts w:hint="eastAsia" w:ascii="宋体" w:hAnsi="宋体" w:eastAsia="宋体" w:cs="宋体"/>
          <w:sz w:val="24"/>
          <w:szCs w:val="24"/>
        </w:rPr>
        <w:t>同意不得使用非原厂配件。</w:t>
      </w:r>
    </w:p>
    <w:p w14:paraId="115707A1">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6.付款</w:t>
      </w:r>
    </w:p>
    <w:p w14:paraId="749775E2">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本</w:t>
      </w:r>
      <w:r>
        <w:rPr>
          <w:rFonts w:hint="eastAsia" w:ascii="宋体" w:hAnsi="宋体" w:eastAsia="宋体" w:cs="宋体"/>
          <w:color w:val="auto"/>
          <w:kern w:val="0"/>
          <w:sz w:val="24"/>
          <w:szCs w:val="24"/>
          <w:highlight w:val="none"/>
          <w:lang w:eastAsia="zh-CN"/>
        </w:rPr>
        <w:t>项目质保期</w:t>
      </w:r>
      <w:r>
        <w:rPr>
          <w:rFonts w:hint="eastAsia" w:ascii="宋体" w:hAnsi="宋体" w:eastAsia="宋体" w:cs="宋体"/>
          <w:color w:val="auto"/>
          <w:kern w:val="0"/>
          <w:sz w:val="24"/>
          <w:szCs w:val="24"/>
          <w:highlight w:val="none"/>
          <w:lang w:val="en-US" w:eastAsia="zh-CN"/>
        </w:rPr>
        <w:t>为</w:t>
      </w:r>
      <w:r>
        <w:rPr>
          <w:rFonts w:hint="eastAsia" w:ascii="宋体" w:hAnsi="宋体" w:eastAsia="宋体" w:cs="宋体"/>
          <w:color w:val="auto"/>
          <w:kern w:val="0"/>
          <w:sz w:val="24"/>
          <w:szCs w:val="24"/>
          <w:highlight w:val="none"/>
        </w:rPr>
        <w:t>1年，保修期内供方免费提供配件及上门服务。</w:t>
      </w:r>
    </w:p>
    <w:p w14:paraId="2B51217F">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双方商定本合同价款采用固定总价方式。</w:t>
      </w:r>
    </w:p>
    <w:p w14:paraId="177CB1A9">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合同生效后，</w:t>
      </w:r>
      <w:r>
        <w:rPr>
          <w:rFonts w:hint="eastAsia" w:ascii="宋体" w:hAnsi="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按以下约定支付合同款：</w:t>
      </w:r>
      <w:r>
        <w:rPr>
          <w:rFonts w:hint="eastAsia" w:ascii="宋体" w:hAnsi="宋体" w:cs="宋体"/>
          <w:color w:val="auto"/>
          <w:kern w:val="0"/>
          <w:sz w:val="24"/>
          <w:szCs w:val="24"/>
          <w:highlight w:val="none"/>
          <w:lang w:val="en-US" w:eastAsia="zh-CN"/>
        </w:rPr>
        <w:t>合同签订后五日内，乙方出具等额的增值税发票和预付款担保函，甲方支付合同金额的30%预付款，</w:t>
      </w:r>
      <w:r>
        <w:rPr>
          <w:rFonts w:hint="eastAsia" w:ascii="宋体" w:hAnsi="宋体" w:eastAsia="宋体" w:cs="宋体"/>
          <w:color w:val="auto"/>
          <w:kern w:val="0"/>
          <w:sz w:val="24"/>
          <w:szCs w:val="24"/>
          <w:highlight w:val="none"/>
          <w:lang w:eastAsia="zh-CN"/>
        </w:rPr>
        <w:t>交货并</w:t>
      </w:r>
      <w:r>
        <w:rPr>
          <w:rFonts w:hint="eastAsia" w:ascii="宋体" w:hAnsi="宋体" w:eastAsia="宋体" w:cs="宋体"/>
          <w:color w:val="auto"/>
          <w:kern w:val="0"/>
          <w:sz w:val="24"/>
          <w:szCs w:val="24"/>
          <w:highlight w:val="none"/>
        </w:rPr>
        <w:t>安装完工后经</w:t>
      </w:r>
      <w:r>
        <w:rPr>
          <w:rFonts w:hint="eastAsia" w:ascii="宋体" w:hAnsi="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lang w:eastAsia="zh-CN"/>
        </w:rPr>
        <w:t>验收</w:t>
      </w:r>
      <w:r>
        <w:rPr>
          <w:rFonts w:hint="eastAsia" w:ascii="宋体" w:hAnsi="宋体" w:eastAsia="宋体" w:cs="宋体"/>
          <w:color w:val="auto"/>
          <w:kern w:val="0"/>
          <w:sz w:val="24"/>
          <w:szCs w:val="24"/>
          <w:highlight w:val="none"/>
        </w:rPr>
        <w:t>合格，取得验收合格手续、</w:t>
      </w:r>
      <w:r>
        <w:rPr>
          <w:rFonts w:hint="eastAsia" w:ascii="宋体" w:hAnsi="宋体" w:eastAsia="宋体" w:cs="宋体"/>
          <w:color w:val="auto"/>
          <w:kern w:val="0"/>
          <w:sz w:val="24"/>
          <w:szCs w:val="24"/>
          <w:highlight w:val="none"/>
          <w:lang w:eastAsia="zh-CN"/>
        </w:rPr>
        <w:t>开具足额发票后</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甲方支付至合同金额的97%，剩余3%作为质保金，待质保期满后无息退还。</w:t>
      </w:r>
    </w:p>
    <w:p w14:paraId="1E67FD95">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7检查验收</w:t>
      </w:r>
    </w:p>
    <w:p w14:paraId="6DF2F48F">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7.1供方应随货物提供合格证和质量证明文件，如是国外进口的货物还须提供入关证明。</w:t>
      </w:r>
    </w:p>
    <w:p w14:paraId="76F78E81">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7.2货物验收</w:t>
      </w:r>
    </w:p>
    <w:p w14:paraId="7ECDCB3C">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宋体" w:hAnsi="宋体" w:eastAsia="宋体" w:cs="宋体"/>
          <w:sz w:val="24"/>
          <w:szCs w:val="24"/>
        </w:rPr>
      </w:pPr>
      <w:r>
        <w:rPr>
          <w:rFonts w:hint="eastAsia" w:ascii="宋体" w:hAnsi="宋体" w:cs="宋体"/>
          <w:sz w:val="24"/>
          <w:szCs w:val="24"/>
          <w:lang w:eastAsia="zh-CN"/>
        </w:rPr>
        <w:t>供方</w:t>
      </w:r>
      <w:r>
        <w:rPr>
          <w:rFonts w:hint="eastAsia" w:ascii="宋体" w:hAnsi="宋体" w:eastAsia="宋体" w:cs="宋体"/>
          <w:sz w:val="24"/>
          <w:szCs w:val="24"/>
        </w:rPr>
        <w:t>所交货物的各种质量指标不得低于供方提供样品的质量指标(</w:t>
      </w:r>
      <w:r>
        <w:rPr>
          <w:rFonts w:hint="eastAsia" w:ascii="宋体" w:hAnsi="宋体" w:eastAsia="宋体" w:cs="宋体"/>
          <w:sz w:val="24"/>
          <w:szCs w:val="24"/>
          <w:lang w:eastAsia="zh-CN"/>
        </w:rPr>
        <w:t>竞标</w:t>
      </w:r>
      <w:r>
        <w:rPr>
          <w:rFonts w:hint="eastAsia" w:ascii="宋体" w:hAnsi="宋体" w:eastAsia="宋体" w:cs="宋体"/>
          <w:sz w:val="24"/>
          <w:szCs w:val="24"/>
        </w:rPr>
        <w:t>时提供的“技术文件”执行)，售后服务质量要求按照</w:t>
      </w:r>
      <w:r>
        <w:rPr>
          <w:rFonts w:hint="eastAsia" w:ascii="宋体" w:hAnsi="宋体" w:cs="宋体"/>
          <w:sz w:val="24"/>
          <w:szCs w:val="24"/>
          <w:lang w:eastAsia="zh-CN"/>
        </w:rPr>
        <w:t>竞争性比选文件</w:t>
      </w:r>
      <w:r>
        <w:rPr>
          <w:rFonts w:hint="eastAsia" w:ascii="宋体" w:hAnsi="宋体" w:eastAsia="宋体" w:cs="宋体"/>
          <w:sz w:val="24"/>
          <w:szCs w:val="24"/>
        </w:rPr>
        <w:t>和</w:t>
      </w:r>
      <w:r>
        <w:rPr>
          <w:rFonts w:hint="eastAsia" w:ascii="宋体" w:hAnsi="宋体" w:cs="宋体"/>
          <w:sz w:val="24"/>
          <w:szCs w:val="24"/>
          <w:lang w:eastAsia="zh-CN"/>
        </w:rPr>
        <w:t>比选申请文件</w:t>
      </w:r>
      <w:r>
        <w:rPr>
          <w:rFonts w:hint="eastAsia" w:ascii="宋体" w:hAnsi="宋体" w:eastAsia="宋体" w:cs="宋体"/>
          <w:sz w:val="24"/>
          <w:szCs w:val="24"/>
        </w:rPr>
        <w:t>的内容执行，供方交货时，需方可根据需要随机抽取一部分货物送有关权威检测部门检测，如检测不合格，供方负责赔偿需方一切损失。</w:t>
      </w:r>
    </w:p>
    <w:p w14:paraId="6DA10F16">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7.3 货物验收报告应由需方、供方经办人签字，并加盖双方公章，以此作为支付凭据不合格。</w:t>
      </w:r>
    </w:p>
    <w:p w14:paraId="67C49B2F">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8.索赔</w:t>
      </w:r>
    </w:p>
    <w:p w14:paraId="0A2C0D73">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供方对货物与合同要求不符负有责任，并且需方已于规定交货内和质量保证期内提出索赔，供方应按需方同意的下述一种或多种方法解决索赔事宜。</w:t>
      </w:r>
    </w:p>
    <w:p w14:paraId="46B4BEE4">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8.1 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14:paraId="071B64BD">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8.2 根据货物的劣和受损程度以及需方遭受损失的金额，经双方同意降低货物价格。</w:t>
      </w:r>
    </w:p>
    <w:p w14:paraId="312DA082">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9.知识产权</w:t>
      </w:r>
    </w:p>
    <w:p w14:paraId="083597A3">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甲方在中华人民共和国境内使用乙方提供的货物及服务时免受第三方提出的侵犯其专利权或其它知识产权的起诉。如果第三方提出侵权指控，乙方应承担由此而引起的一切法律责任和费用。</w:t>
      </w:r>
    </w:p>
    <w:p w14:paraId="631AE803">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10.合同争议的解决</w:t>
      </w:r>
    </w:p>
    <w:p w14:paraId="3EDB473E">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10.1当事人友好协商达成一致</w:t>
      </w:r>
    </w:p>
    <w:p w14:paraId="4727067D">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10.2在60天内当事人协商不能达成协议的，可提请</w:t>
      </w:r>
      <w:r>
        <w:rPr>
          <w:rFonts w:hint="eastAsia" w:ascii="宋体" w:hAnsi="宋体" w:cs="宋体"/>
          <w:sz w:val="24"/>
          <w:szCs w:val="24"/>
          <w:lang w:eastAsia="zh-CN"/>
        </w:rPr>
        <w:t>比选人</w:t>
      </w:r>
      <w:r>
        <w:rPr>
          <w:rFonts w:hint="eastAsia" w:ascii="宋体" w:hAnsi="宋体" w:eastAsia="宋体" w:cs="宋体"/>
          <w:sz w:val="24"/>
          <w:szCs w:val="24"/>
        </w:rPr>
        <w:t>当地仲裁机构仲裁</w:t>
      </w:r>
    </w:p>
    <w:p w14:paraId="5B2C34E6">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11.违约责任</w:t>
      </w:r>
    </w:p>
    <w:p w14:paraId="05A62002">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按《中华人民共和国民法典》、《中华人民共和国政府采购法》有关条款，或由供需双方约定。</w:t>
      </w:r>
    </w:p>
    <w:p w14:paraId="41A3927D">
      <w:pPr>
        <w:pStyle w:val="8"/>
        <w:pageBreakBefore w:val="0"/>
        <w:kinsoku/>
        <w:wordWrap/>
        <w:overflowPunct/>
        <w:topLinePunct w:val="0"/>
        <w:autoSpaceDE/>
        <w:autoSpaceDN/>
        <w:bidi w:val="0"/>
        <w:adjustRightInd w:val="0"/>
        <w:snapToGrid w:val="0"/>
        <w:spacing w:line="360" w:lineRule="auto"/>
        <w:ind w:left="0" w:leftChars="0" w:right="0" w:rightChars="0" w:firstLine="560"/>
        <w:rPr>
          <w:rFonts w:hint="eastAsia" w:ascii="宋体" w:hAnsi="宋体" w:eastAsia="宋体" w:cs="宋体"/>
          <w:sz w:val="24"/>
          <w:szCs w:val="24"/>
        </w:rPr>
      </w:pPr>
      <w:r>
        <w:rPr>
          <w:rFonts w:hint="eastAsia" w:ascii="宋体" w:hAnsi="宋体" w:eastAsia="宋体" w:cs="宋体"/>
          <w:sz w:val="24"/>
          <w:szCs w:val="24"/>
        </w:rPr>
        <w:t>12.合同生效及其它</w:t>
      </w:r>
    </w:p>
    <w:p w14:paraId="5B4D2046">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12.1 合同生效及其效力应符合《中华人民共和国民法典》有关规定。</w:t>
      </w:r>
    </w:p>
    <w:p w14:paraId="4A04630D">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12.2 合同应经当事人法定代表人或委托代理人签字，加盖双方合同专用章或公章。</w:t>
      </w:r>
    </w:p>
    <w:p w14:paraId="558314CF">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12.3 合同所包括附件，是合同不可分割的一部分，具有同等法律效力。</w:t>
      </w:r>
    </w:p>
    <w:p w14:paraId="4F889634">
      <w:pPr>
        <w:pageBreakBefore w:val="0"/>
        <w:tabs>
          <w:tab w:val="left" w:pos="651"/>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szCs w:val="24"/>
        </w:rPr>
        <w:sectPr>
          <w:footerReference r:id="rId5" w:type="default"/>
          <w:footerReference r:id="rId6" w:type="even"/>
          <w:pgSz w:w="11907" w:h="16840"/>
          <w:pgMar w:top="1134" w:right="1191" w:bottom="1134" w:left="1304" w:header="964" w:footer="992" w:gutter="0"/>
          <w:pgNumType w:fmt="numberInDash"/>
          <w:cols w:space="720" w:num="1"/>
          <w:docGrid w:linePitch="312" w:charSpace="0"/>
        </w:sectPr>
      </w:pPr>
      <w:r>
        <w:rPr>
          <w:rFonts w:hint="eastAsia" w:ascii="宋体" w:hAnsi="宋体" w:eastAsia="宋体" w:cs="宋体"/>
          <w:sz w:val="24"/>
          <w:szCs w:val="24"/>
        </w:rPr>
        <w:t>12.4 本合同条件未尽事宜依照《中华人民共和国民法典》，由供需双方共同协商确定。</w:t>
      </w:r>
    </w:p>
    <w:p w14:paraId="7AF701B7">
      <w:pPr>
        <w:keepNext/>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9"/>
        <w:rPr>
          <w:rFonts w:hint="eastAsia" w:ascii="宋体" w:hAnsi="宋体" w:eastAsia="宋体" w:cs="宋体"/>
        </w:rPr>
      </w:pPr>
      <w:bookmarkStart w:id="125" w:name="_Toc106030897"/>
      <w:bookmarkStart w:id="126" w:name="_Toc148265480"/>
      <w:bookmarkStart w:id="127" w:name="_Toc76462342"/>
      <w:bookmarkStart w:id="128" w:name="_Toc106030898"/>
      <w:bookmarkStart w:id="129" w:name="_Toc29416"/>
      <w:bookmarkStart w:id="130" w:name="_Toc76462343"/>
      <w:bookmarkStart w:id="131" w:name="_Toc303945820"/>
      <w:bookmarkStart w:id="132" w:name="_Toc102227321"/>
      <w:bookmarkStart w:id="133" w:name="_Toc342913395"/>
      <w:r>
        <w:rPr>
          <w:rFonts w:hint="eastAsia" w:ascii="宋体" w:hAnsi="宋体" w:eastAsia="宋体" w:cs="宋体"/>
        </w:rPr>
        <w:t>采购购销合同</w:t>
      </w:r>
    </w:p>
    <w:p w14:paraId="46DEB867">
      <w:pPr>
        <w:pageBreakBefore w:val="0"/>
        <w:kinsoku/>
        <w:wordWrap/>
        <w:overflowPunct/>
        <w:topLinePunct w:val="0"/>
        <w:autoSpaceDE/>
        <w:autoSpaceDN/>
        <w:bidi w:val="0"/>
        <w:adjustRightInd w:val="0"/>
        <w:snapToGrid w:val="0"/>
        <w:spacing w:line="360" w:lineRule="auto"/>
        <w:ind w:left="0" w:leftChars="0" w:right="0" w:rightChars="0" w:firstLine="3220" w:firstLineChars="1150"/>
        <w:jc w:val="left"/>
        <w:outlineLvl w:val="1"/>
        <w:rPr>
          <w:rFonts w:hint="eastAsia" w:ascii="宋体" w:hAnsi="宋体" w:eastAsia="宋体" w:cs="宋体"/>
          <w:sz w:val="28"/>
          <w:szCs w:val="28"/>
        </w:rPr>
      </w:pPr>
      <w:r>
        <w:rPr>
          <w:rFonts w:hint="eastAsia" w:ascii="宋体" w:hAnsi="宋体" w:eastAsia="宋体" w:cs="宋体"/>
          <w:sz w:val="28"/>
          <w:szCs w:val="28"/>
        </w:rPr>
        <w:t>（竞争性比选）</w:t>
      </w:r>
    </w:p>
    <w:p w14:paraId="4F0FB86D">
      <w:pPr>
        <w:pageBreakBefore w:val="0"/>
        <w:kinsoku/>
        <w:wordWrap/>
        <w:overflowPunct/>
        <w:topLinePunct w:val="0"/>
        <w:autoSpaceDE/>
        <w:autoSpaceDN/>
        <w:bidi w:val="0"/>
        <w:adjustRightInd w:val="0"/>
        <w:snapToGrid w:val="0"/>
        <w:spacing w:line="360" w:lineRule="auto"/>
        <w:ind w:left="0" w:leftChars="0" w:right="0" w:rightChars="0" w:firstLine="560" w:firstLineChars="200"/>
        <w:jc w:val="left"/>
        <w:outlineLvl w:val="1"/>
        <w:rPr>
          <w:rFonts w:hint="eastAsia" w:ascii="宋体" w:hAnsi="宋体" w:eastAsia="宋体" w:cs="宋体"/>
        </w:rPr>
      </w:pPr>
      <w:r>
        <w:rPr>
          <w:rFonts w:hint="eastAsia" w:ascii="宋体" w:hAnsi="宋体" w:eastAsia="宋体" w:cs="宋体"/>
        </w:rPr>
        <w:t>（项目号：     ）</w:t>
      </w:r>
    </w:p>
    <w:p w14:paraId="15A0B2D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rPr>
      </w:pPr>
      <w:r>
        <w:rPr>
          <w:rFonts w:hint="eastAsia" w:ascii="宋体" w:hAnsi="宋体" w:eastAsia="宋体" w:cs="宋体"/>
          <w:sz w:val="24"/>
        </w:rPr>
        <w:t>甲方（需方）：___________________________      计价单位：____________</w:t>
      </w:r>
    </w:p>
    <w:p w14:paraId="64A5035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rPr>
      </w:pPr>
      <w:r>
        <w:rPr>
          <w:rFonts w:hint="eastAsia" w:ascii="宋体" w:hAnsi="宋体" w:eastAsia="宋体" w:cs="宋体"/>
          <w:sz w:val="24"/>
        </w:rPr>
        <w:t>乙方（供方）：___________________________      计量单位：_____________</w:t>
      </w:r>
    </w:p>
    <w:p w14:paraId="2B29A33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4"/>
        </w:rPr>
      </w:pPr>
      <w:r>
        <w:rPr>
          <w:rFonts w:hint="eastAsia" w:ascii="宋体" w:hAnsi="宋体" w:eastAsia="宋体" w:cs="宋体"/>
          <w:sz w:val="24"/>
        </w:rPr>
        <w:t>经双方协商一致，达成以下购销合同：</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948"/>
        <w:gridCol w:w="960"/>
        <w:gridCol w:w="1439"/>
        <w:gridCol w:w="2211"/>
        <w:gridCol w:w="15"/>
      </w:tblGrid>
      <w:tr w14:paraId="2502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noWrap w:val="0"/>
            <w:vAlign w:val="center"/>
          </w:tcPr>
          <w:p w14:paraId="4F4A7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0"/>
              </w:rPr>
            </w:pPr>
            <w:r>
              <w:rPr>
                <w:rFonts w:hint="eastAsia" w:ascii="宋体" w:hAnsi="宋体" w:eastAsia="宋体" w:cs="宋体"/>
                <w:sz w:val="24"/>
                <w:szCs w:val="20"/>
              </w:rPr>
              <w:t>商品名称</w:t>
            </w:r>
          </w:p>
        </w:tc>
        <w:tc>
          <w:tcPr>
            <w:tcW w:w="1741" w:type="dxa"/>
            <w:noWrap w:val="0"/>
            <w:vAlign w:val="center"/>
          </w:tcPr>
          <w:p w14:paraId="54A42F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0"/>
              </w:rPr>
            </w:pPr>
            <w:r>
              <w:rPr>
                <w:rFonts w:hint="eastAsia" w:ascii="宋体" w:hAnsi="宋体" w:eastAsia="宋体" w:cs="宋体"/>
                <w:sz w:val="24"/>
                <w:szCs w:val="20"/>
              </w:rPr>
              <w:t>规格型号</w:t>
            </w:r>
          </w:p>
        </w:tc>
        <w:tc>
          <w:tcPr>
            <w:tcW w:w="984" w:type="dxa"/>
            <w:noWrap w:val="0"/>
            <w:vAlign w:val="center"/>
          </w:tcPr>
          <w:p w14:paraId="3713D9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0"/>
              </w:rPr>
            </w:pPr>
            <w:r>
              <w:rPr>
                <w:rFonts w:hint="eastAsia" w:ascii="宋体" w:hAnsi="宋体" w:eastAsia="宋体" w:cs="宋体"/>
                <w:sz w:val="24"/>
                <w:szCs w:val="20"/>
              </w:rPr>
              <w:t>数量</w:t>
            </w:r>
          </w:p>
        </w:tc>
        <w:tc>
          <w:tcPr>
            <w:tcW w:w="948" w:type="dxa"/>
            <w:noWrap w:val="0"/>
            <w:vAlign w:val="center"/>
          </w:tcPr>
          <w:p w14:paraId="68F62B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0"/>
              </w:rPr>
            </w:pPr>
            <w:r>
              <w:rPr>
                <w:rFonts w:hint="eastAsia" w:ascii="宋体" w:hAnsi="宋体" w:eastAsia="宋体" w:cs="宋体"/>
                <w:sz w:val="24"/>
                <w:szCs w:val="20"/>
              </w:rPr>
              <w:t>单价</w:t>
            </w:r>
          </w:p>
        </w:tc>
        <w:tc>
          <w:tcPr>
            <w:tcW w:w="960" w:type="dxa"/>
            <w:noWrap w:val="0"/>
            <w:vAlign w:val="center"/>
          </w:tcPr>
          <w:p w14:paraId="380F2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0"/>
              </w:rPr>
            </w:pPr>
            <w:r>
              <w:rPr>
                <w:rFonts w:hint="eastAsia" w:ascii="宋体" w:hAnsi="宋体" w:eastAsia="宋体" w:cs="宋体"/>
                <w:sz w:val="24"/>
                <w:szCs w:val="20"/>
              </w:rPr>
              <w:t>总价</w:t>
            </w:r>
          </w:p>
        </w:tc>
        <w:tc>
          <w:tcPr>
            <w:tcW w:w="1439" w:type="dxa"/>
            <w:noWrap w:val="0"/>
            <w:vAlign w:val="center"/>
          </w:tcPr>
          <w:p w14:paraId="39F356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0"/>
              </w:rPr>
            </w:pPr>
            <w:r>
              <w:rPr>
                <w:rFonts w:hint="eastAsia" w:ascii="宋体" w:hAnsi="宋体" w:eastAsia="宋体" w:cs="宋体"/>
                <w:sz w:val="24"/>
                <w:szCs w:val="20"/>
              </w:rPr>
              <w:t>交货时间</w:t>
            </w:r>
          </w:p>
        </w:tc>
        <w:tc>
          <w:tcPr>
            <w:tcW w:w="2211" w:type="dxa"/>
            <w:noWrap w:val="0"/>
            <w:vAlign w:val="center"/>
          </w:tcPr>
          <w:p w14:paraId="2D9299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rPr>
                <w:rFonts w:hint="eastAsia" w:ascii="宋体" w:hAnsi="宋体" w:eastAsia="宋体" w:cs="宋体"/>
                <w:sz w:val="24"/>
                <w:szCs w:val="20"/>
              </w:rPr>
            </w:pPr>
            <w:r>
              <w:rPr>
                <w:rFonts w:hint="eastAsia" w:ascii="宋体" w:hAnsi="宋体" w:eastAsia="宋体" w:cs="宋体"/>
                <w:sz w:val="24"/>
                <w:szCs w:val="20"/>
              </w:rPr>
              <w:t>交货地点</w:t>
            </w:r>
          </w:p>
        </w:tc>
      </w:tr>
      <w:tr w14:paraId="3FCC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14:paraId="1F41B1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noWrap w:val="0"/>
            <w:vAlign w:val="center"/>
          </w:tcPr>
          <w:p w14:paraId="6EBC42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noWrap w:val="0"/>
            <w:vAlign w:val="center"/>
          </w:tcPr>
          <w:p w14:paraId="5E232A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noWrap w:val="0"/>
            <w:vAlign w:val="center"/>
          </w:tcPr>
          <w:p w14:paraId="012E7C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noWrap w:val="0"/>
            <w:vAlign w:val="center"/>
          </w:tcPr>
          <w:p w14:paraId="4EC6A4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noWrap w:val="0"/>
            <w:vAlign w:val="center"/>
          </w:tcPr>
          <w:p w14:paraId="63F512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noWrap w:val="0"/>
            <w:vAlign w:val="center"/>
          </w:tcPr>
          <w:p w14:paraId="74CC20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5C85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14:paraId="77BBD4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noWrap w:val="0"/>
            <w:vAlign w:val="center"/>
          </w:tcPr>
          <w:p w14:paraId="613B6B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noWrap w:val="0"/>
            <w:vAlign w:val="center"/>
          </w:tcPr>
          <w:p w14:paraId="7CE9C3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noWrap w:val="0"/>
            <w:vAlign w:val="center"/>
          </w:tcPr>
          <w:p w14:paraId="0038E2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noWrap w:val="0"/>
            <w:vAlign w:val="center"/>
          </w:tcPr>
          <w:p w14:paraId="54888D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noWrap w:val="0"/>
            <w:vAlign w:val="center"/>
          </w:tcPr>
          <w:p w14:paraId="4D925D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noWrap w:val="0"/>
            <w:vAlign w:val="center"/>
          </w:tcPr>
          <w:p w14:paraId="50123D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5C98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14:paraId="76AE7C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noWrap w:val="0"/>
            <w:vAlign w:val="center"/>
          </w:tcPr>
          <w:p w14:paraId="13C1AE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noWrap w:val="0"/>
            <w:vAlign w:val="center"/>
          </w:tcPr>
          <w:p w14:paraId="2861A4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noWrap w:val="0"/>
            <w:vAlign w:val="center"/>
          </w:tcPr>
          <w:p w14:paraId="5E3099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noWrap w:val="0"/>
            <w:vAlign w:val="center"/>
          </w:tcPr>
          <w:p w14:paraId="4133CB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noWrap w:val="0"/>
            <w:vAlign w:val="center"/>
          </w:tcPr>
          <w:p w14:paraId="64E778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noWrap w:val="0"/>
            <w:vAlign w:val="center"/>
          </w:tcPr>
          <w:p w14:paraId="7B1F5B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5EB0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14:paraId="75A268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noWrap w:val="0"/>
            <w:vAlign w:val="center"/>
          </w:tcPr>
          <w:p w14:paraId="126369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noWrap w:val="0"/>
            <w:vAlign w:val="center"/>
          </w:tcPr>
          <w:p w14:paraId="631A5F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noWrap w:val="0"/>
            <w:vAlign w:val="center"/>
          </w:tcPr>
          <w:p w14:paraId="286E6F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noWrap w:val="0"/>
            <w:vAlign w:val="center"/>
          </w:tcPr>
          <w:p w14:paraId="50B881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noWrap w:val="0"/>
            <w:vAlign w:val="center"/>
          </w:tcPr>
          <w:p w14:paraId="7D879D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noWrap w:val="0"/>
            <w:vAlign w:val="center"/>
          </w:tcPr>
          <w:p w14:paraId="3F0E3D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4DB9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14:paraId="2A200F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noWrap w:val="0"/>
            <w:vAlign w:val="center"/>
          </w:tcPr>
          <w:p w14:paraId="02E871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noWrap w:val="0"/>
            <w:vAlign w:val="center"/>
          </w:tcPr>
          <w:p w14:paraId="614869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noWrap w:val="0"/>
            <w:vAlign w:val="center"/>
          </w:tcPr>
          <w:p w14:paraId="53AD8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noWrap w:val="0"/>
            <w:vAlign w:val="center"/>
          </w:tcPr>
          <w:p w14:paraId="5BA975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noWrap w:val="0"/>
            <w:vAlign w:val="center"/>
          </w:tcPr>
          <w:p w14:paraId="4DB2F6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noWrap w:val="0"/>
            <w:vAlign w:val="center"/>
          </w:tcPr>
          <w:p w14:paraId="155B5F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6E1C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14:paraId="01CFAB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noWrap w:val="0"/>
            <w:vAlign w:val="center"/>
          </w:tcPr>
          <w:p w14:paraId="45EC27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noWrap w:val="0"/>
            <w:vAlign w:val="center"/>
          </w:tcPr>
          <w:p w14:paraId="4D9F85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noWrap w:val="0"/>
            <w:vAlign w:val="center"/>
          </w:tcPr>
          <w:p w14:paraId="1B885E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noWrap w:val="0"/>
            <w:vAlign w:val="center"/>
          </w:tcPr>
          <w:p w14:paraId="23DCC8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noWrap w:val="0"/>
            <w:vAlign w:val="center"/>
          </w:tcPr>
          <w:p w14:paraId="032D6A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noWrap w:val="0"/>
            <w:vAlign w:val="center"/>
          </w:tcPr>
          <w:p w14:paraId="66F20E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3E72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noWrap w:val="0"/>
            <w:vAlign w:val="center"/>
          </w:tcPr>
          <w:p w14:paraId="2850F4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tcBorders>
              <w:bottom w:val="single" w:color="auto" w:sz="4" w:space="0"/>
            </w:tcBorders>
            <w:noWrap w:val="0"/>
            <w:vAlign w:val="center"/>
          </w:tcPr>
          <w:p w14:paraId="2887AC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tcBorders>
              <w:bottom w:val="single" w:color="auto" w:sz="4" w:space="0"/>
            </w:tcBorders>
            <w:noWrap w:val="0"/>
            <w:vAlign w:val="center"/>
          </w:tcPr>
          <w:p w14:paraId="01F7FA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tcBorders>
              <w:bottom w:val="single" w:color="auto" w:sz="4" w:space="0"/>
            </w:tcBorders>
            <w:noWrap w:val="0"/>
            <w:vAlign w:val="center"/>
          </w:tcPr>
          <w:p w14:paraId="3F5049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tcBorders>
              <w:bottom w:val="single" w:color="auto" w:sz="4" w:space="0"/>
            </w:tcBorders>
            <w:noWrap w:val="0"/>
            <w:vAlign w:val="center"/>
          </w:tcPr>
          <w:p w14:paraId="7FD66D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tcBorders>
              <w:bottom w:val="single" w:color="auto" w:sz="4" w:space="0"/>
            </w:tcBorders>
            <w:noWrap w:val="0"/>
            <w:vAlign w:val="center"/>
          </w:tcPr>
          <w:p w14:paraId="398E3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tcBorders>
              <w:bottom w:val="single" w:color="auto" w:sz="4" w:space="0"/>
            </w:tcBorders>
            <w:noWrap w:val="0"/>
            <w:vAlign w:val="center"/>
          </w:tcPr>
          <w:p w14:paraId="6BEEF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1497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14:paraId="1B9ADC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741" w:type="dxa"/>
            <w:noWrap w:val="0"/>
            <w:vAlign w:val="center"/>
          </w:tcPr>
          <w:p w14:paraId="60B5FE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84" w:type="dxa"/>
            <w:noWrap w:val="0"/>
            <w:vAlign w:val="center"/>
          </w:tcPr>
          <w:p w14:paraId="5216BA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48" w:type="dxa"/>
            <w:noWrap w:val="0"/>
            <w:vAlign w:val="center"/>
          </w:tcPr>
          <w:p w14:paraId="5A62BE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960" w:type="dxa"/>
            <w:noWrap w:val="0"/>
            <w:vAlign w:val="center"/>
          </w:tcPr>
          <w:p w14:paraId="566286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1439" w:type="dxa"/>
            <w:noWrap w:val="0"/>
            <w:vAlign w:val="center"/>
          </w:tcPr>
          <w:p w14:paraId="294921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c>
          <w:tcPr>
            <w:tcW w:w="2211" w:type="dxa"/>
            <w:noWrap w:val="0"/>
            <w:vAlign w:val="center"/>
          </w:tcPr>
          <w:p w14:paraId="61AC49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p>
        </w:tc>
      </w:tr>
      <w:tr w14:paraId="2787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24F50E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合计人民币（小写）：</w:t>
            </w:r>
          </w:p>
        </w:tc>
      </w:tr>
      <w:tr w14:paraId="5849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noWrap w:val="0"/>
            <w:vAlign w:val="center"/>
          </w:tcPr>
          <w:p w14:paraId="2B9B51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合计人民币（大写）：</w:t>
            </w:r>
          </w:p>
        </w:tc>
      </w:tr>
      <w:tr w14:paraId="0332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noWrap w:val="0"/>
            <w:vAlign w:val="top"/>
          </w:tcPr>
          <w:p w14:paraId="158EB4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一、质量要求和技术标准。供方提供的商品必须是全新的，完全符合国家有关技术标准，供方的质量保证及售后服务承诺如下：</w:t>
            </w:r>
          </w:p>
          <w:p w14:paraId="2A22BE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1.质保期限：</w:t>
            </w:r>
          </w:p>
          <w:p w14:paraId="6D0606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2.保修范围：</w:t>
            </w:r>
          </w:p>
          <w:p w14:paraId="210B83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3.服务措施：</w:t>
            </w:r>
          </w:p>
          <w:p w14:paraId="4D57C1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4.质保期后服务：</w:t>
            </w:r>
          </w:p>
        </w:tc>
      </w:tr>
      <w:tr w14:paraId="0860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7"/>
            <w:noWrap w:val="0"/>
            <w:vAlign w:val="top"/>
          </w:tcPr>
          <w:p w14:paraId="7EEF72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二、随机备品、附件、工具数量及供应方法：</w:t>
            </w:r>
          </w:p>
        </w:tc>
      </w:tr>
      <w:tr w14:paraId="0E00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7"/>
            <w:noWrap w:val="0"/>
            <w:vAlign w:val="top"/>
          </w:tcPr>
          <w:p w14:paraId="601579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三、交提货方式：</w:t>
            </w:r>
          </w:p>
        </w:tc>
      </w:tr>
      <w:tr w14:paraId="06E6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noWrap w:val="0"/>
            <w:vAlign w:val="top"/>
          </w:tcPr>
          <w:p w14:paraId="3BC5DB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四、验收标准、方法：</w:t>
            </w:r>
          </w:p>
          <w:p w14:paraId="0183E0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如有异议，请于      日内提出。</w:t>
            </w:r>
          </w:p>
        </w:tc>
      </w:tr>
      <w:tr w14:paraId="6139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9628" w:type="dxa"/>
            <w:gridSpan w:val="8"/>
            <w:noWrap w:val="0"/>
            <w:vAlign w:val="top"/>
          </w:tcPr>
          <w:p w14:paraId="06F40ED7">
            <w:pPr>
              <w:pStyle w:val="3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lang w:val="en-US" w:eastAsia="zh-CN"/>
              </w:rPr>
            </w:pPr>
            <w:r>
              <w:rPr>
                <w:rFonts w:hint="eastAsia" w:ascii="宋体" w:hAnsi="宋体" w:eastAsia="宋体" w:cs="宋体"/>
                <w:sz w:val="24"/>
                <w:szCs w:val="20"/>
              </w:rPr>
              <w:t>五、履约保证金：</w:t>
            </w:r>
            <w:r>
              <w:rPr>
                <w:rFonts w:hint="eastAsia" w:ascii="宋体" w:hAnsi="宋体" w:cs="宋体"/>
                <w:sz w:val="24"/>
                <w:szCs w:val="20"/>
                <w:lang w:val="en-US" w:eastAsia="zh-CN"/>
              </w:rPr>
              <w:t>无</w:t>
            </w:r>
          </w:p>
        </w:tc>
      </w:tr>
      <w:tr w14:paraId="7E3D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noWrap w:val="0"/>
            <w:vAlign w:val="top"/>
          </w:tcPr>
          <w:p w14:paraId="7B7812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六、付款方式：</w:t>
            </w:r>
          </w:p>
          <w:p w14:paraId="607B7E8D">
            <w:pPr>
              <w:pStyle w:val="3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kern w:val="2"/>
                <w:sz w:val="24"/>
                <w:szCs w:val="20"/>
                <w:lang w:val="en-US" w:eastAsia="zh-CN" w:bidi="ar-SA"/>
              </w:rPr>
              <w:t>（按合同主要条款执行）</w:t>
            </w:r>
          </w:p>
        </w:tc>
      </w:tr>
      <w:tr w14:paraId="4776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628" w:type="dxa"/>
            <w:gridSpan w:val="8"/>
            <w:noWrap w:val="0"/>
            <w:vAlign w:val="top"/>
          </w:tcPr>
          <w:p w14:paraId="79F8CC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七、违约责任：</w:t>
            </w:r>
          </w:p>
          <w:p w14:paraId="7819B0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按《中华人民共和国民法典》、《中华人民共和国政府采购法》执行，或按双方约定。</w:t>
            </w:r>
          </w:p>
        </w:tc>
      </w:tr>
      <w:tr w14:paraId="55CF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noWrap w:val="0"/>
            <w:vAlign w:val="top"/>
          </w:tcPr>
          <w:p w14:paraId="426C99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八、其他约定事项：</w:t>
            </w:r>
          </w:p>
          <w:p w14:paraId="227CD7B5">
            <w:pPr>
              <w:keepNext w:val="0"/>
              <w:keepLines w:val="0"/>
              <w:pageBreakBefore w:val="0"/>
              <w:suppressLineNumbers w:val="0"/>
              <w:tabs>
                <w:tab w:val="left" w:pos="36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1.</w:t>
            </w:r>
            <w:r>
              <w:rPr>
                <w:rFonts w:hint="eastAsia" w:ascii="宋体" w:hAnsi="宋体" w:cs="宋体"/>
                <w:sz w:val="24"/>
                <w:szCs w:val="20"/>
                <w:lang w:eastAsia="zh-CN"/>
              </w:rPr>
              <w:t>竞争性比选文件</w:t>
            </w:r>
            <w:r>
              <w:rPr>
                <w:rFonts w:hint="eastAsia" w:ascii="宋体" w:hAnsi="宋体" w:eastAsia="宋体" w:cs="宋体"/>
                <w:sz w:val="24"/>
                <w:szCs w:val="20"/>
              </w:rPr>
              <w:t>及其澄清文件、</w:t>
            </w:r>
            <w:r>
              <w:rPr>
                <w:rFonts w:hint="eastAsia" w:ascii="宋体" w:hAnsi="宋体" w:cs="宋体"/>
                <w:sz w:val="24"/>
                <w:szCs w:val="20"/>
                <w:lang w:eastAsia="zh-CN"/>
              </w:rPr>
              <w:t>比选申请文件</w:t>
            </w:r>
            <w:r>
              <w:rPr>
                <w:rFonts w:hint="eastAsia" w:ascii="宋体" w:hAnsi="宋体" w:eastAsia="宋体" w:cs="宋体"/>
                <w:sz w:val="24"/>
                <w:szCs w:val="20"/>
              </w:rPr>
              <w:t>和承诺是本合同不可分割的部分。</w:t>
            </w:r>
          </w:p>
          <w:p w14:paraId="045C9658">
            <w:pPr>
              <w:keepNext w:val="0"/>
              <w:keepLines w:val="0"/>
              <w:pageBreakBefore w:val="0"/>
              <w:suppressLineNumbers w:val="0"/>
              <w:tabs>
                <w:tab w:val="left" w:pos="36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2.本合同如发生争议由双方协商解决，协商不成向需方所在地仲裁机构提请仲裁。</w:t>
            </w:r>
          </w:p>
          <w:p w14:paraId="0F180857">
            <w:pPr>
              <w:keepNext w:val="0"/>
              <w:keepLines w:val="0"/>
              <w:pageBreakBefore w:val="0"/>
              <w:suppressLineNumbers w:val="0"/>
              <w:tabs>
                <w:tab w:val="left" w:pos="36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3.本合同一式__份， 需方__份，供方__份，具同等法律效力。</w:t>
            </w:r>
          </w:p>
          <w:p w14:paraId="65156119">
            <w:pPr>
              <w:keepNext w:val="0"/>
              <w:keepLines w:val="0"/>
              <w:pageBreakBefore w:val="0"/>
              <w:suppressLineNumbers w:val="0"/>
              <w:tabs>
                <w:tab w:val="left" w:pos="36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4.其他：</w:t>
            </w:r>
          </w:p>
        </w:tc>
      </w:tr>
      <w:tr w14:paraId="136E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5003" w:type="dxa"/>
            <w:gridSpan w:val="4"/>
            <w:noWrap w:val="0"/>
            <w:vAlign w:val="top"/>
          </w:tcPr>
          <w:p w14:paraId="05B1D2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需方：</w:t>
            </w:r>
          </w:p>
          <w:p w14:paraId="1F3E1D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地址：</w:t>
            </w:r>
          </w:p>
          <w:p w14:paraId="7A4E1A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联系电话：</w:t>
            </w:r>
          </w:p>
          <w:p w14:paraId="50D3A2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授权代表：</w:t>
            </w:r>
          </w:p>
        </w:tc>
        <w:tc>
          <w:tcPr>
            <w:tcW w:w="4625" w:type="dxa"/>
            <w:gridSpan w:val="4"/>
            <w:noWrap w:val="0"/>
            <w:vAlign w:val="top"/>
          </w:tcPr>
          <w:p w14:paraId="0C400B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供方：</w:t>
            </w:r>
          </w:p>
          <w:p w14:paraId="6CFDC6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地址：</w:t>
            </w:r>
          </w:p>
          <w:p w14:paraId="777C53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电话：</w:t>
            </w:r>
          </w:p>
          <w:p w14:paraId="4F983F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传真：</w:t>
            </w:r>
          </w:p>
          <w:p w14:paraId="56FF0E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开户银行：</w:t>
            </w:r>
          </w:p>
          <w:p w14:paraId="6B506D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账号：</w:t>
            </w:r>
          </w:p>
          <w:p w14:paraId="70E8A3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授权代表：</w:t>
            </w:r>
          </w:p>
          <w:p w14:paraId="24261D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（本栏请用计算机打印以便于准确付款）</w:t>
            </w:r>
          </w:p>
        </w:tc>
      </w:tr>
      <w:tr w14:paraId="755E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9628" w:type="dxa"/>
            <w:gridSpan w:val="8"/>
            <w:noWrap w:val="0"/>
            <w:vAlign w:val="top"/>
          </w:tcPr>
          <w:p w14:paraId="160AB9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rPr>
                <w:rFonts w:hint="eastAsia" w:ascii="宋体" w:hAnsi="宋体" w:eastAsia="宋体" w:cs="宋体"/>
                <w:sz w:val="24"/>
                <w:szCs w:val="20"/>
              </w:rPr>
            </w:pPr>
            <w:r>
              <w:rPr>
                <w:rFonts w:hint="eastAsia" w:ascii="宋体" w:hAnsi="宋体" w:eastAsia="宋体" w:cs="宋体"/>
                <w:sz w:val="24"/>
                <w:szCs w:val="20"/>
              </w:rPr>
              <w:t>备注：</w:t>
            </w:r>
          </w:p>
        </w:tc>
      </w:tr>
    </w:tbl>
    <w:p w14:paraId="4E8CDDE1">
      <w:pPr>
        <w:pageBreakBefore w:val="0"/>
        <w:tabs>
          <w:tab w:val="left" w:pos="9000"/>
        </w:tabs>
        <w:kinsoku/>
        <w:wordWrap/>
        <w:overflowPunct/>
        <w:topLinePunct w:val="0"/>
        <w:autoSpaceDE/>
        <w:autoSpaceDN/>
        <w:bidi w:val="0"/>
        <w:adjustRightInd w:val="0"/>
        <w:snapToGrid w:val="0"/>
        <w:spacing w:line="360" w:lineRule="auto"/>
        <w:ind w:left="0" w:leftChars="0" w:right="0" w:rightChars="0" w:firstLine="480" w:firstLineChars="200"/>
        <w:jc w:val="left"/>
        <w:rPr>
          <w:rFonts w:hint="eastAsia" w:ascii="宋体" w:hAnsi="宋体" w:eastAsia="宋体" w:cs="宋体"/>
          <w:sz w:val="21"/>
          <w:szCs w:val="21"/>
        </w:rPr>
        <w:sectPr>
          <w:pgSz w:w="11907" w:h="16840"/>
          <w:pgMar w:top="1134" w:right="1191" w:bottom="1134" w:left="1304" w:header="964" w:footer="992" w:gutter="0"/>
          <w:pgNumType w:fmt="numberInDash"/>
          <w:cols w:space="720" w:num="1"/>
          <w:docGrid w:linePitch="312" w:charSpace="0"/>
        </w:sectPr>
      </w:pPr>
      <w:r>
        <w:rPr>
          <w:rFonts w:hint="eastAsia" w:ascii="宋体" w:hAnsi="宋体" w:eastAsia="宋体" w:cs="宋体"/>
          <w:sz w:val="24"/>
        </w:rPr>
        <w:t>签约时间：           年   月   日      签约地点：</w:t>
      </w:r>
      <w:r>
        <w:rPr>
          <w:rFonts w:hint="eastAsia" w:ascii="宋体" w:hAnsi="宋体" w:eastAsia="宋体" w:cs="宋体"/>
        </w:rPr>
        <w:t xml:space="preserve"> </w:t>
      </w:r>
    </w:p>
    <w:p w14:paraId="631A34BD">
      <w:pPr>
        <w:pStyle w:val="3"/>
        <w:keepNext/>
        <w:keepLines w:val="0"/>
        <w:pageBreakBefore w:val="0"/>
        <w:widowControl/>
        <w:kinsoku/>
        <w:wordWrap/>
        <w:overflowPunct/>
        <w:topLinePunct w:val="0"/>
        <w:autoSpaceDE/>
        <w:autoSpaceDN/>
        <w:bidi w:val="0"/>
        <w:adjustRightInd w:val="0"/>
        <w:snapToGrid w:val="0"/>
        <w:spacing w:before="0" w:beforeLines="0" w:after="0" w:afterLines="0" w:line="360" w:lineRule="auto"/>
        <w:ind w:left="0" w:leftChars="0" w:right="0" w:rightChars="0"/>
        <w:textAlignment w:val="auto"/>
        <w:rPr>
          <w:rFonts w:hint="eastAsia" w:ascii="宋体" w:hAnsi="宋体" w:eastAsia="宋体" w:cs="宋体"/>
        </w:rPr>
      </w:pPr>
      <w:r>
        <w:rPr>
          <w:rFonts w:hint="eastAsia" w:ascii="宋体" w:hAnsi="宋体" w:eastAsia="宋体" w:cs="宋体"/>
        </w:rPr>
        <w:t xml:space="preserve">第七篇 </w:t>
      </w:r>
      <w:bookmarkEnd w:id="125"/>
      <w:bookmarkEnd w:id="126"/>
      <w:bookmarkEnd w:id="127"/>
      <w:bookmarkEnd w:id="128"/>
      <w:bookmarkEnd w:id="129"/>
      <w:bookmarkEnd w:id="130"/>
      <w:bookmarkEnd w:id="131"/>
      <w:bookmarkEnd w:id="132"/>
      <w:bookmarkEnd w:id="133"/>
      <w:bookmarkStart w:id="134" w:name="_Toc9538"/>
      <w:bookmarkStart w:id="135" w:name="_Toc19762"/>
      <w:bookmarkStart w:id="136" w:name="_Toc12789072"/>
      <w:bookmarkStart w:id="137" w:name="_Toc6968"/>
      <w:bookmarkStart w:id="138" w:name="_Toc106034658"/>
      <w:bookmarkStart w:id="139" w:name="_Toc65660378"/>
      <w:r>
        <w:rPr>
          <w:rFonts w:hint="eastAsia" w:cs="宋体"/>
          <w:lang w:eastAsia="zh-CN"/>
        </w:rPr>
        <w:t>比选申请文件</w:t>
      </w:r>
      <w:r>
        <w:rPr>
          <w:rFonts w:hint="eastAsia" w:ascii="宋体" w:hAnsi="宋体" w:eastAsia="宋体" w:cs="宋体"/>
        </w:rPr>
        <w:t>格式</w:t>
      </w:r>
      <w:bookmarkEnd w:id="134"/>
      <w:bookmarkEnd w:id="135"/>
      <w:bookmarkEnd w:id="136"/>
      <w:bookmarkEnd w:id="137"/>
      <w:bookmarkEnd w:id="138"/>
      <w:bookmarkEnd w:id="139"/>
    </w:p>
    <w:p w14:paraId="543E738C">
      <w:pPr>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560" w:firstLineChars="200"/>
        <w:jc w:val="left"/>
        <w:textAlignment w:val="auto"/>
        <w:outlineLvl w:val="9"/>
        <w:rPr>
          <w:rFonts w:hint="eastAsia" w:ascii="宋体" w:hAnsi="宋体" w:eastAsia="宋体" w:cs="宋体"/>
        </w:rPr>
      </w:pPr>
      <w:r>
        <w:rPr>
          <w:rFonts w:hint="eastAsia" w:ascii="宋体" w:hAnsi="宋体" w:eastAsia="宋体" w:cs="宋体"/>
        </w:rPr>
        <w:t>一、经济部分</w:t>
      </w:r>
    </w:p>
    <w:p w14:paraId="409A72C5">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竞标</w:t>
      </w:r>
      <w:r>
        <w:rPr>
          <w:rFonts w:hint="eastAsia" w:ascii="宋体" w:hAnsi="宋体" w:eastAsia="宋体" w:cs="宋体"/>
          <w:sz w:val="24"/>
          <w:szCs w:val="24"/>
        </w:rPr>
        <w:t>报价函</w:t>
      </w:r>
    </w:p>
    <w:p w14:paraId="46FD0F41">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(二)分项报价明细表</w:t>
      </w:r>
    </w:p>
    <w:p w14:paraId="42B6BDD0">
      <w:pPr>
        <w:pStyle w:val="25"/>
        <w:ind w:firstLine="480" w:firstLineChars="200"/>
        <w:rPr>
          <w:rFonts w:hint="eastAsia"/>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三</w:t>
      </w:r>
      <w:r>
        <w:rPr>
          <w:rFonts w:hint="eastAsia" w:ascii="宋体" w:hAnsi="宋体" w:eastAsia="宋体" w:cs="宋体"/>
          <w:b w:val="0"/>
          <w:bCs w:val="0"/>
          <w:sz w:val="24"/>
          <w:szCs w:val="24"/>
          <w:lang w:eastAsia="zh-CN"/>
        </w:rPr>
        <w:t>）基本资格条件承诺函</w:t>
      </w:r>
    </w:p>
    <w:p w14:paraId="4A4E5CCC">
      <w:pPr>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560" w:firstLineChars="200"/>
        <w:jc w:val="left"/>
        <w:textAlignment w:val="auto"/>
        <w:outlineLvl w:val="9"/>
        <w:rPr>
          <w:rFonts w:hint="eastAsia" w:ascii="宋体" w:hAnsi="宋体" w:eastAsia="宋体" w:cs="宋体"/>
        </w:rPr>
      </w:pPr>
      <w:r>
        <w:rPr>
          <w:rFonts w:hint="eastAsia" w:ascii="宋体" w:hAnsi="宋体" w:eastAsia="宋体" w:cs="宋体"/>
        </w:rPr>
        <w:t>二、技术文件</w:t>
      </w:r>
    </w:p>
    <w:p w14:paraId="5171A9B8">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 所投各产品的技术参数(或技术指标)</w:t>
      </w:r>
    </w:p>
    <w:p w14:paraId="3B875E45">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 技术条款差异表</w:t>
      </w:r>
    </w:p>
    <w:p w14:paraId="54CEC77A">
      <w:pPr>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560" w:firstLineChars="200"/>
        <w:jc w:val="left"/>
        <w:textAlignment w:val="auto"/>
        <w:outlineLvl w:val="9"/>
        <w:rPr>
          <w:rFonts w:hint="eastAsia" w:ascii="宋体" w:hAnsi="宋体" w:eastAsia="宋体" w:cs="宋体"/>
        </w:rPr>
      </w:pPr>
      <w:r>
        <w:rPr>
          <w:rFonts w:hint="eastAsia" w:ascii="宋体" w:hAnsi="宋体" w:eastAsia="宋体" w:cs="宋体"/>
        </w:rPr>
        <w:t>三、商务文件</w:t>
      </w:r>
    </w:p>
    <w:p w14:paraId="75360A99">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(一)商务条款差异表</w:t>
      </w:r>
    </w:p>
    <w:p w14:paraId="0D7B22F9">
      <w:pPr>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560" w:firstLineChars="200"/>
        <w:jc w:val="left"/>
        <w:textAlignment w:val="auto"/>
        <w:outlineLvl w:val="9"/>
        <w:rPr>
          <w:rFonts w:hint="eastAsia" w:ascii="宋体" w:hAnsi="宋体" w:eastAsia="宋体" w:cs="宋体"/>
        </w:rPr>
      </w:pPr>
      <w:r>
        <w:rPr>
          <w:rFonts w:hint="eastAsia" w:ascii="宋体" w:hAnsi="宋体" w:eastAsia="宋体" w:cs="宋体"/>
        </w:rPr>
        <w:t>四、资格条件及其他</w:t>
      </w:r>
    </w:p>
    <w:p w14:paraId="04D7B621">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(一) 竞选人有效的营业执照副本、税务登记证副本、组织机构代码证副本或三证合一后的营业执照扫描件</w:t>
      </w:r>
      <w:r>
        <w:rPr>
          <w:rFonts w:hint="eastAsia" w:ascii="宋体" w:hAnsi="宋体" w:cs="宋体"/>
          <w:sz w:val="24"/>
          <w:szCs w:val="24"/>
          <w:lang w:eastAsia="zh-CN"/>
        </w:rPr>
        <w:t>（</w:t>
      </w:r>
      <w:r>
        <w:rPr>
          <w:rFonts w:hint="eastAsia" w:ascii="宋体" w:hAnsi="宋体" w:eastAsia="宋体" w:cs="宋体"/>
          <w:sz w:val="24"/>
          <w:szCs w:val="24"/>
        </w:rPr>
        <w:t>说明:</w:t>
      </w:r>
      <w:r>
        <w:rPr>
          <w:rFonts w:hint="eastAsia" w:ascii="宋体" w:hAnsi="宋体" w:cs="宋体"/>
          <w:sz w:val="24"/>
          <w:szCs w:val="24"/>
          <w:lang w:eastAsia="zh-CN"/>
        </w:rPr>
        <w:t>竞选人</w:t>
      </w:r>
      <w:r>
        <w:rPr>
          <w:rFonts w:hint="eastAsia" w:ascii="宋体" w:hAnsi="宋体" w:eastAsia="宋体" w:cs="宋体"/>
          <w:sz w:val="24"/>
          <w:szCs w:val="24"/>
        </w:rPr>
        <w:t>按“多证合一”登记制度办理营业执照的，税务登记证(副本) 和社会保险登记证以</w:t>
      </w:r>
      <w:r>
        <w:rPr>
          <w:rFonts w:hint="eastAsia" w:ascii="宋体" w:hAnsi="宋体" w:cs="宋体"/>
          <w:sz w:val="24"/>
          <w:szCs w:val="24"/>
          <w:lang w:eastAsia="zh-CN"/>
        </w:rPr>
        <w:t>竞选人</w:t>
      </w:r>
      <w:r>
        <w:rPr>
          <w:rFonts w:hint="eastAsia" w:ascii="宋体" w:hAnsi="宋体" w:eastAsia="宋体" w:cs="宋体"/>
          <w:sz w:val="24"/>
          <w:szCs w:val="24"/>
        </w:rPr>
        <w:t>所提供的法人营业执照(副本)复印件为准。</w:t>
      </w:r>
      <w:r>
        <w:rPr>
          <w:rFonts w:hint="eastAsia" w:ascii="宋体" w:hAnsi="宋体" w:cs="宋体"/>
          <w:sz w:val="24"/>
          <w:szCs w:val="24"/>
          <w:lang w:eastAsia="zh-CN"/>
        </w:rPr>
        <w:t>）</w:t>
      </w:r>
    </w:p>
    <w:p w14:paraId="203D0653">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(二)法定代表人身份证明书(格式)</w:t>
      </w:r>
    </w:p>
    <w:p w14:paraId="221CC8C3">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(三)法定代表人授权委托书(格式)</w:t>
      </w:r>
    </w:p>
    <w:p w14:paraId="284A4DD7">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(四)①提供2023年或2024年度经审计的财务审计报告扫描件（至少包含报告本身以及报告中提及的财务报表）；②可提供截至</w:t>
      </w:r>
      <w:r>
        <w:rPr>
          <w:rFonts w:hint="eastAsia" w:ascii="宋体" w:hAnsi="宋体" w:cs="宋体"/>
          <w:sz w:val="24"/>
          <w:szCs w:val="24"/>
          <w:lang w:eastAsia="zh-CN"/>
        </w:rPr>
        <w:t>比选申请文件</w:t>
      </w:r>
      <w:r>
        <w:rPr>
          <w:rFonts w:hint="eastAsia" w:ascii="宋体" w:hAnsi="宋体" w:eastAsia="宋体" w:cs="宋体"/>
          <w:sz w:val="24"/>
          <w:szCs w:val="24"/>
        </w:rPr>
        <w:t>递交截止日一年内银行出具的资信证；③事业单位或成立不足一年的法人或者组织提供公司财务报表（包含资产负债表、现金流量表、利润表）和公司财务制度扫描件；④也可提供具有健全的财务会计制度的承诺函。竞选人依据自身情况，提供以上①②③④条中任意提供1条即可（有效）。</w:t>
      </w:r>
    </w:p>
    <w:p w14:paraId="03716DB3">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(五)书面声明(格式)</w:t>
      </w:r>
    </w:p>
    <w:p w14:paraId="31822528">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(六)缴纳社会保障金的证明材料复印件[缴纳社会保障金的证明材料指:社会保险登记证或缴纳社会保险的凭据(专用收据或社会保险缴纳清单)]。依法免税或不需要缴纳社会保障资金的</w:t>
      </w:r>
      <w:r>
        <w:rPr>
          <w:rFonts w:hint="eastAsia" w:ascii="宋体" w:hAnsi="宋体" w:cs="宋体"/>
          <w:sz w:val="24"/>
          <w:szCs w:val="24"/>
          <w:lang w:eastAsia="zh-CN"/>
        </w:rPr>
        <w:t>竞选人</w:t>
      </w:r>
      <w:r>
        <w:rPr>
          <w:rFonts w:hint="eastAsia" w:ascii="宋体" w:hAnsi="宋体" w:eastAsia="宋体" w:cs="宋体"/>
          <w:sz w:val="24"/>
          <w:szCs w:val="24"/>
        </w:rPr>
        <w:t>，应提供相应文件证明其依法免税或不需要缴纳社会保障资金。</w:t>
      </w:r>
    </w:p>
    <w:p w14:paraId="26CA4949">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七</w:t>
      </w:r>
      <w:r>
        <w:rPr>
          <w:rFonts w:hint="eastAsia" w:ascii="宋体" w:hAnsi="宋体" w:eastAsia="宋体" w:cs="宋体"/>
          <w:sz w:val="24"/>
          <w:szCs w:val="24"/>
        </w:rPr>
        <w:t>)特定资格条件证书或证明文件</w:t>
      </w:r>
    </w:p>
    <w:p w14:paraId="3D3F505D">
      <w:pPr>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560" w:firstLineChars="200"/>
        <w:jc w:val="left"/>
        <w:textAlignment w:val="auto"/>
        <w:outlineLvl w:val="9"/>
        <w:rPr>
          <w:rFonts w:hint="eastAsia" w:ascii="宋体" w:hAnsi="宋体" w:eastAsia="宋体" w:cs="宋体"/>
        </w:rPr>
      </w:pPr>
      <w:r>
        <w:rPr>
          <w:rFonts w:hint="eastAsia" w:ascii="宋体" w:hAnsi="宋体" w:eastAsia="宋体" w:cs="宋体"/>
        </w:rPr>
        <w:t>五、其他资料</w:t>
      </w:r>
    </w:p>
    <w:p w14:paraId="6A733351">
      <w:pPr>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left"/>
        <w:textAlignment w:val="auto"/>
        <w:outlineLvl w:val="9"/>
        <w:rPr>
          <w:rFonts w:hint="eastAsia" w:ascii="宋体" w:hAnsi="宋体" w:eastAsia="宋体" w:cs="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4EDC3621">
      <w:pPr>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0" w:firstLineChars="200"/>
        <w:jc w:val="left"/>
        <w:textAlignment w:val="auto"/>
        <w:outlineLvl w:val="9"/>
        <w:rPr>
          <w:rFonts w:hint="eastAsia" w:ascii="宋体" w:hAnsi="宋体" w:eastAsia="宋体" w:cs="宋体"/>
          <w:sz w:val="24"/>
        </w:rPr>
      </w:pPr>
      <w:bookmarkStart w:id="140" w:name="_Toc106034659"/>
      <w:bookmarkStart w:id="141" w:name="_Toc313008356"/>
      <w:bookmarkStart w:id="142" w:name="_Toc14244"/>
      <w:bookmarkStart w:id="143" w:name="_Toc342913419"/>
      <w:bookmarkStart w:id="144" w:name="_Toc26343"/>
      <w:bookmarkStart w:id="145" w:name="_Toc65660379"/>
      <w:bookmarkStart w:id="146" w:name="_Toc313888360"/>
      <w:bookmarkStart w:id="147" w:name="_Toc283382454"/>
      <w:bookmarkStart w:id="148" w:name="_Toc12789073"/>
      <w:r>
        <w:rPr>
          <w:rFonts w:hint="eastAsia" w:ascii="宋体" w:hAnsi="宋体" w:eastAsia="宋体" w:cs="宋体"/>
          <w:sz w:val="24"/>
        </w:rPr>
        <w:t>一、经济部分</w:t>
      </w:r>
      <w:bookmarkEnd w:id="140"/>
      <w:bookmarkEnd w:id="141"/>
      <w:bookmarkEnd w:id="142"/>
      <w:bookmarkEnd w:id="143"/>
      <w:bookmarkEnd w:id="144"/>
      <w:bookmarkEnd w:id="145"/>
      <w:bookmarkEnd w:id="146"/>
    </w:p>
    <w:bookmarkEnd w:id="147"/>
    <w:bookmarkEnd w:id="148"/>
    <w:p w14:paraId="66A63BF5">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（一）竞</w:t>
      </w:r>
      <w:r>
        <w:rPr>
          <w:rFonts w:hint="eastAsia" w:ascii="宋体" w:hAnsi="宋体" w:eastAsia="宋体" w:cs="宋体"/>
          <w:sz w:val="24"/>
          <w:szCs w:val="24"/>
          <w:lang w:eastAsia="zh-CN"/>
        </w:rPr>
        <w:t>标</w:t>
      </w:r>
      <w:r>
        <w:rPr>
          <w:rFonts w:hint="eastAsia" w:ascii="宋体" w:hAnsi="宋体" w:eastAsia="宋体" w:cs="宋体"/>
          <w:sz w:val="24"/>
          <w:szCs w:val="24"/>
        </w:rPr>
        <w:t>报价函</w:t>
      </w:r>
    </w:p>
    <w:p w14:paraId="23EDFC21">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2" w:firstLineChars="200"/>
        <w:jc w:val="center"/>
        <w:textAlignment w:val="auto"/>
        <w:outlineLvl w:val="9"/>
        <w:rPr>
          <w:rFonts w:hint="eastAsia" w:ascii="宋体" w:hAnsi="宋体" w:eastAsia="宋体" w:cs="宋体"/>
          <w:b/>
          <w:szCs w:val="28"/>
        </w:rPr>
      </w:pPr>
      <w:r>
        <w:rPr>
          <w:rFonts w:hint="eastAsia" w:ascii="宋体" w:hAnsi="宋体" w:eastAsia="宋体" w:cs="宋体"/>
          <w:b/>
          <w:szCs w:val="28"/>
          <w:lang w:eastAsia="zh-CN"/>
        </w:rPr>
        <w:t>竞标</w:t>
      </w:r>
      <w:r>
        <w:rPr>
          <w:rFonts w:hint="eastAsia" w:ascii="宋体" w:hAnsi="宋体" w:eastAsia="宋体" w:cs="宋体"/>
          <w:b/>
          <w:szCs w:val="28"/>
        </w:rPr>
        <w:t>报价函</w:t>
      </w:r>
    </w:p>
    <w:p w14:paraId="1856C117">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u w:val="single"/>
        </w:rPr>
        <w:t>（</w:t>
      </w:r>
      <w:r>
        <w:rPr>
          <w:rFonts w:hint="eastAsia" w:ascii="宋体" w:hAnsi="宋体" w:cs="宋体"/>
          <w:sz w:val="24"/>
          <w:szCs w:val="24"/>
          <w:u w:val="single"/>
          <w:lang w:val="en-US" w:eastAsia="zh-CN"/>
        </w:rPr>
        <w:t>比选</w:t>
      </w:r>
      <w:r>
        <w:rPr>
          <w:rFonts w:hint="eastAsia" w:ascii="宋体" w:hAnsi="宋体" w:eastAsia="宋体" w:cs="宋体"/>
          <w:sz w:val="24"/>
          <w:szCs w:val="24"/>
          <w:u w:val="single"/>
          <w:lang w:eastAsia="zh-CN"/>
        </w:rPr>
        <w:t>人名称或</w:t>
      </w:r>
      <w:r>
        <w:rPr>
          <w:rFonts w:hint="eastAsia" w:ascii="宋体" w:hAnsi="宋体" w:cs="宋体"/>
          <w:sz w:val="24"/>
          <w:szCs w:val="24"/>
          <w:u w:val="single"/>
          <w:lang w:val="en-US" w:eastAsia="zh-CN"/>
        </w:rPr>
        <w:t>比选</w:t>
      </w:r>
      <w:r>
        <w:rPr>
          <w:rFonts w:hint="eastAsia" w:ascii="宋体" w:hAnsi="宋体" w:eastAsia="宋体" w:cs="宋体"/>
          <w:sz w:val="24"/>
          <w:szCs w:val="24"/>
          <w:u w:val="single"/>
        </w:rPr>
        <w:t>代理机构名称）</w:t>
      </w:r>
      <w:r>
        <w:rPr>
          <w:rFonts w:hint="eastAsia" w:ascii="宋体" w:hAnsi="宋体" w:eastAsia="宋体" w:cs="宋体"/>
          <w:sz w:val="24"/>
          <w:szCs w:val="24"/>
        </w:rPr>
        <w:t>：</w:t>
      </w:r>
    </w:p>
    <w:p w14:paraId="366B316E">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我方收到________________（项目名称）的</w:t>
      </w:r>
      <w:r>
        <w:rPr>
          <w:rFonts w:hint="eastAsia" w:ascii="宋体" w:hAnsi="宋体" w:cs="宋体"/>
          <w:sz w:val="24"/>
          <w:szCs w:val="24"/>
          <w:lang w:eastAsia="zh-CN"/>
        </w:rPr>
        <w:t>竞争性比选文件</w:t>
      </w:r>
      <w:r>
        <w:rPr>
          <w:rFonts w:hint="eastAsia" w:ascii="宋体" w:hAnsi="宋体" w:eastAsia="宋体" w:cs="宋体"/>
          <w:sz w:val="24"/>
          <w:szCs w:val="24"/>
        </w:rPr>
        <w:t>，经详细研究，决定参加该项目的竞争比选。</w:t>
      </w:r>
    </w:p>
    <w:p w14:paraId="2995158C">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1.愿意按照</w:t>
      </w:r>
      <w:r>
        <w:rPr>
          <w:rFonts w:hint="eastAsia" w:ascii="宋体" w:hAnsi="宋体" w:cs="宋体"/>
          <w:sz w:val="24"/>
          <w:szCs w:val="24"/>
          <w:lang w:eastAsia="zh-CN"/>
        </w:rPr>
        <w:t>竞争性比选文件</w:t>
      </w:r>
      <w:r>
        <w:rPr>
          <w:rFonts w:hint="eastAsia" w:ascii="宋体" w:hAnsi="宋体" w:eastAsia="宋体" w:cs="宋体"/>
          <w:sz w:val="24"/>
          <w:szCs w:val="24"/>
        </w:rPr>
        <w:t>中的一切要求，提供本项目的交货及技术服务，</w:t>
      </w:r>
      <w:r>
        <w:rPr>
          <w:rFonts w:hint="eastAsia" w:ascii="宋体" w:hAnsi="宋体" w:eastAsia="宋体" w:cs="宋体"/>
          <w:sz w:val="24"/>
          <w:szCs w:val="24"/>
          <w:lang w:eastAsia="zh-CN"/>
        </w:rPr>
        <w:t>愿意以竞标总报价</w:t>
      </w:r>
      <w:r>
        <w:rPr>
          <w:rFonts w:hint="eastAsia" w:ascii="宋体" w:hAnsi="宋体" w:eastAsia="宋体" w:cs="宋体"/>
          <w:sz w:val="24"/>
          <w:szCs w:val="24"/>
        </w:rPr>
        <w:t>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人民币小写：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r>
        <w:rPr>
          <w:rFonts w:hint="eastAsia" w:ascii="宋体" w:hAnsi="宋体" w:eastAsia="宋体" w:cs="宋体"/>
          <w:sz w:val="24"/>
          <w:szCs w:val="24"/>
          <w:lang w:eastAsia="zh-CN"/>
        </w:rPr>
        <w:t>）完成本项目</w:t>
      </w:r>
      <w:r>
        <w:rPr>
          <w:rFonts w:hint="eastAsia" w:ascii="宋体" w:hAnsi="宋体" w:cs="宋体"/>
          <w:sz w:val="24"/>
          <w:szCs w:val="24"/>
          <w:lang w:eastAsia="zh-CN"/>
        </w:rPr>
        <w:t>竞争性比选文件</w:t>
      </w:r>
      <w:r>
        <w:rPr>
          <w:rFonts w:hint="eastAsia" w:ascii="宋体" w:hAnsi="宋体" w:eastAsia="宋体" w:cs="宋体"/>
          <w:sz w:val="24"/>
          <w:szCs w:val="24"/>
          <w:lang w:eastAsia="zh-CN"/>
        </w:rPr>
        <w:t>、图纸清单及答疑补遗文件规定的所有工作内容，质保期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年，供货服务期：</w:t>
      </w:r>
      <w:r>
        <w:rPr>
          <w:rFonts w:hint="eastAsia" w:ascii="宋体" w:hAnsi="宋体" w:eastAsia="宋体" w:cs="宋体"/>
          <w:sz w:val="24"/>
          <w:szCs w:val="24"/>
          <w:u w:val="single"/>
          <w:lang w:val="en-US" w:eastAsia="zh-CN"/>
        </w:rPr>
        <w:t>满足</w:t>
      </w:r>
      <w:r>
        <w:rPr>
          <w:rFonts w:hint="eastAsia" w:ascii="宋体" w:hAnsi="宋体" w:cs="宋体"/>
          <w:sz w:val="24"/>
          <w:szCs w:val="24"/>
          <w:u w:val="single"/>
          <w:lang w:val="en-US" w:eastAsia="zh-CN"/>
        </w:rPr>
        <w:t>竞争性比选文件</w:t>
      </w:r>
      <w:r>
        <w:rPr>
          <w:rFonts w:hint="eastAsia" w:ascii="宋体" w:hAnsi="宋体" w:eastAsia="宋体" w:cs="宋体"/>
          <w:sz w:val="24"/>
          <w:szCs w:val="24"/>
          <w:u w:val="single"/>
          <w:lang w:val="en-US" w:eastAsia="zh-CN"/>
        </w:rPr>
        <w:t>要求</w:t>
      </w:r>
      <w:r>
        <w:rPr>
          <w:rFonts w:hint="eastAsia" w:ascii="宋体" w:hAnsi="宋体" w:eastAsia="宋体" w:cs="宋体"/>
          <w:sz w:val="24"/>
          <w:szCs w:val="24"/>
          <w:u w:val="none"/>
          <w:lang w:val="en-US" w:eastAsia="zh-CN"/>
        </w:rPr>
        <w:t>，竞标保证金已按</w:t>
      </w:r>
      <w:r>
        <w:rPr>
          <w:rFonts w:hint="eastAsia" w:ascii="宋体" w:hAnsi="宋体" w:cs="宋体"/>
          <w:sz w:val="24"/>
          <w:szCs w:val="24"/>
          <w:u w:val="none"/>
          <w:lang w:val="en-US" w:eastAsia="zh-CN"/>
        </w:rPr>
        <w:t>竞争性比选文件</w:t>
      </w:r>
      <w:r>
        <w:rPr>
          <w:rFonts w:hint="eastAsia" w:ascii="宋体" w:hAnsi="宋体" w:eastAsia="宋体" w:cs="宋体"/>
          <w:sz w:val="24"/>
          <w:szCs w:val="24"/>
          <w:u w:val="none"/>
          <w:lang w:val="en-US" w:eastAsia="zh-CN"/>
        </w:rPr>
        <w:t>要求递交</w:t>
      </w:r>
      <w:r>
        <w:rPr>
          <w:rFonts w:hint="eastAsia" w:ascii="宋体" w:hAnsi="宋体" w:eastAsia="宋体" w:cs="宋体"/>
          <w:sz w:val="24"/>
          <w:szCs w:val="24"/>
        </w:rPr>
        <w:t>。</w:t>
      </w:r>
    </w:p>
    <w:p w14:paraId="1E10007B">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2.我方现提交的</w:t>
      </w:r>
      <w:r>
        <w:rPr>
          <w:rFonts w:hint="eastAsia" w:ascii="宋体" w:hAnsi="宋体" w:cs="宋体"/>
          <w:sz w:val="24"/>
          <w:szCs w:val="24"/>
          <w:lang w:eastAsia="zh-CN"/>
        </w:rPr>
        <w:t>比选申请文件</w:t>
      </w:r>
      <w:r>
        <w:rPr>
          <w:rFonts w:hint="eastAsia" w:ascii="宋体" w:hAnsi="宋体" w:eastAsia="宋体" w:cs="宋体"/>
          <w:sz w:val="24"/>
          <w:szCs w:val="24"/>
        </w:rPr>
        <w:t>为：</w:t>
      </w:r>
      <w:r>
        <w:rPr>
          <w:rFonts w:hint="eastAsia" w:ascii="宋体" w:hAnsi="宋体" w:cs="宋体"/>
          <w:sz w:val="24"/>
          <w:szCs w:val="24"/>
          <w:lang w:eastAsia="zh-CN"/>
        </w:rPr>
        <w:t>比选申请文件</w:t>
      </w:r>
      <w:r>
        <w:rPr>
          <w:rFonts w:hint="eastAsia" w:ascii="宋体" w:hAnsi="宋体" w:eastAsia="宋体" w:cs="宋体"/>
          <w:sz w:val="24"/>
          <w:szCs w:val="24"/>
        </w:rPr>
        <w:t>正本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份，副本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份，电子文档</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6E24FEA1">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3.我方承诺：本次比选的有效期为提交</w:t>
      </w:r>
      <w:r>
        <w:rPr>
          <w:rFonts w:hint="eastAsia" w:ascii="宋体" w:hAnsi="宋体" w:cs="宋体"/>
          <w:sz w:val="24"/>
          <w:szCs w:val="24"/>
          <w:lang w:eastAsia="zh-CN"/>
        </w:rPr>
        <w:t>比选申请文件</w:t>
      </w:r>
      <w:r>
        <w:rPr>
          <w:rFonts w:hint="eastAsia" w:ascii="宋体" w:hAnsi="宋体" w:eastAsia="宋体" w:cs="宋体"/>
          <w:sz w:val="24"/>
          <w:szCs w:val="24"/>
        </w:rPr>
        <w:t>截止时间起90天。</w:t>
      </w:r>
    </w:p>
    <w:p w14:paraId="4FA69E32">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4.我方完全理解和接受贵方</w:t>
      </w:r>
      <w:r>
        <w:rPr>
          <w:rFonts w:hint="eastAsia" w:ascii="宋体" w:hAnsi="宋体" w:cs="宋体"/>
          <w:sz w:val="24"/>
          <w:szCs w:val="24"/>
          <w:lang w:eastAsia="zh-CN"/>
        </w:rPr>
        <w:t>竞争性比选文件</w:t>
      </w:r>
      <w:r>
        <w:rPr>
          <w:rFonts w:hint="eastAsia" w:ascii="宋体" w:hAnsi="宋体" w:eastAsia="宋体" w:cs="宋体"/>
          <w:sz w:val="24"/>
          <w:szCs w:val="24"/>
        </w:rPr>
        <w:t>的一切规定和要求及比选评审办法。</w:t>
      </w:r>
    </w:p>
    <w:p w14:paraId="7CFB979E">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5.在整个竞争性比选过程中，我方若有违规行为，接受按照《中华人民共和国政府采购法》和《</w:t>
      </w:r>
      <w:r>
        <w:rPr>
          <w:rFonts w:hint="eastAsia" w:ascii="宋体" w:hAnsi="宋体" w:cs="宋体"/>
          <w:sz w:val="24"/>
          <w:szCs w:val="24"/>
          <w:lang w:eastAsia="zh-CN"/>
        </w:rPr>
        <w:t>竞争性比选文件</w:t>
      </w:r>
      <w:r>
        <w:rPr>
          <w:rFonts w:hint="eastAsia" w:ascii="宋体" w:hAnsi="宋体" w:eastAsia="宋体" w:cs="宋体"/>
          <w:sz w:val="24"/>
          <w:szCs w:val="24"/>
        </w:rPr>
        <w:t>》之规定给予惩罚。</w:t>
      </w:r>
    </w:p>
    <w:p w14:paraId="29D3EF2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6.我方若成为成交</w:t>
      </w:r>
      <w:r>
        <w:rPr>
          <w:rFonts w:hint="eastAsia" w:ascii="宋体" w:hAnsi="宋体" w:cs="宋体"/>
          <w:sz w:val="24"/>
          <w:szCs w:val="24"/>
          <w:lang w:eastAsia="zh-CN"/>
        </w:rPr>
        <w:t>竞选人</w:t>
      </w:r>
      <w:r>
        <w:rPr>
          <w:rFonts w:hint="eastAsia" w:ascii="宋体" w:hAnsi="宋体" w:eastAsia="宋体" w:cs="宋体"/>
          <w:sz w:val="24"/>
          <w:szCs w:val="24"/>
        </w:rPr>
        <w:t>，将按照最终比选结果签订合同，并且严格履行合同义务。本承诺函将成为合同不可分割的一部分，与合同具有同等的法律效力。</w:t>
      </w:r>
    </w:p>
    <w:p w14:paraId="5B6C6D57">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7.我方同意按</w:t>
      </w:r>
      <w:r>
        <w:rPr>
          <w:rFonts w:hint="eastAsia" w:ascii="宋体" w:hAnsi="宋体" w:cs="宋体"/>
          <w:sz w:val="24"/>
          <w:szCs w:val="24"/>
          <w:lang w:eastAsia="zh-CN"/>
        </w:rPr>
        <w:t>竞争性比选文件</w:t>
      </w:r>
      <w:r>
        <w:rPr>
          <w:rFonts w:hint="eastAsia" w:ascii="宋体" w:hAnsi="宋体" w:eastAsia="宋体" w:cs="宋体"/>
          <w:sz w:val="24"/>
          <w:szCs w:val="24"/>
        </w:rPr>
        <w:t>规定，交纳</w:t>
      </w:r>
      <w:r>
        <w:rPr>
          <w:rFonts w:hint="eastAsia" w:ascii="宋体" w:hAnsi="宋体" w:cs="宋体"/>
          <w:sz w:val="24"/>
          <w:szCs w:val="24"/>
          <w:lang w:eastAsia="zh-CN"/>
        </w:rPr>
        <w:t>竞争性比选文件</w:t>
      </w:r>
      <w:r>
        <w:rPr>
          <w:rFonts w:hint="eastAsia" w:ascii="宋体" w:hAnsi="宋体" w:eastAsia="宋体" w:cs="宋体"/>
          <w:sz w:val="24"/>
          <w:szCs w:val="24"/>
        </w:rPr>
        <w:t>要求的保证金。如果我方成为成交</w:t>
      </w:r>
      <w:r>
        <w:rPr>
          <w:rFonts w:hint="eastAsia" w:ascii="宋体" w:hAnsi="宋体" w:cs="宋体"/>
          <w:sz w:val="24"/>
          <w:szCs w:val="24"/>
          <w:lang w:eastAsia="zh-CN"/>
        </w:rPr>
        <w:t>竞选人</w:t>
      </w:r>
      <w:r>
        <w:rPr>
          <w:rFonts w:hint="eastAsia" w:ascii="宋体" w:hAnsi="宋体" w:eastAsia="宋体" w:cs="宋体"/>
          <w:sz w:val="24"/>
          <w:szCs w:val="24"/>
        </w:rPr>
        <w:t>，保证在接到成交通知书后，向采购代理机构缴纳</w:t>
      </w:r>
      <w:r>
        <w:rPr>
          <w:rFonts w:hint="eastAsia" w:ascii="宋体" w:hAnsi="宋体" w:cs="宋体"/>
          <w:sz w:val="24"/>
          <w:szCs w:val="24"/>
          <w:lang w:eastAsia="zh-CN"/>
        </w:rPr>
        <w:t>竞争性比选文件</w:t>
      </w:r>
      <w:r>
        <w:rPr>
          <w:rFonts w:hint="eastAsia" w:ascii="宋体" w:hAnsi="宋体" w:eastAsia="宋体" w:cs="宋体"/>
          <w:sz w:val="24"/>
          <w:szCs w:val="24"/>
        </w:rPr>
        <w:t>规定的采购代理服务费。</w:t>
      </w:r>
    </w:p>
    <w:p w14:paraId="6704C39A">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8"/>
        </w:rPr>
        <w:t>我方未</w:t>
      </w:r>
      <w:r>
        <w:rPr>
          <w:rFonts w:hint="eastAsia" w:ascii="宋体" w:hAnsi="宋体" w:eastAsia="宋体" w:cs="宋体"/>
          <w:sz w:val="24"/>
          <w:szCs w:val="24"/>
        </w:rPr>
        <w:t>为采购项目提供整体设计、规范编制或者项目管理、监理、检测等服务。</w:t>
      </w:r>
    </w:p>
    <w:p w14:paraId="4591063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03803BA3">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cs="宋体"/>
          <w:sz w:val="24"/>
          <w:szCs w:val="24"/>
          <w:lang w:eastAsia="zh-CN"/>
        </w:rPr>
        <w:t>竞选人</w:t>
      </w:r>
      <w:r>
        <w:rPr>
          <w:rFonts w:hint="eastAsia" w:ascii="宋体" w:hAnsi="宋体" w:eastAsia="宋体" w:cs="宋体"/>
          <w:sz w:val="24"/>
          <w:szCs w:val="24"/>
        </w:rPr>
        <w:t>（公章）：</w:t>
      </w:r>
    </w:p>
    <w:p w14:paraId="36CA970A">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地址：  </w:t>
      </w:r>
    </w:p>
    <w:p w14:paraId="63A0CC57">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电话：                           传真：</w:t>
      </w:r>
    </w:p>
    <w:p w14:paraId="0C8DC1B8">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网址：                           邮编：</w:t>
      </w:r>
    </w:p>
    <w:p w14:paraId="52D6D20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联系人：</w:t>
      </w:r>
    </w:p>
    <w:p w14:paraId="133A803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right"/>
        <w:textAlignment w:val="auto"/>
        <w:outlineLvl w:val="9"/>
        <w:rPr>
          <w:rFonts w:hint="eastAsia" w:ascii="宋体" w:hAnsi="宋体" w:eastAsia="宋体" w:cs="宋体"/>
          <w:sz w:val="24"/>
          <w:szCs w:val="24"/>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sz w:val="24"/>
          <w:szCs w:val="24"/>
        </w:rPr>
        <w:t xml:space="preserve">                               年   月   日</w:t>
      </w:r>
    </w:p>
    <w:p w14:paraId="0ED77F2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sz w:val="24"/>
          <w:szCs w:val="24"/>
          <w:lang w:eastAsia="zh-CN"/>
        </w:rPr>
        <w:t>分项</w:t>
      </w:r>
      <w:r>
        <w:rPr>
          <w:rFonts w:hint="eastAsia" w:ascii="宋体" w:hAnsi="宋体" w:eastAsia="宋体" w:cs="宋体"/>
          <w:sz w:val="24"/>
          <w:szCs w:val="24"/>
        </w:rPr>
        <w:t>报价</w:t>
      </w:r>
      <w:r>
        <w:rPr>
          <w:rFonts w:hint="eastAsia" w:ascii="宋体" w:hAnsi="宋体" w:eastAsia="宋体" w:cs="宋体"/>
          <w:sz w:val="24"/>
          <w:szCs w:val="24"/>
          <w:lang w:eastAsia="zh-CN"/>
        </w:rPr>
        <w:t>明细</w:t>
      </w:r>
      <w:r>
        <w:rPr>
          <w:rFonts w:hint="eastAsia" w:ascii="宋体" w:hAnsi="宋体" w:eastAsia="宋体" w:cs="宋体"/>
          <w:sz w:val="24"/>
          <w:szCs w:val="24"/>
        </w:rPr>
        <w:t>表</w:t>
      </w:r>
    </w:p>
    <w:p w14:paraId="62D0BC99">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项目号：                           </w:t>
      </w:r>
    </w:p>
    <w:p w14:paraId="39EFF42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p>
    <w:tbl>
      <w:tblPr>
        <w:tblStyle w:val="60"/>
        <w:tblW w:w="9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570"/>
        <w:gridCol w:w="1530"/>
        <w:gridCol w:w="1290"/>
        <w:gridCol w:w="1040"/>
        <w:gridCol w:w="1410"/>
        <w:gridCol w:w="1440"/>
      </w:tblGrid>
      <w:tr w14:paraId="4D39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73" w:type="dxa"/>
            <w:noWrap w:val="0"/>
            <w:vAlign w:val="center"/>
          </w:tcPr>
          <w:p w14:paraId="668F12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sz w:val="24"/>
                <w:szCs w:val="28"/>
              </w:rPr>
            </w:pPr>
            <w:r>
              <w:rPr>
                <w:rFonts w:hint="eastAsia" w:ascii="宋体" w:hAnsi="宋体" w:eastAsia="宋体" w:cs="宋体"/>
                <w:sz w:val="24"/>
                <w:szCs w:val="28"/>
              </w:rPr>
              <w:t>产品名称</w:t>
            </w:r>
          </w:p>
        </w:tc>
        <w:tc>
          <w:tcPr>
            <w:tcW w:w="1570" w:type="dxa"/>
            <w:noWrap w:val="0"/>
            <w:vAlign w:val="center"/>
          </w:tcPr>
          <w:p w14:paraId="2D9734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sz w:val="24"/>
                <w:szCs w:val="28"/>
              </w:rPr>
            </w:pPr>
            <w:r>
              <w:rPr>
                <w:rFonts w:hint="eastAsia" w:ascii="宋体" w:hAnsi="宋体" w:eastAsia="宋体" w:cs="宋体"/>
                <w:sz w:val="24"/>
                <w:szCs w:val="28"/>
              </w:rPr>
              <w:t>品牌及产地</w:t>
            </w:r>
          </w:p>
        </w:tc>
        <w:tc>
          <w:tcPr>
            <w:tcW w:w="1530" w:type="dxa"/>
            <w:noWrap w:val="0"/>
            <w:vAlign w:val="center"/>
          </w:tcPr>
          <w:p w14:paraId="367E26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sz w:val="24"/>
                <w:szCs w:val="28"/>
              </w:rPr>
            </w:pPr>
            <w:r>
              <w:rPr>
                <w:rFonts w:hint="eastAsia" w:ascii="宋体" w:hAnsi="宋体" w:eastAsia="宋体" w:cs="宋体"/>
                <w:sz w:val="24"/>
                <w:szCs w:val="28"/>
              </w:rPr>
              <w:t>制造商名称</w:t>
            </w:r>
          </w:p>
        </w:tc>
        <w:tc>
          <w:tcPr>
            <w:tcW w:w="1290" w:type="dxa"/>
            <w:noWrap w:val="0"/>
            <w:vAlign w:val="center"/>
          </w:tcPr>
          <w:p w14:paraId="67E4B5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sz w:val="24"/>
                <w:szCs w:val="28"/>
              </w:rPr>
            </w:pPr>
            <w:r>
              <w:rPr>
                <w:rFonts w:hint="eastAsia" w:ascii="宋体" w:hAnsi="宋体" w:eastAsia="宋体" w:cs="宋体"/>
                <w:sz w:val="24"/>
                <w:szCs w:val="28"/>
              </w:rPr>
              <w:t>规格型号</w:t>
            </w:r>
          </w:p>
        </w:tc>
        <w:tc>
          <w:tcPr>
            <w:tcW w:w="1040" w:type="dxa"/>
            <w:noWrap w:val="0"/>
            <w:vAlign w:val="center"/>
          </w:tcPr>
          <w:p w14:paraId="7DA0D9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sz w:val="24"/>
                <w:szCs w:val="28"/>
              </w:rPr>
            </w:pPr>
            <w:r>
              <w:rPr>
                <w:rFonts w:hint="eastAsia" w:ascii="宋体" w:hAnsi="宋体" w:eastAsia="宋体" w:cs="宋体"/>
                <w:sz w:val="24"/>
                <w:szCs w:val="28"/>
              </w:rPr>
              <w:t>数量</w:t>
            </w:r>
          </w:p>
        </w:tc>
        <w:tc>
          <w:tcPr>
            <w:tcW w:w="1410" w:type="dxa"/>
            <w:noWrap w:val="0"/>
            <w:vAlign w:val="center"/>
          </w:tcPr>
          <w:p w14:paraId="3215857B">
            <w:pPr>
              <w:pStyle w:val="3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sz w:val="24"/>
                <w:szCs w:val="28"/>
              </w:rPr>
            </w:pPr>
            <w:r>
              <w:rPr>
                <w:rFonts w:hint="eastAsia" w:ascii="宋体" w:hAnsi="宋体" w:eastAsia="宋体" w:cs="宋体"/>
                <w:sz w:val="24"/>
                <w:szCs w:val="28"/>
              </w:rPr>
              <w:t>单价（</w:t>
            </w:r>
            <w:r>
              <w:rPr>
                <w:rFonts w:hint="eastAsia" w:ascii="宋体" w:hAnsi="宋体" w:eastAsia="宋体" w:cs="宋体"/>
                <w:sz w:val="24"/>
                <w:szCs w:val="28"/>
                <w:lang w:eastAsia="zh-CN"/>
              </w:rPr>
              <w:t>元</w:t>
            </w:r>
            <w:r>
              <w:rPr>
                <w:rFonts w:hint="eastAsia" w:ascii="宋体" w:hAnsi="宋体" w:eastAsia="宋体" w:cs="宋体"/>
                <w:sz w:val="24"/>
                <w:szCs w:val="28"/>
              </w:rPr>
              <w:t>）</w:t>
            </w:r>
          </w:p>
        </w:tc>
        <w:tc>
          <w:tcPr>
            <w:tcW w:w="1440" w:type="dxa"/>
            <w:noWrap w:val="0"/>
            <w:vAlign w:val="center"/>
          </w:tcPr>
          <w:p w14:paraId="1118A5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sz w:val="24"/>
                <w:szCs w:val="28"/>
              </w:rPr>
            </w:pPr>
            <w:r>
              <w:rPr>
                <w:rFonts w:hint="eastAsia" w:ascii="宋体" w:hAnsi="宋体" w:eastAsia="宋体" w:cs="宋体"/>
                <w:sz w:val="24"/>
                <w:szCs w:val="28"/>
              </w:rPr>
              <w:t>合计（</w:t>
            </w:r>
            <w:r>
              <w:rPr>
                <w:rFonts w:hint="eastAsia" w:ascii="宋体" w:hAnsi="宋体" w:eastAsia="宋体" w:cs="宋体"/>
                <w:sz w:val="24"/>
                <w:szCs w:val="28"/>
                <w:lang w:eastAsia="zh-CN"/>
              </w:rPr>
              <w:t>元</w:t>
            </w:r>
            <w:r>
              <w:rPr>
                <w:rFonts w:hint="eastAsia" w:ascii="宋体" w:hAnsi="宋体" w:eastAsia="宋体" w:cs="宋体"/>
                <w:sz w:val="24"/>
                <w:szCs w:val="28"/>
              </w:rPr>
              <w:t>）</w:t>
            </w:r>
          </w:p>
        </w:tc>
      </w:tr>
      <w:tr w14:paraId="3773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373" w:type="dxa"/>
            <w:tcBorders>
              <w:bottom w:val="single" w:color="auto" w:sz="4" w:space="0"/>
            </w:tcBorders>
            <w:noWrap w:val="0"/>
            <w:vAlign w:val="center"/>
          </w:tcPr>
          <w:p w14:paraId="06EF2C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tcBorders>
              <w:bottom w:val="single" w:color="auto" w:sz="4" w:space="0"/>
            </w:tcBorders>
            <w:noWrap w:val="0"/>
            <w:vAlign w:val="center"/>
          </w:tcPr>
          <w:p w14:paraId="01ED29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tcBorders>
              <w:bottom w:val="single" w:color="auto" w:sz="4" w:space="0"/>
            </w:tcBorders>
            <w:noWrap w:val="0"/>
            <w:vAlign w:val="center"/>
          </w:tcPr>
          <w:p w14:paraId="3C077C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tcBorders>
              <w:bottom w:val="single" w:color="auto" w:sz="4" w:space="0"/>
            </w:tcBorders>
            <w:noWrap w:val="0"/>
            <w:vAlign w:val="center"/>
          </w:tcPr>
          <w:p w14:paraId="4B183C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tcBorders>
              <w:bottom w:val="single" w:color="auto" w:sz="4" w:space="0"/>
            </w:tcBorders>
            <w:noWrap w:val="0"/>
            <w:vAlign w:val="center"/>
          </w:tcPr>
          <w:p w14:paraId="12AE4D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tcBorders>
              <w:bottom w:val="single" w:color="auto" w:sz="4" w:space="0"/>
            </w:tcBorders>
            <w:noWrap w:val="0"/>
            <w:vAlign w:val="center"/>
          </w:tcPr>
          <w:p w14:paraId="7C0E52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tcBorders>
              <w:bottom w:val="single" w:color="auto" w:sz="4" w:space="0"/>
            </w:tcBorders>
            <w:noWrap w:val="0"/>
            <w:vAlign w:val="center"/>
          </w:tcPr>
          <w:p w14:paraId="7A2885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6028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373" w:type="dxa"/>
            <w:noWrap w:val="0"/>
            <w:vAlign w:val="center"/>
          </w:tcPr>
          <w:p w14:paraId="7C21C3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noWrap w:val="0"/>
            <w:vAlign w:val="center"/>
          </w:tcPr>
          <w:p w14:paraId="199DFF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noWrap w:val="0"/>
            <w:vAlign w:val="center"/>
          </w:tcPr>
          <w:p w14:paraId="726162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noWrap w:val="0"/>
            <w:vAlign w:val="center"/>
          </w:tcPr>
          <w:p w14:paraId="0F684B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noWrap w:val="0"/>
            <w:vAlign w:val="center"/>
          </w:tcPr>
          <w:p w14:paraId="141AD7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noWrap w:val="0"/>
            <w:vAlign w:val="center"/>
          </w:tcPr>
          <w:p w14:paraId="4D55AD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noWrap w:val="0"/>
            <w:vAlign w:val="center"/>
          </w:tcPr>
          <w:p w14:paraId="4D4A7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345E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373" w:type="dxa"/>
            <w:noWrap w:val="0"/>
            <w:vAlign w:val="center"/>
          </w:tcPr>
          <w:p w14:paraId="44D951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noWrap w:val="0"/>
            <w:vAlign w:val="center"/>
          </w:tcPr>
          <w:p w14:paraId="5453A0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noWrap w:val="0"/>
            <w:vAlign w:val="center"/>
          </w:tcPr>
          <w:p w14:paraId="4279A6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noWrap w:val="0"/>
            <w:vAlign w:val="center"/>
          </w:tcPr>
          <w:p w14:paraId="688761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noWrap w:val="0"/>
            <w:vAlign w:val="center"/>
          </w:tcPr>
          <w:p w14:paraId="6E9D86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noWrap w:val="0"/>
            <w:vAlign w:val="center"/>
          </w:tcPr>
          <w:p w14:paraId="2BA0B3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noWrap w:val="0"/>
            <w:vAlign w:val="center"/>
          </w:tcPr>
          <w:p w14:paraId="48C202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63E2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73" w:type="dxa"/>
            <w:tcBorders>
              <w:bottom w:val="single" w:color="auto" w:sz="4" w:space="0"/>
            </w:tcBorders>
            <w:noWrap w:val="0"/>
            <w:vAlign w:val="center"/>
          </w:tcPr>
          <w:p w14:paraId="34483A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tcBorders>
              <w:bottom w:val="single" w:color="auto" w:sz="4" w:space="0"/>
            </w:tcBorders>
            <w:noWrap w:val="0"/>
            <w:vAlign w:val="center"/>
          </w:tcPr>
          <w:p w14:paraId="7CB995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tcBorders>
              <w:bottom w:val="single" w:color="auto" w:sz="4" w:space="0"/>
            </w:tcBorders>
            <w:noWrap w:val="0"/>
            <w:vAlign w:val="center"/>
          </w:tcPr>
          <w:p w14:paraId="330410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tcBorders>
              <w:bottom w:val="single" w:color="auto" w:sz="4" w:space="0"/>
            </w:tcBorders>
            <w:noWrap w:val="0"/>
            <w:vAlign w:val="center"/>
          </w:tcPr>
          <w:p w14:paraId="0CEDC8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tcBorders>
              <w:bottom w:val="single" w:color="auto" w:sz="4" w:space="0"/>
            </w:tcBorders>
            <w:noWrap w:val="0"/>
            <w:vAlign w:val="center"/>
          </w:tcPr>
          <w:p w14:paraId="784136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tcBorders>
              <w:bottom w:val="single" w:color="auto" w:sz="4" w:space="0"/>
            </w:tcBorders>
            <w:noWrap w:val="0"/>
            <w:vAlign w:val="center"/>
          </w:tcPr>
          <w:p w14:paraId="362C2F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tcBorders>
              <w:bottom w:val="single" w:color="auto" w:sz="4" w:space="0"/>
            </w:tcBorders>
            <w:noWrap w:val="0"/>
            <w:vAlign w:val="center"/>
          </w:tcPr>
          <w:p w14:paraId="52E463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331C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73" w:type="dxa"/>
            <w:noWrap w:val="0"/>
            <w:vAlign w:val="center"/>
          </w:tcPr>
          <w:p w14:paraId="25F118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p w14:paraId="6ADD98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noWrap w:val="0"/>
            <w:vAlign w:val="center"/>
          </w:tcPr>
          <w:p w14:paraId="6175B1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noWrap w:val="0"/>
            <w:vAlign w:val="center"/>
          </w:tcPr>
          <w:p w14:paraId="69DE0C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noWrap w:val="0"/>
            <w:vAlign w:val="center"/>
          </w:tcPr>
          <w:p w14:paraId="700C70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noWrap w:val="0"/>
            <w:vAlign w:val="center"/>
          </w:tcPr>
          <w:p w14:paraId="4E410A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noWrap w:val="0"/>
            <w:vAlign w:val="center"/>
          </w:tcPr>
          <w:p w14:paraId="2FBDA3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noWrap w:val="0"/>
            <w:vAlign w:val="center"/>
          </w:tcPr>
          <w:p w14:paraId="2E8ACC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1C53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73" w:type="dxa"/>
            <w:noWrap w:val="0"/>
            <w:vAlign w:val="center"/>
          </w:tcPr>
          <w:p w14:paraId="27B0A4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noWrap w:val="0"/>
            <w:vAlign w:val="center"/>
          </w:tcPr>
          <w:p w14:paraId="3F309D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noWrap w:val="0"/>
            <w:vAlign w:val="center"/>
          </w:tcPr>
          <w:p w14:paraId="4D35FD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noWrap w:val="0"/>
            <w:vAlign w:val="center"/>
          </w:tcPr>
          <w:p w14:paraId="3B6B86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noWrap w:val="0"/>
            <w:vAlign w:val="center"/>
          </w:tcPr>
          <w:p w14:paraId="451BC4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noWrap w:val="0"/>
            <w:vAlign w:val="center"/>
          </w:tcPr>
          <w:p w14:paraId="0D4D21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noWrap w:val="0"/>
            <w:vAlign w:val="center"/>
          </w:tcPr>
          <w:p w14:paraId="7D0479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4716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73" w:type="dxa"/>
            <w:noWrap w:val="0"/>
            <w:vAlign w:val="center"/>
          </w:tcPr>
          <w:p w14:paraId="05D6A8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noWrap w:val="0"/>
            <w:vAlign w:val="center"/>
          </w:tcPr>
          <w:p w14:paraId="083ED1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noWrap w:val="0"/>
            <w:vAlign w:val="center"/>
          </w:tcPr>
          <w:p w14:paraId="6C3760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noWrap w:val="0"/>
            <w:vAlign w:val="center"/>
          </w:tcPr>
          <w:p w14:paraId="11A616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noWrap w:val="0"/>
            <w:vAlign w:val="center"/>
          </w:tcPr>
          <w:p w14:paraId="7331E1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noWrap w:val="0"/>
            <w:vAlign w:val="center"/>
          </w:tcPr>
          <w:p w14:paraId="43E8DA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noWrap w:val="0"/>
            <w:vAlign w:val="center"/>
          </w:tcPr>
          <w:p w14:paraId="3842D9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2EB5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373" w:type="dxa"/>
            <w:noWrap w:val="0"/>
            <w:vAlign w:val="center"/>
          </w:tcPr>
          <w:p w14:paraId="0369C4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noWrap w:val="0"/>
            <w:vAlign w:val="center"/>
          </w:tcPr>
          <w:p w14:paraId="2CE742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noWrap w:val="0"/>
            <w:vAlign w:val="center"/>
          </w:tcPr>
          <w:p w14:paraId="293008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noWrap w:val="0"/>
            <w:vAlign w:val="center"/>
          </w:tcPr>
          <w:p w14:paraId="09C4E9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noWrap w:val="0"/>
            <w:vAlign w:val="center"/>
          </w:tcPr>
          <w:p w14:paraId="0D1F19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noWrap w:val="0"/>
            <w:vAlign w:val="center"/>
          </w:tcPr>
          <w:p w14:paraId="091C64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noWrap w:val="0"/>
            <w:vAlign w:val="center"/>
          </w:tcPr>
          <w:p w14:paraId="01CAF5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r w14:paraId="3B13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373" w:type="dxa"/>
            <w:noWrap w:val="0"/>
            <w:vAlign w:val="center"/>
          </w:tcPr>
          <w:p w14:paraId="10FC1E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70" w:type="dxa"/>
            <w:noWrap w:val="0"/>
            <w:vAlign w:val="center"/>
          </w:tcPr>
          <w:p w14:paraId="351123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530" w:type="dxa"/>
            <w:noWrap w:val="0"/>
            <w:vAlign w:val="center"/>
          </w:tcPr>
          <w:p w14:paraId="19DF3D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290" w:type="dxa"/>
            <w:noWrap w:val="0"/>
            <w:vAlign w:val="center"/>
          </w:tcPr>
          <w:p w14:paraId="470F18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040" w:type="dxa"/>
            <w:noWrap w:val="0"/>
            <w:vAlign w:val="center"/>
          </w:tcPr>
          <w:p w14:paraId="725055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10" w:type="dxa"/>
            <w:noWrap w:val="0"/>
            <w:vAlign w:val="center"/>
          </w:tcPr>
          <w:p w14:paraId="1BD976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c>
          <w:tcPr>
            <w:tcW w:w="1440" w:type="dxa"/>
            <w:noWrap w:val="0"/>
            <w:vAlign w:val="center"/>
          </w:tcPr>
          <w:p w14:paraId="0F1762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eastAsia" w:ascii="宋体" w:hAnsi="宋体" w:eastAsia="宋体" w:cs="宋体"/>
                <w:sz w:val="24"/>
                <w:szCs w:val="28"/>
              </w:rPr>
            </w:pPr>
          </w:p>
        </w:tc>
      </w:tr>
    </w:tbl>
    <w:p w14:paraId="7B738D6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p>
    <w:p w14:paraId="0C0AA3F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eastAsia="宋体" w:cs="宋体"/>
          <w:sz w:val="24"/>
          <w:szCs w:val="28"/>
        </w:rPr>
        <w:t>注：</w:t>
      </w:r>
    </w:p>
    <w:p w14:paraId="6FFA6522">
      <w:pPr>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ascii="宋体" w:hAnsi="宋体" w:cs="宋体"/>
          <w:sz w:val="24"/>
          <w:szCs w:val="28"/>
          <w:lang w:eastAsia="zh-CN"/>
        </w:rPr>
      </w:pPr>
      <w:r>
        <w:rPr>
          <w:rFonts w:hint="eastAsia" w:ascii="宋体" w:hAnsi="宋体" w:cs="宋体"/>
          <w:sz w:val="24"/>
          <w:szCs w:val="28"/>
          <w:lang w:val="en-US" w:eastAsia="zh-CN"/>
        </w:rPr>
        <w:t>1.</w:t>
      </w:r>
      <w:r>
        <w:rPr>
          <w:rFonts w:hint="eastAsia" w:ascii="宋体" w:hAnsi="宋体" w:cs="宋体"/>
          <w:sz w:val="24"/>
          <w:szCs w:val="28"/>
          <w:lang w:eastAsia="zh-CN"/>
        </w:rPr>
        <w:t>竞选人</w:t>
      </w:r>
      <w:r>
        <w:rPr>
          <w:rFonts w:hint="eastAsia" w:ascii="宋体" w:hAnsi="宋体" w:eastAsia="宋体" w:cs="宋体"/>
          <w:sz w:val="24"/>
          <w:szCs w:val="28"/>
        </w:rPr>
        <w:t>应完整填写本表</w:t>
      </w:r>
      <w:r>
        <w:rPr>
          <w:rFonts w:hint="eastAsia" w:ascii="宋体" w:hAnsi="宋体" w:cs="宋体"/>
          <w:sz w:val="24"/>
          <w:szCs w:val="28"/>
          <w:lang w:eastAsia="zh-CN"/>
        </w:rPr>
        <w:t>；</w:t>
      </w:r>
    </w:p>
    <w:p w14:paraId="5A4A42D1">
      <w:pPr>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cs="宋体"/>
          <w:sz w:val="24"/>
          <w:szCs w:val="28"/>
          <w:lang w:val="en-US" w:eastAsia="zh-CN"/>
        </w:rPr>
        <w:t>2.</w:t>
      </w:r>
      <w:r>
        <w:rPr>
          <w:rFonts w:hint="eastAsia" w:ascii="宋体" w:hAnsi="宋体" w:eastAsia="宋体" w:cs="宋体"/>
          <w:sz w:val="24"/>
          <w:szCs w:val="28"/>
        </w:rPr>
        <w:t>该表可扩展</w:t>
      </w:r>
      <w:bookmarkStart w:id="149" w:name="OLE_LINK1"/>
      <w:bookmarkStart w:id="150" w:name="OLE_LINK2"/>
      <w:r>
        <w:rPr>
          <w:rFonts w:hint="eastAsia" w:ascii="宋体" w:hAnsi="宋体" w:eastAsia="宋体" w:cs="宋体"/>
          <w:sz w:val="24"/>
          <w:szCs w:val="28"/>
        </w:rPr>
        <w:t>。</w:t>
      </w:r>
      <w:bookmarkEnd w:id="149"/>
      <w:bookmarkEnd w:id="150"/>
    </w:p>
    <w:p w14:paraId="45ACDDF2">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8"/>
        </w:rPr>
        <w:t xml:space="preserve">       </w:t>
      </w:r>
    </w:p>
    <w:p w14:paraId="63B7B067">
      <w:pPr>
        <w:pStyle w:val="40"/>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
    <w:p w14:paraId="3C069B7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rPr>
      </w:pPr>
      <w:r>
        <w:rPr>
          <w:rFonts w:hint="eastAsia" w:ascii="宋体" w:hAnsi="宋体" w:eastAsia="宋体" w:cs="宋体"/>
          <w:sz w:val="24"/>
          <w:szCs w:val="24"/>
        </w:rPr>
        <w:t xml:space="preserve">                                          </w:t>
      </w:r>
      <w:r>
        <w:rPr>
          <w:rFonts w:hint="eastAsia" w:ascii="宋体" w:hAnsi="宋体" w:cs="宋体"/>
          <w:sz w:val="24"/>
          <w:szCs w:val="24"/>
          <w:lang w:eastAsia="zh-CN"/>
        </w:rPr>
        <w:t>竞选人</w:t>
      </w:r>
      <w:r>
        <w:rPr>
          <w:rFonts w:hint="eastAsia" w:ascii="宋体" w:hAnsi="宋体" w:eastAsia="宋体" w:cs="宋体"/>
          <w:sz w:val="24"/>
          <w:szCs w:val="24"/>
        </w:rPr>
        <w:t>名称（公章）：</w:t>
      </w:r>
    </w:p>
    <w:p w14:paraId="6637F38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right"/>
        <w:textAlignment w:val="auto"/>
        <w:outlineLvl w:val="9"/>
        <w:rPr>
          <w:rFonts w:hint="eastAsia" w:ascii="宋体" w:hAnsi="宋体" w:eastAsia="宋体" w:cs="宋体"/>
          <w:sz w:val="24"/>
          <w:szCs w:val="24"/>
        </w:rPr>
      </w:pPr>
      <w:r>
        <w:rPr>
          <w:rFonts w:hint="eastAsia" w:ascii="宋体" w:hAnsi="宋体" w:eastAsia="宋体" w:cs="宋体"/>
          <w:sz w:val="24"/>
          <w:szCs w:val="24"/>
        </w:rPr>
        <w:t>年     月    日</w:t>
      </w:r>
    </w:p>
    <w:p w14:paraId="0871BFB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right"/>
        <w:textAlignment w:val="auto"/>
        <w:outlineLvl w:val="9"/>
        <w:rPr>
          <w:rFonts w:hint="eastAsia" w:ascii="宋体" w:hAnsi="宋体" w:eastAsia="宋体" w:cs="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39068ACF">
      <w:pPr>
        <w:pStyle w:val="33"/>
        <w:rPr>
          <w:rFonts w:hint="eastAsia"/>
        </w:rPr>
      </w:pPr>
    </w:p>
    <w:p w14:paraId="1B9BE3B1">
      <w:pPr>
        <w:numPr>
          <w:ilvl w:val="0"/>
          <w:numId w:val="16"/>
        </w:numPr>
        <w:bidi w:val="0"/>
        <w:jc w:val="both"/>
        <w:outlineLvl w:val="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基本资格条件承诺函</w:t>
      </w:r>
    </w:p>
    <w:p w14:paraId="24F79D93">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2" w:firstLineChars="200"/>
        <w:jc w:val="center"/>
        <w:textAlignment w:val="auto"/>
        <w:outlineLvl w:val="9"/>
        <w:rPr>
          <w:rFonts w:hint="eastAsia"/>
          <w:sz w:val="28"/>
          <w:szCs w:val="28"/>
          <w:lang w:eastAsia="zh-CN"/>
        </w:rPr>
      </w:pPr>
      <w:r>
        <w:rPr>
          <w:rFonts w:hint="eastAsia" w:ascii="宋体" w:hAnsi="宋体" w:cs="宋体"/>
          <w:b/>
          <w:sz w:val="28"/>
          <w:szCs w:val="28"/>
          <w:lang w:val="en-US" w:eastAsia="zh-CN"/>
        </w:rPr>
        <w:t>承诺</w:t>
      </w:r>
      <w:r>
        <w:rPr>
          <w:rFonts w:hint="eastAsia" w:ascii="宋体" w:hAnsi="宋体" w:eastAsia="宋体" w:cs="宋体"/>
          <w:b/>
          <w:sz w:val="28"/>
          <w:szCs w:val="28"/>
        </w:rPr>
        <w:t>函</w:t>
      </w:r>
    </w:p>
    <w:p w14:paraId="1EC36FCD">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宋体" w:cs="宋体"/>
          <w:color w:val="auto"/>
          <w:sz w:val="28"/>
          <w:szCs w:val="28"/>
        </w:rPr>
      </w:pPr>
      <w:r>
        <w:rPr>
          <w:rFonts w:hint="eastAsia" w:ascii="宋体" w:hAnsi="宋体" w:eastAsia="宋体" w:cs="宋体"/>
          <w:color w:val="auto"/>
          <w:sz w:val="28"/>
          <w:szCs w:val="28"/>
          <w:u w:val="single"/>
          <w:lang w:eastAsia="zh-CN"/>
        </w:rPr>
        <w:t xml:space="preserve"> 重庆市沙坪坝区人民政府虎溪街道办事处</w:t>
      </w:r>
      <w:r>
        <w:rPr>
          <w:rFonts w:hint="eastAsia" w:ascii="宋体" w:hAnsi="宋体" w:eastAsia="宋体" w:cs="宋体"/>
          <w:color w:val="auto"/>
          <w:sz w:val="28"/>
          <w:szCs w:val="28"/>
          <w:lang w:eastAsia="zh-CN"/>
        </w:rPr>
        <w:t>（比选人）</w:t>
      </w:r>
      <w:r>
        <w:rPr>
          <w:rFonts w:hint="eastAsia" w:ascii="宋体" w:hAnsi="宋体" w:eastAsia="宋体" w:cs="宋体"/>
          <w:color w:val="auto"/>
          <w:sz w:val="28"/>
          <w:szCs w:val="28"/>
        </w:rPr>
        <w:t>：</w:t>
      </w:r>
    </w:p>
    <w:p w14:paraId="0034716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我公司作为本次采购项目的</w:t>
      </w:r>
      <w:r>
        <w:rPr>
          <w:rFonts w:hint="eastAsia" w:ascii="宋体" w:hAnsi="宋体" w:eastAsia="宋体" w:cs="宋体"/>
          <w:color w:val="auto"/>
          <w:sz w:val="28"/>
          <w:szCs w:val="28"/>
          <w:lang w:val="en-US" w:eastAsia="zh-CN"/>
        </w:rPr>
        <w:t>竞选</w:t>
      </w:r>
      <w:r>
        <w:rPr>
          <w:rFonts w:hint="eastAsia" w:ascii="宋体" w:hAnsi="宋体" w:eastAsia="宋体" w:cs="宋体"/>
          <w:color w:val="auto"/>
          <w:sz w:val="28"/>
          <w:szCs w:val="28"/>
        </w:rPr>
        <w:t>人，根据</w:t>
      </w:r>
      <w:r>
        <w:rPr>
          <w:rFonts w:hint="eastAsia" w:ascii="宋体" w:hAnsi="宋体" w:eastAsia="宋体" w:cs="宋体"/>
          <w:color w:val="auto"/>
          <w:sz w:val="28"/>
          <w:szCs w:val="28"/>
          <w:lang w:val="en-US" w:eastAsia="zh-CN"/>
        </w:rPr>
        <w:t>竞争性比选文件</w:t>
      </w:r>
      <w:r>
        <w:rPr>
          <w:rFonts w:hint="eastAsia" w:ascii="宋体" w:hAnsi="宋体" w:eastAsia="宋体" w:cs="宋体"/>
          <w:color w:val="auto"/>
          <w:sz w:val="28"/>
          <w:szCs w:val="28"/>
        </w:rPr>
        <w:t>要求，现郑重承诺如下：</w:t>
      </w:r>
    </w:p>
    <w:p w14:paraId="0A467E8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一、具备本项目规定资格的条件，不存在禁止</w:t>
      </w:r>
      <w:r>
        <w:rPr>
          <w:rFonts w:hint="eastAsia" w:ascii="宋体" w:hAnsi="宋体" w:eastAsia="宋体" w:cs="宋体"/>
          <w:color w:val="auto"/>
          <w:sz w:val="28"/>
          <w:szCs w:val="28"/>
          <w:lang w:val="en-US" w:eastAsia="zh-CN"/>
        </w:rPr>
        <w:t>参与竞争性比选</w:t>
      </w:r>
      <w:r>
        <w:rPr>
          <w:rFonts w:hint="eastAsia" w:ascii="宋体" w:hAnsi="宋体" w:eastAsia="宋体" w:cs="宋体"/>
          <w:color w:val="auto"/>
          <w:sz w:val="28"/>
          <w:szCs w:val="28"/>
        </w:rPr>
        <w:t>的情形：</w:t>
      </w:r>
    </w:p>
    <w:p w14:paraId="12FF25B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1.具有独立承担民事责任的能力；</w:t>
      </w:r>
    </w:p>
    <w:p w14:paraId="0D19942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2.具有良好的商业信誉和健全的财务会计制度；</w:t>
      </w:r>
    </w:p>
    <w:p w14:paraId="65FD207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3.具有履行合同所必须的设备和专业技术能力；</w:t>
      </w:r>
    </w:p>
    <w:p w14:paraId="65DBA08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4.具有依法缴纳税收和社会保障资金的良好记录；</w:t>
      </w:r>
    </w:p>
    <w:p w14:paraId="26DA497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 xml:space="preserve">5.参加政府采购活动前三年内，在经营活动中没有重大违法记录； </w:t>
      </w:r>
    </w:p>
    <w:p w14:paraId="61DA04D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 xml:space="preserve">6.满足采购文件规定的其他条件； </w:t>
      </w:r>
    </w:p>
    <w:p w14:paraId="6208281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非</w:t>
      </w:r>
      <w:r>
        <w:rPr>
          <w:rFonts w:hint="eastAsia" w:ascii="宋体" w:hAnsi="宋体" w:eastAsia="宋体" w:cs="宋体"/>
          <w:color w:val="auto"/>
          <w:sz w:val="28"/>
          <w:szCs w:val="28"/>
        </w:rPr>
        <w:t>联合体参加。</w:t>
      </w:r>
    </w:p>
    <w:p w14:paraId="1226398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二、完全接受和满足本项目</w:t>
      </w:r>
      <w:r>
        <w:rPr>
          <w:rFonts w:hint="eastAsia" w:ascii="宋体" w:hAnsi="宋体" w:eastAsia="宋体" w:cs="宋体"/>
          <w:color w:val="auto"/>
          <w:sz w:val="28"/>
          <w:szCs w:val="28"/>
          <w:lang w:val="en-US" w:eastAsia="zh-CN"/>
        </w:rPr>
        <w:t>竞选</w:t>
      </w:r>
      <w:r>
        <w:rPr>
          <w:rFonts w:hint="eastAsia" w:ascii="宋体" w:hAnsi="宋体" w:eastAsia="宋体" w:cs="宋体"/>
          <w:color w:val="auto"/>
          <w:sz w:val="28"/>
          <w:szCs w:val="28"/>
        </w:rPr>
        <w:t>中规定的实质性要求。</w:t>
      </w:r>
    </w:p>
    <w:p w14:paraId="23E2CC4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三、参加本次采购活动，不存在和其他响应人在同一合同项下的采购项目中，同时委托同一个自然人、同一家庭的人员、同一单位的人员作为编制（</w:t>
      </w:r>
      <w:r>
        <w:rPr>
          <w:rFonts w:hint="eastAsia" w:ascii="宋体" w:hAnsi="宋体" w:cs="宋体"/>
          <w:color w:val="auto"/>
          <w:sz w:val="28"/>
          <w:szCs w:val="28"/>
          <w:lang w:val="en-US" w:eastAsia="zh-CN"/>
        </w:rPr>
        <w:t>比选申请</w:t>
      </w:r>
      <w:r>
        <w:rPr>
          <w:rFonts w:hint="eastAsia" w:ascii="宋体" w:hAnsi="宋体" w:eastAsia="宋体" w:cs="宋体"/>
          <w:color w:val="auto"/>
          <w:sz w:val="28"/>
          <w:szCs w:val="28"/>
        </w:rPr>
        <w:t>）文件、办理</w:t>
      </w:r>
      <w:r>
        <w:rPr>
          <w:rFonts w:hint="eastAsia" w:ascii="宋体" w:hAnsi="宋体" w:cs="宋体"/>
          <w:color w:val="auto"/>
          <w:sz w:val="28"/>
          <w:szCs w:val="28"/>
          <w:lang w:val="en-US" w:eastAsia="zh-CN"/>
        </w:rPr>
        <w:t>竞标</w:t>
      </w:r>
      <w:r>
        <w:rPr>
          <w:rFonts w:hint="eastAsia" w:ascii="宋体" w:hAnsi="宋体" w:eastAsia="宋体" w:cs="宋体"/>
          <w:color w:val="auto"/>
          <w:sz w:val="28"/>
          <w:szCs w:val="28"/>
        </w:rPr>
        <w:t xml:space="preserve">事宜的情形。 </w:t>
      </w:r>
    </w:p>
    <w:p w14:paraId="41DA8EC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四、</w:t>
      </w:r>
      <w:r>
        <w:rPr>
          <w:rFonts w:hint="eastAsia" w:ascii="宋体" w:hAnsi="宋体" w:eastAsia="宋体" w:cs="宋体"/>
          <w:color w:val="auto"/>
          <w:sz w:val="28"/>
          <w:szCs w:val="28"/>
          <w:lang w:val="en-US" w:eastAsia="zh-CN"/>
        </w:rPr>
        <w:t>比选申请文件</w:t>
      </w:r>
      <w:r>
        <w:rPr>
          <w:rFonts w:hint="eastAsia" w:ascii="宋体" w:hAnsi="宋体" w:eastAsia="宋体" w:cs="宋体"/>
          <w:color w:val="auto"/>
          <w:sz w:val="28"/>
          <w:szCs w:val="28"/>
        </w:rPr>
        <w:t>中提供的任何材料资料和商务、技术、服务等响应承诺情况都是真实的、有效的、合法的。</w:t>
      </w:r>
    </w:p>
    <w:p w14:paraId="1C32262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本公司对上述承诺的内容事项真实性负责。如经查实上述承诺的内容事项存在虚假，我公司愿意接受以提供虚假材料谋取</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追究法律责任。</w:t>
      </w:r>
    </w:p>
    <w:p w14:paraId="71C601F8">
      <w:pPr>
        <w:pStyle w:val="25"/>
        <w:rPr>
          <w:rFonts w:hint="eastAsia" w:ascii="宋体" w:hAnsi="宋体" w:eastAsia="宋体" w:cs="宋体"/>
          <w:color w:val="auto"/>
          <w:sz w:val="28"/>
          <w:szCs w:val="28"/>
        </w:rPr>
      </w:pPr>
    </w:p>
    <w:p w14:paraId="6505A16B">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sz w:val="28"/>
          <w:szCs w:val="28"/>
        </w:rPr>
      </w:pPr>
    </w:p>
    <w:p w14:paraId="50C09B5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竞选人</w:t>
      </w:r>
      <w:r>
        <w:rPr>
          <w:rFonts w:hint="eastAsia" w:ascii="宋体" w:hAnsi="宋体" w:eastAsia="宋体" w:cs="宋体"/>
          <w:sz w:val="28"/>
          <w:szCs w:val="28"/>
        </w:rPr>
        <w:t>公章）</w:t>
      </w:r>
    </w:p>
    <w:p w14:paraId="4D087AE8">
      <w:pPr>
        <w:pStyle w:val="33"/>
        <w:rPr>
          <w:rFonts w:hint="eastAsia" w:ascii="宋体" w:hAnsi="宋体" w:eastAsia="宋体" w:cs="宋体"/>
          <w:sz w:val="28"/>
          <w:szCs w:val="28"/>
        </w:rPr>
      </w:pPr>
      <w:r>
        <w:rPr>
          <w:rFonts w:hint="eastAsia" w:ascii="宋体" w:hAnsi="宋体" w:eastAsia="宋体" w:cs="宋体"/>
          <w:sz w:val="28"/>
          <w:szCs w:val="28"/>
        </w:rPr>
        <w:t xml:space="preserve">                                             年   月   日</w:t>
      </w:r>
    </w:p>
    <w:p w14:paraId="1C8B4F8F">
      <w:pPr>
        <w:pStyle w:val="33"/>
        <w:rPr>
          <w:rFonts w:hint="eastAsia"/>
        </w:rPr>
      </w:pPr>
    </w:p>
    <w:p w14:paraId="0A566AD0">
      <w:pPr>
        <w:pageBreakBefore w:val="0"/>
        <w:kinsoku/>
        <w:wordWrap/>
        <w:overflowPunct/>
        <w:topLinePunct w:val="0"/>
        <w:autoSpaceDE/>
        <w:autoSpaceDN/>
        <w:bidi w:val="0"/>
        <w:adjustRightInd w:val="0"/>
        <w:snapToGrid w:val="0"/>
        <w:spacing w:before="0" w:beforeLines="0" w:after="0" w:afterLines="0" w:line="360" w:lineRule="auto"/>
        <w:ind w:right="0" w:rightChars="0" w:firstLine="720" w:firstLineChars="300"/>
        <w:jc w:val="left"/>
        <w:textAlignment w:val="auto"/>
        <w:outlineLvl w:val="9"/>
        <w:rPr>
          <w:rFonts w:hint="eastAsia" w:ascii="宋体" w:hAnsi="宋体" w:eastAsia="宋体" w:cs="宋体"/>
          <w:sz w:val="24"/>
          <w:lang w:eastAsia="zh-CN"/>
        </w:rPr>
      </w:pPr>
      <w:bookmarkStart w:id="151" w:name="_Toc106034660"/>
      <w:bookmarkStart w:id="152" w:name="_Toc342913420"/>
      <w:bookmarkStart w:id="153" w:name="_Toc14073"/>
      <w:bookmarkStart w:id="154" w:name="_Toc65660380"/>
      <w:bookmarkStart w:id="155" w:name="_Toc22655"/>
      <w:bookmarkStart w:id="156" w:name="_Toc313008357"/>
      <w:bookmarkStart w:id="157" w:name="_Toc313888361"/>
      <w:r>
        <w:rPr>
          <w:rFonts w:hint="eastAsia" w:ascii="宋体" w:hAnsi="宋体" w:eastAsia="宋体" w:cs="宋体"/>
          <w:sz w:val="24"/>
        </w:rPr>
        <w:t>二、技术</w:t>
      </w:r>
      <w:bookmarkEnd w:id="151"/>
      <w:bookmarkEnd w:id="152"/>
      <w:bookmarkEnd w:id="153"/>
      <w:bookmarkEnd w:id="154"/>
      <w:bookmarkEnd w:id="155"/>
      <w:bookmarkEnd w:id="156"/>
      <w:bookmarkEnd w:id="157"/>
      <w:r>
        <w:rPr>
          <w:rFonts w:hint="eastAsia" w:ascii="宋体" w:hAnsi="宋体" w:eastAsia="宋体" w:cs="宋体"/>
          <w:sz w:val="24"/>
          <w:lang w:eastAsia="zh-CN"/>
        </w:rPr>
        <w:t>文件</w:t>
      </w:r>
    </w:p>
    <w:p w14:paraId="5B297DCF">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（一）</w:t>
      </w:r>
      <w:r>
        <w:rPr>
          <w:rFonts w:hint="eastAsia" w:ascii="宋体" w:hAnsi="宋体" w:eastAsia="宋体" w:cs="宋体"/>
          <w:sz w:val="24"/>
          <w:szCs w:val="24"/>
          <w:lang w:eastAsia="zh-CN"/>
        </w:rPr>
        <w:t>所投各产品的技术参数（或技术指标）</w:t>
      </w:r>
    </w:p>
    <w:p w14:paraId="77CD82C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（二）</w:t>
      </w:r>
      <w:r>
        <w:rPr>
          <w:rFonts w:hint="eastAsia" w:ascii="宋体" w:hAnsi="宋体" w:eastAsia="宋体" w:cs="宋体"/>
          <w:sz w:val="24"/>
          <w:szCs w:val="24"/>
        </w:rPr>
        <w:t>技术</w:t>
      </w:r>
      <w:r>
        <w:rPr>
          <w:rFonts w:hint="eastAsia" w:ascii="宋体" w:hAnsi="宋体" w:eastAsia="宋体" w:cs="宋体"/>
          <w:sz w:val="24"/>
          <w:szCs w:val="24"/>
          <w:lang w:eastAsia="zh-CN"/>
        </w:rPr>
        <w:t>条款差异表</w:t>
      </w:r>
    </w:p>
    <w:p w14:paraId="7DFC358C">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项目号：                               </w:t>
      </w:r>
    </w:p>
    <w:p w14:paraId="77ADAD78">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5040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218" w:type="dxa"/>
            <w:noWrap w:val="0"/>
            <w:vAlign w:val="center"/>
          </w:tcPr>
          <w:p w14:paraId="306EA54A">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b/>
                <w:sz w:val="21"/>
                <w:szCs w:val="21"/>
              </w:rPr>
            </w:pPr>
            <w:r>
              <w:rPr>
                <w:rFonts w:hint="eastAsia" w:ascii="宋体" w:hAnsi="宋体" w:eastAsia="宋体" w:cs="宋体"/>
                <w:b/>
                <w:sz w:val="21"/>
                <w:szCs w:val="21"/>
              </w:rPr>
              <w:t>序号</w:t>
            </w:r>
          </w:p>
        </w:tc>
        <w:tc>
          <w:tcPr>
            <w:tcW w:w="2844" w:type="dxa"/>
            <w:noWrap w:val="0"/>
            <w:vAlign w:val="center"/>
          </w:tcPr>
          <w:p w14:paraId="34C52FDB">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b/>
                <w:sz w:val="21"/>
                <w:szCs w:val="21"/>
              </w:rPr>
            </w:pPr>
            <w:r>
              <w:rPr>
                <w:rFonts w:hint="eastAsia" w:ascii="宋体" w:hAnsi="宋体" w:eastAsia="宋体" w:cs="宋体"/>
                <w:b/>
                <w:sz w:val="21"/>
                <w:szCs w:val="21"/>
              </w:rPr>
              <w:t>采购需求</w:t>
            </w:r>
          </w:p>
        </w:tc>
        <w:tc>
          <w:tcPr>
            <w:tcW w:w="2952" w:type="dxa"/>
            <w:noWrap w:val="0"/>
            <w:vAlign w:val="center"/>
          </w:tcPr>
          <w:p w14:paraId="54CCA91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b/>
                <w:sz w:val="21"/>
                <w:szCs w:val="21"/>
              </w:rPr>
            </w:pPr>
            <w:r>
              <w:rPr>
                <w:rFonts w:hint="eastAsia" w:ascii="宋体" w:hAnsi="宋体" w:eastAsia="宋体" w:cs="宋体"/>
                <w:b/>
                <w:sz w:val="21"/>
                <w:szCs w:val="21"/>
              </w:rPr>
              <w:t>响应情况</w:t>
            </w:r>
          </w:p>
        </w:tc>
        <w:tc>
          <w:tcPr>
            <w:tcW w:w="2212" w:type="dxa"/>
            <w:noWrap w:val="0"/>
            <w:vAlign w:val="center"/>
          </w:tcPr>
          <w:p w14:paraId="33EAF178">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2" w:firstLineChars="200"/>
              <w:jc w:val="left"/>
              <w:textAlignment w:val="auto"/>
              <w:outlineLvl w:val="9"/>
              <w:rPr>
                <w:rFonts w:hint="eastAsia" w:ascii="宋体" w:hAnsi="宋体" w:eastAsia="宋体" w:cs="宋体"/>
                <w:b/>
                <w:sz w:val="21"/>
                <w:szCs w:val="21"/>
              </w:rPr>
            </w:pPr>
            <w:r>
              <w:rPr>
                <w:rFonts w:hint="eastAsia" w:ascii="宋体" w:hAnsi="宋体" w:eastAsia="宋体" w:cs="宋体"/>
                <w:b/>
                <w:sz w:val="21"/>
                <w:szCs w:val="21"/>
              </w:rPr>
              <w:t>差异说明</w:t>
            </w:r>
          </w:p>
        </w:tc>
      </w:tr>
      <w:tr w14:paraId="6507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314598E3">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2CEA21BC">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28E254B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提醒：请注明技术参数或具体内容以及</w:t>
            </w:r>
            <w:r>
              <w:rPr>
                <w:rFonts w:hint="eastAsia" w:ascii="宋体" w:hAnsi="宋体" w:cs="宋体"/>
                <w:sz w:val="21"/>
                <w:szCs w:val="21"/>
                <w:lang w:eastAsia="zh-CN"/>
              </w:rPr>
              <w:t>比选申请文件</w:t>
            </w:r>
            <w:r>
              <w:rPr>
                <w:rFonts w:hint="eastAsia" w:ascii="宋体" w:hAnsi="宋体" w:eastAsia="宋体" w:cs="宋体"/>
                <w:sz w:val="21"/>
                <w:szCs w:val="21"/>
              </w:rPr>
              <w:t>中技术参数或具体内容的位置（页码）</w:t>
            </w:r>
          </w:p>
        </w:tc>
        <w:tc>
          <w:tcPr>
            <w:tcW w:w="2212" w:type="dxa"/>
            <w:noWrap w:val="0"/>
            <w:vAlign w:val="center"/>
          </w:tcPr>
          <w:p w14:paraId="2BD11657">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2B71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30A2AD91">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4F88CFFE">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6E9F88EA">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17C62E82">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0DBC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67FF1E6C">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0DF7471F">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1DAE0CB9">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02B34062">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4D09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09CC5AA0">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7AE4C8F1">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174B8B47">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454D2EC8">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0758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6731F019">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35E8A7D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2E2D68C7">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05C5437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7042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59F610AB">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663EF4E0">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6299992B">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10F68E01">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15B4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7C6BDFB9">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621CC29C">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284548B8">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37E1D3BF">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14EE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29037D9B">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013F9D97">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414B2AEC">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2A9F34E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6F34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323E61BB">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33E69A2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5B9734C9">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6D2AD0BF">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r w14:paraId="0700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19DD203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844" w:type="dxa"/>
            <w:noWrap w:val="0"/>
            <w:vAlign w:val="center"/>
          </w:tcPr>
          <w:p w14:paraId="352363B8">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952" w:type="dxa"/>
            <w:noWrap w:val="0"/>
            <w:vAlign w:val="center"/>
          </w:tcPr>
          <w:p w14:paraId="7E48ED9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c>
          <w:tcPr>
            <w:tcW w:w="2212" w:type="dxa"/>
            <w:noWrap w:val="0"/>
            <w:vAlign w:val="center"/>
          </w:tcPr>
          <w:p w14:paraId="7E3BC798">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1"/>
              </w:rPr>
            </w:pPr>
          </w:p>
        </w:tc>
      </w:tr>
    </w:tbl>
    <w:p w14:paraId="38FFC664">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cs="宋体"/>
          <w:sz w:val="24"/>
          <w:szCs w:val="28"/>
          <w:lang w:eastAsia="zh-CN"/>
        </w:rPr>
        <w:t>竞选人</w:t>
      </w:r>
      <w:r>
        <w:rPr>
          <w:rFonts w:hint="eastAsia" w:ascii="宋体" w:hAnsi="宋体" w:eastAsia="宋体" w:cs="宋体"/>
          <w:sz w:val="24"/>
          <w:szCs w:val="28"/>
        </w:rPr>
        <w:t xml:space="preserve">：                         </w:t>
      </w:r>
      <w:r>
        <w:rPr>
          <w:rFonts w:hint="eastAsia" w:ascii="宋体" w:hAnsi="宋体" w:eastAsia="宋体" w:cs="宋体"/>
          <w:sz w:val="24"/>
          <w:szCs w:val="24"/>
        </w:rPr>
        <w:t>法定代表人（或其授权代表）</w:t>
      </w:r>
      <w:r>
        <w:rPr>
          <w:rFonts w:hint="eastAsia" w:ascii="宋体" w:hAnsi="宋体" w:eastAsia="宋体" w:cs="宋体"/>
          <w:sz w:val="24"/>
          <w:szCs w:val="28"/>
        </w:rPr>
        <w:t>：</w:t>
      </w:r>
    </w:p>
    <w:p w14:paraId="77D4D6F2">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eastAsia="宋体" w:cs="宋体"/>
          <w:sz w:val="24"/>
          <w:szCs w:val="28"/>
        </w:rPr>
        <w:t xml:space="preserve">    </w:t>
      </w:r>
    </w:p>
    <w:p w14:paraId="59D5C44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eastAsia="宋体" w:cs="宋体"/>
          <w:sz w:val="24"/>
          <w:szCs w:val="28"/>
        </w:rPr>
        <w:t>（</w:t>
      </w:r>
      <w:r>
        <w:rPr>
          <w:rFonts w:hint="eastAsia" w:ascii="宋体" w:hAnsi="宋体" w:cs="宋体"/>
          <w:sz w:val="24"/>
          <w:szCs w:val="28"/>
          <w:lang w:eastAsia="zh-CN"/>
        </w:rPr>
        <w:t>竞选人</w:t>
      </w:r>
      <w:r>
        <w:rPr>
          <w:rFonts w:hint="eastAsia" w:ascii="宋体" w:hAnsi="宋体" w:eastAsia="宋体" w:cs="宋体"/>
          <w:sz w:val="24"/>
          <w:szCs w:val="28"/>
        </w:rPr>
        <w:t>公章）                               （</w:t>
      </w:r>
      <w:r>
        <w:rPr>
          <w:rFonts w:hint="eastAsia" w:ascii="宋体" w:hAnsi="宋体" w:eastAsia="宋体" w:cs="宋体"/>
          <w:sz w:val="24"/>
          <w:szCs w:val="24"/>
        </w:rPr>
        <w:t>签</w:t>
      </w:r>
      <w:r>
        <w:rPr>
          <w:rFonts w:hint="eastAsia" w:ascii="宋体" w:hAnsi="宋体" w:cs="宋体"/>
          <w:sz w:val="24"/>
          <w:szCs w:val="24"/>
          <w:lang w:eastAsia="zh-CN"/>
        </w:rPr>
        <w:t>字</w:t>
      </w:r>
      <w:r>
        <w:rPr>
          <w:rFonts w:hint="eastAsia" w:ascii="宋体" w:hAnsi="宋体" w:eastAsia="宋体" w:cs="宋体"/>
          <w:sz w:val="24"/>
          <w:szCs w:val="28"/>
        </w:rPr>
        <w:t>或盖章）</w:t>
      </w:r>
    </w:p>
    <w:p w14:paraId="38743034">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szCs w:val="28"/>
        </w:rPr>
        <w:t xml:space="preserve">                                            年     月     日</w:t>
      </w:r>
    </w:p>
    <w:p w14:paraId="28638F84">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注：</w:t>
      </w:r>
    </w:p>
    <w:p w14:paraId="71CCB0FC">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szCs w:val="24"/>
        </w:rPr>
        <w:t>1</w:t>
      </w:r>
      <w:r>
        <w:rPr>
          <w:rFonts w:hint="eastAsia" w:ascii="宋体" w:hAnsi="宋体" w:eastAsia="宋体" w:cs="宋体"/>
          <w:sz w:val="24"/>
        </w:rPr>
        <w:t>.</w:t>
      </w:r>
      <w:r>
        <w:rPr>
          <w:rFonts w:hint="eastAsia" w:ascii="宋体" w:hAnsi="宋体" w:eastAsia="宋体" w:cs="宋体"/>
          <w:sz w:val="24"/>
          <w:szCs w:val="24"/>
        </w:rPr>
        <w:t>本表即为对本项目“第二篇  比选项目技术（质量）需求”中所列条款进行比较和响应；</w:t>
      </w:r>
    </w:p>
    <w:p w14:paraId="1F23DDA6">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2.本表可扩展。</w:t>
      </w:r>
    </w:p>
    <w:p w14:paraId="14440ED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sectPr>
          <w:pgSz w:w="11907" w:h="16840"/>
          <w:pgMar w:top="1134" w:right="1191" w:bottom="1134" w:left="1304" w:header="851" w:footer="992" w:gutter="0"/>
          <w:pgNumType w:fmt="numberInDash"/>
          <w:cols w:space="720" w:num="1"/>
          <w:docGrid w:linePitch="380" w:charSpace="-5735"/>
        </w:sectPr>
      </w:pPr>
    </w:p>
    <w:p w14:paraId="14EE8D4B">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rPr>
      </w:pPr>
    </w:p>
    <w:p w14:paraId="67874D6D">
      <w:pPr>
        <w:pageBreakBefore w:val="0"/>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9"/>
        <w:rPr>
          <w:rFonts w:hint="eastAsia" w:ascii="宋体" w:hAnsi="宋体" w:eastAsia="宋体" w:cs="宋体"/>
          <w:sz w:val="24"/>
          <w:lang w:eastAsia="zh-CN"/>
        </w:rPr>
      </w:pPr>
      <w:bookmarkStart w:id="158" w:name="_Toc32158"/>
      <w:bookmarkStart w:id="159" w:name="_Toc32339"/>
      <w:bookmarkStart w:id="160" w:name="_Toc65660381"/>
      <w:bookmarkStart w:id="161" w:name="_Toc106034661"/>
      <w:bookmarkStart w:id="162" w:name="_Toc313888362"/>
      <w:bookmarkStart w:id="163" w:name="_Toc342913421"/>
      <w:bookmarkStart w:id="164" w:name="_Toc313008358"/>
      <w:r>
        <w:rPr>
          <w:rFonts w:hint="eastAsia" w:ascii="宋体" w:hAnsi="宋体" w:eastAsia="宋体" w:cs="宋体"/>
          <w:sz w:val="24"/>
        </w:rPr>
        <w:t>三、</w:t>
      </w:r>
      <w:bookmarkEnd w:id="158"/>
      <w:bookmarkEnd w:id="159"/>
      <w:bookmarkEnd w:id="160"/>
      <w:bookmarkEnd w:id="161"/>
      <w:r>
        <w:rPr>
          <w:rFonts w:hint="eastAsia" w:ascii="宋体" w:hAnsi="宋体" w:eastAsia="宋体" w:cs="宋体"/>
          <w:sz w:val="24"/>
          <w:lang w:eastAsia="zh-CN"/>
        </w:rPr>
        <w:t>商务文件</w:t>
      </w:r>
    </w:p>
    <w:p w14:paraId="095188F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（一）</w:t>
      </w:r>
      <w:r>
        <w:rPr>
          <w:rFonts w:hint="eastAsia" w:ascii="宋体" w:hAnsi="宋体" w:eastAsia="宋体" w:cs="宋体"/>
          <w:sz w:val="24"/>
          <w:szCs w:val="24"/>
          <w:lang w:eastAsia="zh-CN"/>
        </w:rPr>
        <w:t>商务条款差异表</w:t>
      </w:r>
    </w:p>
    <w:p w14:paraId="4BCD126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项目号：                               </w:t>
      </w:r>
    </w:p>
    <w:p w14:paraId="27BB2D1A">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p>
    <w:tbl>
      <w:tblPr>
        <w:tblStyle w:val="6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6282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512" w:type="dxa"/>
            <w:noWrap w:val="0"/>
            <w:vAlign w:val="center"/>
          </w:tcPr>
          <w:p w14:paraId="779DE4F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b/>
                <w:sz w:val="21"/>
                <w:szCs w:val="24"/>
              </w:rPr>
            </w:pPr>
            <w:r>
              <w:rPr>
                <w:rFonts w:hint="eastAsia" w:ascii="宋体" w:hAnsi="宋体" w:eastAsia="宋体" w:cs="宋体"/>
                <w:b/>
                <w:sz w:val="21"/>
                <w:szCs w:val="24"/>
              </w:rPr>
              <w:t>序号</w:t>
            </w:r>
          </w:p>
        </w:tc>
        <w:tc>
          <w:tcPr>
            <w:tcW w:w="3184" w:type="dxa"/>
            <w:noWrap w:val="0"/>
            <w:vAlign w:val="center"/>
          </w:tcPr>
          <w:p w14:paraId="26B2CAEE">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b/>
                <w:sz w:val="21"/>
                <w:szCs w:val="24"/>
              </w:rPr>
            </w:pPr>
            <w:r>
              <w:rPr>
                <w:rFonts w:hint="eastAsia" w:ascii="宋体" w:hAnsi="宋体" w:eastAsia="宋体" w:cs="宋体"/>
                <w:b/>
                <w:sz w:val="21"/>
                <w:szCs w:val="24"/>
              </w:rPr>
              <w:t>采购需求</w:t>
            </w:r>
          </w:p>
        </w:tc>
        <w:tc>
          <w:tcPr>
            <w:tcW w:w="2438" w:type="dxa"/>
            <w:noWrap w:val="0"/>
            <w:vAlign w:val="center"/>
          </w:tcPr>
          <w:p w14:paraId="1C80A30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b/>
                <w:sz w:val="21"/>
                <w:szCs w:val="24"/>
              </w:rPr>
            </w:pPr>
            <w:r>
              <w:rPr>
                <w:rFonts w:hint="eastAsia" w:ascii="宋体" w:hAnsi="宋体" w:eastAsia="宋体" w:cs="宋体"/>
                <w:b/>
                <w:sz w:val="21"/>
                <w:szCs w:val="24"/>
              </w:rPr>
              <w:t>响应情况</w:t>
            </w:r>
          </w:p>
        </w:tc>
        <w:tc>
          <w:tcPr>
            <w:tcW w:w="2359" w:type="dxa"/>
            <w:noWrap w:val="0"/>
            <w:vAlign w:val="center"/>
          </w:tcPr>
          <w:p w14:paraId="041C10F3">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outlineLvl w:val="9"/>
              <w:rPr>
                <w:rFonts w:hint="eastAsia" w:ascii="宋体" w:hAnsi="宋体" w:eastAsia="宋体" w:cs="宋体"/>
                <w:b/>
                <w:sz w:val="21"/>
                <w:szCs w:val="24"/>
              </w:rPr>
            </w:pPr>
            <w:r>
              <w:rPr>
                <w:rFonts w:hint="eastAsia" w:ascii="宋体" w:hAnsi="宋体" w:eastAsia="宋体" w:cs="宋体"/>
                <w:b/>
                <w:sz w:val="21"/>
                <w:szCs w:val="21"/>
              </w:rPr>
              <w:t>差异说明</w:t>
            </w:r>
          </w:p>
        </w:tc>
      </w:tr>
      <w:tr w14:paraId="5166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2F5571A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3184" w:type="dxa"/>
            <w:noWrap w:val="0"/>
            <w:vAlign w:val="center"/>
          </w:tcPr>
          <w:p w14:paraId="0C616DC9">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438" w:type="dxa"/>
            <w:noWrap w:val="0"/>
            <w:vAlign w:val="center"/>
          </w:tcPr>
          <w:p w14:paraId="0CC2333B">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outlineLvl w:val="9"/>
              <w:rPr>
                <w:rFonts w:hint="eastAsia" w:ascii="宋体" w:hAnsi="宋体" w:eastAsia="宋体" w:cs="宋体"/>
                <w:sz w:val="21"/>
                <w:szCs w:val="24"/>
              </w:rPr>
            </w:pPr>
            <w:bookmarkStart w:id="165" w:name="_Toc27788"/>
            <w:r>
              <w:rPr>
                <w:rFonts w:hint="eastAsia" w:ascii="宋体" w:hAnsi="宋体" w:eastAsia="宋体" w:cs="宋体"/>
                <w:sz w:val="21"/>
                <w:szCs w:val="21"/>
              </w:rPr>
              <w:t>提醒：请注明具体内容以及</w:t>
            </w:r>
            <w:r>
              <w:rPr>
                <w:rFonts w:hint="eastAsia" w:ascii="宋体" w:hAnsi="宋体" w:cs="宋体"/>
                <w:sz w:val="21"/>
                <w:szCs w:val="21"/>
                <w:lang w:eastAsia="zh-CN"/>
              </w:rPr>
              <w:t>比选申请文件</w:t>
            </w:r>
            <w:r>
              <w:rPr>
                <w:rFonts w:hint="eastAsia" w:ascii="宋体" w:hAnsi="宋体" w:eastAsia="宋体" w:cs="宋体"/>
                <w:sz w:val="21"/>
                <w:szCs w:val="21"/>
              </w:rPr>
              <w:t>中具体内容的位置（页码）</w:t>
            </w:r>
            <w:bookmarkEnd w:id="165"/>
          </w:p>
        </w:tc>
        <w:tc>
          <w:tcPr>
            <w:tcW w:w="2359" w:type="dxa"/>
            <w:noWrap w:val="0"/>
            <w:vAlign w:val="center"/>
          </w:tcPr>
          <w:p w14:paraId="123828C6">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r>
      <w:tr w14:paraId="2AD6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00B2F7CA">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3184" w:type="dxa"/>
            <w:noWrap w:val="0"/>
            <w:vAlign w:val="center"/>
          </w:tcPr>
          <w:p w14:paraId="4D04CFF3">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438" w:type="dxa"/>
            <w:noWrap w:val="0"/>
            <w:vAlign w:val="center"/>
          </w:tcPr>
          <w:p w14:paraId="559FA7DE">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359" w:type="dxa"/>
            <w:noWrap w:val="0"/>
            <w:vAlign w:val="center"/>
          </w:tcPr>
          <w:p w14:paraId="1E7AB8F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r>
      <w:tr w14:paraId="551C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5E30C3B6">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3184" w:type="dxa"/>
            <w:noWrap w:val="0"/>
            <w:vAlign w:val="center"/>
          </w:tcPr>
          <w:p w14:paraId="25884910">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438" w:type="dxa"/>
            <w:noWrap w:val="0"/>
            <w:vAlign w:val="center"/>
          </w:tcPr>
          <w:p w14:paraId="0BB8AD18">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359" w:type="dxa"/>
            <w:noWrap w:val="0"/>
            <w:vAlign w:val="center"/>
          </w:tcPr>
          <w:p w14:paraId="2ACB085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r>
      <w:tr w14:paraId="1B8F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02D2E769">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3184" w:type="dxa"/>
            <w:noWrap w:val="0"/>
            <w:vAlign w:val="center"/>
          </w:tcPr>
          <w:p w14:paraId="3303598B">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438" w:type="dxa"/>
            <w:noWrap w:val="0"/>
            <w:vAlign w:val="center"/>
          </w:tcPr>
          <w:p w14:paraId="33533C0D">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359" w:type="dxa"/>
            <w:noWrap w:val="0"/>
            <w:vAlign w:val="center"/>
          </w:tcPr>
          <w:p w14:paraId="15B6A28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r>
      <w:tr w14:paraId="3261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550F8E6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3184" w:type="dxa"/>
            <w:noWrap w:val="0"/>
            <w:vAlign w:val="center"/>
          </w:tcPr>
          <w:p w14:paraId="4E0DA86F">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438" w:type="dxa"/>
            <w:noWrap w:val="0"/>
            <w:vAlign w:val="center"/>
          </w:tcPr>
          <w:p w14:paraId="4A65A61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359" w:type="dxa"/>
            <w:noWrap w:val="0"/>
            <w:vAlign w:val="center"/>
          </w:tcPr>
          <w:p w14:paraId="6E00D8BD">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r>
      <w:tr w14:paraId="0807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0A14C4D5">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3184" w:type="dxa"/>
            <w:noWrap w:val="0"/>
            <w:vAlign w:val="center"/>
          </w:tcPr>
          <w:p w14:paraId="59F77642">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438" w:type="dxa"/>
            <w:noWrap w:val="0"/>
            <w:vAlign w:val="center"/>
          </w:tcPr>
          <w:p w14:paraId="3DA693F3">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c>
          <w:tcPr>
            <w:tcW w:w="2359" w:type="dxa"/>
            <w:noWrap w:val="0"/>
            <w:vAlign w:val="center"/>
          </w:tcPr>
          <w:p w14:paraId="65574F84">
            <w:pPr>
              <w:keepNext w:val="0"/>
              <w:keepLines w:val="0"/>
              <w:pageBreakBefore w:val="0"/>
              <w:suppressLineNumbers w:val="0"/>
              <w:tabs>
                <w:tab w:val="left" w:pos="630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ascii="宋体" w:hAnsi="宋体" w:eastAsia="宋体" w:cs="宋体"/>
                <w:sz w:val="21"/>
                <w:szCs w:val="24"/>
              </w:rPr>
            </w:pPr>
          </w:p>
        </w:tc>
      </w:tr>
    </w:tbl>
    <w:p w14:paraId="155CD4E0">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cs="宋体"/>
          <w:sz w:val="24"/>
          <w:szCs w:val="28"/>
          <w:lang w:eastAsia="zh-CN"/>
        </w:rPr>
        <w:t>竞选人</w:t>
      </w:r>
      <w:r>
        <w:rPr>
          <w:rFonts w:hint="eastAsia" w:ascii="宋体" w:hAnsi="宋体" w:eastAsia="宋体" w:cs="宋体"/>
          <w:sz w:val="24"/>
          <w:szCs w:val="28"/>
        </w:rPr>
        <w:t xml:space="preserve">：                          </w:t>
      </w:r>
      <w:r>
        <w:rPr>
          <w:rFonts w:hint="eastAsia" w:ascii="宋体" w:hAnsi="宋体" w:eastAsia="宋体" w:cs="宋体"/>
          <w:sz w:val="24"/>
          <w:szCs w:val="24"/>
        </w:rPr>
        <w:t>法定代表人（或其授权代表）</w:t>
      </w:r>
      <w:r>
        <w:rPr>
          <w:rFonts w:hint="eastAsia" w:ascii="宋体" w:hAnsi="宋体" w:eastAsia="宋体" w:cs="宋体"/>
          <w:sz w:val="24"/>
          <w:szCs w:val="28"/>
        </w:rPr>
        <w:t>：</w:t>
      </w:r>
    </w:p>
    <w:p w14:paraId="73D807F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eastAsia="宋体" w:cs="宋体"/>
          <w:sz w:val="24"/>
          <w:szCs w:val="28"/>
        </w:rPr>
        <w:t xml:space="preserve">    </w:t>
      </w:r>
    </w:p>
    <w:p w14:paraId="1E9BCEAE">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eastAsia="宋体" w:cs="宋体"/>
          <w:sz w:val="24"/>
          <w:szCs w:val="28"/>
        </w:rPr>
        <w:t>（</w:t>
      </w:r>
      <w:r>
        <w:rPr>
          <w:rFonts w:hint="eastAsia" w:ascii="宋体" w:hAnsi="宋体" w:cs="宋体"/>
          <w:sz w:val="24"/>
          <w:szCs w:val="28"/>
          <w:lang w:eastAsia="zh-CN"/>
        </w:rPr>
        <w:t>竞选人</w:t>
      </w:r>
      <w:r>
        <w:rPr>
          <w:rFonts w:hint="eastAsia" w:ascii="宋体" w:hAnsi="宋体" w:eastAsia="宋体" w:cs="宋体"/>
          <w:sz w:val="24"/>
          <w:szCs w:val="28"/>
        </w:rPr>
        <w:t>公章）                                     （签</w:t>
      </w:r>
      <w:r>
        <w:rPr>
          <w:rFonts w:hint="eastAsia" w:ascii="宋体" w:hAnsi="宋体" w:cs="宋体"/>
          <w:sz w:val="24"/>
          <w:szCs w:val="28"/>
          <w:lang w:eastAsia="zh-CN"/>
        </w:rPr>
        <w:t>字</w:t>
      </w:r>
      <w:r>
        <w:rPr>
          <w:rFonts w:hint="eastAsia" w:ascii="宋体" w:hAnsi="宋体" w:eastAsia="宋体" w:cs="宋体"/>
          <w:sz w:val="24"/>
          <w:szCs w:val="28"/>
        </w:rPr>
        <w:t>或盖章）</w:t>
      </w:r>
    </w:p>
    <w:p w14:paraId="0C461166">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szCs w:val="28"/>
        </w:rPr>
        <w:t xml:space="preserve">                                                  年     月     日</w:t>
      </w:r>
    </w:p>
    <w:p w14:paraId="28ED6C6E">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注：</w:t>
      </w:r>
    </w:p>
    <w:p w14:paraId="017A36D2">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szCs w:val="24"/>
        </w:rPr>
        <w:t>1</w:t>
      </w:r>
      <w:r>
        <w:rPr>
          <w:rFonts w:hint="eastAsia" w:ascii="宋体" w:hAnsi="宋体" w:eastAsia="宋体" w:cs="宋体"/>
          <w:sz w:val="24"/>
        </w:rPr>
        <w:t>.</w:t>
      </w:r>
      <w:r>
        <w:rPr>
          <w:rFonts w:hint="eastAsia" w:ascii="宋体" w:hAnsi="宋体" w:eastAsia="宋体" w:cs="宋体"/>
          <w:sz w:val="24"/>
          <w:szCs w:val="24"/>
        </w:rPr>
        <w:t>本表即为对本项目“第三篇  比选项目服务需求”中所列条款进行比较和响应；</w:t>
      </w:r>
    </w:p>
    <w:p w14:paraId="7236B1DB">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rPr>
        <w:t>2.本表可扩展</w:t>
      </w:r>
      <w:r>
        <w:rPr>
          <w:rFonts w:hint="eastAsia" w:ascii="宋体" w:hAnsi="宋体" w:eastAsia="宋体" w:cs="宋体"/>
          <w:sz w:val="24"/>
          <w:szCs w:val="24"/>
        </w:rPr>
        <w:t>。</w:t>
      </w:r>
    </w:p>
    <w:p w14:paraId="396A4BE8">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1A267CA4">
      <w:pPr>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szCs w:val="24"/>
        </w:rPr>
        <w:br w:type="page"/>
      </w:r>
      <w:bookmarkStart w:id="166" w:name="_Toc106034662"/>
      <w:bookmarkStart w:id="167" w:name="_Toc65660382"/>
      <w:bookmarkStart w:id="168" w:name="_Toc2082"/>
      <w:bookmarkStart w:id="169" w:name="_Toc20162"/>
      <w:r>
        <w:rPr>
          <w:rFonts w:hint="eastAsia" w:ascii="宋体" w:hAnsi="宋体" w:eastAsia="宋体" w:cs="宋体"/>
          <w:sz w:val="24"/>
        </w:rPr>
        <w:t>四、</w:t>
      </w:r>
      <w:bookmarkEnd w:id="162"/>
      <w:bookmarkEnd w:id="163"/>
      <w:bookmarkEnd w:id="164"/>
      <w:r>
        <w:rPr>
          <w:rFonts w:hint="eastAsia" w:ascii="宋体" w:hAnsi="宋体" w:eastAsia="宋体" w:cs="宋体"/>
          <w:sz w:val="24"/>
        </w:rPr>
        <w:t>资格条件及其他</w:t>
      </w:r>
      <w:bookmarkEnd w:id="166"/>
      <w:bookmarkEnd w:id="167"/>
      <w:bookmarkEnd w:id="168"/>
      <w:bookmarkEnd w:id="169"/>
      <w:bookmarkStart w:id="170" w:name="_Toc342913422"/>
      <w:bookmarkStart w:id="171" w:name="_Toc313888363"/>
      <w:bookmarkStart w:id="172" w:name="_Toc313008359"/>
    </w:p>
    <w:p w14:paraId="0DA2B3E2">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（一）竞选人有效的营业执照副本、税务登记证副本、组织机构代码证副本或三证合一后的营业执照扫描件</w:t>
      </w:r>
      <w:r>
        <w:rPr>
          <w:rFonts w:hint="eastAsia" w:ascii="宋体" w:hAnsi="宋体" w:cs="宋体"/>
          <w:sz w:val="24"/>
          <w:szCs w:val="24"/>
          <w:lang w:eastAsia="zh-CN"/>
        </w:rPr>
        <w:t>（</w:t>
      </w:r>
      <w:r>
        <w:rPr>
          <w:rFonts w:hint="eastAsia" w:ascii="宋体" w:hAnsi="宋体" w:eastAsia="宋体" w:cs="宋体"/>
          <w:sz w:val="24"/>
          <w:szCs w:val="24"/>
        </w:rPr>
        <w:t>说明:</w:t>
      </w:r>
      <w:r>
        <w:rPr>
          <w:rFonts w:hint="eastAsia" w:ascii="宋体" w:hAnsi="宋体" w:cs="宋体"/>
          <w:sz w:val="24"/>
          <w:szCs w:val="24"/>
          <w:lang w:eastAsia="zh-CN"/>
        </w:rPr>
        <w:t>竞选人</w:t>
      </w:r>
      <w:r>
        <w:rPr>
          <w:rFonts w:hint="eastAsia" w:ascii="宋体" w:hAnsi="宋体" w:eastAsia="宋体" w:cs="宋体"/>
          <w:sz w:val="24"/>
          <w:szCs w:val="24"/>
        </w:rPr>
        <w:t>按“多证合一”登记制度办理营业执照的，税务登记证(副本) 和社会保险登记证以</w:t>
      </w:r>
      <w:r>
        <w:rPr>
          <w:rFonts w:hint="eastAsia" w:ascii="宋体" w:hAnsi="宋体" w:cs="宋体"/>
          <w:sz w:val="24"/>
          <w:szCs w:val="24"/>
          <w:lang w:eastAsia="zh-CN"/>
        </w:rPr>
        <w:t>竞选人</w:t>
      </w:r>
      <w:r>
        <w:rPr>
          <w:rFonts w:hint="eastAsia" w:ascii="宋体" w:hAnsi="宋体" w:eastAsia="宋体" w:cs="宋体"/>
          <w:sz w:val="24"/>
          <w:szCs w:val="24"/>
        </w:rPr>
        <w:t>所提供的法人营业执照(副本)复印件为准。</w:t>
      </w:r>
      <w:r>
        <w:rPr>
          <w:rFonts w:hint="eastAsia" w:ascii="宋体" w:hAnsi="宋体" w:cs="宋体"/>
          <w:sz w:val="24"/>
          <w:szCs w:val="24"/>
          <w:lang w:eastAsia="zh-CN"/>
        </w:rPr>
        <w:t>）</w:t>
      </w:r>
    </w:p>
    <w:p w14:paraId="5D202074">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0DC4B4A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rPr>
      </w:pPr>
    </w:p>
    <w:p w14:paraId="5CFA7B8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rPr>
      </w:pPr>
    </w:p>
    <w:p w14:paraId="247F99BA">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rPr>
      </w:pPr>
    </w:p>
    <w:p w14:paraId="7191DFF7">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rPr>
      </w:pPr>
    </w:p>
    <w:p w14:paraId="70395C21">
      <w:pPr>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sz w:val="24"/>
          <w:szCs w:val="24"/>
        </w:rPr>
      </w:pPr>
      <w:r>
        <w:rPr>
          <w:rFonts w:hint="eastAsia" w:ascii="宋体" w:hAnsi="宋体" w:eastAsia="宋体" w:cs="宋体"/>
        </w:rPr>
        <w:br w:type="page"/>
      </w:r>
      <w:r>
        <w:rPr>
          <w:rFonts w:hint="eastAsia" w:ascii="宋体" w:hAnsi="宋体" w:eastAsia="宋体" w:cs="宋体"/>
          <w:sz w:val="24"/>
          <w:szCs w:val="24"/>
        </w:rPr>
        <w:t>（二）法定代表人身份证明书（格式）</w:t>
      </w:r>
    </w:p>
    <w:p w14:paraId="1347B036">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7F15055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比选项目名称：</w:t>
      </w:r>
      <w:r>
        <w:rPr>
          <w:rFonts w:hint="eastAsia" w:ascii="宋体" w:hAnsi="宋体" w:eastAsia="宋体" w:cs="宋体"/>
          <w:sz w:val="24"/>
          <w:u w:val="single"/>
        </w:rPr>
        <w:t xml:space="preserve">                                                </w:t>
      </w:r>
    </w:p>
    <w:p w14:paraId="61F559B9">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15D474C4">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w:t>
      </w:r>
      <w:r>
        <w:rPr>
          <w:rFonts w:hint="eastAsia" w:ascii="宋体" w:hAnsi="宋体" w:eastAsia="宋体" w:cs="宋体"/>
          <w:sz w:val="24"/>
        </w:rPr>
        <w:t>（采购代理机构名称）：</w:t>
      </w:r>
    </w:p>
    <w:p w14:paraId="56AF3454">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（法定代表人姓名）在</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cs="宋体"/>
          <w:sz w:val="24"/>
          <w:lang w:eastAsia="zh-CN"/>
        </w:rPr>
        <w:t>竞选人</w:t>
      </w:r>
      <w:r>
        <w:rPr>
          <w:rFonts w:hint="eastAsia" w:ascii="宋体" w:hAnsi="宋体" w:eastAsia="宋体" w:cs="宋体"/>
          <w:sz w:val="24"/>
        </w:rPr>
        <w:t>名称）任</w:t>
      </w:r>
      <w:r>
        <w:rPr>
          <w:rFonts w:hint="eastAsia" w:ascii="宋体" w:hAnsi="宋体" w:eastAsia="宋体" w:cs="宋体"/>
          <w:sz w:val="24"/>
          <w:u w:val="single"/>
        </w:rPr>
        <w:t xml:space="preserve">    </w:t>
      </w:r>
      <w:r>
        <w:rPr>
          <w:rFonts w:hint="eastAsia" w:ascii="宋体" w:hAnsi="宋体" w:eastAsia="宋体" w:cs="宋体"/>
          <w:sz w:val="24"/>
        </w:rPr>
        <w:t>（职务名称）职务，是（</w:t>
      </w:r>
      <w:r>
        <w:rPr>
          <w:rFonts w:hint="eastAsia" w:ascii="宋体" w:hAnsi="宋体" w:cs="宋体"/>
          <w:sz w:val="24"/>
          <w:lang w:eastAsia="zh-CN"/>
        </w:rPr>
        <w:t>竞选人</w:t>
      </w:r>
      <w:r>
        <w:rPr>
          <w:rFonts w:hint="eastAsia" w:ascii="宋体" w:hAnsi="宋体" w:eastAsia="宋体" w:cs="宋体"/>
          <w:sz w:val="24"/>
        </w:rPr>
        <w:t>名称）</w:t>
      </w:r>
      <w:r>
        <w:rPr>
          <w:rFonts w:hint="eastAsia" w:ascii="宋体" w:hAnsi="宋体" w:eastAsia="宋体" w:cs="宋体"/>
          <w:sz w:val="24"/>
          <w:u w:val="single"/>
        </w:rPr>
        <w:t xml:space="preserve">              </w:t>
      </w:r>
      <w:r>
        <w:rPr>
          <w:rFonts w:hint="eastAsia" w:ascii="宋体" w:hAnsi="宋体" w:eastAsia="宋体" w:cs="宋体"/>
          <w:sz w:val="24"/>
        </w:rPr>
        <w:t>的法定代表人。</w:t>
      </w:r>
    </w:p>
    <w:p w14:paraId="2DEB2877">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77082B8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特此证明。</w:t>
      </w:r>
    </w:p>
    <w:p w14:paraId="775D9966">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7B8DA391">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6FD8C175">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503A57E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cs="宋体"/>
          <w:sz w:val="24"/>
          <w:lang w:eastAsia="zh-CN"/>
        </w:rPr>
        <w:t>竞选人</w:t>
      </w:r>
      <w:r>
        <w:rPr>
          <w:rFonts w:hint="eastAsia" w:ascii="宋体" w:hAnsi="宋体" w:eastAsia="宋体" w:cs="宋体"/>
          <w:sz w:val="24"/>
        </w:rPr>
        <w:t>公章）</w:t>
      </w:r>
    </w:p>
    <w:p w14:paraId="1E2ADB8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6843A302">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 xml:space="preserve">                                             年   月   日</w:t>
      </w:r>
    </w:p>
    <w:p w14:paraId="367B7C59">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3CF9E251">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21D10B1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法定代表人电话：      电子邮箱：</w:t>
      </w:r>
      <w:r>
        <w:rPr>
          <w:rFonts w:hint="eastAsia" w:ascii="宋体" w:hAnsi="宋体" w:eastAsia="宋体" w:cs="宋体"/>
          <w:sz w:val="24"/>
          <w:lang w:val="en-US" w:eastAsia="zh-CN"/>
        </w:rPr>
        <w:t xml:space="preserve">   </w:t>
      </w:r>
      <w:r>
        <w:rPr>
          <w:rFonts w:hint="eastAsia" w:ascii="宋体" w:hAnsi="宋体" w:eastAsia="宋体" w:cs="宋体"/>
          <w:sz w:val="24"/>
        </w:rPr>
        <w:t>（若授权他人办理并签</w:t>
      </w:r>
      <w:r>
        <w:rPr>
          <w:rFonts w:hint="eastAsia" w:ascii="宋体" w:hAnsi="宋体" w:cs="宋体"/>
          <w:sz w:val="24"/>
          <w:lang w:eastAsia="zh-CN"/>
        </w:rPr>
        <w:t>字比选申请文件</w:t>
      </w:r>
      <w:r>
        <w:rPr>
          <w:rFonts w:hint="eastAsia" w:ascii="宋体" w:hAnsi="宋体" w:eastAsia="宋体" w:cs="宋体"/>
          <w:sz w:val="24"/>
        </w:rPr>
        <w:t>的可不填写）</w:t>
      </w:r>
    </w:p>
    <w:p w14:paraId="7EA0A959">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（附：法定代表人身份证正反面复印件）</w:t>
      </w:r>
    </w:p>
    <w:p w14:paraId="2706BCB3">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2CD1ABF0">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7FBDF245">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1FD87D67">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6A2EDC7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7AA8518A">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0AD91B2A">
      <w:pPr>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sz w:val="24"/>
          <w:szCs w:val="24"/>
        </w:rPr>
      </w:pPr>
      <w:r>
        <w:rPr>
          <w:rFonts w:hint="eastAsia" w:ascii="宋体" w:hAnsi="宋体" w:eastAsia="宋体" w:cs="宋体"/>
        </w:rPr>
        <w:br w:type="column"/>
      </w:r>
      <w:r>
        <w:rPr>
          <w:rFonts w:hint="eastAsia" w:ascii="宋体" w:hAnsi="宋体" w:eastAsia="宋体" w:cs="宋体"/>
          <w:sz w:val="24"/>
          <w:szCs w:val="24"/>
        </w:rPr>
        <w:t>（三）法定代表人授权委托书（格式）</w:t>
      </w:r>
    </w:p>
    <w:p w14:paraId="55E74375">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 xml:space="preserve">    </w:t>
      </w:r>
    </w:p>
    <w:p w14:paraId="1CEA9943">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szCs w:val="28"/>
        </w:rPr>
        <w:t>比选项目名称</w:t>
      </w:r>
      <w:r>
        <w:rPr>
          <w:rFonts w:hint="eastAsia" w:ascii="宋体" w:hAnsi="宋体" w:eastAsia="宋体" w:cs="宋体"/>
          <w:sz w:val="24"/>
        </w:rPr>
        <w:t>：</w:t>
      </w:r>
      <w:r>
        <w:rPr>
          <w:rFonts w:hint="eastAsia" w:ascii="宋体" w:hAnsi="宋体" w:eastAsia="宋体" w:cs="宋体"/>
          <w:sz w:val="24"/>
          <w:u w:val="single"/>
        </w:rPr>
        <w:t xml:space="preserve">                                                </w:t>
      </w:r>
    </w:p>
    <w:p w14:paraId="6C98B2DC">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3C690830">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w:t>
      </w:r>
      <w:r>
        <w:rPr>
          <w:rFonts w:hint="eastAsia" w:ascii="宋体" w:hAnsi="宋体" w:eastAsia="宋体" w:cs="宋体"/>
          <w:sz w:val="24"/>
        </w:rPr>
        <w:t>（采购代理机构名称）：</w:t>
      </w:r>
    </w:p>
    <w:p w14:paraId="69E51D5C">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cs="宋体"/>
          <w:sz w:val="24"/>
          <w:lang w:eastAsia="zh-CN"/>
        </w:rPr>
        <w:t>竞选人</w:t>
      </w:r>
      <w:r>
        <w:rPr>
          <w:rFonts w:hint="eastAsia" w:ascii="宋体" w:hAnsi="宋体" w:eastAsia="宋体" w:cs="宋体"/>
          <w:sz w:val="24"/>
        </w:rPr>
        <w:t>法定代表人名称）是</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cs="宋体"/>
          <w:sz w:val="24"/>
          <w:lang w:eastAsia="zh-CN"/>
        </w:rPr>
        <w:t>竞选人</w:t>
      </w:r>
      <w:r>
        <w:rPr>
          <w:rFonts w:hint="eastAsia" w:ascii="宋体" w:hAnsi="宋体" w:eastAsia="宋体" w:cs="宋体"/>
          <w:sz w:val="24"/>
        </w:rPr>
        <w:t>名称）的法定代表人，特授权</w:t>
      </w:r>
      <w:r>
        <w:rPr>
          <w:rFonts w:hint="eastAsia" w:ascii="宋体" w:hAnsi="宋体" w:eastAsia="宋体" w:cs="宋体"/>
          <w:sz w:val="24"/>
          <w:u w:val="single"/>
        </w:rPr>
        <w:t xml:space="preserve">          </w:t>
      </w:r>
      <w:r>
        <w:rPr>
          <w:rFonts w:hint="eastAsia" w:ascii="宋体" w:hAnsi="宋体" w:eastAsia="宋体" w:cs="宋体"/>
          <w:sz w:val="24"/>
        </w:rPr>
        <w:t>（被授权人姓名及身份证代码）代表我单位全权办理上述项目的比选、签约等具体工作，并签</w:t>
      </w:r>
      <w:r>
        <w:rPr>
          <w:rFonts w:hint="eastAsia" w:ascii="宋体" w:hAnsi="宋体" w:cs="宋体"/>
          <w:sz w:val="24"/>
          <w:lang w:eastAsia="zh-CN"/>
        </w:rPr>
        <w:t>字</w:t>
      </w:r>
      <w:r>
        <w:rPr>
          <w:rFonts w:hint="eastAsia" w:ascii="宋体" w:hAnsi="宋体" w:eastAsia="宋体" w:cs="宋体"/>
          <w:sz w:val="24"/>
        </w:rPr>
        <w:t>全部有关文件、协议及合同。</w:t>
      </w:r>
    </w:p>
    <w:p w14:paraId="04FB3334">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我单位对被授权人的</w:t>
      </w:r>
      <w:r>
        <w:rPr>
          <w:rFonts w:hint="eastAsia" w:ascii="宋体" w:hAnsi="宋体" w:eastAsia="宋体" w:cs="宋体"/>
          <w:sz w:val="24"/>
          <w:szCs w:val="28"/>
        </w:rPr>
        <w:t>签</w:t>
      </w:r>
      <w:r>
        <w:rPr>
          <w:rFonts w:hint="eastAsia" w:ascii="宋体" w:hAnsi="宋体" w:cs="宋体"/>
          <w:sz w:val="24"/>
          <w:szCs w:val="28"/>
          <w:lang w:eastAsia="zh-CN"/>
        </w:rPr>
        <w:t>字</w:t>
      </w:r>
      <w:r>
        <w:rPr>
          <w:rFonts w:hint="eastAsia" w:ascii="宋体" w:hAnsi="宋体" w:eastAsia="宋体" w:cs="宋体"/>
          <w:sz w:val="24"/>
        </w:rPr>
        <w:t>负全部责任。</w:t>
      </w:r>
    </w:p>
    <w:p w14:paraId="5AC7ADE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在撤销授权的书面通知以前，本授权书一直有效。被授权人在授权书有效期内签</w:t>
      </w:r>
      <w:r>
        <w:rPr>
          <w:rFonts w:hint="eastAsia" w:ascii="宋体" w:hAnsi="宋体" w:cs="宋体"/>
          <w:sz w:val="24"/>
          <w:lang w:eastAsia="zh-CN"/>
        </w:rPr>
        <w:t>字</w:t>
      </w:r>
      <w:r>
        <w:rPr>
          <w:rFonts w:hint="eastAsia" w:ascii="宋体" w:hAnsi="宋体" w:eastAsia="宋体" w:cs="宋体"/>
          <w:sz w:val="24"/>
        </w:rPr>
        <w:t>的所有文件不因授权的撤销而失效。</w:t>
      </w:r>
    </w:p>
    <w:p w14:paraId="04E376A7">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1287F782">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5B0A8FDE">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 xml:space="preserve">被授权人：                                 </w:t>
      </w:r>
      <w:r>
        <w:rPr>
          <w:rFonts w:hint="eastAsia" w:ascii="宋体" w:hAnsi="宋体" w:cs="宋体"/>
          <w:sz w:val="24"/>
          <w:lang w:eastAsia="zh-CN"/>
        </w:rPr>
        <w:t>竞选人</w:t>
      </w:r>
      <w:r>
        <w:rPr>
          <w:rFonts w:hint="eastAsia" w:ascii="宋体" w:hAnsi="宋体" w:eastAsia="宋体" w:cs="宋体"/>
          <w:sz w:val="24"/>
        </w:rPr>
        <w:t>法定代表人：</w:t>
      </w:r>
    </w:p>
    <w:p w14:paraId="4B08E376">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r>
        <w:rPr>
          <w:rFonts w:hint="eastAsia" w:ascii="宋体" w:hAnsi="宋体" w:eastAsia="宋体" w:cs="宋体"/>
          <w:sz w:val="24"/>
          <w:szCs w:val="28"/>
        </w:rPr>
        <w:t>（签</w:t>
      </w:r>
      <w:r>
        <w:rPr>
          <w:rFonts w:hint="eastAsia" w:ascii="宋体" w:hAnsi="宋体" w:cs="宋体"/>
          <w:sz w:val="24"/>
          <w:szCs w:val="28"/>
          <w:lang w:eastAsia="zh-CN"/>
        </w:rPr>
        <w:t>字</w:t>
      </w:r>
      <w:r>
        <w:rPr>
          <w:rFonts w:hint="eastAsia" w:ascii="宋体" w:hAnsi="宋体" w:eastAsia="宋体" w:cs="宋体"/>
          <w:sz w:val="24"/>
          <w:szCs w:val="28"/>
        </w:rPr>
        <w:t>）                                （签</w:t>
      </w:r>
      <w:r>
        <w:rPr>
          <w:rFonts w:hint="eastAsia" w:ascii="宋体" w:hAnsi="宋体" w:cs="宋体"/>
          <w:sz w:val="24"/>
          <w:szCs w:val="28"/>
          <w:lang w:eastAsia="zh-CN"/>
        </w:rPr>
        <w:t>字</w:t>
      </w:r>
      <w:r>
        <w:rPr>
          <w:rFonts w:hint="eastAsia" w:ascii="宋体" w:hAnsi="宋体" w:eastAsia="宋体" w:cs="宋体"/>
          <w:sz w:val="24"/>
          <w:szCs w:val="28"/>
        </w:rPr>
        <w:t>或盖章）</w:t>
      </w:r>
    </w:p>
    <w:p w14:paraId="790ED715">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8"/>
        </w:rPr>
      </w:pPr>
    </w:p>
    <w:p w14:paraId="0E8C4064">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6A335903">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（附：被授权人身份证正反面复印件）</w:t>
      </w:r>
    </w:p>
    <w:p w14:paraId="5C7A1421">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 xml:space="preserve">                                          </w:t>
      </w:r>
    </w:p>
    <w:p w14:paraId="4A826433">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5F163EB0">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1232BE30">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cs="宋体"/>
          <w:sz w:val="24"/>
          <w:lang w:eastAsia="zh-CN"/>
        </w:rPr>
        <w:t>竞选人</w:t>
      </w:r>
      <w:r>
        <w:rPr>
          <w:rFonts w:hint="eastAsia" w:ascii="宋体" w:hAnsi="宋体" w:eastAsia="宋体" w:cs="宋体"/>
          <w:sz w:val="24"/>
        </w:rPr>
        <w:t>公章）</w:t>
      </w:r>
    </w:p>
    <w:p w14:paraId="50AB072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年   月   日</w:t>
      </w:r>
    </w:p>
    <w:p w14:paraId="742EFEC2">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被授权人电话：</w:t>
      </w:r>
      <w:r>
        <w:rPr>
          <w:rFonts w:hint="eastAsia" w:ascii="宋体" w:hAnsi="宋体" w:eastAsia="宋体" w:cs="宋体"/>
          <w:sz w:val="24"/>
          <w:lang w:val="en-US" w:eastAsia="zh-CN"/>
        </w:rPr>
        <w:t xml:space="preserve">   </w:t>
      </w:r>
      <w:r>
        <w:rPr>
          <w:rFonts w:hint="eastAsia" w:ascii="宋体" w:hAnsi="宋体" w:eastAsia="宋体" w:cs="宋体"/>
          <w:sz w:val="24"/>
        </w:rPr>
        <w:t xml:space="preserve">    电子邮箱：</w:t>
      </w:r>
      <w:r>
        <w:rPr>
          <w:rFonts w:hint="eastAsia" w:ascii="宋体" w:hAnsi="宋体" w:eastAsia="宋体" w:cs="宋体"/>
          <w:sz w:val="24"/>
          <w:lang w:val="en-US" w:eastAsia="zh-CN"/>
        </w:rPr>
        <w:t xml:space="preserve">  </w:t>
      </w:r>
      <w:r>
        <w:rPr>
          <w:rFonts w:hint="eastAsia" w:ascii="宋体" w:hAnsi="宋体" w:eastAsia="宋体" w:cs="宋体"/>
          <w:sz w:val="24"/>
        </w:rPr>
        <w:t>（若法定代表人办理并签</w:t>
      </w:r>
      <w:r>
        <w:rPr>
          <w:rFonts w:hint="eastAsia" w:ascii="宋体" w:hAnsi="宋体" w:cs="宋体"/>
          <w:sz w:val="24"/>
          <w:lang w:eastAsia="zh-CN"/>
        </w:rPr>
        <w:t>字比选申请文件</w:t>
      </w:r>
      <w:r>
        <w:rPr>
          <w:rFonts w:hint="eastAsia" w:ascii="宋体" w:hAnsi="宋体" w:eastAsia="宋体" w:cs="宋体"/>
          <w:sz w:val="24"/>
        </w:rPr>
        <w:t>的可不填写）</w:t>
      </w:r>
    </w:p>
    <w:p w14:paraId="5830074B">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注：</w:t>
      </w:r>
    </w:p>
    <w:p w14:paraId="3A1C45D2">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1.若为法定代表人办理并签</w:t>
      </w:r>
      <w:r>
        <w:rPr>
          <w:rFonts w:hint="eastAsia" w:ascii="宋体" w:hAnsi="宋体" w:cs="宋体"/>
          <w:sz w:val="24"/>
          <w:lang w:eastAsia="zh-CN"/>
        </w:rPr>
        <w:t>字比选申请文件</w:t>
      </w:r>
      <w:r>
        <w:rPr>
          <w:rFonts w:hint="eastAsia" w:ascii="宋体" w:hAnsi="宋体" w:eastAsia="宋体" w:cs="宋体"/>
          <w:sz w:val="24"/>
        </w:rPr>
        <w:t>的，不提供此文件。</w:t>
      </w:r>
    </w:p>
    <w:p w14:paraId="2F8D972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2.若为联合体参与的，法定代表人授权委托书由联合体主办方</w:t>
      </w:r>
      <w:r>
        <w:rPr>
          <w:rFonts w:hint="eastAsia" w:ascii="宋体" w:hAnsi="宋体" w:eastAsia="宋体" w:cs="宋体"/>
          <w:kern w:val="0"/>
          <w:sz w:val="24"/>
          <w:szCs w:val="24"/>
        </w:rPr>
        <w:t>（主体）</w:t>
      </w:r>
      <w:r>
        <w:rPr>
          <w:rFonts w:hint="eastAsia" w:ascii="宋体" w:hAnsi="宋体" w:eastAsia="宋体" w:cs="宋体"/>
          <w:sz w:val="24"/>
        </w:rPr>
        <w:t>出具。</w:t>
      </w:r>
    </w:p>
    <w:p w14:paraId="607EEBB5">
      <w:pPr>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left"/>
        <w:textAlignment w:val="auto"/>
        <w:outlineLvl w:val="9"/>
        <w:rPr>
          <w:rFonts w:hint="eastAsia" w:ascii="宋体" w:hAnsi="宋体" w:eastAsia="宋体" w:cs="宋体"/>
          <w:sz w:val="24"/>
          <w:szCs w:val="24"/>
        </w:rPr>
      </w:pPr>
      <w:r>
        <w:rPr>
          <w:rFonts w:hint="eastAsia" w:ascii="宋体" w:hAnsi="宋体" w:eastAsia="宋体" w:cs="宋体"/>
        </w:rPr>
        <w:br w:type="column"/>
      </w:r>
      <w:r>
        <w:rPr>
          <w:rFonts w:hint="eastAsia" w:ascii="宋体" w:hAnsi="宋体" w:eastAsia="宋体" w:cs="宋体"/>
          <w:sz w:val="24"/>
          <w:szCs w:val="24"/>
        </w:rPr>
        <w:t>（四）)①提供2023年或2024年度经审计的财务审计报告扫描件（至少包含报告本身以及报告中提及的财务报表）；②可提供截至</w:t>
      </w:r>
      <w:r>
        <w:rPr>
          <w:rFonts w:hint="eastAsia" w:ascii="宋体" w:hAnsi="宋体" w:cs="宋体"/>
          <w:sz w:val="24"/>
          <w:szCs w:val="24"/>
          <w:lang w:eastAsia="zh-CN"/>
        </w:rPr>
        <w:t>比选申请文件</w:t>
      </w:r>
      <w:r>
        <w:rPr>
          <w:rFonts w:hint="eastAsia" w:ascii="宋体" w:hAnsi="宋体" w:eastAsia="宋体" w:cs="宋体"/>
          <w:sz w:val="24"/>
          <w:szCs w:val="24"/>
        </w:rPr>
        <w:t>递交截止日一年内银行出具的资信证；③事业单位或成立不足一年的法人或者组织提供公司财务报表（包含资产负债表、现金流量表、利润表）和公司财务制度扫描件；④也可提供具有健全的财务会计制度的承诺函。竞选人依据自身情况，提供以上①②③④条中任意提供1条即可（有效）。</w:t>
      </w:r>
    </w:p>
    <w:p w14:paraId="26F6B648">
      <w:pPr>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4FC325CE">
      <w:pPr>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left"/>
        <w:textAlignment w:val="auto"/>
        <w:outlineLvl w:val="9"/>
        <w:rPr>
          <w:rFonts w:hint="eastAsia" w:ascii="宋体" w:hAnsi="宋体" w:eastAsia="宋体" w:cs="宋体"/>
          <w:sz w:val="24"/>
          <w:szCs w:val="24"/>
        </w:rPr>
      </w:pPr>
    </w:p>
    <w:p w14:paraId="164DE649">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3694D3CC">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D9A16FC">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62F88D2F">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5312ADA">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3943F60">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2DBD0DF">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05174BE1">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33BF596B">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09ADF492">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80F25FE">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6F8A1AC1">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2516E176">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59692FD0">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0D7352B2">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A992839">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5FDB8A4A">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10C71A56">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1B8C4491">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0D07ADEB">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AD04995">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2E12CC25">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1979C2EB">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28273CB3">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5F1B5C12">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01356DCD">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6251807E">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15FD8612">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276A904A">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65997C2">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27E848B">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5D59F139">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16884533">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76C0FB20">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29F85620">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19F656CD">
      <w:pPr>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3CB729FB">
      <w:pPr>
        <w:pStyle w:val="25"/>
        <w:pageBreakBefore w:val="0"/>
        <w:kinsoku/>
        <w:wordWrap/>
        <w:overflowPunct/>
        <w:topLinePunct w:val="0"/>
        <w:autoSpaceDE/>
        <w:autoSpaceDN/>
        <w:bidi w:val="0"/>
        <w:adjustRightInd w:val="0"/>
        <w:snapToGrid w:val="0"/>
        <w:textAlignment w:val="auto"/>
        <w:outlineLvl w:val="9"/>
        <w:rPr>
          <w:rFonts w:hint="eastAsia" w:ascii="宋体" w:hAnsi="宋体" w:eastAsia="宋体" w:cs="宋体"/>
          <w:sz w:val="24"/>
          <w:szCs w:val="24"/>
        </w:rPr>
      </w:pPr>
    </w:p>
    <w:p w14:paraId="2040412C">
      <w:pPr>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（五）</w:t>
      </w:r>
      <w:r>
        <w:rPr>
          <w:rFonts w:hint="eastAsia" w:ascii="宋体" w:hAnsi="宋体" w:cs="宋体"/>
          <w:sz w:val="24"/>
          <w:szCs w:val="24"/>
          <w:lang w:eastAsia="zh-CN"/>
        </w:rPr>
        <w:t>书面声明（格式）</w:t>
      </w:r>
    </w:p>
    <w:p w14:paraId="7FC006F2">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2" w:firstLineChars="200"/>
        <w:jc w:val="center"/>
        <w:textAlignment w:val="auto"/>
        <w:outlineLvl w:val="9"/>
        <w:rPr>
          <w:rFonts w:hint="eastAsia" w:ascii="宋体" w:hAnsi="宋体" w:eastAsia="宋体" w:cs="宋体"/>
          <w:b/>
          <w:bCs/>
          <w:sz w:val="24"/>
          <w:lang w:eastAsia="zh-CN"/>
        </w:rPr>
      </w:pPr>
      <w:r>
        <w:rPr>
          <w:rFonts w:hint="eastAsia" w:ascii="宋体" w:hAnsi="宋体" w:eastAsia="宋体" w:cs="宋体"/>
          <w:b/>
          <w:bCs/>
          <w:sz w:val="24"/>
          <w:lang w:eastAsia="zh-CN"/>
        </w:rPr>
        <w:t>书面声明</w:t>
      </w:r>
    </w:p>
    <w:p w14:paraId="4D6B61F5">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26F6D48B">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（采购代理机构名称）：</w:t>
      </w:r>
    </w:p>
    <w:p w14:paraId="445B66E0">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cs="宋体"/>
          <w:sz w:val="24"/>
          <w:highlight w:val="none"/>
          <w:u w:val="none"/>
          <w:lang w:eastAsia="zh-CN"/>
        </w:rPr>
        <w:t>（</w:t>
      </w:r>
      <w:r>
        <w:rPr>
          <w:rFonts w:hint="eastAsia" w:ascii="宋体" w:hAnsi="宋体" w:cs="宋体"/>
          <w:sz w:val="24"/>
          <w:highlight w:val="none"/>
          <w:u w:val="none"/>
          <w:lang w:val="en-US" w:eastAsia="zh-CN"/>
        </w:rPr>
        <w:t>竞选人名称）</w:t>
      </w:r>
      <w:r>
        <w:rPr>
          <w:rFonts w:hint="eastAsia" w:ascii="宋体" w:hAnsi="宋体" w:eastAsia="宋体" w:cs="宋体"/>
          <w:sz w:val="24"/>
          <w:highlight w:val="none"/>
        </w:rPr>
        <w:t>郑重承诺：</w:t>
      </w:r>
    </w:p>
    <w:p w14:paraId="74A8B48E">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1.我方具有良好的商业信誉和健全的财务会计制度，具有履行合同所必需的设备和专业技术能力，具</w:t>
      </w:r>
      <w:r>
        <w:rPr>
          <w:rFonts w:hint="eastAsia" w:ascii="宋体" w:hAnsi="宋体" w:eastAsia="宋体" w:cs="宋体"/>
          <w:sz w:val="24"/>
          <w:lang w:val="zh-CN"/>
        </w:rPr>
        <w:t>有依法缴纳税收和社会保障金的良好记录</w:t>
      </w:r>
      <w:r>
        <w:rPr>
          <w:rFonts w:hint="eastAsia" w:ascii="宋体" w:hAnsi="宋体" w:eastAsia="宋体" w:cs="宋体"/>
          <w:sz w:val="24"/>
        </w:rPr>
        <w:t>，参加本项目采购活动前三年内无重大违法活动记录。</w:t>
      </w:r>
    </w:p>
    <w:p w14:paraId="6D8FCF5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2.我方未列入在信用中国网站（www.creditchina.gov.cn）“失信被执行人”、“重大税收违法案件当事人名单”中，也未列入中国政府采购网（www.ccgp.gov.cn）“政府采购严重违法失信行为记录名单”中。</w:t>
      </w:r>
    </w:p>
    <w:p w14:paraId="66A2C2F3">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3.我方在采购项目评审（评标）环节结束后，随时接受</w:t>
      </w:r>
      <w:r>
        <w:rPr>
          <w:rFonts w:hint="eastAsia" w:ascii="宋体" w:hAnsi="宋体" w:cs="宋体"/>
          <w:sz w:val="24"/>
          <w:lang w:eastAsia="zh-CN"/>
        </w:rPr>
        <w:t>比选人</w:t>
      </w:r>
      <w:r>
        <w:rPr>
          <w:rFonts w:hint="eastAsia" w:ascii="宋体" w:hAnsi="宋体" w:eastAsia="宋体" w:cs="宋体"/>
          <w:sz w:val="24"/>
        </w:rPr>
        <w:t>、采购代理机构的检查验证，配合提供相关证明材料，证明符合《中华人民共和国政府采购法》</w:t>
      </w:r>
      <w:r>
        <w:rPr>
          <w:rFonts w:hint="eastAsia" w:ascii="宋体" w:hAnsi="宋体" w:cs="宋体"/>
          <w:sz w:val="24"/>
          <w:lang w:eastAsia="zh-CN"/>
        </w:rPr>
        <w:t>及竞争性比选文件</w:t>
      </w:r>
      <w:r>
        <w:rPr>
          <w:rFonts w:hint="eastAsia" w:ascii="宋体" w:hAnsi="宋体" w:eastAsia="宋体" w:cs="宋体"/>
          <w:sz w:val="24"/>
        </w:rPr>
        <w:t>规定的</w:t>
      </w:r>
      <w:r>
        <w:rPr>
          <w:rFonts w:hint="eastAsia" w:ascii="宋体" w:hAnsi="宋体" w:cs="宋体"/>
          <w:sz w:val="24"/>
          <w:lang w:eastAsia="zh-CN"/>
        </w:rPr>
        <w:t>竞选人</w:t>
      </w:r>
      <w:r>
        <w:rPr>
          <w:rFonts w:hint="eastAsia" w:ascii="宋体" w:hAnsi="宋体" w:eastAsia="宋体" w:cs="宋体"/>
          <w:sz w:val="24"/>
        </w:rPr>
        <w:t>基本资格条件。</w:t>
      </w:r>
    </w:p>
    <w:p w14:paraId="53FACA91">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我方对以上承诺负全部法律责任。</w:t>
      </w:r>
    </w:p>
    <w:p w14:paraId="4D5B704F">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rPr>
        <w:t>特此承诺。</w:t>
      </w:r>
    </w:p>
    <w:p w14:paraId="649426EA">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4F7798E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right"/>
        <w:textAlignment w:val="auto"/>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cs="宋体"/>
          <w:sz w:val="24"/>
          <w:lang w:eastAsia="zh-CN"/>
        </w:rPr>
        <w:t>竞选人</w:t>
      </w:r>
      <w:r>
        <w:rPr>
          <w:rFonts w:hint="eastAsia" w:ascii="宋体" w:hAnsi="宋体" w:eastAsia="宋体" w:cs="宋体"/>
          <w:sz w:val="24"/>
        </w:rPr>
        <w:t>公章）</w:t>
      </w:r>
    </w:p>
    <w:p w14:paraId="38690B78">
      <w:pPr>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right"/>
        <w:textAlignment w:val="auto"/>
        <w:outlineLvl w:val="9"/>
        <w:rPr>
          <w:rFonts w:hint="eastAsia" w:ascii="宋体" w:hAnsi="宋体" w:eastAsia="宋体" w:cs="宋体"/>
          <w:sz w:val="24"/>
          <w:szCs w:val="24"/>
        </w:rPr>
      </w:pPr>
      <w:r>
        <w:rPr>
          <w:rFonts w:hint="eastAsia" w:ascii="宋体" w:hAnsi="宋体" w:eastAsia="宋体" w:cs="宋体"/>
          <w:sz w:val="24"/>
        </w:rPr>
        <w:t>年   月   日</w:t>
      </w:r>
    </w:p>
    <w:p w14:paraId="610D202D">
      <w:pPr>
        <w:pageBreakBefore w:val="0"/>
        <w:widowControl/>
        <w:numPr>
          <w:ilvl w:val="0"/>
          <w:numId w:val="17"/>
        </w:numPr>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sz w:val="24"/>
          <w:szCs w:val="24"/>
        </w:rPr>
      </w:pPr>
      <w:r>
        <w:rPr>
          <w:rFonts w:hint="eastAsia" w:ascii="宋体" w:hAnsi="宋体" w:eastAsia="宋体" w:cs="宋体"/>
        </w:rPr>
        <w:br w:type="page"/>
      </w:r>
      <w:r>
        <w:rPr>
          <w:rFonts w:hint="eastAsia" w:ascii="宋体" w:hAnsi="宋体" w:eastAsia="宋体" w:cs="宋体"/>
          <w:sz w:val="24"/>
          <w:szCs w:val="24"/>
        </w:rPr>
        <w:t>缴纳社会保障金的证明材料复印件[缴纳社会保障金的证明材料指:社会保险登记证或缴纳社会保险的凭据(专用收据或社会保险缴纳清单)]。依法免税或不需要缴纳社会保障资金的</w:t>
      </w:r>
      <w:r>
        <w:rPr>
          <w:rFonts w:hint="eastAsia" w:ascii="宋体" w:hAnsi="宋体" w:cs="宋体"/>
          <w:sz w:val="24"/>
          <w:szCs w:val="24"/>
          <w:lang w:eastAsia="zh-CN"/>
        </w:rPr>
        <w:t>竞选人</w:t>
      </w:r>
      <w:r>
        <w:rPr>
          <w:rFonts w:hint="eastAsia" w:ascii="宋体" w:hAnsi="宋体" w:eastAsia="宋体" w:cs="宋体"/>
          <w:sz w:val="24"/>
          <w:szCs w:val="24"/>
        </w:rPr>
        <w:t>，应提供相应文件证明其依法免税或不需要缴纳社会保障资金。</w:t>
      </w:r>
    </w:p>
    <w:p w14:paraId="63C46C5D">
      <w:pPr>
        <w:pStyle w:val="25"/>
        <w:pageBreakBefore w:val="0"/>
        <w:widowControl w:val="0"/>
        <w:numPr>
          <w:ilvl w:val="0"/>
          <w:numId w:val="0"/>
        </w:numPr>
        <w:kinsoku/>
        <w:wordWrap/>
        <w:overflowPunct/>
        <w:topLinePunct w:val="0"/>
        <w:autoSpaceDE/>
        <w:autoSpaceDN/>
        <w:bidi w:val="0"/>
        <w:adjustRightInd w:val="0"/>
        <w:snapToGrid w:val="0"/>
        <w:jc w:val="both"/>
        <w:textAlignment w:val="auto"/>
        <w:outlineLvl w:val="9"/>
        <w:rPr>
          <w:rFonts w:hint="eastAsia"/>
        </w:rPr>
      </w:pPr>
    </w:p>
    <w:p w14:paraId="32B64ECC">
      <w:pPr>
        <w:pageBreakBefore w:val="0"/>
        <w:kinsoku/>
        <w:wordWrap/>
        <w:overflowPunct/>
        <w:topLinePunct w:val="0"/>
        <w:autoSpaceDE/>
        <w:autoSpaceDN/>
        <w:bidi w:val="0"/>
        <w:adjustRightInd w:val="0"/>
        <w:snapToGrid w:val="0"/>
        <w:textAlignment w:val="auto"/>
        <w:outlineLvl w:val="9"/>
        <w:rPr>
          <w:rFonts w:hint="eastAsia"/>
        </w:rPr>
      </w:pPr>
    </w:p>
    <w:p w14:paraId="3B0A111F">
      <w:pPr>
        <w:pStyle w:val="25"/>
        <w:pageBreakBefore w:val="0"/>
        <w:kinsoku/>
        <w:wordWrap/>
        <w:overflowPunct/>
        <w:topLinePunct w:val="0"/>
        <w:autoSpaceDE/>
        <w:autoSpaceDN/>
        <w:bidi w:val="0"/>
        <w:adjustRightInd w:val="0"/>
        <w:snapToGrid w:val="0"/>
        <w:textAlignment w:val="auto"/>
        <w:outlineLvl w:val="9"/>
        <w:rPr>
          <w:rFonts w:hint="eastAsia"/>
        </w:rPr>
      </w:pPr>
    </w:p>
    <w:p w14:paraId="022FD398">
      <w:pPr>
        <w:pageBreakBefore w:val="0"/>
        <w:kinsoku/>
        <w:wordWrap/>
        <w:overflowPunct/>
        <w:topLinePunct w:val="0"/>
        <w:autoSpaceDE/>
        <w:autoSpaceDN/>
        <w:bidi w:val="0"/>
        <w:adjustRightInd w:val="0"/>
        <w:snapToGrid w:val="0"/>
        <w:textAlignment w:val="auto"/>
        <w:outlineLvl w:val="9"/>
        <w:rPr>
          <w:rFonts w:hint="eastAsia"/>
        </w:rPr>
      </w:pPr>
    </w:p>
    <w:p w14:paraId="3103F4D7">
      <w:pPr>
        <w:pStyle w:val="25"/>
        <w:pageBreakBefore w:val="0"/>
        <w:kinsoku/>
        <w:wordWrap/>
        <w:overflowPunct/>
        <w:topLinePunct w:val="0"/>
        <w:autoSpaceDE/>
        <w:autoSpaceDN/>
        <w:bidi w:val="0"/>
        <w:adjustRightInd w:val="0"/>
        <w:snapToGrid w:val="0"/>
        <w:textAlignment w:val="auto"/>
        <w:outlineLvl w:val="9"/>
        <w:rPr>
          <w:rFonts w:hint="eastAsia"/>
        </w:rPr>
      </w:pPr>
    </w:p>
    <w:p w14:paraId="00ACC89F">
      <w:pPr>
        <w:pageBreakBefore w:val="0"/>
        <w:kinsoku/>
        <w:wordWrap/>
        <w:overflowPunct/>
        <w:topLinePunct w:val="0"/>
        <w:autoSpaceDE/>
        <w:autoSpaceDN/>
        <w:bidi w:val="0"/>
        <w:adjustRightInd w:val="0"/>
        <w:snapToGrid w:val="0"/>
        <w:textAlignment w:val="auto"/>
        <w:outlineLvl w:val="9"/>
        <w:rPr>
          <w:rFonts w:hint="eastAsia"/>
        </w:rPr>
      </w:pPr>
    </w:p>
    <w:p w14:paraId="2FB45625">
      <w:pPr>
        <w:pStyle w:val="25"/>
        <w:pageBreakBefore w:val="0"/>
        <w:kinsoku/>
        <w:wordWrap/>
        <w:overflowPunct/>
        <w:topLinePunct w:val="0"/>
        <w:autoSpaceDE/>
        <w:autoSpaceDN/>
        <w:bidi w:val="0"/>
        <w:adjustRightInd w:val="0"/>
        <w:snapToGrid w:val="0"/>
        <w:textAlignment w:val="auto"/>
        <w:outlineLvl w:val="9"/>
        <w:rPr>
          <w:rFonts w:hint="eastAsia"/>
        </w:rPr>
      </w:pPr>
    </w:p>
    <w:p w14:paraId="486E3153">
      <w:pPr>
        <w:pageBreakBefore w:val="0"/>
        <w:kinsoku/>
        <w:wordWrap/>
        <w:overflowPunct/>
        <w:topLinePunct w:val="0"/>
        <w:autoSpaceDE/>
        <w:autoSpaceDN/>
        <w:bidi w:val="0"/>
        <w:adjustRightInd w:val="0"/>
        <w:snapToGrid w:val="0"/>
        <w:textAlignment w:val="auto"/>
        <w:outlineLvl w:val="9"/>
        <w:rPr>
          <w:rFonts w:hint="eastAsia"/>
        </w:rPr>
      </w:pPr>
    </w:p>
    <w:p w14:paraId="3C06E720">
      <w:pPr>
        <w:pStyle w:val="25"/>
        <w:pageBreakBefore w:val="0"/>
        <w:kinsoku/>
        <w:wordWrap/>
        <w:overflowPunct/>
        <w:topLinePunct w:val="0"/>
        <w:autoSpaceDE/>
        <w:autoSpaceDN/>
        <w:bidi w:val="0"/>
        <w:adjustRightInd w:val="0"/>
        <w:snapToGrid w:val="0"/>
        <w:textAlignment w:val="auto"/>
        <w:outlineLvl w:val="9"/>
        <w:rPr>
          <w:rFonts w:hint="eastAsia"/>
        </w:rPr>
      </w:pPr>
    </w:p>
    <w:p w14:paraId="0C211052">
      <w:pPr>
        <w:pageBreakBefore w:val="0"/>
        <w:kinsoku/>
        <w:wordWrap/>
        <w:overflowPunct/>
        <w:topLinePunct w:val="0"/>
        <w:autoSpaceDE/>
        <w:autoSpaceDN/>
        <w:bidi w:val="0"/>
        <w:adjustRightInd w:val="0"/>
        <w:snapToGrid w:val="0"/>
        <w:textAlignment w:val="auto"/>
        <w:outlineLvl w:val="9"/>
        <w:rPr>
          <w:rFonts w:hint="eastAsia"/>
        </w:rPr>
      </w:pPr>
    </w:p>
    <w:p w14:paraId="422164AD">
      <w:pPr>
        <w:pStyle w:val="25"/>
        <w:pageBreakBefore w:val="0"/>
        <w:kinsoku/>
        <w:wordWrap/>
        <w:overflowPunct/>
        <w:topLinePunct w:val="0"/>
        <w:autoSpaceDE/>
        <w:autoSpaceDN/>
        <w:bidi w:val="0"/>
        <w:adjustRightInd w:val="0"/>
        <w:snapToGrid w:val="0"/>
        <w:textAlignment w:val="auto"/>
        <w:outlineLvl w:val="9"/>
        <w:rPr>
          <w:rFonts w:hint="eastAsia"/>
        </w:rPr>
      </w:pPr>
    </w:p>
    <w:p w14:paraId="5BD9A544">
      <w:pPr>
        <w:pageBreakBefore w:val="0"/>
        <w:kinsoku/>
        <w:wordWrap/>
        <w:overflowPunct/>
        <w:topLinePunct w:val="0"/>
        <w:autoSpaceDE/>
        <w:autoSpaceDN/>
        <w:bidi w:val="0"/>
        <w:adjustRightInd w:val="0"/>
        <w:snapToGrid w:val="0"/>
        <w:textAlignment w:val="auto"/>
        <w:outlineLvl w:val="9"/>
        <w:rPr>
          <w:rFonts w:hint="eastAsia"/>
        </w:rPr>
      </w:pPr>
    </w:p>
    <w:p w14:paraId="61B3DD48">
      <w:pPr>
        <w:pStyle w:val="25"/>
        <w:pageBreakBefore w:val="0"/>
        <w:kinsoku/>
        <w:wordWrap/>
        <w:overflowPunct/>
        <w:topLinePunct w:val="0"/>
        <w:autoSpaceDE/>
        <w:autoSpaceDN/>
        <w:bidi w:val="0"/>
        <w:adjustRightInd w:val="0"/>
        <w:snapToGrid w:val="0"/>
        <w:textAlignment w:val="auto"/>
        <w:outlineLvl w:val="9"/>
        <w:rPr>
          <w:rFonts w:hint="eastAsia"/>
        </w:rPr>
      </w:pPr>
    </w:p>
    <w:p w14:paraId="523B740F">
      <w:pPr>
        <w:pageBreakBefore w:val="0"/>
        <w:kinsoku/>
        <w:wordWrap/>
        <w:overflowPunct/>
        <w:topLinePunct w:val="0"/>
        <w:autoSpaceDE/>
        <w:autoSpaceDN/>
        <w:bidi w:val="0"/>
        <w:adjustRightInd w:val="0"/>
        <w:snapToGrid w:val="0"/>
        <w:textAlignment w:val="auto"/>
        <w:outlineLvl w:val="9"/>
        <w:rPr>
          <w:rFonts w:hint="eastAsia"/>
        </w:rPr>
      </w:pPr>
    </w:p>
    <w:p w14:paraId="4272E419">
      <w:pPr>
        <w:pStyle w:val="25"/>
        <w:pageBreakBefore w:val="0"/>
        <w:kinsoku/>
        <w:wordWrap/>
        <w:overflowPunct/>
        <w:topLinePunct w:val="0"/>
        <w:autoSpaceDE/>
        <w:autoSpaceDN/>
        <w:bidi w:val="0"/>
        <w:adjustRightInd w:val="0"/>
        <w:snapToGrid w:val="0"/>
        <w:textAlignment w:val="auto"/>
        <w:outlineLvl w:val="9"/>
        <w:rPr>
          <w:rFonts w:hint="eastAsia"/>
        </w:rPr>
      </w:pPr>
    </w:p>
    <w:p w14:paraId="2EF6C817">
      <w:pPr>
        <w:pageBreakBefore w:val="0"/>
        <w:kinsoku/>
        <w:wordWrap/>
        <w:overflowPunct/>
        <w:topLinePunct w:val="0"/>
        <w:autoSpaceDE/>
        <w:autoSpaceDN/>
        <w:bidi w:val="0"/>
        <w:adjustRightInd w:val="0"/>
        <w:snapToGrid w:val="0"/>
        <w:textAlignment w:val="auto"/>
        <w:outlineLvl w:val="9"/>
        <w:rPr>
          <w:rFonts w:hint="eastAsia"/>
        </w:rPr>
      </w:pPr>
    </w:p>
    <w:p w14:paraId="0BEB35CB">
      <w:pPr>
        <w:pStyle w:val="25"/>
        <w:pageBreakBefore w:val="0"/>
        <w:kinsoku/>
        <w:wordWrap/>
        <w:overflowPunct/>
        <w:topLinePunct w:val="0"/>
        <w:autoSpaceDE/>
        <w:autoSpaceDN/>
        <w:bidi w:val="0"/>
        <w:adjustRightInd w:val="0"/>
        <w:snapToGrid w:val="0"/>
        <w:textAlignment w:val="auto"/>
        <w:outlineLvl w:val="9"/>
        <w:rPr>
          <w:rFonts w:hint="eastAsia"/>
        </w:rPr>
      </w:pPr>
    </w:p>
    <w:p w14:paraId="4371FEA5">
      <w:pPr>
        <w:pageBreakBefore w:val="0"/>
        <w:kinsoku/>
        <w:wordWrap/>
        <w:overflowPunct/>
        <w:topLinePunct w:val="0"/>
        <w:autoSpaceDE/>
        <w:autoSpaceDN/>
        <w:bidi w:val="0"/>
        <w:adjustRightInd w:val="0"/>
        <w:snapToGrid w:val="0"/>
        <w:textAlignment w:val="auto"/>
        <w:outlineLvl w:val="9"/>
        <w:rPr>
          <w:rFonts w:hint="eastAsia"/>
        </w:rPr>
      </w:pPr>
    </w:p>
    <w:p w14:paraId="01FA83BC">
      <w:pPr>
        <w:pStyle w:val="25"/>
        <w:pageBreakBefore w:val="0"/>
        <w:kinsoku/>
        <w:wordWrap/>
        <w:overflowPunct/>
        <w:topLinePunct w:val="0"/>
        <w:autoSpaceDE/>
        <w:autoSpaceDN/>
        <w:bidi w:val="0"/>
        <w:adjustRightInd w:val="0"/>
        <w:snapToGrid w:val="0"/>
        <w:textAlignment w:val="auto"/>
        <w:outlineLvl w:val="9"/>
        <w:rPr>
          <w:rFonts w:hint="eastAsia"/>
        </w:rPr>
      </w:pPr>
    </w:p>
    <w:p w14:paraId="31A1E2A7">
      <w:pPr>
        <w:pageBreakBefore w:val="0"/>
        <w:kinsoku/>
        <w:wordWrap/>
        <w:overflowPunct/>
        <w:topLinePunct w:val="0"/>
        <w:autoSpaceDE/>
        <w:autoSpaceDN/>
        <w:bidi w:val="0"/>
        <w:adjustRightInd w:val="0"/>
        <w:snapToGrid w:val="0"/>
        <w:textAlignment w:val="auto"/>
        <w:outlineLvl w:val="9"/>
        <w:rPr>
          <w:rFonts w:hint="eastAsia"/>
        </w:rPr>
      </w:pPr>
    </w:p>
    <w:p w14:paraId="7E308BD0">
      <w:pPr>
        <w:pStyle w:val="25"/>
        <w:pageBreakBefore w:val="0"/>
        <w:kinsoku/>
        <w:wordWrap/>
        <w:overflowPunct/>
        <w:topLinePunct w:val="0"/>
        <w:autoSpaceDE/>
        <w:autoSpaceDN/>
        <w:bidi w:val="0"/>
        <w:adjustRightInd w:val="0"/>
        <w:snapToGrid w:val="0"/>
        <w:textAlignment w:val="auto"/>
        <w:outlineLvl w:val="9"/>
        <w:rPr>
          <w:rFonts w:hint="eastAsia"/>
        </w:rPr>
      </w:pPr>
    </w:p>
    <w:p w14:paraId="41405943">
      <w:pPr>
        <w:pageBreakBefore w:val="0"/>
        <w:kinsoku/>
        <w:wordWrap/>
        <w:overflowPunct/>
        <w:topLinePunct w:val="0"/>
        <w:autoSpaceDE/>
        <w:autoSpaceDN/>
        <w:bidi w:val="0"/>
        <w:adjustRightInd w:val="0"/>
        <w:snapToGrid w:val="0"/>
        <w:textAlignment w:val="auto"/>
        <w:outlineLvl w:val="9"/>
        <w:rPr>
          <w:rFonts w:hint="eastAsia"/>
        </w:rPr>
      </w:pPr>
    </w:p>
    <w:p w14:paraId="60A1BA57">
      <w:pPr>
        <w:pStyle w:val="25"/>
        <w:pageBreakBefore w:val="0"/>
        <w:kinsoku/>
        <w:wordWrap/>
        <w:overflowPunct/>
        <w:topLinePunct w:val="0"/>
        <w:autoSpaceDE/>
        <w:autoSpaceDN/>
        <w:bidi w:val="0"/>
        <w:adjustRightInd w:val="0"/>
        <w:snapToGrid w:val="0"/>
        <w:textAlignment w:val="auto"/>
        <w:outlineLvl w:val="9"/>
        <w:rPr>
          <w:rFonts w:hint="eastAsia"/>
        </w:rPr>
      </w:pPr>
    </w:p>
    <w:p w14:paraId="3FE9AEC7">
      <w:pPr>
        <w:pageBreakBefore w:val="0"/>
        <w:kinsoku/>
        <w:wordWrap/>
        <w:overflowPunct/>
        <w:topLinePunct w:val="0"/>
        <w:autoSpaceDE/>
        <w:autoSpaceDN/>
        <w:bidi w:val="0"/>
        <w:adjustRightInd w:val="0"/>
        <w:snapToGrid w:val="0"/>
        <w:textAlignment w:val="auto"/>
        <w:outlineLvl w:val="9"/>
        <w:rPr>
          <w:rFonts w:hint="eastAsia"/>
        </w:rPr>
      </w:pPr>
    </w:p>
    <w:p w14:paraId="023C0FEC">
      <w:pPr>
        <w:pStyle w:val="25"/>
        <w:pageBreakBefore w:val="0"/>
        <w:kinsoku/>
        <w:wordWrap/>
        <w:overflowPunct/>
        <w:topLinePunct w:val="0"/>
        <w:autoSpaceDE/>
        <w:autoSpaceDN/>
        <w:bidi w:val="0"/>
        <w:adjustRightInd w:val="0"/>
        <w:snapToGrid w:val="0"/>
        <w:textAlignment w:val="auto"/>
        <w:outlineLvl w:val="9"/>
        <w:rPr>
          <w:rFonts w:hint="eastAsia"/>
        </w:rPr>
      </w:pPr>
    </w:p>
    <w:p w14:paraId="6BDE788D">
      <w:pPr>
        <w:pageBreakBefore w:val="0"/>
        <w:kinsoku/>
        <w:wordWrap/>
        <w:overflowPunct/>
        <w:topLinePunct w:val="0"/>
        <w:autoSpaceDE/>
        <w:autoSpaceDN/>
        <w:bidi w:val="0"/>
        <w:adjustRightInd w:val="0"/>
        <w:snapToGrid w:val="0"/>
        <w:textAlignment w:val="auto"/>
        <w:outlineLvl w:val="9"/>
        <w:rPr>
          <w:rFonts w:hint="eastAsia"/>
        </w:rPr>
      </w:pPr>
    </w:p>
    <w:p w14:paraId="3569C428">
      <w:pPr>
        <w:pStyle w:val="25"/>
        <w:pageBreakBefore w:val="0"/>
        <w:kinsoku/>
        <w:wordWrap/>
        <w:overflowPunct/>
        <w:topLinePunct w:val="0"/>
        <w:autoSpaceDE/>
        <w:autoSpaceDN/>
        <w:bidi w:val="0"/>
        <w:adjustRightInd w:val="0"/>
        <w:snapToGrid w:val="0"/>
        <w:textAlignment w:val="auto"/>
        <w:outlineLvl w:val="9"/>
        <w:rPr>
          <w:rFonts w:hint="eastAsia"/>
        </w:rPr>
      </w:pPr>
    </w:p>
    <w:p w14:paraId="62140341">
      <w:pPr>
        <w:pageBreakBefore w:val="0"/>
        <w:kinsoku/>
        <w:wordWrap/>
        <w:overflowPunct/>
        <w:topLinePunct w:val="0"/>
        <w:autoSpaceDE/>
        <w:autoSpaceDN/>
        <w:bidi w:val="0"/>
        <w:adjustRightInd w:val="0"/>
        <w:snapToGrid w:val="0"/>
        <w:textAlignment w:val="auto"/>
        <w:outlineLvl w:val="9"/>
        <w:rPr>
          <w:rFonts w:hint="eastAsia"/>
        </w:rPr>
      </w:pPr>
    </w:p>
    <w:p w14:paraId="5ED6C703">
      <w:pPr>
        <w:pStyle w:val="25"/>
        <w:pageBreakBefore w:val="0"/>
        <w:kinsoku/>
        <w:wordWrap/>
        <w:overflowPunct/>
        <w:topLinePunct w:val="0"/>
        <w:autoSpaceDE/>
        <w:autoSpaceDN/>
        <w:bidi w:val="0"/>
        <w:adjustRightInd w:val="0"/>
        <w:snapToGrid w:val="0"/>
        <w:textAlignment w:val="auto"/>
        <w:outlineLvl w:val="9"/>
        <w:rPr>
          <w:rFonts w:hint="eastAsia"/>
        </w:rPr>
      </w:pPr>
    </w:p>
    <w:p w14:paraId="4A2CC48B">
      <w:pPr>
        <w:pageBreakBefore w:val="0"/>
        <w:kinsoku/>
        <w:wordWrap/>
        <w:overflowPunct/>
        <w:topLinePunct w:val="0"/>
        <w:autoSpaceDE/>
        <w:autoSpaceDN/>
        <w:bidi w:val="0"/>
        <w:adjustRightInd w:val="0"/>
        <w:snapToGrid w:val="0"/>
        <w:textAlignment w:val="auto"/>
        <w:outlineLvl w:val="9"/>
        <w:rPr>
          <w:rFonts w:hint="eastAsia"/>
        </w:rPr>
      </w:pPr>
    </w:p>
    <w:p w14:paraId="59D602A9">
      <w:pPr>
        <w:pStyle w:val="25"/>
        <w:pageBreakBefore w:val="0"/>
        <w:kinsoku/>
        <w:wordWrap/>
        <w:overflowPunct/>
        <w:topLinePunct w:val="0"/>
        <w:autoSpaceDE/>
        <w:autoSpaceDN/>
        <w:bidi w:val="0"/>
        <w:adjustRightInd w:val="0"/>
        <w:snapToGrid w:val="0"/>
        <w:textAlignment w:val="auto"/>
        <w:outlineLvl w:val="9"/>
        <w:rPr>
          <w:rFonts w:hint="eastAsia"/>
        </w:rPr>
      </w:pPr>
    </w:p>
    <w:p w14:paraId="70F6EFFC">
      <w:pPr>
        <w:pageBreakBefore w:val="0"/>
        <w:kinsoku/>
        <w:wordWrap/>
        <w:overflowPunct/>
        <w:topLinePunct w:val="0"/>
        <w:autoSpaceDE/>
        <w:autoSpaceDN/>
        <w:bidi w:val="0"/>
        <w:adjustRightInd w:val="0"/>
        <w:snapToGrid w:val="0"/>
        <w:textAlignment w:val="auto"/>
        <w:outlineLvl w:val="9"/>
        <w:rPr>
          <w:rFonts w:hint="eastAsia"/>
        </w:rPr>
      </w:pPr>
    </w:p>
    <w:p w14:paraId="7E8EB13B">
      <w:pPr>
        <w:pStyle w:val="25"/>
        <w:pageBreakBefore w:val="0"/>
        <w:kinsoku/>
        <w:wordWrap/>
        <w:overflowPunct/>
        <w:topLinePunct w:val="0"/>
        <w:autoSpaceDE/>
        <w:autoSpaceDN/>
        <w:bidi w:val="0"/>
        <w:adjustRightInd w:val="0"/>
        <w:snapToGrid w:val="0"/>
        <w:textAlignment w:val="auto"/>
        <w:outlineLvl w:val="9"/>
        <w:rPr>
          <w:rFonts w:hint="eastAsia"/>
        </w:rPr>
      </w:pPr>
    </w:p>
    <w:p w14:paraId="13101F96">
      <w:pPr>
        <w:pageBreakBefore w:val="0"/>
        <w:kinsoku/>
        <w:wordWrap/>
        <w:overflowPunct/>
        <w:topLinePunct w:val="0"/>
        <w:autoSpaceDE/>
        <w:autoSpaceDN/>
        <w:bidi w:val="0"/>
        <w:adjustRightInd w:val="0"/>
        <w:snapToGrid w:val="0"/>
        <w:textAlignment w:val="auto"/>
        <w:outlineLvl w:val="9"/>
        <w:rPr>
          <w:rFonts w:hint="eastAsia"/>
        </w:rPr>
      </w:pPr>
    </w:p>
    <w:p w14:paraId="3DFA1FBA">
      <w:pPr>
        <w:pStyle w:val="25"/>
        <w:pageBreakBefore w:val="0"/>
        <w:kinsoku/>
        <w:wordWrap/>
        <w:overflowPunct/>
        <w:topLinePunct w:val="0"/>
        <w:autoSpaceDE/>
        <w:autoSpaceDN/>
        <w:bidi w:val="0"/>
        <w:adjustRightInd w:val="0"/>
        <w:snapToGrid w:val="0"/>
        <w:textAlignment w:val="auto"/>
        <w:outlineLvl w:val="9"/>
        <w:rPr>
          <w:rFonts w:hint="eastAsia"/>
        </w:rPr>
      </w:pPr>
    </w:p>
    <w:p w14:paraId="21865106">
      <w:pPr>
        <w:pageBreakBefore w:val="0"/>
        <w:widowControl/>
        <w:numPr>
          <w:ilvl w:val="0"/>
          <w:numId w:val="17"/>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特定资格条件证书或证明文件</w:t>
      </w:r>
    </w:p>
    <w:p w14:paraId="52DAB88F">
      <w:pPr>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1C3E5CAC">
      <w:pPr>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left"/>
        <w:textAlignment w:val="auto"/>
        <w:outlineLvl w:val="9"/>
        <w:rPr>
          <w:rFonts w:hint="eastAsia" w:ascii="宋体" w:hAnsi="宋体" w:eastAsia="宋体" w:cs="宋体"/>
          <w:sz w:val="24"/>
          <w:szCs w:val="24"/>
        </w:rPr>
      </w:pPr>
    </w:p>
    <w:p w14:paraId="25AE8979">
      <w:pPr>
        <w:pageBreakBefore w:val="0"/>
        <w:kinsoku/>
        <w:wordWrap/>
        <w:overflowPunct/>
        <w:topLinePunct w:val="0"/>
        <w:autoSpaceDE/>
        <w:autoSpaceDN/>
        <w:bidi w:val="0"/>
        <w:adjustRightInd w:val="0"/>
        <w:snapToGrid w:val="0"/>
        <w:spacing w:before="0" w:beforeLines="0" w:after="0" w:afterLines="0" w:line="360" w:lineRule="auto"/>
        <w:ind w:left="0" w:leftChars="0" w:right="0" w:rightChars="0" w:firstLine="480" w:firstLineChars="200"/>
        <w:jc w:val="left"/>
        <w:textAlignment w:val="auto"/>
        <w:outlineLvl w:val="9"/>
        <w:rPr>
          <w:rFonts w:hint="eastAsia" w:ascii="宋体" w:hAnsi="宋体" w:eastAsia="宋体" w:cs="宋体"/>
          <w:sz w:val="24"/>
        </w:rPr>
      </w:pPr>
      <w:r>
        <w:rPr>
          <w:rFonts w:hint="eastAsia" w:ascii="宋体" w:hAnsi="宋体" w:eastAsia="宋体" w:cs="宋体"/>
          <w:sz w:val="24"/>
          <w:szCs w:val="24"/>
        </w:rPr>
        <w:br w:type="page"/>
      </w:r>
      <w:bookmarkStart w:id="173" w:name="_Toc17010"/>
      <w:bookmarkStart w:id="174" w:name="_Toc106034663"/>
      <w:bookmarkStart w:id="175" w:name="_Toc65660383"/>
      <w:bookmarkStart w:id="176" w:name="_Toc2080"/>
      <w:r>
        <w:rPr>
          <w:rFonts w:hint="eastAsia" w:ascii="宋体" w:hAnsi="宋体" w:eastAsia="宋体" w:cs="宋体"/>
          <w:sz w:val="24"/>
        </w:rPr>
        <w:t>五、</w:t>
      </w:r>
      <w:bookmarkEnd w:id="170"/>
      <w:bookmarkEnd w:id="171"/>
      <w:bookmarkEnd w:id="172"/>
      <w:r>
        <w:rPr>
          <w:rFonts w:hint="eastAsia" w:ascii="宋体" w:hAnsi="宋体" w:eastAsia="宋体" w:cs="宋体"/>
          <w:sz w:val="24"/>
        </w:rPr>
        <w:t>其他资料</w:t>
      </w:r>
      <w:bookmarkEnd w:id="173"/>
      <w:bookmarkEnd w:id="174"/>
      <w:bookmarkEnd w:id="175"/>
      <w:bookmarkEnd w:id="176"/>
    </w:p>
    <w:p w14:paraId="7C35DDFD">
      <w:pPr>
        <w:pageBreakBefore w:val="0"/>
        <w:tabs>
          <w:tab w:val="left" w:pos="6300"/>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rPr>
      </w:pPr>
    </w:p>
    <w:p w14:paraId="3A5C03F8">
      <w:pPr>
        <w:pageBreakBefore w:val="0"/>
        <w:widowControl/>
        <w:kinsoku/>
        <w:wordWrap/>
        <w:overflowPunct/>
        <w:topLinePunct w:val="0"/>
        <w:autoSpaceDE/>
        <w:autoSpaceDN/>
        <w:bidi w:val="0"/>
        <w:adjustRightInd w:val="0"/>
        <w:snapToGrid w:val="0"/>
        <w:spacing w:line="360" w:lineRule="auto"/>
        <w:ind w:right="0" w:rightChars="0"/>
        <w:jc w:val="left"/>
        <w:textAlignment w:val="auto"/>
        <w:outlineLvl w:val="9"/>
        <w:rPr>
          <w:rFonts w:hint="eastAsia" w:ascii="宋体" w:hAnsi="宋体" w:eastAsia="宋体" w:cs="宋体"/>
          <w:sz w:val="24"/>
          <w:szCs w:val="24"/>
        </w:rPr>
      </w:pPr>
    </w:p>
    <w:p w14:paraId="5E763141">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58B6AB4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76ABE8C6">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18BD5663">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7C359837">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369E7C5B">
      <w:pPr>
        <w:pageBreakBefore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p>
    <w:p w14:paraId="0304F116">
      <w:pPr>
        <w:pageBreakBefore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宋体" w:hAnsi="宋体" w:eastAsia="宋体" w:cs="宋体"/>
        </w:rPr>
      </w:pPr>
      <w:r>
        <w:rPr>
          <w:rFonts w:hint="eastAsia" w:ascii="宋体" w:hAnsi="宋体" w:eastAsia="宋体" w:cs="宋体"/>
        </w:rPr>
        <w:t>（结束）</w:t>
      </w:r>
    </w:p>
    <w:p w14:paraId="3619D65C"/>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20B0609010101010101"/>
    <w:charset w:val="86"/>
    <w:family w:val="modern"/>
    <w:pitch w:val="default"/>
    <w:sig w:usb0="00000000" w:usb1="00000000" w:usb2="0000001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embedRegular r:id="rId1" w:fontKey="{3580B116-3FD6-40BC-8276-251664B0969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01CA9">
    <w:pPr>
      <w:pStyle w:val="3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DCB58">
                          <w:pPr>
                            <w:pStyle w:val="38"/>
                            <w:jc w:val="center"/>
                            <w:rPr>
                              <w:rStyle w:val="63"/>
                              <w:rFonts w:hint="eastAsia"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- 18 -</w:t>
                          </w:r>
                          <w:r>
                            <w:rPr>
                              <w:rFonts w:asci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C0DCB58">
                    <w:pPr>
                      <w:pStyle w:val="38"/>
                      <w:jc w:val="center"/>
                      <w:rPr>
                        <w:rStyle w:val="63"/>
                        <w:rFonts w:hint="eastAsia"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- 18 -</w:t>
                    </w:r>
                    <w:r>
                      <w:rPr>
                        <w:rFonts w:asci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2A966">
    <w:pPr>
      <w:pStyle w:val="38"/>
      <w:jc w:val="center"/>
      <w:rPr>
        <w:rFonts w:hint="eastAsia"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04D08">
                          <w:pPr>
                            <w:pStyle w:val="38"/>
                            <w:jc w:val="cente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- 22 -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CB04D08">
                    <w:pPr>
                      <w:pStyle w:val="38"/>
                      <w:jc w:val="cente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- 22 -</w:t>
                    </w:r>
                    <w:r>
                      <w:rPr>
                        <w:rFonts w:ascii="宋体" w:hAnsi="宋体"/>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86B95">
    <w:pPr>
      <w:pStyle w:val="38"/>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3AFFFF8E">
    <w:pPr>
      <w:pStyle w:val="3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385B0">
    <w:pPr>
      <w:pStyle w:val="39"/>
      <w:jc w:val="both"/>
      <w:rPr>
        <w:rFonts w:hint="eastAsia" w:ascii="方正仿宋_GBK" w:eastAsia="方正仿宋_GBK"/>
        <w:sz w:val="21"/>
        <w:szCs w:val="21"/>
        <w:lang w:eastAsia="zh-CN"/>
      </w:rPr>
    </w:pPr>
    <w:r>
      <w:rPr>
        <w:rFonts w:hint="eastAsia" w:ascii="方正仿宋_GBK" w:eastAsia="方正仿宋_GBK"/>
        <w:sz w:val="21"/>
        <w:szCs w:val="21"/>
      </w:rPr>
      <w:t xml:space="preserve">                                                                       </w:t>
    </w:r>
    <w:r>
      <w:rPr>
        <w:rFonts w:hint="eastAsia" w:ascii="方正仿宋_GBK" w:eastAsia="方正仿宋_GBK"/>
        <w:sz w:val="21"/>
        <w:szCs w:val="21"/>
        <w:lang w:eastAsia="zh-CN"/>
      </w:rPr>
      <w:t>竞争性比选文件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D1B59"/>
    <w:multiLevelType w:val="singleLevel"/>
    <w:tmpl w:val="8EFD1B59"/>
    <w:lvl w:ilvl="0" w:tentative="0">
      <w:start w:val="5"/>
      <w:numFmt w:val="chineseCounting"/>
      <w:suff w:val="nothing"/>
      <w:lvlText w:val="（%1）"/>
      <w:lvlJc w:val="left"/>
      <w:rPr>
        <w:rFonts w:hint="eastAsia"/>
      </w:rPr>
    </w:lvl>
  </w:abstractNum>
  <w:abstractNum w:abstractNumId="1">
    <w:nsid w:val="B8781B00"/>
    <w:multiLevelType w:val="singleLevel"/>
    <w:tmpl w:val="B8781B00"/>
    <w:lvl w:ilvl="0" w:tentative="0">
      <w:start w:val="2"/>
      <w:numFmt w:val="chineseCounting"/>
      <w:suff w:val="nothing"/>
      <w:lvlText w:val="%1、"/>
      <w:lvlJc w:val="left"/>
      <w:rPr>
        <w:rFonts w:hint="eastAsia"/>
      </w:rPr>
    </w:lvl>
  </w:abstractNum>
  <w:abstractNum w:abstractNumId="2">
    <w:nsid w:val="00000009"/>
    <w:multiLevelType w:val="multilevel"/>
    <w:tmpl w:val="00000009"/>
    <w:lvl w:ilvl="0" w:tentative="0">
      <w:start w:val="1"/>
      <w:numFmt w:val="upperLetter"/>
      <w:pStyle w:val="152"/>
      <w:suff w:val="nothing"/>
      <w:lvlText w:val="附　录　%1"/>
      <w:lvlJc w:val="left"/>
      <w:pPr>
        <w:ind w:left="0" w:firstLine="0"/>
      </w:pPr>
      <w:rPr>
        <w:rFonts w:hint="eastAsia" w:ascii="黑体" w:hAnsi="Times New Roman" w:eastAsia="黑体"/>
        <w:b w:val="0"/>
        <w:i w:val="0"/>
        <w:sz w:val="21"/>
      </w:rPr>
    </w:lvl>
    <w:lvl w:ilvl="1" w:tentative="0">
      <w:start w:val="1"/>
      <w:numFmt w:val="decimal"/>
      <w:pStyle w:val="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87"/>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4"/>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19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pStyle w:val="228"/>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209"/>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2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6"/>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30"/>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206"/>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161"/>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1F632AB"/>
    <w:multiLevelType w:val="singleLevel"/>
    <w:tmpl w:val="21F632AB"/>
    <w:lvl w:ilvl="0" w:tentative="0">
      <w:start w:val="2"/>
      <w:numFmt w:val="chineseCounting"/>
      <w:suff w:val="space"/>
      <w:lvlText w:val="第%1篇"/>
      <w:lvlJc w:val="left"/>
      <w:rPr>
        <w:rFonts w:hint="eastAsia"/>
      </w:rPr>
    </w:lvl>
  </w:abstractNum>
  <w:abstractNum w:abstractNumId="15">
    <w:nsid w:val="35052342"/>
    <w:multiLevelType w:val="singleLevel"/>
    <w:tmpl w:val="35052342"/>
    <w:lvl w:ilvl="0" w:tentative="0">
      <w:start w:val="3"/>
      <w:numFmt w:val="chineseCounting"/>
      <w:suff w:val="nothing"/>
      <w:lvlText w:val="（%1）"/>
      <w:lvlJc w:val="left"/>
      <w:rPr>
        <w:rFonts w:hint="eastAsia"/>
      </w:rPr>
    </w:lvl>
  </w:abstractNum>
  <w:abstractNum w:abstractNumId="16">
    <w:nsid w:val="6CDD7966"/>
    <w:multiLevelType w:val="singleLevel"/>
    <w:tmpl w:val="6CDD7966"/>
    <w:lvl w:ilvl="0" w:tentative="0">
      <w:start w:val="6"/>
      <w:numFmt w:val="chineseCounting"/>
      <w:suff w:val="nothing"/>
      <w:lvlText w:val="（%1）"/>
      <w:lvlJc w:val="left"/>
      <w:rPr>
        <w:rFonts w:hint="eastAsia"/>
      </w:rPr>
    </w:lvl>
  </w:abstractNum>
  <w:num w:numId="1">
    <w:abstractNumId w:val="2"/>
  </w:num>
  <w:num w:numId="2">
    <w:abstractNumId w:val="10"/>
  </w:num>
  <w:num w:numId="3">
    <w:abstractNumId w:val="7"/>
  </w:num>
  <w:num w:numId="4">
    <w:abstractNumId w:val="5"/>
  </w:num>
  <w:num w:numId="5">
    <w:abstractNumId w:val="11"/>
  </w:num>
  <w:num w:numId="6">
    <w:abstractNumId w:val="13"/>
  </w:num>
  <w:num w:numId="7">
    <w:abstractNumId w:val="4"/>
  </w:num>
  <w:num w:numId="8">
    <w:abstractNumId w:val="6"/>
  </w:num>
  <w:num w:numId="9">
    <w:abstractNumId w:val="3"/>
  </w:num>
  <w:num w:numId="10">
    <w:abstractNumId w:val="12"/>
  </w:num>
  <w:num w:numId="11">
    <w:abstractNumId w:val="8"/>
  </w:num>
  <w:num w:numId="12">
    <w:abstractNumId w:val="9"/>
  </w:num>
  <w:num w:numId="13">
    <w:abstractNumId w:val="0"/>
  </w:num>
  <w:num w:numId="14">
    <w:abstractNumId w:val="14"/>
  </w:num>
  <w:num w:numId="15">
    <w:abstractNumId w:val="1"/>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MTJhYjM3NjU2MTIxMzM0MWM4ZjRjMDcwMGZlMmIifQ=="/>
  </w:docVars>
  <w:rsids>
    <w:rsidRoot w:val="00172A27"/>
    <w:rsid w:val="00002EAF"/>
    <w:rsid w:val="000040DE"/>
    <w:rsid w:val="00005A02"/>
    <w:rsid w:val="00015A2E"/>
    <w:rsid w:val="00016B79"/>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15C6"/>
    <w:rsid w:val="000D23F5"/>
    <w:rsid w:val="000D40BA"/>
    <w:rsid w:val="000E3259"/>
    <w:rsid w:val="000F3752"/>
    <w:rsid w:val="000F48FD"/>
    <w:rsid w:val="000F511B"/>
    <w:rsid w:val="000F5ACE"/>
    <w:rsid w:val="000F7DBF"/>
    <w:rsid w:val="00100639"/>
    <w:rsid w:val="00103DA9"/>
    <w:rsid w:val="00103DDC"/>
    <w:rsid w:val="0010418E"/>
    <w:rsid w:val="001077D3"/>
    <w:rsid w:val="00111E71"/>
    <w:rsid w:val="001122C5"/>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108F"/>
    <w:rsid w:val="0015129F"/>
    <w:rsid w:val="00153353"/>
    <w:rsid w:val="0015351E"/>
    <w:rsid w:val="001559C6"/>
    <w:rsid w:val="0016035A"/>
    <w:rsid w:val="0016303B"/>
    <w:rsid w:val="00165700"/>
    <w:rsid w:val="0017421F"/>
    <w:rsid w:val="001748ED"/>
    <w:rsid w:val="00177DD5"/>
    <w:rsid w:val="00180ACB"/>
    <w:rsid w:val="00181A7F"/>
    <w:rsid w:val="0018347E"/>
    <w:rsid w:val="0018465A"/>
    <w:rsid w:val="00184E27"/>
    <w:rsid w:val="00186623"/>
    <w:rsid w:val="0018699A"/>
    <w:rsid w:val="001915CE"/>
    <w:rsid w:val="001950B5"/>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200186"/>
    <w:rsid w:val="00202B04"/>
    <w:rsid w:val="00204936"/>
    <w:rsid w:val="002100EE"/>
    <w:rsid w:val="002105E1"/>
    <w:rsid w:val="00211874"/>
    <w:rsid w:val="00211A92"/>
    <w:rsid w:val="0022065B"/>
    <w:rsid w:val="00222097"/>
    <w:rsid w:val="0022517B"/>
    <w:rsid w:val="00225B78"/>
    <w:rsid w:val="00227BA9"/>
    <w:rsid w:val="00231797"/>
    <w:rsid w:val="00235F8F"/>
    <w:rsid w:val="00237759"/>
    <w:rsid w:val="00240295"/>
    <w:rsid w:val="0024359D"/>
    <w:rsid w:val="00244E68"/>
    <w:rsid w:val="00252894"/>
    <w:rsid w:val="002539DF"/>
    <w:rsid w:val="00263F49"/>
    <w:rsid w:val="002643C1"/>
    <w:rsid w:val="00267DDF"/>
    <w:rsid w:val="00270ED7"/>
    <w:rsid w:val="00271A27"/>
    <w:rsid w:val="00271D47"/>
    <w:rsid w:val="002721EA"/>
    <w:rsid w:val="00275FED"/>
    <w:rsid w:val="00280E8A"/>
    <w:rsid w:val="00282FBA"/>
    <w:rsid w:val="00283A40"/>
    <w:rsid w:val="00283B57"/>
    <w:rsid w:val="00285164"/>
    <w:rsid w:val="00285D78"/>
    <w:rsid w:val="00293D74"/>
    <w:rsid w:val="002946F4"/>
    <w:rsid w:val="00294EB6"/>
    <w:rsid w:val="00295381"/>
    <w:rsid w:val="002A4956"/>
    <w:rsid w:val="002A5652"/>
    <w:rsid w:val="002A6710"/>
    <w:rsid w:val="002A7598"/>
    <w:rsid w:val="002A7622"/>
    <w:rsid w:val="002B1F56"/>
    <w:rsid w:val="002B3C24"/>
    <w:rsid w:val="002B47A4"/>
    <w:rsid w:val="002B7904"/>
    <w:rsid w:val="002C0821"/>
    <w:rsid w:val="002C2507"/>
    <w:rsid w:val="002C2E6E"/>
    <w:rsid w:val="002C69BF"/>
    <w:rsid w:val="002C6DF1"/>
    <w:rsid w:val="002E4C46"/>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48FA"/>
    <w:rsid w:val="00355A74"/>
    <w:rsid w:val="003607F3"/>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1C4D"/>
    <w:rsid w:val="003A449E"/>
    <w:rsid w:val="003A501C"/>
    <w:rsid w:val="003A57F1"/>
    <w:rsid w:val="003A71F3"/>
    <w:rsid w:val="003B19F5"/>
    <w:rsid w:val="003B2501"/>
    <w:rsid w:val="003B7B71"/>
    <w:rsid w:val="003B7BB1"/>
    <w:rsid w:val="003C0A38"/>
    <w:rsid w:val="003D0E0A"/>
    <w:rsid w:val="003D1569"/>
    <w:rsid w:val="003D55B7"/>
    <w:rsid w:val="003E1F8A"/>
    <w:rsid w:val="003E4727"/>
    <w:rsid w:val="003E5324"/>
    <w:rsid w:val="003E5E67"/>
    <w:rsid w:val="00402B32"/>
    <w:rsid w:val="004044EE"/>
    <w:rsid w:val="00410C93"/>
    <w:rsid w:val="00411B4A"/>
    <w:rsid w:val="00412680"/>
    <w:rsid w:val="004167CD"/>
    <w:rsid w:val="00425367"/>
    <w:rsid w:val="00425EDA"/>
    <w:rsid w:val="0043290D"/>
    <w:rsid w:val="00433ADB"/>
    <w:rsid w:val="004353BF"/>
    <w:rsid w:val="004400CA"/>
    <w:rsid w:val="00446735"/>
    <w:rsid w:val="004474F3"/>
    <w:rsid w:val="004501BD"/>
    <w:rsid w:val="004515DA"/>
    <w:rsid w:val="00452804"/>
    <w:rsid w:val="00453A00"/>
    <w:rsid w:val="004543A5"/>
    <w:rsid w:val="00462878"/>
    <w:rsid w:val="0046417B"/>
    <w:rsid w:val="004657EA"/>
    <w:rsid w:val="00481A49"/>
    <w:rsid w:val="00484E88"/>
    <w:rsid w:val="004953EC"/>
    <w:rsid w:val="004A015E"/>
    <w:rsid w:val="004A020F"/>
    <w:rsid w:val="004A0DE1"/>
    <w:rsid w:val="004A21A7"/>
    <w:rsid w:val="004A2410"/>
    <w:rsid w:val="004A27AC"/>
    <w:rsid w:val="004A2B68"/>
    <w:rsid w:val="004A6DDD"/>
    <w:rsid w:val="004A7523"/>
    <w:rsid w:val="004B181C"/>
    <w:rsid w:val="004B7D49"/>
    <w:rsid w:val="004C1DD0"/>
    <w:rsid w:val="004C2ED2"/>
    <w:rsid w:val="004C60EA"/>
    <w:rsid w:val="004C64E4"/>
    <w:rsid w:val="004D1D5E"/>
    <w:rsid w:val="004E0650"/>
    <w:rsid w:val="004E3234"/>
    <w:rsid w:val="004E3AEE"/>
    <w:rsid w:val="004E4EFB"/>
    <w:rsid w:val="004E55DB"/>
    <w:rsid w:val="004F0533"/>
    <w:rsid w:val="004F2A9F"/>
    <w:rsid w:val="004F6879"/>
    <w:rsid w:val="004F7CED"/>
    <w:rsid w:val="005000E9"/>
    <w:rsid w:val="00500D8B"/>
    <w:rsid w:val="00502B2F"/>
    <w:rsid w:val="00505F40"/>
    <w:rsid w:val="00512D00"/>
    <w:rsid w:val="00514179"/>
    <w:rsid w:val="00516CDF"/>
    <w:rsid w:val="005170E4"/>
    <w:rsid w:val="005171C9"/>
    <w:rsid w:val="005214D2"/>
    <w:rsid w:val="00522621"/>
    <w:rsid w:val="00524D8A"/>
    <w:rsid w:val="005266F6"/>
    <w:rsid w:val="0053194F"/>
    <w:rsid w:val="005320C1"/>
    <w:rsid w:val="00536484"/>
    <w:rsid w:val="00545431"/>
    <w:rsid w:val="005460D5"/>
    <w:rsid w:val="0055517C"/>
    <w:rsid w:val="00556AA7"/>
    <w:rsid w:val="005573AE"/>
    <w:rsid w:val="0056050C"/>
    <w:rsid w:val="0056217D"/>
    <w:rsid w:val="00562860"/>
    <w:rsid w:val="005631C8"/>
    <w:rsid w:val="00565746"/>
    <w:rsid w:val="00566A85"/>
    <w:rsid w:val="00570831"/>
    <w:rsid w:val="00570FCB"/>
    <w:rsid w:val="00571368"/>
    <w:rsid w:val="00573AE3"/>
    <w:rsid w:val="00574240"/>
    <w:rsid w:val="005768CC"/>
    <w:rsid w:val="00581B74"/>
    <w:rsid w:val="00583204"/>
    <w:rsid w:val="005902D9"/>
    <w:rsid w:val="00590B75"/>
    <w:rsid w:val="0059244D"/>
    <w:rsid w:val="005925EE"/>
    <w:rsid w:val="00592A7E"/>
    <w:rsid w:val="005943A4"/>
    <w:rsid w:val="00596AB7"/>
    <w:rsid w:val="00597F87"/>
    <w:rsid w:val="005A1459"/>
    <w:rsid w:val="005A1EA7"/>
    <w:rsid w:val="005A2D64"/>
    <w:rsid w:val="005A7D38"/>
    <w:rsid w:val="005B0724"/>
    <w:rsid w:val="005B1E46"/>
    <w:rsid w:val="005B295A"/>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34DC"/>
    <w:rsid w:val="0060543A"/>
    <w:rsid w:val="00610C5F"/>
    <w:rsid w:val="00613410"/>
    <w:rsid w:val="00615434"/>
    <w:rsid w:val="0061717E"/>
    <w:rsid w:val="00617986"/>
    <w:rsid w:val="00625262"/>
    <w:rsid w:val="00627DD2"/>
    <w:rsid w:val="00635B4B"/>
    <w:rsid w:val="00640026"/>
    <w:rsid w:val="006414B7"/>
    <w:rsid w:val="00643807"/>
    <w:rsid w:val="00654A48"/>
    <w:rsid w:val="006552FD"/>
    <w:rsid w:val="0065651B"/>
    <w:rsid w:val="00664607"/>
    <w:rsid w:val="0066468B"/>
    <w:rsid w:val="00670089"/>
    <w:rsid w:val="00670560"/>
    <w:rsid w:val="006809DA"/>
    <w:rsid w:val="00680AE4"/>
    <w:rsid w:val="00684E51"/>
    <w:rsid w:val="0069086A"/>
    <w:rsid w:val="00695990"/>
    <w:rsid w:val="0069635B"/>
    <w:rsid w:val="006A100B"/>
    <w:rsid w:val="006A143A"/>
    <w:rsid w:val="006A278D"/>
    <w:rsid w:val="006A3285"/>
    <w:rsid w:val="006A4743"/>
    <w:rsid w:val="006A55C3"/>
    <w:rsid w:val="006B0048"/>
    <w:rsid w:val="006B17C8"/>
    <w:rsid w:val="006B243E"/>
    <w:rsid w:val="006B5E7E"/>
    <w:rsid w:val="006B72DE"/>
    <w:rsid w:val="006C4BA5"/>
    <w:rsid w:val="006C5FC1"/>
    <w:rsid w:val="006D44E1"/>
    <w:rsid w:val="006D552C"/>
    <w:rsid w:val="006E21FA"/>
    <w:rsid w:val="006E6952"/>
    <w:rsid w:val="006F03F0"/>
    <w:rsid w:val="006F0DEB"/>
    <w:rsid w:val="006F0FB7"/>
    <w:rsid w:val="006F15D4"/>
    <w:rsid w:val="006F354D"/>
    <w:rsid w:val="006F511B"/>
    <w:rsid w:val="006F70D3"/>
    <w:rsid w:val="006F7C11"/>
    <w:rsid w:val="00701184"/>
    <w:rsid w:val="00704E5D"/>
    <w:rsid w:val="00705739"/>
    <w:rsid w:val="007113A1"/>
    <w:rsid w:val="0071489C"/>
    <w:rsid w:val="007159B2"/>
    <w:rsid w:val="00717148"/>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64B7"/>
    <w:rsid w:val="007B2204"/>
    <w:rsid w:val="007B4B60"/>
    <w:rsid w:val="007C075F"/>
    <w:rsid w:val="007C2245"/>
    <w:rsid w:val="007C2331"/>
    <w:rsid w:val="007C2636"/>
    <w:rsid w:val="007C4A0F"/>
    <w:rsid w:val="007C75E9"/>
    <w:rsid w:val="007D3CA6"/>
    <w:rsid w:val="007D6E67"/>
    <w:rsid w:val="007E0D9F"/>
    <w:rsid w:val="007E1CEA"/>
    <w:rsid w:val="007E298C"/>
    <w:rsid w:val="007E30A9"/>
    <w:rsid w:val="007E3989"/>
    <w:rsid w:val="007E64BA"/>
    <w:rsid w:val="007F2295"/>
    <w:rsid w:val="007F3CCE"/>
    <w:rsid w:val="007F5589"/>
    <w:rsid w:val="007F5C55"/>
    <w:rsid w:val="007F6A65"/>
    <w:rsid w:val="00801462"/>
    <w:rsid w:val="008026BD"/>
    <w:rsid w:val="00802CE7"/>
    <w:rsid w:val="00803B59"/>
    <w:rsid w:val="008041D4"/>
    <w:rsid w:val="00804AE5"/>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51805"/>
    <w:rsid w:val="00853FE4"/>
    <w:rsid w:val="00854ACE"/>
    <w:rsid w:val="00854BF8"/>
    <w:rsid w:val="0085550A"/>
    <w:rsid w:val="0086105E"/>
    <w:rsid w:val="00861103"/>
    <w:rsid w:val="008616EF"/>
    <w:rsid w:val="00863C25"/>
    <w:rsid w:val="008668A0"/>
    <w:rsid w:val="008705BC"/>
    <w:rsid w:val="0087422F"/>
    <w:rsid w:val="00874324"/>
    <w:rsid w:val="00875A42"/>
    <w:rsid w:val="00883BD5"/>
    <w:rsid w:val="008904A8"/>
    <w:rsid w:val="00891344"/>
    <w:rsid w:val="008A2EFF"/>
    <w:rsid w:val="008A30C6"/>
    <w:rsid w:val="008A3B09"/>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66B8"/>
    <w:rsid w:val="008F00E5"/>
    <w:rsid w:val="008F1988"/>
    <w:rsid w:val="008F25DB"/>
    <w:rsid w:val="008F2AD5"/>
    <w:rsid w:val="008F2D73"/>
    <w:rsid w:val="008F3F62"/>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A0856"/>
    <w:rsid w:val="009B6D65"/>
    <w:rsid w:val="009C032D"/>
    <w:rsid w:val="009C3034"/>
    <w:rsid w:val="009C40F0"/>
    <w:rsid w:val="009C4958"/>
    <w:rsid w:val="009C7326"/>
    <w:rsid w:val="009D01D6"/>
    <w:rsid w:val="009D2934"/>
    <w:rsid w:val="009D4D86"/>
    <w:rsid w:val="009D6931"/>
    <w:rsid w:val="009E1F06"/>
    <w:rsid w:val="009E2AF3"/>
    <w:rsid w:val="009E737D"/>
    <w:rsid w:val="009E749B"/>
    <w:rsid w:val="009F3B26"/>
    <w:rsid w:val="009F3FE9"/>
    <w:rsid w:val="009F4390"/>
    <w:rsid w:val="009F5335"/>
    <w:rsid w:val="009F5682"/>
    <w:rsid w:val="00A02CBC"/>
    <w:rsid w:val="00A03977"/>
    <w:rsid w:val="00A04BC7"/>
    <w:rsid w:val="00A050D4"/>
    <w:rsid w:val="00A056BA"/>
    <w:rsid w:val="00A065B8"/>
    <w:rsid w:val="00A16C2A"/>
    <w:rsid w:val="00A26FF7"/>
    <w:rsid w:val="00A30B50"/>
    <w:rsid w:val="00A3107D"/>
    <w:rsid w:val="00A330D4"/>
    <w:rsid w:val="00A35338"/>
    <w:rsid w:val="00A417D7"/>
    <w:rsid w:val="00A445DC"/>
    <w:rsid w:val="00A44BEA"/>
    <w:rsid w:val="00A527E2"/>
    <w:rsid w:val="00A553F3"/>
    <w:rsid w:val="00A575D9"/>
    <w:rsid w:val="00A57A7E"/>
    <w:rsid w:val="00A60C8A"/>
    <w:rsid w:val="00A60F92"/>
    <w:rsid w:val="00A66DEB"/>
    <w:rsid w:val="00A67DFB"/>
    <w:rsid w:val="00A67FC1"/>
    <w:rsid w:val="00A711C6"/>
    <w:rsid w:val="00A7358D"/>
    <w:rsid w:val="00A75ABC"/>
    <w:rsid w:val="00A76732"/>
    <w:rsid w:val="00A7737E"/>
    <w:rsid w:val="00A77D3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7114"/>
    <w:rsid w:val="00B702D7"/>
    <w:rsid w:val="00B71C3A"/>
    <w:rsid w:val="00B75449"/>
    <w:rsid w:val="00B75F36"/>
    <w:rsid w:val="00B77E2F"/>
    <w:rsid w:val="00B823F6"/>
    <w:rsid w:val="00B83831"/>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2474"/>
    <w:rsid w:val="00BE33D1"/>
    <w:rsid w:val="00BE71C6"/>
    <w:rsid w:val="00BF4FCD"/>
    <w:rsid w:val="00BF5230"/>
    <w:rsid w:val="00BF7EE4"/>
    <w:rsid w:val="00C01161"/>
    <w:rsid w:val="00C1090C"/>
    <w:rsid w:val="00C23C73"/>
    <w:rsid w:val="00C240C8"/>
    <w:rsid w:val="00C25CB6"/>
    <w:rsid w:val="00C26513"/>
    <w:rsid w:val="00C37F72"/>
    <w:rsid w:val="00C420C1"/>
    <w:rsid w:val="00C4525F"/>
    <w:rsid w:val="00C45963"/>
    <w:rsid w:val="00C46D23"/>
    <w:rsid w:val="00C472B8"/>
    <w:rsid w:val="00C477E6"/>
    <w:rsid w:val="00C53124"/>
    <w:rsid w:val="00C53B2E"/>
    <w:rsid w:val="00C53B49"/>
    <w:rsid w:val="00C53FFD"/>
    <w:rsid w:val="00C55080"/>
    <w:rsid w:val="00C6160A"/>
    <w:rsid w:val="00C64326"/>
    <w:rsid w:val="00C65570"/>
    <w:rsid w:val="00C67CCD"/>
    <w:rsid w:val="00C7484C"/>
    <w:rsid w:val="00C753F3"/>
    <w:rsid w:val="00C76ECD"/>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F09B7"/>
    <w:rsid w:val="00CF156B"/>
    <w:rsid w:val="00CF1E02"/>
    <w:rsid w:val="00CF2D68"/>
    <w:rsid w:val="00CF2F47"/>
    <w:rsid w:val="00CF329B"/>
    <w:rsid w:val="00CF597A"/>
    <w:rsid w:val="00D0319A"/>
    <w:rsid w:val="00D032D5"/>
    <w:rsid w:val="00D05BAA"/>
    <w:rsid w:val="00D07FB9"/>
    <w:rsid w:val="00D10112"/>
    <w:rsid w:val="00D121B8"/>
    <w:rsid w:val="00D13B7A"/>
    <w:rsid w:val="00D22C4B"/>
    <w:rsid w:val="00D230C7"/>
    <w:rsid w:val="00D235DF"/>
    <w:rsid w:val="00D23E7D"/>
    <w:rsid w:val="00D2405F"/>
    <w:rsid w:val="00D24905"/>
    <w:rsid w:val="00D25FE3"/>
    <w:rsid w:val="00D30C7F"/>
    <w:rsid w:val="00D33B27"/>
    <w:rsid w:val="00D35D2A"/>
    <w:rsid w:val="00D41BA9"/>
    <w:rsid w:val="00D456F3"/>
    <w:rsid w:val="00D46250"/>
    <w:rsid w:val="00D52376"/>
    <w:rsid w:val="00D542AB"/>
    <w:rsid w:val="00D54CA1"/>
    <w:rsid w:val="00D57B9E"/>
    <w:rsid w:val="00D60F92"/>
    <w:rsid w:val="00D612C2"/>
    <w:rsid w:val="00D64080"/>
    <w:rsid w:val="00D66A2D"/>
    <w:rsid w:val="00D7385C"/>
    <w:rsid w:val="00D745E0"/>
    <w:rsid w:val="00D74CF9"/>
    <w:rsid w:val="00D76AA3"/>
    <w:rsid w:val="00D80604"/>
    <w:rsid w:val="00D858F8"/>
    <w:rsid w:val="00D86212"/>
    <w:rsid w:val="00D91FE4"/>
    <w:rsid w:val="00D9460E"/>
    <w:rsid w:val="00D952B8"/>
    <w:rsid w:val="00D95411"/>
    <w:rsid w:val="00DA086B"/>
    <w:rsid w:val="00DA0B92"/>
    <w:rsid w:val="00DA5225"/>
    <w:rsid w:val="00DA565F"/>
    <w:rsid w:val="00DA5E46"/>
    <w:rsid w:val="00DA7E05"/>
    <w:rsid w:val="00DB1007"/>
    <w:rsid w:val="00DB4794"/>
    <w:rsid w:val="00DB4BDE"/>
    <w:rsid w:val="00DB5457"/>
    <w:rsid w:val="00DB5C3E"/>
    <w:rsid w:val="00DB628E"/>
    <w:rsid w:val="00DD1761"/>
    <w:rsid w:val="00DD66DC"/>
    <w:rsid w:val="00DE1E3E"/>
    <w:rsid w:val="00DE4929"/>
    <w:rsid w:val="00DE4DC4"/>
    <w:rsid w:val="00DE5BEB"/>
    <w:rsid w:val="00DE7ABF"/>
    <w:rsid w:val="00DF2028"/>
    <w:rsid w:val="00DF3046"/>
    <w:rsid w:val="00DF348B"/>
    <w:rsid w:val="00DF39A9"/>
    <w:rsid w:val="00DF782C"/>
    <w:rsid w:val="00E023D0"/>
    <w:rsid w:val="00E02BE3"/>
    <w:rsid w:val="00E030A0"/>
    <w:rsid w:val="00E04FF7"/>
    <w:rsid w:val="00E124E3"/>
    <w:rsid w:val="00E1356C"/>
    <w:rsid w:val="00E1419D"/>
    <w:rsid w:val="00E14812"/>
    <w:rsid w:val="00E14F74"/>
    <w:rsid w:val="00E15DDE"/>
    <w:rsid w:val="00E22058"/>
    <w:rsid w:val="00E2339E"/>
    <w:rsid w:val="00E2709C"/>
    <w:rsid w:val="00E30686"/>
    <w:rsid w:val="00E308E8"/>
    <w:rsid w:val="00E3245B"/>
    <w:rsid w:val="00E34DF5"/>
    <w:rsid w:val="00E3707B"/>
    <w:rsid w:val="00E4024B"/>
    <w:rsid w:val="00E40CF1"/>
    <w:rsid w:val="00E4710C"/>
    <w:rsid w:val="00E50685"/>
    <w:rsid w:val="00E52F76"/>
    <w:rsid w:val="00E570D9"/>
    <w:rsid w:val="00E57F6B"/>
    <w:rsid w:val="00E64B94"/>
    <w:rsid w:val="00E654A2"/>
    <w:rsid w:val="00E71934"/>
    <w:rsid w:val="00E7342C"/>
    <w:rsid w:val="00E81737"/>
    <w:rsid w:val="00E8198D"/>
    <w:rsid w:val="00E872A9"/>
    <w:rsid w:val="00E873EA"/>
    <w:rsid w:val="00E91EC1"/>
    <w:rsid w:val="00E947AE"/>
    <w:rsid w:val="00E95ABA"/>
    <w:rsid w:val="00EA010E"/>
    <w:rsid w:val="00EA4561"/>
    <w:rsid w:val="00EB0588"/>
    <w:rsid w:val="00EB0E2D"/>
    <w:rsid w:val="00EB1E33"/>
    <w:rsid w:val="00EB215E"/>
    <w:rsid w:val="00EB2F99"/>
    <w:rsid w:val="00EB4AA3"/>
    <w:rsid w:val="00EB706C"/>
    <w:rsid w:val="00EC0215"/>
    <w:rsid w:val="00EC029D"/>
    <w:rsid w:val="00EC0881"/>
    <w:rsid w:val="00EC3AB1"/>
    <w:rsid w:val="00ED05EA"/>
    <w:rsid w:val="00ED0742"/>
    <w:rsid w:val="00ED216E"/>
    <w:rsid w:val="00ED2A3C"/>
    <w:rsid w:val="00ED579F"/>
    <w:rsid w:val="00EE061A"/>
    <w:rsid w:val="00EE30AF"/>
    <w:rsid w:val="00EE67BB"/>
    <w:rsid w:val="00EE68E4"/>
    <w:rsid w:val="00EF2477"/>
    <w:rsid w:val="00F009EC"/>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40877"/>
    <w:rsid w:val="00F4097C"/>
    <w:rsid w:val="00F426A6"/>
    <w:rsid w:val="00F429FD"/>
    <w:rsid w:val="00F449C4"/>
    <w:rsid w:val="00F538D9"/>
    <w:rsid w:val="00F5531F"/>
    <w:rsid w:val="00F55CE2"/>
    <w:rsid w:val="00F56399"/>
    <w:rsid w:val="00F63953"/>
    <w:rsid w:val="00F6510D"/>
    <w:rsid w:val="00F65545"/>
    <w:rsid w:val="00F6689A"/>
    <w:rsid w:val="00F7213B"/>
    <w:rsid w:val="00F725B2"/>
    <w:rsid w:val="00F7298D"/>
    <w:rsid w:val="00F7750A"/>
    <w:rsid w:val="00F80006"/>
    <w:rsid w:val="00F80084"/>
    <w:rsid w:val="00F81663"/>
    <w:rsid w:val="00F85A30"/>
    <w:rsid w:val="00F92045"/>
    <w:rsid w:val="00F95676"/>
    <w:rsid w:val="00F96A73"/>
    <w:rsid w:val="00FA0979"/>
    <w:rsid w:val="00FA5828"/>
    <w:rsid w:val="00FB3FC5"/>
    <w:rsid w:val="00FB4BA6"/>
    <w:rsid w:val="00FC3EBE"/>
    <w:rsid w:val="00FC66C2"/>
    <w:rsid w:val="00FC6F58"/>
    <w:rsid w:val="00FC6FA8"/>
    <w:rsid w:val="00FD2470"/>
    <w:rsid w:val="00FD26B5"/>
    <w:rsid w:val="00FD5823"/>
    <w:rsid w:val="00FE1B42"/>
    <w:rsid w:val="00FE1C27"/>
    <w:rsid w:val="00FE215B"/>
    <w:rsid w:val="00FE5C31"/>
    <w:rsid w:val="00FE68B1"/>
    <w:rsid w:val="00FF25BA"/>
    <w:rsid w:val="00FF3BC9"/>
    <w:rsid w:val="00FF7175"/>
    <w:rsid w:val="00FF748B"/>
    <w:rsid w:val="00FF7623"/>
    <w:rsid w:val="01036C78"/>
    <w:rsid w:val="013F73D8"/>
    <w:rsid w:val="016F2D4F"/>
    <w:rsid w:val="01730582"/>
    <w:rsid w:val="019127B6"/>
    <w:rsid w:val="01B8783E"/>
    <w:rsid w:val="01C744FB"/>
    <w:rsid w:val="01D33DF6"/>
    <w:rsid w:val="01E619E7"/>
    <w:rsid w:val="01E70DA9"/>
    <w:rsid w:val="021A09FD"/>
    <w:rsid w:val="02237B4A"/>
    <w:rsid w:val="022E0064"/>
    <w:rsid w:val="02657731"/>
    <w:rsid w:val="02715190"/>
    <w:rsid w:val="02936A01"/>
    <w:rsid w:val="029A7D90"/>
    <w:rsid w:val="02FE6C6B"/>
    <w:rsid w:val="0305345B"/>
    <w:rsid w:val="034B029F"/>
    <w:rsid w:val="035C032D"/>
    <w:rsid w:val="03636E84"/>
    <w:rsid w:val="036767B8"/>
    <w:rsid w:val="037F1AAB"/>
    <w:rsid w:val="03CC63CC"/>
    <w:rsid w:val="03E20FEC"/>
    <w:rsid w:val="03FA1EE1"/>
    <w:rsid w:val="040F3E66"/>
    <w:rsid w:val="046E6DDE"/>
    <w:rsid w:val="04734141"/>
    <w:rsid w:val="0480254A"/>
    <w:rsid w:val="04D46D43"/>
    <w:rsid w:val="05175953"/>
    <w:rsid w:val="053D7FF6"/>
    <w:rsid w:val="05A56ED6"/>
    <w:rsid w:val="05A65FB3"/>
    <w:rsid w:val="05CA205C"/>
    <w:rsid w:val="06192B7B"/>
    <w:rsid w:val="062175DB"/>
    <w:rsid w:val="0629010A"/>
    <w:rsid w:val="06395792"/>
    <w:rsid w:val="069C7682"/>
    <w:rsid w:val="06A93E8C"/>
    <w:rsid w:val="06C672D2"/>
    <w:rsid w:val="06CE1DB6"/>
    <w:rsid w:val="06F12163"/>
    <w:rsid w:val="071117D9"/>
    <w:rsid w:val="07412651"/>
    <w:rsid w:val="075732F0"/>
    <w:rsid w:val="078111D3"/>
    <w:rsid w:val="079E4C52"/>
    <w:rsid w:val="079E655E"/>
    <w:rsid w:val="07A177E9"/>
    <w:rsid w:val="07C32E23"/>
    <w:rsid w:val="07D50775"/>
    <w:rsid w:val="08292EF0"/>
    <w:rsid w:val="08311986"/>
    <w:rsid w:val="08321D15"/>
    <w:rsid w:val="08B46BE8"/>
    <w:rsid w:val="08BF4B31"/>
    <w:rsid w:val="08C52A1E"/>
    <w:rsid w:val="08DF591E"/>
    <w:rsid w:val="090624B6"/>
    <w:rsid w:val="093B5B9E"/>
    <w:rsid w:val="0981673C"/>
    <w:rsid w:val="09B2782C"/>
    <w:rsid w:val="09B6640F"/>
    <w:rsid w:val="09BC676A"/>
    <w:rsid w:val="0AB47E9D"/>
    <w:rsid w:val="0ABD5AD4"/>
    <w:rsid w:val="0B03487F"/>
    <w:rsid w:val="0B6B4A72"/>
    <w:rsid w:val="0B763138"/>
    <w:rsid w:val="0C175FAD"/>
    <w:rsid w:val="0C3A3454"/>
    <w:rsid w:val="0C3E6C2C"/>
    <w:rsid w:val="0C6B7B04"/>
    <w:rsid w:val="0CC1672A"/>
    <w:rsid w:val="0CD44BA0"/>
    <w:rsid w:val="0CEE6D0E"/>
    <w:rsid w:val="0CFA741E"/>
    <w:rsid w:val="0CFD203A"/>
    <w:rsid w:val="0D2D19A9"/>
    <w:rsid w:val="0D6520FE"/>
    <w:rsid w:val="0D6E140A"/>
    <w:rsid w:val="0D7C256C"/>
    <w:rsid w:val="0DAA3634"/>
    <w:rsid w:val="0DAF0B93"/>
    <w:rsid w:val="0DC8794B"/>
    <w:rsid w:val="0E016FFC"/>
    <w:rsid w:val="0E633831"/>
    <w:rsid w:val="0E87233E"/>
    <w:rsid w:val="0EA603E1"/>
    <w:rsid w:val="0EBB3483"/>
    <w:rsid w:val="0EE52393"/>
    <w:rsid w:val="0F0C3DC3"/>
    <w:rsid w:val="0F175161"/>
    <w:rsid w:val="0F693D05"/>
    <w:rsid w:val="0F722F35"/>
    <w:rsid w:val="0F81030D"/>
    <w:rsid w:val="0FCC0A82"/>
    <w:rsid w:val="0FCE0451"/>
    <w:rsid w:val="0FFF7484"/>
    <w:rsid w:val="1045758D"/>
    <w:rsid w:val="106E1F77"/>
    <w:rsid w:val="107752B0"/>
    <w:rsid w:val="10E45A56"/>
    <w:rsid w:val="11822EAC"/>
    <w:rsid w:val="119E00E6"/>
    <w:rsid w:val="11A92009"/>
    <w:rsid w:val="11C511D1"/>
    <w:rsid w:val="11D27BC3"/>
    <w:rsid w:val="11E61C4B"/>
    <w:rsid w:val="11F70A48"/>
    <w:rsid w:val="124E70EA"/>
    <w:rsid w:val="125939A9"/>
    <w:rsid w:val="125D034A"/>
    <w:rsid w:val="1288598F"/>
    <w:rsid w:val="12CF6990"/>
    <w:rsid w:val="12D62551"/>
    <w:rsid w:val="12DB2CAB"/>
    <w:rsid w:val="12E53E51"/>
    <w:rsid w:val="12F4756B"/>
    <w:rsid w:val="1300779B"/>
    <w:rsid w:val="13232472"/>
    <w:rsid w:val="13426006"/>
    <w:rsid w:val="134F0723"/>
    <w:rsid w:val="13D103B4"/>
    <w:rsid w:val="13DF1AA7"/>
    <w:rsid w:val="13E52432"/>
    <w:rsid w:val="13E97E92"/>
    <w:rsid w:val="13EA2A63"/>
    <w:rsid w:val="14610309"/>
    <w:rsid w:val="14AB7BDB"/>
    <w:rsid w:val="14AE3227"/>
    <w:rsid w:val="14CF3EBF"/>
    <w:rsid w:val="150177FB"/>
    <w:rsid w:val="1546345F"/>
    <w:rsid w:val="15632263"/>
    <w:rsid w:val="15826B8D"/>
    <w:rsid w:val="15D0546F"/>
    <w:rsid w:val="15FA4D23"/>
    <w:rsid w:val="165431D1"/>
    <w:rsid w:val="16B94831"/>
    <w:rsid w:val="16C429D7"/>
    <w:rsid w:val="1711641B"/>
    <w:rsid w:val="174F6F43"/>
    <w:rsid w:val="176D616F"/>
    <w:rsid w:val="17830532"/>
    <w:rsid w:val="1787201D"/>
    <w:rsid w:val="17E70F2A"/>
    <w:rsid w:val="183C74C7"/>
    <w:rsid w:val="18484D29"/>
    <w:rsid w:val="18A62B93"/>
    <w:rsid w:val="18B36797"/>
    <w:rsid w:val="18BD228D"/>
    <w:rsid w:val="18DD55B5"/>
    <w:rsid w:val="190478B9"/>
    <w:rsid w:val="191A70DD"/>
    <w:rsid w:val="19340DC8"/>
    <w:rsid w:val="19DA0390"/>
    <w:rsid w:val="1A943F9C"/>
    <w:rsid w:val="1ABD3F8C"/>
    <w:rsid w:val="1B010CBE"/>
    <w:rsid w:val="1B070C4A"/>
    <w:rsid w:val="1BA33337"/>
    <w:rsid w:val="1BA4182E"/>
    <w:rsid w:val="1BC1062B"/>
    <w:rsid w:val="1BDB6FF7"/>
    <w:rsid w:val="1BE47920"/>
    <w:rsid w:val="1BE834C2"/>
    <w:rsid w:val="1BF02FCC"/>
    <w:rsid w:val="1C0A7896"/>
    <w:rsid w:val="1C1222ED"/>
    <w:rsid w:val="1C413DEA"/>
    <w:rsid w:val="1C493F61"/>
    <w:rsid w:val="1C502C1F"/>
    <w:rsid w:val="1C746C70"/>
    <w:rsid w:val="1C9849DD"/>
    <w:rsid w:val="1CAC629E"/>
    <w:rsid w:val="1CC12DB8"/>
    <w:rsid w:val="1CD94582"/>
    <w:rsid w:val="1D362C4C"/>
    <w:rsid w:val="1D631052"/>
    <w:rsid w:val="1D94408D"/>
    <w:rsid w:val="1D9F46A7"/>
    <w:rsid w:val="1DAB6D83"/>
    <w:rsid w:val="1DE06B47"/>
    <w:rsid w:val="1DF1193F"/>
    <w:rsid w:val="1DF56FE1"/>
    <w:rsid w:val="1DFE2820"/>
    <w:rsid w:val="1E147C0C"/>
    <w:rsid w:val="1E1963D7"/>
    <w:rsid w:val="1E764DB5"/>
    <w:rsid w:val="1EBA4A39"/>
    <w:rsid w:val="1F444F68"/>
    <w:rsid w:val="1F972F90"/>
    <w:rsid w:val="1FBC2C9C"/>
    <w:rsid w:val="20717F2A"/>
    <w:rsid w:val="2084196E"/>
    <w:rsid w:val="20945682"/>
    <w:rsid w:val="20B14281"/>
    <w:rsid w:val="20B7497A"/>
    <w:rsid w:val="210A22DD"/>
    <w:rsid w:val="212D20A3"/>
    <w:rsid w:val="216043C0"/>
    <w:rsid w:val="21817CF9"/>
    <w:rsid w:val="21985C87"/>
    <w:rsid w:val="21A91C9B"/>
    <w:rsid w:val="21BC3BA9"/>
    <w:rsid w:val="21E738ED"/>
    <w:rsid w:val="21EE1582"/>
    <w:rsid w:val="220A1B60"/>
    <w:rsid w:val="220D5A31"/>
    <w:rsid w:val="22570824"/>
    <w:rsid w:val="22711EB6"/>
    <w:rsid w:val="227619B0"/>
    <w:rsid w:val="229816F2"/>
    <w:rsid w:val="22B248D1"/>
    <w:rsid w:val="22D80CBB"/>
    <w:rsid w:val="22F466B7"/>
    <w:rsid w:val="230909BA"/>
    <w:rsid w:val="231D2E1E"/>
    <w:rsid w:val="231E0903"/>
    <w:rsid w:val="23557326"/>
    <w:rsid w:val="23585D3D"/>
    <w:rsid w:val="236773C3"/>
    <w:rsid w:val="23751ADF"/>
    <w:rsid w:val="238515A2"/>
    <w:rsid w:val="239113CE"/>
    <w:rsid w:val="23C06F33"/>
    <w:rsid w:val="23EE3640"/>
    <w:rsid w:val="23FF24C6"/>
    <w:rsid w:val="240E783E"/>
    <w:rsid w:val="24575EC2"/>
    <w:rsid w:val="245B32B8"/>
    <w:rsid w:val="2472601F"/>
    <w:rsid w:val="24810259"/>
    <w:rsid w:val="248D02DF"/>
    <w:rsid w:val="2490058B"/>
    <w:rsid w:val="249D12EE"/>
    <w:rsid w:val="24D51E86"/>
    <w:rsid w:val="24FC3B8A"/>
    <w:rsid w:val="251024A8"/>
    <w:rsid w:val="25587978"/>
    <w:rsid w:val="25662523"/>
    <w:rsid w:val="256B319A"/>
    <w:rsid w:val="25A466AC"/>
    <w:rsid w:val="25CA3B84"/>
    <w:rsid w:val="25F15DB5"/>
    <w:rsid w:val="25F3318F"/>
    <w:rsid w:val="260029C0"/>
    <w:rsid w:val="266877EA"/>
    <w:rsid w:val="266A7FA7"/>
    <w:rsid w:val="26C32160"/>
    <w:rsid w:val="26DD1E76"/>
    <w:rsid w:val="26EA363F"/>
    <w:rsid w:val="26FD1009"/>
    <w:rsid w:val="26FD42C6"/>
    <w:rsid w:val="27260A30"/>
    <w:rsid w:val="27374E33"/>
    <w:rsid w:val="2747065F"/>
    <w:rsid w:val="277D341D"/>
    <w:rsid w:val="277F5534"/>
    <w:rsid w:val="27951673"/>
    <w:rsid w:val="27FC6C3D"/>
    <w:rsid w:val="284C7BD1"/>
    <w:rsid w:val="28976054"/>
    <w:rsid w:val="28B83DD5"/>
    <w:rsid w:val="28E2514F"/>
    <w:rsid w:val="28F01F05"/>
    <w:rsid w:val="291C3785"/>
    <w:rsid w:val="297D74AC"/>
    <w:rsid w:val="299A1CC3"/>
    <w:rsid w:val="29A17CE3"/>
    <w:rsid w:val="29AE18A7"/>
    <w:rsid w:val="29B03871"/>
    <w:rsid w:val="2A1A19DE"/>
    <w:rsid w:val="2A6F54DA"/>
    <w:rsid w:val="2A7228D5"/>
    <w:rsid w:val="2B286BC5"/>
    <w:rsid w:val="2B666836"/>
    <w:rsid w:val="2BEA56D2"/>
    <w:rsid w:val="2BF9180D"/>
    <w:rsid w:val="2C0734F1"/>
    <w:rsid w:val="2C110442"/>
    <w:rsid w:val="2C271DEC"/>
    <w:rsid w:val="2C2D2523"/>
    <w:rsid w:val="2C4147B9"/>
    <w:rsid w:val="2C9C6F34"/>
    <w:rsid w:val="2C9F3729"/>
    <w:rsid w:val="2CDB69BA"/>
    <w:rsid w:val="2D127B5A"/>
    <w:rsid w:val="2D3D4AC9"/>
    <w:rsid w:val="2D422735"/>
    <w:rsid w:val="2DB1526B"/>
    <w:rsid w:val="2DD12008"/>
    <w:rsid w:val="2DE04B48"/>
    <w:rsid w:val="2E227124"/>
    <w:rsid w:val="2E5B3D09"/>
    <w:rsid w:val="2EA93DFB"/>
    <w:rsid w:val="2EC13E2B"/>
    <w:rsid w:val="2EC56AB0"/>
    <w:rsid w:val="2ECD6620"/>
    <w:rsid w:val="2EE93E1C"/>
    <w:rsid w:val="2EF36FE9"/>
    <w:rsid w:val="2F0F6197"/>
    <w:rsid w:val="2F252BD6"/>
    <w:rsid w:val="2F336759"/>
    <w:rsid w:val="2F3C4CFF"/>
    <w:rsid w:val="2F3D5D93"/>
    <w:rsid w:val="2F447F14"/>
    <w:rsid w:val="2F57706B"/>
    <w:rsid w:val="2F7912C8"/>
    <w:rsid w:val="2FB14F22"/>
    <w:rsid w:val="2FBE7EF5"/>
    <w:rsid w:val="2FF6377F"/>
    <w:rsid w:val="30071D11"/>
    <w:rsid w:val="30227AED"/>
    <w:rsid w:val="3062519A"/>
    <w:rsid w:val="306E12EF"/>
    <w:rsid w:val="3076603D"/>
    <w:rsid w:val="30B05F05"/>
    <w:rsid w:val="30C708B3"/>
    <w:rsid w:val="30D342E9"/>
    <w:rsid w:val="30EE68E5"/>
    <w:rsid w:val="30F304E8"/>
    <w:rsid w:val="310E761B"/>
    <w:rsid w:val="31224929"/>
    <w:rsid w:val="31342FDA"/>
    <w:rsid w:val="313730A9"/>
    <w:rsid w:val="318F577F"/>
    <w:rsid w:val="31EB19E3"/>
    <w:rsid w:val="3240775C"/>
    <w:rsid w:val="32FA7647"/>
    <w:rsid w:val="335A65FC"/>
    <w:rsid w:val="33D07732"/>
    <w:rsid w:val="341F4EED"/>
    <w:rsid w:val="34B34216"/>
    <w:rsid w:val="35107923"/>
    <w:rsid w:val="351D67A0"/>
    <w:rsid w:val="351E2AB9"/>
    <w:rsid w:val="355D092A"/>
    <w:rsid w:val="35D7257B"/>
    <w:rsid w:val="35EC149E"/>
    <w:rsid w:val="35EE5151"/>
    <w:rsid w:val="3600792F"/>
    <w:rsid w:val="361E4B80"/>
    <w:rsid w:val="363268B0"/>
    <w:rsid w:val="363E5DC7"/>
    <w:rsid w:val="364863F0"/>
    <w:rsid w:val="36BD4AD5"/>
    <w:rsid w:val="36EA2EF3"/>
    <w:rsid w:val="37305FF2"/>
    <w:rsid w:val="37926AC3"/>
    <w:rsid w:val="37AE6F16"/>
    <w:rsid w:val="37C80E48"/>
    <w:rsid w:val="37CF580A"/>
    <w:rsid w:val="37EA0216"/>
    <w:rsid w:val="37EDEEE6"/>
    <w:rsid w:val="38035659"/>
    <w:rsid w:val="38323646"/>
    <w:rsid w:val="387B208D"/>
    <w:rsid w:val="387B7C35"/>
    <w:rsid w:val="38BB18EB"/>
    <w:rsid w:val="38D32489"/>
    <w:rsid w:val="392774A6"/>
    <w:rsid w:val="394C33D5"/>
    <w:rsid w:val="397B72CC"/>
    <w:rsid w:val="39A04403"/>
    <w:rsid w:val="39C401DA"/>
    <w:rsid w:val="39DB58EF"/>
    <w:rsid w:val="39F479AE"/>
    <w:rsid w:val="3A453F55"/>
    <w:rsid w:val="3A62434D"/>
    <w:rsid w:val="3A8021DA"/>
    <w:rsid w:val="3A8521B0"/>
    <w:rsid w:val="3AE245DE"/>
    <w:rsid w:val="3B0D2CD2"/>
    <w:rsid w:val="3B0F4170"/>
    <w:rsid w:val="3B277B08"/>
    <w:rsid w:val="3B54266B"/>
    <w:rsid w:val="3B61416A"/>
    <w:rsid w:val="3B964177"/>
    <w:rsid w:val="3B9C4215"/>
    <w:rsid w:val="3BEFD89B"/>
    <w:rsid w:val="3C2D2B00"/>
    <w:rsid w:val="3C5A22D0"/>
    <w:rsid w:val="3C8759C0"/>
    <w:rsid w:val="3CE5500C"/>
    <w:rsid w:val="3D396C7C"/>
    <w:rsid w:val="3D4520CB"/>
    <w:rsid w:val="3DD0408A"/>
    <w:rsid w:val="3DDC2A4C"/>
    <w:rsid w:val="3DE322F3"/>
    <w:rsid w:val="3E3100B1"/>
    <w:rsid w:val="3E362599"/>
    <w:rsid w:val="3E664B99"/>
    <w:rsid w:val="3E8D1015"/>
    <w:rsid w:val="3E984202"/>
    <w:rsid w:val="3F4C14EF"/>
    <w:rsid w:val="40571CE8"/>
    <w:rsid w:val="406121DF"/>
    <w:rsid w:val="407E0F2B"/>
    <w:rsid w:val="408E3D89"/>
    <w:rsid w:val="41037F7F"/>
    <w:rsid w:val="414C48A8"/>
    <w:rsid w:val="41650F8E"/>
    <w:rsid w:val="417D0085"/>
    <w:rsid w:val="41801157"/>
    <w:rsid w:val="42862F6A"/>
    <w:rsid w:val="42887E08"/>
    <w:rsid w:val="429531AD"/>
    <w:rsid w:val="429B3C85"/>
    <w:rsid w:val="4311195E"/>
    <w:rsid w:val="4319505A"/>
    <w:rsid w:val="43660ED1"/>
    <w:rsid w:val="437F408F"/>
    <w:rsid w:val="43903A09"/>
    <w:rsid w:val="43B617C6"/>
    <w:rsid w:val="43D16466"/>
    <w:rsid w:val="43D7786D"/>
    <w:rsid w:val="4462201E"/>
    <w:rsid w:val="44637395"/>
    <w:rsid w:val="448A3D0B"/>
    <w:rsid w:val="44994355"/>
    <w:rsid w:val="44C24FB4"/>
    <w:rsid w:val="44CC6269"/>
    <w:rsid w:val="44DF4BB3"/>
    <w:rsid w:val="452E323B"/>
    <w:rsid w:val="453A003B"/>
    <w:rsid w:val="455A06DD"/>
    <w:rsid w:val="45971E19"/>
    <w:rsid w:val="45EA3329"/>
    <w:rsid w:val="45F823D0"/>
    <w:rsid w:val="46080139"/>
    <w:rsid w:val="461879B9"/>
    <w:rsid w:val="461F6313"/>
    <w:rsid w:val="46741DBA"/>
    <w:rsid w:val="467E21A7"/>
    <w:rsid w:val="46C67DD9"/>
    <w:rsid w:val="473C2B2E"/>
    <w:rsid w:val="47A67974"/>
    <w:rsid w:val="47E349BA"/>
    <w:rsid w:val="47E524E0"/>
    <w:rsid w:val="47F16027"/>
    <w:rsid w:val="48313978"/>
    <w:rsid w:val="484C5992"/>
    <w:rsid w:val="48566986"/>
    <w:rsid w:val="48715EF0"/>
    <w:rsid w:val="488E2187"/>
    <w:rsid w:val="48E44E8E"/>
    <w:rsid w:val="49162985"/>
    <w:rsid w:val="49321B27"/>
    <w:rsid w:val="496667FA"/>
    <w:rsid w:val="497D16CF"/>
    <w:rsid w:val="49A71A12"/>
    <w:rsid w:val="49B47DCC"/>
    <w:rsid w:val="49E039F6"/>
    <w:rsid w:val="4A0C2326"/>
    <w:rsid w:val="4A516389"/>
    <w:rsid w:val="4A585179"/>
    <w:rsid w:val="4A6F789F"/>
    <w:rsid w:val="4AB34B18"/>
    <w:rsid w:val="4AB5517C"/>
    <w:rsid w:val="4ACD0646"/>
    <w:rsid w:val="4B0E2C7E"/>
    <w:rsid w:val="4B582D53"/>
    <w:rsid w:val="4B5C0D0B"/>
    <w:rsid w:val="4B5D4A84"/>
    <w:rsid w:val="4B677B2F"/>
    <w:rsid w:val="4B69167A"/>
    <w:rsid w:val="4B9F6E4A"/>
    <w:rsid w:val="4BC863A1"/>
    <w:rsid w:val="4BEC745B"/>
    <w:rsid w:val="4C237A7B"/>
    <w:rsid w:val="4C487F19"/>
    <w:rsid w:val="4CC06EC6"/>
    <w:rsid w:val="4CC9483F"/>
    <w:rsid w:val="4CDB7AA2"/>
    <w:rsid w:val="4CF36C91"/>
    <w:rsid w:val="4CF626D0"/>
    <w:rsid w:val="4D785BA5"/>
    <w:rsid w:val="4DDF0ECE"/>
    <w:rsid w:val="4E2140F4"/>
    <w:rsid w:val="4E3F2D9E"/>
    <w:rsid w:val="4E690A4D"/>
    <w:rsid w:val="4E9F3BD0"/>
    <w:rsid w:val="4EA053B3"/>
    <w:rsid w:val="4EA72CE4"/>
    <w:rsid w:val="4EE61C92"/>
    <w:rsid w:val="4EF80DAD"/>
    <w:rsid w:val="4F022BC1"/>
    <w:rsid w:val="4F0E2627"/>
    <w:rsid w:val="4F271630"/>
    <w:rsid w:val="4F4B3C05"/>
    <w:rsid w:val="4F6F234F"/>
    <w:rsid w:val="4F7B372A"/>
    <w:rsid w:val="4F906FB7"/>
    <w:rsid w:val="4F9D5D96"/>
    <w:rsid w:val="4FA34B34"/>
    <w:rsid w:val="4FA74989"/>
    <w:rsid w:val="4FFC645A"/>
    <w:rsid w:val="50076843"/>
    <w:rsid w:val="501112F3"/>
    <w:rsid w:val="50141FA4"/>
    <w:rsid w:val="50166926"/>
    <w:rsid w:val="503153FA"/>
    <w:rsid w:val="5037533E"/>
    <w:rsid w:val="5056535A"/>
    <w:rsid w:val="50632B3C"/>
    <w:rsid w:val="506348EA"/>
    <w:rsid w:val="50C57353"/>
    <w:rsid w:val="51012441"/>
    <w:rsid w:val="510A745C"/>
    <w:rsid w:val="51307C7F"/>
    <w:rsid w:val="513328FC"/>
    <w:rsid w:val="5181369F"/>
    <w:rsid w:val="51A13350"/>
    <w:rsid w:val="51BB25F2"/>
    <w:rsid w:val="51FE2459"/>
    <w:rsid w:val="51FF4AE6"/>
    <w:rsid w:val="521D4930"/>
    <w:rsid w:val="524424F9"/>
    <w:rsid w:val="52585C54"/>
    <w:rsid w:val="52705BA2"/>
    <w:rsid w:val="52841AC9"/>
    <w:rsid w:val="52B92F75"/>
    <w:rsid w:val="52CE32A2"/>
    <w:rsid w:val="531C4BE8"/>
    <w:rsid w:val="531E68CD"/>
    <w:rsid w:val="533D5A7E"/>
    <w:rsid w:val="53764934"/>
    <w:rsid w:val="53794425"/>
    <w:rsid w:val="537B69F9"/>
    <w:rsid w:val="539531BF"/>
    <w:rsid w:val="53EE6BC1"/>
    <w:rsid w:val="54246E44"/>
    <w:rsid w:val="54414F42"/>
    <w:rsid w:val="54482775"/>
    <w:rsid w:val="54534C76"/>
    <w:rsid w:val="545C6AF1"/>
    <w:rsid w:val="54622C8E"/>
    <w:rsid w:val="54A43D7B"/>
    <w:rsid w:val="54D56656"/>
    <w:rsid w:val="55144405"/>
    <w:rsid w:val="55164621"/>
    <w:rsid w:val="55330D43"/>
    <w:rsid w:val="55957024"/>
    <w:rsid w:val="55A84374"/>
    <w:rsid w:val="55AA05EB"/>
    <w:rsid w:val="55CD4FBE"/>
    <w:rsid w:val="55E73EC2"/>
    <w:rsid w:val="564735D2"/>
    <w:rsid w:val="56791347"/>
    <w:rsid w:val="56C82D84"/>
    <w:rsid w:val="56F51BCF"/>
    <w:rsid w:val="573568B4"/>
    <w:rsid w:val="586631C9"/>
    <w:rsid w:val="588418A2"/>
    <w:rsid w:val="5894304C"/>
    <w:rsid w:val="58A92235"/>
    <w:rsid w:val="58BC23F6"/>
    <w:rsid w:val="59577BD8"/>
    <w:rsid w:val="598A2EE8"/>
    <w:rsid w:val="59D9651C"/>
    <w:rsid w:val="5A9C2FED"/>
    <w:rsid w:val="5B39665A"/>
    <w:rsid w:val="5B752213"/>
    <w:rsid w:val="5BD75000"/>
    <w:rsid w:val="5BE42D97"/>
    <w:rsid w:val="5BFF15A3"/>
    <w:rsid w:val="5C7C3E2D"/>
    <w:rsid w:val="5C807E1E"/>
    <w:rsid w:val="5D1B313B"/>
    <w:rsid w:val="5D3A4C25"/>
    <w:rsid w:val="5D6D6D7F"/>
    <w:rsid w:val="5D816391"/>
    <w:rsid w:val="5D8339C6"/>
    <w:rsid w:val="5D8E4107"/>
    <w:rsid w:val="5DA24FF7"/>
    <w:rsid w:val="5DA369D2"/>
    <w:rsid w:val="5DA46E28"/>
    <w:rsid w:val="5DA55635"/>
    <w:rsid w:val="5DA950A2"/>
    <w:rsid w:val="5DB82D9D"/>
    <w:rsid w:val="5DBB5A68"/>
    <w:rsid w:val="5DE14842"/>
    <w:rsid w:val="5E1A4FFD"/>
    <w:rsid w:val="5E910B3F"/>
    <w:rsid w:val="5F284930"/>
    <w:rsid w:val="5F781027"/>
    <w:rsid w:val="5F8139C6"/>
    <w:rsid w:val="5FB40AB0"/>
    <w:rsid w:val="5FB454AF"/>
    <w:rsid w:val="5FCD2C5A"/>
    <w:rsid w:val="5FE5356E"/>
    <w:rsid w:val="5FFC2665"/>
    <w:rsid w:val="602624D9"/>
    <w:rsid w:val="60307719"/>
    <w:rsid w:val="604638E0"/>
    <w:rsid w:val="608C1C3B"/>
    <w:rsid w:val="60A81128"/>
    <w:rsid w:val="60B66ADC"/>
    <w:rsid w:val="60DB22E9"/>
    <w:rsid w:val="611F660B"/>
    <w:rsid w:val="61555058"/>
    <w:rsid w:val="6156102A"/>
    <w:rsid w:val="61A92379"/>
    <w:rsid w:val="61D2367E"/>
    <w:rsid w:val="61FC694D"/>
    <w:rsid w:val="624D1745"/>
    <w:rsid w:val="62A84F30"/>
    <w:rsid w:val="62C21522"/>
    <w:rsid w:val="62E35BC0"/>
    <w:rsid w:val="62F162BF"/>
    <w:rsid w:val="62FC7815"/>
    <w:rsid w:val="630C0E11"/>
    <w:rsid w:val="633B2E22"/>
    <w:rsid w:val="633D62EA"/>
    <w:rsid w:val="634405AB"/>
    <w:rsid w:val="63765563"/>
    <w:rsid w:val="63E453B6"/>
    <w:rsid w:val="644A57F4"/>
    <w:rsid w:val="645273AA"/>
    <w:rsid w:val="65130235"/>
    <w:rsid w:val="651D684F"/>
    <w:rsid w:val="652F2B95"/>
    <w:rsid w:val="65356900"/>
    <w:rsid w:val="654523B9"/>
    <w:rsid w:val="65735178"/>
    <w:rsid w:val="659155FE"/>
    <w:rsid w:val="65BD63F3"/>
    <w:rsid w:val="65CE5557"/>
    <w:rsid w:val="65FD7CC9"/>
    <w:rsid w:val="662E111E"/>
    <w:rsid w:val="662F0EC4"/>
    <w:rsid w:val="666A0BEA"/>
    <w:rsid w:val="66861C48"/>
    <w:rsid w:val="66AE46A6"/>
    <w:rsid w:val="66DE592A"/>
    <w:rsid w:val="66E96DCF"/>
    <w:rsid w:val="66EE2624"/>
    <w:rsid w:val="67825B46"/>
    <w:rsid w:val="679153B2"/>
    <w:rsid w:val="67A36C5B"/>
    <w:rsid w:val="67D048F3"/>
    <w:rsid w:val="68295FC1"/>
    <w:rsid w:val="685E2658"/>
    <w:rsid w:val="686F3C52"/>
    <w:rsid w:val="68934217"/>
    <w:rsid w:val="68C90380"/>
    <w:rsid w:val="68CE25EC"/>
    <w:rsid w:val="692F61D9"/>
    <w:rsid w:val="69750E54"/>
    <w:rsid w:val="698C41EF"/>
    <w:rsid w:val="69BF35F2"/>
    <w:rsid w:val="69C77840"/>
    <w:rsid w:val="69C9609B"/>
    <w:rsid w:val="69CF4947"/>
    <w:rsid w:val="6A061F45"/>
    <w:rsid w:val="6A261D58"/>
    <w:rsid w:val="6A5A6906"/>
    <w:rsid w:val="6A5F25BE"/>
    <w:rsid w:val="6AB2229E"/>
    <w:rsid w:val="6ABF49BB"/>
    <w:rsid w:val="6ACE22AC"/>
    <w:rsid w:val="6B2C2051"/>
    <w:rsid w:val="6B463C1C"/>
    <w:rsid w:val="6BAF4D77"/>
    <w:rsid w:val="6BD47E37"/>
    <w:rsid w:val="6C2216A6"/>
    <w:rsid w:val="6C4E4249"/>
    <w:rsid w:val="6C741C07"/>
    <w:rsid w:val="6C745D41"/>
    <w:rsid w:val="6C8B1E87"/>
    <w:rsid w:val="6CD504C6"/>
    <w:rsid w:val="6CDA5356"/>
    <w:rsid w:val="6CDA5ADC"/>
    <w:rsid w:val="6CE025C3"/>
    <w:rsid w:val="6CF013AD"/>
    <w:rsid w:val="6CFF5D51"/>
    <w:rsid w:val="6D212753"/>
    <w:rsid w:val="6D7970A3"/>
    <w:rsid w:val="6D967C55"/>
    <w:rsid w:val="6DC63340"/>
    <w:rsid w:val="6DF26FC2"/>
    <w:rsid w:val="6DF80F7B"/>
    <w:rsid w:val="6DF95F1D"/>
    <w:rsid w:val="6F0931B7"/>
    <w:rsid w:val="6F1C4FAA"/>
    <w:rsid w:val="6F2D45E9"/>
    <w:rsid w:val="6F8E3205"/>
    <w:rsid w:val="6FA92DAA"/>
    <w:rsid w:val="6FBC59BA"/>
    <w:rsid w:val="705838E8"/>
    <w:rsid w:val="708C17E3"/>
    <w:rsid w:val="708C31DA"/>
    <w:rsid w:val="70A25CBC"/>
    <w:rsid w:val="70FC7F1F"/>
    <w:rsid w:val="71352A9F"/>
    <w:rsid w:val="715440AF"/>
    <w:rsid w:val="71744751"/>
    <w:rsid w:val="719A3A8C"/>
    <w:rsid w:val="71C271C9"/>
    <w:rsid w:val="71D15310"/>
    <w:rsid w:val="71F94C89"/>
    <w:rsid w:val="71FE3596"/>
    <w:rsid w:val="72026C0C"/>
    <w:rsid w:val="72163BDB"/>
    <w:rsid w:val="721C3F61"/>
    <w:rsid w:val="722F2426"/>
    <w:rsid w:val="724752F1"/>
    <w:rsid w:val="724759C2"/>
    <w:rsid w:val="72534572"/>
    <w:rsid w:val="72582049"/>
    <w:rsid w:val="727462F3"/>
    <w:rsid w:val="72FB61B9"/>
    <w:rsid w:val="731F06ED"/>
    <w:rsid w:val="7334520E"/>
    <w:rsid w:val="737516C5"/>
    <w:rsid w:val="73840DB4"/>
    <w:rsid w:val="74147B26"/>
    <w:rsid w:val="74714F78"/>
    <w:rsid w:val="749F1AE5"/>
    <w:rsid w:val="74CA0F89"/>
    <w:rsid w:val="74EF5803"/>
    <w:rsid w:val="75123F8E"/>
    <w:rsid w:val="75377B38"/>
    <w:rsid w:val="754E0E15"/>
    <w:rsid w:val="758F546C"/>
    <w:rsid w:val="75BE297E"/>
    <w:rsid w:val="75C37A55"/>
    <w:rsid w:val="75D94A2A"/>
    <w:rsid w:val="75E15658"/>
    <w:rsid w:val="76143E0D"/>
    <w:rsid w:val="7673709D"/>
    <w:rsid w:val="768725EE"/>
    <w:rsid w:val="769215F3"/>
    <w:rsid w:val="76A2766B"/>
    <w:rsid w:val="76A31467"/>
    <w:rsid w:val="76D0185E"/>
    <w:rsid w:val="76DD5153"/>
    <w:rsid w:val="76E86108"/>
    <w:rsid w:val="76ED4D83"/>
    <w:rsid w:val="76FC7E00"/>
    <w:rsid w:val="771527C9"/>
    <w:rsid w:val="771542E1"/>
    <w:rsid w:val="775C1F10"/>
    <w:rsid w:val="77A460F8"/>
    <w:rsid w:val="77D45F4A"/>
    <w:rsid w:val="77E043E3"/>
    <w:rsid w:val="781E74D2"/>
    <w:rsid w:val="78407BB7"/>
    <w:rsid w:val="789E5CA1"/>
    <w:rsid w:val="78D355ED"/>
    <w:rsid w:val="78D67AA0"/>
    <w:rsid w:val="78E0447A"/>
    <w:rsid w:val="7919798C"/>
    <w:rsid w:val="7929374A"/>
    <w:rsid w:val="792B20E6"/>
    <w:rsid w:val="795D1F6F"/>
    <w:rsid w:val="796706F8"/>
    <w:rsid w:val="797C64A0"/>
    <w:rsid w:val="799D14E6"/>
    <w:rsid w:val="79C8388C"/>
    <w:rsid w:val="79DB17E3"/>
    <w:rsid w:val="7A2F56B9"/>
    <w:rsid w:val="7A4874F5"/>
    <w:rsid w:val="7A551A0D"/>
    <w:rsid w:val="7A736149"/>
    <w:rsid w:val="7A813A3B"/>
    <w:rsid w:val="7B54736C"/>
    <w:rsid w:val="7B6E6AE7"/>
    <w:rsid w:val="7B8365E7"/>
    <w:rsid w:val="7BC41E31"/>
    <w:rsid w:val="7BD227A0"/>
    <w:rsid w:val="7C4215A3"/>
    <w:rsid w:val="7C5B523D"/>
    <w:rsid w:val="7C655EAF"/>
    <w:rsid w:val="7C7F0063"/>
    <w:rsid w:val="7CF90201"/>
    <w:rsid w:val="7D2A2168"/>
    <w:rsid w:val="7D8E0949"/>
    <w:rsid w:val="7DA94A5D"/>
    <w:rsid w:val="7DEE1C65"/>
    <w:rsid w:val="7E24363B"/>
    <w:rsid w:val="7E2B43EA"/>
    <w:rsid w:val="7E9743A0"/>
    <w:rsid w:val="7EB735F7"/>
    <w:rsid w:val="7EE043C7"/>
    <w:rsid w:val="7EE10F4C"/>
    <w:rsid w:val="7F264BB1"/>
    <w:rsid w:val="7F5F17A6"/>
    <w:rsid w:val="7FC95C68"/>
    <w:rsid w:val="7FCF08A9"/>
    <w:rsid w:val="7FDE7399"/>
    <w:rsid w:val="7FF32CE5"/>
    <w:rsid w:val="7FFD74CE"/>
    <w:rsid w:val="AF1FC235"/>
    <w:rsid w:val="B3EDC5F1"/>
    <w:rsid w:val="D176DDFA"/>
    <w:rsid w:val="EDDFD00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4"/>
    <w:next w:val="1"/>
    <w:link w:val="71"/>
    <w:qFormat/>
    <w:uiPriority w:val="0"/>
    <w:pPr>
      <w:keepNext/>
      <w:snapToGrid w:val="0"/>
      <w:spacing w:line="360" w:lineRule="atLeast"/>
      <w:jc w:val="center"/>
      <w:outlineLvl w:val="0"/>
    </w:pPr>
    <w:rPr>
      <w:rFonts w:ascii="宋体" w:hAnsi="宋体" w:eastAsia="宋体"/>
      <w:b/>
      <w:sz w:val="28"/>
    </w:rPr>
  </w:style>
  <w:style w:type="paragraph" w:styleId="7">
    <w:name w:val="heading 2"/>
    <w:basedOn w:val="1"/>
    <w:next w:val="1"/>
    <w:link w:val="72"/>
    <w:qFormat/>
    <w:uiPriority w:val="0"/>
    <w:pPr>
      <w:keepNext/>
      <w:keepLines/>
      <w:spacing w:before="20" w:beforeLines="0" w:beforeAutospacing="0" w:after="20" w:afterLines="0" w:afterAutospacing="0" w:line="240" w:lineRule="auto"/>
      <w:outlineLvl w:val="1"/>
    </w:pPr>
    <w:rPr>
      <w:rFonts w:ascii="Arial" w:hAnsi="Arial" w:eastAsia="宋体"/>
    </w:rPr>
  </w:style>
  <w:style w:type="paragraph" w:styleId="8">
    <w:name w:val="heading 3"/>
    <w:basedOn w:val="1"/>
    <w:next w:val="1"/>
    <w:link w:val="84"/>
    <w:qFormat/>
    <w:uiPriority w:val="0"/>
    <w:pPr>
      <w:keepNext/>
      <w:keepLines/>
      <w:spacing w:line="360" w:lineRule="auto"/>
      <w:ind w:left="100" w:leftChars="100" w:right="100" w:rightChars="100" w:firstLine="200" w:firstLineChars="200"/>
      <w:jc w:val="left"/>
      <w:outlineLvl w:val="2"/>
    </w:pPr>
  </w:style>
  <w:style w:type="paragraph" w:styleId="2">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9">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10">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11">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12">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3">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1">
    <w:name w:val="Default Paragraph Font"/>
    <w:qFormat/>
    <w:uiPriority w:val="0"/>
  </w:style>
  <w:style w:type="table" w:default="1" w:styleId="6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4">
    <w:name w:val="一级条标题"/>
    <w:basedOn w:val="5"/>
    <w:next w:val="6"/>
    <w:qFormat/>
    <w:uiPriority w:val="0"/>
    <w:pPr>
      <w:numPr>
        <w:ilvl w:val="1"/>
        <w:numId w:val="0"/>
      </w:numPr>
      <w:spacing w:before="0" w:beforeLines="0" w:beforeAutospacing="0" w:after="0" w:afterLines="0" w:afterAutospacing="0"/>
      <w:ind w:left="525"/>
      <w:outlineLvl w:val="2"/>
    </w:pPr>
    <w:rPr>
      <w:sz w:val="21"/>
    </w:rPr>
  </w:style>
  <w:style w:type="paragraph" w:customStyle="1" w:styleId="5">
    <w:name w:val="章标题"/>
    <w:next w:val="1"/>
    <w:qFormat/>
    <w:uiPriority w:val="0"/>
    <w:pPr>
      <w:numPr>
        <w:ilvl w:val="1"/>
        <w:numId w:val="1"/>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14">
    <w:name w:val="List 3"/>
    <w:basedOn w:val="1"/>
    <w:qFormat/>
    <w:uiPriority w:val="0"/>
    <w:pPr>
      <w:adjustRightInd w:val="0"/>
      <w:snapToGrid w:val="0"/>
      <w:spacing w:line="360" w:lineRule="auto"/>
      <w:ind w:left="100" w:leftChars="400" w:hanging="200" w:hangingChars="200"/>
    </w:pPr>
    <w:rPr>
      <w:sz w:val="24"/>
    </w:rPr>
  </w:style>
  <w:style w:type="paragraph" w:styleId="15">
    <w:name w:val="toc 7"/>
    <w:basedOn w:val="1"/>
    <w:next w:val="1"/>
    <w:qFormat/>
    <w:uiPriority w:val="0"/>
    <w:pPr>
      <w:ind w:left="2520" w:leftChars="1200"/>
    </w:pPr>
  </w:style>
  <w:style w:type="paragraph" w:styleId="16">
    <w:name w:val="List Number 2"/>
    <w:basedOn w:val="1"/>
    <w:qFormat/>
    <w:uiPriority w:val="0"/>
    <w:pPr>
      <w:numPr>
        <w:ilvl w:val="0"/>
        <w:numId w:val="2"/>
      </w:numPr>
      <w:tabs>
        <w:tab w:val="left" w:pos="780"/>
        <w:tab w:val="clear" w:pos="425"/>
      </w:tabs>
      <w:spacing w:line="360" w:lineRule="auto"/>
    </w:pPr>
    <w:rPr>
      <w:sz w:val="24"/>
    </w:rPr>
  </w:style>
  <w:style w:type="paragraph" w:styleId="17">
    <w:name w:val="List Bullet 4"/>
    <w:basedOn w:val="1"/>
    <w:qFormat/>
    <w:uiPriority w:val="0"/>
    <w:pPr>
      <w:widowControl/>
      <w:numPr>
        <w:ilvl w:val="0"/>
        <w:numId w:val="3"/>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8">
    <w:name w:val="Normal Indent"/>
    <w:basedOn w:val="1"/>
    <w:qFormat/>
    <w:uiPriority w:val="0"/>
    <w:pPr>
      <w:adjustRightInd w:val="0"/>
      <w:snapToGrid w:val="0"/>
      <w:spacing w:line="360" w:lineRule="auto"/>
      <w:ind w:firstLine="420"/>
    </w:pPr>
    <w:rPr>
      <w:sz w:val="24"/>
    </w:rPr>
  </w:style>
  <w:style w:type="paragraph" w:styleId="19">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20">
    <w:name w:val="Document Map"/>
    <w:basedOn w:val="1"/>
    <w:qFormat/>
    <w:uiPriority w:val="0"/>
    <w:pPr>
      <w:shd w:val="clear" w:color="auto" w:fill="000080"/>
    </w:pPr>
  </w:style>
  <w:style w:type="paragraph" w:styleId="21">
    <w:name w:val="toa heading"/>
    <w:basedOn w:val="1"/>
    <w:next w:val="1"/>
    <w:qFormat/>
    <w:uiPriority w:val="0"/>
    <w:pPr>
      <w:spacing w:before="120" w:beforeLines="0"/>
    </w:pPr>
    <w:rPr>
      <w:rFonts w:ascii="Arial" w:hAnsi="Arial"/>
      <w:sz w:val="24"/>
    </w:rPr>
  </w:style>
  <w:style w:type="paragraph" w:styleId="22">
    <w:name w:val="annotation text"/>
    <w:basedOn w:val="1"/>
    <w:link w:val="74"/>
    <w:qFormat/>
    <w:uiPriority w:val="0"/>
    <w:pPr>
      <w:adjustRightInd w:val="0"/>
      <w:spacing w:line="360" w:lineRule="atLeast"/>
      <w:jc w:val="left"/>
      <w:textAlignment w:val="baseline"/>
    </w:pPr>
    <w:rPr>
      <w:kern w:val="0"/>
      <w:sz w:val="24"/>
    </w:rPr>
  </w:style>
  <w:style w:type="paragraph" w:styleId="23">
    <w:name w:val="Body Text 3"/>
    <w:basedOn w:val="1"/>
    <w:qFormat/>
    <w:uiPriority w:val="0"/>
    <w:pPr>
      <w:adjustRightInd w:val="0"/>
      <w:snapToGrid w:val="0"/>
      <w:spacing w:after="120" w:afterLines="0" w:afterAutospacing="0" w:line="360" w:lineRule="auto"/>
    </w:pPr>
    <w:rPr>
      <w:sz w:val="16"/>
    </w:rPr>
  </w:style>
  <w:style w:type="paragraph" w:styleId="24">
    <w:name w:val="List Bullet 3"/>
    <w:basedOn w:val="1"/>
    <w:qFormat/>
    <w:uiPriority w:val="0"/>
    <w:pPr>
      <w:numPr>
        <w:ilvl w:val="0"/>
        <w:numId w:val="4"/>
      </w:numPr>
      <w:adjustRightInd w:val="0"/>
      <w:snapToGrid w:val="0"/>
      <w:spacing w:line="360" w:lineRule="auto"/>
    </w:pPr>
    <w:rPr>
      <w:sz w:val="24"/>
    </w:rPr>
  </w:style>
  <w:style w:type="paragraph" w:styleId="25">
    <w:name w:val="Body Text"/>
    <w:basedOn w:val="1"/>
    <w:next w:val="1"/>
    <w:qFormat/>
    <w:uiPriority w:val="0"/>
    <w:rPr>
      <w:rFonts w:ascii="仿宋_GB2312" w:eastAsia="仿宋_GB2312"/>
      <w:sz w:val="32"/>
    </w:rPr>
  </w:style>
  <w:style w:type="paragraph" w:styleId="26">
    <w:name w:val="Body Text Indent"/>
    <w:basedOn w:val="1"/>
    <w:link w:val="75"/>
    <w:qFormat/>
    <w:uiPriority w:val="0"/>
    <w:pPr>
      <w:spacing w:line="700" w:lineRule="exact"/>
      <w:ind w:left="960"/>
    </w:pPr>
    <w:rPr>
      <w:sz w:val="44"/>
    </w:rPr>
  </w:style>
  <w:style w:type="paragraph" w:styleId="27">
    <w:name w:val="List Number 3"/>
    <w:basedOn w:val="1"/>
    <w:qFormat/>
    <w:uiPriority w:val="0"/>
    <w:pPr>
      <w:tabs>
        <w:tab w:val="left" w:pos="2120"/>
      </w:tabs>
      <w:adjustRightInd w:val="0"/>
      <w:snapToGrid w:val="0"/>
      <w:spacing w:line="360" w:lineRule="auto"/>
      <w:ind w:left="2120" w:hanging="720"/>
    </w:pPr>
    <w:rPr>
      <w:sz w:val="24"/>
    </w:rPr>
  </w:style>
  <w:style w:type="paragraph" w:styleId="28">
    <w:name w:val="List 2"/>
    <w:basedOn w:val="1"/>
    <w:qFormat/>
    <w:uiPriority w:val="0"/>
    <w:pPr>
      <w:adjustRightInd w:val="0"/>
      <w:snapToGrid w:val="0"/>
      <w:spacing w:line="360" w:lineRule="auto"/>
      <w:ind w:left="100" w:leftChars="200" w:hanging="200" w:hangingChars="200"/>
    </w:pPr>
    <w:rPr>
      <w:sz w:val="24"/>
    </w:rPr>
  </w:style>
  <w:style w:type="paragraph" w:styleId="29">
    <w:name w:val="List Continue"/>
    <w:basedOn w:val="1"/>
    <w:qFormat/>
    <w:uiPriority w:val="0"/>
    <w:pPr>
      <w:adjustRightInd w:val="0"/>
      <w:snapToGrid w:val="0"/>
      <w:spacing w:after="120" w:afterLines="0" w:afterAutospacing="0" w:line="360" w:lineRule="auto"/>
      <w:ind w:left="420" w:leftChars="200"/>
    </w:pPr>
    <w:rPr>
      <w:sz w:val="24"/>
    </w:rPr>
  </w:style>
  <w:style w:type="paragraph" w:styleId="30">
    <w:name w:val="List Bullet 2"/>
    <w:basedOn w:val="1"/>
    <w:qFormat/>
    <w:uiPriority w:val="0"/>
    <w:pPr>
      <w:numPr>
        <w:ilvl w:val="0"/>
        <w:numId w:val="5"/>
      </w:numPr>
      <w:adjustRightInd w:val="0"/>
      <w:snapToGrid w:val="0"/>
      <w:spacing w:line="360" w:lineRule="auto"/>
    </w:pPr>
    <w:rPr>
      <w:sz w:val="24"/>
    </w:rPr>
  </w:style>
  <w:style w:type="paragraph" w:styleId="31">
    <w:name w:val="toc 5"/>
    <w:basedOn w:val="1"/>
    <w:next w:val="1"/>
    <w:qFormat/>
    <w:uiPriority w:val="0"/>
    <w:pPr>
      <w:ind w:left="1680" w:leftChars="800"/>
    </w:pPr>
  </w:style>
  <w:style w:type="paragraph" w:styleId="32">
    <w:name w:val="toc 3"/>
    <w:basedOn w:val="1"/>
    <w:next w:val="1"/>
    <w:qFormat/>
    <w:uiPriority w:val="39"/>
    <w:pPr>
      <w:ind w:left="840" w:leftChars="400"/>
    </w:pPr>
  </w:style>
  <w:style w:type="paragraph" w:styleId="33">
    <w:name w:val="Plain Text"/>
    <w:basedOn w:val="1"/>
    <w:link w:val="76"/>
    <w:qFormat/>
    <w:uiPriority w:val="0"/>
    <w:rPr>
      <w:rFonts w:ascii="宋体" w:hAnsi="Courier New"/>
      <w:sz w:val="21"/>
    </w:rPr>
  </w:style>
  <w:style w:type="paragraph" w:styleId="34">
    <w:name w:val="toc 8"/>
    <w:basedOn w:val="1"/>
    <w:next w:val="1"/>
    <w:qFormat/>
    <w:uiPriority w:val="0"/>
    <w:pPr>
      <w:ind w:left="2940" w:leftChars="1400"/>
    </w:pPr>
  </w:style>
  <w:style w:type="paragraph" w:styleId="35">
    <w:name w:val="Date"/>
    <w:basedOn w:val="1"/>
    <w:next w:val="1"/>
    <w:link w:val="77"/>
    <w:qFormat/>
    <w:uiPriority w:val="0"/>
  </w:style>
  <w:style w:type="paragraph" w:styleId="36">
    <w:name w:val="Body Text Indent 2"/>
    <w:basedOn w:val="1"/>
    <w:link w:val="78"/>
    <w:qFormat/>
    <w:uiPriority w:val="0"/>
    <w:pPr>
      <w:snapToGrid w:val="0"/>
      <w:spacing w:line="560" w:lineRule="atLeast"/>
      <w:ind w:firstLine="540"/>
    </w:pPr>
  </w:style>
  <w:style w:type="paragraph" w:styleId="37">
    <w:name w:val="Balloon Text"/>
    <w:basedOn w:val="1"/>
    <w:qFormat/>
    <w:uiPriority w:val="0"/>
    <w:rPr>
      <w:sz w:val="18"/>
    </w:rPr>
  </w:style>
  <w:style w:type="paragraph" w:styleId="38">
    <w:name w:val="footer"/>
    <w:basedOn w:val="1"/>
    <w:link w:val="79"/>
    <w:qFormat/>
    <w:uiPriority w:val="0"/>
    <w:pPr>
      <w:tabs>
        <w:tab w:val="center" w:pos="4153"/>
        <w:tab w:val="right" w:pos="8306"/>
      </w:tabs>
      <w:snapToGrid w:val="0"/>
      <w:jc w:val="left"/>
    </w:pPr>
    <w:rPr>
      <w:sz w:val="18"/>
    </w:rPr>
  </w:style>
  <w:style w:type="paragraph" w:styleId="39">
    <w:name w:val="header"/>
    <w:basedOn w:val="1"/>
    <w:link w:val="80"/>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qFormat/>
    <w:uiPriority w:val="39"/>
    <w:pPr>
      <w:spacing w:line="180" w:lineRule="auto"/>
      <w:jc w:val="center"/>
    </w:pPr>
    <w:rPr>
      <w:sz w:val="30"/>
    </w:rPr>
  </w:style>
  <w:style w:type="paragraph" w:styleId="41">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2">
    <w:name w:val="toc 4"/>
    <w:basedOn w:val="1"/>
    <w:next w:val="1"/>
    <w:qFormat/>
    <w:uiPriority w:val="0"/>
    <w:pPr>
      <w:ind w:left="1260" w:leftChars="600"/>
    </w:pPr>
  </w:style>
  <w:style w:type="paragraph" w:styleId="43">
    <w:name w:val="footnote text"/>
    <w:basedOn w:val="1"/>
    <w:link w:val="81"/>
    <w:qFormat/>
    <w:uiPriority w:val="0"/>
    <w:pPr>
      <w:spacing w:line="360" w:lineRule="auto"/>
    </w:pPr>
    <w:rPr>
      <w:sz w:val="18"/>
    </w:rPr>
  </w:style>
  <w:style w:type="paragraph" w:styleId="44">
    <w:name w:val="toc 6"/>
    <w:basedOn w:val="1"/>
    <w:next w:val="1"/>
    <w:qFormat/>
    <w:uiPriority w:val="0"/>
    <w:pPr>
      <w:ind w:left="2100" w:leftChars="1000"/>
    </w:pPr>
  </w:style>
  <w:style w:type="paragraph" w:styleId="45">
    <w:name w:val="List 5"/>
    <w:basedOn w:val="1"/>
    <w:qFormat/>
    <w:uiPriority w:val="0"/>
    <w:pPr>
      <w:adjustRightInd w:val="0"/>
      <w:snapToGrid w:val="0"/>
      <w:spacing w:line="360" w:lineRule="auto"/>
      <w:ind w:left="100" w:leftChars="800" w:hanging="200" w:hangingChars="200"/>
    </w:pPr>
    <w:rPr>
      <w:sz w:val="24"/>
    </w:rPr>
  </w:style>
  <w:style w:type="paragraph" w:styleId="46">
    <w:name w:val="Body Text Indent 3"/>
    <w:basedOn w:val="1"/>
    <w:qFormat/>
    <w:uiPriority w:val="0"/>
    <w:pPr>
      <w:spacing w:line="360" w:lineRule="auto"/>
      <w:ind w:firstLine="632"/>
    </w:pPr>
    <w:rPr>
      <w:rFonts w:ascii="黑体" w:eastAsia="黑体"/>
    </w:rPr>
  </w:style>
  <w:style w:type="paragraph" w:styleId="47">
    <w:name w:val="table of figures"/>
    <w:basedOn w:val="1"/>
    <w:next w:val="1"/>
    <w:qFormat/>
    <w:uiPriority w:val="0"/>
    <w:pPr>
      <w:tabs>
        <w:tab w:val="right" w:leader="dot" w:pos="8640"/>
      </w:tabs>
      <w:spacing w:line="360" w:lineRule="auto"/>
      <w:ind w:left="400" w:hanging="400"/>
    </w:pPr>
    <w:rPr>
      <w:sz w:val="24"/>
    </w:rPr>
  </w:style>
  <w:style w:type="paragraph" w:styleId="48">
    <w:name w:val="toc 2"/>
    <w:basedOn w:val="1"/>
    <w:next w:val="1"/>
    <w:qFormat/>
    <w:uiPriority w:val="39"/>
    <w:pPr>
      <w:ind w:left="420" w:leftChars="200"/>
    </w:pPr>
  </w:style>
  <w:style w:type="paragraph" w:styleId="49">
    <w:name w:val="toc 9"/>
    <w:basedOn w:val="1"/>
    <w:next w:val="1"/>
    <w:qFormat/>
    <w:uiPriority w:val="0"/>
    <w:pPr>
      <w:ind w:left="3360" w:leftChars="1600"/>
    </w:pPr>
  </w:style>
  <w:style w:type="paragraph" w:styleId="50">
    <w:name w:val="Body Text 2"/>
    <w:basedOn w:val="1"/>
    <w:qFormat/>
    <w:uiPriority w:val="0"/>
    <w:pPr>
      <w:adjustRightInd w:val="0"/>
      <w:snapToGrid w:val="0"/>
      <w:spacing w:after="120" w:afterLines="0" w:afterAutospacing="0" w:line="480" w:lineRule="auto"/>
    </w:pPr>
    <w:rPr>
      <w:sz w:val="24"/>
    </w:rPr>
  </w:style>
  <w:style w:type="paragraph" w:styleId="51">
    <w:name w:val="List 4"/>
    <w:basedOn w:val="1"/>
    <w:qFormat/>
    <w:uiPriority w:val="0"/>
    <w:pPr>
      <w:adjustRightInd w:val="0"/>
      <w:snapToGrid w:val="0"/>
      <w:spacing w:line="360" w:lineRule="auto"/>
      <w:ind w:left="100" w:leftChars="600" w:hanging="200" w:hangingChars="200"/>
    </w:pPr>
    <w:rPr>
      <w:sz w:val="24"/>
    </w:rPr>
  </w:style>
  <w:style w:type="paragraph" w:styleId="52">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3">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4">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5">
    <w:name w:val="index 1"/>
    <w:basedOn w:val="1"/>
    <w:next w:val="1"/>
    <w:qFormat/>
    <w:uiPriority w:val="0"/>
    <w:pPr>
      <w:adjustRightInd w:val="0"/>
      <w:spacing w:line="240" w:lineRule="atLeast"/>
      <w:textAlignment w:val="baseline"/>
    </w:pPr>
    <w:rPr>
      <w:rFonts w:ascii="宋体"/>
      <w:kern w:val="0"/>
      <w:sz w:val="21"/>
    </w:rPr>
  </w:style>
  <w:style w:type="paragraph" w:styleId="56">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7">
    <w:name w:val="annotation subject"/>
    <w:basedOn w:val="22"/>
    <w:next w:val="22"/>
    <w:link w:val="82"/>
    <w:qFormat/>
    <w:uiPriority w:val="0"/>
    <w:pPr>
      <w:adjustRightInd/>
      <w:spacing w:line="240" w:lineRule="auto"/>
      <w:textAlignment w:val="auto"/>
    </w:pPr>
  </w:style>
  <w:style w:type="paragraph" w:styleId="58">
    <w:name w:val="Body Text First Indent"/>
    <w:basedOn w:val="25"/>
    <w:qFormat/>
    <w:uiPriority w:val="0"/>
    <w:pPr>
      <w:spacing w:line="360" w:lineRule="auto"/>
      <w:ind w:firstLine="420"/>
    </w:pPr>
    <w:rPr>
      <w:rFonts w:ascii="宋体" w:hAnsi="宋体"/>
      <w:sz w:val="24"/>
    </w:rPr>
  </w:style>
  <w:style w:type="paragraph" w:styleId="59">
    <w:name w:val="Body Text First Indent 2"/>
    <w:basedOn w:val="26"/>
    <w:link w:val="83"/>
    <w:qFormat/>
    <w:uiPriority w:val="0"/>
    <w:pPr>
      <w:spacing w:after="120" w:afterLines="0" w:line="240" w:lineRule="auto"/>
      <w:ind w:left="420" w:leftChars="200" w:firstLine="420" w:firstLineChars="200"/>
    </w:pPr>
  </w:style>
  <w:style w:type="character" w:styleId="62">
    <w:name w:val="Strong"/>
    <w:qFormat/>
    <w:uiPriority w:val="22"/>
    <w:rPr>
      <w:b/>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paragraph" w:customStyle="1" w:styleId="69">
    <w:name w:val="样式3"/>
    <w:basedOn w:val="3"/>
    <w:next w:val="3"/>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70">
    <w:name w:val="无间隔1"/>
    <w:qFormat/>
    <w:uiPriority w:val="1"/>
    <w:pPr>
      <w:jc w:val="both"/>
    </w:pPr>
    <w:rPr>
      <w:rFonts w:ascii="Times New Roman" w:hAnsi="Times New Roman" w:eastAsia="Times New Roman" w:cs="Times New Roman"/>
      <w:lang w:val="en-US" w:eastAsia="zh-CN" w:bidi="ar-SA"/>
    </w:rPr>
  </w:style>
  <w:style w:type="character" w:customStyle="1" w:styleId="71">
    <w:name w:val="标题 1 字符"/>
    <w:link w:val="3"/>
    <w:qFormat/>
    <w:uiPriority w:val="0"/>
    <w:rPr>
      <w:rFonts w:ascii="宋体" w:hAnsi="宋体" w:eastAsia="宋体"/>
      <w:b/>
      <w:sz w:val="28"/>
    </w:rPr>
  </w:style>
  <w:style w:type="character" w:customStyle="1" w:styleId="72">
    <w:name w:val="标题 2 字符"/>
    <w:link w:val="7"/>
    <w:qFormat/>
    <w:uiPriority w:val="0"/>
    <w:rPr>
      <w:rFonts w:ascii="Arial" w:hAnsi="Arial" w:eastAsia="宋体"/>
      <w:kern w:val="2"/>
      <w:sz w:val="28"/>
    </w:rPr>
  </w:style>
  <w:style w:type="character" w:customStyle="1" w:styleId="73">
    <w:name w:val="标题 3 Char"/>
    <w:link w:val="8"/>
    <w:qFormat/>
    <w:uiPriority w:val="0"/>
    <w:rPr>
      <w:rFonts w:eastAsia="宋体"/>
      <w:b/>
      <w:kern w:val="2"/>
      <w:sz w:val="32"/>
      <w:lang w:val="en-US" w:eastAsia="zh-CN"/>
    </w:rPr>
  </w:style>
  <w:style w:type="character" w:customStyle="1" w:styleId="74">
    <w:name w:val="批注文字 字符"/>
    <w:link w:val="22"/>
    <w:qFormat/>
    <w:uiPriority w:val="0"/>
    <w:rPr>
      <w:sz w:val="24"/>
    </w:rPr>
  </w:style>
  <w:style w:type="character" w:customStyle="1" w:styleId="75">
    <w:name w:val="正文文本缩进 字符"/>
    <w:link w:val="26"/>
    <w:qFormat/>
    <w:uiPriority w:val="0"/>
    <w:rPr>
      <w:kern w:val="2"/>
      <w:sz w:val="44"/>
    </w:rPr>
  </w:style>
  <w:style w:type="character" w:customStyle="1" w:styleId="76">
    <w:name w:val="纯文本 字符"/>
    <w:link w:val="33"/>
    <w:qFormat/>
    <w:uiPriority w:val="0"/>
    <w:rPr>
      <w:rFonts w:ascii="宋体" w:hAnsi="Courier New"/>
      <w:kern w:val="2"/>
      <w:sz w:val="21"/>
    </w:rPr>
  </w:style>
  <w:style w:type="character" w:customStyle="1" w:styleId="77">
    <w:name w:val="日期 字符"/>
    <w:link w:val="35"/>
    <w:qFormat/>
    <w:uiPriority w:val="0"/>
    <w:rPr>
      <w:kern w:val="2"/>
      <w:sz w:val="28"/>
    </w:rPr>
  </w:style>
  <w:style w:type="character" w:customStyle="1" w:styleId="78">
    <w:name w:val="正文文本缩进 2 字符"/>
    <w:link w:val="36"/>
    <w:qFormat/>
    <w:uiPriority w:val="0"/>
    <w:rPr>
      <w:kern w:val="2"/>
      <w:sz w:val="28"/>
    </w:rPr>
  </w:style>
  <w:style w:type="character" w:customStyle="1" w:styleId="79">
    <w:name w:val="页脚 字符"/>
    <w:link w:val="38"/>
    <w:qFormat/>
    <w:uiPriority w:val="0"/>
    <w:rPr>
      <w:kern w:val="2"/>
      <w:sz w:val="18"/>
    </w:rPr>
  </w:style>
  <w:style w:type="character" w:customStyle="1" w:styleId="80">
    <w:name w:val="页眉 字符"/>
    <w:link w:val="39"/>
    <w:qFormat/>
    <w:uiPriority w:val="0"/>
    <w:rPr>
      <w:kern w:val="2"/>
      <w:sz w:val="18"/>
    </w:rPr>
  </w:style>
  <w:style w:type="character" w:customStyle="1" w:styleId="81">
    <w:name w:val="脚注文本 字符"/>
    <w:link w:val="43"/>
    <w:qFormat/>
    <w:uiPriority w:val="0"/>
    <w:rPr>
      <w:kern w:val="2"/>
      <w:sz w:val="18"/>
    </w:rPr>
  </w:style>
  <w:style w:type="character" w:customStyle="1" w:styleId="82">
    <w:name w:val="批注主题 字符"/>
    <w:link w:val="57"/>
    <w:qFormat/>
    <w:uiPriority w:val="0"/>
  </w:style>
  <w:style w:type="character" w:customStyle="1" w:styleId="83">
    <w:name w:val="正文文本首行缩进 2 字符"/>
    <w:link w:val="59"/>
    <w:qFormat/>
    <w:uiPriority w:val="0"/>
  </w:style>
  <w:style w:type="character" w:customStyle="1" w:styleId="84">
    <w:name w:val="标题 3 字符"/>
    <w:link w:val="8"/>
    <w:qFormat/>
    <w:uiPriority w:val="0"/>
    <w:rPr>
      <w:kern w:val="2"/>
      <w:sz w:val="28"/>
    </w:rPr>
  </w:style>
  <w:style w:type="character" w:customStyle="1" w:styleId="85">
    <w:name w:val="content-white1"/>
    <w:qFormat/>
    <w:uiPriority w:val="0"/>
    <w:rPr>
      <w:rFonts w:ascii="_x000B__x000C_" w:hAnsi="_x000B__x000C_"/>
      <w:color w:val="auto"/>
      <w:sz w:val="18"/>
      <w:u w:val="none"/>
    </w:rPr>
  </w:style>
  <w:style w:type="character" w:customStyle="1" w:styleId="86">
    <w:name w:val=" Char Char3"/>
    <w:qFormat/>
    <w:uiPriority w:val="0"/>
    <w:rPr>
      <w:rFonts w:eastAsia="宋体"/>
      <w:kern w:val="2"/>
      <w:sz w:val="18"/>
      <w:lang w:val="en-US" w:eastAsia="zh-CN"/>
    </w:rPr>
  </w:style>
  <w:style w:type="character" w:customStyle="1" w:styleId="87">
    <w:name w:val="Table Text Char Char Char Char"/>
    <w:link w:val="88"/>
    <w:qFormat/>
    <w:uiPriority w:val="0"/>
    <w:rPr>
      <w:rFonts w:ascii="Arial" w:hAnsi="Arial"/>
      <w:kern w:val="2"/>
      <w:sz w:val="18"/>
      <w:lang w:val="en-US" w:eastAsia="zh-CN" w:bidi="ar-SA"/>
    </w:rPr>
  </w:style>
  <w:style w:type="paragraph" w:customStyle="1" w:styleId="88">
    <w:name w:val="Table Text Char Char Char"/>
    <w:link w:val="87"/>
    <w:qFormat/>
    <w:uiPriority w:val="0"/>
    <w:pPr>
      <w:snapToGrid w:val="0"/>
      <w:spacing w:before="80" w:after="80"/>
    </w:pPr>
    <w:rPr>
      <w:rFonts w:ascii="Arial" w:hAnsi="Arial" w:eastAsia="宋体" w:cs="Times New Roman"/>
      <w:kern w:val="2"/>
      <w:sz w:val="18"/>
      <w:lang w:val="en-US" w:eastAsia="zh-CN" w:bidi="ar-SA"/>
    </w:rPr>
  </w:style>
  <w:style w:type="character" w:customStyle="1" w:styleId="89">
    <w:name w:val=" Char Char7"/>
    <w:qFormat/>
    <w:uiPriority w:val="0"/>
    <w:rPr>
      <w:rFonts w:ascii="宋体" w:hAnsi="宋体" w:eastAsia="宋体"/>
      <w:kern w:val="2"/>
      <w:sz w:val="28"/>
    </w:rPr>
  </w:style>
  <w:style w:type="character" w:customStyle="1" w:styleId="90">
    <w:name w:val="未命名11"/>
    <w:qFormat/>
    <w:uiPriority w:val="0"/>
    <w:rPr>
      <w:color w:val="77FFFF"/>
      <w:sz w:val="24"/>
    </w:rPr>
  </w:style>
  <w:style w:type="character" w:customStyle="1" w:styleId="91">
    <w:name w:val="小 Char"/>
    <w:qFormat/>
    <w:uiPriority w:val="0"/>
    <w:rPr>
      <w:rFonts w:ascii="宋体" w:hAnsi="Courier New" w:eastAsia="宋体"/>
      <w:kern w:val="2"/>
      <w:sz w:val="21"/>
      <w:lang w:val="en-US" w:eastAsia="zh-CN" w:bidi="ar-SA"/>
    </w:rPr>
  </w:style>
  <w:style w:type="character" w:customStyle="1" w:styleId="92">
    <w:name w:val="文字 Char"/>
    <w:link w:val="93"/>
    <w:qFormat/>
    <w:uiPriority w:val="0"/>
    <w:rPr>
      <w:rFonts w:ascii="宋体"/>
      <w:kern w:val="2"/>
      <w:sz w:val="28"/>
    </w:rPr>
  </w:style>
  <w:style w:type="paragraph" w:customStyle="1" w:styleId="93">
    <w:name w:val="文字"/>
    <w:basedOn w:val="1"/>
    <w:link w:val="92"/>
    <w:qFormat/>
    <w:uiPriority w:val="0"/>
    <w:pPr>
      <w:tabs>
        <w:tab w:val="left" w:pos="8520"/>
      </w:tabs>
      <w:spacing w:line="312" w:lineRule="auto"/>
      <w:ind w:right="-210" w:firstLine="556"/>
    </w:pPr>
    <w:rPr>
      <w:rFonts w:ascii="宋体"/>
    </w:rPr>
  </w:style>
  <w:style w:type="character" w:customStyle="1" w:styleId="94">
    <w:name w:val="v151"/>
    <w:qFormat/>
    <w:uiPriority w:val="0"/>
    <w:rPr>
      <w:sz w:val="18"/>
    </w:rPr>
  </w:style>
  <w:style w:type="character" w:customStyle="1" w:styleId="95">
    <w:name w:val=" Char Char2"/>
    <w:qFormat/>
    <w:uiPriority w:val="0"/>
    <w:rPr>
      <w:rFonts w:eastAsia="宋体"/>
      <w:kern w:val="2"/>
      <w:sz w:val="18"/>
      <w:lang w:val="en-US" w:eastAsia="zh-CN"/>
    </w:rPr>
  </w:style>
  <w:style w:type="character" w:customStyle="1" w:styleId="96">
    <w:name w:val="Table Text Char"/>
    <w:link w:val="97"/>
    <w:qFormat/>
    <w:uiPriority w:val="0"/>
    <w:rPr>
      <w:rFonts w:ascii="Arial" w:hAnsi="Arial"/>
      <w:kern w:val="2"/>
      <w:sz w:val="18"/>
      <w:lang w:val="en-US" w:eastAsia="zh-CN" w:bidi="ar-SA"/>
    </w:rPr>
  </w:style>
  <w:style w:type="paragraph" w:customStyle="1" w:styleId="97">
    <w:name w:val="Table Text"/>
    <w:link w:val="96"/>
    <w:qFormat/>
    <w:uiPriority w:val="0"/>
    <w:pPr>
      <w:snapToGrid w:val="0"/>
      <w:spacing w:before="80" w:after="80"/>
    </w:pPr>
    <w:rPr>
      <w:rFonts w:ascii="Arial" w:hAnsi="Arial" w:eastAsia="宋体" w:cs="Times New Roman"/>
      <w:kern w:val="2"/>
      <w:sz w:val="18"/>
      <w:lang w:val="en-US" w:eastAsia="zh-CN" w:bidi="ar-SA"/>
    </w:rPr>
  </w:style>
  <w:style w:type="character" w:customStyle="1" w:styleId="98">
    <w:name w:val="Table Heading Char Char"/>
    <w:qFormat/>
    <w:uiPriority w:val="0"/>
    <w:rPr>
      <w:rFonts w:ascii="Arial" w:hAnsi="Arial" w:eastAsia="黑体"/>
      <w:kern w:val="2"/>
      <w:sz w:val="18"/>
      <w:lang w:val="en-US" w:eastAsia="zh-CN"/>
    </w:rPr>
  </w:style>
  <w:style w:type="character" w:customStyle="1" w:styleId="99">
    <w:name w:val=" Char Char11"/>
    <w:qFormat/>
    <w:uiPriority w:val="0"/>
    <w:rPr>
      <w:rFonts w:ascii="宋体"/>
      <w:kern w:val="2"/>
      <w:sz w:val="28"/>
    </w:rPr>
  </w:style>
  <w:style w:type="character" w:customStyle="1" w:styleId="100">
    <w:name w:val="样式 宋体"/>
    <w:qFormat/>
    <w:uiPriority w:val="0"/>
    <w:rPr>
      <w:rFonts w:ascii="宋体" w:hAnsi="宋体" w:eastAsia="宋体"/>
      <w:sz w:val="28"/>
    </w:rPr>
  </w:style>
  <w:style w:type="character" w:customStyle="1" w:styleId="101">
    <w:name w:val="正文 + 三号 Char"/>
    <w:qFormat/>
    <w:uiPriority w:val="0"/>
    <w:rPr>
      <w:rFonts w:eastAsia="宋体"/>
      <w:kern w:val="2"/>
      <w:sz w:val="21"/>
      <w:lang w:val="en-US" w:eastAsia="zh-CN"/>
    </w:rPr>
  </w:style>
  <w:style w:type="character" w:customStyle="1" w:styleId="102">
    <w:name w:val="crowed11"/>
    <w:qFormat/>
    <w:uiPriority w:val="0"/>
    <w:rPr>
      <w:rFonts w:hint="default" w:ascii="_x000B__x000C_" w:hAnsi="_x000B__x000C_"/>
      <w:sz w:val="24"/>
    </w:rPr>
  </w:style>
  <w:style w:type="character" w:customStyle="1" w:styleId="103">
    <w:name w:val="font1"/>
    <w:qFormat/>
    <w:uiPriority w:val="0"/>
    <w:rPr>
      <w:color w:val="000000"/>
      <w:sz w:val="18"/>
    </w:rPr>
  </w:style>
  <w:style w:type="character" w:customStyle="1" w:styleId="104">
    <w:name w:val="H2 Char"/>
    <w:qFormat/>
    <w:uiPriority w:val="0"/>
    <w:rPr>
      <w:rFonts w:ascii="Arial" w:hAnsi="Arial" w:eastAsia="宋体"/>
      <w:kern w:val="2"/>
      <w:sz w:val="28"/>
      <w:lang w:val="en-US" w:eastAsia="zh-CN"/>
    </w:rPr>
  </w:style>
  <w:style w:type="character" w:customStyle="1" w:styleId="105">
    <w:name w:val=" Char Char4"/>
    <w:qFormat/>
    <w:uiPriority w:val="0"/>
    <w:rPr>
      <w:rFonts w:eastAsia="宋体"/>
      <w:b/>
      <w:kern w:val="2"/>
      <w:sz w:val="21"/>
      <w:lang w:val="en-US" w:eastAsia="zh-CN"/>
    </w:rPr>
  </w:style>
  <w:style w:type="character" w:customStyle="1" w:styleId="106">
    <w:name w:val="title_emph1"/>
    <w:qFormat/>
    <w:uiPriority w:val="0"/>
    <w:rPr>
      <w:rFonts w:hint="default" w:ascii="Arial" w:hAnsi="Arial"/>
      <w:b/>
      <w:sz w:val="20"/>
    </w:rPr>
  </w:style>
  <w:style w:type="character" w:customStyle="1" w:styleId="107">
    <w:name w:val=" Char Char6"/>
    <w:qFormat/>
    <w:uiPriority w:val="0"/>
    <w:rPr>
      <w:rFonts w:ascii="仿宋_GB2312" w:eastAsia="仿宋_GB2312"/>
      <w:kern w:val="2"/>
      <w:sz w:val="32"/>
    </w:rPr>
  </w:style>
  <w:style w:type="character" w:customStyle="1" w:styleId="108">
    <w:name w:val="top-det1"/>
    <w:qFormat/>
    <w:uiPriority w:val="0"/>
    <w:rPr>
      <w:b/>
      <w:color w:val="000000"/>
    </w:rPr>
  </w:style>
  <w:style w:type="character" w:customStyle="1" w:styleId="109">
    <w:name w:val=" Char Char5"/>
    <w:qFormat/>
    <w:uiPriority w:val="0"/>
    <w:rPr>
      <w:rFonts w:ascii="Arial" w:hAnsi="Arial" w:eastAsia="宋体"/>
      <w:b/>
      <w:smallCaps/>
      <w:kern w:val="28"/>
      <w:sz w:val="36"/>
      <w:lang w:val="en-US" w:eastAsia="en-US"/>
    </w:rPr>
  </w:style>
  <w:style w:type="character" w:customStyle="1" w:styleId="110">
    <w:name w:val="标书正文:  0.74 厘米 Char1"/>
    <w:qFormat/>
    <w:uiPriority w:val="0"/>
    <w:rPr>
      <w:rFonts w:eastAsia="宋体"/>
      <w:kern w:val="2"/>
      <w:sz w:val="24"/>
      <w:lang w:val="en-US" w:eastAsia="zh-CN"/>
    </w:rPr>
  </w:style>
  <w:style w:type="character" w:customStyle="1" w:styleId="111">
    <w:name w:val="Table Text Char1 Char"/>
    <w:qFormat/>
    <w:uiPriority w:val="0"/>
    <w:rPr>
      <w:rFonts w:ascii="Arial" w:hAnsi="Arial"/>
      <w:kern w:val="2"/>
      <w:sz w:val="18"/>
      <w:lang w:val="en-US" w:eastAsia="zh-CN" w:bidi="ar-SA"/>
    </w:rPr>
  </w:style>
  <w:style w:type="character" w:customStyle="1" w:styleId="112">
    <w:name w:val=" Char Char"/>
    <w:qFormat/>
    <w:uiPriority w:val="0"/>
    <w:rPr>
      <w:rFonts w:ascii="宋体" w:hAnsi="宋体" w:eastAsia="宋体"/>
      <w:kern w:val="2"/>
      <w:sz w:val="24"/>
      <w:lang w:val="en-US" w:eastAsia="zh-CN" w:bidi="ar-SA"/>
    </w:rPr>
  </w:style>
  <w:style w:type="paragraph" w:customStyle="1" w:styleId="113">
    <w:name w:val="IN Feature"/>
    <w:next w:val="114"/>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4">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5">
    <w:name w:val="表文字"/>
    <w:qFormat/>
    <w:uiPriority w:val="0"/>
    <w:rPr>
      <w:rFonts w:ascii="宋体" w:hAnsi="Times New Roman" w:eastAsia="宋体" w:cs="Times New Roman"/>
      <w:kern w:val="2"/>
      <w:lang w:val="en-US" w:eastAsia="zh-CN" w:bidi="ar-SA"/>
    </w:rPr>
  </w:style>
  <w:style w:type="paragraph" w:customStyle="1" w:styleId="11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17">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18">
    <w:name w:val="Char1 Char Char Char"/>
    <w:basedOn w:val="1"/>
    <w:qFormat/>
    <w:uiPriority w:val="0"/>
    <w:rPr>
      <w:rFonts w:ascii="Tahoma" w:hAnsi="Tahoma"/>
      <w:sz w:val="30"/>
    </w:rPr>
  </w:style>
  <w:style w:type="paragraph" w:customStyle="1" w:styleId="119">
    <w:name w:val="二级列表"/>
    <w:basedOn w:val="120"/>
    <w:next w:val="120"/>
    <w:qFormat/>
    <w:uiPriority w:val="0"/>
    <w:pPr>
      <w:tabs>
        <w:tab w:val="left" w:pos="2120"/>
      </w:tabs>
      <w:ind w:firstLine="0" w:firstLineChars="0"/>
    </w:pPr>
    <w:rPr>
      <w:b/>
    </w:rPr>
  </w:style>
  <w:style w:type="paragraph" w:customStyle="1" w:styleId="120">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21">
    <w:name w:val="00"/>
    <w:basedOn w:val="1"/>
    <w:qFormat/>
    <w:uiPriority w:val="0"/>
    <w:pPr>
      <w:autoSpaceDE w:val="0"/>
      <w:autoSpaceDN w:val="0"/>
      <w:adjustRightInd w:val="0"/>
      <w:jc w:val="left"/>
    </w:pPr>
    <w:rPr>
      <w:rFonts w:ascii="黑体" w:eastAsia="黑体"/>
      <w:b/>
      <w:kern w:val="0"/>
      <w:sz w:val="20"/>
    </w:rPr>
  </w:style>
  <w:style w:type="paragraph" w:customStyle="1" w:styleId="122">
    <w:name w:val="1.正文"/>
    <w:basedOn w:val="1"/>
    <w:qFormat/>
    <w:uiPriority w:val="0"/>
    <w:pPr>
      <w:spacing w:line="360" w:lineRule="auto"/>
      <w:ind w:left="540" w:leftChars="225" w:firstLine="540" w:firstLineChars="225"/>
    </w:pPr>
    <w:rPr>
      <w:sz w:val="24"/>
    </w:rPr>
  </w:style>
  <w:style w:type="paragraph" w:customStyle="1" w:styleId="123">
    <w:name w:val="内容标题"/>
    <w:basedOn w:val="20"/>
    <w:qFormat/>
    <w:uiPriority w:val="0"/>
    <w:rPr>
      <w:rFonts w:ascii="Tahoma" w:hAnsi="Tahoma"/>
      <w:sz w:val="24"/>
    </w:rPr>
  </w:style>
  <w:style w:type="paragraph" w:customStyle="1" w:styleId="124">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25">
    <w:name w:val="表头"/>
    <w:basedOn w:val="126"/>
    <w:qFormat/>
    <w:uiPriority w:val="0"/>
    <w:pPr>
      <w:jc w:val="center"/>
    </w:pPr>
    <w:rPr>
      <w:b/>
      <w:bCs/>
    </w:rPr>
  </w:style>
  <w:style w:type="paragraph" w:customStyle="1" w:styleId="126">
    <w:name w:val="表格正文"/>
    <w:basedOn w:val="1"/>
    <w:qFormat/>
    <w:uiPriority w:val="0"/>
    <w:rPr>
      <w:rFonts w:ascii="Calibri" w:hAnsi="Calibri" w:eastAsia="仿宋" w:cs="宋体"/>
      <w:sz w:val="24"/>
    </w:rPr>
  </w:style>
  <w:style w:type="paragraph" w:customStyle="1" w:styleId="127">
    <w:name w:val="正文1"/>
    <w:basedOn w:val="1"/>
    <w:qFormat/>
    <w:uiPriority w:val="0"/>
    <w:pPr>
      <w:spacing w:line="300" w:lineRule="auto"/>
      <w:ind w:firstLine="200" w:firstLineChars="200"/>
    </w:pPr>
    <w:rPr>
      <w:sz w:val="24"/>
    </w:rPr>
  </w:style>
  <w:style w:type="paragraph" w:customStyle="1" w:styleId="128">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29">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30">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3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3">
    <w:name w:val="Title - Date"/>
    <w:basedOn w:val="56"/>
    <w:next w:val="1"/>
    <w:qFormat/>
    <w:uiPriority w:val="0"/>
    <w:pPr>
      <w:spacing w:before="240" w:beforeLines="0" w:beforeAutospacing="0" w:after="720" w:afterLines="0" w:afterAutospacing="0"/>
    </w:pPr>
    <w:rPr>
      <w:sz w:val="28"/>
    </w:rPr>
  </w:style>
  <w:style w:type="paragraph" w:customStyle="1" w:styleId="134">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35">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36">
    <w:name w:val=" Char1 Char Char Char"/>
    <w:basedOn w:val="1"/>
    <w:qFormat/>
    <w:uiPriority w:val="0"/>
    <w:rPr>
      <w:rFonts w:ascii="Tahoma" w:hAnsi="Tahoma"/>
      <w:sz w:val="24"/>
    </w:rPr>
  </w:style>
  <w:style w:type="paragraph" w:customStyle="1" w:styleId="137">
    <w:name w:val=" Char1"/>
    <w:basedOn w:val="1"/>
    <w:qFormat/>
    <w:uiPriority w:val="0"/>
    <w:rPr>
      <w:sz w:val="21"/>
    </w:rPr>
  </w:style>
  <w:style w:type="paragraph" w:customStyle="1" w:styleId="138">
    <w:name w:val="表头样式"/>
    <w:basedOn w:val="1"/>
    <w:qFormat/>
    <w:uiPriority w:val="0"/>
    <w:pPr>
      <w:autoSpaceDE w:val="0"/>
      <w:autoSpaceDN w:val="0"/>
      <w:adjustRightInd w:val="0"/>
      <w:spacing w:line="360" w:lineRule="auto"/>
      <w:jc w:val="left"/>
    </w:pPr>
    <w:rPr>
      <w:b/>
      <w:kern w:val="0"/>
      <w:sz w:val="21"/>
    </w:rPr>
  </w:style>
  <w:style w:type="paragraph" w:customStyle="1" w:styleId="139">
    <w:name w:val="样式 正文缩进正文（首行缩进两字）表正文正文非缩进特点标题4段1 + 首行缩进:  2 字符"/>
    <w:basedOn w:val="18"/>
    <w:qFormat/>
    <w:uiPriority w:val="0"/>
    <w:pPr>
      <w:ind w:firstLine="480" w:firstLineChars="200"/>
    </w:pPr>
  </w:style>
  <w:style w:type="paragraph" w:customStyle="1" w:styleId="140">
    <w:name w:val="样式4"/>
    <w:basedOn w:val="2"/>
    <w:qFormat/>
    <w:uiPriority w:val="0"/>
    <w:pPr>
      <w:adjustRightInd w:val="0"/>
      <w:snapToGrid w:val="0"/>
    </w:pPr>
  </w:style>
  <w:style w:type="paragraph" w:customStyle="1" w:styleId="141">
    <w:name w:val="Body Text Indent 2"/>
    <w:basedOn w:val="1"/>
    <w:qFormat/>
    <w:uiPriority w:val="0"/>
    <w:pPr>
      <w:adjustRightInd w:val="0"/>
      <w:spacing w:before="120" w:beforeLines="0" w:beforeAutospacing="0"/>
      <w:ind w:firstLine="420"/>
      <w:textAlignment w:val="baseline"/>
    </w:pPr>
    <w:rPr>
      <w:sz w:val="24"/>
    </w:rPr>
  </w:style>
  <w:style w:type="paragraph" w:customStyle="1" w:styleId="142">
    <w:name w:val="首行缩进 1"/>
    <w:basedOn w:val="1"/>
    <w:qFormat/>
    <w:uiPriority w:val="0"/>
    <w:pPr>
      <w:spacing w:after="120" w:afterLines="0" w:afterAutospacing="0" w:line="360" w:lineRule="auto"/>
      <w:ind w:firstLine="200" w:firstLineChars="200"/>
    </w:pPr>
    <w:rPr>
      <w:sz w:val="24"/>
    </w:rPr>
  </w:style>
  <w:style w:type="paragraph" w:customStyle="1" w:styleId="143">
    <w:name w:val="样式 首行缩进:  0.74 厘米"/>
    <w:basedOn w:val="1"/>
    <w:qFormat/>
    <w:uiPriority w:val="0"/>
    <w:pPr>
      <w:spacing w:line="360" w:lineRule="auto"/>
      <w:ind w:firstLine="420"/>
    </w:pPr>
    <w:rPr>
      <w:sz w:val="24"/>
    </w:rPr>
  </w:style>
  <w:style w:type="paragraph" w:customStyle="1" w:styleId="144">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45">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4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47">
    <w:name w:val="Title - Revision"/>
    <w:basedOn w:val="56"/>
    <w:qFormat/>
    <w:uiPriority w:val="0"/>
    <w:pPr>
      <w:spacing w:before="720" w:beforeLines="0" w:beforeAutospacing="0"/>
    </w:pPr>
  </w:style>
  <w:style w:type="paragraph" w:customStyle="1" w:styleId="148">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4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50">
    <w:name w:val="1"/>
    <w:basedOn w:val="1"/>
    <w:next w:val="33"/>
    <w:qFormat/>
    <w:uiPriority w:val="0"/>
    <w:rPr>
      <w:rFonts w:ascii="宋体" w:hAnsi="Courier New"/>
      <w:sz w:val="21"/>
    </w:rPr>
  </w:style>
  <w:style w:type="paragraph" w:customStyle="1" w:styleId="151">
    <w:name w:val="Table Contents"/>
    <w:basedOn w:val="25"/>
    <w:qFormat/>
    <w:uiPriority w:val="0"/>
    <w:pPr>
      <w:suppressAutoHyphens/>
      <w:jc w:val="left"/>
    </w:pPr>
    <w:rPr>
      <w:rFonts w:ascii="Times New Roman" w:eastAsia="Times New Roman"/>
      <w:kern w:val="0"/>
      <w:sz w:val="24"/>
    </w:rPr>
  </w:style>
  <w:style w:type="paragraph" w:customStyle="1" w:styleId="152">
    <w:name w:val="Item Step in Table"/>
    <w:qFormat/>
    <w:uiPriority w:val="0"/>
    <w:pPr>
      <w:numPr>
        <w:ilvl w:val="0"/>
        <w:numId w:val="1"/>
      </w:numPr>
      <w:tabs>
        <w:tab w:val="left" w:pos="397"/>
      </w:tabs>
      <w:spacing w:before="40" w:after="40"/>
      <w:jc w:val="both"/>
    </w:pPr>
    <w:rPr>
      <w:rFonts w:ascii="Arial" w:hAnsi="Arial" w:eastAsia="宋体" w:cs="Times New Roman"/>
      <w:sz w:val="18"/>
      <w:lang w:val="en-US" w:eastAsia="zh-CN" w:bidi="ar-SA"/>
    </w:rPr>
  </w:style>
  <w:style w:type="paragraph" w:customStyle="1" w:styleId="15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54">
    <w:name w:val="Char Char Char Char Char Char Char"/>
    <w:basedOn w:val="20"/>
    <w:qFormat/>
    <w:uiPriority w:val="0"/>
    <w:rPr>
      <w:rFonts w:ascii="宋体" w:hAnsi="Tahoma"/>
    </w:rPr>
  </w:style>
  <w:style w:type="paragraph" w:customStyle="1" w:styleId="155">
    <w:name w:val="默认段落字体 Para Char Char Char Char Char Char Char Char Char1 Char Char Char Char"/>
    <w:basedOn w:val="1"/>
    <w:qFormat/>
    <w:uiPriority w:val="0"/>
    <w:rPr>
      <w:rFonts w:ascii="Tahoma" w:hAnsi="Tahoma"/>
      <w:sz w:val="24"/>
    </w:rPr>
  </w:style>
  <w:style w:type="paragraph" w:customStyle="1" w:styleId="156">
    <w:name w:val="标题无"/>
    <w:basedOn w:val="1"/>
    <w:qFormat/>
    <w:uiPriority w:val="0"/>
    <w:pPr>
      <w:spacing w:line="360" w:lineRule="auto"/>
    </w:pPr>
    <w:rPr>
      <w:sz w:val="24"/>
    </w:rPr>
  </w:style>
  <w:style w:type="paragraph" w:customStyle="1" w:styleId="157">
    <w:name w:val="样式1"/>
    <w:basedOn w:val="2"/>
    <w:qFormat/>
    <w:uiPriority w:val="0"/>
    <w:pPr>
      <w:tabs>
        <w:tab w:val="left" w:pos="720"/>
      </w:tabs>
      <w:spacing w:before="500" w:beforeLines="0" w:beforeAutospacing="0" w:after="260" w:afterLines="0" w:afterAutospacing="0" w:line="560" w:lineRule="atLeast"/>
      <w:ind w:left="420" w:hanging="420"/>
    </w:pPr>
  </w:style>
  <w:style w:type="paragraph" w:customStyle="1" w:styleId="158">
    <w:name w:val="二级条标题"/>
    <w:basedOn w:val="4"/>
    <w:next w:val="6"/>
    <w:qFormat/>
    <w:uiPriority w:val="0"/>
    <w:pPr>
      <w:ind w:left="840"/>
      <w:outlineLvl w:val="3"/>
    </w:pPr>
  </w:style>
  <w:style w:type="paragraph" w:customStyle="1" w:styleId="159">
    <w:name w:val="_"/>
    <w:basedOn w:val="1"/>
    <w:qFormat/>
    <w:uiPriority w:val="0"/>
    <w:pPr>
      <w:adjustRightInd w:val="0"/>
      <w:spacing w:line="360" w:lineRule="auto"/>
      <w:ind w:left="480" w:firstLine="200" w:firstLineChars="200"/>
      <w:textAlignment w:val="baseline"/>
    </w:pPr>
    <w:rPr>
      <w:kern w:val="0"/>
      <w:sz w:val="24"/>
    </w:rPr>
  </w:style>
  <w:style w:type="paragraph" w:customStyle="1" w:styleId="160">
    <w:name w:val="关键词"/>
    <w:basedOn w:val="1"/>
    <w:next w:val="1"/>
    <w:qFormat/>
    <w:uiPriority w:val="0"/>
    <w:pPr>
      <w:spacing w:line="360" w:lineRule="auto"/>
    </w:pPr>
    <w:rPr>
      <w:rFonts w:eastAsia="黑体"/>
      <w:sz w:val="20"/>
    </w:rPr>
  </w:style>
  <w:style w:type="paragraph" w:customStyle="1" w:styleId="161">
    <w:name w:val="样式2"/>
    <w:basedOn w:val="2"/>
    <w:qFormat/>
    <w:uiPriority w:val="0"/>
    <w:pPr>
      <w:numPr>
        <w:ilvl w:val="0"/>
        <w:numId w:val="6"/>
      </w:numPr>
      <w:spacing w:before="560" w:beforeLines="0" w:line="400" w:lineRule="exact"/>
      <w:jc w:val="center"/>
      <w:outlineLvl w:val="0"/>
    </w:pPr>
    <w:rPr>
      <w:b w:val="0"/>
      <w:sz w:val="44"/>
    </w:rPr>
  </w:style>
  <w:style w:type="paragraph" w:customStyle="1" w:styleId="162">
    <w:name w:val="表头文本"/>
    <w:qFormat/>
    <w:uiPriority w:val="0"/>
    <w:pPr>
      <w:jc w:val="center"/>
    </w:pPr>
    <w:rPr>
      <w:rFonts w:ascii="Arial" w:hAnsi="Arial" w:eastAsia="宋体" w:cs="Times New Roman"/>
      <w:b/>
      <w:sz w:val="21"/>
      <w:lang w:val="en-US" w:eastAsia="zh-CN" w:bidi="ar-SA"/>
    </w:rPr>
  </w:style>
  <w:style w:type="paragraph" w:customStyle="1" w:styleId="163">
    <w:name w:val="_Style 161"/>
    <w:qFormat/>
    <w:uiPriority w:val="0"/>
    <w:rPr>
      <w:rFonts w:ascii="Times New Roman" w:hAnsi="Times New Roman" w:eastAsia="宋体" w:cs="Times New Roman"/>
      <w:kern w:val="2"/>
      <w:sz w:val="21"/>
      <w:lang w:val="en-US" w:eastAsia="zh-CN" w:bidi="ar-SA"/>
    </w:rPr>
  </w:style>
  <w:style w:type="paragraph" w:customStyle="1" w:styleId="164">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65">
    <w:name w:val="样式 标题 1 + 居中 段前: 6 磅 段后: 6 磅 行距: 1.5 倍行距"/>
    <w:basedOn w:val="3"/>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166">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67">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69">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0">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71">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72">
    <w:name w:val="样式1xz"/>
    <w:basedOn w:val="1"/>
    <w:qFormat/>
    <w:uiPriority w:val="0"/>
    <w:pPr>
      <w:tabs>
        <w:tab w:val="left" w:pos="1050"/>
        <w:tab w:val="right" w:leader="dot" w:pos="8296"/>
      </w:tabs>
    </w:pPr>
    <w:rPr>
      <w:caps/>
      <w:spacing w:val="20"/>
      <w:sz w:val="24"/>
    </w:rPr>
  </w:style>
  <w:style w:type="paragraph" w:customStyle="1" w:styleId="173">
    <w:name w:val="样式 宋体 五号 行距: 单倍行距"/>
    <w:basedOn w:val="1"/>
    <w:qFormat/>
    <w:uiPriority w:val="0"/>
    <w:pPr>
      <w:adjustRightInd w:val="0"/>
      <w:jc w:val="left"/>
    </w:pPr>
    <w:rPr>
      <w:rFonts w:ascii="宋体" w:hAnsi="宋体"/>
      <w:kern w:val="0"/>
      <w:sz w:val="21"/>
    </w:rPr>
  </w:style>
  <w:style w:type="paragraph" w:customStyle="1" w:styleId="174">
    <w:name w:val="图片文字"/>
    <w:basedOn w:val="1"/>
    <w:qFormat/>
    <w:uiPriority w:val="0"/>
    <w:pPr>
      <w:spacing w:line="240" w:lineRule="atLeast"/>
      <w:jc w:val="center"/>
    </w:pPr>
    <w:rPr>
      <w:sz w:val="21"/>
    </w:rPr>
  </w:style>
  <w:style w:type="paragraph" w:customStyle="1" w:styleId="175">
    <w:name w:val="Char"/>
    <w:basedOn w:val="1"/>
    <w:qFormat/>
    <w:uiPriority w:val="0"/>
    <w:pPr>
      <w:spacing w:line="240" w:lineRule="atLeast"/>
      <w:ind w:left="420" w:firstLine="420"/>
    </w:pPr>
    <w:rPr>
      <w:kern w:val="0"/>
      <w:sz w:val="21"/>
    </w:rPr>
  </w:style>
  <w:style w:type="paragraph" w:customStyle="1" w:styleId="176">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77">
    <w:name w:val="Note"/>
    <w:basedOn w:val="1"/>
    <w:qFormat/>
    <w:uiPriority w:val="0"/>
    <w:pPr>
      <w:pBdr>
        <w:top w:val="single" w:color="auto" w:sz="12" w:space="3"/>
        <w:bottom w:val="single" w:color="auto" w:sz="12" w:space="3"/>
      </w:pBdr>
      <w:spacing w:line="360" w:lineRule="auto"/>
    </w:pPr>
    <w:rPr>
      <w:sz w:val="24"/>
    </w:rPr>
  </w:style>
  <w:style w:type="paragraph" w:customStyle="1" w:styleId="178">
    <w:name w:val=" Char"/>
    <w:basedOn w:val="1"/>
    <w:qFormat/>
    <w:uiPriority w:val="0"/>
    <w:pPr>
      <w:spacing w:line="240" w:lineRule="atLeast"/>
      <w:ind w:left="420" w:firstLine="420"/>
    </w:pPr>
    <w:rPr>
      <w:kern w:val="0"/>
      <w:sz w:val="21"/>
    </w:rPr>
  </w:style>
  <w:style w:type="paragraph" w:customStyle="1" w:styleId="179">
    <w:name w:val=" Char Char Char"/>
    <w:basedOn w:val="1"/>
    <w:qFormat/>
    <w:uiPriority w:val="0"/>
    <w:rPr>
      <w:rFonts w:ascii="Tahoma" w:hAnsi="Tahoma"/>
      <w:sz w:val="24"/>
    </w:rPr>
  </w:style>
  <w:style w:type="paragraph" w:customStyle="1" w:styleId="180">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81">
    <w:name w:val="标书正文:  0.74 厘米"/>
    <w:basedOn w:val="1"/>
    <w:qFormat/>
    <w:uiPriority w:val="0"/>
    <w:pPr>
      <w:snapToGrid w:val="0"/>
      <w:spacing w:line="360" w:lineRule="auto"/>
      <w:ind w:firstLine="420"/>
    </w:pPr>
    <w:rPr>
      <w:sz w:val="24"/>
    </w:rPr>
  </w:style>
  <w:style w:type="paragraph" w:customStyle="1" w:styleId="182">
    <w:name w:val=" Char Char 字元 字元 字元 Char Char Char Char"/>
    <w:basedOn w:val="1"/>
    <w:qFormat/>
    <w:uiPriority w:val="0"/>
    <w:pPr>
      <w:adjustRightInd w:val="0"/>
      <w:spacing w:line="360" w:lineRule="auto"/>
    </w:pPr>
    <w:rPr>
      <w:kern w:val="0"/>
      <w:sz w:val="24"/>
    </w:rPr>
  </w:style>
  <w:style w:type="paragraph" w:customStyle="1" w:styleId="183">
    <w:name w:val="样式 标题 6第五层条 + 三号 段前: 0.5 行"/>
    <w:basedOn w:val="10"/>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84">
    <w:name w:val="列表项目"/>
    <w:basedOn w:val="1"/>
    <w:qFormat/>
    <w:uiPriority w:val="0"/>
    <w:pPr>
      <w:numPr>
        <w:ilvl w:val="0"/>
        <w:numId w:val="4"/>
      </w:numPr>
      <w:tabs>
        <w:tab w:val="left" w:pos="420"/>
        <w:tab w:val="clear" w:pos="1200"/>
      </w:tabs>
      <w:spacing w:line="288" w:lineRule="auto"/>
      <w:ind w:left="840" w:leftChars="200" w:hanging="420" w:hangingChars="200"/>
    </w:pPr>
    <w:rPr>
      <w:sz w:val="21"/>
    </w:rPr>
  </w:style>
  <w:style w:type="paragraph" w:customStyle="1" w:styleId="185">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86">
    <w:name w:val=" Char Char14 Char Char"/>
    <w:basedOn w:val="1"/>
    <w:qFormat/>
    <w:uiPriority w:val="0"/>
    <w:rPr>
      <w:sz w:val="21"/>
      <w:szCs w:val="24"/>
    </w:rPr>
  </w:style>
  <w:style w:type="paragraph" w:customStyle="1" w:styleId="187">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88">
    <w:name w:val="可研正文"/>
    <w:basedOn w:val="25"/>
    <w:qFormat/>
    <w:uiPriority w:val="0"/>
    <w:pPr>
      <w:adjustRightInd w:val="0"/>
      <w:snapToGrid w:val="0"/>
      <w:spacing w:line="440" w:lineRule="exact"/>
      <w:ind w:firstLine="567"/>
    </w:pPr>
    <w:rPr>
      <w:sz w:val="28"/>
    </w:rPr>
  </w:style>
  <w:style w:type="paragraph" w:customStyle="1" w:styleId="189">
    <w:name w:val="标题2"/>
    <w:basedOn w:val="7"/>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90">
    <w:name w:val="首行缩进"/>
    <w:basedOn w:val="1"/>
    <w:qFormat/>
    <w:uiPriority w:val="0"/>
    <w:pPr>
      <w:numPr>
        <w:ilvl w:val="0"/>
        <w:numId w:val="8"/>
      </w:numPr>
      <w:spacing w:line="360" w:lineRule="auto"/>
    </w:pPr>
    <w:rPr>
      <w:rFonts w:eastAsia="仿宋_GB2312"/>
    </w:rPr>
  </w:style>
  <w:style w:type="paragraph" w:customStyle="1" w:styleId="191">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92">
    <w:name w:val="正文 + 三号"/>
    <w:basedOn w:val="1"/>
    <w:qFormat/>
    <w:uiPriority w:val="0"/>
    <w:rPr>
      <w:sz w:val="21"/>
    </w:rPr>
  </w:style>
  <w:style w:type="paragraph" w:customStyle="1" w:styleId="193">
    <w:name w:val=" Char Char1 Char"/>
    <w:basedOn w:val="1"/>
    <w:qFormat/>
    <w:uiPriority w:val="0"/>
    <w:rPr>
      <w:rFonts w:ascii="Tahoma" w:hAnsi="Tahoma"/>
      <w:sz w:val="24"/>
      <w:szCs w:val="24"/>
    </w:rPr>
  </w:style>
  <w:style w:type="paragraph" w:customStyle="1" w:styleId="194">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9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96">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97">
    <w:name w:val="bt"/>
    <w:basedOn w:val="1"/>
    <w:next w:val="25"/>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98">
    <w:name w:val="样式 正文首行缩进 2 + 首行缩进:  2 字符"/>
    <w:basedOn w:val="1"/>
    <w:qFormat/>
    <w:uiPriority w:val="0"/>
    <w:pPr>
      <w:numPr>
        <w:ilvl w:val="0"/>
        <w:numId w:val="9"/>
      </w:numPr>
      <w:adjustRightInd w:val="0"/>
      <w:snapToGrid w:val="0"/>
      <w:spacing w:line="360" w:lineRule="auto"/>
    </w:pPr>
    <w:rPr>
      <w:rFonts w:ascii="Arial" w:hAnsi="Arial"/>
      <w:b/>
      <w:sz w:val="24"/>
    </w:rPr>
  </w:style>
  <w:style w:type="paragraph" w:customStyle="1" w:styleId="199">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00">
    <w:name w:val="摘要"/>
    <w:basedOn w:val="1"/>
    <w:next w:val="7"/>
    <w:qFormat/>
    <w:uiPriority w:val="0"/>
    <w:pPr>
      <w:spacing w:line="360" w:lineRule="auto"/>
    </w:pPr>
    <w:rPr>
      <w:rFonts w:eastAsia="黑体"/>
      <w:sz w:val="20"/>
    </w:rPr>
  </w:style>
  <w:style w:type="paragraph" w:customStyle="1" w:styleId="201">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02">
    <w:name w:val="正文（首行不缩进）"/>
    <w:basedOn w:val="1"/>
    <w:qFormat/>
    <w:uiPriority w:val="0"/>
    <w:pPr>
      <w:autoSpaceDE w:val="0"/>
      <w:autoSpaceDN w:val="0"/>
      <w:adjustRightInd w:val="0"/>
      <w:spacing w:line="360" w:lineRule="auto"/>
      <w:jc w:val="left"/>
    </w:pPr>
    <w:rPr>
      <w:kern w:val="0"/>
      <w:sz w:val="21"/>
    </w:rPr>
  </w:style>
  <w:style w:type="paragraph" w:customStyle="1" w:styleId="203">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4">
    <w:name w:val="CSS1级正文 Char"/>
    <w:basedOn w:val="25"/>
    <w:qFormat/>
    <w:uiPriority w:val="0"/>
    <w:pPr>
      <w:adjustRightInd w:val="0"/>
      <w:snapToGrid w:val="0"/>
      <w:spacing w:line="360" w:lineRule="auto"/>
      <w:ind w:firstLine="480"/>
    </w:pPr>
    <w:rPr>
      <w:rFonts w:ascii="Times New Roman" w:eastAsia="宋体"/>
      <w:sz w:val="24"/>
    </w:rPr>
  </w:style>
  <w:style w:type="paragraph" w:customStyle="1" w:styleId="20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06">
    <w:name w:val="操作步骤"/>
    <w:basedOn w:val="1"/>
    <w:qFormat/>
    <w:uiPriority w:val="0"/>
    <w:pPr>
      <w:numPr>
        <w:ilvl w:val="0"/>
        <w:numId w:val="10"/>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7">
    <w:name w:val=" Char2 Char Char Char Char Char Char"/>
    <w:basedOn w:val="1"/>
    <w:qFormat/>
    <w:uiPriority w:val="0"/>
    <w:rPr>
      <w:rFonts w:ascii="仿宋_GB2312"/>
      <w:b/>
      <w:sz w:val="30"/>
    </w:rPr>
  </w:style>
  <w:style w:type="paragraph" w:customStyle="1" w:styleId="208">
    <w:name w:val="简单回函地址"/>
    <w:basedOn w:val="1"/>
    <w:qFormat/>
    <w:uiPriority w:val="0"/>
    <w:pPr>
      <w:adjustRightInd w:val="0"/>
      <w:snapToGrid w:val="0"/>
      <w:spacing w:line="360" w:lineRule="auto"/>
    </w:pPr>
    <w:rPr>
      <w:sz w:val="24"/>
    </w:rPr>
  </w:style>
  <w:style w:type="paragraph" w:customStyle="1" w:styleId="209">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10">
    <w:name w:val="样式 标题 1章标题Heading 0Section HeadPIM 1H1h11st levell11H1..."/>
    <w:basedOn w:val="3"/>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21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212">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13">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14">
    <w:name w:val="Style Heading 3h3Heading 3 - oldLevel 3 HeadH3level_3PIM 3se..."/>
    <w:basedOn w:val="8"/>
    <w:qFormat/>
    <w:uiPriority w:val="0"/>
    <w:pPr>
      <w:numPr>
        <w:ilvl w:val="2"/>
        <w:numId w:val="3"/>
      </w:numPr>
      <w:tabs>
        <w:tab w:val="left" w:pos="709"/>
        <w:tab w:val="left" w:pos="1620"/>
      </w:tabs>
      <w:spacing w:line="413" w:lineRule="auto"/>
    </w:pPr>
  </w:style>
  <w:style w:type="paragraph" w:customStyle="1" w:styleId="215">
    <w:name w:val="文本1"/>
    <w:basedOn w:val="1"/>
    <w:qFormat/>
    <w:uiPriority w:val="0"/>
    <w:pPr>
      <w:adjustRightInd w:val="0"/>
      <w:spacing w:line="312" w:lineRule="atLeast"/>
      <w:jc w:val="center"/>
      <w:textAlignment w:val="baseline"/>
    </w:pPr>
    <w:rPr>
      <w:kern w:val="0"/>
      <w:sz w:val="18"/>
    </w:rPr>
  </w:style>
  <w:style w:type="paragraph" w:customStyle="1" w:styleId="216">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7">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18">
    <w:name w:val="标题3——2"/>
    <w:basedOn w:val="8"/>
    <w:next w:val="58"/>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19">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20">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21">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22">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23">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24">
    <w:name w:val="af"/>
    <w:basedOn w:val="1"/>
    <w:qFormat/>
    <w:uiPriority w:val="0"/>
    <w:pPr>
      <w:widowControl/>
      <w:spacing w:line="300" w:lineRule="atLeast"/>
      <w:jc w:val="left"/>
    </w:pPr>
    <w:rPr>
      <w:rFonts w:ascii="宋体" w:hAnsi="宋体"/>
      <w:kern w:val="0"/>
      <w:sz w:val="18"/>
    </w:rPr>
  </w:style>
  <w:style w:type="paragraph" w:customStyle="1" w:styleId="225">
    <w:name w:val="文章正文"/>
    <w:basedOn w:val="1"/>
    <w:qFormat/>
    <w:uiPriority w:val="0"/>
    <w:pPr>
      <w:ind w:firstLine="560" w:firstLineChars="200"/>
    </w:pPr>
    <w:rPr>
      <w:rFonts w:ascii="仿宋_GB2312" w:hAnsi="宋体" w:eastAsia="仿宋_GB2312"/>
      <w:color w:val="000000"/>
    </w:rPr>
  </w:style>
  <w:style w:type="paragraph" w:customStyle="1" w:styleId="226">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27">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28">
    <w:name w:val=" Char Char Char Char Char"/>
    <w:basedOn w:val="1"/>
    <w:qFormat/>
    <w:uiPriority w:val="0"/>
    <w:pPr>
      <w:numPr>
        <w:ilvl w:val="0"/>
        <w:numId w:val="3"/>
      </w:numPr>
      <w:tabs>
        <w:tab w:val="left" w:pos="425"/>
        <w:tab w:val="clear" w:pos="1620"/>
      </w:tabs>
    </w:pPr>
    <w:rPr>
      <w:rFonts w:ascii="Tahoma" w:hAnsi="Tahoma"/>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31">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32">
    <w:name w:val="默认段落字体 Para Char Char Char Char Char Char Char"/>
    <w:basedOn w:val="1"/>
    <w:qFormat/>
    <w:uiPriority w:val="0"/>
    <w:rPr>
      <w:rFonts w:ascii="Tahoma" w:hAnsi="Tahoma"/>
      <w:sz w:val="24"/>
    </w:rPr>
  </w:style>
  <w:style w:type="paragraph" w:customStyle="1" w:styleId="233">
    <w:name w:val="编号正文"/>
    <w:basedOn w:val="203"/>
    <w:qFormat/>
    <w:uiPriority w:val="0"/>
    <w:pPr>
      <w:snapToGrid/>
      <w:spacing w:line="360" w:lineRule="auto"/>
      <w:ind w:left="1407" w:hanging="1047"/>
      <w:jc w:val="left"/>
    </w:pPr>
    <w:rPr>
      <w:rFonts w:eastAsia="仿宋_GB2312"/>
    </w:rPr>
  </w:style>
  <w:style w:type="paragraph" w:customStyle="1" w:styleId="234">
    <w:name w:val="表格内文字"/>
    <w:basedOn w:val="33"/>
    <w:qFormat/>
    <w:uiPriority w:val="0"/>
    <w:pPr>
      <w:adjustRightInd w:val="0"/>
    </w:pPr>
    <w:rPr>
      <w:color w:val="000000"/>
      <w:lang w:val="en-GB"/>
    </w:rPr>
  </w:style>
  <w:style w:type="paragraph" w:customStyle="1" w:styleId="235">
    <w:name w:val="样式 行距: 1.5 倍行距1"/>
    <w:basedOn w:val="1"/>
    <w:qFormat/>
    <w:uiPriority w:val="0"/>
    <w:pPr>
      <w:snapToGrid w:val="0"/>
    </w:pPr>
    <w:rPr>
      <w:sz w:val="21"/>
    </w:rPr>
  </w:style>
  <w:style w:type="paragraph" w:customStyle="1" w:styleId="236">
    <w:name w:val=" Char Char Char Char Char Char Char"/>
    <w:basedOn w:val="1"/>
    <w:qFormat/>
    <w:uiPriority w:val="0"/>
    <w:rPr>
      <w:rFonts w:ascii="Tahoma" w:hAnsi="Tahoma"/>
      <w:sz w:val="24"/>
    </w:rPr>
  </w:style>
  <w:style w:type="paragraph" w:customStyle="1" w:styleId="237">
    <w:name w:val="表格文本"/>
    <w:qFormat/>
    <w:uiPriority w:val="0"/>
    <w:pPr>
      <w:tabs>
        <w:tab w:val="decimal" w:pos="0"/>
      </w:tabs>
    </w:pPr>
    <w:rPr>
      <w:rFonts w:ascii="Arial" w:hAnsi="Arial" w:eastAsia="宋体" w:cs="Times New Roman"/>
      <w:sz w:val="21"/>
      <w:lang w:val="en-US" w:eastAsia="zh-CN" w:bidi="ar-SA"/>
    </w:rPr>
  </w:style>
  <w:style w:type="paragraph" w:customStyle="1" w:styleId="238">
    <w:name w:val="正文表格"/>
    <w:basedOn w:val="1"/>
    <w:qFormat/>
    <w:uiPriority w:val="0"/>
    <w:pPr>
      <w:adjustRightInd w:val="0"/>
      <w:spacing w:before="40" w:beforeLines="0" w:beforeAutospacing="0" w:after="40" w:afterLines="0" w:afterAutospacing="0"/>
    </w:pPr>
    <w:rPr>
      <w:sz w:val="24"/>
    </w:rPr>
  </w:style>
  <w:style w:type="paragraph" w:customStyle="1" w:styleId="23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40">
    <w:name w:val=" Char Char Char Char Char Char Char Char Char Char Char Char Char Char Char Char"/>
    <w:basedOn w:val="1"/>
    <w:qFormat/>
    <w:uiPriority w:val="0"/>
    <w:pPr>
      <w:tabs>
        <w:tab w:val="left" w:pos="360"/>
      </w:tabs>
    </w:pPr>
    <w:rPr>
      <w:sz w:val="24"/>
    </w:rPr>
  </w:style>
  <w:style w:type="paragraph" w:customStyle="1" w:styleId="241">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42">
    <w:name w:val="标准正文"/>
    <w:basedOn w:val="26"/>
    <w:qFormat/>
    <w:uiPriority w:val="0"/>
    <w:pPr>
      <w:spacing w:before="60" w:beforeLines="0" w:after="60" w:afterLines="0" w:line="360" w:lineRule="auto"/>
      <w:ind w:left="0" w:firstLine="482"/>
    </w:pPr>
    <w:rPr>
      <w:rFonts w:ascii="Arial" w:hAnsi="Arial"/>
      <w:sz w:val="24"/>
    </w:rPr>
  </w:style>
  <w:style w:type="character" w:customStyle="1" w:styleId="243">
    <w:name w:val="font81"/>
    <w:basedOn w:val="61"/>
    <w:qFormat/>
    <w:uiPriority w:val="0"/>
    <w:rPr>
      <w:rFonts w:hint="eastAsia" w:ascii="方正仿宋_GBK" w:hAnsi="方正仿宋_GBK" w:eastAsia="方正仿宋_GBK" w:cs="方正仿宋_GBK"/>
      <w:color w:val="000000"/>
      <w:sz w:val="20"/>
      <w:szCs w:val="20"/>
      <w:u w:val="none"/>
    </w:rPr>
  </w:style>
  <w:style w:type="character" w:customStyle="1" w:styleId="244">
    <w:name w:val="font91"/>
    <w:basedOn w:val="61"/>
    <w:qFormat/>
    <w:uiPriority w:val="0"/>
    <w:rPr>
      <w:rFonts w:hint="eastAsia" w:ascii="方正仿宋_GBK" w:hAnsi="方正仿宋_GBK" w:eastAsia="方正仿宋_GBK" w:cs="方正仿宋_GBK"/>
      <w:b/>
      <w:bCs/>
      <w:color w:val="000000"/>
      <w:sz w:val="20"/>
      <w:szCs w:val="20"/>
      <w:u w:val="none"/>
    </w:rPr>
  </w:style>
  <w:style w:type="character" w:customStyle="1" w:styleId="245">
    <w:name w:val="font41"/>
    <w:basedOn w:val="61"/>
    <w:qFormat/>
    <w:uiPriority w:val="0"/>
    <w:rPr>
      <w:rFonts w:hint="eastAsia" w:ascii="宋体" w:hAnsi="宋体" w:eastAsia="宋体" w:cs="宋体"/>
      <w:color w:val="000000"/>
      <w:sz w:val="20"/>
      <w:szCs w:val="20"/>
      <w:u w:val="none"/>
    </w:rPr>
  </w:style>
  <w:style w:type="paragraph" w:customStyle="1" w:styleId="24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53</Pages>
  <Words>2254</Words>
  <Characters>2447</Characters>
  <Lines>430</Lines>
  <Paragraphs>121</Paragraphs>
  <TotalTime>3</TotalTime>
  <ScaleCrop>false</ScaleCrop>
  <LinksUpToDate>false</LinksUpToDate>
  <CharactersWithSpaces>2511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2022-06-14T08:38:00Z</dcterms:created>
  <dc:creator>罗成</dc:creator>
  <cp:lastModifiedBy>二妹</cp:lastModifiedBy>
  <cp:lastPrinted>2025-10-23T03:06:00Z</cp:lastPrinted>
  <dcterms:modified xsi:type="dcterms:W3CDTF">2025-10-29T10:16:54Z</dcterms:modified>
  <dc:title>竞争性谈判文件</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A5B735886E8A4442809A61426BE42F5B_13</vt:lpwstr>
  </property>
  <property fmtid="{D5CDD505-2E9C-101B-9397-08002B2CF9AE}" pid="4" name="KSOTemplateDocerSaveRecord">
    <vt:lpwstr>eyJoZGlkIjoiMDFhOTk3Y2MxNmZjYTAyN2RiZGRlZTIxMTkzNGNkZmEiLCJ1c2VySWQiOiI5OTAzMTIxMDQifQ==</vt:lpwstr>
  </property>
</Properties>
</file>