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322DAE3">
      <w:pPr>
        <w:pStyle w:val="25"/>
        <w:spacing w:line="240" w:lineRule="auto"/>
        <w:ind w:left="0"/>
        <w:jc w:val="center"/>
        <w:rPr>
          <w:rFonts w:hint="eastAsia" w:ascii="仿宋" w:hAnsi="仿宋" w:eastAsia="仿宋" w:cs="仿宋"/>
          <w:color w:val="auto"/>
          <w:sz w:val="60"/>
          <w:szCs w:val="60"/>
          <w:highlight w:val="none"/>
        </w:rPr>
      </w:pPr>
      <w:bookmarkStart w:id="0" w:name="_Toc21750"/>
      <w:bookmarkStart w:id="1" w:name="_Toc23648"/>
      <w:bookmarkStart w:id="2" w:name="_Toc20816"/>
      <w:bookmarkStart w:id="3" w:name="_Toc136879882"/>
      <w:bookmarkStart w:id="4" w:name="_Toc16015"/>
      <w:bookmarkStart w:id="5" w:name="_Toc15146"/>
      <w:bookmarkStart w:id="6" w:name="_Toc21122"/>
      <w:bookmarkStart w:id="7" w:name="_Toc136880102"/>
      <w:bookmarkStart w:id="8" w:name="_Toc136879634"/>
      <w:bookmarkStart w:id="9" w:name="_Toc1828"/>
      <w:bookmarkStart w:id="10" w:name="_Toc31915"/>
      <w:bookmarkStart w:id="11" w:name="_Toc136879793"/>
      <w:bookmarkStart w:id="12" w:name="_Toc3073"/>
      <w:bookmarkStart w:id="13" w:name="_Toc12923"/>
      <w:bookmarkStart w:id="14" w:name="_Toc30901"/>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1F3EA80E">
      <w:pPr>
        <w:pStyle w:val="25"/>
        <w:spacing w:line="240" w:lineRule="auto"/>
        <w:ind w:left="0"/>
        <w:jc w:val="center"/>
        <w:rPr>
          <w:rFonts w:hint="eastAsia" w:ascii="仿宋" w:hAnsi="仿宋" w:eastAsia="仿宋" w:cs="仿宋"/>
          <w:color w:val="auto"/>
          <w:sz w:val="60"/>
          <w:szCs w:val="60"/>
          <w:highlight w:val="none"/>
        </w:rPr>
      </w:pPr>
      <w:r>
        <w:rPr>
          <w:rFonts w:hint="eastAsia" w:ascii="仿宋" w:hAnsi="仿宋" w:eastAsia="仿宋" w:cs="仿宋"/>
          <w:color w:val="auto"/>
          <w:sz w:val="60"/>
          <w:szCs w:val="60"/>
          <w:highlight w:val="none"/>
          <w:lang w:eastAsia="zh-CN"/>
        </w:rPr>
        <w:t>小额交易平台</w:t>
      </w:r>
      <w:bookmarkStart w:id="15" w:name="_Toc136879635"/>
      <w:bookmarkStart w:id="16" w:name="_Toc136879794"/>
      <w:bookmarkStart w:id="17" w:name="_Toc28014"/>
      <w:bookmarkStart w:id="18" w:name="_Toc156"/>
      <w:bookmarkStart w:id="19" w:name="_Toc136880103"/>
      <w:bookmarkStart w:id="20" w:name="_Toc16319"/>
      <w:bookmarkStart w:id="21" w:name="_Toc136879883"/>
      <w:bookmarkStart w:id="22" w:name="_Toc25539"/>
      <w:bookmarkStart w:id="23" w:name="_Toc12859"/>
      <w:bookmarkStart w:id="24" w:name="_Toc7828"/>
      <w:bookmarkStart w:id="25" w:name="_Toc5521"/>
      <w:bookmarkStart w:id="26" w:name="_Toc31652"/>
      <w:bookmarkStart w:id="27" w:name="_Toc21695"/>
      <w:bookmarkStart w:id="28" w:name="_Toc5958"/>
      <w:bookmarkStart w:id="29" w:name="_Toc6223"/>
      <w:r>
        <w:rPr>
          <w:rFonts w:hint="eastAsia" w:ascii="仿宋" w:hAnsi="仿宋" w:eastAsia="仿宋" w:cs="仿宋"/>
          <w:color w:val="auto"/>
          <w:sz w:val="60"/>
          <w:szCs w:val="60"/>
          <w:highlight w:val="none"/>
        </w:rPr>
        <w:t>网上竞采采购文件</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739D35E6">
      <w:pPr>
        <w:pStyle w:val="25"/>
        <w:spacing w:line="240" w:lineRule="auto"/>
        <w:ind w:left="0"/>
        <w:jc w:val="center"/>
        <w:rPr>
          <w:rFonts w:hint="eastAsia" w:ascii="仿宋" w:hAnsi="仿宋" w:eastAsia="仿宋" w:cs="仿宋"/>
          <w:color w:val="auto"/>
          <w:sz w:val="80"/>
          <w:szCs w:val="80"/>
          <w:highlight w:val="none"/>
        </w:rPr>
      </w:pPr>
    </w:p>
    <w:p w14:paraId="5657C31C">
      <w:pPr>
        <w:pStyle w:val="25"/>
        <w:spacing w:line="500" w:lineRule="exact"/>
        <w:ind w:left="0"/>
        <w:rPr>
          <w:rFonts w:hint="eastAsia" w:ascii="仿宋" w:hAnsi="仿宋" w:eastAsia="仿宋" w:cs="仿宋"/>
          <w:color w:val="auto"/>
          <w:sz w:val="32"/>
          <w:highlight w:val="none"/>
        </w:rPr>
      </w:pPr>
    </w:p>
    <w:p w14:paraId="73B2C114">
      <w:pPr>
        <w:pStyle w:val="25"/>
        <w:spacing w:line="500" w:lineRule="exact"/>
        <w:ind w:left="0"/>
        <w:rPr>
          <w:rFonts w:hint="eastAsia" w:ascii="仿宋" w:hAnsi="仿宋" w:eastAsia="仿宋" w:cs="仿宋"/>
          <w:color w:val="auto"/>
          <w:sz w:val="52"/>
          <w:szCs w:val="52"/>
          <w:highlight w:val="none"/>
        </w:rPr>
      </w:pPr>
    </w:p>
    <w:p w14:paraId="731337F5">
      <w:pPr>
        <w:pStyle w:val="25"/>
        <w:spacing w:line="500" w:lineRule="exact"/>
        <w:ind w:left="0"/>
        <w:rPr>
          <w:rFonts w:hint="eastAsia" w:ascii="仿宋" w:hAnsi="仿宋" w:eastAsia="仿宋" w:cs="仿宋"/>
          <w:color w:val="auto"/>
          <w:sz w:val="32"/>
          <w:highlight w:val="none"/>
          <w:lang w:val="en-US" w:eastAsia="zh-CN"/>
        </w:rPr>
      </w:pPr>
      <w:r>
        <w:rPr>
          <w:rFonts w:hint="eastAsia" w:ascii="仿宋" w:hAnsi="仿宋" w:eastAsia="仿宋" w:cs="仿宋"/>
          <w:color w:val="auto"/>
          <w:sz w:val="32"/>
          <w:highlight w:val="none"/>
          <w:lang w:val="en-US" w:eastAsia="zh-CN"/>
        </w:rPr>
        <w:t xml:space="preserve"> </w:t>
      </w:r>
    </w:p>
    <w:p w14:paraId="29E64122">
      <w:pPr>
        <w:pStyle w:val="25"/>
        <w:spacing w:line="500" w:lineRule="exact"/>
        <w:ind w:left="0"/>
        <w:rPr>
          <w:rFonts w:hint="eastAsia" w:ascii="仿宋" w:hAnsi="仿宋" w:eastAsia="仿宋" w:cs="仿宋"/>
          <w:color w:val="auto"/>
          <w:sz w:val="32"/>
          <w:highlight w:val="none"/>
        </w:rPr>
      </w:pPr>
    </w:p>
    <w:p w14:paraId="3E7A6C7E">
      <w:pPr>
        <w:pStyle w:val="25"/>
        <w:spacing w:line="500" w:lineRule="exact"/>
        <w:ind w:left="0"/>
        <w:jc w:val="center"/>
        <w:rPr>
          <w:rFonts w:hint="eastAsia" w:ascii="仿宋" w:hAnsi="仿宋" w:eastAsia="仿宋" w:cs="仿宋"/>
          <w:color w:val="auto"/>
          <w:sz w:val="32"/>
          <w:highlight w:val="none"/>
        </w:rPr>
      </w:pPr>
    </w:p>
    <w:p w14:paraId="39A69E74">
      <w:pPr>
        <w:pStyle w:val="25"/>
        <w:spacing w:line="500" w:lineRule="exact"/>
        <w:ind w:left="0"/>
        <w:jc w:val="center"/>
        <w:rPr>
          <w:rFonts w:hint="eastAsia" w:ascii="仿宋" w:hAnsi="仿宋" w:eastAsia="仿宋" w:cs="仿宋"/>
          <w:color w:val="auto"/>
          <w:sz w:val="32"/>
          <w:highlight w:val="none"/>
          <w:lang w:val="en-US"/>
        </w:rPr>
      </w:pPr>
      <w:r>
        <w:rPr>
          <w:rFonts w:hint="eastAsia" w:ascii="仿宋" w:hAnsi="仿宋" w:eastAsia="仿宋" w:cs="仿宋"/>
          <w:color w:val="auto"/>
          <w:sz w:val="32"/>
          <w:highlight w:val="none"/>
        </w:rPr>
        <w:t>采购项目名称：</w:t>
      </w:r>
      <w:r>
        <w:rPr>
          <w:rFonts w:hint="eastAsia" w:ascii="仿宋" w:hAnsi="仿宋" w:eastAsia="仿宋" w:cs="仿宋"/>
          <w:color w:val="auto"/>
          <w:sz w:val="32"/>
          <w:highlight w:val="none"/>
          <w:lang w:val="en-US" w:eastAsia="zh-CN"/>
        </w:rPr>
        <w:t>秀山县精神卫生中心早餐配送服务采购项目</w:t>
      </w:r>
    </w:p>
    <w:p w14:paraId="4C727097">
      <w:pPr>
        <w:pStyle w:val="5"/>
        <w:rPr>
          <w:rFonts w:hint="eastAsia" w:ascii="仿宋" w:hAnsi="仿宋" w:eastAsia="仿宋" w:cs="仿宋"/>
          <w:color w:val="auto"/>
          <w:highlight w:val="none"/>
        </w:rPr>
      </w:pPr>
    </w:p>
    <w:p w14:paraId="08F75E98">
      <w:pPr>
        <w:rPr>
          <w:rFonts w:hint="eastAsia" w:ascii="仿宋" w:hAnsi="仿宋" w:eastAsia="仿宋" w:cs="仿宋"/>
          <w:color w:val="auto"/>
          <w:highlight w:val="none"/>
        </w:rPr>
      </w:pPr>
    </w:p>
    <w:p w14:paraId="7E958A86">
      <w:pPr>
        <w:pStyle w:val="62"/>
        <w:rPr>
          <w:rFonts w:hint="eastAsia" w:ascii="仿宋" w:hAnsi="仿宋" w:eastAsia="仿宋" w:cs="仿宋"/>
          <w:highlight w:val="none"/>
        </w:rPr>
      </w:pPr>
    </w:p>
    <w:p w14:paraId="5E71EF51">
      <w:pPr>
        <w:rPr>
          <w:rFonts w:hint="eastAsia" w:ascii="仿宋" w:hAnsi="仿宋" w:eastAsia="仿宋" w:cs="仿宋"/>
          <w:color w:val="auto"/>
          <w:highlight w:val="none"/>
        </w:rPr>
      </w:pPr>
    </w:p>
    <w:p w14:paraId="419FA48F">
      <w:pPr>
        <w:rPr>
          <w:rFonts w:hint="eastAsia" w:ascii="仿宋" w:hAnsi="仿宋" w:eastAsia="仿宋" w:cs="仿宋"/>
          <w:color w:val="auto"/>
          <w:highlight w:val="none"/>
        </w:rPr>
      </w:pPr>
    </w:p>
    <w:p w14:paraId="5931C586">
      <w:pPr>
        <w:rPr>
          <w:rFonts w:hint="eastAsia" w:ascii="仿宋" w:hAnsi="仿宋" w:eastAsia="仿宋" w:cs="仿宋"/>
          <w:color w:val="auto"/>
          <w:highlight w:val="none"/>
        </w:rPr>
      </w:pPr>
    </w:p>
    <w:p w14:paraId="0DE33758">
      <w:pPr>
        <w:rPr>
          <w:rFonts w:hint="eastAsia" w:ascii="仿宋" w:hAnsi="仿宋" w:eastAsia="仿宋" w:cs="仿宋"/>
          <w:color w:val="auto"/>
          <w:highlight w:val="none"/>
        </w:rPr>
      </w:pPr>
    </w:p>
    <w:p w14:paraId="768C8B43">
      <w:pPr>
        <w:rPr>
          <w:rFonts w:hint="eastAsia" w:ascii="仿宋" w:hAnsi="仿宋" w:eastAsia="仿宋" w:cs="仿宋"/>
          <w:color w:val="auto"/>
          <w:highlight w:val="none"/>
        </w:rPr>
      </w:pPr>
    </w:p>
    <w:p w14:paraId="48116AEF">
      <w:pPr>
        <w:pStyle w:val="25"/>
        <w:spacing w:line="500" w:lineRule="exact"/>
        <w:ind w:left="0" w:firstLine="1280" w:firstLineChars="400"/>
        <w:jc w:val="left"/>
        <w:rPr>
          <w:rFonts w:hint="eastAsia" w:ascii="仿宋" w:hAnsi="仿宋" w:eastAsia="仿宋" w:cs="仿宋"/>
          <w:color w:val="auto"/>
          <w:sz w:val="32"/>
          <w:highlight w:val="none"/>
          <w:lang w:val="en-US" w:eastAsia="zh-CN"/>
        </w:rPr>
      </w:pPr>
      <w:r>
        <w:rPr>
          <w:rFonts w:hint="eastAsia" w:ascii="仿宋" w:hAnsi="仿宋" w:eastAsia="仿宋" w:cs="仿宋"/>
          <w:color w:val="auto"/>
          <w:sz w:val="32"/>
          <w:highlight w:val="none"/>
        </w:rPr>
        <w:t>采购人：</w:t>
      </w:r>
      <w:r>
        <w:rPr>
          <w:rFonts w:hint="eastAsia" w:ascii="仿宋" w:hAnsi="仿宋" w:eastAsia="仿宋" w:cs="仿宋"/>
          <w:color w:val="auto"/>
          <w:sz w:val="32"/>
          <w:highlight w:val="none"/>
          <w:lang w:eastAsia="zh-CN"/>
        </w:rPr>
        <w:t>秀山土家族苗族自治县精神卫生中心</w:t>
      </w:r>
    </w:p>
    <w:p w14:paraId="196C4906">
      <w:pPr>
        <w:pStyle w:val="25"/>
        <w:spacing w:line="500" w:lineRule="exact"/>
        <w:ind w:left="0" w:firstLine="1280" w:firstLineChars="400"/>
        <w:jc w:val="left"/>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highlight w:val="none"/>
        </w:rPr>
        <w:t>采购代理机构：</w:t>
      </w:r>
      <w:r>
        <w:rPr>
          <w:rFonts w:hint="eastAsia" w:ascii="仿宋" w:hAnsi="仿宋" w:eastAsia="仿宋" w:cs="仿宋"/>
          <w:color w:val="auto"/>
          <w:sz w:val="32"/>
          <w:highlight w:val="none"/>
          <w:lang w:eastAsia="zh-CN"/>
        </w:rPr>
        <w:t>重庆千诺工程项目管理有限公司</w:t>
      </w:r>
    </w:p>
    <w:p w14:paraId="26C2510D">
      <w:pPr>
        <w:pStyle w:val="23"/>
        <w:rPr>
          <w:rFonts w:hint="eastAsia" w:ascii="仿宋" w:hAnsi="仿宋" w:eastAsia="仿宋" w:cs="仿宋"/>
          <w:color w:val="auto"/>
          <w:highlight w:val="none"/>
        </w:rPr>
      </w:pPr>
    </w:p>
    <w:p w14:paraId="674C1D9C">
      <w:pPr>
        <w:snapToGrid w:val="0"/>
        <w:spacing w:line="500" w:lineRule="exact"/>
        <w:jc w:val="center"/>
        <w:rPr>
          <w:rFonts w:hint="eastAsia" w:ascii="仿宋" w:hAnsi="仿宋" w:eastAsia="仿宋" w:cs="仿宋"/>
          <w:color w:val="auto"/>
          <w:sz w:val="44"/>
          <w:szCs w:val="28"/>
          <w:highlight w:val="none"/>
        </w:rPr>
      </w:pPr>
      <w:r>
        <w:rPr>
          <w:rFonts w:hint="eastAsia" w:ascii="仿宋" w:hAnsi="仿宋" w:eastAsia="仿宋" w:cs="仿宋"/>
          <w:color w:val="auto"/>
          <w:sz w:val="32"/>
          <w:szCs w:val="32"/>
          <w:highlight w:val="none"/>
        </w:rPr>
        <w:t>二○二</w:t>
      </w:r>
      <w:r>
        <w:rPr>
          <w:rFonts w:hint="eastAsia" w:ascii="仿宋" w:hAnsi="仿宋" w:eastAsia="仿宋" w:cs="仿宋"/>
          <w:color w:val="auto"/>
          <w:sz w:val="32"/>
          <w:szCs w:val="32"/>
          <w:highlight w:val="none"/>
          <w:lang w:val="en-US" w:eastAsia="zh-CN"/>
        </w:rPr>
        <w:t>六</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五</w:t>
      </w:r>
      <w:r>
        <w:rPr>
          <w:rFonts w:hint="eastAsia" w:ascii="仿宋" w:hAnsi="仿宋" w:eastAsia="仿宋" w:cs="仿宋"/>
          <w:color w:val="auto"/>
          <w:sz w:val="32"/>
          <w:szCs w:val="32"/>
          <w:highlight w:val="none"/>
        </w:rPr>
        <w:t>月</w:t>
      </w:r>
    </w:p>
    <w:p w14:paraId="39C69D8D">
      <w:pPr>
        <w:rPr>
          <w:rFonts w:hint="eastAsia" w:ascii="仿宋" w:hAnsi="仿宋" w:eastAsia="仿宋" w:cs="仿宋"/>
          <w:color w:val="auto"/>
          <w:sz w:val="44"/>
          <w:szCs w:val="28"/>
          <w:highlight w:val="none"/>
        </w:rPr>
      </w:pPr>
      <w:r>
        <w:rPr>
          <w:rFonts w:hint="eastAsia" w:ascii="仿宋" w:hAnsi="仿宋" w:eastAsia="仿宋" w:cs="仿宋"/>
          <w:color w:val="auto"/>
          <w:sz w:val="44"/>
          <w:szCs w:val="28"/>
          <w:highlight w:val="none"/>
        </w:rPr>
        <w:br w:type="page"/>
      </w:r>
    </w:p>
    <w:p w14:paraId="7CF8059A">
      <w:pPr>
        <w:spacing w:line="480" w:lineRule="exact"/>
        <w:jc w:val="center"/>
        <w:outlineLvl w:val="0"/>
        <w:rPr>
          <w:rFonts w:hint="eastAsia" w:ascii="仿宋" w:hAnsi="仿宋" w:eastAsia="仿宋" w:cs="仿宋"/>
          <w:color w:val="auto"/>
          <w:sz w:val="44"/>
          <w:szCs w:val="28"/>
          <w:highlight w:val="none"/>
        </w:rPr>
      </w:pPr>
      <w:r>
        <w:rPr>
          <w:rFonts w:hint="eastAsia" w:ascii="仿宋" w:hAnsi="仿宋" w:eastAsia="仿宋" w:cs="仿宋"/>
          <w:color w:val="auto"/>
          <w:sz w:val="44"/>
          <w:szCs w:val="28"/>
          <w:highlight w:val="none"/>
        </w:rPr>
        <w:t>目录</w:t>
      </w:r>
    </w:p>
    <w:p w14:paraId="7C7CC002">
      <w:pPr>
        <w:pStyle w:val="50"/>
        <w:tabs>
          <w:tab w:val="right" w:leader="dot" w:pos="9412"/>
        </w:tabs>
        <w:ind w:left="560"/>
        <w:rPr>
          <w:rFonts w:hint="eastAsia" w:ascii="仿宋" w:hAnsi="仿宋" w:eastAsia="仿宋" w:cs="仿宋"/>
          <w:color w:val="auto"/>
          <w:highlight w:val="none"/>
        </w:rPr>
      </w:pP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TOC \o "1-3" \h \z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"_Toc21521" </w:instrText>
      </w:r>
      <w:r>
        <w:rPr>
          <w:rFonts w:hint="eastAsia" w:ascii="仿宋" w:hAnsi="仿宋" w:eastAsia="仿宋" w:cs="仿宋"/>
          <w:color w:val="auto"/>
          <w:highlight w:val="none"/>
        </w:rPr>
        <w:fldChar w:fldCharType="separate"/>
      </w:r>
      <w:r>
        <w:rPr>
          <w:rFonts w:hint="eastAsia" w:ascii="仿宋" w:hAnsi="仿宋" w:eastAsia="仿宋" w:cs="仿宋"/>
          <w:bCs/>
          <w:color w:val="auto"/>
          <w:szCs w:val="30"/>
          <w:highlight w:val="none"/>
        </w:rPr>
        <w:t>第一篇采购邀请书</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_Toc21521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- 3 -</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663BFD0">
      <w:pPr>
        <w:pStyle w:val="32"/>
        <w:tabs>
          <w:tab w:val="right" w:leader="dot" w:pos="9412"/>
        </w:tabs>
        <w:ind w:left="1120"/>
        <w:rPr>
          <w:rFonts w:hint="eastAsia" w:ascii="仿宋" w:hAnsi="仿宋" w:eastAsia="仿宋" w:cs="仿宋"/>
          <w:color w:val="auto"/>
          <w:highlight w:val="none"/>
        </w:rPr>
      </w:pPr>
    </w:p>
    <w:p w14:paraId="466D10E0">
      <w:pPr>
        <w:pStyle w:val="50"/>
        <w:tabs>
          <w:tab w:val="right" w:leader="dot" w:pos="9412"/>
        </w:tabs>
        <w:ind w:left="560"/>
        <w:rPr>
          <w:rFonts w:hint="eastAsia" w:ascii="仿宋" w:hAnsi="仿宋" w:eastAsia="仿宋" w:cs="仿宋"/>
          <w:color w:val="auto"/>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"_Toc1145" </w:instrText>
      </w:r>
      <w:r>
        <w:rPr>
          <w:rFonts w:hint="eastAsia" w:ascii="仿宋" w:hAnsi="仿宋" w:eastAsia="仿宋" w:cs="仿宋"/>
          <w:color w:val="auto"/>
          <w:highlight w:val="none"/>
        </w:rPr>
        <w:fldChar w:fldCharType="separate"/>
      </w:r>
      <w:r>
        <w:rPr>
          <w:rFonts w:hint="eastAsia" w:ascii="仿宋" w:hAnsi="仿宋" w:eastAsia="仿宋" w:cs="仿宋"/>
          <w:bCs/>
          <w:color w:val="auto"/>
          <w:szCs w:val="30"/>
          <w:highlight w:val="none"/>
        </w:rPr>
        <w:t>第二篇采购项目技术需求</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_Toc1145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- 5 -</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12B9DE3">
      <w:pPr>
        <w:pStyle w:val="50"/>
        <w:tabs>
          <w:tab w:val="right" w:leader="dot" w:pos="9412"/>
        </w:tabs>
        <w:ind w:left="560"/>
        <w:rPr>
          <w:rFonts w:hint="eastAsia" w:ascii="仿宋" w:hAnsi="仿宋" w:eastAsia="仿宋" w:cs="仿宋"/>
          <w:color w:val="auto"/>
          <w:highlight w:val="none"/>
        </w:rPr>
      </w:pPr>
    </w:p>
    <w:p w14:paraId="6697F7AA">
      <w:pPr>
        <w:pStyle w:val="50"/>
        <w:tabs>
          <w:tab w:val="right" w:leader="dot" w:pos="9412"/>
        </w:tabs>
        <w:ind w:left="560"/>
        <w:rPr>
          <w:rFonts w:hint="eastAsia" w:ascii="仿宋" w:hAnsi="仿宋" w:eastAsia="仿宋" w:cs="仿宋"/>
          <w:color w:val="auto"/>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"_Toc24341" </w:instrText>
      </w:r>
      <w:r>
        <w:rPr>
          <w:rFonts w:hint="eastAsia" w:ascii="仿宋" w:hAnsi="仿宋" w:eastAsia="仿宋" w:cs="仿宋"/>
          <w:color w:val="auto"/>
          <w:highlight w:val="none"/>
        </w:rPr>
        <w:fldChar w:fldCharType="separate"/>
      </w:r>
      <w:r>
        <w:rPr>
          <w:rFonts w:hint="eastAsia" w:ascii="仿宋" w:hAnsi="仿宋" w:eastAsia="仿宋" w:cs="仿宋"/>
          <w:color w:val="auto"/>
          <w:szCs w:val="30"/>
          <w:highlight w:val="none"/>
        </w:rPr>
        <w:t>第三篇采购项目商务需求</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_Toc24341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- 20 -</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3F4AD28C">
      <w:pPr>
        <w:pStyle w:val="50"/>
        <w:tabs>
          <w:tab w:val="right" w:leader="dot" w:pos="9412"/>
        </w:tabs>
        <w:ind w:left="560"/>
        <w:rPr>
          <w:rFonts w:hint="eastAsia" w:ascii="仿宋" w:hAnsi="仿宋" w:eastAsia="仿宋" w:cs="仿宋"/>
          <w:color w:val="auto"/>
          <w:highlight w:val="none"/>
        </w:rPr>
      </w:pPr>
    </w:p>
    <w:p w14:paraId="2839130D">
      <w:pPr>
        <w:pStyle w:val="50"/>
        <w:tabs>
          <w:tab w:val="right" w:leader="dot" w:pos="9412"/>
        </w:tabs>
        <w:ind w:left="560"/>
        <w:rPr>
          <w:rFonts w:hint="default" w:ascii="仿宋" w:hAnsi="仿宋" w:eastAsia="仿宋" w:cs="仿宋"/>
          <w:color w:val="auto"/>
          <w:highlight w:val="none"/>
          <w:lang w:val="en-US" w:eastAsia="zh-CN"/>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"_Toc28614" </w:instrText>
      </w:r>
      <w:r>
        <w:rPr>
          <w:rFonts w:hint="eastAsia" w:ascii="仿宋" w:hAnsi="仿宋" w:eastAsia="仿宋" w:cs="仿宋"/>
          <w:color w:val="auto"/>
          <w:highlight w:val="none"/>
        </w:rPr>
        <w:fldChar w:fldCharType="separate"/>
      </w:r>
      <w:r>
        <w:rPr>
          <w:rFonts w:hint="eastAsia" w:ascii="仿宋" w:hAnsi="仿宋" w:eastAsia="仿宋" w:cs="仿宋"/>
          <w:bCs/>
          <w:color w:val="auto"/>
          <w:spacing w:val="-11"/>
          <w:szCs w:val="30"/>
          <w:highlight w:val="none"/>
        </w:rPr>
        <w:t>第四篇网上竞采程序及方法、评审标准、响应无效和</w:t>
      </w:r>
      <w:r>
        <w:rPr>
          <w:rFonts w:hint="eastAsia" w:ascii="仿宋" w:hAnsi="仿宋" w:eastAsia="仿宋" w:cs="仿宋"/>
          <w:bCs/>
          <w:color w:val="auto"/>
          <w:spacing w:val="-11"/>
          <w:szCs w:val="36"/>
          <w:highlight w:val="none"/>
        </w:rPr>
        <w:t>采购终止</w:t>
      </w:r>
      <w:r>
        <w:rPr>
          <w:rFonts w:hint="eastAsia" w:ascii="仿宋" w:hAnsi="仿宋" w:eastAsia="仿宋" w:cs="仿宋"/>
          <w:color w:val="auto"/>
          <w:highlight w:val="none"/>
        </w:rPr>
        <w:tab/>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fldChar w:fldCharType="end"/>
      </w:r>
      <w:r>
        <w:rPr>
          <w:rFonts w:hint="eastAsia" w:ascii="仿宋" w:hAnsi="仿宋" w:eastAsia="仿宋" w:cs="仿宋"/>
          <w:color w:val="auto"/>
          <w:highlight w:val="none"/>
          <w:lang w:val="en-US" w:eastAsia="zh-CN"/>
        </w:rPr>
        <w:t>3-</w:t>
      </w:r>
    </w:p>
    <w:p w14:paraId="4F66A7B3">
      <w:pPr>
        <w:pStyle w:val="32"/>
        <w:tabs>
          <w:tab w:val="right" w:leader="dot" w:pos="9412"/>
        </w:tabs>
        <w:ind w:left="1120"/>
        <w:rPr>
          <w:rFonts w:hint="eastAsia" w:ascii="仿宋" w:hAnsi="仿宋" w:eastAsia="仿宋" w:cs="仿宋"/>
          <w:color w:val="auto"/>
          <w:highlight w:val="none"/>
        </w:rPr>
      </w:pPr>
    </w:p>
    <w:p w14:paraId="39DF7CE1">
      <w:pPr>
        <w:pStyle w:val="50"/>
        <w:tabs>
          <w:tab w:val="right" w:leader="dot" w:pos="9412"/>
        </w:tabs>
        <w:ind w:left="560"/>
        <w:rPr>
          <w:rFonts w:hint="eastAsia" w:ascii="仿宋" w:hAnsi="仿宋" w:eastAsia="仿宋" w:cs="仿宋"/>
          <w:color w:val="auto"/>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"_Toc13753" </w:instrText>
      </w:r>
      <w:r>
        <w:rPr>
          <w:rFonts w:hint="eastAsia" w:ascii="仿宋" w:hAnsi="仿宋" w:eastAsia="仿宋" w:cs="仿宋"/>
          <w:color w:val="auto"/>
          <w:highlight w:val="none"/>
        </w:rPr>
        <w:fldChar w:fldCharType="separate"/>
      </w:r>
      <w:r>
        <w:rPr>
          <w:rFonts w:hint="eastAsia" w:ascii="仿宋" w:hAnsi="仿宋" w:eastAsia="仿宋" w:cs="仿宋"/>
          <w:bCs/>
          <w:color w:val="auto"/>
          <w:spacing w:val="-11"/>
          <w:szCs w:val="30"/>
          <w:highlight w:val="none"/>
        </w:rPr>
        <w:t>第五篇供应商须知</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_Toc13753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- 29 -</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14E99B6A">
      <w:pPr>
        <w:pStyle w:val="32"/>
        <w:tabs>
          <w:tab w:val="right" w:leader="dot" w:pos="9412"/>
        </w:tabs>
        <w:ind w:left="1120"/>
        <w:rPr>
          <w:rFonts w:hint="eastAsia" w:ascii="仿宋" w:hAnsi="仿宋" w:eastAsia="仿宋" w:cs="仿宋"/>
          <w:color w:val="auto"/>
          <w:highlight w:val="none"/>
        </w:rPr>
      </w:pPr>
    </w:p>
    <w:p w14:paraId="5A9370A6">
      <w:pPr>
        <w:pStyle w:val="50"/>
        <w:tabs>
          <w:tab w:val="right" w:leader="dot" w:pos="9412"/>
        </w:tabs>
        <w:ind w:left="560"/>
        <w:rPr>
          <w:rFonts w:hint="eastAsia" w:ascii="仿宋" w:hAnsi="仿宋" w:eastAsia="仿宋" w:cs="仿宋"/>
          <w:color w:val="auto"/>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"_Toc4239" </w:instrText>
      </w:r>
      <w:r>
        <w:rPr>
          <w:rFonts w:hint="eastAsia" w:ascii="仿宋" w:hAnsi="仿宋" w:eastAsia="仿宋" w:cs="仿宋"/>
          <w:color w:val="auto"/>
          <w:highlight w:val="none"/>
        </w:rPr>
        <w:fldChar w:fldCharType="separate"/>
      </w:r>
      <w:r>
        <w:rPr>
          <w:rFonts w:hint="eastAsia" w:ascii="仿宋" w:hAnsi="仿宋" w:eastAsia="仿宋" w:cs="仿宋"/>
          <w:color w:val="auto"/>
          <w:szCs w:val="30"/>
          <w:highlight w:val="none"/>
        </w:rPr>
        <w:t>第六篇合同草案条款和格式合同（模板）</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_Toc4239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- 33 -</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735F0044">
      <w:pPr>
        <w:rPr>
          <w:rFonts w:hint="eastAsia" w:ascii="仿宋" w:hAnsi="仿宋" w:eastAsia="仿宋" w:cs="仿宋"/>
          <w:highlight w:val="none"/>
        </w:rPr>
      </w:pPr>
    </w:p>
    <w:p w14:paraId="0983286C">
      <w:pPr>
        <w:ind w:firstLine="560" w:firstLineChars="200"/>
        <w:rPr>
          <w:rFonts w:hint="eastAsia" w:ascii="仿宋" w:hAnsi="仿宋" w:eastAsia="仿宋" w:cs="仿宋"/>
          <w:highlight w:val="none"/>
          <w:lang w:val="en-US" w:eastAsia="zh-CN"/>
        </w:rPr>
      </w:pPr>
      <w:r>
        <w:rPr>
          <w:rFonts w:hint="eastAsia" w:ascii="仿宋" w:hAnsi="仿宋" w:eastAsia="仿宋" w:cs="仿宋"/>
          <w:highlight w:val="none"/>
        </w:rPr>
        <w:t>第七篇响应文件编制要求</w:t>
      </w:r>
      <w:r>
        <w:rPr>
          <w:rFonts w:hint="eastAsia" w:ascii="仿宋" w:hAnsi="仿宋" w:eastAsia="仿宋" w:cs="仿宋"/>
          <w:highlight w:val="none"/>
          <w:lang w:val="en-US" w:eastAsia="zh-CN"/>
        </w:rPr>
        <w:t>.......................................</w:t>
      </w:r>
      <w:r>
        <w:rPr>
          <w:rFonts w:hint="eastAsia" w:ascii="仿宋" w:hAnsi="仿宋" w:eastAsia="仿宋" w:cs="仿宋"/>
          <w:color w:val="auto"/>
          <w:highlight w:val="none"/>
          <w:lang w:val="en-US" w:eastAsia="zh-CN"/>
        </w:rPr>
        <w:t>48</w:t>
      </w:r>
    </w:p>
    <w:p w14:paraId="7B0193CC">
      <w:pPr>
        <w:rPr>
          <w:rFonts w:hint="eastAsia" w:ascii="仿宋" w:hAnsi="仿宋" w:eastAsia="仿宋" w:cs="仿宋"/>
          <w:highlight w:val="none"/>
        </w:rPr>
      </w:pPr>
    </w:p>
    <w:p w14:paraId="11D2430E">
      <w:pPr>
        <w:pStyle w:val="32"/>
        <w:tabs>
          <w:tab w:val="right" w:leader="dot" w:pos="9412"/>
        </w:tabs>
        <w:ind w:left="1120"/>
        <w:rPr>
          <w:rFonts w:hint="eastAsia" w:ascii="仿宋" w:hAnsi="仿宋" w:eastAsia="仿宋" w:cs="仿宋"/>
          <w:color w:val="auto"/>
          <w:highlight w:val="none"/>
        </w:rPr>
      </w:pPr>
    </w:p>
    <w:p w14:paraId="411453AA">
      <w:pPr>
        <w:pStyle w:val="50"/>
        <w:tabs>
          <w:tab w:val="right" w:leader="dot" w:pos="9402"/>
        </w:tabs>
        <w:spacing w:line="480" w:lineRule="exact"/>
        <w:ind w:left="560"/>
        <w:jc w:val="center"/>
        <w:rPr>
          <w:rFonts w:hint="eastAsia" w:ascii="仿宋" w:hAnsi="仿宋" w:eastAsia="仿宋" w:cs="仿宋"/>
          <w:color w:val="auto"/>
          <w:sz w:val="18"/>
          <w:szCs w:val="22"/>
          <w:highlight w:val="none"/>
        </w:rPr>
        <w:sectPr>
          <w:headerReference r:id="rId3" w:type="default"/>
          <w:footerReference r:id="rId4" w:type="default"/>
          <w:pgSz w:w="11907" w:h="16840"/>
          <w:pgMar w:top="1134" w:right="1191" w:bottom="1134" w:left="1304" w:header="851" w:footer="992" w:gutter="0"/>
          <w:pgNumType w:fmt="numberInDash" w:start="1"/>
          <w:cols w:space="720" w:num="1"/>
          <w:docGrid w:linePitch="380" w:charSpace="-5735"/>
        </w:sectPr>
      </w:pPr>
      <w:r>
        <w:rPr>
          <w:rFonts w:hint="eastAsia" w:ascii="仿宋" w:hAnsi="仿宋" w:eastAsia="仿宋" w:cs="仿宋"/>
          <w:color w:val="auto"/>
          <w:szCs w:val="24"/>
          <w:highlight w:val="none"/>
        </w:rPr>
        <w:fldChar w:fldCharType="end"/>
      </w:r>
    </w:p>
    <w:p w14:paraId="1C1D155E">
      <w:pPr>
        <w:pStyle w:val="4"/>
        <w:spacing w:line="360" w:lineRule="auto"/>
        <w:jc w:val="center"/>
        <w:rPr>
          <w:rFonts w:hint="eastAsia" w:ascii="仿宋" w:hAnsi="仿宋" w:eastAsia="仿宋" w:cs="仿宋"/>
          <w:bCs/>
          <w:color w:val="auto"/>
          <w:szCs w:val="30"/>
          <w:highlight w:val="none"/>
        </w:rPr>
      </w:pPr>
      <w:bookmarkStart w:id="30" w:name="_Toc11641050"/>
      <w:bookmarkStart w:id="31" w:name="_Toc21521"/>
      <w:bookmarkStart w:id="32" w:name="_Toc12789052"/>
      <w:r>
        <w:rPr>
          <w:rFonts w:hint="eastAsia" w:ascii="仿宋" w:hAnsi="仿宋" w:eastAsia="仿宋" w:cs="仿宋"/>
          <w:bCs/>
          <w:color w:val="auto"/>
          <w:sz w:val="36"/>
          <w:szCs w:val="30"/>
          <w:highlight w:val="none"/>
        </w:rPr>
        <w:t>第一篇采购邀请书</w:t>
      </w:r>
      <w:bookmarkEnd w:id="30"/>
      <w:bookmarkEnd w:id="31"/>
      <w:bookmarkEnd w:id="32"/>
    </w:p>
    <w:p w14:paraId="0660A2BC">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lang w:eastAsia="zh-CN"/>
        </w:rPr>
        <w:t>重庆千诺工程项目管理有限公司</w:t>
      </w:r>
      <w:r>
        <w:rPr>
          <w:rFonts w:hint="eastAsia" w:ascii="仿宋" w:hAnsi="仿宋" w:eastAsia="仿宋" w:cs="仿宋"/>
          <w:color w:val="auto"/>
          <w:sz w:val="24"/>
          <w:szCs w:val="24"/>
          <w:highlight w:val="none"/>
        </w:rPr>
        <w:t>（以下简称：采购代理机构）接受</w:t>
      </w:r>
      <w:r>
        <w:rPr>
          <w:rFonts w:hint="eastAsia" w:ascii="仿宋" w:hAnsi="仿宋" w:eastAsia="仿宋" w:cs="仿宋"/>
          <w:color w:val="auto"/>
          <w:sz w:val="24"/>
          <w:szCs w:val="24"/>
          <w:highlight w:val="none"/>
          <w:u w:val="single"/>
          <w:lang w:eastAsia="zh-CN"/>
        </w:rPr>
        <w:t>秀山土家族苗族自治县精神卫生中心</w:t>
      </w:r>
      <w:r>
        <w:rPr>
          <w:rFonts w:hint="eastAsia" w:ascii="仿宋" w:hAnsi="仿宋" w:eastAsia="仿宋" w:cs="仿宋"/>
          <w:color w:val="auto"/>
          <w:sz w:val="24"/>
          <w:szCs w:val="24"/>
          <w:highlight w:val="none"/>
        </w:rPr>
        <w:t>的委托，对</w:t>
      </w:r>
      <w:r>
        <w:rPr>
          <w:rFonts w:hint="eastAsia" w:ascii="仿宋" w:hAnsi="仿宋" w:eastAsia="仿宋" w:cs="仿宋"/>
          <w:color w:val="auto"/>
          <w:sz w:val="24"/>
          <w:szCs w:val="24"/>
          <w:highlight w:val="none"/>
          <w:u w:val="single"/>
          <w:lang w:eastAsia="zh-CN"/>
        </w:rPr>
        <w:t>秀山县精神卫生中心早餐配送服务采购项目</w:t>
      </w:r>
      <w:r>
        <w:rPr>
          <w:rFonts w:hint="eastAsia" w:ascii="仿宋" w:hAnsi="仿宋" w:eastAsia="仿宋" w:cs="仿宋"/>
          <w:color w:val="auto"/>
          <w:sz w:val="24"/>
          <w:szCs w:val="24"/>
          <w:highlight w:val="none"/>
        </w:rPr>
        <w:t>进行网上竞采。欢迎有资格的供应商前来参与网上竞采。</w:t>
      </w:r>
    </w:p>
    <w:p w14:paraId="39F0DA12">
      <w:pPr>
        <w:pStyle w:val="5"/>
        <w:numPr>
          <w:ilvl w:val="0"/>
          <w:numId w:val="14"/>
        </w:numPr>
        <w:spacing w:before="240" w:beforeLines="100" w:after="0" w:line="360" w:lineRule="auto"/>
        <w:rPr>
          <w:rFonts w:hint="eastAsia" w:ascii="仿宋" w:hAnsi="仿宋" w:eastAsia="仿宋" w:cs="仿宋"/>
          <w:color w:val="auto"/>
          <w:sz w:val="24"/>
          <w:szCs w:val="24"/>
          <w:highlight w:val="none"/>
        </w:rPr>
      </w:pPr>
      <w:bookmarkStart w:id="33" w:name="_Toc313893526"/>
      <w:bookmarkStart w:id="34" w:name="_Toc5721"/>
      <w:bookmarkStart w:id="35" w:name="_Toc2406"/>
      <w:bookmarkStart w:id="36" w:name="_Toc317775175"/>
      <w:bookmarkStart w:id="37" w:name="_Toc373860293"/>
      <w:bookmarkStart w:id="38" w:name="_Toc317775178"/>
      <w:r>
        <w:rPr>
          <w:rFonts w:hint="eastAsia" w:ascii="仿宋" w:hAnsi="仿宋" w:eastAsia="仿宋" w:cs="仿宋"/>
          <w:color w:val="auto"/>
          <w:sz w:val="24"/>
          <w:szCs w:val="24"/>
          <w:highlight w:val="none"/>
        </w:rPr>
        <w:t>采购内容</w:t>
      </w:r>
      <w:bookmarkEnd w:id="33"/>
      <w:bookmarkEnd w:id="34"/>
      <w:bookmarkEnd w:id="35"/>
      <w:bookmarkEnd w:id="36"/>
    </w:p>
    <w:tbl>
      <w:tblPr>
        <w:tblStyle w:val="63"/>
        <w:tblW w:w="8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8"/>
        <w:gridCol w:w="1892"/>
        <w:gridCol w:w="2061"/>
        <w:gridCol w:w="1596"/>
      </w:tblGrid>
      <w:tr w14:paraId="1A429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3328" w:type="dxa"/>
            <w:tcBorders>
              <w:top w:val="single" w:color="auto" w:sz="4" w:space="0"/>
              <w:left w:val="single" w:color="auto" w:sz="4" w:space="0"/>
              <w:right w:val="single" w:color="auto" w:sz="4" w:space="0"/>
            </w:tcBorders>
            <w:vAlign w:val="center"/>
          </w:tcPr>
          <w:p w14:paraId="5E09453C">
            <w:pPr>
              <w:widowControl/>
              <w:jc w:val="center"/>
              <w:rPr>
                <w:rFonts w:hint="eastAsia" w:ascii="仿宋" w:hAnsi="仿宋" w:eastAsia="仿宋" w:cs="仿宋"/>
                <w:b/>
                <w:bCs/>
                <w:color w:val="auto"/>
                <w:kern w:val="0"/>
                <w:sz w:val="24"/>
                <w:szCs w:val="24"/>
                <w:highlight w:val="none"/>
                <w:lang w:eastAsia="zh-CN"/>
              </w:rPr>
            </w:pPr>
            <w:r>
              <w:rPr>
                <w:rFonts w:hint="eastAsia" w:ascii="仿宋" w:hAnsi="仿宋" w:eastAsia="仿宋" w:cs="仿宋"/>
                <w:b/>
                <w:bCs/>
                <w:color w:val="auto"/>
                <w:kern w:val="0"/>
                <w:sz w:val="24"/>
                <w:szCs w:val="24"/>
                <w:highlight w:val="none"/>
              </w:rPr>
              <w:t>项目</w:t>
            </w:r>
            <w:r>
              <w:rPr>
                <w:rFonts w:hint="eastAsia" w:ascii="仿宋" w:hAnsi="仿宋" w:eastAsia="仿宋" w:cs="仿宋"/>
                <w:b/>
                <w:bCs/>
                <w:color w:val="auto"/>
                <w:kern w:val="0"/>
                <w:sz w:val="24"/>
                <w:szCs w:val="24"/>
                <w:highlight w:val="none"/>
                <w:lang w:val="en-US" w:eastAsia="zh-CN"/>
              </w:rPr>
              <w:t>内容</w:t>
            </w:r>
          </w:p>
        </w:tc>
        <w:tc>
          <w:tcPr>
            <w:tcW w:w="1892" w:type="dxa"/>
            <w:tcBorders>
              <w:top w:val="single" w:color="auto" w:sz="4" w:space="0"/>
              <w:left w:val="single" w:color="auto" w:sz="4" w:space="0"/>
              <w:right w:val="single" w:color="auto" w:sz="4" w:space="0"/>
            </w:tcBorders>
            <w:vAlign w:val="center"/>
          </w:tcPr>
          <w:p w14:paraId="06FD9714">
            <w:pPr>
              <w:widowControl/>
              <w:jc w:val="center"/>
              <w:rPr>
                <w:rFonts w:hint="default"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单价限价（元）</w:t>
            </w:r>
          </w:p>
        </w:tc>
        <w:tc>
          <w:tcPr>
            <w:tcW w:w="2061" w:type="dxa"/>
            <w:tcBorders>
              <w:top w:val="single" w:color="auto" w:sz="4" w:space="0"/>
              <w:left w:val="single" w:color="auto" w:sz="4" w:space="0"/>
              <w:right w:val="single" w:color="auto" w:sz="4" w:space="0"/>
            </w:tcBorders>
            <w:vAlign w:val="center"/>
          </w:tcPr>
          <w:p w14:paraId="371324A6">
            <w:pPr>
              <w:widowControl/>
              <w:jc w:val="center"/>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lang w:eastAsia="zh-CN"/>
              </w:rPr>
              <w:t>中标人</w:t>
            </w:r>
            <w:r>
              <w:rPr>
                <w:rFonts w:hint="eastAsia" w:ascii="仿宋" w:hAnsi="仿宋" w:eastAsia="仿宋" w:cs="仿宋"/>
                <w:b/>
                <w:bCs/>
                <w:color w:val="auto"/>
                <w:kern w:val="0"/>
                <w:sz w:val="24"/>
                <w:szCs w:val="24"/>
                <w:highlight w:val="none"/>
              </w:rPr>
              <w:t>数量（名）</w:t>
            </w:r>
          </w:p>
        </w:tc>
        <w:tc>
          <w:tcPr>
            <w:tcW w:w="1596" w:type="dxa"/>
            <w:tcBorders>
              <w:top w:val="single" w:color="auto" w:sz="4" w:space="0"/>
              <w:left w:val="single" w:color="auto" w:sz="4" w:space="0"/>
              <w:right w:val="single" w:color="auto" w:sz="4" w:space="0"/>
            </w:tcBorders>
            <w:vAlign w:val="center"/>
          </w:tcPr>
          <w:p w14:paraId="6273DE27">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备注</w:t>
            </w:r>
          </w:p>
        </w:tc>
      </w:tr>
      <w:tr w14:paraId="25437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jc w:val="center"/>
        </w:trPr>
        <w:tc>
          <w:tcPr>
            <w:tcW w:w="3328" w:type="dxa"/>
            <w:tcBorders>
              <w:top w:val="single" w:color="auto" w:sz="4" w:space="0"/>
              <w:left w:val="single" w:color="auto" w:sz="4" w:space="0"/>
              <w:bottom w:val="single" w:color="auto" w:sz="4" w:space="0"/>
              <w:right w:val="single" w:color="auto" w:sz="4" w:space="0"/>
            </w:tcBorders>
            <w:vAlign w:val="center"/>
          </w:tcPr>
          <w:p w14:paraId="68DD1F22">
            <w:pPr>
              <w:widowControl/>
              <w:jc w:val="center"/>
              <w:rPr>
                <w:rFonts w:hint="eastAsia" w:ascii="仿宋" w:hAnsi="仿宋" w:eastAsia="仿宋" w:cs="仿宋"/>
                <w:b/>
                <w:bCs/>
                <w:color w:val="auto"/>
                <w:kern w:val="0"/>
                <w:sz w:val="24"/>
                <w:szCs w:val="24"/>
                <w:highlight w:val="none"/>
                <w:lang w:val="en-US" w:eastAsia="zh-CN"/>
              </w:rPr>
            </w:pPr>
            <w:bookmarkStart w:id="39" w:name="_Hlk344477914"/>
            <w:r>
              <w:rPr>
                <w:rFonts w:hint="eastAsia" w:ascii="仿宋" w:hAnsi="仿宋" w:eastAsia="仿宋" w:cs="仿宋"/>
                <w:b/>
                <w:bCs/>
                <w:color w:val="auto"/>
                <w:kern w:val="0"/>
                <w:sz w:val="24"/>
                <w:szCs w:val="24"/>
                <w:highlight w:val="none"/>
                <w:lang w:val="en-US" w:eastAsia="zh-CN"/>
              </w:rPr>
              <w:t>鲜肉包</w:t>
            </w:r>
          </w:p>
        </w:tc>
        <w:tc>
          <w:tcPr>
            <w:tcW w:w="1892" w:type="dxa"/>
            <w:tcBorders>
              <w:top w:val="single" w:color="auto" w:sz="4" w:space="0"/>
              <w:left w:val="single" w:color="auto" w:sz="4" w:space="0"/>
              <w:bottom w:val="single" w:color="auto" w:sz="4" w:space="0"/>
              <w:right w:val="single" w:color="auto" w:sz="4" w:space="0"/>
            </w:tcBorders>
            <w:vAlign w:val="center"/>
          </w:tcPr>
          <w:p w14:paraId="42775802">
            <w:pPr>
              <w:widowControl/>
              <w:jc w:val="center"/>
              <w:rPr>
                <w:rFonts w:hint="default"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1.6</w:t>
            </w:r>
          </w:p>
        </w:tc>
        <w:tc>
          <w:tcPr>
            <w:tcW w:w="2061" w:type="dxa"/>
            <w:vMerge w:val="restart"/>
            <w:tcBorders>
              <w:top w:val="single" w:color="auto" w:sz="4" w:space="0"/>
              <w:left w:val="single" w:color="auto" w:sz="4" w:space="0"/>
              <w:right w:val="single" w:color="auto" w:sz="4" w:space="0"/>
            </w:tcBorders>
            <w:vAlign w:val="center"/>
          </w:tcPr>
          <w:p w14:paraId="7D6208F3">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1</w:t>
            </w:r>
          </w:p>
        </w:tc>
        <w:tc>
          <w:tcPr>
            <w:tcW w:w="1596" w:type="dxa"/>
            <w:vMerge w:val="restart"/>
            <w:tcBorders>
              <w:top w:val="single" w:color="auto" w:sz="4" w:space="0"/>
              <w:left w:val="single" w:color="auto" w:sz="4" w:space="0"/>
              <w:right w:val="single" w:color="auto" w:sz="4" w:space="0"/>
            </w:tcBorders>
            <w:vAlign w:val="center"/>
          </w:tcPr>
          <w:p w14:paraId="68D77168">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w:t>
            </w:r>
          </w:p>
        </w:tc>
      </w:tr>
      <w:tr w14:paraId="7008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3328" w:type="dxa"/>
            <w:tcBorders>
              <w:top w:val="single" w:color="auto" w:sz="4" w:space="0"/>
              <w:left w:val="single" w:color="auto" w:sz="4" w:space="0"/>
              <w:right w:val="single" w:color="auto" w:sz="4" w:space="0"/>
            </w:tcBorders>
            <w:vAlign w:val="center"/>
          </w:tcPr>
          <w:p w14:paraId="4C48E50C">
            <w:pPr>
              <w:widowControl/>
              <w:jc w:val="center"/>
              <w:rPr>
                <w:rFonts w:hint="eastAsia" w:ascii="仿宋" w:hAnsi="仿宋" w:eastAsia="仿宋" w:cs="仿宋"/>
                <w:b/>
                <w:bCs/>
                <w:color w:val="auto"/>
                <w:kern w:val="0"/>
                <w:sz w:val="24"/>
                <w:szCs w:val="24"/>
                <w:highlight w:val="none"/>
                <w:lang w:val="en-US" w:eastAsia="zh-CN"/>
              </w:rPr>
            </w:pPr>
            <w:bookmarkStart w:id="40" w:name="_Toc1752"/>
            <w:bookmarkStart w:id="41" w:name="_Toc25538"/>
            <w:r>
              <w:rPr>
                <w:rFonts w:hint="eastAsia" w:ascii="仿宋" w:hAnsi="仿宋" w:eastAsia="仿宋" w:cs="仿宋"/>
                <w:b/>
                <w:bCs/>
                <w:color w:val="auto"/>
                <w:kern w:val="0"/>
                <w:sz w:val="24"/>
                <w:szCs w:val="24"/>
                <w:highlight w:val="none"/>
                <w:lang w:val="en-US" w:eastAsia="zh-CN"/>
              </w:rPr>
              <w:t>炒肉包</w:t>
            </w:r>
          </w:p>
        </w:tc>
        <w:tc>
          <w:tcPr>
            <w:tcW w:w="1892" w:type="dxa"/>
            <w:tcBorders>
              <w:top w:val="single" w:color="auto" w:sz="4" w:space="0"/>
              <w:left w:val="single" w:color="auto" w:sz="4" w:space="0"/>
              <w:bottom w:val="single" w:color="auto" w:sz="4" w:space="0"/>
              <w:right w:val="single" w:color="auto" w:sz="4" w:space="0"/>
            </w:tcBorders>
            <w:vAlign w:val="center"/>
          </w:tcPr>
          <w:p w14:paraId="18617693">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1.7</w:t>
            </w:r>
          </w:p>
        </w:tc>
        <w:tc>
          <w:tcPr>
            <w:tcW w:w="2061" w:type="dxa"/>
            <w:vMerge w:val="continue"/>
            <w:tcBorders>
              <w:left w:val="single" w:color="auto" w:sz="4" w:space="0"/>
              <w:right w:val="single" w:color="auto" w:sz="4" w:space="0"/>
            </w:tcBorders>
            <w:vAlign w:val="center"/>
          </w:tcPr>
          <w:p w14:paraId="7D649182">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74DE6B56">
            <w:pPr>
              <w:widowControl/>
              <w:jc w:val="center"/>
              <w:rPr>
                <w:rFonts w:hint="eastAsia" w:ascii="仿宋" w:hAnsi="仿宋" w:eastAsia="仿宋" w:cs="仿宋"/>
                <w:b/>
                <w:bCs/>
                <w:color w:val="auto"/>
                <w:kern w:val="0"/>
                <w:sz w:val="24"/>
                <w:szCs w:val="24"/>
                <w:highlight w:val="none"/>
                <w:lang w:val="en-US" w:eastAsia="zh-CN"/>
              </w:rPr>
            </w:pPr>
          </w:p>
        </w:tc>
      </w:tr>
      <w:tr w14:paraId="432D2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8" w:type="dxa"/>
            <w:tcBorders>
              <w:top w:val="single" w:color="auto" w:sz="4" w:space="0"/>
              <w:left w:val="single" w:color="auto" w:sz="4" w:space="0"/>
              <w:right w:val="single" w:color="auto" w:sz="4" w:space="0"/>
            </w:tcBorders>
            <w:vAlign w:val="center"/>
          </w:tcPr>
          <w:p w14:paraId="4AE80424">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素包子</w:t>
            </w:r>
          </w:p>
        </w:tc>
        <w:tc>
          <w:tcPr>
            <w:tcW w:w="1892" w:type="dxa"/>
            <w:tcBorders>
              <w:top w:val="single" w:color="auto" w:sz="4" w:space="0"/>
              <w:left w:val="single" w:color="auto" w:sz="4" w:space="0"/>
              <w:bottom w:val="single" w:color="auto" w:sz="4" w:space="0"/>
              <w:right w:val="single" w:color="auto" w:sz="4" w:space="0"/>
            </w:tcBorders>
            <w:vAlign w:val="center"/>
          </w:tcPr>
          <w:p w14:paraId="77068F34">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1.4</w:t>
            </w:r>
          </w:p>
        </w:tc>
        <w:tc>
          <w:tcPr>
            <w:tcW w:w="2061" w:type="dxa"/>
            <w:vMerge w:val="continue"/>
            <w:tcBorders>
              <w:left w:val="single" w:color="auto" w:sz="4" w:space="0"/>
              <w:right w:val="single" w:color="auto" w:sz="4" w:space="0"/>
            </w:tcBorders>
            <w:vAlign w:val="center"/>
          </w:tcPr>
          <w:p w14:paraId="7A25628B">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5090EED7">
            <w:pPr>
              <w:widowControl/>
              <w:jc w:val="center"/>
              <w:rPr>
                <w:rFonts w:hint="eastAsia" w:ascii="仿宋" w:hAnsi="仿宋" w:eastAsia="仿宋" w:cs="仿宋"/>
                <w:b/>
                <w:bCs/>
                <w:color w:val="auto"/>
                <w:kern w:val="0"/>
                <w:sz w:val="24"/>
                <w:szCs w:val="24"/>
                <w:highlight w:val="none"/>
                <w:lang w:val="en-US" w:eastAsia="zh-CN"/>
              </w:rPr>
            </w:pPr>
          </w:p>
        </w:tc>
      </w:tr>
      <w:tr w14:paraId="0DBC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3328" w:type="dxa"/>
            <w:tcBorders>
              <w:top w:val="single" w:color="auto" w:sz="4" w:space="0"/>
              <w:left w:val="single" w:color="auto" w:sz="4" w:space="0"/>
              <w:right w:val="single" w:color="auto" w:sz="4" w:space="0"/>
            </w:tcBorders>
            <w:vAlign w:val="center"/>
          </w:tcPr>
          <w:p w14:paraId="3C6A3C13">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馒头（白面/杂粮）</w:t>
            </w:r>
          </w:p>
        </w:tc>
        <w:tc>
          <w:tcPr>
            <w:tcW w:w="1892" w:type="dxa"/>
            <w:tcBorders>
              <w:top w:val="single" w:color="auto" w:sz="4" w:space="0"/>
              <w:left w:val="single" w:color="auto" w:sz="4" w:space="0"/>
              <w:bottom w:val="single" w:color="auto" w:sz="4" w:space="0"/>
              <w:right w:val="single" w:color="auto" w:sz="4" w:space="0"/>
            </w:tcBorders>
            <w:vAlign w:val="center"/>
          </w:tcPr>
          <w:p w14:paraId="324C97F7">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0.9</w:t>
            </w:r>
          </w:p>
        </w:tc>
        <w:tc>
          <w:tcPr>
            <w:tcW w:w="2061" w:type="dxa"/>
            <w:vMerge w:val="continue"/>
            <w:tcBorders>
              <w:left w:val="single" w:color="auto" w:sz="4" w:space="0"/>
              <w:right w:val="single" w:color="auto" w:sz="4" w:space="0"/>
            </w:tcBorders>
            <w:vAlign w:val="center"/>
          </w:tcPr>
          <w:p w14:paraId="4EAEE525">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6D9E1139">
            <w:pPr>
              <w:widowControl/>
              <w:jc w:val="center"/>
              <w:rPr>
                <w:rFonts w:hint="eastAsia" w:ascii="仿宋" w:hAnsi="仿宋" w:eastAsia="仿宋" w:cs="仿宋"/>
                <w:b/>
                <w:bCs/>
                <w:color w:val="auto"/>
                <w:kern w:val="0"/>
                <w:sz w:val="24"/>
                <w:szCs w:val="24"/>
                <w:highlight w:val="none"/>
                <w:lang w:val="en-US" w:eastAsia="zh-CN"/>
              </w:rPr>
            </w:pPr>
          </w:p>
        </w:tc>
      </w:tr>
      <w:tr w14:paraId="3E6D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3328" w:type="dxa"/>
            <w:tcBorders>
              <w:top w:val="single" w:color="auto" w:sz="4" w:space="0"/>
              <w:left w:val="single" w:color="auto" w:sz="4" w:space="0"/>
              <w:right w:val="single" w:color="auto" w:sz="4" w:space="0"/>
            </w:tcBorders>
            <w:vAlign w:val="center"/>
          </w:tcPr>
          <w:p w14:paraId="531765A0">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花卷（葱油）</w:t>
            </w:r>
          </w:p>
        </w:tc>
        <w:tc>
          <w:tcPr>
            <w:tcW w:w="1892" w:type="dxa"/>
            <w:tcBorders>
              <w:top w:val="single" w:color="auto" w:sz="4" w:space="0"/>
              <w:left w:val="single" w:color="auto" w:sz="4" w:space="0"/>
              <w:bottom w:val="single" w:color="auto" w:sz="4" w:space="0"/>
              <w:right w:val="single" w:color="auto" w:sz="4" w:space="0"/>
            </w:tcBorders>
            <w:vAlign w:val="center"/>
          </w:tcPr>
          <w:p w14:paraId="28096D60">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0.9</w:t>
            </w:r>
          </w:p>
        </w:tc>
        <w:tc>
          <w:tcPr>
            <w:tcW w:w="2061" w:type="dxa"/>
            <w:vMerge w:val="continue"/>
            <w:tcBorders>
              <w:left w:val="single" w:color="auto" w:sz="4" w:space="0"/>
              <w:right w:val="single" w:color="auto" w:sz="4" w:space="0"/>
            </w:tcBorders>
            <w:vAlign w:val="center"/>
          </w:tcPr>
          <w:p w14:paraId="5D00382D">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193DF7C2">
            <w:pPr>
              <w:widowControl/>
              <w:jc w:val="center"/>
              <w:rPr>
                <w:rFonts w:hint="eastAsia" w:ascii="仿宋" w:hAnsi="仿宋" w:eastAsia="仿宋" w:cs="仿宋"/>
                <w:b/>
                <w:bCs/>
                <w:color w:val="auto"/>
                <w:kern w:val="0"/>
                <w:sz w:val="24"/>
                <w:szCs w:val="24"/>
                <w:highlight w:val="none"/>
                <w:lang w:val="en-US" w:eastAsia="zh-CN"/>
              </w:rPr>
            </w:pPr>
          </w:p>
        </w:tc>
      </w:tr>
      <w:tr w14:paraId="30F5D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8" w:type="dxa"/>
            <w:tcBorders>
              <w:top w:val="single" w:color="auto" w:sz="4" w:space="0"/>
              <w:left w:val="single" w:color="auto" w:sz="4" w:space="0"/>
              <w:right w:val="single" w:color="auto" w:sz="4" w:space="0"/>
            </w:tcBorders>
            <w:vAlign w:val="center"/>
          </w:tcPr>
          <w:p w14:paraId="6AB28AD2">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油条</w:t>
            </w:r>
          </w:p>
        </w:tc>
        <w:tc>
          <w:tcPr>
            <w:tcW w:w="1892" w:type="dxa"/>
            <w:tcBorders>
              <w:top w:val="single" w:color="auto" w:sz="4" w:space="0"/>
              <w:left w:val="single" w:color="auto" w:sz="4" w:space="0"/>
              <w:bottom w:val="single" w:color="auto" w:sz="4" w:space="0"/>
              <w:right w:val="single" w:color="auto" w:sz="4" w:space="0"/>
            </w:tcBorders>
            <w:vAlign w:val="center"/>
          </w:tcPr>
          <w:p w14:paraId="10C8F2F7">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1.5</w:t>
            </w:r>
          </w:p>
        </w:tc>
        <w:tc>
          <w:tcPr>
            <w:tcW w:w="2061" w:type="dxa"/>
            <w:vMerge w:val="continue"/>
            <w:tcBorders>
              <w:left w:val="single" w:color="auto" w:sz="4" w:space="0"/>
              <w:right w:val="single" w:color="auto" w:sz="4" w:space="0"/>
            </w:tcBorders>
            <w:vAlign w:val="center"/>
          </w:tcPr>
          <w:p w14:paraId="464AADA8">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5CCBC40A">
            <w:pPr>
              <w:widowControl/>
              <w:jc w:val="center"/>
              <w:rPr>
                <w:rFonts w:hint="eastAsia" w:ascii="仿宋" w:hAnsi="仿宋" w:eastAsia="仿宋" w:cs="仿宋"/>
                <w:b/>
                <w:bCs/>
                <w:color w:val="auto"/>
                <w:kern w:val="0"/>
                <w:sz w:val="24"/>
                <w:szCs w:val="24"/>
                <w:highlight w:val="none"/>
                <w:lang w:val="en-US" w:eastAsia="zh-CN"/>
              </w:rPr>
            </w:pPr>
          </w:p>
        </w:tc>
      </w:tr>
      <w:tr w14:paraId="638C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3328" w:type="dxa"/>
            <w:tcBorders>
              <w:top w:val="single" w:color="auto" w:sz="4" w:space="0"/>
              <w:left w:val="single" w:color="auto" w:sz="4" w:space="0"/>
              <w:right w:val="single" w:color="auto" w:sz="4" w:space="0"/>
            </w:tcBorders>
            <w:vAlign w:val="center"/>
          </w:tcPr>
          <w:p w14:paraId="136A966D">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紫薯</w:t>
            </w:r>
          </w:p>
        </w:tc>
        <w:tc>
          <w:tcPr>
            <w:tcW w:w="1892" w:type="dxa"/>
            <w:tcBorders>
              <w:top w:val="single" w:color="auto" w:sz="4" w:space="0"/>
              <w:left w:val="single" w:color="auto" w:sz="4" w:space="0"/>
              <w:bottom w:val="single" w:color="auto" w:sz="4" w:space="0"/>
              <w:right w:val="single" w:color="auto" w:sz="4" w:space="0"/>
            </w:tcBorders>
            <w:vAlign w:val="center"/>
          </w:tcPr>
          <w:p w14:paraId="5B6BD1CC">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3</w:t>
            </w:r>
          </w:p>
        </w:tc>
        <w:tc>
          <w:tcPr>
            <w:tcW w:w="2061" w:type="dxa"/>
            <w:vMerge w:val="continue"/>
            <w:tcBorders>
              <w:left w:val="single" w:color="auto" w:sz="4" w:space="0"/>
              <w:right w:val="single" w:color="auto" w:sz="4" w:space="0"/>
            </w:tcBorders>
            <w:vAlign w:val="center"/>
          </w:tcPr>
          <w:p w14:paraId="31CF5183">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404BDD09">
            <w:pPr>
              <w:widowControl/>
              <w:jc w:val="center"/>
              <w:rPr>
                <w:rFonts w:hint="eastAsia" w:ascii="仿宋" w:hAnsi="仿宋" w:eastAsia="仿宋" w:cs="仿宋"/>
                <w:b/>
                <w:bCs/>
                <w:color w:val="auto"/>
                <w:kern w:val="0"/>
                <w:sz w:val="24"/>
                <w:szCs w:val="24"/>
                <w:highlight w:val="none"/>
                <w:lang w:val="en-US" w:eastAsia="zh-CN"/>
              </w:rPr>
            </w:pPr>
          </w:p>
        </w:tc>
      </w:tr>
      <w:tr w14:paraId="46FAF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8" w:type="dxa"/>
            <w:tcBorders>
              <w:top w:val="single" w:color="auto" w:sz="4" w:space="0"/>
              <w:left w:val="single" w:color="auto" w:sz="4" w:space="0"/>
              <w:right w:val="single" w:color="auto" w:sz="4" w:space="0"/>
            </w:tcBorders>
            <w:vAlign w:val="center"/>
          </w:tcPr>
          <w:p w14:paraId="778A1921">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发糕</w:t>
            </w:r>
          </w:p>
        </w:tc>
        <w:tc>
          <w:tcPr>
            <w:tcW w:w="1892" w:type="dxa"/>
            <w:tcBorders>
              <w:top w:val="single" w:color="auto" w:sz="4" w:space="0"/>
              <w:left w:val="single" w:color="auto" w:sz="4" w:space="0"/>
              <w:bottom w:val="single" w:color="auto" w:sz="4" w:space="0"/>
              <w:right w:val="single" w:color="auto" w:sz="4" w:space="0"/>
            </w:tcBorders>
            <w:vAlign w:val="center"/>
          </w:tcPr>
          <w:p w14:paraId="24150F74">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1.5</w:t>
            </w:r>
          </w:p>
        </w:tc>
        <w:tc>
          <w:tcPr>
            <w:tcW w:w="2061" w:type="dxa"/>
            <w:vMerge w:val="continue"/>
            <w:tcBorders>
              <w:left w:val="single" w:color="auto" w:sz="4" w:space="0"/>
              <w:right w:val="single" w:color="auto" w:sz="4" w:space="0"/>
            </w:tcBorders>
            <w:vAlign w:val="center"/>
          </w:tcPr>
          <w:p w14:paraId="24128A99">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7C1B1B02">
            <w:pPr>
              <w:widowControl/>
              <w:jc w:val="center"/>
              <w:rPr>
                <w:rFonts w:hint="eastAsia" w:ascii="仿宋" w:hAnsi="仿宋" w:eastAsia="仿宋" w:cs="仿宋"/>
                <w:b/>
                <w:bCs/>
                <w:color w:val="auto"/>
                <w:kern w:val="0"/>
                <w:sz w:val="24"/>
                <w:szCs w:val="24"/>
                <w:highlight w:val="none"/>
                <w:lang w:val="en-US" w:eastAsia="zh-CN"/>
              </w:rPr>
            </w:pPr>
          </w:p>
        </w:tc>
      </w:tr>
      <w:tr w14:paraId="6420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3328" w:type="dxa"/>
            <w:tcBorders>
              <w:top w:val="single" w:color="auto" w:sz="4" w:space="0"/>
              <w:left w:val="single" w:color="auto" w:sz="4" w:space="0"/>
              <w:right w:val="single" w:color="auto" w:sz="4" w:space="0"/>
            </w:tcBorders>
            <w:vAlign w:val="center"/>
          </w:tcPr>
          <w:p w14:paraId="0DA6DEC0">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糯米烧麦</w:t>
            </w:r>
          </w:p>
        </w:tc>
        <w:tc>
          <w:tcPr>
            <w:tcW w:w="1892" w:type="dxa"/>
            <w:tcBorders>
              <w:top w:val="single" w:color="auto" w:sz="4" w:space="0"/>
              <w:left w:val="single" w:color="auto" w:sz="4" w:space="0"/>
              <w:bottom w:val="single" w:color="auto" w:sz="4" w:space="0"/>
              <w:right w:val="single" w:color="auto" w:sz="4" w:space="0"/>
            </w:tcBorders>
            <w:vAlign w:val="center"/>
          </w:tcPr>
          <w:p w14:paraId="75147D3B">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1.5</w:t>
            </w:r>
          </w:p>
        </w:tc>
        <w:tc>
          <w:tcPr>
            <w:tcW w:w="2061" w:type="dxa"/>
            <w:vMerge w:val="continue"/>
            <w:tcBorders>
              <w:left w:val="single" w:color="auto" w:sz="4" w:space="0"/>
              <w:right w:val="single" w:color="auto" w:sz="4" w:space="0"/>
            </w:tcBorders>
            <w:vAlign w:val="center"/>
          </w:tcPr>
          <w:p w14:paraId="42A09FD2">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3054CDC1">
            <w:pPr>
              <w:widowControl/>
              <w:jc w:val="center"/>
              <w:rPr>
                <w:rFonts w:hint="eastAsia" w:ascii="仿宋" w:hAnsi="仿宋" w:eastAsia="仿宋" w:cs="仿宋"/>
                <w:b/>
                <w:bCs/>
                <w:color w:val="auto"/>
                <w:kern w:val="0"/>
                <w:sz w:val="24"/>
                <w:szCs w:val="24"/>
                <w:highlight w:val="none"/>
                <w:lang w:val="en-US" w:eastAsia="zh-CN"/>
              </w:rPr>
            </w:pPr>
          </w:p>
        </w:tc>
      </w:tr>
      <w:tr w14:paraId="2D89A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8" w:type="dxa"/>
            <w:tcBorders>
              <w:top w:val="single" w:color="auto" w:sz="4" w:space="0"/>
              <w:left w:val="single" w:color="auto" w:sz="4" w:space="0"/>
              <w:right w:val="single" w:color="auto" w:sz="4" w:space="0"/>
            </w:tcBorders>
            <w:vAlign w:val="center"/>
          </w:tcPr>
          <w:p w14:paraId="61FC05A9">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葱油饼</w:t>
            </w:r>
          </w:p>
        </w:tc>
        <w:tc>
          <w:tcPr>
            <w:tcW w:w="1892" w:type="dxa"/>
            <w:tcBorders>
              <w:top w:val="single" w:color="auto" w:sz="4" w:space="0"/>
              <w:left w:val="single" w:color="auto" w:sz="4" w:space="0"/>
              <w:bottom w:val="single" w:color="auto" w:sz="4" w:space="0"/>
              <w:right w:val="single" w:color="auto" w:sz="4" w:space="0"/>
            </w:tcBorders>
            <w:vAlign w:val="center"/>
          </w:tcPr>
          <w:p w14:paraId="63F7D911">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1.7</w:t>
            </w:r>
          </w:p>
        </w:tc>
        <w:tc>
          <w:tcPr>
            <w:tcW w:w="2061" w:type="dxa"/>
            <w:vMerge w:val="continue"/>
            <w:tcBorders>
              <w:left w:val="single" w:color="auto" w:sz="4" w:space="0"/>
              <w:right w:val="single" w:color="auto" w:sz="4" w:space="0"/>
            </w:tcBorders>
            <w:vAlign w:val="center"/>
          </w:tcPr>
          <w:p w14:paraId="393EC9A3">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4318A425">
            <w:pPr>
              <w:widowControl/>
              <w:jc w:val="center"/>
              <w:rPr>
                <w:rFonts w:hint="eastAsia" w:ascii="仿宋" w:hAnsi="仿宋" w:eastAsia="仿宋" w:cs="仿宋"/>
                <w:b/>
                <w:bCs/>
                <w:color w:val="auto"/>
                <w:kern w:val="0"/>
                <w:sz w:val="24"/>
                <w:szCs w:val="24"/>
                <w:highlight w:val="none"/>
                <w:lang w:val="en-US" w:eastAsia="zh-CN"/>
              </w:rPr>
            </w:pPr>
          </w:p>
        </w:tc>
      </w:tr>
      <w:tr w14:paraId="3660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8" w:type="dxa"/>
            <w:tcBorders>
              <w:top w:val="single" w:color="auto" w:sz="4" w:space="0"/>
              <w:left w:val="single" w:color="auto" w:sz="4" w:space="0"/>
              <w:right w:val="single" w:color="auto" w:sz="4" w:space="0"/>
            </w:tcBorders>
            <w:vAlign w:val="center"/>
          </w:tcPr>
          <w:p w14:paraId="078AB4F8">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糯玉米</w:t>
            </w:r>
          </w:p>
        </w:tc>
        <w:tc>
          <w:tcPr>
            <w:tcW w:w="1892" w:type="dxa"/>
            <w:tcBorders>
              <w:top w:val="single" w:color="auto" w:sz="4" w:space="0"/>
              <w:left w:val="single" w:color="auto" w:sz="4" w:space="0"/>
              <w:bottom w:val="single" w:color="auto" w:sz="4" w:space="0"/>
              <w:right w:val="single" w:color="auto" w:sz="4" w:space="0"/>
            </w:tcBorders>
            <w:vAlign w:val="center"/>
          </w:tcPr>
          <w:p w14:paraId="27B645C0">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2.5</w:t>
            </w:r>
          </w:p>
        </w:tc>
        <w:tc>
          <w:tcPr>
            <w:tcW w:w="2061" w:type="dxa"/>
            <w:vMerge w:val="continue"/>
            <w:tcBorders>
              <w:left w:val="single" w:color="auto" w:sz="4" w:space="0"/>
              <w:right w:val="single" w:color="auto" w:sz="4" w:space="0"/>
            </w:tcBorders>
            <w:vAlign w:val="center"/>
          </w:tcPr>
          <w:p w14:paraId="3B177E43">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1C2193CF">
            <w:pPr>
              <w:widowControl/>
              <w:jc w:val="center"/>
              <w:rPr>
                <w:rFonts w:hint="eastAsia" w:ascii="仿宋" w:hAnsi="仿宋" w:eastAsia="仿宋" w:cs="仿宋"/>
                <w:b/>
                <w:bCs/>
                <w:color w:val="auto"/>
                <w:kern w:val="0"/>
                <w:sz w:val="24"/>
                <w:szCs w:val="24"/>
                <w:highlight w:val="none"/>
                <w:lang w:val="en-US" w:eastAsia="zh-CN"/>
              </w:rPr>
            </w:pPr>
          </w:p>
        </w:tc>
      </w:tr>
      <w:tr w14:paraId="4E320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8" w:type="dxa"/>
            <w:tcBorders>
              <w:top w:val="single" w:color="auto" w:sz="4" w:space="0"/>
              <w:left w:val="single" w:color="auto" w:sz="4" w:space="0"/>
              <w:bottom w:val="single" w:color="auto" w:sz="4" w:space="0"/>
              <w:right w:val="single" w:color="auto" w:sz="4" w:space="0"/>
            </w:tcBorders>
            <w:vAlign w:val="center"/>
          </w:tcPr>
          <w:p w14:paraId="2AFE5B88">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大麻园</w:t>
            </w:r>
          </w:p>
        </w:tc>
        <w:tc>
          <w:tcPr>
            <w:tcW w:w="1892" w:type="dxa"/>
            <w:tcBorders>
              <w:top w:val="single" w:color="auto" w:sz="4" w:space="0"/>
              <w:left w:val="single" w:color="auto" w:sz="4" w:space="0"/>
              <w:bottom w:val="single" w:color="auto" w:sz="4" w:space="0"/>
              <w:right w:val="single" w:color="auto" w:sz="4" w:space="0"/>
            </w:tcBorders>
            <w:vAlign w:val="center"/>
          </w:tcPr>
          <w:p w14:paraId="7306296C">
            <w:pPr>
              <w:widowControl/>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1.5</w:t>
            </w:r>
          </w:p>
        </w:tc>
        <w:tc>
          <w:tcPr>
            <w:tcW w:w="2061" w:type="dxa"/>
            <w:vMerge w:val="continue"/>
            <w:tcBorders>
              <w:left w:val="single" w:color="auto" w:sz="4" w:space="0"/>
              <w:right w:val="single" w:color="auto" w:sz="4" w:space="0"/>
            </w:tcBorders>
            <w:vAlign w:val="center"/>
          </w:tcPr>
          <w:p w14:paraId="2706A3F5">
            <w:pPr>
              <w:widowControl/>
              <w:jc w:val="center"/>
              <w:rPr>
                <w:rFonts w:hint="eastAsia" w:ascii="仿宋" w:hAnsi="仿宋" w:eastAsia="仿宋" w:cs="仿宋"/>
                <w:b/>
                <w:bCs/>
                <w:color w:val="auto"/>
                <w:kern w:val="0"/>
                <w:sz w:val="24"/>
                <w:szCs w:val="24"/>
                <w:highlight w:val="none"/>
                <w:lang w:val="en-US" w:eastAsia="zh-CN"/>
              </w:rPr>
            </w:pPr>
          </w:p>
        </w:tc>
        <w:tc>
          <w:tcPr>
            <w:tcW w:w="1596" w:type="dxa"/>
            <w:vMerge w:val="continue"/>
            <w:tcBorders>
              <w:left w:val="single" w:color="auto" w:sz="4" w:space="0"/>
              <w:right w:val="single" w:color="auto" w:sz="4" w:space="0"/>
            </w:tcBorders>
            <w:vAlign w:val="center"/>
          </w:tcPr>
          <w:p w14:paraId="4930889F">
            <w:pPr>
              <w:widowControl/>
              <w:jc w:val="center"/>
              <w:rPr>
                <w:rFonts w:hint="eastAsia" w:ascii="仿宋" w:hAnsi="仿宋" w:eastAsia="仿宋" w:cs="仿宋"/>
                <w:b/>
                <w:bCs/>
                <w:color w:val="auto"/>
                <w:kern w:val="0"/>
                <w:sz w:val="24"/>
                <w:szCs w:val="24"/>
                <w:highlight w:val="none"/>
                <w:lang w:val="en-US" w:eastAsia="zh-CN"/>
              </w:rPr>
            </w:pPr>
          </w:p>
        </w:tc>
      </w:tr>
      <w:bookmarkEnd w:id="39"/>
    </w:tbl>
    <w:p w14:paraId="69A43AC9">
      <w:pPr>
        <w:pStyle w:val="5"/>
        <w:spacing w:before="240" w:beforeLines="100" w:after="0"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二、资金来源</w:t>
      </w:r>
      <w:bookmarkEnd w:id="40"/>
      <w:bookmarkEnd w:id="41"/>
    </w:p>
    <w:p w14:paraId="5B00BC3F">
      <w:pPr>
        <w:keepNext/>
        <w:keepLines/>
        <w:spacing w:line="400" w:lineRule="exact"/>
        <w:ind w:firstLine="480" w:firstLineChars="200"/>
        <w:rPr>
          <w:rFonts w:hint="eastAsia" w:ascii="仿宋" w:hAnsi="仿宋" w:eastAsia="仿宋" w:cs="仿宋"/>
          <w:bCs/>
          <w:color w:val="auto"/>
          <w:sz w:val="24"/>
          <w:szCs w:val="24"/>
          <w:highlight w:val="none"/>
        </w:rPr>
      </w:pPr>
      <w:bookmarkStart w:id="42" w:name="_Toc358"/>
      <w:bookmarkStart w:id="43" w:name="_Toc5745"/>
      <w:bookmarkStart w:id="44" w:name="_Toc5679"/>
      <w:bookmarkStart w:id="45" w:name="_Toc26791"/>
      <w:r>
        <w:rPr>
          <w:rFonts w:hint="eastAsia" w:ascii="仿宋" w:hAnsi="仿宋" w:eastAsia="仿宋" w:cs="仿宋"/>
          <w:bCs/>
          <w:color w:val="auto"/>
          <w:sz w:val="24"/>
          <w:szCs w:val="24"/>
          <w:highlight w:val="none"/>
          <w:lang w:val="en-US" w:eastAsia="zh-CN"/>
        </w:rPr>
        <w:t>业主自筹</w:t>
      </w:r>
      <w:r>
        <w:rPr>
          <w:rFonts w:hint="eastAsia" w:ascii="仿宋" w:hAnsi="仿宋" w:eastAsia="仿宋" w:cs="仿宋"/>
          <w:bCs/>
          <w:color w:val="auto"/>
          <w:sz w:val="24"/>
          <w:szCs w:val="24"/>
          <w:highlight w:val="none"/>
        </w:rPr>
        <w:t>，预算金额为</w:t>
      </w:r>
      <w:r>
        <w:rPr>
          <w:rFonts w:hint="eastAsia" w:ascii="仿宋" w:hAnsi="仿宋" w:eastAsia="仿宋" w:cs="仿宋"/>
          <w:color w:val="auto"/>
          <w:sz w:val="24"/>
          <w:szCs w:val="24"/>
          <w:highlight w:val="none"/>
          <w:lang w:val="en-US" w:eastAsia="zh-CN"/>
        </w:rPr>
        <w:t>252930.00</w:t>
      </w:r>
      <w:r>
        <w:rPr>
          <w:rFonts w:hint="eastAsia" w:ascii="仿宋" w:hAnsi="仿宋" w:eastAsia="仿宋" w:cs="仿宋"/>
          <w:bCs/>
          <w:color w:val="auto"/>
          <w:sz w:val="24"/>
          <w:szCs w:val="24"/>
          <w:highlight w:val="none"/>
        </w:rPr>
        <w:t>元</w:t>
      </w:r>
      <w:bookmarkEnd w:id="42"/>
      <w:bookmarkEnd w:id="43"/>
      <w:bookmarkEnd w:id="44"/>
      <w:r>
        <w:rPr>
          <w:rFonts w:hint="eastAsia" w:ascii="仿宋" w:hAnsi="仿宋" w:eastAsia="仿宋" w:cs="仿宋"/>
          <w:bCs/>
          <w:color w:val="auto"/>
          <w:sz w:val="24"/>
          <w:szCs w:val="24"/>
          <w:highlight w:val="none"/>
        </w:rPr>
        <w:t>。</w:t>
      </w:r>
      <w:bookmarkEnd w:id="45"/>
    </w:p>
    <w:p w14:paraId="327F3A2E">
      <w:pPr>
        <w:pStyle w:val="5"/>
        <w:spacing w:before="240" w:beforeLines="100" w:after="0" w:line="360" w:lineRule="auto"/>
        <w:rPr>
          <w:rFonts w:hint="eastAsia" w:ascii="仿宋" w:hAnsi="仿宋" w:eastAsia="仿宋" w:cs="仿宋"/>
          <w:color w:val="auto"/>
          <w:sz w:val="24"/>
          <w:szCs w:val="24"/>
          <w:highlight w:val="none"/>
        </w:rPr>
      </w:pPr>
      <w:bookmarkStart w:id="46" w:name="_Toc18111"/>
      <w:bookmarkStart w:id="47" w:name="_Toc27448"/>
      <w:r>
        <w:rPr>
          <w:rFonts w:hint="eastAsia" w:ascii="仿宋" w:hAnsi="仿宋" w:eastAsia="仿宋" w:cs="仿宋"/>
          <w:color w:val="auto"/>
          <w:sz w:val="24"/>
          <w:szCs w:val="24"/>
          <w:highlight w:val="none"/>
        </w:rPr>
        <w:t>三、供应商资格条件</w:t>
      </w:r>
      <w:bookmarkEnd w:id="46"/>
      <w:bookmarkEnd w:id="47"/>
    </w:p>
    <w:p w14:paraId="1EA94FE0">
      <w:pPr>
        <w:wordWrap w:val="0"/>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供应商是指向采购人提供服务或者货物的法人、其他组织或者自然人。合格的供应商应符合政府采购法第二十二条规定的基本资格条件</w:t>
      </w:r>
      <w:r>
        <w:rPr>
          <w:rFonts w:hint="eastAsia" w:ascii="仿宋" w:hAnsi="仿宋" w:eastAsia="仿宋" w:cs="仿宋"/>
          <w:color w:val="auto"/>
          <w:sz w:val="24"/>
          <w:szCs w:val="24"/>
          <w:highlight w:val="none"/>
          <w:lang w:eastAsia="zh-CN"/>
        </w:rPr>
        <w:t>。</w:t>
      </w:r>
    </w:p>
    <w:p w14:paraId="46B4E1EB">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（一）基本资格条件</w:t>
      </w:r>
    </w:p>
    <w:p w14:paraId="06917D1B">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1、具有独立承担民事责任的能力；</w:t>
      </w:r>
    </w:p>
    <w:p w14:paraId="38A9AA9F">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2、具有良好的商业信誉和健全的财务会计制度；</w:t>
      </w:r>
    </w:p>
    <w:p w14:paraId="472DC1C6">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3、具有履行合同所必需的设备和专业技术能力；</w:t>
      </w:r>
    </w:p>
    <w:p w14:paraId="1DBD322C">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4、有依法缴纳税收和社会保障资金的良好记录；</w:t>
      </w:r>
    </w:p>
    <w:p w14:paraId="02CF245B">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5、参加政府采购活动前三年内，在经营活动中没有重大违法记录；</w:t>
      </w:r>
    </w:p>
    <w:p w14:paraId="51587AA9">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6、法律、行政法规规定的其他条件。</w:t>
      </w:r>
    </w:p>
    <w:p w14:paraId="2F3D6729">
      <w:pPr>
        <w:wordWrap w:val="0"/>
        <w:spacing w:line="360" w:lineRule="auto"/>
        <w:ind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rPr>
        <w:t>）特定资格条件：</w:t>
      </w:r>
      <w:bookmarkStart w:id="48" w:name="_Toc16506"/>
      <w:r>
        <w:rPr>
          <w:rFonts w:hint="eastAsia" w:ascii="仿宋" w:hAnsi="仿宋" w:eastAsia="仿宋" w:cs="仿宋"/>
          <w:b w:val="0"/>
          <w:color w:val="auto"/>
          <w:kern w:val="2"/>
          <w:sz w:val="24"/>
          <w:szCs w:val="24"/>
          <w:highlight w:val="none"/>
          <w:lang w:val="en-US" w:eastAsia="zh-CN" w:bidi="ar-SA"/>
        </w:rPr>
        <w:t>投标人须在项目所在地设有固定实体经营门店（自有或租赁均可），提供房产证/租赁合同+门店门头照片佐证。</w:t>
      </w:r>
    </w:p>
    <w:p w14:paraId="3CCBF688">
      <w:pPr>
        <w:pStyle w:val="5"/>
        <w:pageBreakBefore w:val="0"/>
        <w:widowControl w:val="0"/>
        <w:kinsoku/>
        <w:overflowPunct/>
        <w:topLinePunct w:val="0"/>
        <w:autoSpaceDE/>
        <w:autoSpaceDN/>
        <w:bidi w:val="0"/>
        <w:adjustRightInd/>
        <w:snapToGrid/>
        <w:spacing w:before="0" w:after="0"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四、采购有关说明</w:t>
      </w:r>
      <w:bookmarkEnd w:id="37"/>
      <w:bookmarkEnd w:id="48"/>
    </w:p>
    <w:bookmarkEnd w:id="38"/>
    <w:p w14:paraId="1CEAC33F">
      <w:pPr>
        <w:snapToGrid w:val="0"/>
        <w:spacing w:line="360" w:lineRule="auto"/>
        <w:ind w:firstLine="480" w:firstLineChars="200"/>
        <w:rPr>
          <w:rFonts w:hint="eastAsia" w:ascii="仿宋" w:hAnsi="仿宋" w:eastAsia="仿宋" w:cs="仿宋"/>
          <w:color w:val="auto"/>
          <w:sz w:val="24"/>
          <w:szCs w:val="24"/>
          <w:highlight w:val="none"/>
        </w:rPr>
      </w:pPr>
      <w:bookmarkStart w:id="49" w:name="_Toc373860294"/>
      <w:bookmarkStart w:id="50" w:name="_Toc480466699"/>
      <w:bookmarkStart w:id="51" w:name="_Toc20247"/>
      <w:r>
        <w:rPr>
          <w:rFonts w:hint="eastAsia" w:ascii="仿宋" w:hAnsi="仿宋" w:eastAsia="仿宋" w:cs="仿宋"/>
          <w:color w:val="auto"/>
          <w:sz w:val="24"/>
          <w:szCs w:val="24"/>
          <w:highlight w:val="none"/>
        </w:rPr>
        <w:t>（一）参加报价的供应商须在“重庆秀山小额交易管理平台”服务平台注册，成为正式供应商。</w:t>
      </w:r>
    </w:p>
    <w:p w14:paraId="65AE403A">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（二）凡有意参加采购的供应商请于2026年 5 月 2</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 xml:space="preserve"> 日起将报名表加盖公章扫描后发送至934441280@qq.com（邮箱）进行报名并获取采购文件。</w:t>
      </w:r>
    </w:p>
    <w:p w14:paraId="6E7F622D">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（三）采购文件每套售价300元，售后不退。供应商在报名时,向采购代理机构缴纳采购文件的费用。采购文件费收取注意事项详见采购公告发布的附件。</w:t>
      </w:r>
    </w:p>
    <w:p w14:paraId="3D9DCB5A">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公布的所有项目资料，无论供应商下载与否，均视为已知晓所有采购实质性要求内容。</w:t>
      </w:r>
    </w:p>
    <w:p w14:paraId="6C4006CB">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（四）线上报价</w:t>
      </w:r>
    </w:p>
    <w:p w14:paraId="455852DF">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1.线上报价时间：2026年 </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 xml:space="preserve">月 </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 xml:space="preserve"> 日9:00-11:00北京时间。</w:t>
      </w:r>
    </w:p>
    <w:p w14:paraId="2D546308">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2.线上报价要求：按本项目规定的时间在秀山县小额交易管理平台竞采大厅进行网上报价，并在规定的时间内上传响应文件电子文档。未在规定时间内报价和上传响应文件电子文档的供应商不具备竞标资格。</w:t>
      </w:r>
    </w:p>
    <w:p w14:paraId="4A8389E2">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（五）供应商须满足以下三种要件，其响应文件才被接受：</w:t>
      </w:r>
    </w:p>
    <w:p w14:paraId="08CEA21E">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1.按时在秀山县小额交易管理平台竞采大厅（https://cqxs-mall.gec123.com/）进行网上报价。</w:t>
      </w:r>
    </w:p>
    <w:p w14:paraId="0A9BCA95">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2.按时递交响应文件。</w:t>
      </w:r>
    </w:p>
    <w:p w14:paraId="37036E4C">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注：线上及线下响应文件须一致，如不一致，响应文件作废。</w:t>
      </w:r>
    </w:p>
    <w:p w14:paraId="0C6667A9">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（六）线下响应文件可选择邮寄或现场递交：</w:t>
      </w:r>
    </w:p>
    <w:p w14:paraId="446A9FBA">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1.线下响应文件可采取邮寄方式，邮寄地址：重庆市秀山县花灯街迎春二巷31号，陈老师18716969222（收件截止时间为2026年</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 xml:space="preserve">月 </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 xml:space="preserve"> 日 11:00 北京时间）</w:t>
      </w:r>
    </w:p>
    <w:p w14:paraId="2223C70C">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2.现场递交地址地点：重庆市秀山县花灯街迎春二巷31号。</w:t>
      </w:r>
    </w:p>
    <w:p w14:paraId="30EDF464">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（七）响应文件现场递交开始时间：2026年 </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 xml:space="preserve">月 </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 xml:space="preserve"> 日10:30北京时间。</w:t>
      </w:r>
    </w:p>
    <w:p w14:paraId="7C90D91C">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（八）响应文件现场递交截止时间：2026年</w:t>
      </w:r>
      <w:r>
        <w:rPr>
          <w:rFonts w:hint="eastAsia" w:ascii="仿宋" w:hAnsi="仿宋" w:eastAsia="仿宋" w:cs="仿宋"/>
          <w:color w:val="auto"/>
          <w:sz w:val="24"/>
          <w:szCs w:val="24"/>
          <w:highlight w:val="none"/>
          <w:lang w:val="en-US" w:eastAsia="zh-CN"/>
        </w:rPr>
        <w:t xml:space="preserve"> 6</w:t>
      </w:r>
      <w:r>
        <w:rPr>
          <w:rFonts w:hint="eastAsia" w:ascii="仿宋" w:hAnsi="仿宋" w:eastAsia="仿宋" w:cs="仿宋"/>
          <w:color w:val="auto"/>
          <w:sz w:val="24"/>
          <w:szCs w:val="24"/>
          <w:highlight w:val="none"/>
        </w:rPr>
        <w:t xml:space="preserve">月 </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 xml:space="preserve"> 日11:00北京时间。</w:t>
      </w:r>
    </w:p>
    <w:p w14:paraId="26BF9A36">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（九）线下开标开始时间：2026年 </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 xml:space="preserve">月 </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日北京时间1</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:00北京时间。</w:t>
      </w:r>
    </w:p>
    <w:p w14:paraId="3952D11A">
      <w:pPr>
        <w:snapToGrid w:val="0"/>
        <w:spacing w:line="360" w:lineRule="auto"/>
        <w:ind w:firstLine="361" w:firstLineChars="15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五</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eastAsia="zh-CN"/>
        </w:rPr>
        <w:t>供应商</w:t>
      </w:r>
      <w:r>
        <w:rPr>
          <w:rFonts w:hint="eastAsia" w:ascii="仿宋" w:hAnsi="仿宋" w:eastAsia="仿宋" w:cs="仿宋"/>
          <w:b/>
          <w:bCs/>
          <w:color w:val="auto"/>
          <w:sz w:val="24"/>
          <w:szCs w:val="24"/>
          <w:highlight w:val="none"/>
        </w:rPr>
        <w:t>须满足以下三种要件，其响应文件才被接受：</w:t>
      </w:r>
    </w:p>
    <w:p w14:paraId="561DC54A">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1.按时在</w:t>
      </w:r>
      <w:r>
        <w:rPr>
          <w:rFonts w:hint="eastAsia" w:ascii="仿宋" w:hAnsi="仿宋" w:eastAsia="仿宋" w:cs="仿宋"/>
          <w:color w:val="auto"/>
          <w:sz w:val="24"/>
          <w:szCs w:val="24"/>
          <w:highlight w:val="none"/>
          <w:lang w:val="zh-CN"/>
        </w:rPr>
        <w:t>秀山县小额交易管理平台竞采大厅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https://cqxs-mall.gec123.com/</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进行网上报价。</w:t>
      </w:r>
    </w:p>
    <w:p w14:paraId="3189B9A0">
      <w:pPr>
        <w:spacing w:line="360" w:lineRule="auto"/>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auto"/>
          <w:sz w:val="24"/>
          <w:szCs w:val="24"/>
          <w:highlight w:val="none"/>
        </w:rPr>
        <w:t>2.按时递交响应文件。</w:t>
      </w:r>
      <w:bookmarkStart w:id="162" w:name="_GoBack"/>
      <w:bookmarkEnd w:id="162"/>
    </w:p>
    <w:bookmarkEnd w:id="49"/>
    <w:p w14:paraId="7ECC6FFD">
      <w:pPr>
        <w:pStyle w:val="5"/>
        <w:spacing w:before="0" w:after="0"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五</w:t>
      </w:r>
      <w:r>
        <w:rPr>
          <w:rFonts w:hint="eastAsia" w:ascii="仿宋" w:hAnsi="仿宋" w:eastAsia="仿宋" w:cs="仿宋"/>
          <w:color w:val="auto"/>
          <w:sz w:val="24"/>
          <w:szCs w:val="24"/>
          <w:highlight w:val="none"/>
        </w:rPr>
        <w:t>、其他有关规定</w:t>
      </w:r>
      <w:bookmarkEnd w:id="50"/>
      <w:bookmarkEnd w:id="51"/>
    </w:p>
    <w:p w14:paraId="3B49BD31">
      <w:pPr>
        <w:snapToGrid w:val="0"/>
        <w:spacing w:line="360" w:lineRule="auto"/>
        <w:ind w:firstLine="360" w:firstLineChars="1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（一）单位负责人为同一人或者存在直接控股、管理关系的不同供应商，不得参加同一合同项（分包）下的政府采购活动，否则均为响应无效。</w:t>
      </w:r>
    </w:p>
    <w:p w14:paraId="1231E75D">
      <w:pPr>
        <w:snapToGrid w:val="0"/>
        <w:spacing w:line="360" w:lineRule="auto"/>
        <w:ind w:firstLine="360" w:firstLineChars="1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（二）为采购项目提供整体设计、规范编制或者项目管理、监理、检测等服务的供应商，不得再参加该采购项目的其他采购活动。</w:t>
      </w:r>
    </w:p>
    <w:p w14:paraId="027E4D3C">
      <w:pPr>
        <w:spacing w:line="360" w:lineRule="auto"/>
        <w:ind w:firstLine="240" w:firstLineChars="100"/>
        <w:rPr>
          <w:rFonts w:hint="eastAsia" w:ascii="仿宋" w:hAnsi="仿宋" w:eastAsia="仿宋" w:cs="仿宋"/>
          <w:color w:val="auto"/>
          <w:highlight w:val="none"/>
        </w:rPr>
      </w:pPr>
      <w:r>
        <w:rPr>
          <w:rFonts w:hint="eastAsia" w:ascii="仿宋" w:hAnsi="仿宋" w:eastAsia="仿宋" w:cs="仿宋"/>
          <w:color w:val="auto"/>
          <w:sz w:val="24"/>
          <w:szCs w:val="24"/>
          <w:highlight w:val="none"/>
        </w:rPr>
        <w:t>（三）同一合同项（分包）下为单一品目或非单一品目核心产品品牌的货物采购招标中，同一品牌有多家供应商参加网上竞采，以其中通过资格审查、符合性审查且报价最低的参加评标；报价相同的，由采购人或者采购人委托评审委员会按照网上竞采文件规定的方式确定一个参加评标的投标人，网上竞采文件未规定的采取随机抽取方式确定，其他投标无效。</w:t>
      </w:r>
    </w:p>
    <w:p w14:paraId="1DB47EC2">
      <w:pPr>
        <w:snapToGrid w:val="0"/>
        <w:spacing w:line="360" w:lineRule="auto"/>
        <w:ind w:firstLine="360" w:firstLineChars="1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本项目的补遗文件（如果有）一律在重庆市政府采购云平台.网上竞采中心（https://xj.ccgp-chongqing.gov.cn/ge/）上发布，请各供应商注意下载；无论供应商下载与否，均视同供应商已知晓本项目补遗文件（如果有）的内容。</w:t>
      </w:r>
    </w:p>
    <w:p w14:paraId="01D9362A">
      <w:pPr>
        <w:snapToGrid w:val="0"/>
        <w:spacing w:line="360" w:lineRule="auto"/>
        <w:ind w:firstLine="360" w:firstLineChars="1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（五）超过响应文件截止时间递交的响应文件，恕不接收。</w:t>
      </w:r>
    </w:p>
    <w:p w14:paraId="0B9D198C">
      <w:pPr>
        <w:snapToGrid w:val="0"/>
        <w:spacing w:line="360" w:lineRule="auto"/>
        <w:ind w:firstLine="360" w:firstLineChars="1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（六）网上竞采费用：无论网上竞采结果如何，供应商参与本项目网上竞采的所有费用均应由供应商自行承担。</w:t>
      </w:r>
    </w:p>
    <w:p w14:paraId="080A82E6">
      <w:pPr>
        <w:snapToGrid w:val="0"/>
        <w:spacing w:line="360" w:lineRule="auto"/>
        <w:ind w:firstLine="361" w:firstLineChars="150"/>
        <w:rPr>
          <w:rFonts w:hint="eastAsia" w:ascii="仿宋" w:hAnsi="仿宋" w:eastAsia="仿宋" w:cs="仿宋"/>
          <w:b/>
          <w:bCs/>
          <w:color w:val="auto"/>
          <w:sz w:val="24"/>
          <w:szCs w:val="24"/>
          <w:highlight w:val="none"/>
        </w:rPr>
      </w:pPr>
      <w:bookmarkStart w:id="52" w:name="_Toc480466700"/>
      <w:r>
        <w:rPr>
          <w:rFonts w:hint="eastAsia" w:ascii="仿宋" w:hAnsi="仿宋" w:eastAsia="仿宋" w:cs="仿宋"/>
          <w:b/>
          <w:bCs/>
          <w:color w:val="auto"/>
          <w:sz w:val="24"/>
          <w:szCs w:val="24"/>
          <w:highlight w:val="none"/>
        </w:rPr>
        <w:t>（七）本项目不接受联合体参与网上竞采。</w:t>
      </w:r>
    </w:p>
    <w:p w14:paraId="507814A2">
      <w:pPr>
        <w:snapToGrid w:val="0"/>
        <w:spacing w:line="360" w:lineRule="auto"/>
        <w:ind w:firstLine="361" w:firstLineChars="150"/>
        <w:rPr>
          <w:rFonts w:hint="eastAsia" w:ascii="仿宋" w:hAnsi="仿宋" w:eastAsia="仿宋" w:cs="仿宋"/>
          <w:color w:val="auto"/>
          <w:highlight w:val="none"/>
        </w:rPr>
      </w:pPr>
      <w:r>
        <w:rPr>
          <w:rFonts w:hint="eastAsia" w:ascii="仿宋" w:hAnsi="仿宋" w:eastAsia="仿宋" w:cs="仿宋"/>
          <w:b/>
          <w:bCs/>
          <w:color w:val="auto"/>
          <w:sz w:val="24"/>
          <w:szCs w:val="24"/>
          <w:highlight w:val="none"/>
        </w:rPr>
        <w:t>（八）本项目不接受合同分包。</w:t>
      </w:r>
    </w:p>
    <w:p w14:paraId="258AF665">
      <w:pPr>
        <w:snapToGrid w:val="0"/>
        <w:spacing w:line="360" w:lineRule="auto"/>
        <w:ind w:firstLine="360" w:firstLineChars="1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3AE3EEBD">
      <w:pPr>
        <w:pStyle w:val="5"/>
        <w:spacing w:before="0" w:after="0" w:line="360" w:lineRule="auto"/>
        <w:rPr>
          <w:rFonts w:hint="eastAsia" w:ascii="仿宋" w:hAnsi="仿宋" w:eastAsia="仿宋" w:cs="仿宋"/>
          <w:color w:val="auto"/>
          <w:sz w:val="24"/>
          <w:szCs w:val="24"/>
          <w:highlight w:val="none"/>
        </w:rPr>
      </w:pPr>
      <w:bookmarkStart w:id="53" w:name="_Toc7960"/>
      <w:r>
        <w:rPr>
          <w:rFonts w:hint="eastAsia" w:ascii="仿宋" w:hAnsi="仿宋" w:eastAsia="仿宋" w:cs="仿宋"/>
          <w:color w:val="auto"/>
          <w:sz w:val="24"/>
          <w:szCs w:val="24"/>
          <w:highlight w:val="none"/>
        </w:rPr>
        <w:t>七、联系方式</w:t>
      </w:r>
      <w:bookmarkEnd w:id="52"/>
      <w:bookmarkEnd w:id="53"/>
    </w:p>
    <w:p w14:paraId="055CC771">
      <w:pPr>
        <w:pStyle w:val="62"/>
        <w:ind w:left="0" w:leftChars="0" w:firstLine="240" w:firstLineChars="1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（一）采购人：</w:t>
      </w:r>
      <w:r>
        <w:rPr>
          <w:rFonts w:hint="eastAsia" w:ascii="仿宋" w:hAnsi="仿宋" w:eastAsia="仿宋" w:cs="仿宋"/>
          <w:color w:val="auto"/>
          <w:sz w:val="24"/>
          <w:szCs w:val="24"/>
          <w:highlight w:val="none"/>
          <w:lang w:eastAsia="zh-CN"/>
        </w:rPr>
        <w:t>秀山土家族苗族自治县精神卫生中心</w:t>
      </w:r>
    </w:p>
    <w:p w14:paraId="7E501F6A">
      <w:pPr>
        <w:pStyle w:val="62"/>
        <w:ind w:left="0" w:leftChars="0" w:firstLine="240" w:firstLineChars="1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联系人：</w:t>
      </w:r>
      <w:r>
        <w:rPr>
          <w:rFonts w:hint="eastAsia" w:ascii="仿宋" w:hAnsi="仿宋" w:eastAsia="仿宋" w:cs="仿宋"/>
          <w:color w:val="auto"/>
          <w:sz w:val="24"/>
          <w:szCs w:val="24"/>
          <w:highlight w:val="none"/>
          <w:lang w:val="en-US" w:eastAsia="zh-CN"/>
        </w:rPr>
        <w:t>刘老师</w:t>
      </w:r>
    </w:p>
    <w:p w14:paraId="2DBEA6F3">
      <w:pPr>
        <w:pStyle w:val="62"/>
        <w:ind w:left="0" w:leftChars="0" w:firstLine="240" w:firstLineChars="1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电  话：</w:t>
      </w:r>
      <w:r>
        <w:rPr>
          <w:rFonts w:hint="eastAsia" w:ascii="仿宋" w:hAnsi="仿宋" w:eastAsia="仿宋" w:cs="仿宋"/>
          <w:color w:val="auto"/>
          <w:sz w:val="24"/>
          <w:szCs w:val="24"/>
          <w:highlight w:val="none"/>
          <w:lang w:val="en-US" w:eastAsia="zh-CN"/>
        </w:rPr>
        <w:t>15102316573</w:t>
      </w:r>
    </w:p>
    <w:p w14:paraId="02B8A92A">
      <w:pPr>
        <w:pStyle w:val="62"/>
        <w:ind w:left="0" w:leftChars="0" w:firstLine="240" w:firstLineChars="100"/>
        <w:rPr>
          <w:rFonts w:hint="eastAsia" w:ascii="仿宋" w:hAnsi="仿宋" w:eastAsia="仿宋" w:cs="仿宋"/>
          <w:sz w:val="24"/>
          <w:szCs w:val="24"/>
          <w:highlight w:val="none"/>
          <w:lang w:val="en-US" w:eastAsia="zh-CN"/>
        </w:rPr>
      </w:pPr>
      <w:r>
        <w:rPr>
          <w:rFonts w:hint="eastAsia" w:ascii="仿宋" w:hAnsi="仿宋" w:eastAsia="仿宋" w:cs="仿宋"/>
          <w:color w:val="auto"/>
          <w:sz w:val="24"/>
          <w:szCs w:val="24"/>
          <w:highlight w:val="none"/>
        </w:rPr>
        <w:t>地  址：秀山土家族苗族自治县中和街道新齐社区</w:t>
      </w:r>
    </w:p>
    <w:p w14:paraId="36D2AE0C">
      <w:pPr>
        <w:snapToGrid w:val="0"/>
        <w:spacing w:line="360" w:lineRule="auto"/>
        <w:ind w:firstLine="240" w:firstLineChars="100"/>
        <w:rPr>
          <w:rFonts w:hint="eastAsia" w:ascii="仿宋" w:hAnsi="仿宋" w:eastAsia="仿宋" w:cs="仿宋"/>
          <w:color w:val="auto"/>
          <w:sz w:val="24"/>
          <w:szCs w:val="24"/>
          <w:highlight w:val="none"/>
        </w:rPr>
      </w:pPr>
      <w:bookmarkStart w:id="54" w:name="_Toc18586"/>
      <w:bookmarkStart w:id="55" w:name="_Toc1145"/>
      <w:bookmarkStart w:id="56" w:name="_Toc12789058"/>
      <w:r>
        <w:rPr>
          <w:rFonts w:hint="eastAsia" w:ascii="仿宋" w:hAnsi="仿宋" w:eastAsia="仿宋" w:cs="仿宋"/>
          <w:color w:val="auto"/>
          <w:sz w:val="24"/>
          <w:szCs w:val="24"/>
          <w:highlight w:val="none"/>
        </w:rPr>
        <w:t>（二）采购代理机构：</w:t>
      </w:r>
      <w:r>
        <w:rPr>
          <w:rFonts w:hint="eastAsia" w:ascii="仿宋" w:hAnsi="仿宋" w:eastAsia="仿宋" w:cs="仿宋"/>
          <w:color w:val="auto"/>
          <w:sz w:val="24"/>
          <w:szCs w:val="24"/>
          <w:highlight w:val="none"/>
          <w:lang w:eastAsia="zh-CN"/>
        </w:rPr>
        <w:t>重庆千诺工程项目管理有限公司</w:t>
      </w:r>
      <w:r>
        <w:rPr>
          <w:rFonts w:hint="eastAsia" w:ascii="仿宋" w:hAnsi="仿宋" w:eastAsia="仿宋" w:cs="仿宋"/>
          <w:color w:val="auto"/>
          <w:sz w:val="24"/>
          <w:szCs w:val="24"/>
          <w:highlight w:val="none"/>
        </w:rPr>
        <w:t xml:space="preserve">  </w:t>
      </w:r>
    </w:p>
    <w:p w14:paraId="6695BD6D">
      <w:pPr>
        <w:snapToGrid w:val="0"/>
        <w:spacing w:line="360" w:lineRule="auto"/>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r>
        <w:rPr>
          <w:rFonts w:hint="eastAsia" w:ascii="仿宋" w:hAnsi="仿宋" w:eastAsia="仿宋" w:cs="仿宋"/>
          <w:color w:val="auto"/>
          <w:sz w:val="24"/>
          <w:szCs w:val="24"/>
          <w:highlight w:val="none"/>
          <w:lang w:eastAsia="zh-CN"/>
        </w:rPr>
        <w:t>陈</w:t>
      </w:r>
      <w:r>
        <w:rPr>
          <w:rFonts w:hint="eastAsia" w:ascii="仿宋" w:hAnsi="仿宋" w:eastAsia="仿宋" w:cs="仿宋"/>
          <w:color w:val="auto"/>
          <w:sz w:val="24"/>
          <w:szCs w:val="24"/>
          <w:highlight w:val="none"/>
          <w:lang w:val="en-US" w:eastAsia="zh-CN"/>
        </w:rPr>
        <w:t>老师</w:t>
      </w:r>
    </w:p>
    <w:p w14:paraId="65983346">
      <w:pPr>
        <w:snapToGrid w:val="0"/>
        <w:spacing w:line="360" w:lineRule="auto"/>
        <w:ind w:firstLine="240" w:firstLineChars="1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电  话：</w:t>
      </w:r>
      <w:r>
        <w:rPr>
          <w:rFonts w:hint="eastAsia" w:ascii="仿宋" w:hAnsi="仿宋" w:eastAsia="仿宋" w:cs="仿宋"/>
          <w:color w:val="auto"/>
          <w:sz w:val="24"/>
          <w:szCs w:val="24"/>
          <w:highlight w:val="none"/>
          <w:lang w:val="en-US" w:eastAsia="zh-CN"/>
        </w:rPr>
        <w:t>023-87987380</w:t>
      </w:r>
    </w:p>
    <w:p w14:paraId="2815B3B3">
      <w:pPr>
        <w:snapToGrid w:val="0"/>
        <w:spacing w:line="360" w:lineRule="auto"/>
        <w:ind w:firstLine="240" w:firstLineChars="100"/>
        <w:rPr>
          <w:rFonts w:hint="eastAsia" w:ascii="仿宋" w:hAnsi="仿宋" w:eastAsia="仿宋" w:cs="仿宋"/>
          <w:color w:val="auto"/>
          <w:sz w:val="24"/>
          <w:szCs w:val="24"/>
          <w:highlight w:val="none"/>
        </w:rPr>
        <w:sectPr>
          <w:pgSz w:w="11907" w:h="16840"/>
          <w:pgMar w:top="1134" w:right="1418" w:bottom="1134" w:left="1418" w:header="397" w:footer="992" w:gutter="0"/>
          <w:pgNumType w:fmt="numberInDash"/>
          <w:cols w:space="720" w:num="1"/>
          <w:docGrid w:linePitch="312" w:charSpace="0"/>
        </w:sectPr>
      </w:pPr>
      <w:r>
        <w:rPr>
          <w:rFonts w:hint="eastAsia" w:ascii="仿宋" w:hAnsi="仿宋" w:eastAsia="仿宋" w:cs="仿宋"/>
          <w:color w:val="auto"/>
          <w:sz w:val="24"/>
          <w:szCs w:val="24"/>
          <w:highlight w:val="none"/>
        </w:rPr>
        <w:t>地  址：重庆秀山县花灯街迎春二巷3</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号</w:t>
      </w:r>
    </w:p>
    <w:p w14:paraId="0B230E14">
      <w:pPr>
        <w:pStyle w:val="4"/>
        <w:spacing w:before="0" w:after="0" w:line="360" w:lineRule="auto"/>
        <w:jc w:val="center"/>
        <w:rPr>
          <w:rFonts w:hint="eastAsia" w:ascii="仿宋" w:hAnsi="仿宋" w:eastAsia="仿宋" w:cs="仿宋"/>
          <w:bCs/>
          <w:color w:val="auto"/>
          <w:sz w:val="36"/>
          <w:szCs w:val="30"/>
          <w:highlight w:val="none"/>
        </w:rPr>
      </w:pPr>
      <w:r>
        <w:rPr>
          <w:rFonts w:hint="eastAsia" w:ascii="仿宋" w:hAnsi="仿宋" w:eastAsia="仿宋" w:cs="仿宋"/>
          <w:bCs/>
          <w:color w:val="auto"/>
          <w:sz w:val="36"/>
          <w:szCs w:val="30"/>
          <w:highlight w:val="none"/>
        </w:rPr>
        <w:t>第二篇</w:t>
      </w:r>
      <w:r>
        <w:rPr>
          <w:rFonts w:hint="eastAsia" w:ascii="仿宋" w:hAnsi="仿宋" w:eastAsia="仿宋" w:cs="仿宋"/>
          <w:bCs/>
          <w:color w:val="auto"/>
          <w:sz w:val="36"/>
          <w:szCs w:val="30"/>
          <w:highlight w:val="none"/>
          <w:lang w:val="en-US" w:eastAsia="zh-CN"/>
        </w:rPr>
        <w:t xml:space="preserve"> </w:t>
      </w:r>
      <w:r>
        <w:rPr>
          <w:rFonts w:hint="eastAsia" w:ascii="仿宋" w:hAnsi="仿宋" w:eastAsia="仿宋" w:cs="仿宋"/>
          <w:bCs/>
          <w:color w:val="auto"/>
          <w:sz w:val="36"/>
          <w:szCs w:val="30"/>
          <w:highlight w:val="none"/>
        </w:rPr>
        <w:t>项目技术需求</w:t>
      </w:r>
      <w:bookmarkEnd w:id="54"/>
      <w:bookmarkEnd w:id="55"/>
    </w:p>
    <w:bookmarkEnd w:id="56"/>
    <w:p w14:paraId="1E0709CB">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一：</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采购清单</w:t>
      </w:r>
    </w:p>
    <w:tbl>
      <w:tblPr>
        <w:tblStyle w:val="63"/>
        <w:tblW w:w="10740" w:type="dxa"/>
        <w:tblInd w:w="-23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9"/>
        <w:gridCol w:w="1792"/>
        <w:gridCol w:w="2664"/>
        <w:gridCol w:w="1293"/>
        <w:gridCol w:w="1042"/>
        <w:gridCol w:w="1284"/>
        <w:gridCol w:w="1896"/>
      </w:tblGrid>
      <w:tr w14:paraId="09119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6539A">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2943B">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名称</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EA8DC">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规格型号</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BAD1D">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数量（份）</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5F641">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单价限价（元）</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3431E">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预算总价（元）</w:t>
            </w:r>
          </w:p>
        </w:tc>
        <w:tc>
          <w:tcPr>
            <w:tcW w:w="1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A517F">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备注</w:t>
            </w:r>
          </w:p>
        </w:tc>
      </w:tr>
      <w:tr w14:paraId="0A8A9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8C3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67F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鲜肉包</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BA5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≥90g/个，（皮约60g，馅约30g），猪肉馅</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9110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36000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4AE7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1.6</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A454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57600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B096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含配送</w:t>
            </w:r>
          </w:p>
        </w:tc>
      </w:tr>
      <w:tr w14:paraId="3166C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A041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A49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炒肉包</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47C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≥90g/个，（皮约60g，馅约30g），猪肉馅</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E528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36000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F990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1.7</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8352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61200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DB06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含配送</w:t>
            </w:r>
          </w:p>
        </w:tc>
      </w:tr>
      <w:tr w14:paraId="0B85F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617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02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素包子</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FA4A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≥90g/个，（皮约60g，馅约30g）</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7D4B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30000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712D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1.4</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B48B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42000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B92E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青菜、香菇、豆沙等</w:t>
            </w:r>
          </w:p>
        </w:tc>
      </w:tr>
      <w:tr w14:paraId="63564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9AA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A4B7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馒头（白面/杂粮）</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C9C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≥100g/个，</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CA27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82000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9535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0.9</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ADD9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73800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915A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玉米、红糖等</w:t>
            </w:r>
          </w:p>
        </w:tc>
      </w:tr>
      <w:tr w14:paraId="29152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F61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2FD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花卷（葱油）</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F6F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≥100g/个</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C897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A1D6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0.9</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04B0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1170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B02CF">
            <w:pPr>
              <w:rPr>
                <w:rFonts w:hint="eastAsia" w:ascii="宋体" w:hAnsi="宋体" w:eastAsia="宋体" w:cs="宋体"/>
                <w:i w:val="0"/>
                <w:iCs w:val="0"/>
                <w:color w:val="000000"/>
                <w:kern w:val="0"/>
                <w:sz w:val="22"/>
                <w:szCs w:val="22"/>
                <w:highlight w:val="none"/>
                <w:u w:val="none"/>
                <w:lang w:val="en-US" w:eastAsia="zh-CN" w:bidi="ar"/>
              </w:rPr>
            </w:pPr>
          </w:p>
        </w:tc>
      </w:tr>
      <w:tr w14:paraId="351FA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273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286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油条</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24D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≥100g/根</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08CD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38B8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9857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1950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729A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参考市场价约4.30元/斤</w:t>
            </w:r>
          </w:p>
        </w:tc>
      </w:tr>
      <w:tr w14:paraId="44549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A99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792" w:type="dxa"/>
            <w:tcBorders>
              <w:top w:val="nil"/>
              <w:left w:val="nil"/>
              <w:bottom w:val="nil"/>
              <w:right w:val="nil"/>
            </w:tcBorders>
            <w:shd w:val="clear" w:color="auto" w:fill="auto"/>
            <w:vAlign w:val="center"/>
          </w:tcPr>
          <w:p w14:paraId="056BE8F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紫薯</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DA7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单个150g-250g，大小均匀</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A5B0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0832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2498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3900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74E9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紫皮紫心，富含花青素</w:t>
            </w:r>
          </w:p>
        </w:tc>
      </w:tr>
      <w:tr w14:paraId="70AFD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BDC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440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发糕</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2FF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≥60g/份</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B804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8B3F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578F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1950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21905">
            <w:pPr>
              <w:rPr>
                <w:rFonts w:hint="eastAsia" w:ascii="宋体" w:hAnsi="宋体" w:eastAsia="宋体" w:cs="宋体"/>
                <w:i w:val="0"/>
                <w:iCs w:val="0"/>
                <w:color w:val="000000"/>
                <w:kern w:val="0"/>
                <w:sz w:val="22"/>
                <w:szCs w:val="22"/>
                <w:highlight w:val="none"/>
                <w:u w:val="none"/>
                <w:lang w:val="en-US" w:eastAsia="zh-CN" w:bidi="ar"/>
              </w:rPr>
            </w:pPr>
          </w:p>
        </w:tc>
      </w:tr>
      <w:tr w14:paraId="0BDD6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02CA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1792" w:type="dxa"/>
            <w:tcBorders>
              <w:top w:val="nil"/>
              <w:left w:val="nil"/>
              <w:bottom w:val="nil"/>
              <w:right w:val="nil"/>
            </w:tcBorders>
            <w:shd w:val="clear" w:color="auto" w:fill="auto"/>
            <w:vAlign w:val="center"/>
          </w:tcPr>
          <w:p w14:paraId="48728A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糯米烧麦</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D8F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≥70g/个</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8465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86A8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2D84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1950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4DAC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皮约10g，馅约60g</w:t>
            </w:r>
          </w:p>
        </w:tc>
      </w:tr>
      <w:tr w14:paraId="447F9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769" w:type="dxa"/>
            <w:tcBorders>
              <w:top w:val="single" w:color="000000" w:sz="4" w:space="0"/>
              <w:left w:val="single" w:color="000000" w:sz="4" w:space="0"/>
              <w:bottom w:val="nil"/>
              <w:right w:val="single" w:color="000000" w:sz="4" w:space="0"/>
            </w:tcBorders>
            <w:shd w:val="clear" w:color="auto" w:fill="auto"/>
            <w:vAlign w:val="center"/>
          </w:tcPr>
          <w:p w14:paraId="290CE2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1792" w:type="dxa"/>
            <w:tcBorders>
              <w:top w:val="single" w:color="000000" w:sz="4" w:space="0"/>
              <w:left w:val="single" w:color="000000" w:sz="4" w:space="0"/>
              <w:bottom w:val="nil"/>
              <w:right w:val="single" w:color="000000" w:sz="4" w:space="0"/>
            </w:tcBorders>
            <w:shd w:val="clear" w:color="auto" w:fill="auto"/>
            <w:vAlign w:val="center"/>
          </w:tcPr>
          <w:p w14:paraId="302819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葱油饼</w:t>
            </w:r>
          </w:p>
        </w:tc>
        <w:tc>
          <w:tcPr>
            <w:tcW w:w="2664" w:type="dxa"/>
            <w:tcBorders>
              <w:top w:val="single" w:color="000000" w:sz="4" w:space="0"/>
              <w:left w:val="single" w:color="000000" w:sz="4" w:space="0"/>
              <w:bottom w:val="nil"/>
              <w:right w:val="single" w:color="000000" w:sz="4" w:space="0"/>
            </w:tcBorders>
            <w:shd w:val="clear" w:color="auto" w:fill="auto"/>
            <w:vAlign w:val="center"/>
          </w:tcPr>
          <w:p w14:paraId="0DEBB1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≥100g/个</w:t>
            </w:r>
          </w:p>
        </w:tc>
        <w:tc>
          <w:tcPr>
            <w:tcW w:w="1293" w:type="dxa"/>
            <w:tcBorders>
              <w:top w:val="single" w:color="000000" w:sz="4" w:space="0"/>
              <w:left w:val="single" w:color="000000" w:sz="4" w:space="0"/>
              <w:bottom w:val="nil"/>
              <w:right w:val="single" w:color="000000" w:sz="4" w:space="0"/>
            </w:tcBorders>
            <w:shd w:val="clear" w:color="auto" w:fill="auto"/>
            <w:vAlign w:val="center"/>
          </w:tcPr>
          <w:p w14:paraId="587CE5F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1300</w:t>
            </w:r>
          </w:p>
        </w:tc>
        <w:tc>
          <w:tcPr>
            <w:tcW w:w="1042" w:type="dxa"/>
            <w:tcBorders>
              <w:top w:val="single" w:color="000000" w:sz="4" w:space="0"/>
              <w:left w:val="single" w:color="000000" w:sz="4" w:space="0"/>
              <w:bottom w:val="nil"/>
              <w:right w:val="single" w:color="000000" w:sz="4" w:space="0"/>
            </w:tcBorders>
            <w:shd w:val="clear" w:color="auto" w:fill="auto"/>
            <w:vAlign w:val="center"/>
          </w:tcPr>
          <w:p w14:paraId="5FB2F34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1.7</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DF3B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2210</w:t>
            </w:r>
          </w:p>
        </w:tc>
        <w:tc>
          <w:tcPr>
            <w:tcW w:w="1896" w:type="dxa"/>
            <w:tcBorders>
              <w:top w:val="single" w:color="000000" w:sz="4" w:space="0"/>
              <w:left w:val="single" w:color="000000" w:sz="4" w:space="0"/>
              <w:bottom w:val="nil"/>
              <w:right w:val="single" w:color="000000" w:sz="4" w:space="0"/>
            </w:tcBorders>
            <w:shd w:val="clear" w:color="auto" w:fill="auto"/>
            <w:vAlign w:val="center"/>
          </w:tcPr>
          <w:p w14:paraId="20C99D8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直径约15-18cm，厚薄均匀</w:t>
            </w:r>
          </w:p>
        </w:tc>
      </w:tr>
      <w:tr w14:paraId="286B5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259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3BA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糯玉米</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974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≥200g/根，长度≥15cm</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FAE4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5B0E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2.5</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7D34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3250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B715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颗粒饱满，口感软糯</w:t>
            </w:r>
          </w:p>
        </w:tc>
      </w:tr>
      <w:tr w14:paraId="59D3E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5AD2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C04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大麻园</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98D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熟品直径8-10cm</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6CC5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011C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C094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1950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75CB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外裹白芝麻，空心软糯</w:t>
            </w:r>
          </w:p>
        </w:tc>
      </w:tr>
      <w:tr w14:paraId="13C25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1CD16">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p>
        </w:tc>
        <w:tc>
          <w:tcPr>
            <w:tcW w:w="44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403BC3">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E097F">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194400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7E46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BEBC7">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252930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5499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bl>
    <w:p w14:paraId="1E5183B2">
      <w:pPr>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auto"/>
          <w:kern w:val="2"/>
          <w:sz w:val="24"/>
          <w:highlight w:val="none"/>
          <w:lang w:val="en-US" w:eastAsia="zh-CN" w:bidi="ar-SA"/>
        </w:rPr>
      </w:pPr>
    </w:p>
    <w:p w14:paraId="63FAACB2">
      <w:pPr>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auto"/>
          <w:kern w:val="2"/>
          <w:sz w:val="24"/>
          <w:highlight w:val="none"/>
          <w:lang w:val="en-US" w:eastAsia="zh-CN" w:bidi="ar-SA"/>
        </w:rPr>
      </w:pPr>
      <w:r>
        <w:rPr>
          <w:rFonts w:hint="eastAsia" w:ascii="仿宋" w:hAnsi="仿宋" w:eastAsia="仿宋" w:cs="仿宋"/>
          <w:b/>
          <w:color w:val="auto"/>
          <w:kern w:val="2"/>
          <w:sz w:val="24"/>
          <w:highlight w:val="none"/>
          <w:lang w:val="en-US" w:eastAsia="zh-CN" w:bidi="ar-SA"/>
        </w:rPr>
        <w:t>二、其他要求</w:t>
      </w:r>
    </w:p>
    <w:p w14:paraId="6F2FDD7B">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本项目不组织集中踏勘，由供应商自行进行踏勘，无论踏勘与否，采购人均视为对现场条件和项目情况有充分的了解。供应商自行考虑各种风险，不得因此申请调价或索赔。踏勘过程中的费用和涉及到的风险损失等均由供应商自行承担。供应商须在投标响应文件中提供已自行踏勘现场的承诺函（格式自拟）。</w:t>
      </w:r>
    </w:p>
    <w:p w14:paraId="38E08E42">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both"/>
        <w:textAlignment w:val="auto"/>
        <w:outlineLvl w:val="9"/>
        <w:rPr>
          <w:rFonts w:hint="eastAsia" w:ascii="仿宋" w:hAnsi="仿宋" w:eastAsia="仿宋" w:cs="仿宋"/>
          <w:b w:val="0"/>
          <w:color w:val="000000" w:themeColor="text1"/>
          <w:kern w:val="2"/>
          <w:sz w:val="24"/>
          <w:szCs w:val="24"/>
          <w:highlight w:val="none"/>
          <w:lang w:val="en-US" w:eastAsia="zh-CN" w:bidi="ar-SA"/>
          <w14:textFill>
            <w14:solidFill>
              <w14:schemeClr w14:val="tx1"/>
            </w14:solidFill>
          </w14:textFill>
        </w:rPr>
      </w:pPr>
    </w:p>
    <w:p w14:paraId="4E074C6E">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auto"/>
          <w:sz w:val="24"/>
          <w:szCs w:val="24"/>
          <w:highlight w:val="none"/>
          <w:lang w:val="en-US" w:eastAsia="zh-CN"/>
        </w:rPr>
      </w:pPr>
    </w:p>
    <w:p w14:paraId="3F012A89">
      <w:pPr>
        <w:pStyle w:val="62"/>
        <w:rPr>
          <w:rFonts w:hint="eastAsia" w:ascii="仿宋" w:hAnsi="仿宋" w:eastAsia="仿宋" w:cs="仿宋"/>
          <w:color w:val="auto"/>
          <w:sz w:val="24"/>
          <w:szCs w:val="24"/>
          <w:highlight w:val="none"/>
          <w:lang w:val="en-US" w:eastAsia="zh-CN"/>
        </w:rPr>
      </w:pPr>
    </w:p>
    <w:p w14:paraId="07133B12">
      <w:pPr>
        <w:rPr>
          <w:rFonts w:hint="eastAsia" w:ascii="仿宋" w:hAnsi="仿宋" w:eastAsia="仿宋" w:cs="仿宋"/>
          <w:color w:val="auto"/>
          <w:sz w:val="24"/>
          <w:szCs w:val="24"/>
          <w:highlight w:val="none"/>
          <w:lang w:val="en-US" w:eastAsia="zh-CN"/>
        </w:rPr>
      </w:pPr>
    </w:p>
    <w:p w14:paraId="437B0C89">
      <w:pPr>
        <w:keepNext w:val="0"/>
        <w:keepLines w:val="0"/>
        <w:pageBreakBefore w:val="0"/>
        <w:widowControl w:val="0"/>
        <w:kinsoku/>
        <w:wordWrap/>
        <w:overflowPunct/>
        <w:topLinePunct w:val="0"/>
        <w:autoSpaceDE/>
        <w:autoSpaceDN/>
        <w:bidi w:val="0"/>
        <w:adjustRightInd/>
        <w:snapToGrid/>
        <w:spacing w:line="360" w:lineRule="auto"/>
        <w:ind w:firstLine="599" w:firstLineChars="200"/>
        <w:jc w:val="center"/>
        <w:textAlignment w:val="auto"/>
        <w:outlineLvl w:val="9"/>
        <w:rPr>
          <w:rFonts w:hint="eastAsia" w:ascii="仿宋" w:hAnsi="仿宋" w:eastAsia="仿宋" w:cs="仿宋"/>
          <w:b/>
          <w:bCs/>
          <w:color w:val="000000" w:themeColor="text1"/>
          <w:spacing w:val="-11"/>
          <w:kern w:val="2"/>
          <w:sz w:val="32"/>
          <w:szCs w:val="32"/>
          <w:highlight w:val="none"/>
          <w:lang w:val="en-US" w:eastAsia="zh-CN" w:bidi="ar-SA"/>
          <w14:textFill>
            <w14:solidFill>
              <w14:schemeClr w14:val="tx1"/>
            </w14:solidFill>
          </w14:textFill>
        </w:rPr>
      </w:pPr>
      <w:bookmarkStart w:id="57" w:name="_Toc24341"/>
      <w:r>
        <w:rPr>
          <w:rFonts w:hint="eastAsia" w:ascii="仿宋" w:hAnsi="仿宋" w:eastAsia="仿宋" w:cs="仿宋"/>
          <w:b/>
          <w:bCs/>
          <w:color w:val="000000" w:themeColor="text1"/>
          <w:spacing w:val="-11"/>
          <w:kern w:val="2"/>
          <w:sz w:val="32"/>
          <w:szCs w:val="32"/>
          <w:highlight w:val="none"/>
          <w:lang w:val="en-US" w:eastAsia="zh-CN" w:bidi="ar-SA"/>
          <w14:textFill>
            <w14:solidFill>
              <w14:schemeClr w14:val="tx1"/>
            </w14:solidFill>
          </w14:textFill>
        </w:rPr>
        <w:t>第三篇 项目商务需求</w:t>
      </w:r>
      <w:bookmarkEnd w:id="57"/>
      <w:bookmarkStart w:id="58" w:name="_Toc344475120"/>
      <w:bookmarkStart w:id="59" w:name="_Toc76462328"/>
    </w:p>
    <w:bookmarkEnd w:id="58"/>
    <w:bookmarkEnd w:id="59"/>
    <w:p w14:paraId="7C2AD1E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bookmarkStart w:id="60" w:name="_Toc102227313"/>
      <w:r>
        <w:rPr>
          <w:rFonts w:hint="eastAsia" w:ascii="仿宋" w:hAnsi="仿宋" w:eastAsia="仿宋" w:cs="仿宋"/>
          <w:color w:val="000000" w:themeColor="text1"/>
          <w:sz w:val="24"/>
          <w:szCs w:val="24"/>
          <w:highlight w:val="none"/>
          <w:lang w:val="en-US" w:eastAsia="zh-CN"/>
          <w14:textFill>
            <w14:solidFill>
              <w14:schemeClr w14:val="tx1"/>
            </w14:solidFill>
          </w14:textFill>
        </w:rPr>
        <w:t>一、服务期、服务地点及验收方式</w:t>
      </w:r>
      <w:r>
        <w:rPr>
          <w:rFonts w:hint="eastAsia" w:ascii="仿宋" w:hAnsi="仿宋" w:eastAsia="仿宋" w:cs="仿宋"/>
          <w:color w:val="000000" w:themeColor="text1"/>
          <w:sz w:val="24"/>
          <w:szCs w:val="24"/>
          <w:highlight w:val="none"/>
          <w:lang w:val="en-US" w:eastAsia="zh-CN"/>
          <w14:textFill>
            <w14:solidFill>
              <w14:schemeClr w14:val="tx1"/>
            </w14:solidFill>
          </w14:textFill>
        </w:rPr>
        <w:tab/>
      </w:r>
    </w:p>
    <w:p w14:paraId="2ED2A49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（一）服务期：合同一年一签。本项目最高服务期三年，经考核合格后可续签合同，续签次数不超过两次。</w:t>
      </w:r>
    </w:p>
    <w:p w14:paraId="750C4BD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（二）服务地点：采购人指定地点。</w:t>
      </w:r>
    </w:p>
    <w:p w14:paraId="2F792F1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（三）配送及验收方式</w:t>
      </w:r>
    </w:p>
    <w:p w14:paraId="3263F54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1.本项目非一次性供货，采购合同签订后，供应商需按照采购人通知的送货时间向采购人进行送货，采购文件中的商品数量为预计采购数量，最终以采购人实际采购的数量作为结算依据。</w:t>
      </w:r>
    </w:p>
    <w:p w14:paraId="7E9C1C9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2.供应商接到采购信息，应在48小时内将货物送到采购人指定地点。遇紧急采购，供货商须根据采购人需要保证在4小时内送到指定地点。</w:t>
      </w:r>
    </w:p>
    <w:p w14:paraId="1CD07EC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3.货物到达现场后，双方共同清点品名、规格、数量，检查外观，作出签收记录，双方签字确认。</w:t>
      </w:r>
    </w:p>
    <w:p w14:paraId="2B7E617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4.供应商应保证货物到达采购人所在地完好无损，如有缺漏、损坏，由供应商负责调换、补齐或赔偿。</w:t>
      </w:r>
    </w:p>
    <w:p w14:paraId="38FBA43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5.采购人现场接收不视为对商品质量的认可，使用中如发现商品质量与要求不相符的，采购人有权要求供应商无偿更换或退货（原产品不退还）。</w:t>
      </w:r>
    </w:p>
    <w:p w14:paraId="01A425C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6.采购人使用科室开箱使用时，若发现货物内部出现损坏、缺漏、质量等问题，由供应商负责调换、补齐或赔偿。</w:t>
      </w:r>
    </w:p>
    <w:p w14:paraId="313061E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7.供应商提供的货物未达到采购文件规定要求，且对采购人造成损失的，由供应商承担一切责任，并赔偿所造成的损失。</w:t>
      </w:r>
    </w:p>
    <w:p w14:paraId="15976B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8.乙方应提供完备的产品资料、装箱单和合格证等，每次送货派遣专人送达。</w:t>
      </w:r>
    </w:p>
    <w:p w14:paraId="7ED678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9.甲方可邀请国家认可的质量检测机构参加验收工作。</w:t>
      </w:r>
    </w:p>
    <w:p w14:paraId="4671738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bookmarkStart w:id="61" w:name="_Toc2244"/>
      <w:bookmarkStart w:id="62" w:name="_Toc14177"/>
      <w:bookmarkStart w:id="63" w:name="_Toc2821"/>
      <w:bookmarkStart w:id="64" w:name="_Toc3465"/>
      <w:bookmarkStart w:id="65" w:name="_Toc156895491"/>
      <w:bookmarkStart w:id="66" w:name="_Toc4774"/>
      <w:bookmarkStart w:id="67" w:name="_Toc23903"/>
      <w:bookmarkStart w:id="68" w:name="_Toc267320050"/>
      <w:bookmarkStart w:id="69" w:name="_Toc20887"/>
      <w:bookmarkStart w:id="70" w:name="_Toc15677"/>
      <w:bookmarkStart w:id="71" w:name="_Toc1450"/>
      <w:bookmarkStart w:id="72" w:name="_Toc119949879"/>
      <w:bookmarkStart w:id="73" w:name="_Toc15096"/>
      <w:bookmarkStart w:id="74" w:name="_Toc32313"/>
      <w:bookmarkStart w:id="75" w:name="_Toc27382"/>
      <w:bookmarkStart w:id="76" w:name="_Toc16693"/>
      <w:bookmarkStart w:id="77" w:name="_Toc119579780"/>
      <w:bookmarkStart w:id="78" w:name="_Toc4252"/>
      <w:bookmarkStart w:id="79" w:name="_Toc75793511"/>
      <w:r>
        <w:rPr>
          <w:rFonts w:hint="eastAsia" w:ascii="仿宋" w:hAnsi="仿宋" w:eastAsia="仿宋" w:cs="仿宋"/>
          <w:color w:val="000000" w:themeColor="text1"/>
          <w:sz w:val="24"/>
          <w:szCs w:val="24"/>
          <w:highlight w:val="none"/>
          <w:lang w:val="en-US" w:eastAsia="zh-CN"/>
          <w14:textFill>
            <w14:solidFill>
              <w14:schemeClr w14:val="tx1"/>
            </w14:solidFill>
          </w14:textFill>
        </w:rPr>
        <w:t>二、质量保证及售后服务</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174DD22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（一） 产品质量保证期</w:t>
      </w:r>
    </w:p>
    <w:p w14:paraId="4FC821F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1.供应商所投产品属于国家规定“三包”范围的，其产品质量保证期不得低于“三包”规定。</w:t>
      </w:r>
    </w:p>
    <w:p w14:paraId="4BC9C3A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2.供应商的质量保证期承诺优于国家“三包”规定的，按供应商实际承诺执行。</w:t>
      </w:r>
    </w:p>
    <w:p w14:paraId="38529E0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3.供应商提供的所有货物质量应与“第二篇 项目技术需求”中相关要求一致，否则视为验收不合格。</w:t>
      </w:r>
    </w:p>
    <w:p w14:paraId="064C38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4.因质量问题发生的食品安全事故、食物中毒等事故，由中标人承担经济赔偿责任以及全部法律责任。</w:t>
      </w:r>
    </w:p>
    <w:p w14:paraId="0DA8FCD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5.供应商应保证货物质量符合国家标准和行业标准，保证提供的产品合格安全的产品；一旦发现伪劣假冒产品，经相关部门质量监测认证后，由成交供应商承担一切法律责任；采购人有权单方解除合同并要求成交供应商赔偿所造成的所有损失，同时列入政府采购征信记录；采购人可以确定排名其后第一位的成交候选单位为成交供应商价格按成交价执行或重新组织采购。</w:t>
      </w:r>
    </w:p>
    <w:p w14:paraId="5993FC0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（二）售后服务内容</w:t>
      </w:r>
      <w:r>
        <w:rPr>
          <w:rFonts w:hint="default" w:ascii="仿宋" w:hAnsi="仿宋" w:eastAsia="仿宋" w:cs="仿宋"/>
          <w:color w:val="000000" w:themeColor="text1"/>
          <w:sz w:val="24"/>
          <w:szCs w:val="24"/>
          <w:highlight w:val="none"/>
          <w:lang w:val="en-US" w:eastAsia="zh-CN"/>
          <w14:textFill>
            <w14:solidFill>
              <w14:schemeClr w14:val="tx1"/>
            </w14:solidFill>
          </w14:textFill>
        </w:rPr>
        <w:tab/>
      </w:r>
    </w:p>
    <w:p w14:paraId="174616E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1.货物验收中不合格产品，供应商按照采购人规定时间内调换，不得影响正常工作。</w:t>
      </w:r>
    </w:p>
    <w:p w14:paraId="5D5BE62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2.供应商不能按双方约定时间完成供货或发生其他使合同无法履行的行为，供应商应承担违约责任，并赔偿因违约给采购人造成的损失。</w:t>
      </w:r>
    </w:p>
    <w:p w14:paraId="1D4FEB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bookmarkStart w:id="80" w:name="_Toc10105"/>
      <w:bookmarkStart w:id="81" w:name="_Toc18959"/>
      <w:bookmarkStart w:id="82" w:name="_Toc75793513"/>
      <w:bookmarkStart w:id="83" w:name="_Toc9213"/>
      <w:bookmarkStart w:id="84" w:name="_Toc267320052"/>
      <w:bookmarkStart w:id="85" w:name="_Toc11060"/>
      <w:bookmarkStart w:id="86" w:name="_Toc156895493"/>
      <w:bookmarkStart w:id="87" w:name="_Toc25410"/>
      <w:bookmarkStart w:id="88" w:name="_Toc3311"/>
      <w:bookmarkStart w:id="89" w:name="_Toc11399"/>
      <w:bookmarkStart w:id="90" w:name="_Toc22431"/>
      <w:bookmarkStart w:id="91" w:name="_Toc119949881"/>
      <w:bookmarkStart w:id="92" w:name="_Toc4897"/>
      <w:bookmarkStart w:id="93" w:name="_Toc4339"/>
      <w:bookmarkStart w:id="94" w:name="_Toc3565"/>
      <w:bookmarkStart w:id="95" w:name="_Toc28056"/>
      <w:bookmarkStart w:id="96" w:name="_Toc119579782"/>
      <w:bookmarkStart w:id="97" w:name="_Toc20369"/>
      <w:bookmarkStart w:id="98" w:name="_Toc27144"/>
      <w:r>
        <w:rPr>
          <w:rFonts w:hint="eastAsia" w:ascii="仿宋" w:hAnsi="仿宋" w:eastAsia="仿宋" w:cs="仿宋"/>
          <w:color w:val="000000" w:themeColor="text1"/>
          <w:sz w:val="24"/>
          <w:szCs w:val="24"/>
          <w:highlight w:val="none"/>
          <w:lang w:val="en-US" w:eastAsia="zh-CN"/>
          <w14:textFill>
            <w14:solidFill>
              <w14:schemeClr w14:val="tx1"/>
            </w14:solidFill>
          </w14:textFill>
        </w:rPr>
        <w:t>三、履约担保及付款方式</w:t>
      </w:r>
    </w:p>
    <w:p w14:paraId="027A45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（一）履约担保：</w:t>
      </w:r>
    </w:p>
    <w:p w14:paraId="1B09D2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1.履约保证金的形式：现金或履约保函或现金（80%）+履约保函（20%）的组合，履约保函包括银行保函、保证保险和担保保函。</w:t>
      </w:r>
    </w:p>
    <w:p w14:paraId="76A80EA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具体要求：履约保函的开立人应当是具有相应资格的银行、保险机构、融资担保公司，其信用资质、履约能力、担保能力、赔付流程、安全保密等应符合履约保函业务条件。履约保函应合法合规，符合招投标行政监督部门、行业主管部门和金融监管部门的相关规定，满足招标文件约定要求。中标人应选择在渝依法设立总部或者设有分支机构的金融机构开具履约保函（包括纸质保函或电子保函）。履约保函为纸质保函的，纸质保函应注明在重庆市辖区范围内的核验地址和核验方式，并确保该纸质保函能在开立人在渝的总部或者分支机构进行核验。中标人对所提交的履约保函的真实性、合法性、有效性负责。</w:t>
      </w:r>
    </w:p>
    <w:p w14:paraId="326DC9E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3.履约保证金的金额： 中标合同金额的5% 。</w:t>
      </w:r>
    </w:p>
    <w:p w14:paraId="4F88456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履约保证金的提交时间：成交人应在成交通知书发出后10个工作日内按履约担保形式（任选其一）足额缴纳至采购人，并在履约保证金提交之日起10个工作日内与采购人签订采购合同。若成交人不能按时、足额向采购人提交履约保证金的，视其为自动放弃中标资格，并将按采购法规及本采购文件相关规定进行处理。</w:t>
      </w:r>
    </w:p>
    <w:p w14:paraId="6A4C1A2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5.履约保证金的期限：合同签订之日起至服务期结束。</w:t>
      </w:r>
    </w:p>
    <w:p w14:paraId="229BFAD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6.履约保证金的退还时间：合同服务期履约完成后10个工作日内一次性无息退还。</w:t>
      </w:r>
    </w:p>
    <w:p w14:paraId="4405914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（二）付款方式：结算价=实际采购数量×中标单价；原则上每季度结算一次，若遇特殊情况，双方协商处理。</w:t>
      </w:r>
    </w:p>
    <w:p w14:paraId="53793A5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四、知识产权</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7DCC4F0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采购人在中华人民共和国境内使用供应商提供的货物及服务时免受第三方提出的侵犯其专利权或其它知识产权的起诉。如果第三方提出侵权指控，成交供应商应承担由此而引起的一切法律责任和费用。</w:t>
      </w:r>
    </w:p>
    <w:p w14:paraId="4D6962E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bookmarkStart w:id="99" w:name="_Toc267320054"/>
      <w:r>
        <w:rPr>
          <w:rFonts w:hint="eastAsia" w:ascii="仿宋" w:hAnsi="仿宋" w:eastAsia="仿宋" w:cs="仿宋"/>
          <w:color w:val="000000" w:themeColor="text1"/>
          <w:sz w:val="24"/>
          <w:szCs w:val="24"/>
          <w:highlight w:val="none"/>
          <w:lang w:val="en-US" w:eastAsia="zh-CN"/>
          <w14:textFill>
            <w14:solidFill>
              <w14:schemeClr w14:val="tx1"/>
            </w14:solidFill>
          </w14:textFill>
        </w:rPr>
        <w:t>五、其他</w:t>
      </w:r>
      <w:bookmarkEnd w:id="99"/>
    </w:p>
    <w:p w14:paraId="2D53D09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（一）投标人必须在竞价文书中对以上条款和服务承诺明确列出，承诺内容必须达到本篇及竞价采购文书其他条款的要求。</w:t>
      </w:r>
    </w:p>
    <w:p w14:paraId="3484230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（二）其他未尽事宜由供需双方在采购合同中详细约定。</w:t>
      </w:r>
    </w:p>
    <w:p w14:paraId="54856D6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（三）项目数量为预估数量，项目按照实际送货的签证数量结算。</w:t>
      </w:r>
    </w:p>
    <w:p w14:paraId="76084365">
      <w:pPr>
        <w:pStyle w:val="4"/>
        <w:pageBreakBefore/>
        <w:spacing w:before="0" w:after="0" w:line="360" w:lineRule="auto"/>
        <w:jc w:val="center"/>
        <w:rPr>
          <w:rFonts w:hint="eastAsia" w:ascii="仿宋" w:hAnsi="仿宋" w:eastAsia="仿宋" w:cs="仿宋"/>
          <w:bCs/>
          <w:color w:val="000000" w:themeColor="text1"/>
          <w:spacing w:val="-11"/>
          <w:sz w:val="32"/>
          <w:szCs w:val="32"/>
          <w:highlight w:val="none"/>
          <w14:textFill>
            <w14:solidFill>
              <w14:schemeClr w14:val="tx1"/>
            </w14:solidFill>
          </w14:textFill>
        </w:rPr>
      </w:pPr>
      <w:r>
        <w:rPr>
          <w:rFonts w:hint="eastAsia" w:ascii="仿宋" w:hAnsi="仿宋" w:eastAsia="仿宋" w:cs="仿宋"/>
          <w:bCs/>
          <w:color w:val="000000" w:themeColor="text1"/>
          <w:spacing w:val="-11"/>
          <w:sz w:val="32"/>
          <w:szCs w:val="32"/>
          <w:highlight w:val="none"/>
          <w14:textFill>
            <w14:solidFill>
              <w14:schemeClr w14:val="tx1"/>
            </w14:solidFill>
          </w14:textFill>
        </w:rPr>
        <w:t>第四篇</w:t>
      </w:r>
      <w:r>
        <w:rPr>
          <w:rFonts w:hint="eastAsia" w:ascii="仿宋" w:hAnsi="仿宋" w:eastAsia="仿宋" w:cs="仿宋"/>
          <w:bCs/>
          <w:color w:val="000000" w:themeColor="text1"/>
          <w:spacing w:val="-11"/>
          <w:sz w:val="32"/>
          <w:szCs w:val="32"/>
          <w:highlight w:val="none"/>
          <w:lang w:val="en-US" w:eastAsia="zh-CN"/>
          <w14:textFill>
            <w14:solidFill>
              <w14:schemeClr w14:val="tx1"/>
            </w14:solidFill>
          </w14:textFill>
        </w:rPr>
        <w:t xml:space="preserve"> </w:t>
      </w:r>
      <w:r>
        <w:rPr>
          <w:rFonts w:hint="eastAsia" w:ascii="仿宋" w:hAnsi="仿宋" w:eastAsia="仿宋" w:cs="仿宋"/>
          <w:bCs/>
          <w:color w:val="000000" w:themeColor="text1"/>
          <w:spacing w:val="-11"/>
          <w:sz w:val="32"/>
          <w:szCs w:val="32"/>
          <w:highlight w:val="none"/>
          <w14:textFill>
            <w14:solidFill>
              <w14:schemeClr w14:val="tx1"/>
            </w14:solidFill>
          </w14:textFill>
        </w:rPr>
        <w:t>网上竞采程序及方法、评审标准、响应无效和采购终止</w:t>
      </w:r>
    </w:p>
    <w:p w14:paraId="32CF429F">
      <w:pPr>
        <w:pStyle w:val="5"/>
        <w:spacing w:before="0" w:after="0" w:line="360" w:lineRule="auto"/>
        <w:rPr>
          <w:rFonts w:hint="eastAsia" w:ascii="仿宋" w:hAnsi="仿宋" w:eastAsia="仿宋" w:cs="仿宋"/>
          <w:color w:val="000000" w:themeColor="text1"/>
          <w:sz w:val="24"/>
          <w:szCs w:val="24"/>
          <w:highlight w:val="none"/>
          <w14:textFill>
            <w14:solidFill>
              <w14:schemeClr w14:val="tx1"/>
            </w14:solidFill>
          </w14:textFill>
        </w:rPr>
      </w:pPr>
      <w:bookmarkStart w:id="100" w:name="_Toc18690"/>
      <w:r>
        <w:rPr>
          <w:rFonts w:hint="eastAsia" w:ascii="仿宋" w:hAnsi="仿宋" w:eastAsia="仿宋" w:cs="仿宋"/>
          <w:color w:val="000000" w:themeColor="text1"/>
          <w:sz w:val="24"/>
          <w:szCs w:val="24"/>
          <w:highlight w:val="none"/>
          <w14:textFill>
            <w14:solidFill>
              <w14:schemeClr w14:val="tx1"/>
            </w14:solidFill>
          </w14:textFill>
        </w:rPr>
        <w:t>一、网上竞采程序及方法</w:t>
      </w:r>
      <w:bookmarkEnd w:id="100"/>
    </w:p>
    <w:p w14:paraId="260E9EB7">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（一）评审小组对各供应商的资格条件、响应文件的有效性、完整性和响应程度进行审查。各供应商只有在完全符合要求的前提下，才能参与正式网上竞采。</w:t>
      </w:r>
    </w:p>
    <w:p w14:paraId="05E5AA4E">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1.资格性检查。依据法律法规和网上竞采文件的规定，对响应文件中的资格证明进行审查，以确定供应商是否具备网上竞采资格。资格性检查资料表如下：</w:t>
      </w:r>
    </w:p>
    <w:tbl>
      <w:tblPr>
        <w:tblStyle w:val="63"/>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3685"/>
        <w:gridCol w:w="4558"/>
      </w:tblGrid>
      <w:tr w14:paraId="0F6A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14:paraId="008B74E4">
            <w:pPr>
              <w:spacing w:line="240" w:lineRule="exact"/>
              <w:jc w:val="center"/>
              <w:rPr>
                <w:rFonts w:hint="eastAsia" w:ascii="仿宋" w:hAnsi="仿宋" w:eastAsia="仿宋" w:cs="仿宋"/>
                <w:b/>
                <w:color w:val="000000" w:themeColor="text1"/>
                <w:kern w:val="0"/>
                <w:sz w:val="24"/>
                <w:szCs w:val="24"/>
                <w:highlight w:val="none"/>
                <w14:textFill>
                  <w14:solidFill>
                    <w14:schemeClr w14:val="tx1"/>
                  </w14:solidFill>
                </w14:textFill>
              </w:rPr>
            </w:pPr>
            <w:r>
              <w:rPr>
                <w:rFonts w:hint="eastAsia" w:ascii="仿宋" w:hAnsi="仿宋" w:eastAsia="仿宋" w:cs="仿宋"/>
                <w:b/>
                <w:color w:val="000000" w:themeColor="text1"/>
                <w:kern w:val="0"/>
                <w:sz w:val="24"/>
                <w:szCs w:val="24"/>
                <w:highlight w:val="none"/>
                <w14:textFill>
                  <w14:solidFill>
                    <w14:schemeClr w14:val="tx1"/>
                  </w14:solidFill>
                </w14:textFill>
              </w:rPr>
              <w:t>序号</w:t>
            </w:r>
          </w:p>
        </w:tc>
        <w:tc>
          <w:tcPr>
            <w:tcW w:w="4394" w:type="dxa"/>
            <w:gridSpan w:val="2"/>
            <w:vAlign w:val="center"/>
          </w:tcPr>
          <w:p w14:paraId="3D1AEE94">
            <w:pPr>
              <w:spacing w:line="240" w:lineRule="exact"/>
              <w:jc w:val="center"/>
              <w:rPr>
                <w:rFonts w:hint="eastAsia" w:ascii="仿宋" w:hAnsi="仿宋" w:eastAsia="仿宋" w:cs="仿宋"/>
                <w:b/>
                <w:color w:val="000000" w:themeColor="text1"/>
                <w:kern w:val="0"/>
                <w:sz w:val="24"/>
                <w:szCs w:val="24"/>
                <w:highlight w:val="none"/>
                <w14:textFill>
                  <w14:solidFill>
                    <w14:schemeClr w14:val="tx1"/>
                  </w14:solidFill>
                </w14:textFill>
              </w:rPr>
            </w:pPr>
            <w:r>
              <w:rPr>
                <w:rFonts w:hint="eastAsia" w:ascii="仿宋" w:hAnsi="仿宋" w:eastAsia="仿宋" w:cs="仿宋"/>
                <w:b/>
                <w:color w:val="000000" w:themeColor="text1"/>
                <w:kern w:val="0"/>
                <w:sz w:val="24"/>
                <w:szCs w:val="24"/>
                <w:highlight w:val="none"/>
                <w14:textFill>
                  <w14:solidFill>
                    <w14:schemeClr w14:val="tx1"/>
                  </w14:solidFill>
                </w14:textFill>
              </w:rPr>
              <w:t>检查因素</w:t>
            </w:r>
          </w:p>
        </w:tc>
        <w:tc>
          <w:tcPr>
            <w:tcW w:w="4558" w:type="dxa"/>
            <w:vAlign w:val="center"/>
          </w:tcPr>
          <w:p w14:paraId="77EB9368">
            <w:pPr>
              <w:spacing w:line="240" w:lineRule="exact"/>
              <w:jc w:val="center"/>
              <w:rPr>
                <w:rFonts w:hint="eastAsia" w:ascii="仿宋" w:hAnsi="仿宋" w:eastAsia="仿宋" w:cs="仿宋"/>
                <w:b/>
                <w:color w:val="000000" w:themeColor="text1"/>
                <w:kern w:val="0"/>
                <w:sz w:val="24"/>
                <w:szCs w:val="24"/>
                <w:highlight w:val="none"/>
                <w14:textFill>
                  <w14:solidFill>
                    <w14:schemeClr w14:val="tx1"/>
                  </w14:solidFill>
                </w14:textFill>
              </w:rPr>
            </w:pPr>
            <w:r>
              <w:rPr>
                <w:rFonts w:hint="eastAsia" w:ascii="仿宋" w:hAnsi="仿宋" w:eastAsia="仿宋" w:cs="仿宋"/>
                <w:b/>
                <w:color w:val="000000" w:themeColor="text1"/>
                <w:kern w:val="0"/>
                <w:sz w:val="24"/>
                <w:szCs w:val="24"/>
                <w:highlight w:val="none"/>
                <w14:textFill>
                  <w14:solidFill>
                    <w14:schemeClr w14:val="tx1"/>
                  </w14:solidFill>
                </w14:textFill>
              </w:rPr>
              <w:t>检查内容</w:t>
            </w:r>
          </w:p>
        </w:tc>
      </w:tr>
      <w:tr w14:paraId="343B5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676" w:type="dxa"/>
            <w:vMerge w:val="restart"/>
            <w:vAlign w:val="center"/>
          </w:tcPr>
          <w:p w14:paraId="3788A660">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w:t>
            </w:r>
          </w:p>
        </w:tc>
        <w:tc>
          <w:tcPr>
            <w:tcW w:w="709" w:type="dxa"/>
            <w:vMerge w:val="restart"/>
            <w:vAlign w:val="center"/>
          </w:tcPr>
          <w:p w14:paraId="46F2B0DD">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供应商</w:t>
            </w:r>
            <w:r>
              <w:rPr>
                <w:rFonts w:hint="eastAsia" w:ascii="仿宋" w:hAnsi="仿宋" w:eastAsia="仿宋" w:cs="仿宋"/>
                <w:color w:val="000000" w:themeColor="text1"/>
                <w:sz w:val="24"/>
                <w:szCs w:val="24"/>
                <w:highlight w:val="none"/>
                <w:lang w:val="zh-CN" w:eastAsia="zh-CN"/>
                <w14:textFill>
                  <w14:solidFill>
                    <w14:schemeClr w14:val="tx1"/>
                  </w14:solidFill>
                </w14:textFill>
              </w:rPr>
              <w:t>应符合的基本资格条件</w:t>
            </w:r>
          </w:p>
        </w:tc>
        <w:tc>
          <w:tcPr>
            <w:tcW w:w="3685" w:type="dxa"/>
            <w:vAlign w:val="center"/>
          </w:tcPr>
          <w:p w14:paraId="3121317A">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（1）具有独立承担民事责任的能力</w:t>
            </w:r>
          </w:p>
        </w:tc>
        <w:tc>
          <w:tcPr>
            <w:tcW w:w="4558" w:type="dxa"/>
            <w:vAlign w:val="center"/>
          </w:tcPr>
          <w:p w14:paraId="16E3F3CD">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供应商法人营业执照（副本）或事业单位法人证书（副本）或个体工商户营业执照或有效的自然人身份证明、组织机构代码证复印件（注</w:t>
            </w:r>
            <w:r>
              <w:rPr>
                <w:rFonts w:hint="eastAsia" w:ascii="仿宋" w:hAnsi="仿宋" w:eastAsia="仿宋" w:cs="仿宋"/>
                <w:color w:val="000000" w:themeColor="text1"/>
                <w:sz w:val="24"/>
                <w:szCs w:val="24"/>
                <w:highlight w:val="none"/>
                <w:lang w:val="en-US" w:eastAsia="zh-CN"/>
                <w14:textFill>
                  <w14:solidFill>
                    <w14:schemeClr w14:val="tx1"/>
                  </w14:solidFill>
                </w14:textFill>
              </w:rPr>
              <w:fldChar w:fldCharType="begin"/>
            </w:r>
            <w:r>
              <w:rPr>
                <w:rFonts w:hint="eastAsia" w:ascii="仿宋" w:hAnsi="仿宋" w:eastAsia="仿宋" w:cs="仿宋"/>
                <w:color w:val="000000" w:themeColor="text1"/>
                <w:sz w:val="24"/>
                <w:szCs w:val="24"/>
                <w:highlight w:val="none"/>
                <w:lang w:val="en-US" w:eastAsia="zh-CN"/>
                <w14:textFill>
                  <w14:solidFill>
                    <w14:schemeClr w14:val="tx1"/>
                  </w14:solidFill>
                </w14:textFill>
              </w:rPr>
              <w:instrText xml:space="preserve">eq \o\ac(○,2)</w:instrText>
            </w:r>
            <w:r>
              <w:rPr>
                <w:rFonts w:hint="eastAsia" w:ascii="仿宋" w:hAnsi="仿宋" w:eastAsia="仿宋" w:cs="仿宋"/>
                <w:color w:val="000000" w:themeColor="text1"/>
                <w:sz w:val="24"/>
                <w:szCs w:val="24"/>
                <w:highlight w:val="none"/>
                <w:lang w:val="en-US" w:eastAsia="zh-CN"/>
                <w14:textFill>
                  <w14:solidFill>
                    <w14:schemeClr w14:val="tx1"/>
                  </w14:solidFill>
                </w14:textFill>
              </w:rPr>
              <w:fldChar w:fldCharType="end"/>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p>
          <w:p w14:paraId="0E871B43">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供应商法定代表人身份证明和法定代表人授权代表委托书。</w:t>
            </w:r>
          </w:p>
        </w:tc>
      </w:tr>
      <w:tr w14:paraId="053D6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76" w:type="dxa"/>
            <w:vMerge w:val="continue"/>
            <w:vAlign w:val="center"/>
          </w:tcPr>
          <w:p w14:paraId="25591230">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709" w:type="dxa"/>
            <w:vMerge w:val="continue"/>
            <w:vAlign w:val="center"/>
          </w:tcPr>
          <w:p w14:paraId="69969F4E">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p>
        </w:tc>
        <w:tc>
          <w:tcPr>
            <w:tcW w:w="3685" w:type="dxa"/>
            <w:vAlign w:val="center"/>
          </w:tcPr>
          <w:p w14:paraId="6BEF62B3">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zh-CN" w:eastAsia="zh-CN"/>
                <w14:textFill>
                  <w14:solidFill>
                    <w14:schemeClr w14:val="tx1"/>
                  </w14:solidFill>
                </w14:textFill>
              </w:rPr>
              <w:t>（2）</w:t>
            </w:r>
            <w:r>
              <w:rPr>
                <w:rFonts w:hint="eastAsia" w:ascii="仿宋" w:hAnsi="仿宋" w:eastAsia="仿宋" w:cs="仿宋"/>
                <w:color w:val="000000" w:themeColor="text1"/>
                <w:sz w:val="24"/>
                <w:szCs w:val="24"/>
                <w:highlight w:val="none"/>
                <w:lang w:val="en-US" w:eastAsia="zh-CN"/>
                <w14:textFill>
                  <w14:solidFill>
                    <w14:schemeClr w14:val="tx1"/>
                  </w14:solidFill>
                </w14:textFill>
              </w:rPr>
              <w:t>具有良好的商业信誉和健全的财务会计制度</w:t>
            </w:r>
          </w:p>
        </w:tc>
        <w:tc>
          <w:tcPr>
            <w:tcW w:w="4558" w:type="dxa"/>
            <w:vMerge w:val="restart"/>
            <w:vAlign w:val="center"/>
          </w:tcPr>
          <w:p w14:paraId="2D303C88">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供应商提供基本资格条件承诺函。（格式详见第七篇）</w:t>
            </w:r>
          </w:p>
        </w:tc>
      </w:tr>
      <w:tr w14:paraId="4E3E9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76" w:type="dxa"/>
            <w:vMerge w:val="continue"/>
            <w:vAlign w:val="center"/>
          </w:tcPr>
          <w:p w14:paraId="0B3AB3F0">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709" w:type="dxa"/>
            <w:vMerge w:val="continue"/>
            <w:vAlign w:val="center"/>
          </w:tcPr>
          <w:p w14:paraId="3981B656">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p>
        </w:tc>
        <w:tc>
          <w:tcPr>
            <w:tcW w:w="3685" w:type="dxa"/>
            <w:vAlign w:val="center"/>
          </w:tcPr>
          <w:p w14:paraId="7BEE4150">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r>
              <w:rPr>
                <w:rFonts w:hint="eastAsia" w:ascii="仿宋" w:hAnsi="仿宋" w:eastAsia="仿宋" w:cs="仿宋"/>
                <w:color w:val="000000" w:themeColor="text1"/>
                <w:sz w:val="24"/>
                <w:szCs w:val="24"/>
                <w:highlight w:val="none"/>
                <w:lang w:val="zh-CN" w:eastAsia="zh-CN"/>
                <w14:textFill>
                  <w14:solidFill>
                    <w14:schemeClr w14:val="tx1"/>
                  </w14:solidFill>
                </w14:textFill>
              </w:rPr>
              <w:t>（3）具有履行合同所必需的设备和专业技术能力</w:t>
            </w:r>
          </w:p>
        </w:tc>
        <w:tc>
          <w:tcPr>
            <w:tcW w:w="4558" w:type="dxa"/>
            <w:vMerge w:val="continue"/>
            <w:vAlign w:val="center"/>
          </w:tcPr>
          <w:p w14:paraId="29A6E9FB">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r>
      <w:tr w14:paraId="67C9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76" w:type="dxa"/>
            <w:vMerge w:val="continue"/>
            <w:vAlign w:val="center"/>
          </w:tcPr>
          <w:p w14:paraId="7E667FC7">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709" w:type="dxa"/>
            <w:vMerge w:val="continue"/>
            <w:vAlign w:val="center"/>
          </w:tcPr>
          <w:p w14:paraId="04689C6A">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p>
        </w:tc>
        <w:tc>
          <w:tcPr>
            <w:tcW w:w="3685" w:type="dxa"/>
            <w:vAlign w:val="center"/>
          </w:tcPr>
          <w:p w14:paraId="722DA15D">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r>
              <w:rPr>
                <w:rFonts w:hint="eastAsia" w:ascii="仿宋" w:hAnsi="仿宋" w:eastAsia="仿宋" w:cs="仿宋"/>
                <w:color w:val="000000" w:themeColor="text1"/>
                <w:sz w:val="24"/>
                <w:szCs w:val="24"/>
                <w:highlight w:val="none"/>
                <w:lang w:val="zh-CN" w:eastAsia="zh-CN"/>
                <w14:textFill>
                  <w14:solidFill>
                    <w14:schemeClr w14:val="tx1"/>
                  </w14:solidFill>
                </w14:textFill>
              </w:rPr>
              <w:t>（4）有依法缴纳税收和社会保障金的良好记录</w:t>
            </w:r>
          </w:p>
        </w:tc>
        <w:tc>
          <w:tcPr>
            <w:tcW w:w="4558" w:type="dxa"/>
            <w:vMerge w:val="continue"/>
            <w:vAlign w:val="center"/>
          </w:tcPr>
          <w:p w14:paraId="6CEC1ADC">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r>
      <w:tr w14:paraId="6D3FB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76" w:type="dxa"/>
            <w:vMerge w:val="continue"/>
            <w:vAlign w:val="center"/>
          </w:tcPr>
          <w:p w14:paraId="62EB2561">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709" w:type="dxa"/>
            <w:vMerge w:val="continue"/>
            <w:vAlign w:val="center"/>
          </w:tcPr>
          <w:p w14:paraId="3137A86A">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p>
        </w:tc>
        <w:tc>
          <w:tcPr>
            <w:tcW w:w="3685" w:type="dxa"/>
            <w:vAlign w:val="center"/>
          </w:tcPr>
          <w:p w14:paraId="754B1822">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（5）参加政府采购活动前三年内，在经营活动中没有重大违法记录（注</w:t>
            </w:r>
            <w:r>
              <w:rPr>
                <w:rFonts w:hint="eastAsia" w:ascii="仿宋" w:hAnsi="仿宋" w:eastAsia="仿宋" w:cs="仿宋"/>
                <w:color w:val="000000" w:themeColor="text1"/>
                <w:sz w:val="24"/>
                <w:szCs w:val="24"/>
                <w:highlight w:val="none"/>
                <w:lang w:val="en-US" w:eastAsia="zh-CN"/>
                <w14:textFill>
                  <w14:solidFill>
                    <w14:schemeClr w14:val="tx1"/>
                  </w14:solidFill>
                </w14:textFill>
              </w:rPr>
              <w:fldChar w:fldCharType="begin"/>
            </w:r>
            <w:r>
              <w:rPr>
                <w:rFonts w:hint="eastAsia" w:ascii="仿宋" w:hAnsi="仿宋" w:eastAsia="仿宋" w:cs="仿宋"/>
                <w:color w:val="000000" w:themeColor="text1"/>
                <w:sz w:val="24"/>
                <w:szCs w:val="24"/>
                <w:highlight w:val="none"/>
                <w:lang w:val="en-US" w:eastAsia="zh-CN"/>
                <w14:textFill>
                  <w14:solidFill>
                    <w14:schemeClr w14:val="tx1"/>
                  </w14:solidFill>
                </w14:textFill>
              </w:rPr>
              <w:instrText xml:space="preserve">eq \o\ac(○,3)</w:instrText>
            </w:r>
            <w:r>
              <w:rPr>
                <w:rFonts w:hint="eastAsia" w:ascii="仿宋" w:hAnsi="仿宋" w:eastAsia="仿宋" w:cs="仿宋"/>
                <w:color w:val="000000" w:themeColor="text1"/>
                <w:sz w:val="24"/>
                <w:szCs w:val="24"/>
                <w:highlight w:val="none"/>
                <w:lang w:val="en-US" w:eastAsia="zh-CN"/>
                <w14:textFill>
                  <w14:solidFill>
                    <w14:schemeClr w14:val="tx1"/>
                  </w14:solidFill>
                </w14:textFill>
              </w:rPr>
              <w:fldChar w:fldCharType="end"/>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p>
        </w:tc>
        <w:tc>
          <w:tcPr>
            <w:tcW w:w="4558" w:type="dxa"/>
            <w:vMerge w:val="continue"/>
            <w:vAlign w:val="center"/>
          </w:tcPr>
          <w:p w14:paraId="78D133DE">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r>
      <w:tr w14:paraId="140A4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676" w:type="dxa"/>
            <w:vMerge w:val="continue"/>
            <w:vAlign w:val="center"/>
          </w:tcPr>
          <w:p w14:paraId="6C640763">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709" w:type="dxa"/>
            <w:vMerge w:val="continue"/>
            <w:vAlign w:val="center"/>
          </w:tcPr>
          <w:p w14:paraId="51915BFE">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p>
        </w:tc>
        <w:tc>
          <w:tcPr>
            <w:tcW w:w="3685" w:type="dxa"/>
            <w:vAlign w:val="center"/>
          </w:tcPr>
          <w:p w14:paraId="5EE317E9">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（6）法律、行政法规规定的其他条件</w:t>
            </w:r>
          </w:p>
        </w:tc>
        <w:tc>
          <w:tcPr>
            <w:tcW w:w="4558" w:type="dxa"/>
            <w:vAlign w:val="center"/>
          </w:tcPr>
          <w:p w14:paraId="7401D6EA">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r>
      <w:tr w14:paraId="6D90F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676" w:type="dxa"/>
            <w:vAlign w:val="center"/>
          </w:tcPr>
          <w:p w14:paraId="35FAD898">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p>
        </w:tc>
        <w:tc>
          <w:tcPr>
            <w:tcW w:w="4394" w:type="dxa"/>
            <w:gridSpan w:val="2"/>
            <w:vAlign w:val="center"/>
          </w:tcPr>
          <w:p w14:paraId="0479573D">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落实政府采购政策需满足的资格要求</w:t>
            </w:r>
          </w:p>
        </w:tc>
        <w:tc>
          <w:tcPr>
            <w:tcW w:w="4558" w:type="dxa"/>
            <w:vAlign w:val="center"/>
          </w:tcPr>
          <w:p w14:paraId="3756C72D">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按第一篇“三、供应商资格条件（二）落实政府采购政策需满足的资格要求”的要求提交（如果有）。</w:t>
            </w:r>
          </w:p>
        </w:tc>
      </w:tr>
      <w:tr w14:paraId="72847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676" w:type="dxa"/>
            <w:vAlign w:val="center"/>
          </w:tcPr>
          <w:p w14:paraId="03692A9F">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p>
        </w:tc>
        <w:tc>
          <w:tcPr>
            <w:tcW w:w="4394" w:type="dxa"/>
            <w:gridSpan w:val="2"/>
            <w:vAlign w:val="center"/>
          </w:tcPr>
          <w:p w14:paraId="63A05392">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特定资格条件</w:t>
            </w:r>
          </w:p>
        </w:tc>
        <w:tc>
          <w:tcPr>
            <w:tcW w:w="4558" w:type="dxa"/>
            <w:vAlign w:val="center"/>
          </w:tcPr>
          <w:p w14:paraId="48548A45">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按第一篇“三、供应商资格条件（三）特定资格条件”的要求提交（如果有）。</w:t>
            </w:r>
          </w:p>
        </w:tc>
      </w:tr>
    </w:tbl>
    <w:p w14:paraId="18AADA2F">
      <w:pPr>
        <w:snapToGrid w:val="0"/>
        <w:spacing w:line="360" w:lineRule="auto"/>
        <w:ind w:firstLine="480" w:firstLineChars="200"/>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注：</w:t>
      </w:r>
    </w:p>
    <w:p w14:paraId="59547399">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fldChar w:fldCharType="begin"/>
      </w:r>
      <w:r>
        <w:rPr>
          <w:rFonts w:hint="eastAsia" w:ascii="仿宋" w:hAnsi="仿宋" w:eastAsia="仿宋" w:cs="仿宋"/>
          <w:color w:val="000000" w:themeColor="text1"/>
          <w:sz w:val="24"/>
          <w:szCs w:val="24"/>
          <w:highlight w:val="none"/>
          <w:lang w:val="en-US" w:eastAsia="zh-CN"/>
          <w14:textFill>
            <w14:solidFill>
              <w14:schemeClr w14:val="tx1"/>
            </w14:solidFill>
          </w14:textFill>
        </w:rPr>
        <w:instrText xml:space="preserve">eq \o\ac(○,2)</w:instrText>
      </w:r>
      <w:r>
        <w:rPr>
          <w:rFonts w:hint="eastAsia" w:ascii="仿宋" w:hAnsi="仿宋" w:eastAsia="仿宋" w:cs="仿宋"/>
          <w:color w:val="000000" w:themeColor="text1"/>
          <w:sz w:val="24"/>
          <w:szCs w:val="24"/>
          <w:highlight w:val="none"/>
          <w:lang w:val="en-US" w:eastAsia="zh-CN"/>
          <w14:textFill>
            <w14:solidFill>
              <w14:schemeClr w14:val="tx1"/>
            </w14:solidFill>
          </w14:textFill>
        </w:rPr>
        <w:fldChar w:fldCharType="end"/>
      </w:r>
      <w:r>
        <w:rPr>
          <w:rFonts w:hint="eastAsia" w:ascii="仿宋" w:hAnsi="仿宋" w:eastAsia="仿宋" w:cs="仿宋"/>
          <w:color w:val="000000" w:themeColor="text1"/>
          <w:sz w:val="24"/>
          <w:szCs w:val="24"/>
          <w:highlight w:val="none"/>
          <w:lang w:val="en-US" w:eastAsia="zh-CN"/>
          <w14:textFill>
            <w14:solidFill>
              <w14:schemeClr w14:val="tx1"/>
            </w14:solidFill>
          </w14:textFill>
        </w:rPr>
        <w:t>供应商按“多证合一”登记制度办理营业执照的，组织机构代码证、税务登记证（副本）和社会保险登记证以供应商所提供的营业执照（副本）复印件为准。</w:t>
      </w:r>
    </w:p>
    <w:p w14:paraId="6DB0590D">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fldChar w:fldCharType="begin"/>
      </w:r>
      <w:r>
        <w:rPr>
          <w:rFonts w:hint="eastAsia" w:ascii="仿宋" w:hAnsi="仿宋" w:eastAsia="仿宋" w:cs="仿宋"/>
          <w:color w:val="000000" w:themeColor="text1"/>
          <w:sz w:val="24"/>
          <w:szCs w:val="24"/>
          <w:highlight w:val="none"/>
          <w:lang w:val="en-US" w:eastAsia="zh-CN"/>
          <w14:textFill>
            <w14:solidFill>
              <w14:schemeClr w14:val="tx1"/>
            </w14:solidFill>
          </w14:textFill>
        </w:rPr>
        <w:instrText xml:space="preserve">eq \o\ac(○,3)</w:instrText>
      </w:r>
      <w:r>
        <w:rPr>
          <w:rFonts w:hint="eastAsia" w:ascii="仿宋" w:hAnsi="仿宋" w:eastAsia="仿宋" w:cs="仿宋"/>
          <w:color w:val="000000" w:themeColor="text1"/>
          <w:sz w:val="24"/>
          <w:szCs w:val="24"/>
          <w:highlight w:val="none"/>
          <w:lang w:val="en-US" w:eastAsia="zh-CN"/>
          <w14:textFill>
            <w14:solidFill>
              <w14:schemeClr w14:val="tx1"/>
            </w14:solidFill>
          </w14:textFill>
        </w:rPr>
        <w:fldChar w:fldCharType="end"/>
      </w:r>
      <w:r>
        <w:rPr>
          <w:rFonts w:hint="eastAsia" w:ascii="仿宋" w:hAnsi="仿宋" w:eastAsia="仿宋" w:cs="仿宋"/>
          <w:color w:val="000000" w:themeColor="text1"/>
          <w:sz w:val="24"/>
          <w:szCs w:val="24"/>
          <w:highlight w:val="none"/>
          <w:lang w:val="en-US" w:eastAsia="zh-CN"/>
          <w14:textFill>
            <w14:solidFill>
              <w14:schemeClr w14:val="tx1"/>
            </w14:solidFill>
          </w14:textFill>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被执行人所在的省、自治区、直辖市人民政府制定，国务院有关部门规定了较大数额标准的，从其规定。</w:t>
      </w:r>
    </w:p>
    <w:p w14:paraId="27376421">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2.符合性检查。依据网上竞采文件的规定，从响应文件的有效性、完整性和对网上竞采文件的响应程度进行审查，以确定是否对网上竞采文件的实质性要求作出响应。符合性检查资料表如下：</w:t>
      </w:r>
    </w:p>
    <w:tbl>
      <w:tblPr>
        <w:tblStyle w:val="63"/>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09555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75" w:type="dxa"/>
            <w:vAlign w:val="center"/>
          </w:tcPr>
          <w:p w14:paraId="2AB9F1B5">
            <w:pPr>
              <w:spacing w:line="240" w:lineRule="exact"/>
              <w:jc w:val="center"/>
              <w:rPr>
                <w:rFonts w:hint="eastAsia" w:ascii="仿宋" w:hAnsi="仿宋" w:eastAsia="仿宋" w:cs="仿宋"/>
                <w:b/>
                <w:color w:val="000000" w:themeColor="text1"/>
                <w:kern w:val="0"/>
                <w:sz w:val="24"/>
                <w:szCs w:val="24"/>
                <w:highlight w:val="none"/>
                <w14:textFill>
                  <w14:solidFill>
                    <w14:schemeClr w14:val="tx1"/>
                  </w14:solidFill>
                </w14:textFill>
              </w:rPr>
            </w:pPr>
            <w:r>
              <w:rPr>
                <w:rFonts w:hint="eastAsia" w:ascii="仿宋" w:hAnsi="仿宋" w:eastAsia="仿宋" w:cs="仿宋"/>
                <w:b/>
                <w:color w:val="000000" w:themeColor="text1"/>
                <w:kern w:val="0"/>
                <w:sz w:val="24"/>
                <w:szCs w:val="24"/>
                <w:highlight w:val="none"/>
                <w14:textFill>
                  <w14:solidFill>
                    <w14:schemeClr w14:val="tx1"/>
                  </w14:solidFill>
                </w14:textFill>
              </w:rPr>
              <w:t>序号</w:t>
            </w:r>
          </w:p>
        </w:tc>
        <w:tc>
          <w:tcPr>
            <w:tcW w:w="3544" w:type="dxa"/>
            <w:gridSpan w:val="2"/>
            <w:vAlign w:val="center"/>
          </w:tcPr>
          <w:p w14:paraId="4FF351AE">
            <w:pPr>
              <w:spacing w:line="240" w:lineRule="exact"/>
              <w:jc w:val="center"/>
              <w:rPr>
                <w:rFonts w:hint="eastAsia" w:ascii="仿宋" w:hAnsi="仿宋" w:eastAsia="仿宋" w:cs="仿宋"/>
                <w:b/>
                <w:color w:val="000000" w:themeColor="text1"/>
                <w:kern w:val="0"/>
                <w:sz w:val="24"/>
                <w:szCs w:val="24"/>
                <w:highlight w:val="none"/>
                <w14:textFill>
                  <w14:solidFill>
                    <w14:schemeClr w14:val="tx1"/>
                  </w14:solidFill>
                </w14:textFill>
              </w:rPr>
            </w:pPr>
            <w:r>
              <w:rPr>
                <w:rFonts w:hint="eastAsia" w:ascii="仿宋" w:hAnsi="仿宋" w:eastAsia="仿宋" w:cs="仿宋"/>
                <w:b/>
                <w:color w:val="000000" w:themeColor="text1"/>
                <w:kern w:val="0"/>
                <w:sz w:val="24"/>
                <w:szCs w:val="24"/>
                <w:highlight w:val="none"/>
                <w14:textFill>
                  <w14:solidFill>
                    <w14:schemeClr w14:val="tx1"/>
                  </w14:solidFill>
                </w14:textFill>
              </w:rPr>
              <w:t>评审因素</w:t>
            </w:r>
          </w:p>
        </w:tc>
        <w:tc>
          <w:tcPr>
            <w:tcW w:w="5409" w:type="dxa"/>
            <w:vAlign w:val="center"/>
          </w:tcPr>
          <w:p w14:paraId="147F5A34">
            <w:pPr>
              <w:spacing w:line="240" w:lineRule="exact"/>
              <w:jc w:val="center"/>
              <w:rPr>
                <w:rFonts w:hint="eastAsia" w:ascii="仿宋" w:hAnsi="仿宋" w:eastAsia="仿宋" w:cs="仿宋"/>
                <w:b/>
                <w:color w:val="000000" w:themeColor="text1"/>
                <w:kern w:val="0"/>
                <w:sz w:val="24"/>
                <w:szCs w:val="24"/>
                <w:highlight w:val="none"/>
                <w14:textFill>
                  <w14:solidFill>
                    <w14:schemeClr w14:val="tx1"/>
                  </w14:solidFill>
                </w14:textFill>
              </w:rPr>
            </w:pPr>
            <w:r>
              <w:rPr>
                <w:rFonts w:hint="eastAsia" w:ascii="仿宋" w:hAnsi="仿宋" w:eastAsia="仿宋" w:cs="仿宋"/>
                <w:b/>
                <w:color w:val="000000" w:themeColor="text1"/>
                <w:kern w:val="0"/>
                <w:sz w:val="24"/>
                <w:szCs w:val="24"/>
                <w:highlight w:val="none"/>
                <w14:textFill>
                  <w14:solidFill>
                    <w14:schemeClr w14:val="tx1"/>
                  </w14:solidFill>
                </w14:textFill>
              </w:rPr>
              <w:t>评审标准</w:t>
            </w:r>
          </w:p>
        </w:tc>
      </w:tr>
      <w:tr w14:paraId="51EC0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75" w:type="dxa"/>
            <w:vMerge w:val="restart"/>
            <w:vAlign w:val="center"/>
          </w:tcPr>
          <w:p w14:paraId="7E71E6BE">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w:t>
            </w:r>
          </w:p>
        </w:tc>
        <w:tc>
          <w:tcPr>
            <w:tcW w:w="1560" w:type="dxa"/>
            <w:vMerge w:val="restart"/>
            <w:vAlign w:val="center"/>
          </w:tcPr>
          <w:p w14:paraId="6ACA6582">
            <w:pPr>
              <w:spacing w:line="360" w:lineRule="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有效性审查</w:t>
            </w:r>
          </w:p>
        </w:tc>
        <w:tc>
          <w:tcPr>
            <w:tcW w:w="1984" w:type="dxa"/>
            <w:vAlign w:val="center"/>
          </w:tcPr>
          <w:p w14:paraId="37171181">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响应文件签署</w:t>
            </w:r>
          </w:p>
        </w:tc>
        <w:tc>
          <w:tcPr>
            <w:tcW w:w="5409" w:type="dxa"/>
            <w:vAlign w:val="center"/>
          </w:tcPr>
          <w:p w14:paraId="127E9EBB">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网上电子文档及响应文件上法定代表人或其授权代表人的签字齐全。</w:t>
            </w:r>
          </w:p>
        </w:tc>
      </w:tr>
      <w:tr w14:paraId="6CFAB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675" w:type="dxa"/>
            <w:vMerge w:val="continue"/>
            <w:vAlign w:val="center"/>
          </w:tcPr>
          <w:p w14:paraId="6944EC2F">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560" w:type="dxa"/>
            <w:vMerge w:val="continue"/>
            <w:vAlign w:val="center"/>
          </w:tcPr>
          <w:p w14:paraId="61AD40C6">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984" w:type="dxa"/>
            <w:vAlign w:val="center"/>
          </w:tcPr>
          <w:p w14:paraId="65DE1520">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法定代表人身份证明及授权委托书</w:t>
            </w:r>
          </w:p>
        </w:tc>
        <w:tc>
          <w:tcPr>
            <w:tcW w:w="5409" w:type="dxa"/>
            <w:vAlign w:val="center"/>
          </w:tcPr>
          <w:p w14:paraId="57736CA6">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法定代表人身份证明及授权委托书有效，符合网上竞采文件规定的格式，签字或盖章齐全。</w:t>
            </w:r>
          </w:p>
        </w:tc>
      </w:tr>
      <w:tr w14:paraId="02D6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75" w:type="dxa"/>
            <w:vMerge w:val="continue"/>
            <w:vAlign w:val="center"/>
          </w:tcPr>
          <w:p w14:paraId="056644F5">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560" w:type="dxa"/>
            <w:vMerge w:val="continue"/>
            <w:vAlign w:val="center"/>
          </w:tcPr>
          <w:p w14:paraId="6B48F912">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984" w:type="dxa"/>
            <w:vAlign w:val="center"/>
          </w:tcPr>
          <w:p w14:paraId="7AF491F3">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响应</w:t>
            </w:r>
            <w:r>
              <w:rPr>
                <w:rFonts w:hint="eastAsia" w:ascii="仿宋" w:hAnsi="仿宋" w:eastAsia="仿宋" w:cs="仿宋"/>
                <w:color w:val="000000" w:themeColor="text1"/>
                <w:sz w:val="24"/>
                <w:szCs w:val="24"/>
                <w:highlight w:val="none"/>
                <w:lang w:val="zh-CN" w:eastAsia="zh-CN"/>
                <w14:textFill>
                  <w14:solidFill>
                    <w14:schemeClr w14:val="tx1"/>
                  </w14:solidFill>
                </w14:textFill>
              </w:rPr>
              <w:t>方案</w:t>
            </w:r>
          </w:p>
        </w:tc>
        <w:tc>
          <w:tcPr>
            <w:tcW w:w="5409" w:type="dxa"/>
            <w:vAlign w:val="center"/>
          </w:tcPr>
          <w:p w14:paraId="52E70AED">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zh-CN" w:eastAsia="zh-CN"/>
                <w14:textFill>
                  <w14:solidFill>
                    <w14:schemeClr w14:val="tx1"/>
                  </w14:solidFill>
                </w14:textFill>
              </w:rPr>
              <w:t>每个分包只能有一个</w:t>
            </w:r>
            <w:r>
              <w:rPr>
                <w:rFonts w:hint="eastAsia" w:ascii="仿宋" w:hAnsi="仿宋" w:eastAsia="仿宋" w:cs="仿宋"/>
                <w:color w:val="000000" w:themeColor="text1"/>
                <w:sz w:val="24"/>
                <w:szCs w:val="24"/>
                <w:highlight w:val="none"/>
                <w:lang w:val="en-US" w:eastAsia="zh-CN"/>
                <w14:textFill>
                  <w14:solidFill>
                    <w14:schemeClr w14:val="tx1"/>
                  </w14:solidFill>
                </w14:textFill>
              </w:rPr>
              <w:t>响应</w:t>
            </w:r>
            <w:r>
              <w:rPr>
                <w:rFonts w:hint="eastAsia" w:ascii="仿宋" w:hAnsi="仿宋" w:eastAsia="仿宋" w:cs="仿宋"/>
                <w:color w:val="000000" w:themeColor="text1"/>
                <w:sz w:val="24"/>
                <w:szCs w:val="24"/>
                <w:highlight w:val="none"/>
                <w:lang w:val="zh-CN" w:eastAsia="zh-CN"/>
                <w14:textFill>
                  <w14:solidFill>
                    <w14:schemeClr w14:val="tx1"/>
                  </w14:solidFill>
                </w14:textFill>
              </w:rPr>
              <w:t>方案。</w:t>
            </w:r>
          </w:p>
        </w:tc>
      </w:tr>
      <w:tr w14:paraId="31667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75" w:type="dxa"/>
            <w:vMerge w:val="continue"/>
            <w:vAlign w:val="center"/>
          </w:tcPr>
          <w:p w14:paraId="762963AE">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560" w:type="dxa"/>
            <w:vMerge w:val="continue"/>
            <w:vAlign w:val="center"/>
          </w:tcPr>
          <w:p w14:paraId="12B48309">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984" w:type="dxa"/>
            <w:vAlign w:val="center"/>
          </w:tcPr>
          <w:p w14:paraId="0E0EA26C">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报价唯一</w:t>
            </w:r>
          </w:p>
        </w:tc>
        <w:tc>
          <w:tcPr>
            <w:tcW w:w="5409" w:type="dxa"/>
            <w:vAlign w:val="center"/>
          </w:tcPr>
          <w:p w14:paraId="2312408C">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zh-CN" w:eastAsia="zh-CN"/>
                <w14:textFill>
                  <w14:solidFill>
                    <w14:schemeClr w14:val="tx1"/>
                  </w14:solidFill>
                </w14:textFill>
              </w:rPr>
              <w:t>只能在采购预算范围内报价，</w:t>
            </w:r>
            <w:r>
              <w:rPr>
                <w:rFonts w:hint="eastAsia" w:ascii="仿宋" w:hAnsi="仿宋" w:eastAsia="仿宋" w:cs="仿宋"/>
                <w:color w:val="000000" w:themeColor="text1"/>
                <w:sz w:val="24"/>
                <w:szCs w:val="24"/>
                <w:highlight w:val="none"/>
                <w:lang w:val="en-US" w:eastAsia="zh-CN"/>
                <w14:textFill>
                  <w14:solidFill>
                    <w14:schemeClr w14:val="tx1"/>
                  </w14:solidFill>
                </w14:textFill>
              </w:rPr>
              <w:t>只能有一个有效报价，不得提交选择性报价。</w:t>
            </w:r>
          </w:p>
        </w:tc>
      </w:tr>
      <w:tr w14:paraId="36832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75" w:type="dxa"/>
            <w:vAlign w:val="center"/>
          </w:tcPr>
          <w:p w14:paraId="467DE9D4">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p>
        </w:tc>
        <w:tc>
          <w:tcPr>
            <w:tcW w:w="1560" w:type="dxa"/>
            <w:vAlign w:val="center"/>
          </w:tcPr>
          <w:p w14:paraId="78A0B6E3">
            <w:pPr>
              <w:spacing w:line="360" w:lineRule="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完整性审查</w:t>
            </w:r>
          </w:p>
        </w:tc>
        <w:tc>
          <w:tcPr>
            <w:tcW w:w="1984" w:type="dxa"/>
            <w:vAlign w:val="center"/>
          </w:tcPr>
          <w:p w14:paraId="713E4D76">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响应</w:t>
            </w:r>
            <w:r>
              <w:rPr>
                <w:rFonts w:hint="eastAsia" w:ascii="仿宋" w:hAnsi="仿宋" w:eastAsia="仿宋" w:cs="仿宋"/>
                <w:color w:val="000000" w:themeColor="text1"/>
                <w:sz w:val="24"/>
                <w:szCs w:val="24"/>
                <w:highlight w:val="none"/>
                <w:lang w:val="zh-CN" w:eastAsia="zh-CN"/>
                <w14:textFill>
                  <w14:solidFill>
                    <w14:schemeClr w14:val="tx1"/>
                  </w14:solidFill>
                </w14:textFill>
              </w:rPr>
              <w:t>文件份数</w:t>
            </w:r>
          </w:p>
        </w:tc>
        <w:tc>
          <w:tcPr>
            <w:tcW w:w="5409" w:type="dxa"/>
            <w:vAlign w:val="center"/>
          </w:tcPr>
          <w:p w14:paraId="12F6F80E">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响应</w:t>
            </w:r>
            <w:r>
              <w:rPr>
                <w:rFonts w:hint="eastAsia" w:ascii="仿宋" w:hAnsi="仿宋" w:eastAsia="仿宋" w:cs="仿宋"/>
                <w:color w:val="000000" w:themeColor="text1"/>
                <w:sz w:val="24"/>
                <w:szCs w:val="24"/>
                <w:highlight w:val="none"/>
                <w:lang w:val="zh-CN" w:eastAsia="zh-CN"/>
                <w14:textFill>
                  <w14:solidFill>
                    <w14:schemeClr w14:val="tx1"/>
                  </w14:solidFill>
                </w14:textFill>
              </w:rPr>
              <w:t>文件数量符合</w:t>
            </w:r>
            <w:r>
              <w:rPr>
                <w:rFonts w:hint="eastAsia" w:ascii="仿宋" w:hAnsi="仿宋" w:eastAsia="仿宋" w:cs="仿宋"/>
                <w:color w:val="000000" w:themeColor="text1"/>
                <w:sz w:val="24"/>
                <w:szCs w:val="24"/>
                <w:highlight w:val="none"/>
                <w:lang w:val="en-US" w:eastAsia="zh-CN"/>
                <w14:textFill>
                  <w14:solidFill>
                    <w14:schemeClr w14:val="tx1"/>
                  </w14:solidFill>
                </w14:textFill>
              </w:rPr>
              <w:t>网上竞采</w:t>
            </w:r>
            <w:r>
              <w:rPr>
                <w:rFonts w:hint="eastAsia" w:ascii="仿宋" w:hAnsi="仿宋" w:eastAsia="仿宋" w:cs="仿宋"/>
                <w:color w:val="000000" w:themeColor="text1"/>
                <w:sz w:val="24"/>
                <w:szCs w:val="24"/>
                <w:highlight w:val="none"/>
                <w:lang w:val="zh-CN" w:eastAsia="zh-CN"/>
                <w14:textFill>
                  <w14:solidFill>
                    <w14:schemeClr w14:val="tx1"/>
                  </w14:solidFill>
                </w14:textFill>
              </w:rPr>
              <w:t>文件要求。</w:t>
            </w:r>
          </w:p>
        </w:tc>
      </w:tr>
      <w:tr w14:paraId="0B6ED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675" w:type="dxa"/>
            <w:vMerge w:val="restart"/>
            <w:vAlign w:val="center"/>
          </w:tcPr>
          <w:p w14:paraId="5A6821BF">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p>
        </w:tc>
        <w:tc>
          <w:tcPr>
            <w:tcW w:w="1560" w:type="dxa"/>
            <w:vMerge w:val="restart"/>
            <w:vAlign w:val="center"/>
          </w:tcPr>
          <w:p w14:paraId="33CA6AEC">
            <w:pPr>
              <w:spacing w:line="360" w:lineRule="auto"/>
              <w:rPr>
                <w:rFonts w:hint="eastAsia" w:ascii="仿宋" w:hAnsi="仿宋" w:eastAsia="仿宋" w:cs="仿宋"/>
                <w:color w:val="000000" w:themeColor="text1"/>
                <w:sz w:val="24"/>
                <w:szCs w:val="24"/>
                <w:highlight w:val="none"/>
                <w:lang w:val="zh-CN"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网上竞采文件的响应程度审查</w:t>
            </w:r>
          </w:p>
        </w:tc>
        <w:tc>
          <w:tcPr>
            <w:tcW w:w="1984" w:type="dxa"/>
            <w:vAlign w:val="center"/>
          </w:tcPr>
          <w:p w14:paraId="408F86BE">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响应文件内容</w:t>
            </w:r>
          </w:p>
        </w:tc>
        <w:tc>
          <w:tcPr>
            <w:tcW w:w="5409" w:type="dxa"/>
            <w:vAlign w:val="center"/>
          </w:tcPr>
          <w:p w14:paraId="31D68F86">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对网上竞采文件第二篇、第三篇规定的网上竞采内容作出响应。</w:t>
            </w:r>
          </w:p>
        </w:tc>
      </w:tr>
      <w:tr w14:paraId="4D456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75" w:type="dxa"/>
            <w:vMerge w:val="continue"/>
            <w:vAlign w:val="center"/>
          </w:tcPr>
          <w:p w14:paraId="542274E3">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560" w:type="dxa"/>
            <w:vMerge w:val="continue"/>
            <w:vAlign w:val="center"/>
          </w:tcPr>
          <w:p w14:paraId="49383AD4">
            <w:pPr>
              <w:spacing w:line="360" w:lineRule="auto"/>
              <w:ind w:firstLine="240" w:firstLineChars="100"/>
              <w:rPr>
                <w:rFonts w:hint="eastAsia" w:ascii="仿宋" w:hAnsi="仿宋" w:eastAsia="仿宋" w:cs="仿宋"/>
                <w:color w:val="000000" w:themeColor="text1"/>
                <w:sz w:val="24"/>
                <w:szCs w:val="24"/>
                <w:highlight w:val="none"/>
                <w:lang w:val="zh-CN" w:eastAsia="zh-CN"/>
                <w14:textFill>
                  <w14:solidFill>
                    <w14:schemeClr w14:val="tx1"/>
                  </w14:solidFill>
                </w14:textFill>
              </w:rPr>
            </w:pPr>
          </w:p>
        </w:tc>
        <w:tc>
          <w:tcPr>
            <w:tcW w:w="1984" w:type="dxa"/>
            <w:vAlign w:val="center"/>
          </w:tcPr>
          <w:p w14:paraId="222560D9">
            <w:pPr>
              <w:spacing w:line="360" w:lineRule="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网上竞采有效期</w:t>
            </w:r>
          </w:p>
        </w:tc>
        <w:tc>
          <w:tcPr>
            <w:tcW w:w="5409" w:type="dxa"/>
            <w:vAlign w:val="center"/>
          </w:tcPr>
          <w:p w14:paraId="2720E7E0">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满足网上竞采文件</w:t>
            </w:r>
            <w:r>
              <w:rPr>
                <w:rFonts w:hint="eastAsia" w:ascii="仿宋" w:hAnsi="仿宋" w:eastAsia="仿宋" w:cs="仿宋"/>
                <w:color w:val="000000" w:themeColor="text1"/>
                <w:sz w:val="24"/>
                <w:szCs w:val="24"/>
                <w:highlight w:val="none"/>
                <w:lang w:val="zh-CN" w:eastAsia="zh-CN"/>
                <w14:textFill>
                  <w14:solidFill>
                    <w14:schemeClr w14:val="tx1"/>
                  </w14:solidFill>
                </w14:textFill>
              </w:rPr>
              <w:t>规定。</w:t>
            </w:r>
          </w:p>
        </w:tc>
      </w:tr>
    </w:tbl>
    <w:p w14:paraId="672F34CC">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二）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410F1E3">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评审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51BC72B8">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（三）评审的依据为网上竞采文件和响应文件（含有效的补充文件）。评审小组判断响应文件对网上竞采文件的响应，仅基于响应文件本身而不靠外部证据。</w:t>
      </w:r>
    </w:p>
    <w:p w14:paraId="1965948C">
      <w:pPr>
        <w:pStyle w:val="5"/>
        <w:spacing w:before="0" w:after="0" w:line="360" w:lineRule="auto"/>
        <w:rPr>
          <w:rFonts w:hint="eastAsia" w:ascii="仿宋" w:hAnsi="仿宋" w:eastAsia="仿宋" w:cs="仿宋"/>
          <w:color w:val="000000" w:themeColor="text1"/>
          <w:sz w:val="24"/>
          <w:szCs w:val="24"/>
          <w:highlight w:val="none"/>
          <w:lang w:val="en-US" w:eastAsia="zh-CN"/>
          <w14:textFill>
            <w14:solidFill>
              <w14:schemeClr w14:val="tx1"/>
            </w14:solidFill>
          </w14:textFill>
        </w:rPr>
      </w:pPr>
      <w:bookmarkStart w:id="101" w:name="_Toc18411"/>
      <w:r>
        <w:rPr>
          <w:rFonts w:hint="eastAsia" w:ascii="仿宋" w:hAnsi="仿宋" w:eastAsia="仿宋" w:cs="仿宋"/>
          <w:color w:val="000000" w:themeColor="text1"/>
          <w:sz w:val="24"/>
          <w:szCs w:val="24"/>
          <w:highlight w:val="none"/>
          <w:lang w:val="en-US" w:eastAsia="zh-CN"/>
          <w14:textFill>
            <w14:solidFill>
              <w14:schemeClr w14:val="tx1"/>
            </w14:solidFill>
          </w14:textFill>
        </w:rPr>
        <w:t>二、评标方法</w:t>
      </w:r>
    </w:p>
    <w:p w14:paraId="39C4276F">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本项目采用最低评标价法进行评标。</w:t>
      </w:r>
    </w:p>
    <w:p w14:paraId="2A4A3C8A">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（最低评标价法，是指投标文件满足招标文件全部实质性要求且投标报价最低的投标人为中标候选人的评标方法。）</w:t>
      </w:r>
    </w:p>
    <w:p w14:paraId="34508727">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澄清有关问题。对投标文件中含义不明确、同类问题表述不一致或者有明显文字和计算错误的内容，评标委员会可以书面形式（应当由评标委员会成员签字）要求投标人作出必要澄清、说明或者纠正。投标人的澄清、说明或者补正应当采用书面形式，由其法定代表人（或其授权代表）或自然人（投标人为自然人）签字，其澄清的内容不得超出投标文件的范围或者改变投标文件的实质性内容。</w:t>
      </w:r>
    </w:p>
    <w:p w14:paraId="5C5D6A76">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最低评标价法：</w:t>
      </w:r>
    </w:p>
    <w:p w14:paraId="622A360A">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（一）比较与评价。按招标文件中规定的评标方法和标准，对资格审查和符合性审查合格的投标文件进行商务和技术评估。</w:t>
      </w:r>
    </w:p>
    <w:p w14:paraId="127A7928">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同一合同项（包）下为单一品目或非单一品目核心产品品牌的服务采购招标中，以其中通过资格审查、符合性审查且报价最低的参加评标；报价相同的，由采购人或者采购人委托评标委员会按照招标文件规定的方式确定一个参加评标的投标人，招标文件未规定的采取随机抽取方式确定，其他投标无效。 </w:t>
      </w:r>
    </w:p>
    <w:p w14:paraId="216749DE">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（二）推荐中标候选人名单。</w:t>
      </w:r>
    </w:p>
    <w:p w14:paraId="6C3B4C61">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投标人须按本采购文件中报价明细表填写报价，在单价限价内逐项填报含税单价（元）。评标委员会以各投标人填报的各单品单价乘以对应预计数量（份）所得乘积之和（即投标总报价）作为评审依据，投标总报价最低者为中标人。若出现总报价相同的情况，由评标委员会优先推荐其中对采购人最有利（如免费增配服务等）的投标人为中标人。</w:t>
      </w:r>
    </w:p>
    <w:p w14:paraId="140DA708">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二、评标标准</w:t>
      </w:r>
    </w:p>
    <w:p w14:paraId="5E95B3FC">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（一）关于技术（质量）、商务偏离</w:t>
      </w:r>
    </w:p>
    <w:p w14:paraId="5F654FD9">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1.投标文件投标应答有一条及以上不满足招标文件“第二篇 项目技术需求”要求的（“※”号标注的部分除外），投标人将失去成为中标候选人的资格；</w:t>
      </w:r>
    </w:p>
    <w:p w14:paraId="43515E80">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2.投标文件投标应答有一条及以上不满足招标文件“第三篇 项目商务需求”要求的（“※”号标注的部分除外），投标人将失去成为中标候选人的资格；</w:t>
      </w:r>
    </w:p>
    <w:p w14:paraId="5C42AE20">
      <w:pPr>
        <w:spacing w:line="360" w:lineRule="auto"/>
        <w:ind w:firstLine="240" w:firstLineChars="1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bookmarkEnd w:id="101"/>
      <w:bookmarkStart w:id="102" w:name="_Toc25094"/>
      <w:bookmarkStart w:id="103" w:name="_Toc102227320"/>
      <w:bookmarkStart w:id="104" w:name="_Toc342913394"/>
      <w:r>
        <w:rPr>
          <w:rFonts w:hint="eastAsia" w:ascii="仿宋" w:hAnsi="仿宋" w:eastAsia="仿宋" w:cs="仿宋"/>
          <w:color w:val="000000"/>
          <w:sz w:val="24"/>
          <w:szCs w:val="24"/>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35D0636">
      <w:pPr>
        <w:pStyle w:val="5"/>
        <w:pageBreakBefore w:val="0"/>
        <w:widowControl w:val="0"/>
        <w:kinsoku/>
        <w:wordWrap/>
        <w:overflowPunct/>
        <w:topLinePunct w:val="0"/>
        <w:autoSpaceDE/>
        <w:autoSpaceDN/>
        <w:bidi w:val="0"/>
        <w:adjustRightInd/>
        <w:snapToGrid/>
        <w:spacing w:before="0" w:after="0" w:line="440" w:lineRule="exac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四</w:t>
      </w:r>
      <w:r>
        <w:rPr>
          <w:rFonts w:hint="eastAsia" w:ascii="仿宋" w:hAnsi="仿宋" w:eastAsia="仿宋" w:cs="仿宋"/>
          <w:color w:val="000000" w:themeColor="text1"/>
          <w:sz w:val="24"/>
          <w:szCs w:val="24"/>
          <w:highlight w:val="none"/>
          <w14:textFill>
            <w14:solidFill>
              <w14:schemeClr w14:val="tx1"/>
            </w14:solidFill>
          </w14:textFill>
        </w:rPr>
        <w:t>、响应无效</w:t>
      </w:r>
      <w:bookmarkEnd w:id="102"/>
    </w:p>
    <w:bookmarkEnd w:id="103"/>
    <w:bookmarkEnd w:id="104"/>
    <w:p w14:paraId="51CE9E5E">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供应商发生以下条款情况之一者，视为响应无效，其响应文件将被拒绝：</w:t>
      </w:r>
    </w:p>
    <w:p w14:paraId="2BEF9CA7">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（一）供应商不符合规定的基本资格条件或特定资格条件的；</w:t>
      </w:r>
    </w:p>
    <w:p w14:paraId="453E71E2">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（二）供应商所提交的响应文件不按第七篇“响应文件编制要求”规定签字、盖章；</w:t>
      </w:r>
    </w:p>
    <w:p w14:paraId="58D2C87C">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（三）供应商的报价超过采购预算或总价最高限价或单价最高限价的；</w:t>
      </w:r>
    </w:p>
    <w:p w14:paraId="08915C33">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（四）法定代表人为同一个人的两个及两个以上法人，母公司、全资子公司及其控股公司，在同一分包采购中同时参与网上竞采；</w:t>
      </w:r>
    </w:p>
    <w:p w14:paraId="0A6B0DED">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（六）供应商的平台报价与上传的网上电子响应文件报价函中的报价不一致的；</w:t>
      </w:r>
    </w:p>
    <w:p w14:paraId="00FD11EF">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（七）单位负责人为同一人或者存在直接控股、管理关系的不同供应商，参加同一合同项下的采购活动的；</w:t>
      </w:r>
    </w:p>
    <w:p w14:paraId="0941C9AD">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（八）为采购项目提供整体设计、规范编制或者项目管理、监理、检测等服务的供应商，再参加该采购项目的其他采购活动；</w:t>
      </w:r>
    </w:p>
    <w:p w14:paraId="1FD7862A">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（九）供应商的服务期、质量保证期及网上竞采有效期不满足网上竞采文件要求的；</w:t>
      </w:r>
    </w:p>
    <w:p w14:paraId="58DA46F8">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（十）供应商响应文件内容有与国家现行法律法规相违背的内容，或附有采购人无法接受的条件。</w:t>
      </w:r>
    </w:p>
    <w:p w14:paraId="1A3D7D92">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（十一）供应商被列入失信被执行人、税收违法黑名单、政府采购严重违法失信行为记录名单及其他不符合《中华人民共和国政府采购法》第二十二条规定条件的。</w:t>
      </w:r>
    </w:p>
    <w:p w14:paraId="735C511E">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采购人、采购代理机构将通过“信用中国”网站（www.creditchina.gov.cn)、中国政府采购网（www.ccgp.gov.cn）等渠道查询供应商信用记录，对列入失信被执行人、税收违法黑名单、政府采购严重违法失信行为记录名单及其他不符合《中华人民共和国政府采购法》第二十二条规定条件的供应商，应当拒绝其参与政府采购活动。</w:t>
      </w:r>
    </w:p>
    <w:p w14:paraId="3D712F56">
      <w:pPr>
        <w:pStyle w:val="5"/>
        <w:pageBreakBefore w:val="0"/>
        <w:widowControl w:val="0"/>
        <w:kinsoku/>
        <w:wordWrap/>
        <w:overflowPunct/>
        <w:topLinePunct w:val="0"/>
        <w:autoSpaceDE/>
        <w:autoSpaceDN/>
        <w:bidi w:val="0"/>
        <w:adjustRightInd/>
        <w:snapToGrid/>
        <w:spacing w:before="0" w:after="0" w:line="440" w:lineRule="exact"/>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105" w:name="_Toc18403"/>
      <w:bookmarkStart w:id="106" w:name="_Toc27425"/>
      <w:r>
        <w:rPr>
          <w:rFonts w:hint="eastAsia" w:ascii="仿宋" w:hAnsi="仿宋" w:eastAsia="仿宋" w:cs="仿宋"/>
          <w:color w:val="000000" w:themeColor="text1"/>
          <w:sz w:val="24"/>
          <w:szCs w:val="24"/>
          <w:highlight w:val="none"/>
          <w:lang w:val="en-US" w:eastAsia="zh-CN"/>
          <w14:textFill>
            <w14:solidFill>
              <w14:schemeClr w14:val="tx1"/>
            </w14:solidFill>
          </w14:textFill>
        </w:rPr>
        <w:t>五</w:t>
      </w:r>
      <w:r>
        <w:rPr>
          <w:rFonts w:hint="eastAsia" w:ascii="仿宋" w:hAnsi="仿宋" w:eastAsia="仿宋" w:cs="仿宋"/>
          <w:color w:val="000000" w:themeColor="text1"/>
          <w:sz w:val="24"/>
          <w:szCs w:val="24"/>
          <w:highlight w:val="none"/>
          <w14:textFill>
            <w14:solidFill>
              <w14:schemeClr w14:val="tx1"/>
            </w14:solidFill>
          </w14:textFill>
        </w:rPr>
        <w:t>、采购终止</w:t>
      </w:r>
      <w:bookmarkEnd w:id="105"/>
      <w:bookmarkEnd w:id="106"/>
    </w:p>
    <w:p w14:paraId="04B58572">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出现下列情形之一的，采购人或者采购代理机构应当终止网上竞采活动，发布项目终止公告并说明原因，重新开展采购活动：</w:t>
      </w:r>
    </w:p>
    <w:p w14:paraId="0D1A2338">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（一）因情况变化，不再符合规定的网上竞采采购方式适用情形的；</w:t>
      </w:r>
    </w:p>
    <w:p w14:paraId="619A16DD">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（二）出现影响采购公正的违法、违规行为的；</w:t>
      </w:r>
    </w:p>
    <w:p w14:paraId="0CD831D4">
      <w:pPr>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（三）通过资格性审查及符合性审查的供应商不足3家的，终止本次采购活动，并发布终止采购活动公告。</w:t>
      </w:r>
    </w:p>
    <w:p w14:paraId="4B01234F">
      <w:pPr>
        <w:pStyle w:val="4"/>
        <w:pageBreakBefore/>
        <w:spacing w:before="0" w:after="0" w:line="360" w:lineRule="auto"/>
        <w:jc w:val="center"/>
        <w:rPr>
          <w:rFonts w:hint="eastAsia" w:ascii="仿宋" w:hAnsi="仿宋" w:eastAsia="仿宋" w:cs="仿宋"/>
          <w:bCs/>
          <w:color w:val="auto"/>
          <w:spacing w:val="-11"/>
          <w:sz w:val="36"/>
          <w:szCs w:val="30"/>
          <w:highlight w:val="none"/>
        </w:rPr>
      </w:pPr>
      <w:bookmarkStart w:id="107" w:name="_Toc13753"/>
      <w:r>
        <w:rPr>
          <w:rFonts w:hint="eastAsia" w:ascii="仿宋" w:hAnsi="仿宋" w:eastAsia="仿宋" w:cs="仿宋"/>
          <w:bCs/>
          <w:color w:val="auto"/>
          <w:spacing w:val="-11"/>
          <w:sz w:val="36"/>
          <w:szCs w:val="30"/>
          <w:highlight w:val="none"/>
        </w:rPr>
        <w:t>第五篇供应商须知</w:t>
      </w:r>
      <w:bookmarkEnd w:id="60"/>
      <w:bookmarkEnd w:id="107"/>
    </w:p>
    <w:p w14:paraId="7479B5CE">
      <w:pPr>
        <w:pageBreakBefore w:val="0"/>
        <w:widowControl w:val="0"/>
        <w:kinsoku/>
        <w:wordWrap/>
        <w:overflowPunct/>
        <w:topLinePunct w:val="0"/>
        <w:autoSpaceDE/>
        <w:autoSpaceDN/>
        <w:bidi w:val="0"/>
        <w:snapToGrid w:val="0"/>
        <w:spacing w:line="440" w:lineRule="exact"/>
        <w:ind w:firstLine="482" w:firstLineChars="200"/>
        <w:textAlignment w:val="auto"/>
        <w:rPr>
          <w:rFonts w:hint="eastAsia" w:ascii="仿宋" w:hAnsi="仿宋" w:eastAsia="仿宋" w:cs="仿宋"/>
          <w:b/>
          <w:bCs/>
          <w:color w:val="auto"/>
          <w:sz w:val="24"/>
          <w:szCs w:val="24"/>
          <w:highlight w:val="none"/>
        </w:rPr>
      </w:pPr>
      <w:bookmarkStart w:id="108" w:name="_Toc11641055"/>
      <w:bookmarkStart w:id="109" w:name="_Toc12789059"/>
      <w:r>
        <w:rPr>
          <w:rFonts w:hint="eastAsia" w:ascii="仿宋" w:hAnsi="仿宋" w:eastAsia="仿宋" w:cs="仿宋"/>
          <w:b/>
          <w:bCs/>
          <w:color w:val="auto"/>
          <w:sz w:val="24"/>
          <w:szCs w:val="24"/>
          <w:highlight w:val="none"/>
        </w:rPr>
        <w:t>一、网上竞采费用</w:t>
      </w:r>
    </w:p>
    <w:p w14:paraId="75AB771B">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参与网上竞采的投标供应商应承担其编制响应文件与递交响应文件所涉及的一切费用，不论网上竞采结果如何，采购人和采购代理机构在任何情况下无义务也无责任承担这些费用。</w:t>
      </w:r>
    </w:p>
    <w:p w14:paraId="5C82A4CE">
      <w:pPr>
        <w:pageBreakBefore w:val="0"/>
        <w:widowControl w:val="0"/>
        <w:kinsoku/>
        <w:wordWrap/>
        <w:overflowPunct/>
        <w:topLinePunct w:val="0"/>
        <w:autoSpaceDE/>
        <w:autoSpaceDN/>
        <w:bidi w:val="0"/>
        <w:snapToGrid w:val="0"/>
        <w:spacing w:line="44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二、网上竞采文件</w:t>
      </w:r>
    </w:p>
    <w:p w14:paraId="6331114A">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（一）网上竞采文件由采购邀请书、采购项目技术需求、采购项目商务需求、网上竞采程序及方法、评审标准、响应无效和采购终止、投标供应商须知、合同主要条款和格式合同、响应文件编制要求七部分组成。</w:t>
      </w:r>
    </w:p>
    <w:p w14:paraId="0FF114AD">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（二）采购人（或采购代理机构）所作的一切有效的书面通知、修改及补充，都是网上竞采文件不可分割的部分。</w:t>
      </w:r>
    </w:p>
    <w:p w14:paraId="4F47C574">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（三）网上竞采文件的解释</w:t>
      </w:r>
    </w:p>
    <w:p w14:paraId="7B2B5D0B">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供应商如对网上竞采文件有疑问，必须以书面形式在提交响应文件截止时间2个工作日前向采购人（或采购代理机构）要求澄清，采购人（或采购代理机构）可视具体情况做出处理或答复。如投标供应商未提出疑问，视为完全理解并同意本网上竞采文件。一经进入网上竞采程序，即视为投标供应商已详细阅读全部文件资料，完全理解网上竞采文件所有条款内容并同意放弃对这方面有不明白及误解的权利。</w:t>
      </w:r>
    </w:p>
    <w:p w14:paraId="29595049">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（四）本网上竞采文件中，网上竞采小组根据与投标供应商进行网上竞采可能实质性变动的内容为网上竞采文件第二、三、四篇全部内容。</w:t>
      </w:r>
    </w:p>
    <w:p w14:paraId="0E356FEB">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（五）评审的依据为网上竞采文件和响应文件（含有效的书面承诺）。评审小组判断响应文件对网上竞采文件的响应，仅基于响应文件本身而不靠外部证据。</w:t>
      </w:r>
    </w:p>
    <w:p w14:paraId="30E0F750">
      <w:pPr>
        <w:pageBreakBefore w:val="0"/>
        <w:widowControl w:val="0"/>
        <w:kinsoku/>
        <w:wordWrap/>
        <w:overflowPunct/>
        <w:topLinePunct w:val="0"/>
        <w:autoSpaceDE/>
        <w:autoSpaceDN/>
        <w:bidi w:val="0"/>
        <w:snapToGrid w:val="0"/>
        <w:spacing w:line="44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三、网上竞采要求</w:t>
      </w:r>
    </w:p>
    <w:p w14:paraId="488C2ED4">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（一）响应文件</w:t>
      </w:r>
    </w:p>
    <w:p w14:paraId="213F8600">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1.投标供应商应当按照网上竞采文件的要求编制响应文件，并对网上竞采文件提出的要求和条件作出实质性响应，同时应编制完整的页码、目录。</w:t>
      </w:r>
    </w:p>
    <w:p w14:paraId="348FB593">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2.响应文件组成</w:t>
      </w:r>
    </w:p>
    <w:p w14:paraId="5CFF4E08">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文件由第七篇“响应文件编制要求”规定的部分和投标供应商所作的一切有效补充、修改和承诺等文件组成，投标供应商应按照第七篇“响应文件编制要求”规定的目录顺序组织编写和装订，也可在基本格式基础上对表格进行扩展，未规定格式的由投标供应商自定格式。</w:t>
      </w:r>
    </w:p>
    <w:p w14:paraId="478C7BF6">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3.供应商须对所提供资料的真实性和准确性负责，一旦发现有弄虚作假的情况，按相应法律法规予以处罚。</w:t>
      </w:r>
    </w:p>
    <w:p w14:paraId="2CC8C405">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（二）联合体</w:t>
      </w:r>
    </w:p>
    <w:p w14:paraId="15D1CA68">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本项目不接受联合体竞标。</w:t>
      </w:r>
    </w:p>
    <w:p w14:paraId="78EF1763">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（三）网上竞采有效期：响应文件及有关承诺文件有效期为提交响应文件截止时间起90天。</w:t>
      </w:r>
    </w:p>
    <w:p w14:paraId="68480F30">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（四）提交响应文件的份数和签署</w:t>
      </w:r>
    </w:p>
    <w:p w14:paraId="13415B2A">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供应商须在平台报价并上传盖章后的响应文件电子文档一份，线下竞采时提供响应文件一式二份，其中正本一份，副本一份（网上电子文档内容应与纸质文件正本、副本一致，如不一致以纸质文件为准，副本可为正本的复印件。）</w:t>
      </w:r>
    </w:p>
    <w:p w14:paraId="4BAF6C01">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注：若供应商的平台报价与网上上传的响应文件电子文档报价函中的报价不一致，按响应无效处理。</w:t>
      </w:r>
    </w:p>
    <w:p w14:paraId="13FA354B">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2.在上传的网上电子文档中，网上竞采文件第七篇响应文件编制要求中规定签字、盖章的地方必须按其规定签字、盖章。</w:t>
      </w:r>
    </w:p>
    <w:p w14:paraId="0D38A35B">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（五）响应文件的递交</w:t>
      </w:r>
    </w:p>
    <w:p w14:paraId="36C51EAF">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供应商须在规定时间内完成线上和线下的响应文件提交，否则视为无效响应。</w:t>
      </w:r>
    </w:p>
    <w:p w14:paraId="0E01CAA9">
      <w:pPr>
        <w:pageBreakBefore w:val="0"/>
        <w:widowControl w:val="0"/>
        <w:kinsoku/>
        <w:wordWrap/>
        <w:overflowPunct/>
        <w:topLinePunct w:val="0"/>
        <w:autoSpaceDE/>
        <w:autoSpaceDN/>
        <w:bidi w:val="0"/>
        <w:snapToGrid w:val="0"/>
        <w:spacing w:line="44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四、成交供应商的确认和变更</w:t>
      </w:r>
    </w:p>
    <w:p w14:paraId="0B9C8F61">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（一）成交供应商的确认</w:t>
      </w:r>
    </w:p>
    <w:p w14:paraId="625AA39D">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评审小组直接确定成交供应商。采购人逾期未确定成交供应商且不提出异议的，视为确定评审报告提出的排序第一的投标供应商为成交供应商。</w:t>
      </w:r>
    </w:p>
    <w:p w14:paraId="32F66DCA">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（二）成交供应商的变更</w:t>
      </w:r>
    </w:p>
    <w:p w14:paraId="26CCFC42">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成交供应商拒绝与采购人签订合同的，采购人可以按照评标报告推荐的成交候选供应商顺序，确定排名下一位的候选人为成交供应商，也可以重新开展采购活动。</w:t>
      </w:r>
    </w:p>
    <w:p w14:paraId="295F68A9">
      <w:pPr>
        <w:pageBreakBefore w:val="0"/>
        <w:widowControl w:val="0"/>
        <w:kinsoku/>
        <w:wordWrap/>
        <w:overflowPunct/>
        <w:topLinePunct w:val="0"/>
        <w:autoSpaceDE/>
        <w:autoSpaceDN/>
        <w:bidi w:val="0"/>
        <w:snapToGrid w:val="0"/>
        <w:spacing w:line="44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五、成交通知</w:t>
      </w:r>
    </w:p>
    <w:p w14:paraId="620C21C9">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（一）成交供应商确定后，采购人或采购代理机构将在秀山县小额交易管理平台竞采大厅（https://cqxs-mall.gec123.com/）上发布成交结果公告。</w:t>
      </w:r>
    </w:p>
    <w:p w14:paraId="4A5583EC">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（二）结果公告发出同时，采购代理机构将以书面形式发出《成交通知书》。《成交通知书》一经发出即发生法律效力。</w:t>
      </w:r>
    </w:p>
    <w:p w14:paraId="46849616">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（三）《成交通知书》将作为签订合同的依据。</w:t>
      </w:r>
    </w:p>
    <w:p w14:paraId="0CD69E6D">
      <w:pPr>
        <w:pageBreakBefore w:val="0"/>
        <w:widowControl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（四）如有投标供应商对成交结果提出质疑的，在质疑处理完毕后发出成交通知书。</w:t>
      </w:r>
    </w:p>
    <w:p w14:paraId="4241D9FA">
      <w:pPr>
        <w:pStyle w:val="5"/>
        <w:pageBreakBefore w:val="0"/>
        <w:widowControl w:val="0"/>
        <w:kinsoku/>
        <w:wordWrap/>
        <w:overflowPunct/>
        <w:topLinePunct w:val="0"/>
        <w:autoSpaceDE/>
        <w:autoSpaceDN/>
        <w:bidi w:val="0"/>
        <w:spacing w:before="0" w:after="0" w:line="440" w:lineRule="exact"/>
        <w:textAlignment w:val="auto"/>
        <w:rPr>
          <w:rFonts w:hint="eastAsia" w:ascii="仿宋" w:hAnsi="仿宋" w:eastAsia="仿宋" w:cs="仿宋"/>
          <w:color w:val="auto"/>
          <w:sz w:val="24"/>
          <w:szCs w:val="24"/>
          <w:highlight w:val="none"/>
        </w:rPr>
      </w:pPr>
      <w:bookmarkStart w:id="110" w:name="_Toc22361"/>
      <w:bookmarkStart w:id="111" w:name="_Toc19876"/>
      <w:r>
        <w:rPr>
          <w:rFonts w:hint="eastAsia" w:ascii="仿宋" w:hAnsi="仿宋" w:eastAsia="仿宋" w:cs="仿宋"/>
          <w:color w:val="auto"/>
          <w:sz w:val="24"/>
          <w:szCs w:val="24"/>
          <w:highlight w:val="none"/>
        </w:rPr>
        <w:t>六、采购代理服务费</w:t>
      </w:r>
      <w:bookmarkEnd w:id="110"/>
      <w:bookmarkEnd w:id="111"/>
    </w:p>
    <w:p w14:paraId="07F9BA05">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本次网上竞采由代理机构委托实施，</w:t>
      </w:r>
      <w:r>
        <w:rPr>
          <w:rFonts w:hint="eastAsia" w:ascii="仿宋" w:hAnsi="仿宋" w:eastAsia="仿宋" w:cs="仿宋"/>
          <w:color w:val="auto"/>
          <w:sz w:val="24"/>
          <w:highlight w:val="none"/>
          <w:lang w:val="en-US" w:eastAsia="zh-CN"/>
        </w:rPr>
        <w:t>本项目</w:t>
      </w:r>
      <w:r>
        <w:rPr>
          <w:rFonts w:hint="eastAsia" w:ascii="仿宋" w:hAnsi="仿宋" w:eastAsia="仿宋" w:cs="仿宋"/>
          <w:color w:val="auto"/>
          <w:sz w:val="24"/>
          <w:szCs w:val="24"/>
          <w:highlight w:val="none"/>
        </w:rPr>
        <w:t>采购</w:t>
      </w:r>
      <w:r>
        <w:rPr>
          <w:rFonts w:hint="eastAsia" w:ascii="仿宋" w:hAnsi="仿宋" w:eastAsia="仿宋" w:cs="仿宋"/>
          <w:color w:val="auto"/>
          <w:sz w:val="24"/>
          <w:highlight w:val="none"/>
        </w:rPr>
        <w:t>代理服务费</w:t>
      </w:r>
      <w:r>
        <w:rPr>
          <w:rFonts w:hint="eastAsia" w:ascii="仿宋" w:hAnsi="仿宋" w:eastAsia="仿宋" w:cs="仿宋"/>
          <w:color w:val="auto"/>
          <w:sz w:val="24"/>
          <w:highlight w:val="none"/>
          <w:lang w:val="en-US" w:eastAsia="zh-CN"/>
        </w:rPr>
        <w:t>为人民币</w:t>
      </w:r>
      <w:r>
        <w:rPr>
          <w:rFonts w:hint="eastAsia" w:ascii="仿宋" w:hAnsi="仿宋" w:eastAsia="仿宋" w:cs="仿宋"/>
          <w:color w:val="auto"/>
          <w:sz w:val="24"/>
          <w:highlight w:val="none"/>
          <w:u w:val="single"/>
          <w:lang w:val="en-US" w:eastAsia="zh-CN"/>
        </w:rPr>
        <w:t>：4000元整</w:t>
      </w:r>
      <w:r>
        <w:rPr>
          <w:rFonts w:hint="eastAsia" w:ascii="仿宋" w:hAnsi="仿宋" w:eastAsia="仿宋" w:cs="仿宋"/>
          <w:color w:val="auto"/>
          <w:sz w:val="24"/>
          <w:szCs w:val="24"/>
          <w:highlight w:val="none"/>
        </w:rPr>
        <w:t>，由成交供应商在领取成交通知书时一次性向代理机构缴纳。</w:t>
      </w:r>
    </w:p>
    <w:p w14:paraId="1C82FC93">
      <w:pPr>
        <w:pStyle w:val="5"/>
        <w:pageBreakBefore w:val="0"/>
        <w:widowControl w:val="0"/>
        <w:kinsoku/>
        <w:wordWrap/>
        <w:overflowPunct/>
        <w:topLinePunct w:val="0"/>
        <w:autoSpaceDE/>
        <w:autoSpaceDN/>
        <w:bidi w:val="0"/>
        <w:spacing w:before="0" w:after="0" w:line="440" w:lineRule="exact"/>
        <w:textAlignment w:val="auto"/>
        <w:rPr>
          <w:rFonts w:hint="eastAsia" w:ascii="仿宋" w:hAnsi="仿宋" w:eastAsia="仿宋" w:cs="仿宋"/>
          <w:color w:val="auto"/>
          <w:sz w:val="24"/>
          <w:szCs w:val="24"/>
          <w:highlight w:val="none"/>
        </w:rPr>
      </w:pPr>
      <w:bookmarkStart w:id="112" w:name="_Toc11155"/>
      <w:bookmarkStart w:id="113" w:name="_Toc1096"/>
      <w:r>
        <w:rPr>
          <w:rFonts w:hint="eastAsia" w:ascii="仿宋" w:hAnsi="仿宋" w:eastAsia="仿宋" w:cs="仿宋"/>
          <w:color w:val="auto"/>
          <w:sz w:val="24"/>
          <w:szCs w:val="24"/>
          <w:highlight w:val="none"/>
        </w:rPr>
        <w:t>七、关于质疑和投诉</w:t>
      </w:r>
      <w:bookmarkEnd w:id="112"/>
      <w:bookmarkEnd w:id="113"/>
    </w:p>
    <w:p w14:paraId="6F16CB6A">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（一）质疑</w:t>
      </w:r>
    </w:p>
    <w:p w14:paraId="42CD6555">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投标供应商认为采购文件、采购过程和成交结果使自己的权益受到伤害的，可向采购人或采购代理机构以书面形式提出质疑。</w:t>
      </w:r>
    </w:p>
    <w:p w14:paraId="364D43A4">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提出质疑的应当是参与所质疑项目采购活动的投标供应商。</w:t>
      </w:r>
    </w:p>
    <w:p w14:paraId="742ECAA5">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1.质疑时限、内容</w:t>
      </w:r>
    </w:p>
    <w:p w14:paraId="7F5916BE">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1.1投标供应商认为采购文件、采购过程、成交结果使自己的权益受到损害的，可以在知道或者应知其权益受到损害之日起7个工作日内，以书面形式向采购人、采购代理机构提出质疑。</w:t>
      </w:r>
    </w:p>
    <w:p w14:paraId="14CF291A">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1.2投标供应商对采购过程提出质疑的，应在各采购程序环节结束之日起七个工作日内提出。</w:t>
      </w:r>
    </w:p>
    <w:p w14:paraId="21575D1F">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1.3投标供应商对成交结果提出质疑的，应当在成交结果公告期限届满之日起七个工作日内提出。</w:t>
      </w:r>
    </w:p>
    <w:p w14:paraId="14CE7E58">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1.4投标供应商提出质疑应当提交质疑函和必要的证明材料，质疑函应当包括下列内容：</w:t>
      </w:r>
    </w:p>
    <w:p w14:paraId="7A5E3378">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1.4.1投标供应商的姓名或者名称、地址、邮编、联系人及联系电话；</w:t>
      </w:r>
    </w:p>
    <w:p w14:paraId="6B6FDEB6">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1.4.2质疑项目的名称、项目号以及项目编号；</w:t>
      </w:r>
    </w:p>
    <w:p w14:paraId="4BA23B19">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1.4.3具体、明确的质疑事项和与质疑事项相关的请求；</w:t>
      </w:r>
    </w:p>
    <w:p w14:paraId="4899A631">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1.4.4事实依据；</w:t>
      </w:r>
    </w:p>
    <w:p w14:paraId="34854B10">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1.4.5必要的法律依据；</w:t>
      </w:r>
    </w:p>
    <w:p w14:paraId="1A599CCF">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1.4.6提出质疑的日期；</w:t>
      </w:r>
    </w:p>
    <w:p w14:paraId="57BD86EA">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1.4.7营业执照（或事业单位法人证书，或个体工商户营业执照或有效的自然人身份证明、组织机构代码证）复印件；</w:t>
      </w:r>
    </w:p>
    <w:p w14:paraId="5F2E9AF8">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1.4.8法定代表人授权委托书原件、法定代表人身份证复印件和其授权代表的身份证复印件（投标供应商为自然人的提供自然人身份证复印件）；</w:t>
      </w:r>
    </w:p>
    <w:p w14:paraId="356B94B5">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1.5投标供应商为自然人的，质疑函应当由本人签字；投标供应商为法人或者其他组织的，质疑函应当由法定代表人、主要负责人，或者其授权代表签字或者盖章，并加盖公章。</w:t>
      </w:r>
    </w:p>
    <w:p w14:paraId="50DF26C5">
      <w:pPr>
        <w:pageBreakBefore w:val="0"/>
        <w:widowControl w:val="0"/>
        <w:kinsoku/>
        <w:wordWrap/>
        <w:overflowPunct/>
        <w:topLinePunct w:val="0"/>
        <w:autoSpaceDE/>
        <w:autoSpaceDN/>
        <w:bidi w:val="0"/>
        <w:spacing w:line="44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2.质疑答复</w:t>
      </w:r>
    </w:p>
    <w:p w14:paraId="4E82BF1D">
      <w:pPr>
        <w:pageBreakBefore w:val="0"/>
        <w:widowControl w:val="0"/>
        <w:kinsoku/>
        <w:wordWrap/>
        <w:overflowPunct/>
        <w:topLinePunct w:val="0"/>
        <w:autoSpaceDE/>
        <w:autoSpaceDN/>
        <w:bidi w:val="0"/>
        <w:adjustRightInd/>
        <w:snapToGrid/>
        <w:spacing w:line="42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采购人、采购代理机构应当在收到投标供应商的书面质疑后七个工作日内作出答复，并以书面形式通知质疑投标供应商和其他有关投标供应商。</w:t>
      </w:r>
    </w:p>
    <w:p w14:paraId="78B32127">
      <w:pPr>
        <w:pageBreakBefore w:val="0"/>
        <w:widowControl w:val="0"/>
        <w:kinsoku/>
        <w:wordWrap/>
        <w:overflowPunct/>
        <w:topLinePunct w:val="0"/>
        <w:autoSpaceDE/>
        <w:autoSpaceDN/>
        <w:bidi w:val="0"/>
        <w:adjustRightInd/>
        <w:snapToGrid/>
        <w:spacing w:line="42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3.其他</w:t>
      </w:r>
    </w:p>
    <w:p w14:paraId="52626173">
      <w:pPr>
        <w:pageBreakBefore w:val="0"/>
        <w:widowControl w:val="0"/>
        <w:kinsoku/>
        <w:wordWrap/>
        <w:overflowPunct/>
        <w:topLinePunct w:val="0"/>
        <w:autoSpaceDE/>
        <w:autoSpaceDN/>
        <w:bidi w:val="0"/>
        <w:adjustRightInd/>
        <w:snapToGrid/>
        <w:spacing w:line="42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3.1投标供应商应按照《政府采购质疑和投诉办法》（财政部令第94号）及相关法律法规要求，在法定质疑期内一次性提出针对同一采购程序环节的质疑。</w:t>
      </w:r>
    </w:p>
    <w:p w14:paraId="5BAFB6AB">
      <w:pPr>
        <w:pageBreakBefore w:val="0"/>
        <w:widowControl w:val="0"/>
        <w:kinsoku/>
        <w:wordWrap/>
        <w:overflowPunct/>
        <w:topLinePunct w:val="0"/>
        <w:autoSpaceDE/>
        <w:autoSpaceDN/>
        <w:bidi w:val="0"/>
        <w:adjustRightInd/>
        <w:snapToGrid/>
        <w:spacing w:line="42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3.2质疑函范本可在财政部门户网站和中国政府采购网下载。</w:t>
      </w:r>
    </w:p>
    <w:p w14:paraId="361D3A78">
      <w:pPr>
        <w:pageBreakBefore w:val="0"/>
        <w:widowControl w:val="0"/>
        <w:kinsoku/>
        <w:wordWrap/>
        <w:overflowPunct/>
        <w:topLinePunct w:val="0"/>
        <w:autoSpaceDE/>
        <w:autoSpaceDN/>
        <w:bidi w:val="0"/>
        <w:adjustRightInd/>
        <w:snapToGrid/>
        <w:spacing w:line="42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w:t>
      </w:r>
    </w:p>
    <w:p w14:paraId="254A62CA">
      <w:pPr>
        <w:pageBreakBefore w:val="0"/>
        <w:widowControl w:val="0"/>
        <w:kinsoku/>
        <w:wordWrap/>
        <w:overflowPunct/>
        <w:topLinePunct w:val="0"/>
        <w:autoSpaceDE/>
        <w:autoSpaceDN/>
        <w:bidi w:val="0"/>
        <w:adjustRightInd/>
        <w:snapToGrid/>
        <w:spacing w:line="420" w:lineRule="exact"/>
        <w:ind w:right="12" w:firstLine="480"/>
        <w:textAlignment w:val="auto"/>
        <w:rPr>
          <w:rFonts w:hint="eastAsia" w:ascii="仿宋" w:hAnsi="仿宋" w:eastAsia="仿宋" w:cs="仿宋"/>
          <w:color w:val="auto"/>
          <w:sz w:val="24"/>
          <w:highlight w:val="none"/>
        </w:rPr>
      </w:pPr>
      <w:bookmarkStart w:id="114" w:name="_Toc102227322"/>
      <w:bookmarkStart w:id="115" w:name="_Toc342913396"/>
      <w:bookmarkStart w:id="116" w:name="_Toc3031"/>
      <w:r>
        <w:rPr>
          <w:rFonts w:hint="eastAsia" w:ascii="仿宋" w:hAnsi="仿宋" w:eastAsia="仿宋" w:cs="仿宋"/>
          <w:color w:val="auto"/>
          <w:sz w:val="24"/>
          <w:highlight w:val="none"/>
        </w:rPr>
        <w:t>1.投标供应商对采购人、采购代理机构的答复不满意，或者采购人、采购代理机构未在规定时间内作出答复的，可以在答复期满后15个工作日内按照相关法律法规向采购人监督部门提起投诉。</w:t>
      </w:r>
    </w:p>
    <w:p w14:paraId="02282E5A">
      <w:pPr>
        <w:pageBreakBefore w:val="0"/>
        <w:widowControl w:val="0"/>
        <w:kinsoku/>
        <w:wordWrap/>
        <w:overflowPunct/>
        <w:topLinePunct w:val="0"/>
        <w:autoSpaceDE/>
        <w:autoSpaceDN/>
        <w:bidi w:val="0"/>
        <w:adjustRightInd/>
        <w:snapToGrid/>
        <w:spacing w:line="42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2.投标供应商应按照《政府采购质疑和投诉办法》（财政部令第94号）及相关法律法规要求递交投诉书和必要的证明材料。投诉书范本可在财政部门户网站和中国政府采购网下载。</w:t>
      </w:r>
    </w:p>
    <w:p w14:paraId="15E321C7">
      <w:pPr>
        <w:pageBreakBefore w:val="0"/>
        <w:widowControl w:val="0"/>
        <w:kinsoku/>
        <w:wordWrap/>
        <w:overflowPunct/>
        <w:topLinePunct w:val="0"/>
        <w:autoSpaceDE/>
        <w:autoSpaceDN/>
        <w:bidi w:val="0"/>
        <w:adjustRightInd/>
        <w:snapToGrid/>
        <w:spacing w:line="42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书应当使用中文，相关当事人提供外文书证或者外国语视听资料的，应当附有中文译本，由翻译机构盖章或者翻译人员签名；相关当事人向采购人监督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45DAF47A">
      <w:pPr>
        <w:pageBreakBefore w:val="0"/>
        <w:widowControl w:val="0"/>
        <w:kinsoku/>
        <w:wordWrap/>
        <w:overflowPunct/>
        <w:topLinePunct w:val="0"/>
        <w:autoSpaceDE/>
        <w:autoSpaceDN/>
        <w:bidi w:val="0"/>
        <w:adjustRightInd/>
        <w:snapToGrid/>
        <w:spacing w:line="420" w:lineRule="exact"/>
        <w:ind w:right="12"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4.在确定受理投诉后，监督部门自受理投诉之日起30个工作日内（需要检验、检测、鉴定、专家评审以及需要投诉人补正材料的，所需时间不计算在投诉处理期限内）对投诉事项做出处理决定。</w:t>
      </w:r>
    </w:p>
    <w:p w14:paraId="4BBC75C6">
      <w:pPr>
        <w:pStyle w:val="5"/>
        <w:pageBreakBefore w:val="0"/>
        <w:widowControl w:val="0"/>
        <w:kinsoku/>
        <w:wordWrap/>
        <w:overflowPunct/>
        <w:topLinePunct w:val="0"/>
        <w:autoSpaceDE/>
        <w:autoSpaceDN/>
        <w:bidi w:val="0"/>
        <w:adjustRightInd/>
        <w:snapToGrid/>
        <w:spacing w:before="0" w:after="0" w:line="420" w:lineRule="exact"/>
        <w:textAlignment w:val="auto"/>
        <w:rPr>
          <w:rFonts w:hint="eastAsia" w:ascii="仿宋" w:hAnsi="仿宋" w:eastAsia="仿宋" w:cs="仿宋"/>
          <w:color w:val="auto"/>
          <w:sz w:val="24"/>
          <w:szCs w:val="24"/>
          <w:highlight w:val="none"/>
        </w:rPr>
      </w:pPr>
      <w:bookmarkStart w:id="117" w:name="_Toc9469"/>
      <w:r>
        <w:rPr>
          <w:rFonts w:hint="eastAsia" w:ascii="仿宋" w:hAnsi="仿宋" w:eastAsia="仿宋" w:cs="仿宋"/>
          <w:color w:val="auto"/>
          <w:sz w:val="24"/>
          <w:szCs w:val="24"/>
          <w:highlight w:val="none"/>
        </w:rPr>
        <w:t>八、签订</w:t>
      </w:r>
      <w:bookmarkEnd w:id="114"/>
      <w:r>
        <w:rPr>
          <w:rFonts w:hint="eastAsia" w:ascii="仿宋" w:hAnsi="仿宋" w:eastAsia="仿宋" w:cs="仿宋"/>
          <w:color w:val="auto"/>
          <w:sz w:val="24"/>
          <w:szCs w:val="24"/>
          <w:highlight w:val="none"/>
        </w:rPr>
        <w:t>合同</w:t>
      </w:r>
      <w:bookmarkEnd w:id="115"/>
      <w:bookmarkEnd w:id="116"/>
      <w:bookmarkEnd w:id="117"/>
    </w:p>
    <w:p w14:paraId="22C309EF">
      <w:pPr>
        <w:pageBreakBefore w:val="0"/>
        <w:widowControl w:val="0"/>
        <w:kinsoku/>
        <w:wordWrap/>
        <w:overflowPunct/>
        <w:topLinePunct w:val="0"/>
        <w:autoSpaceDE/>
        <w:autoSpaceDN/>
        <w:bidi w:val="0"/>
        <w:adjustRightInd/>
        <w:snapToGrid/>
        <w:spacing w:line="420" w:lineRule="exact"/>
        <w:ind w:firstLine="360" w:firstLineChars="1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（一）采购人应当自成交通知书发出之日起二十日内，按照网上竞采文件和成交供应商响应文件的约定，与成交供应商签订书面合同。所签订的合同不得对网上竞采文件和投标供应商的响应文件作实质性修改。</w:t>
      </w:r>
    </w:p>
    <w:p w14:paraId="4A4A94D2">
      <w:pPr>
        <w:pageBreakBefore w:val="0"/>
        <w:widowControl w:val="0"/>
        <w:kinsoku/>
        <w:wordWrap/>
        <w:overflowPunct/>
        <w:topLinePunct w:val="0"/>
        <w:autoSpaceDE/>
        <w:autoSpaceDN/>
        <w:bidi w:val="0"/>
        <w:adjustRightInd/>
        <w:snapToGrid/>
        <w:spacing w:line="420" w:lineRule="exact"/>
        <w:ind w:firstLine="360" w:firstLineChars="1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（二）网上竞采文件、投标供应商的响应文件及澄清文件等，均为签订采购合同的依据。</w:t>
      </w:r>
    </w:p>
    <w:p w14:paraId="5A966B83">
      <w:pPr>
        <w:pageBreakBefore w:val="0"/>
        <w:widowControl w:val="0"/>
        <w:kinsoku/>
        <w:wordWrap/>
        <w:overflowPunct/>
        <w:topLinePunct w:val="0"/>
        <w:autoSpaceDE/>
        <w:autoSpaceDN/>
        <w:bidi w:val="0"/>
        <w:adjustRightInd/>
        <w:snapToGrid/>
        <w:spacing w:line="420" w:lineRule="exact"/>
        <w:ind w:firstLine="360" w:firstLineChars="1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（三）合同生效条款由供需双方约定，法律、行政法规规定应当办理批准、登记等手续后生效的合同，依照其规定。</w:t>
      </w:r>
    </w:p>
    <w:p w14:paraId="19FE33AE">
      <w:pPr>
        <w:pageBreakBefore w:val="0"/>
        <w:widowControl w:val="0"/>
        <w:kinsoku/>
        <w:wordWrap/>
        <w:overflowPunct/>
        <w:topLinePunct w:val="0"/>
        <w:autoSpaceDE/>
        <w:autoSpaceDN/>
        <w:bidi w:val="0"/>
        <w:adjustRightInd/>
        <w:snapToGrid/>
        <w:spacing w:line="420" w:lineRule="exact"/>
        <w:ind w:firstLine="360" w:firstLineChars="1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（四）合同原则上应按照《采购合同》签订，相关单位</w:t>
      </w:r>
      <w:r>
        <w:rPr>
          <w:rFonts w:hint="eastAsia" w:ascii="仿宋" w:hAnsi="仿宋" w:eastAsia="仿宋" w:cs="仿宋"/>
          <w:color w:val="auto"/>
          <w:sz w:val="24"/>
          <w:szCs w:val="24"/>
          <w:highlight w:val="none"/>
          <w:lang w:val="en-US" w:eastAsia="zh-CN"/>
        </w:rPr>
        <w:t>或采购人</w:t>
      </w:r>
      <w:r>
        <w:rPr>
          <w:rFonts w:hint="eastAsia" w:ascii="仿宋" w:hAnsi="仿宋" w:eastAsia="仿宋" w:cs="仿宋"/>
          <w:color w:val="auto"/>
          <w:sz w:val="24"/>
          <w:szCs w:val="24"/>
          <w:highlight w:val="none"/>
        </w:rPr>
        <w:t>要求适用合同通用格式版本的，应按其要求另行签订其他合同。</w:t>
      </w:r>
    </w:p>
    <w:p w14:paraId="3645EE99">
      <w:pPr>
        <w:pageBreakBefore w:val="0"/>
        <w:widowControl w:val="0"/>
        <w:kinsoku/>
        <w:wordWrap/>
        <w:overflowPunct/>
        <w:topLinePunct w:val="0"/>
        <w:autoSpaceDE/>
        <w:autoSpaceDN/>
        <w:bidi w:val="0"/>
        <w:adjustRightInd/>
        <w:snapToGrid/>
        <w:spacing w:line="420" w:lineRule="exact"/>
        <w:ind w:firstLine="360" w:firstLineChars="150"/>
        <w:textAlignment w:val="auto"/>
        <w:rPr>
          <w:rFonts w:hint="eastAsia" w:ascii="仿宋" w:hAnsi="仿宋" w:eastAsia="仿宋" w:cs="仿宋"/>
          <w:b w:val="0"/>
          <w:color w:val="auto"/>
          <w:kern w:val="0"/>
          <w:sz w:val="24"/>
          <w:szCs w:val="24"/>
          <w:highlight w:val="none"/>
          <w:lang w:val="en-US" w:eastAsia="zh-CN" w:bidi="ar-SA"/>
        </w:rPr>
      </w:pPr>
      <w:r>
        <w:rPr>
          <w:rFonts w:hint="eastAsia" w:ascii="仿宋" w:hAnsi="仿宋" w:eastAsia="仿宋" w:cs="仿宋"/>
          <w:color w:val="auto"/>
          <w:sz w:val="24"/>
          <w:szCs w:val="24"/>
          <w:highlight w:val="none"/>
        </w:rPr>
        <w:t>（五）采购人要求成交供应商提供履约保证金的，应当在网上竞采文件中予以约定。成交供应商履约完毕后，采购人应于五日内无息退还其履约保证金。</w:t>
      </w:r>
    </w:p>
    <w:p w14:paraId="1AE3C033">
      <w:pPr>
        <w:spacing w:line="360" w:lineRule="auto"/>
        <w:ind w:firstLine="360" w:firstLineChars="150"/>
        <w:rPr>
          <w:rFonts w:hint="eastAsia" w:ascii="仿宋" w:hAnsi="仿宋" w:eastAsia="仿宋" w:cs="仿宋"/>
          <w:color w:val="auto"/>
          <w:sz w:val="24"/>
          <w:szCs w:val="24"/>
          <w:highlight w:val="none"/>
        </w:rPr>
      </w:pPr>
    </w:p>
    <w:bookmarkEnd w:id="108"/>
    <w:bookmarkEnd w:id="109"/>
    <w:p w14:paraId="1404D45F">
      <w:pPr>
        <w:jc w:val="center"/>
        <w:rPr>
          <w:rFonts w:hint="eastAsia" w:ascii="仿宋" w:hAnsi="仿宋" w:eastAsia="仿宋" w:cs="仿宋"/>
          <w:color w:val="auto"/>
          <w:sz w:val="36"/>
          <w:szCs w:val="30"/>
          <w:highlight w:val="none"/>
        </w:rPr>
      </w:pPr>
      <w:bookmarkStart w:id="118" w:name="_Toc27139866"/>
      <w:bookmarkStart w:id="119" w:name="_Toc4239"/>
    </w:p>
    <w:p w14:paraId="5CCD66AA">
      <w:pPr>
        <w:jc w:val="center"/>
        <w:rPr>
          <w:rFonts w:hint="eastAsia" w:ascii="仿宋" w:hAnsi="仿宋" w:eastAsia="仿宋" w:cs="仿宋"/>
          <w:b/>
          <w:highlight w:val="none"/>
        </w:rPr>
      </w:pPr>
      <w:r>
        <w:rPr>
          <w:rFonts w:hint="eastAsia" w:ascii="仿宋" w:hAnsi="仿宋" w:eastAsia="仿宋" w:cs="仿宋"/>
          <w:color w:val="auto"/>
          <w:sz w:val="36"/>
          <w:szCs w:val="30"/>
          <w:highlight w:val="none"/>
        </w:rPr>
        <w:t>第六篇</w:t>
      </w:r>
      <w:bookmarkEnd w:id="118"/>
      <w:bookmarkEnd w:id="119"/>
      <w:r>
        <w:rPr>
          <w:rFonts w:hint="eastAsia" w:ascii="仿宋" w:hAnsi="仿宋" w:eastAsia="仿宋" w:cs="仿宋"/>
          <w:color w:val="auto"/>
          <w:sz w:val="36"/>
          <w:szCs w:val="30"/>
          <w:highlight w:val="none"/>
          <w:lang w:val="en-US" w:eastAsia="zh-CN"/>
        </w:rPr>
        <w:t xml:space="preserve">  </w:t>
      </w:r>
      <w:r>
        <w:rPr>
          <w:rFonts w:hint="eastAsia" w:ascii="仿宋" w:hAnsi="仿宋" w:eastAsia="仿宋" w:cs="仿宋"/>
          <w:b/>
          <w:sz w:val="36"/>
          <w:szCs w:val="22"/>
          <w:highlight w:val="none"/>
        </w:rPr>
        <w:t>合同主要条款和格式合同（样本）</w:t>
      </w:r>
    </w:p>
    <w:p w14:paraId="53923863">
      <w:pPr>
        <w:spacing w:line="5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重庆市政府采购合同</w:t>
      </w:r>
    </w:p>
    <w:p w14:paraId="2BE1B019">
      <w:pPr>
        <w:spacing w:line="5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（项目号：     ）</w:t>
      </w:r>
    </w:p>
    <w:p w14:paraId="518DC2CE">
      <w:pPr>
        <w:spacing w:line="5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甲方（需方）：___________________________      计价单位：____________</w:t>
      </w:r>
    </w:p>
    <w:p w14:paraId="286FB6E3">
      <w:pPr>
        <w:spacing w:line="5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乙方（供方）：___________________________      计量单位：_____________</w:t>
      </w:r>
    </w:p>
    <w:p w14:paraId="1FA41B02">
      <w:pPr>
        <w:spacing w:line="500" w:lineRule="exact"/>
        <w:rPr>
          <w:rFonts w:hint="eastAsia" w:ascii="仿宋" w:hAnsi="仿宋" w:eastAsia="仿宋" w:cs="仿宋"/>
          <w:color w:val="auto"/>
          <w:sz w:val="24"/>
          <w:szCs w:val="24"/>
          <w:highlight w:val="none"/>
        </w:rPr>
      </w:pPr>
    </w:p>
    <w:p w14:paraId="452BEF06">
      <w:pPr>
        <w:spacing w:line="5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经双方协商一致，达成以下购销合同：</w:t>
      </w:r>
    </w:p>
    <w:tbl>
      <w:tblPr>
        <w:tblStyle w:val="63"/>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589"/>
        <w:gridCol w:w="709"/>
        <w:gridCol w:w="1134"/>
        <w:gridCol w:w="1559"/>
        <w:gridCol w:w="1567"/>
        <w:gridCol w:w="15"/>
      </w:tblGrid>
      <w:tr w14:paraId="6329D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vAlign w:val="center"/>
          </w:tcPr>
          <w:p w14:paraId="654956FE">
            <w:pPr>
              <w:spacing w:line="240" w:lineRule="atLeas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磋商项目名称</w:t>
            </w:r>
          </w:p>
        </w:tc>
        <w:tc>
          <w:tcPr>
            <w:tcW w:w="984" w:type="dxa"/>
            <w:vAlign w:val="center"/>
          </w:tcPr>
          <w:p w14:paraId="46549393">
            <w:pPr>
              <w:spacing w:line="240" w:lineRule="atLeas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8" w:type="dxa"/>
            <w:gridSpan w:val="2"/>
            <w:vAlign w:val="center"/>
          </w:tcPr>
          <w:p w14:paraId="6E9C0E48">
            <w:pPr>
              <w:spacing w:line="240" w:lineRule="atLeas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综合单价</w:t>
            </w:r>
          </w:p>
        </w:tc>
        <w:tc>
          <w:tcPr>
            <w:tcW w:w="1134" w:type="dxa"/>
            <w:vAlign w:val="center"/>
          </w:tcPr>
          <w:p w14:paraId="65468290">
            <w:pPr>
              <w:spacing w:line="240" w:lineRule="atLeas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总价</w:t>
            </w:r>
          </w:p>
        </w:tc>
        <w:tc>
          <w:tcPr>
            <w:tcW w:w="1559" w:type="dxa"/>
            <w:vAlign w:val="center"/>
          </w:tcPr>
          <w:p w14:paraId="44C123AC">
            <w:pPr>
              <w:spacing w:line="240" w:lineRule="atLeas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服务时间</w:t>
            </w:r>
          </w:p>
        </w:tc>
        <w:tc>
          <w:tcPr>
            <w:tcW w:w="1567" w:type="dxa"/>
            <w:vAlign w:val="center"/>
          </w:tcPr>
          <w:p w14:paraId="29F15F0B">
            <w:pPr>
              <w:spacing w:line="240" w:lineRule="atLeas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服务地点</w:t>
            </w:r>
          </w:p>
        </w:tc>
      </w:tr>
      <w:tr w14:paraId="43394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vAlign w:val="center"/>
          </w:tcPr>
          <w:p w14:paraId="16BAE0B4">
            <w:pPr>
              <w:spacing w:line="240" w:lineRule="atLeast"/>
              <w:jc w:val="center"/>
              <w:rPr>
                <w:rFonts w:hint="eastAsia" w:ascii="仿宋" w:hAnsi="仿宋" w:eastAsia="仿宋" w:cs="仿宋"/>
                <w:color w:val="auto"/>
                <w:sz w:val="24"/>
                <w:szCs w:val="24"/>
                <w:highlight w:val="none"/>
              </w:rPr>
            </w:pPr>
          </w:p>
        </w:tc>
        <w:tc>
          <w:tcPr>
            <w:tcW w:w="984" w:type="dxa"/>
            <w:vAlign w:val="center"/>
          </w:tcPr>
          <w:p w14:paraId="5CE8738F">
            <w:pPr>
              <w:spacing w:line="240" w:lineRule="atLeast"/>
              <w:jc w:val="center"/>
              <w:rPr>
                <w:rFonts w:hint="eastAsia" w:ascii="仿宋" w:hAnsi="仿宋" w:eastAsia="仿宋" w:cs="仿宋"/>
                <w:color w:val="auto"/>
                <w:sz w:val="24"/>
                <w:szCs w:val="24"/>
                <w:highlight w:val="none"/>
              </w:rPr>
            </w:pPr>
          </w:p>
        </w:tc>
        <w:tc>
          <w:tcPr>
            <w:tcW w:w="1298" w:type="dxa"/>
            <w:gridSpan w:val="2"/>
            <w:vAlign w:val="center"/>
          </w:tcPr>
          <w:p w14:paraId="481B83F5">
            <w:pPr>
              <w:spacing w:line="240" w:lineRule="atLeast"/>
              <w:jc w:val="center"/>
              <w:rPr>
                <w:rFonts w:hint="eastAsia" w:ascii="仿宋" w:hAnsi="仿宋" w:eastAsia="仿宋" w:cs="仿宋"/>
                <w:color w:val="auto"/>
                <w:sz w:val="24"/>
                <w:szCs w:val="24"/>
                <w:highlight w:val="none"/>
              </w:rPr>
            </w:pPr>
          </w:p>
        </w:tc>
        <w:tc>
          <w:tcPr>
            <w:tcW w:w="1134" w:type="dxa"/>
            <w:vAlign w:val="center"/>
          </w:tcPr>
          <w:p w14:paraId="12BE9371">
            <w:pPr>
              <w:spacing w:line="240" w:lineRule="atLeast"/>
              <w:jc w:val="center"/>
              <w:rPr>
                <w:rFonts w:hint="eastAsia" w:ascii="仿宋" w:hAnsi="仿宋" w:eastAsia="仿宋" w:cs="仿宋"/>
                <w:color w:val="auto"/>
                <w:sz w:val="24"/>
                <w:szCs w:val="24"/>
                <w:highlight w:val="none"/>
              </w:rPr>
            </w:pPr>
          </w:p>
        </w:tc>
        <w:tc>
          <w:tcPr>
            <w:tcW w:w="1559" w:type="dxa"/>
            <w:vAlign w:val="center"/>
          </w:tcPr>
          <w:p w14:paraId="555211E5">
            <w:pPr>
              <w:spacing w:line="240" w:lineRule="atLeast"/>
              <w:jc w:val="center"/>
              <w:rPr>
                <w:rFonts w:hint="eastAsia" w:ascii="仿宋" w:hAnsi="仿宋" w:eastAsia="仿宋" w:cs="仿宋"/>
                <w:color w:val="auto"/>
                <w:sz w:val="24"/>
                <w:szCs w:val="24"/>
                <w:highlight w:val="none"/>
              </w:rPr>
            </w:pPr>
          </w:p>
        </w:tc>
        <w:tc>
          <w:tcPr>
            <w:tcW w:w="1567" w:type="dxa"/>
            <w:vAlign w:val="center"/>
          </w:tcPr>
          <w:p w14:paraId="7114DC13">
            <w:pPr>
              <w:spacing w:line="240" w:lineRule="atLeast"/>
              <w:jc w:val="center"/>
              <w:rPr>
                <w:rFonts w:hint="eastAsia" w:ascii="仿宋" w:hAnsi="仿宋" w:eastAsia="仿宋" w:cs="仿宋"/>
                <w:color w:val="auto"/>
                <w:sz w:val="24"/>
                <w:szCs w:val="24"/>
                <w:highlight w:val="none"/>
              </w:rPr>
            </w:pPr>
          </w:p>
        </w:tc>
      </w:tr>
      <w:tr w14:paraId="3D62E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vAlign w:val="center"/>
          </w:tcPr>
          <w:p w14:paraId="2D9C1ACE">
            <w:pPr>
              <w:spacing w:line="240" w:lineRule="atLeast"/>
              <w:jc w:val="center"/>
              <w:rPr>
                <w:rFonts w:hint="eastAsia" w:ascii="仿宋" w:hAnsi="仿宋" w:eastAsia="仿宋" w:cs="仿宋"/>
                <w:color w:val="auto"/>
                <w:sz w:val="24"/>
                <w:szCs w:val="24"/>
                <w:highlight w:val="none"/>
              </w:rPr>
            </w:pPr>
          </w:p>
        </w:tc>
        <w:tc>
          <w:tcPr>
            <w:tcW w:w="984" w:type="dxa"/>
            <w:vAlign w:val="center"/>
          </w:tcPr>
          <w:p w14:paraId="3455CE9A">
            <w:pPr>
              <w:spacing w:line="240" w:lineRule="atLeast"/>
              <w:jc w:val="center"/>
              <w:rPr>
                <w:rFonts w:hint="eastAsia" w:ascii="仿宋" w:hAnsi="仿宋" w:eastAsia="仿宋" w:cs="仿宋"/>
                <w:color w:val="auto"/>
                <w:sz w:val="24"/>
                <w:szCs w:val="24"/>
                <w:highlight w:val="none"/>
              </w:rPr>
            </w:pPr>
          </w:p>
        </w:tc>
        <w:tc>
          <w:tcPr>
            <w:tcW w:w="1298" w:type="dxa"/>
            <w:gridSpan w:val="2"/>
            <w:vAlign w:val="center"/>
          </w:tcPr>
          <w:p w14:paraId="46D90538">
            <w:pPr>
              <w:spacing w:line="240" w:lineRule="atLeast"/>
              <w:jc w:val="center"/>
              <w:rPr>
                <w:rFonts w:hint="eastAsia" w:ascii="仿宋" w:hAnsi="仿宋" w:eastAsia="仿宋" w:cs="仿宋"/>
                <w:color w:val="auto"/>
                <w:sz w:val="24"/>
                <w:szCs w:val="24"/>
                <w:highlight w:val="none"/>
              </w:rPr>
            </w:pPr>
          </w:p>
        </w:tc>
        <w:tc>
          <w:tcPr>
            <w:tcW w:w="1134" w:type="dxa"/>
            <w:vAlign w:val="center"/>
          </w:tcPr>
          <w:p w14:paraId="32C907FA">
            <w:pPr>
              <w:spacing w:line="240" w:lineRule="atLeast"/>
              <w:jc w:val="center"/>
              <w:rPr>
                <w:rFonts w:hint="eastAsia" w:ascii="仿宋" w:hAnsi="仿宋" w:eastAsia="仿宋" w:cs="仿宋"/>
                <w:color w:val="auto"/>
                <w:sz w:val="24"/>
                <w:szCs w:val="24"/>
                <w:highlight w:val="none"/>
              </w:rPr>
            </w:pPr>
          </w:p>
        </w:tc>
        <w:tc>
          <w:tcPr>
            <w:tcW w:w="1559" w:type="dxa"/>
            <w:vAlign w:val="center"/>
          </w:tcPr>
          <w:p w14:paraId="582FF9AE">
            <w:pPr>
              <w:spacing w:line="240" w:lineRule="atLeast"/>
              <w:jc w:val="center"/>
              <w:rPr>
                <w:rFonts w:hint="eastAsia" w:ascii="仿宋" w:hAnsi="仿宋" w:eastAsia="仿宋" w:cs="仿宋"/>
                <w:color w:val="auto"/>
                <w:sz w:val="24"/>
                <w:szCs w:val="24"/>
                <w:highlight w:val="none"/>
              </w:rPr>
            </w:pPr>
          </w:p>
        </w:tc>
        <w:tc>
          <w:tcPr>
            <w:tcW w:w="1567" w:type="dxa"/>
            <w:vAlign w:val="center"/>
          </w:tcPr>
          <w:p w14:paraId="6059DF5A">
            <w:pPr>
              <w:spacing w:line="240" w:lineRule="atLeast"/>
              <w:jc w:val="center"/>
              <w:rPr>
                <w:rFonts w:hint="eastAsia" w:ascii="仿宋" w:hAnsi="仿宋" w:eastAsia="仿宋" w:cs="仿宋"/>
                <w:color w:val="auto"/>
                <w:sz w:val="24"/>
                <w:szCs w:val="24"/>
                <w:highlight w:val="none"/>
              </w:rPr>
            </w:pPr>
          </w:p>
        </w:tc>
      </w:tr>
      <w:tr w14:paraId="279F0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vAlign w:val="center"/>
          </w:tcPr>
          <w:p w14:paraId="51CADCA9">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合计人民币（小写）：</w:t>
            </w:r>
          </w:p>
        </w:tc>
      </w:tr>
      <w:tr w14:paraId="40A81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vAlign w:val="center"/>
          </w:tcPr>
          <w:p w14:paraId="7AF5A29F">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合计人民币（大写）：</w:t>
            </w:r>
          </w:p>
        </w:tc>
      </w:tr>
      <w:tr w14:paraId="0CDC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776" w:hRule="atLeast"/>
        </w:trPr>
        <w:tc>
          <w:tcPr>
            <w:tcW w:w="9613" w:type="dxa"/>
            <w:gridSpan w:val="7"/>
            <w:vAlign w:val="top"/>
          </w:tcPr>
          <w:p w14:paraId="73D81851">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一、服务要求</w:t>
            </w:r>
          </w:p>
        </w:tc>
      </w:tr>
      <w:tr w14:paraId="5EA1D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9628" w:type="dxa"/>
            <w:gridSpan w:val="8"/>
            <w:vAlign w:val="top"/>
          </w:tcPr>
          <w:p w14:paraId="258FA5D6">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二、考核方式</w:t>
            </w:r>
          </w:p>
        </w:tc>
      </w:tr>
      <w:tr w14:paraId="7F2E2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628" w:type="dxa"/>
            <w:gridSpan w:val="8"/>
            <w:vAlign w:val="top"/>
          </w:tcPr>
          <w:p w14:paraId="1418F606">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三、付款方式：</w:t>
            </w:r>
          </w:p>
          <w:p w14:paraId="6E910167">
            <w:pPr>
              <w:rPr>
                <w:rFonts w:hint="eastAsia" w:ascii="仿宋" w:hAnsi="仿宋" w:eastAsia="仿宋" w:cs="仿宋"/>
                <w:color w:val="auto"/>
                <w:sz w:val="24"/>
                <w:szCs w:val="24"/>
                <w:highlight w:val="none"/>
              </w:rPr>
            </w:pPr>
          </w:p>
        </w:tc>
      </w:tr>
      <w:tr w14:paraId="73BD5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9628" w:type="dxa"/>
            <w:gridSpan w:val="8"/>
            <w:vAlign w:val="top"/>
          </w:tcPr>
          <w:p w14:paraId="01E4EAE6">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X、履约保证金：</w:t>
            </w:r>
          </w:p>
        </w:tc>
      </w:tr>
      <w:tr w14:paraId="1E82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vAlign w:val="top"/>
          </w:tcPr>
          <w:p w14:paraId="39AC6AAC">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四、违约责任：</w:t>
            </w:r>
          </w:p>
          <w:p w14:paraId="58E0C20B">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按《中华人民共和国民法典》、《中华人民共和国政府采购法》执行，或按双方约定。</w:t>
            </w:r>
          </w:p>
        </w:tc>
      </w:tr>
      <w:tr w14:paraId="3161B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vAlign w:val="top"/>
          </w:tcPr>
          <w:p w14:paraId="247F1621">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五、其他约定事项：</w:t>
            </w:r>
          </w:p>
          <w:p w14:paraId="4F22313A">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1.采购文件及其澄清文件、响应文件和承诺是本合同不可分割的部分。</w:t>
            </w:r>
          </w:p>
          <w:p w14:paraId="607A1A91">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2.本合同如发生争议由双方协商解决，协商不成向需方所在人民法院提请诉讼。</w:t>
            </w:r>
          </w:p>
          <w:p w14:paraId="0913DBB2">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3.本合同一式__份， 需方__份，供方__份，具同等法律效力。</w:t>
            </w:r>
          </w:p>
          <w:p w14:paraId="476D40D6">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4.其他：</w:t>
            </w:r>
          </w:p>
        </w:tc>
      </w:tr>
      <w:tr w14:paraId="2FB1D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gridSpan w:val="3"/>
            <w:vAlign w:val="top"/>
          </w:tcPr>
          <w:p w14:paraId="1C35C59A">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需方：</w:t>
            </w:r>
          </w:p>
          <w:p w14:paraId="463697FC">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w:t>
            </w:r>
          </w:p>
          <w:p w14:paraId="19A8D186">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联系电话：</w:t>
            </w:r>
          </w:p>
          <w:p w14:paraId="11751BED">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授权代表：</w:t>
            </w:r>
          </w:p>
        </w:tc>
        <w:tc>
          <w:tcPr>
            <w:tcW w:w="4984" w:type="dxa"/>
            <w:gridSpan w:val="5"/>
            <w:vAlign w:val="top"/>
          </w:tcPr>
          <w:p w14:paraId="4ED37BCD">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供方：</w:t>
            </w:r>
          </w:p>
          <w:p w14:paraId="16E1B2EF">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w:t>
            </w:r>
          </w:p>
          <w:p w14:paraId="6EDC004A">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p>
          <w:p w14:paraId="3F0B95BB">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传真：</w:t>
            </w:r>
          </w:p>
          <w:p w14:paraId="367E3235">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w:t>
            </w:r>
          </w:p>
          <w:p w14:paraId="66B2CEF4">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账号：</w:t>
            </w:r>
          </w:p>
          <w:p w14:paraId="59FBCD31">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授权代表：</w:t>
            </w:r>
          </w:p>
          <w:p w14:paraId="338566E0">
            <w:pPr>
              <w:widowControl/>
              <w:spacing w:line="240" w:lineRule="atLeas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（本栏请用计算机打印以便于准确付款）</w:t>
            </w:r>
          </w:p>
        </w:tc>
      </w:tr>
      <w:tr w14:paraId="4D876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vAlign w:val="top"/>
          </w:tcPr>
          <w:p w14:paraId="635C80BD">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p w14:paraId="05D441A6">
            <w:pPr>
              <w:spacing w:line="240" w:lineRule="atLeast"/>
              <w:rPr>
                <w:rFonts w:hint="eastAsia" w:ascii="仿宋" w:hAnsi="仿宋" w:eastAsia="仿宋" w:cs="仿宋"/>
                <w:color w:val="auto"/>
                <w:sz w:val="24"/>
                <w:szCs w:val="24"/>
                <w:highlight w:val="none"/>
              </w:rPr>
            </w:pPr>
          </w:p>
          <w:p w14:paraId="753BC5CF">
            <w:pPr>
              <w:spacing w:line="240" w:lineRule="atLeast"/>
              <w:rPr>
                <w:rFonts w:hint="eastAsia" w:ascii="仿宋" w:hAnsi="仿宋" w:eastAsia="仿宋" w:cs="仿宋"/>
                <w:color w:val="auto"/>
                <w:sz w:val="24"/>
                <w:szCs w:val="24"/>
                <w:highlight w:val="none"/>
              </w:rPr>
            </w:pPr>
          </w:p>
        </w:tc>
      </w:tr>
    </w:tbl>
    <w:p w14:paraId="66A69F0C">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签约时间：           年   月   日      签约地点：</w:t>
      </w:r>
    </w:p>
    <w:p w14:paraId="497963A4">
      <w:pPr>
        <w:tabs>
          <w:tab w:val="left" w:pos="9000"/>
        </w:tabs>
        <w:spacing w:line="276" w:lineRule="auto"/>
        <w:jc w:val="center"/>
        <w:rPr>
          <w:rFonts w:hint="eastAsia" w:ascii="仿宋" w:hAnsi="仿宋" w:eastAsia="仿宋" w:cs="仿宋"/>
          <w:color w:val="auto"/>
          <w:sz w:val="24"/>
          <w:szCs w:val="24"/>
          <w:highlight w:val="none"/>
        </w:rPr>
        <w:sectPr>
          <w:footerReference r:id="rId5" w:type="default"/>
          <w:footerReference r:id="rId6" w:type="even"/>
          <w:pgSz w:w="11907" w:h="16840"/>
          <w:pgMar w:top="1134" w:right="1191" w:bottom="1134" w:left="1304" w:header="964" w:footer="992" w:gutter="0"/>
          <w:pgNumType w:fmt="numberInDash"/>
          <w:cols w:space="720" w:num="1"/>
          <w:docGrid w:linePitch="312" w:charSpace="0"/>
        </w:sectPr>
      </w:pPr>
    </w:p>
    <w:p w14:paraId="6255F77D">
      <w:pPr>
        <w:jc w:val="center"/>
        <w:rPr>
          <w:rFonts w:hint="eastAsia" w:ascii="仿宋" w:hAnsi="仿宋" w:eastAsia="仿宋" w:cs="仿宋"/>
          <w:bCs/>
          <w:color w:val="auto"/>
          <w:sz w:val="36"/>
          <w:szCs w:val="30"/>
          <w:highlight w:val="none"/>
        </w:rPr>
      </w:pPr>
      <w:r>
        <w:rPr>
          <w:rFonts w:hint="eastAsia" w:ascii="仿宋" w:hAnsi="仿宋" w:eastAsia="仿宋" w:cs="仿宋"/>
          <w:b/>
          <w:bCs/>
          <w:color w:val="auto"/>
          <w:sz w:val="36"/>
          <w:szCs w:val="30"/>
          <w:highlight w:val="none"/>
        </w:rPr>
        <w:t>第七篇响应文件编制要求</w:t>
      </w:r>
    </w:p>
    <w:p w14:paraId="4F32D330">
      <w:pPr>
        <w:spacing w:line="440" w:lineRule="exact"/>
        <w:ind w:firstLine="480" w:firstLineChars="200"/>
        <w:rPr>
          <w:rFonts w:hint="eastAsia" w:ascii="仿宋" w:hAnsi="仿宋" w:eastAsia="仿宋" w:cs="仿宋"/>
          <w:color w:val="auto"/>
          <w:sz w:val="24"/>
          <w:szCs w:val="24"/>
          <w:highlight w:val="none"/>
        </w:rPr>
      </w:pPr>
      <w:bookmarkStart w:id="120" w:name="_Toc313888360"/>
      <w:bookmarkStart w:id="121" w:name="_Toc283382454"/>
      <w:bookmarkStart w:id="122" w:name="_Toc12789073"/>
      <w:bookmarkStart w:id="123" w:name="_Toc342913419"/>
      <w:bookmarkStart w:id="124" w:name="_Toc313008356"/>
      <w:r>
        <w:rPr>
          <w:rFonts w:hint="eastAsia" w:ascii="仿宋" w:hAnsi="仿宋" w:eastAsia="仿宋" w:cs="仿宋"/>
          <w:color w:val="auto"/>
          <w:sz w:val="24"/>
          <w:szCs w:val="24"/>
          <w:highlight w:val="none"/>
        </w:rPr>
        <w:t>一、经济部分</w:t>
      </w:r>
    </w:p>
    <w:p w14:paraId="669260CC">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（一）网上竞采报价函</w:t>
      </w:r>
    </w:p>
    <w:p w14:paraId="22681427">
      <w:pPr>
        <w:spacing w:line="440" w:lineRule="exact"/>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明细报价表</w:t>
      </w:r>
    </w:p>
    <w:p w14:paraId="729CD265">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二、技术部分</w:t>
      </w:r>
    </w:p>
    <w:p w14:paraId="03DE6729">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（一）技术响应偏离表</w:t>
      </w:r>
    </w:p>
    <w:p w14:paraId="7CAE1FD4">
      <w:pPr>
        <w:spacing w:line="440" w:lineRule="exact"/>
        <w:ind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二</w:t>
      </w:r>
      <w:r>
        <w:rPr>
          <w:rFonts w:hint="eastAsia" w:ascii="仿宋" w:hAnsi="仿宋" w:eastAsia="仿宋" w:cs="仿宋"/>
          <w:color w:val="000000" w:themeColor="text1"/>
          <w:sz w:val="24"/>
          <w:szCs w:val="24"/>
          <w:highlight w:val="none"/>
          <w14:textFill>
            <w14:solidFill>
              <w14:schemeClr w14:val="tx1"/>
            </w14:solidFill>
          </w14:textFill>
        </w:rPr>
        <w:t>）技术部分其他资料</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如有）</w:t>
      </w:r>
    </w:p>
    <w:p w14:paraId="6C85B04B">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三、商务部分</w:t>
      </w:r>
    </w:p>
    <w:p w14:paraId="58EFC6EB">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（一）商务响应偏离表</w:t>
      </w:r>
    </w:p>
    <w:p w14:paraId="73C821DA">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（二）商务部分其他资料</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如有，格式自拟）</w:t>
      </w:r>
    </w:p>
    <w:p w14:paraId="70D9B069">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四、资格条件及其他</w:t>
      </w:r>
    </w:p>
    <w:p w14:paraId="3CD3B64B">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（一）营业执照（副本）或事业单位法人证书（副本）复印件</w:t>
      </w:r>
    </w:p>
    <w:p w14:paraId="4FB742A7">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（二）法定代表人身份证明书（格式）</w:t>
      </w:r>
    </w:p>
    <w:p w14:paraId="05142476">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（三）法定代表人授权委托书（格式）</w:t>
      </w:r>
    </w:p>
    <w:p w14:paraId="47860ADF">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（四）基本资格条件承诺函</w:t>
      </w:r>
    </w:p>
    <w:p w14:paraId="6D369D1C">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（五）特定资格条件证明文件（如有）</w:t>
      </w:r>
    </w:p>
    <w:p w14:paraId="0963F8FB">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五、其他应提供的资料</w:t>
      </w:r>
    </w:p>
    <w:p w14:paraId="0F0883B9">
      <w:pPr>
        <w:snapToGrid w:val="0"/>
        <w:spacing w:line="400" w:lineRule="exact"/>
        <w:ind w:firstLine="720" w:firstLineChars="3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其他与项目有关的资料</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如有，格式自拟）</w:t>
      </w:r>
    </w:p>
    <w:p w14:paraId="38CE9F23">
      <w:pPr>
        <w:spacing w:line="440" w:lineRule="exact"/>
        <w:ind w:firstLine="480" w:firstLineChars="200"/>
        <w:rPr>
          <w:rFonts w:hint="eastAsia" w:ascii="仿宋" w:hAnsi="仿宋" w:eastAsia="仿宋" w:cs="仿宋"/>
          <w:color w:val="auto"/>
          <w:sz w:val="24"/>
          <w:szCs w:val="24"/>
          <w:highlight w:val="none"/>
        </w:rPr>
        <w:sectPr>
          <w:headerReference r:id="rId7" w:type="default"/>
          <w:footerReference r:id="rId8" w:type="default"/>
          <w:pgSz w:w="11907" w:h="16840"/>
          <w:pgMar w:top="1134" w:right="1191" w:bottom="1134" w:left="1304" w:header="851" w:footer="992" w:gutter="0"/>
          <w:pgNumType w:fmt="numberInDash"/>
          <w:cols w:space="720" w:num="1"/>
          <w:docGrid w:linePitch="380" w:charSpace="-5735"/>
        </w:sectPr>
      </w:pPr>
    </w:p>
    <w:bookmarkEnd w:id="120"/>
    <w:bookmarkEnd w:id="121"/>
    <w:bookmarkEnd w:id="122"/>
    <w:bookmarkEnd w:id="123"/>
    <w:bookmarkEnd w:id="124"/>
    <w:p w14:paraId="59BEC7F4">
      <w:pPr>
        <w:pStyle w:val="5"/>
        <w:spacing w:before="0" w:after="0" w:line="360" w:lineRule="auto"/>
        <w:rPr>
          <w:rFonts w:hint="eastAsia" w:ascii="仿宋" w:hAnsi="仿宋" w:eastAsia="仿宋" w:cs="仿宋"/>
          <w:color w:val="auto"/>
          <w:sz w:val="24"/>
          <w:szCs w:val="24"/>
          <w:highlight w:val="none"/>
        </w:rPr>
      </w:pPr>
      <w:bookmarkStart w:id="125" w:name="_Toc21017"/>
      <w:bookmarkStart w:id="126" w:name="_Toc103679699"/>
      <w:bookmarkStart w:id="127" w:name="_Toc23161"/>
      <w:r>
        <w:rPr>
          <w:rFonts w:hint="eastAsia" w:ascii="仿宋" w:hAnsi="仿宋" w:eastAsia="仿宋" w:cs="仿宋"/>
          <w:color w:val="auto"/>
          <w:sz w:val="24"/>
          <w:szCs w:val="24"/>
          <w:highlight w:val="none"/>
        </w:rPr>
        <w:t>一、经济部分</w:t>
      </w:r>
      <w:bookmarkEnd w:id="125"/>
      <w:bookmarkEnd w:id="126"/>
      <w:bookmarkEnd w:id="127"/>
    </w:p>
    <w:p w14:paraId="4AC98322">
      <w:pPr>
        <w:tabs>
          <w:tab w:val="left" w:pos="6300"/>
        </w:tabs>
        <w:snapToGrid w:val="0"/>
        <w:spacing w:line="312" w:lineRule="auto"/>
        <w:jc w:val="left"/>
        <w:outlineLvl w:val="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（一）网上竞采报价函</w:t>
      </w:r>
    </w:p>
    <w:p w14:paraId="58C0FBA4">
      <w:pPr>
        <w:tabs>
          <w:tab w:val="left" w:pos="6300"/>
        </w:tabs>
        <w:snapToGrid w:val="0"/>
        <w:spacing w:line="312" w:lineRule="auto"/>
        <w:jc w:val="center"/>
        <w:outlineLvl w:val="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网上竞采报价函</w:t>
      </w:r>
    </w:p>
    <w:p w14:paraId="1B1E854C">
      <w:pPr>
        <w:tabs>
          <w:tab w:val="left" w:pos="6300"/>
        </w:tabs>
        <w:snapToGrid w:val="0"/>
        <w:spacing w:line="312"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w:t>
      </w:r>
      <w:r>
        <w:rPr>
          <w:rFonts w:hint="eastAsia" w:ascii="仿宋" w:hAnsi="仿宋" w:eastAsia="仿宋" w:cs="仿宋"/>
          <w:sz w:val="24"/>
          <w:szCs w:val="24"/>
          <w:highlight w:val="none"/>
          <w:u w:val="single"/>
        </w:rPr>
        <w:t>采购人名称</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rPr>
        <w:t>：</w:t>
      </w:r>
    </w:p>
    <w:p w14:paraId="3C9BB119">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我方收到</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项目名称）的网上竞采文件，经详细研究，决定参加该项目的网上竞采。</w:t>
      </w:r>
    </w:p>
    <w:p w14:paraId="52F3794D">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sz w:val="24"/>
          <w:szCs w:val="24"/>
          <w:highlight w:val="none"/>
        </w:rPr>
        <w:t>愿意按照</w:t>
      </w:r>
      <w:r>
        <w:rPr>
          <w:rFonts w:hint="eastAsia" w:ascii="仿宋" w:hAnsi="仿宋" w:eastAsia="仿宋" w:cs="仿宋"/>
          <w:sz w:val="24"/>
          <w:szCs w:val="24"/>
          <w:highlight w:val="none"/>
          <w:lang w:val="en-US" w:eastAsia="zh-CN"/>
        </w:rPr>
        <w:t>竞采</w:t>
      </w:r>
      <w:r>
        <w:rPr>
          <w:rFonts w:hint="eastAsia" w:ascii="仿宋" w:hAnsi="仿宋" w:eastAsia="仿宋" w:cs="仿宋"/>
          <w:sz w:val="24"/>
          <w:szCs w:val="24"/>
          <w:highlight w:val="none"/>
        </w:rPr>
        <w:t>文件中的一切要求，提供本项目的技术服务，</w:t>
      </w:r>
      <w:r>
        <w:rPr>
          <w:rFonts w:hint="eastAsia" w:ascii="仿宋" w:hAnsi="仿宋" w:eastAsia="仿宋" w:cs="仿宋"/>
          <w:sz w:val="24"/>
          <w:szCs w:val="24"/>
          <w:highlight w:val="none"/>
          <w:lang w:val="en-US" w:eastAsia="zh-CN"/>
        </w:rPr>
        <w:t>暂定</w:t>
      </w:r>
      <w:r>
        <w:rPr>
          <w:rFonts w:hint="eastAsia" w:ascii="仿宋" w:hAnsi="仿宋" w:eastAsia="仿宋" w:cs="仿宋"/>
          <w:sz w:val="24"/>
          <w:szCs w:val="24"/>
          <w:highlight w:val="none"/>
          <w:lang w:eastAsia="zh-CN"/>
        </w:rPr>
        <w:t>投标</w:t>
      </w:r>
      <w:r>
        <w:rPr>
          <w:rFonts w:hint="eastAsia" w:ascii="仿宋" w:hAnsi="仿宋" w:eastAsia="仿宋" w:cs="仿宋"/>
          <w:sz w:val="24"/>
          <w:szCs w:val="24"/>
          <w:highlight w:val="none"/>
        </w:rPr>
        <w:t>报价为人民币大写：</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；人民币小写：</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元。</w:t>
      </w:r>
    </w:p>
    <w:p w14:paraId="017FE1B0">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2.我方现提交的响应文件为：</w:t>
      </w:r>
      <w:r>
        <w:rPr>
          <w:rFonts w:hint="eastAsia" w:ascii="仿宋" w:hAnsi="仿宋" w:eastAsia="仿宋" w:cs="仿宋"/>
          <w:color w:val="auto"/>
          <w:sz w:val="24"/>
          <w:szCs w:val="24"/>
          <w:highlight w:val="none"/>
          <w:lang w:val="en-US" w:eastAsia="zh-CN"/>
        </w:rPr>
        <w:t>电子</w:t>
      </w:r>
      <w:r>
        <w:rPr>
          <w:rFonts w:hint="eastAsia" w:ascii="仿宋" w:hAnsi="仿宋" w:eastAsia="仿宋" w:cs="仿宋"/>
          <w:color w:val="auto"/>
          <w:sz w:val="24"/>
          <w:szCs w:val="24"/>
          <w:highlight w:val="none"/>
        </w:rPr>
        <w:t>响应文件</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份。</w:t>
      </w:r>
    </w:p>
    <w:p w14:paraId="117555D3">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3.我方承诺：本次网上竞采的有效期为90天。</w:t>
      </w:r>
    </w:p>
    <w:p w14:paraId="3A489BB5">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4.我方完全理解和接受贵方网上竞采文件的一切规定和要求及评审办法。</w:t>
      </w:r>
    </w:p>
    <w:p w14:paraId="68DD688D">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5.在整个网上竞采过程中，我方若有违规行为，接受按照《中华人民共和国政府采购法》和《网上竞采文件》之规定给予惩罚。</w:t>
      </w:r>
    </w:p>
    <w:p w14:paraId="1B0C531E">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6.我方若成为成交供应商，将按照最终网上竞采结果签订合同，并且严格履行合同义务。本承诺函将成为合同不可分割的一部分，与合同具有同等的法律效力。</w:t>
      </w:r>
    </w:p>
    <w:p w14:paraId="6DB79084">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7.我方同意按网上竞采文件规定。如果我方成为成交供应商，保证在接到成交通知书前，向采购代理机构缴纳网上竞采文件规定的采购代理服务费。</w:t>
      </w:r>
    </w:p>
    <w:p w14:paraId="780A301A">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w:t>
      </w:r>
      <w:r>
        <w:rPr>
          <w:rFonts w:hint="eastAsia" w:ascii="仿宋" w:hAnsi="仿宋" w:eastAsia="仿宋" w:cs="仿宋"/>
          <w:color w:val="auto"/>
          <w:sz w:val="24"/>
          <w:szCs w:val="28"/>
          <w:highlight w:val="none"/>
        </w:rPr>
        <w:t>我方未</w:t>
      </w:r>
      <w:r>
        <w:rPr>
          <w:rFonts w:hint="eastAsia" w:ascii="仿宋" w:hAnsi="仿宋" w:eastAsia="仿宋" w:cs="仿宋"/>
          <w:color w:val="auto"/>
          <w:sz w:val="24"/>
          <w:szCs w:val="24"/>
          <w:highlight w:val="none"/>
        </w:rPr>
        <w:t>为采购项目提供整体设计、规范编制或者项目管理、监理、检测等服务。</w:t>
      </w:r>
    </w:p>
    <w:p w14:paraId="08DD10DB">
      <w:pPr>
        <w:tabs>
          <w:tab w:val="left" w:pos="6300"/>
        </w:tabs>
        <w:snapToGrid w:val="0"/>
        <w:spacing w:line="312" w:lineRule="auto"/>
        <w:ind w:firstLine="570"/>
        <w:rPr>
          <w:rFonts w:hint="eastAsia" w:ascii="仿宋" w:hAnsi="仿宋" w:eastAsia="仿宋" w:cs="仿宋"/>
          <w:color w:val="auto"/>
          <w:sz w:val="24"/>
          <w:szCs w:val="24"/>
          <w:highlight w:val="none"/>
        </w:rPr>
      </w:pPr>
    </w:p>
    <w:p w14:paraId="2EA05C4E">
      <w:pPr>
        <w:tabs>
          <w:tab w:val="left" w:pos="6300"/>
        </w:tabs>
        <w:snapToGrid w:val="0"/>
        <w:spacing w:line="312" w:lineRule="auto"/>
        <w:ind w:firstLine="57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供应商（公章）：</w:t>
      </w:r>
    </w:p>
    <w:p w14:paraId="6AFC3B34">
      <w:pPr>
        <w:tabs>
          <w:tab w:val="left" w:pos="6300"/>
        </w:tabs>
        <w:snapToGrid w:val="0"/>
        <w:spacing w:line="312" w:lineRule="auto"/>
        <w:ind w:firstLine="57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w:t>
      </w:r>
    </w:p>
    <w:p w14:paraId="514E49CD">
      <w:pPr>
        <w:tabs>
          <w:tab w:val="left" w:pos="6300"/>
        </w:tabs>
        <w:snapToGrid w:val="0"/>
        <w:spacing w:line="312" w:lineRule="auto"/>
        <w:ind w:firstLine="57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               传真：</w:t>
      </w:r>
    </w:p>
    <w:p w14:paraId="3A6D6BAF">
      <w:pPr>
        <w:tabs>
          <w:tab w:val="left" w:pos="6300"/>
        </w:tabs>
        <w:snapToGrid w:val="0"/>
        <w:spacing w:line="312" w:lineRule="auto"/>
        <w:ind w:firstLine="57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网址：               邮编：</w:t>
      </w:r>
    </w:p>
    <w:p w14:paraId="35FE33D1">
      <w:pPr>
        <w:tabs>
          <w:tab w:val="left" w:pos="6300"/>
        </w:tabs>
        <w:snapToGrid w:val="0"/>
        <w:spacing w:line="312" w:lineRule="auto"/>
        <w:ind w:firstLine="57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p>
    <w:p w14:paraId="080694C4">
      <w:pPr>
        <w:snapToGrid w:val="0"/>
        <w:spacing w:line="312" w:lineRule="auto"/>
        <w:ind w:firstLine="480" w:firstLineChars="200"/>
        <w:jc w:val="righ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年 月 日</w:t>
      </w:r>
    </w:p>
    <w:p w14:paraId="5A85455E">
      <w:pPr>
        <w:pStyle w:val="126"/>
        <w:rPr>
          <w:rFonts w:hint="eastAsia" w:ascii="仿宋" w:hAnsi="仿宋" w:eastAsia="仿宋" w:cs="仿宋"/>
          <w:color w:val="auto"/>
          <w:highlight w:val="none"/>
        </w:rPr>
      </w:pPr>
    </w:p>
    <w:p w14:paraId="135673A9">
      <w:pPr>
        <w:pStyle w:val="126"/>
        <w:rPr>
          <w:rFonts w:hint="eastAsia" w:ascii="仿宋" w:hAnsi="仿宋" w:eastAsia="仿宋" w:cs="仿宋"/>
          <w:color w:val="auto"/>
          <w:highlight w:val="none"/>
        </w:rPr>
      </w:pPr>
    </w:p>
    <w:p w14:paraId="59D2BF67">
      <w:pPr>
        <w:pStyle w:val="126"/>
        <w:rPr>
          <w:rFonts w:hint="eastAsia" w:ascii="仿宋" w:hAnsi="仿宋" w:eastAsia="仿宋" w:cs="仿宋"/>
          <w:color w:val="auto"/>
          <w:highlight w:val="none"/>
        </w:rPr>
      </w:pPr>
    </w:p>
    <w:p w14:paraId="144C0EB2">
      <w:pPr>
        <w:pStyle w:val="126"/>
        <w:rPr>
          <w:rFonts w:hint="eastAsia" w:ascii="仿宋" w:hAnsi="仿宋" w:eastAsia="仿宋" w:cs="仿宋"/>
          <w:color w:val="auto"/>
          <w:highlight w:val="none"/>
        </w:rPr>
      </w:pPr>
    </w:p>
    <w:p w14:paraId="48B5D33E">
      <w:pPr>
        <w:pStyle w:val="126"/>
        <w:rPr>
          <w:rFonts w:hint="eastAsia" w:ascii="仿宋" w:hAnsi="仿宋" w:eastAsia="仿宋" w:cs="仿宋"/>
          <w:color w:val="auto"/>
          <w:highlight w:val="none"/>
        </w:rPr>
      </w:pPr>
    </w:p>
    <w:p w14:paraId="72495786">
      <w:pPr>
        <w:pStyle w:val="126"/>
        <w:rPr>
          <w:rFonts w:hint="eastAsia" w:ascii="仿宋" w:hAnsi="仿宋" w:eastAsia="仿宋" w:cs="仿宋"/>
          <w:color w:val="auto"/>
          <w:highlight w:val="none"/>
        </w:rPr>
      </w:pPr>
    </w:p>
    <w:p w14:paraId="77A4AD6F">
      <w:pPr>
        <w:pStyle w:val="126"/>
        <w:rPr>
          <w:rFonts w:hint="eastAsia" w:ascii="仿宋" w:hAnsi="仿宋" w:eastAsia="仿宋" w:cs="仿宋"/>
          <w:color w:val="auto"/>
          <w:highlight w:val="none"/>
        </w:rPr>
      </w:pPr>
    </w:p>
    <w:p w14:paraId="21A533C5">
      <w:pPr>
        <w:pStyle w:val="126"/>
        <w:rPr>
          <w:rFonts w:hint="eastAsia" w:ascii="仿宋" w:hAnsi="仿宋" w:eastAsia="仿宋" w:cs="仿宋"/>
          <w:color w:val="auto"/>
          <w:highlight w:val="none"/>
        </w:rPr>
      </w:pPr>
    </w:p>
    <w:p w14:paraId="23DEDF96">
      <w:pPr>
        <w:pStyle w:val="126"/>
        <w:rPr>
          <w:rFonts w:hint="eastAsia" w:ascii="仿宋" w:hAnsi="仿宋" w:eastAsia="仿宋" w:cs="仿宋"/>
          <w:color w:val="auto"/>
          <w:highlight w:val="none"/>
        </w:rPr>
      </w:pPr>
    </w:p>
    <w:p w14:paraId="0DA1F556">
      <w:pPr>
        <w:pStyle w:val="126"/>
        <w:rPr>
          <w:rFonts w:hint="eastAsia" w:ascii="仿宋" w:hAnsi="仿宋" w:eastAsia="仿宋" w:cs="仿宋"/>
          <w:color w:val="auto"/>
          <w:highlight w:val="none"/>
        </w:rPr>
      </w:pPr>
    </w:p>
    <w:p w14:paraId="104365FC">
      <w:pPr>
        <w:pStyle w:val="126"/>
        <w:rPr>
          <w:rFonts w:hint="eastAsia" w:ascii="仿宋" w:hAnsi="仿宋" w:eastAsia="仿宋" w:cs="仿宋"/>
          <w:color w:val="auto"/>
          <w:highlight w:val="none"/>
        </w:rPr>
      </w:pPr>
    </w:p>
    <w:p w14:paraId="08DCAC87">
      <w:pPr>
        <w:pStyle w:val="126"/>
        <w:rPr>
          <w:rFonts w:hint="eastAsia" w:ascii="仿宋" w:hAnsi="仿宋" w:eastAsia="仿宋" w:cs="仿宋"/>
          <w:color w:val="auto"/>
          <w:highlight w:val="none"/>
        </w:rPr>
      </w:pPr>
    </w:p>
    <w:p w14:paraId="2798C7A9">
      <w:pPr>
        <w:pStyle w:val="126"/>
        <w:rPr>
          <w:rFonts w:hint="eastAsia" w:ascii="仿宋" w:hAnsi="仿宋" w:eastAsia="仿宋" w:cs="仿宋"/>
          <w:color w:val="auto"/>
          <w:highlight w:val="none"/>
        </w:rPr>
      </w:pPr>
    </w:p>
    <w:p w14:paraId="3F83CBE6">
      <w:pPr>
        <w:pStyle w:val="126"/>
        <w:rPr>
          <w:rFonts w:hint="eastAsia" w:ascii="仿宋" w:hAnsi="仿宋" w:eastAsia="仿宋" w:cs="仿宋"/>
          <w:color w:val="auto"/>
          <w:highlight w:val="none"/>
        </w:rPr>
      </w:pPr>
    </w:p>
    <w:p w14:paraId="6B96C89C">
      <w:pPr>
        <w:pStyle w:val="126"/>
        <w:rPr>
          <w:rFonts w:hint="eastAsia" w:ascii="仿宋" w:hAnsi="仿宋" w:eastAsia="仿宋" w:cs="仿宋"/>
          <w:color w:val="auto"/>
          <w:highlight w:val="none"/>
        </w:rPr>
      </w:pPr>
    </w:p>
    <w:p w14:paraId="76A7DB69">
      <w:pPr>
        <w:rPr>
          <w:rFonts w:hint="eastAsia" w:ascii="仿宋" w:hAnsi="仿宋" w:eastAsia="仿宋" w:cs="仿宋"/>
          <w:highlight w:val="none"/>
        </w:rPr>
      </w:pPr>
      <w:bookmarkStart w:id="128" w:name="_Toc313008357"/>
      <w:bookmarkStart w:id="129" w:name="_Toc103679700"/>
      <w:bookmarkStart w:id="130" w:name="_Toc31257"/>
      <w:bookmarkStart w:id="131" w:name="_Toc313888361"/>
      <w:bookmarkStart w:id="132" w:name="_Toc21048"/>
      <w:bookmarkStart w:id="133" w:name="_Toc7588"/>
      <w:bookmarkStart w:id="134" w:name="_Toc11802"/>
      <w:bookmarkStart w:id="135" w:name="_Toc342913420"/>
    </w:p>
    <w:p w14:paraId="52160465">
      <w:pPr>
        <w:pStyle w:val="5"/>
        <w:numPr>
          <w:ilvl w:val="0"/>
          <w:numId w:val="0"/>
        </w:numPr>
        <w:spacing w:before="0" w:after="0" w:line="360" w:lineRule="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明细报价表</w:t>
      </w:r>
    </w:p>
    <w:tbl>
      <w:tblPr>
        <w:tblStyle w:val="63"/>
        <w:tblW w:w="11508" w:type="dxa"/>
        <w:tblInd w:w="-100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2"/>
        <w:gridCol w:w="1440"/>
        <w:gridCol w:w="2772"/>
        <w:gridCol w:w="1320"/>
        <w:gridCol w:w="996"/>
        <w:gridCol w:w="936"/>
        <w:gridCol w:w="1212"/>
        <w:gridCol w:w="1068"/>
        <w:gridCol w:w="1152"/>
      </w:tblGrid>
      <w:tr w14:paraId="71C70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E8EC8">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34622">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名称</w:t>
            </w:r>
          </w:p>
        </w:tc>
        <w:tc>
          <w:tcPr>
            <w:tcW w:w="2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3CFA3">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规格型号</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2136A">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数量（份）</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09E5A">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单价限价（元）</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55B2A">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单价报价（元）</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EB87D">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预算总价（元）</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BB58C">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总报价（元）</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BD51B">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备注</w:t>
            </w:r>
          </w:p>
        </w:tc>
      </w:tr>
      <w:tr w14:paraId="6A73F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65B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CAD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鲜肉包</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544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≥90g/个，（皮约60g，馅约30g），猪肉馅</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B77F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36000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7811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1.6</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DE6E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7167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57600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7B7C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616C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含配送</w:t>
            </w:r>
          </w:p>
        </w:tc>
      </w:tr>
      <w:tr w14:paraId="13EB4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ABE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8F51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炒肉包</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751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≥90g/个，（皮约60g，馅约30g），猪肉馅</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501A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36000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6F25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1.7</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4783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CD19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9D84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903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含配送</w:t>
            </w:r>
          </w:p>
        </w:tc>
      </w:tr>
      <w:tr w14:paraId="0BA38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4C4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E8CB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素包子</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72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≥90g/个，（皮约60g，馅约30g）</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C196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30000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7E22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1.4</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79DA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41D1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42000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374B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4CD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青菜、香菇、豆沙等</w:t>
            </w:r>
          </w:p>
        </w:tc>
      </w:tr>
      <w:tr w14:paraId="1AAFE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14A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B727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馒头（白面/杂粮）</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3B7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≥100g/个，</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4743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82000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436E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0.9</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2161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7E94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73800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1290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DA2C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玉米、红糖等</w:t>
            </w:r>
          </w:p>
        </w:tc>
      </w:tr>
      <w:tr w14:paraId="1A8F9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DCD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D2C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花卷（葱油）</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E00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≥100g/个</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F5D1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F989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0.9</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182B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38A1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1170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B2C34">
            <w:pPr>
              <w:jc w:val="center"/>
              <w:rPr>
                <w:rFonts w:hint="eastAsia" w:ascii="宋体" w:hAnsi="宋体" w:eastAsia="宋体" w:cs="宋体"/>
                <w:i w:val="0"/>
                <w:iCs w:val="0"/>
                <w:color w:val="000000"/>
                <w:sz w:val="22"/>
                <w:szCs w:val="22"/>
                <w:highlight w:val="none"/>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33D8A">
            <w:pPr>
              <w:jc w:val="center"/>
              <w:rPr>
                <w:rFonts w:hint="eastAsia" w:ascii="宋体" w:hAnsi="宋体" w:eastAsia="宋体" w:cs="宋体"/>
                <w:i w:val="0"/>
                <w:iCs w:val="0"/>
                <w:color w:val="000000"/>
                <w:sz w:val="22"/>
                <w:szCs w:val="22"/>
                <w:highlight w:val="none"/>
                <w:u w:val="none"/>
              </w:rPr>
            </w:pPr>
          </w:p>
        </w:tc>
      </w:tr>
      <w:tr w14:paraId="1648E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103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F16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油条</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A03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≥100g/根</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4861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D69F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6AE6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302F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1950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92A7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7AC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参考市场价约4.30元/斤</w:t>
            </w:r>
          </w:p>
        </w:tc>
      </w:tr>
      <w:tr w14:paraId="6755C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31B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440" w:type="dxa"/>
            <w:tcBorders>
              <w:top w:val="nil"/>
              <w:left w:val="nil"/>
              <w:bottom w:val="nil"/>
              <w:right w:val="nil"/>
            </w:tcBorders>
            <w:shd w:val="clear" w:color="auto" w:fill="auto"/>
            <w:vAlign w:val="center"/>
          </w:tcPr>
          <w:p w14:paraId="503D38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紫薯</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D76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单个150g-250g，大小均匀</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785B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C694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57C0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A11F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3900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A0EE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D13A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紫皮紫心，富含花青素</w:t>
            </w:r>
          </w:p>
        </w:tc>
      </w:tr>
      <w:tr w14:paraId="29825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9C5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4A5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发糕</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289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≥60g/份</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925A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B8DE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FB30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4B2C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1950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A6854">
            <w:pPr>
              <w:jc w:val="center"/>
              <w:rPr>
                <w:rFonts w:hint="eastAsia" w:ascii="宋体" w:hAnsi="宋体" w:eastAsia="宋体" w:cs="宋体"/>
                <w:i w:val="0"/>
                <w:iCs w:val="0"/>
                <w:color w:val="000000"/>
                <w:sz w:val="22"/>
                <w:szCs w:val="22"/>
                <w:highlight w:val="none"/>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3E096">
            <w:pPr>
              <w:jc w:val="center"/>
              <w:rPr>
                <w:rFonts w:hint="eastAsia" w:ascii="宋体" w:hAnsi="宋体" w:eastAsia="宋体" w:cs="宋体"/>
                <w:i w:val="0"/>
                <w:iCs w:val="0"/>
                <w:color w:val="000000"/>
                <w:sz w:val="22"/>
                <w:szCs w:val="22"/>
                <w:highlight w:val="none"/>
                <w:u w:val="none"/>
              </w:rPr>
            </w:pPr>
          </w:p>
        </w:tc>
      </w:tr>
      <w:tr w14:paraId="1C463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1D3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1440" w:type="dxa"/>
            <w:tcBorders>
              <w:top w:val="nil"/>
              <w:left w:val="nil"/>
              <w:bottom w:val="nil"/>
              <w:right w:val="nil"/>
            </w:tcBorders>
            <w:shd w:val="clear" w:color="auto" w:fill="auto"/>
            <w:vAlign w:val="center"/>
          </w:tcPr>
          <w:p w14:paraId="6AE7A3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糯米烧麦</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7D2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≥70g/个</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1066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BD69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ACC0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0952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1950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9A72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F14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皮约10g，馅约60g</w:t>
            </w:r>
          </w:p>
        </w:tc>
      </w:tr>
      <w:tr w14:paraId="20339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612" w:type="dxa"/>
            <w:tcBorders>
              <w:top w:val="single" w:color="000000" w:sz="4" w:space="0"/>
              <w:left w:val="single" w:color="000000" w:sz="4" w:space="0"/>
              <w:bottom w:val="nil"/>
              <w:right w:val="single" w:color="000000" w:sz="4" w:space="0"/>
            </w:tcBorders>
            <w:shd w:val="clear" w:color="auto" w:fill="auto"/>
            <w:vAlign w:val="center"/>
          </w:tcPr>
          <w:p w14:paraId="29F1CF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1440" w:type="dxa"/>
            <w:tcBorders>
              <w:top w:val="single" w:color="000000" w:sz="4" w:space="0"/>
              <w:left w:val="single" w:color="000000" w:sz="4" w:space="0"/>
              <w:bottom w:val="nil"/>
              <w:right w:val="single" w:color="000000" w:sz="4" w:space="0"/>
            </w:tcBorders>
            <w:shd w:val="clear" w:color="auto" w:fill="auto"/>
            <w:vAlign w:val="center"/>
          </w:tcPr>
          <w:p w14:paraId="0E20982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葱油饼</w:t>
            </w:r>
          </w:p>
        </w:tc>
        <w:tc>
          <w:tcPr>
            <w:tcW w:w="2772" w:type="dxa"/>
            <w:tcBorders>
              <w:top w:val="single" w:color="000000" w:sz="4" w:space="0"/>
              <w:left w:val="single" w:color="000000" w:sz="4" w:space="0"/>
              <w:bottom w:val="nil"/>
              <w:right w:val="single" w:color="000000" w:sz="4" w:space="0"/>
            </w:tcBorders>
            <w:shd w:val="clear" w:color="auto" w:fill="auto"/>
            <w:vAlign w:val="center"/>
          </w:tcPr>
          <w:p w14:paraId="1BC356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≥100g/个</w:t>
            </w:r>
          </w:p>
        </w:tc>
        <w:tc>
          <w:tcPr>
            <w:tcW w:w="1320" w:type="dxa"/>
            <w:tcBorders>
              <w:top w:val="single" w:color="000000" w:sz="4" w:space="0"/>
              <w:left w:val="single" w:color="000000" w:sz="4" w:space="0"/>
              <w:bottom w:val="nil"/>
              <w:right w:val="single" w:color="000000" w:sz="4" w:space="0"/>
            </w:tcBorders>
            <w:shd w:val="clear" w:color="auto" w:fill="auto"/>
            <w:vAlign w:val="center"/>
          </w:tcPr>
          <w:p w14:paraId="63AFE87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1300</w:t>
            </w:r>
          </w:p>
        </w:tc>
        <w:tc>
          <w:tcPr>
            <w:tcW w:w="996" w:type="dxa"/>
            <w:tcBorders>
              <w:top w:val="single" w:color="000000" w:sz="4" w:space="0"/>
              <w:left w:val="single" w:color="000000" w:sz="4" w:space="0"/>
              <w:bottom w:val="nil"/>
              <w:right w:val="single" w:color="000000" w:sz="4" w:space="0"/>
            </w:tcBorders>
            <w:shd w:val="clear" w:color="auto" w:fill="auto"/>
            <w:vAlign w:val="center"/>
          </w:tcPr>
          <w:p w14:paraId="5F06C35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1.7</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3477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5744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2210</w:t>
            </w:r>
          </w:p>
        </w:tc>
        <w:tc>
          <w:tcPr>
            <w:tcW w:w="1068" w:type="dxa"/>
            <w:tcBorders>
              <w:top w:val="single" w:color="000000" w:sz="4" w:space="0"/>
              <w:left w:val="single" w:color="000000" w:sz="4" w:space="0"/>
              <w:bottom w:val="nil"/>
              <w:right w:val="single" w:color="000000" w:sz="4" w:space="0"/>
            </w:tcBorders>
            <w:shd w:val="clear" w:color="auto" w:fill="auto"/>
            <w:vAlign w:val="center"/>
          </w:tcPr>
          <w:p w14:paraId="65C016C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52" w:type="dxa"/>
            <w:tcBorders>
              <w:top w:val="single" w:color="000000" w:sz="4" w:space="0"/>
              <w:left w:val="single" w:color="000000" w:sz="4" w:space="0"/>
              <w:bottom w:val="nil"/>
              <w:right w:val="single" w:color="000000" w:sz="4" w:space="0"/>
            </w:tcBorders>
            <w:shd w:val="clear" w:color="auto" w:fill="auto"/>
            <w:vAlign w:val="center"/>
          </w:tcPr>
          <w:p w14:paraId="06BDB8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直径约15-18cm，厚薄均匀</w:t>
            </w:r>
          </w:p>
        </w:tc>
      </w:tr>
      <w:tr w14:paraId="62CE4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BA3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E4A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糯玉米</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553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≥200g/根，长度≥15cm</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E439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297A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B921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95BE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3250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1957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634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颗粒饱满，口感软糯</w:t>
            </w:r>
          </w:p>
        </w:tc>
      </w:tr>
      <w:tr w14:paraId="0DF83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9E4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A8E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大麻园</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F6A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熟品直径8-10cm</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8A5F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A6F6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7104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87C0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1950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7D8D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A12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外裹白芝麻，空心软糯</w:t>
            </w:r>
          </w:p>
        </w:tc>
      </w:tr>
      <w:tr w14:paraId="78020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F44A8">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p>
        </w:tc>
        <w:tc>
          <w:tcPr>
            <w:tcW w:w="42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98FB36">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7892">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194400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D98E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387E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12E41">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252930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6CCE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4EA6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bl>
    <w:p w14:paraId="35367ED3">
      <w:pPr>
        <w:pStyle w:val="5"/>
        <w:numPr>
          <w:ilvl w:val="0"/>
          <w:numId w:val="0"/>
        </w:numPr>
        <w:spacing w:before="0" w:after="0" w:line="360" w:lineRule="auto"/>
        <w:rPr>
          <w:rFonts w:hint="eastAsia" w:ascii="仿宋" w:hAnsi="仿宋" w:eastAsia="仿宋" w:cs="仿宋"/>
          <w:color w:val="auto"/>
          <w:sz w:val="24"/>
          <w:szCs w:val="24"/>
          <w:highlight w:val="none"/>
        </w:rPr>
      </w:pPr>
    </w:p>
    <w:p w14:paraId="28E06473">
      <w:pPr>
        <w:pStyle w:val="5"/>
        <w:numPr>
          <w:ilvl w:val="0"/>
          <w:numId w:val="0"/>
        </w:numPr>
        <w:spacing w:before="0" w:after="0" w:line="360" w:lineRule="auto"/>
        <w:rPr>
          <w:rFonts w:hint="eastAsia" w:ascii="仿宋" w:hAnsi="仿宋" w:eastAsia="仿宋" w:cs="仿宋"/>
          <w:color w:val="auto"/>
          <w:sz w:val="24"/>
          <w:szCs w:val="24"/>
          <w:highlight w:val="none"/>
        </w:rPr>
      </w:pPr>
    </w:p>
    <w:p w14:paraId="241810CB">
      <w:pPr>
        <w:pStyle w:val="5"/>
        <w:numPr>
          <w:ilvl w:val="0"/>
          <w:numId w:val="0"/>
        </w:numPr>
        <w:spacing w:before="0" w:after="0" w:line="360" w:lineRule="auto"/>
        <w:rPr>
          <w:rFonts w:hint="eastAsia" w:ascii="仿宋" w:hAnsi="仿宋" w:eastAsia="仿宋" w:cs="仿宋"/>
          <w:color w:val="auto"/>
          <w:sz w:val="24"/>
          <w:szCs w:val="24"/>
          <w:highlight w:val="none"/>
        </w:rPr>
      </w:pPr>
    </w:p>
    <w:p w14:paraId="09A8B040">
      <w:pPr>
        <w:rPr>
          <w:rFonts w:hint="eastAsia" w:ascii="仿宋" w:hAnsi="仿宋" w:eastAsia="仿宋" w:cs="仿宋"/>
          <w:color w:val="auto"/>
          <w:sz w:val="24"/>
          <w:szCs w:val="24"/>
          <w:highlight w:val="none"/>
        </w:rPr>
      </w:pPr>
    </w:p>
    <w:p w14:paraId="759EAB0D">
      <w:pPr>
        <w:pStyle w:val="5"/>
        <w:rPr>
          <w:rFonts w:hint="eastAsia" w:ascii="仿宋" w:hAnsi="仿宋" w:eastAsia="仿宋" w:cs="仿宋"/>
          <w:color w:val="auto"/>
          <w:sz w:val="24"/>
          <w:szCs w:val="24"/>
          <w:highlight w:val="none"/>
        </w:rPr>
      </w:pPr>
    </w:p>
    <w:p w14:paraId="7E077C7F">
      <w:pPr>
        <w:rPr>
          <w:rFonts w:hint="eastAsia" w:ascii="仿宋" w:hAnsi="仿宋" w:eastAsia="仿宋" w:cs="仿宋"/>
          <w:color w:val="auto"/>
          <w:sz w:val="24"/>
          <w:szCs w:val="24"/>
          <w:highlight w:val="none"/>
        </w:rPr>
      </w:pPr>
    </w:p>
    <w:p w14:paraId="666CFEC4">
      <w:pPr>
        <w:pStyle w:val="5"/>
        <w:rPr>
          <w:rFonts w:hint="eastAsia" w:ascii="仿宋" w:hAnsi="仿宋" w:eastAsia="仿宋" w:cs="仿宋"/>
          <w:color w:val="auto"/>
          <w:sz w:val="24"/>
          <w:szCs w:val="24"/>
          <w:highlight w:val="none"/>
        </w:rPr>
      </w:pPr>
    </w:p>
    <w:p w14:paraId="0D19E436">
      <w:pPr>
        <w:rPr>
          <w:rFonts w:hint="eastAsia"/>
          <w:highlight w:val="none"/>
        </w:rPr>
      </w:pPr>
    </w:p>
    <w:p w14:paraId="0181CC5A">
      <w:pPr>
        <w:pStyle w:val="5"/>
        <w:numPr>
          <w:ilvl w:val="0"/>
          <w:numId w:val="0"/>
        </w:numPr>
        <w:spacing w:before="0" w:after="0"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二、技术部分</w:t>
      </w:r>
      <w:bookmarkEnd w:id="128"/>
      <w:bookmarkEnd w:id="129"/>
      <w:bookmarkEnd w:id="130"/>
      <w:bookmarkEnd w:id="131"/>
      <w:bookmarkEnd w:id="132"/>
      <w:bookmarkEnd w:id="133"/>
      <w:bookmarkEnd w:id="134"/>
      <w:bookmarkEnd w:id="135"/>
    </w:p>
    <w:p w14:paraId="2BAAFF69">
      <w:pPr>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（一）技术响应偏离表</w:t>
      </w:r>
    </w:p>
    <w:p w14:paraId="41662A8B">
      <w:pPr>
        <w:snapToGrid w:val="0"/>
        <w:spacing w:line="360" w:lineRule="auto"/>
        <w:jc w:val="center"/>
        <w:rPr>
          <w:rFonts w:hint="eastAsia" w:ascii="仿宋" w:hAnsi="仿宋" w:eastAsia="仿宋" w:cs="仿宋"/>
          <w:b/>
          <w:color w:val="auto"/>
          <w:szCs w:val="28"/>
          <w:highlight w:val="none"/>
        </w:rPr>
      </w:pPr>
      <w:r>
        <w:rPr>
          <w:rFonts w:hint="eastAsia" w:ascii="仿宋" w:hAnsi="仿宋" w:eastAsia="仿宋" w:cs="仿宋"/>
          <w:b/>
          <w:color w:val="auto"/>
          <w:szCs w:val="28"/>
          <w:highlight w:val="none"/>
        </w:rPr>
        <w:t>技术响应偏离表</w:t>
      </w:r>
    </w:p>
    <w:p w14:paraId="28E089E4">
      <w:pPr>
        <w:snapToGrid w:val="0"/>
        <w:spacing w:line="360" w:lineRule="auto"/>
        <w:ind w:firstLine="465"/>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对于竞采文件的技术要求，如有任何偏离请如实填写下表：</w:t>
      </w:r>
    </w:p>
    <w:tbl>
      <w:tblPr>
        <w:tblStyle w:val="63"/>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0A2E9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4A273345">
            <w:pPr>
              <w:tabs>
                <w:tab w:val="left" w:pos="6300"/>
              </w:tabs>
              <w:snapToGrid w:val="0"/>
              <w:spacing w:line="360" w:lineRule="auto"/>
              <w:jc w:val="center"/>
              <w:outlineLvl w:val="0"/>
              <w:rPr>
                <w:rFonts w:hint="eastAsia" w:ascii="仿宋" w:hAnsi="仿宋" w:eastAsia="仿宋" w:cs="仿宋"/>
                <w:color w:val="auto"/>
                <w:sz w:val="21"/>
                <w:szCs w:val="24"/>
                <w:highlight w:val="none"/>
              </w:rPr>
            </w:pPr>
            <w:r>
              <w:rPr>
                <w:rFonts w:hint="eastAsia" w:ascii="仿宋" w:hAnsi="仿宋" w:eastAsia="仿宋" w:cs="仿宋"/>
                <w:color w:val="auto"/>
                <w:sz w:val="21"/>
                <w:szCs w:val="24"/>
                <w:highlight w:val="none"/>
              </w:rPr>
              <w:t>序号</w:t>
            </w:r>
          </w:p>
        </w:tc>
        <w:tc>
          <w:tcPr>
            <w:tcW w:w="3179" w:type="dxa"/>
            <w:vAlign w:val="center"/>
          </w:tcPr>
          <w:p w14:paraId="6313121C">
            <w:pPr>
              <w:tabs>
                <w:tab w:val="left" w:pos="6300"/>
              </w:tabs>
              <w:snapToGrid w:val="0"/>
              <w:spacing w:line="360" w:lineRule="auto"/>
              <w:jc w:val="center"/>
              <w:outlineLvl w:val="0"/>
              <w:rPr>
                <w:rFonts w:hint="eastAsia" w:ascii="仿宋" w:hAnsi="仿宋" w:eastAsia="仿宋" w:cs="仿宋"/>
                <w:color w:val="auto"/>
                <w:sz w:val="21"/>
                <w:szCs w:val="24"/>
                <w:highlight w:val="none"/>
              </w:rPr>
            </w:pPr>
            <w:r>
              <w:rPr>
                <w:rFonts w:hint="eastAsia" w:ascii="仿宋" w:hAnsi="仿宋" w:eastAsia="仿宋" w:cs="仿宋"/>
                <w:color w:val="auto"/>
                <w:sz w:val="21"/>
                <w:szCs w:val="24"/>
                <w:highlight w:val="none"/>
              </w:rPr>
              <w:t>采购项目需求</w:t>
            </w:r>
          </w:p>
        </w:tc>
        <w:tc>
          <w:tcPr>
            <w:tcW w:w="2434" w:type="dxa"/>
            <w:vAlign w:val="center"/>
          </w:tcPr>
          <w:p w14:paraId="6FD913F9">
            <w:pPr>
              <w:tabs>
                <w:tab w:val="left" w:pos="6300"/>
              </w:tabs>
              <w:snapToGrid w:val="0"/>
              <w:spacing w:line="360" w:lineRule="auto"/>
              <w:jc w:val="center"/>
              <w:outlineLvl w:val="0"/>
              <w:rPr>
                <w:rFonts w:hint="eastAsia" w:ascii="仿宋" w:hAnsi="仿宋" w:eastAsia="仿宋" w:cs="仿宋"/>
                <w:color w:val="auto"/>
                <w:sz w:val="21"/>
                <w:szCs w:val="24"/>
                <w:highlight w:val="none"/>
              </w:rPr>
            </w:pPr>
            <w:r>
              <w:rPr>
                <w:rFonts w:hint="eastAsia" w:ascii="仿宋" w:hAnsi="仿宋" w:eastAsia="仿宋" w:cs="仿宋"/>
                <w:color w:val="auto"/>
                <w:sz w:val="21"/>
                <w:szCs w:val="24"/>
                <w:highlight w:val="none"/>
              </w:rPr>
              <w:t>响应情况</w:t>
            </w:r>
          </w:p>
        </w:tc>
        <w:tc>
          <w:tcPr>
            <w:tcW w:w="2355" w:type="dxa"/>
            <w:vAlign w:val="center"/>
          </w:tcPr>
          <w:p w14:paraId="1DDEFA66">
            <w:pPr>
              <w:tabs>
                <w:tab w:val="left" w:pos="6300"/>
              </w:tabs>
              <w:snapToGrid w:val="0"/>
              <w:spacing w:line="360" w:lineRule="auto"/>
              <w:jc w:val="center"/>
              <w:outlineLvl w:val="0"/>
              <w:rPr>
                <w:rFonts w:hint="eastAsia" w:ascii="仿宋" w:hAnsi="仿宋" w:eastAsia="仿宋" w:cs="仿宋"/>
                <w:color w:val="auto"/>
                <w:sz w:val="21"/>
                <w:szCs w:val="24"/>
                <w:highlight w:val="none"/>
              </w:rPr>
            </w:pPr>
            <w:r>
              <w:rPr>
                <w:rFonts w:hint="eastAsia" w:ascii="仿宋" w:hAnsi="仿宋" w:eastAsia="仿宋" w:cs="仿宋"/>
                <w:color w:val="auto"/>
                <w:sz w:val="21"/>
                <w:szCs w:val="24"/>
                <w:highlight w:val="none"/>
              </w:rPr>
              <w:t>差异说明</w:t>
            </w:r>
          </w:p>
        </w:tc>
      </w:tr>
      <w:tr w14:paraId="0B2F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CC925D7">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208FBB6D">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095C00E7">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63C68DF7">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70D0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83E5ED8">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20477AB4">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7B52F9F8">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7789E481">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2F184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9727B7C">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68388B6B">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7C7CA985">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0C13C2EB">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32F0D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5D1D894">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0EA40415">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69198461">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16D0F41D">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4EF4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8DA913A">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5C34770B">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00F7B368">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2DA28DCD">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1388B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B86008">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623CDC91">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4A889FCA">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24A834A9">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bl>
    <w:p w14:paraId="2E8483AC">
      <w:pPr>
        <w:snapToGrid w:val="0"/>
        <w:spacing w:line="360" w:lineRule="auto"/>
        <w:ind w:firstLine="465"/>
        <w:rPr>
          <w:rFonts w:hint="eastAsia" w:ascii="仿宋" w:hAnsi="仿宋" w:eastAsia="仿宋" w:cs="仿宋"/>
          <w:color w:val="auto"/>
          <w:sz w:val="24"/>
          <w:szCs w:val="24"/>
          <w:highlight w:val="none"/>
        </w:rPr>
      </w:pPr>
    </w:p>
    <w:p w14:paraId="46F2B715">
      <w:pPr>
        <w:spacing w:line="500" w:lineRule="exact"/>
        <w:ind w:firstLine="600" w:firstLineChars="25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                                  法定代表人授权代表：</w:t>
      </w:r>
    </w:p>
    <w:p w14:paraId="53777181">
      <w:pPr>
        <w:spacing w:line="500" w:lineRule="exact"/>
        <w:rPr>
          <w:rFonts w:hint="eastAsia" w:ascii="仿宋" w:hAnsi="仿宋" w:eastAsia="仿宋" w:cs="仿宋"/>
          <w:color w:val="auto"/>
          <w:sz w:val="24"/>
          <w:szCs w:val="28"/>
          <w:highlight w:val="none"/>
        </w:rPr>
      </w:pPr>
    </w:p>
    <w:p w14:paraId="23BD9A1F">
      <w:pPr>
        <w:spacing w:line="500" w:lineRule="exact"/>
        <w:ind w:firstLine="840" w:firstLineChars="35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（供应商公章）                                 （签字或盖章）</w:t>
      </w:r>
    </w:p>
    <w:p w14:paraId="30F5A211">
      <w:pPr>
        <w:tabs>
          <w:tab w:val="left" w:pos="6300"/>
        </w:tabs>
        <w:snapToGrid w:val="0"/>
        <w:spacing w:line="500" w:lineRule="exact"/>
        <w:ind w:firstLine="570"/>
        <w:jc w:val="right"/>
        <w:rPr>
          <w:rFonts w:hint="eastAsia" w:ascii="仿宋" w:hAnsi="仿宋" w:eastAsia="仿宋" w:cs="仿宋"/>
          <w:color w:val="auto"/>
          <w:sz w:val="24"/>
          <w:highlight w:val="none"/>
        </w:rPr>
      </w:pPr>
      <w:r>
        <w:rPr>
          <w:rFonts w:hint="eastAsia" w:ascii="仿宋" w:hAnsi="仿宋" w:eastAsia="仿宋" w:cs="仿宋"/>
          <w:color w:val="auto"/>
          <w:sz w:val="24"/>
          <w:szCs w:val="28"/>
          <w:highlight w:val="none"/>
        </w:rPr>
        <w:t>年  月  日</w:t>
      </w:r>
    </w:p>
    <w:p w14:paraId="51E0D548">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14:paraId="4F3C8D6B">
      <w:pPr>
        <w:tabs>
          <w:tab w:val="left" w:pos="6300"/>
        </w:tabs>
        <w:snapToGrid w:val="0"/>
        <w:spacing w:line="5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1.本表即为对本项目“第二篇</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项目技术需求”中所列条款进行比较和响应；</w:t>
      </w:r>
    </w:p>
    <w:p w14:paraId="157FCDCA">
      <w:pPr>
        <w:tabs>
          <w:tab w:val="left" w:pos="6300"/>
        </w:tabs>
        <w:snapToGrid w:val="0"/>
        <w:spacing w:line="5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2.本表可扩展。</w:t>
      </w:r>
    </w:p>
    <w:p w14:paraId="11D4E400">
      <w:pPr>
        <w:tabs>
          <w:tab w:val="left" w:pos="6300"/>
        </w:tabs>
        <w:snapToGrid w:val="0"/>
        <w:spacing w:line="5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根据响应情况在“差异说明”项填写正偏离或负偏离及原因，完全符合的填写“无差异”。如投标人未应答或只注明“符合”、“满足”等类似无具体数值或内容的表述，视为不满足对应条款；差异说明必须注明“正偏离”或“负偏离”或”无差异“，如以其他方式填写则失去中标候选人资格。</w:t>
      </w:r>
    </w:p>
    <w:p w14:paraId="52DBE658">
      <w:pPr>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auto"/>
          <w:sz w:val="24"/>
          <w:szCs w:val="24"/>
          <w:highlight w:val="none"/>
        </w:rPr>
        <w:br w:type="page"/>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二</w:t>
      </w:r>
      <w:r>
        <w:rPr>
          <w:rFonts w:hint="eastAsia" w:ascii="仿宋" w:hAnsi="仿宋" w:eastAsia="仿宋" w:cs="仿宋"/>
          <w:color w:val="000000" w:themeColor="text1"/>
          <w:sz w:val="24"/>
          <w:szCs w:val="24"/>
          <w:highlight w:val="none"/>
          <w14:textFill>
            <w14:solidFill>
              <w14:schemeClr w14:val="tx1"/>
            </w14:solidFill>
          </w14:textFill>
        </w:rPr>
        <w:t>）技术部分其他资料</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如有）</w:t>
      </w:r>
    </w:p>
    <w:p w14:paraId="42B4A3A8">
      <w:pPr>
        <w:pStyle w:val="5"/>
        <w:rPr>
          <w:rFonts w:hint="eastAsia" w:ascii="仿宋" w:hAnsi="仿宋" w:eastAsia="仿宋" w:cs="仿宋"/>
          <w:color w:val="auto"/>
          <w:sz w:val="24"/>
          <w:szCs w:val="24"/>
          <w:highlight w:val="none"/>
        </w:rPr>
      </w:pPr>
      <w:r>
        <w:rPr>
          <w:rFonts w:hint="eastAsia" w:ascii="仿宋" w:hAnsi="仿宋" w:eastAsia="仿宋" w:cs="仿宋"/>
          <w:color w:val="auto"/>
          <w:highlight w:val="none"/>
        </w:rPr>
        <w:br w:type="page"/>
      </w:r>
      <w:bookmarkStart w:id="136" w:name="_Toc29626"/>
      <w:bookmarkStart w:id="137" w:name="_Toc18617"/>
      <w:bookmarkStart w:id="138" w:name="_Toc313888362"/>
      <w:bookmarkStart w:id="139" w:name="_Toc103679701"/>
      <w:bookmarkStart w:id="140" w:name="_Toc313008358"/>
      <w:bookmarkStart w:id="141" w:name="_Toc30551"/>
      <w:bookmarkStart w:id="142" w:name="_Toc342913421"/>
      <w:bookmarkStart w:id="143" w:name="_Toc28935"/>
      <w:r>
        <w:rPr>
          <w:rFonts w:hint="eastAsia" w:ascii="仿宋" w:hAnsi="仿宋" w:eastAsia="仿宋" w:cs="仿宋"/>
          <w:color w:val="auto"/>
          <w:sz w:val="24"/>
          <w:szCs w:val="24"/>
          <w:highlight w:val="none"/>
        </w:rPr>
        <w:t>三、商务部分</w:t>
      </w:r>
      <w:bookmarkEnd w:id="136"/>
      <w:bookmarkEnd w:id="137"/>
      <w:bookmarkEnd w:id="138"/>
      <w:bookmarkEnd w:id="139"/>
      <w:bookmarkEnd w:id="140"/>
      <w:bookmarkEnd w:id="141"/>
      <w:bookmarkEnd w:id="142"/>
      <w:bookmarkEnd w:id="143"/>
    </w:p>
    <w:p w14:paraId="5919CF1E">
      <w:pPr>
        <w:snapToGrid w:val="0"/>
        <w:spacing w:line="360" w:lineRule="auto"/>
        <w:rPr>
          <w:rFonts w:hint="eastAsia" w:ascii="仿宋" w:hAnsi="仿宋" w:eastAsia="仿宋" w:cs="仿宋"/>
          <w:color w:val="auto"/>
          <w:sz w:val="24"/>
          <w:szCs w:val="24"/>
          <w:highlight w:val="none"/>
        </w:rPr>
      </w:pPr>
      <w:bookmarkStart w:id="144" w:name="_Toc283382459"/>
      <w:r>
        <w:rPr>
          <w:rFonts w:hint="eastAsia" w:ascii="仿宋" w:hAnsi="仿宋" w:eastAsia="仿宋" w:cs="仿宋"/>
          <w:color w:val="auto"/>
          <w:sz w:val="24"/>
          <w:szCs w:val="24"/>
          <w:highlight w:val="none"/>
        </w:rPr>
        <w:t>（一）商务响应偏离表</w:t>
      </w:r>
    </w:p>
    <w:p w14:paraId="52C26D9A">
      <w:pPr>
        <w:snapToGrid w:val="0"/>
        <w:spacing w:line="360" w:lineRule="auto"/>
        <w:jc w:val="center"/>
        <w:rPr>
          <w:rFonts w:hint="eastAsia" w:ascii="仿宋" w:hAnsi="仿宋" w:eastAsia="仿宋" w:cs="仿宋"/>
          <w:b/>
          <w:color w:val="auto"/>
          <w:szCs w:val="28"/>
          <w:highlight w:val="none"/>
        </w:rPr>
      </w:pPr>
      <w:r>
        <w:rPr>
          <w:rFonts w:hint="eastAsia" w:ascii="仿宋" w:hAnsi="仿宋" w:eastAsia="仿宋" w:cs="仿宋"/>
          <w:b/>
          <w:color w:val="auto"/>
          <w:szCs w:val="28"/>
          <w:highlight w:val="none"/>
        </w:rPr>
        <w:t>商务响应偏离表</w:t>
      </w:r>
    </w:p>
    <w:p w14:paraId="4593B422">
      <w:pPr>
        <w:snapToGrid w:val="0"/>
        <w:spacing w:line="360" w:lineRule="auto"/>
        <w:ind w:firstLine="465"/>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对于网上竞采文件的商务要求，如有任何偏离请如实填写下表：</w:t>
      </w:r>
    </w:p>
    <w:tbl>
      <w:tblPr>
        <w:tblStyle w:val="63"/>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6B6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1EA5340D">
            <w:pPr>
              <w:tabs>
                <w:tab w:val="left" w:pos="6300"/>
              </w:tabs>
              <w:snapToGrid w:val="0"/>
              <w:spacing w:line="360" w:lineRule="auto"/>
              <w:jc w:val="center"/>
              <w:outlineLvl w:val="0"/>
              <w:rPr>
                <w:rFonts w:hint="eastAsia" w:ascii="仿宋" w:hAnsi="仿宋" w:eastAsia="仿宋" w:cs="仿宋"/>
                <w:color w:val="auto"/>
                <w:sz w:val="21"/>
                <w:szCs w:val="24"/>
                <w:highlight w:val="none"/>
              </w:rPr>
            </w:pPr>
            <w:r>
              <w:rPr>
                <w:rFonts w:hint="eastAsia" w:ascii="仿宋" w:hAnsi="仿宋" w:eastAsia="仿宋" w:cs="仿宋"/>
                <w:color w:val="auto"/>
                <w:sz w:val="21"/>
                <w:szCs w:val="24"/>
                <w:highlight w:val="none"/>
              </w:rPr>
              <w:t>序号</w:t>
            </w:r>
          </w:p>
        </w:tc>
        <w:tc>
          <w:tcPr>
            <w:tcW w:w="3179" w:type="dxa"/>
            <w:vAlign w:val="center"/>
          </w:tcPr>
          <w:p w14:paraId="5EAABD71">
            <w:pPr>
              <w:tabs>
                <w:tab w:val="left" w:pos="6300"/>
              </w:tabs>
              <w:snapToGrid w:val="0"/>
              <w:spacing w:line="360" w:lineRule="auto"/>
              <w:jc w:val="center"/>
              <w:outlineLvl w:val="0"/>
              <w:rPr>
                <w:rFonts w:hint="eastAsia" w:ascii="仿宋" w:hAnsi="仿宋" w:eastAsia="仿宋" w:cs="仿宋"/>
                <w:color w:val="auto"/>
                <w:sz w:val="21"/>
                <w:szCs w:val="24"/>
                <w:highlight w:val="none"/>
              </w:rPr>
            </w:pPr>
            <w:r>
              <w:rPr>
                <w:rFonts w:hint="eastAsia" w:ascii="仿宋" w:hAnsi="仿宋" w:eastAsia="仿宋" w:cs="仿宋"/>
                <w:color w:val="auto"/>
                <w:sz w:val="21"/>
                <w:szCs w:val="24"/>
                <w:highlight w:val="none"/>
              </w:rPr>
              <w:t>采购项目需求</w:t>
            </w:r>
          </w:p>
        </w:tc>
        <w:tc>
          <w:tcPr>
            <w:tcW w:w="2434" w:type="dxa"/>
            <w:vAlign w:val="center"/>
          </w:tcPr>
          <w:p w14:paraId="12524BF4">
            <w:pPr>
              <w:tabs>
                <w:tab w:val="left" w:pos="6300"/>
              </w:tabs>
              <w:snapToGrid w:val="0"/>
              <w:spacing w:line="360" w:lineRule="auto"/>
              <w:jc w:val="center"/>
              <w:outlineLvl w:val="0"/>
              <w:rPr>
                <w:rFonts w:hint="eastAsia" w:ascii="仿宋" w:hAnsi="仿宋" w:eastAsia="仿宋" w:cs="仿宋"/>
                <w:color w:val="auto"/>
                <w:sz w:val="21"/>
                <w:szCs w:val="24"/>
                <w:highlight w:val="none"/>
              </w:rPr>
            </w:pPr>
            <w:r>
              <w:rPr>
                <w:rFonts w:hint="eastAsia" w:ascii="仿宋" w:hAnsi="仿宋" w:eastAsia="仿宋" w:cs="仿宋"/>
                <w:color w:val="auto"/>
                <w:sz w:val="21"/>
                <w:szCs w:val="24"/>
                <w:highlight w:val="none"/>
              </w:rPr>
              <w:t>响应情况</w:t>
            </w:r>
          </w:p>
        </w:tc>
        <w:tc>
          <w:tcPr>
            <w:tcW w:w="2355" w:type="dxa"/>
            <w:vAlign w:val="center"/>
          </w:tcPr>
          <w:p w14:paraId="7C27E79D">
            <w:pPr>
              <w:tabs>
                <w:tab w:val="left" w:pos="6300"/>
              </w:tabs>
              <w:snapToGrid w:val="0"/>
              <w:spacing w:line="360" w:lineRule="auto"/>
              <w:jc w:val="center"/>
              <w:outlineLvl w:val="0"/>
              <w:rPr>
                <w:rFonts w:hint="eastAsia" w:ascii="仿宋" w:hAnsi="仿宋" w:eastAsia="仿宋" w:cs="仿宋"/>
                <w:color w:val="auto"/>
                <w:sz w:val="21"/>
                <w:szCs w:val="24"/>
                <w:highlight w:val="none"/>
              </w:rPr>
            </w:pPr>
            <w:r>
              <w:rPr>
                <w:rFonts w:hint="eastAsia" w:ascii="仿宋" w:hAnsi="仿宋" w:eastAsia="仿宋" w:cs="仿宋"/>
                <w:color w:val="auto"/>
                <w:sz w:val="21"/>
                <w:szCs w:val="24"/>
                <w:highlight w:val="none"/>
              </w:rPr>
              <w:t>差异说明</w:t>
            </w:r>
          </w:p>
        </w:tc>
      </w:tr>
      <w:tr w14:paraId="73C9C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1942C2B">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325F9391">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6EEFF3DE">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0239D0AB">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43AF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E39AFD0">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65EBD0D6">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3752052E">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18170618">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14C1A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5BCFE69">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6CD9988C">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1C4F0E2B">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725B1BF6">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3E70B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5A5C276">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6D73D135">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129BB0CA">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3EF5A6D4">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5208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1209C84">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50D602C4">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258CD52B">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2790F952">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r w14:paraId="55CD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674ED75">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3179" w:type="dxa"/>
            <w:vAlign w:val="center"/>
          </w:tcPr>
          <w:p w14:paraId="11C0BBE1">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434" w:type="dxa"/>
            <w:vAlign w:val="center"/>
          </w:tcPr>
          <w:p w14:paraId="3DFCE8D6">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c>
          <w:tcPr>
            <w:tcW w:w="2355" w:type="dxa"/>
            <w:vAlign w:val="center"/>
          </w:tcPr>
          <w:p w14:paraId="27B94288">
            <w:pPr>
              <w:tabs>
                <w:tab w:val="left" w:pos="6300"/>
              </w:tabs>
              <w:snapToGrid w:val="0"/>
              <w:spacing w:line="360" w:lineRule="auto"/>
              <w:jc w:val="center"/>
              <w:outlineLvl w:val="0"/>
              <w:rPr>
                <w:rFonts w:hint="eastAsia" w:ascii="仿宋" w:hAnsi="仿宋" w:eastAsia="仿宋" w:cs="仿宋"/>
                <w:color w:val="auto"/>
                <w:sz w:val="21"/>
                <w:szCs w:val="24"/>
                <w:highlight w:val="none"/>
              </w:rPr>
            </w:pPr>
          </w:p>
        </w:tc>
      </w:tr>
    </w:tbl>
    <w:p w14:paraId="621F55E6">
      <w:pPr>
        <w:snapToGrid w:val="0"/>
        <w:spacing w:line="360" w:lineRule="auto"/>
        <w:ind w:firstLine="465"/>
        <w:rPr>
          <w:rFonts w:hint="eastAsia" w:ascii="仿宋" w:hAnsi="仿宋" w:eastAsia="仿宋" w:cs="仿宋"/>
          <w:color w:val="auto"/>
          <w:sz w:val="24"/>
          <w:szCs w:val="24"/>
          <w:highlight w:val="none"/>
        </w:rPr>
      </w:pPr>
    </w:p>
    <w:p w14:paraId="734E256C">
      <w:pPr>
        <w:spacing w:line="500" w:lineRule="exact"/>
        <w:ind w:firstLine="600" w:firstLineChars="25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                                     法定代表人授权代表：</w:t>
      </w:r>
    </w:p>
    <w:p w14:paraId="024E84CC">
      <w:pPr>
        <w:spacing w:line="500" w:lineRule="exact"/>
        <w:rPr>
          <w:rFonts w:hint="eastAsia" w:ascii="仿宋" w:hAnsi="仿宋" w:eastAsia="仿宋" w:cs="仿宋"/>
          <w:color w:val="auto"/>
          <w:sz w:val="24"/>
          <w:szCs w:val="28"/>
          <w:highlight w:val="none"/>
        </w:rPr>
      </w:pPr>
    </w:p>
    <w:p w14:paraId="53D0829E">
      <w:pPr>
        <w:spacing w:line="500" w:lineRule="exact"/>
        <w:ind w:firstLine="600" w:firstLineChars="25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（供应商公章）                                   （签字或盖章）</w:t>
      </w:r>
    </w:p>
    <w:p w14:paraId="02355DB5">
      <w:pPr>
        <w:tabs>
          <w:tab w:val="left" w:pos="6300"/>
        </w:tabs>
        <w:snapToGrid w:val="0"/>
        <w:spacing w:line="500" w:lineRule="exact"/>
        <w:ind w:firstLine="570"/>
        <w:jc w:val="right"/>
        <w:rPr>
          <w:rFonts w:hint="eastAsia" w:ascii="仿宋" w:hAnsi="仿宋" w:eastAsia="仿宋" w:cs="仿宋"/>
          <w:color w:val="auto"/>
          <w:sz w:val="24"/>
          <w:highlight w:val="none"/>
        </w:rPr>
      </w:pPr>
      <w:r>
        <w:rPr>
          <w:rFonts w:hint="eastAsia" w:ascii="仿宋" w:hAnsi="仿宋" w:eastAsia="仿宋" w:cs="仿宋"/>
          <w:color w:val="auto"/>
          <w:sz w:val="24"/>
          <w:szCs w:val="28"/>
          <w:highlight w:val="none"/>
        </w:rPr>
        <w:t>年 月  日</w:t>
      </w:r>
    </w:p>
    <w:p w14:paraId="1B51CA1B">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14:paraId="37783276">
      <w:pPr>
        <w:tabs>
          <w:tab w:val="left" w:pos="6300"/>
        </w:tabs>
        <w:snapToGrid w:val="0"/>
        <w:spacing w:line="5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1.本表即为对本项目“第三篇</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项目商务需求”中所列条款进行比较和响应；</w:t>
      </w:r>
    </w:p>
    <w:p w14:paraId="5B41F734">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2.本表可扩展</w:t>
      </w:r>
      <w:r>
        <w:rPr>
          <w:rFonts w:hint="eastAsia" w:ascii="仿宋" w:hAnsi="仿宋" w:eastAsia="仿宋" w:cs="仿宋"/>
          <w:color w:val="auto"/>
          <w:sz w:val="24"/>
          <w:highlight w:val="none"/>
        </w:rPr>
        <w:t>。</w:t>
      </w:r>
    </w:p>
    <w:p w14:paraId="4321C0F1">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根据响应情况在“差异说明”项填写正偏离或负偏离及原因，完全符合的填写“无差异”。如投标人未应答或只注明“符合”、“满足”等类似无具体数值或内容的表述，视为不满足对应条款；差异说明必须注明“正偏离”或“负偏离”或”无差异“，如以其他方式填写则失去中标候选人资格。</w:t>
      </w:r>
    </w:p>
    <w:p w14:paraId="3ECC2E3C">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57CEC745">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（二）商务部分其他资料</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如有，格式自拟）</w:t>
      </w:r>
      <w:r>
        <w:rPr>
          <w:rFonts w:hint="eastAsia" w:ascii="仿宋" w:hAnsi="仿宋" w:eastAsia="仿宋" w:cs="仿宋"/>
          <w:color w:val="auto"/>
          <w:sz w:val="24"/>
          <w:szCs w:val="24"/>
          <w:highlight w:val="none"/>
        </w:rPr>
        <w:br w:type="page"/>
      </w:r>
      <w:bookmarkEnd w:id="144"/>
      <w:bookmarkStart w:id="145" w:name="_Toc26076"/>
      <w:bookmarkStart w:id="146" w:name="_Toc19396"/>
      <w:bookmarkStart w:id="147" w:name="_Toc103679702"/>
      <w:bookmarkStart w:id="148" w:name="_Toc30310"/>
      <w:bookmarkStart w:id="149" w:name="_Toc16819"/>
      <w:bookmarkStart w:id="150" w:name="_Toc313008359"/>
      <w:bookmarkStart w:id="151" w:name="_Toc313888363"/>
      <w:bookmarkStart w:id="152" w:name="_Toc342913422"/>
      <w:r>
        <w:rPr>
          <w:rFonts w:hint="eastAsia" w:ascii="仿宋" w:hAnsi="仿宋" w:eastAsia="仿宋" w:cs="仿宋"/>
          <w:color w:val="auto"/>
          <w:sz w:val="24"/>
          <w:szCs w:val="24"/>
          <w:highlight w:val="none"/>
        </w:rPr>
        <w:t>四、资格条件及其他</w:t>
      </w:r>
      <w:bookmarkEnd w:id="145"/>
      <w:bookmarkEnd w:id="146"/>
      <w:bookmarkEnd w:id="147"/>
      <w:bookmarkEnd w:id="148"/>
      <w:bookmarkEnd w:id="149"/>
      <w:bookmarkEnd w:id="150"/>
      <w:bookmarkEnd w:id="151"/>
      <w:bookmarkEnd w:id="152"/>
    </w:p>
    <w:p w14:paraId="2918AC65">
      <w:pPr>
        <w:tabs>
          <w:tab w:val="left" w:pos="6300"/>
        </w:tabs>
        <w:snapToGrid w:val="0"/>
        <w:spacing w:line="500" w:lineRule="exact"/>
        <w:ind w:firstLine="57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（一）法人营业执照（副本）或事业单位法人证书（副本）或个体工商户营业执照或有效的自然人身份证明或社会团体法人登记证书</w:t>
      </w:r>
    </w:p>
    <w:p w14:paraId="4076B5DE">
      <w:pPr>
        <w:pStyle w:val="62"/>
        <w:ind w:left="560" w:firstLine="880"/>
        <w:rPr>
          <w:rFonts w:hint="eastAsia" w:ascii="仿宋" w:hAnsi="仿宋" w:eastAsia="仿宋" w:cs="仿宋"/>
          <w:color w:val="auto"/>
          <w:highlight w:val="none"/>
        </w:rPr>
      </w:pPr>
    </w:p>
    <w:p w14:paraId="48B3992C">
      <w:pPr>
        <w:pStyle w:val="62"/>
        <w:ind w:left="560" w:firstLine="880"/>
        <w:rPr>
          <w:rFonts w:hint="eastAsia" w:ascii="仿宋" w:hAnsi="仿宋" w:eastAsia="仿宋" w:cs="仿宋"/>
          <w:color w:val="auto"/>
          <w:highlight w:val="none"/>
        </w:rPr>
      </w:pPr>
    </w:p>
    <w:p w14:paraId="73EC1A9F">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331209D5">
      <w:pPr>
        <w:widowControl/>
        <w:ind w:firstLine="480" w:firstLineChars="200"/>
        <w:jc w:val="left"/>
        <w:rPr>
          <w:rFonts w:hint="eastAsia" w:ascii="仿宋" w:hAnsi="仿宋" w:eastAsia="仿宋" w:cs="仿宋"/>
          <w:color w:val="auto"/>
          <w:highlight w:val="none"/>
        </w:rPr>
      </w:pPr>
      <w:r>
        <w:rPr>
          <w:rFonts w:hint="eastAsia" w:ascii="仿宋" w:hAnsi="仿宋" w:eastAsia="仿宋" w:cs="仿宋"/>
          <w:color w:val="auto"/>
          <w:sz w:val="24"/>
          <w:szCs w:val="24"/>
          <w:highlight w:val="none"/>
        </w:rPr>
        <w:t>（二）法定代表人身份证明书（格式）</w:t>
      </w:r>
    </w:p>
    <w:p w14:paraId="408ADB48">
      <w:pPr>
        <w:tabs>
          <w:tab w:val="left" w:pos="6300"/>
        </w:tabs>
        <w:snapToGrid w:val="0"/>
        <w:spacing w:line="500" w:lineRule="exact"/>
        <w:ind w:firstLine="570"/>
        <w:rPr>
          <w:rFonts w:hint="eastAsia" w:ascii="仿宋" w:hAnsi="仿宋" w:eastAsia="仿宋" w:cs="仿宋"/>
          <w:color w:val="auto"/>
          <w:sz w:val="24"/>
          <w:highlight w:val="none"/>
        </w:rPr>
      </w:pPr>
    </w:p>
    <w:p w14:paraId="3952C972">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采购项目名称：</w:t>
      </w:r>
    </w:p>
    <w:p w14:paraId="40729D4E">
      <w:pPr>
        <w:tabs>
          <w:tab w:val="left" w:pos="6300"/>
        </w:tabs>
        <w:snapToGrid w:val="0"/>
        <w:spacing w:line="500" w:lineRule="exact"/>
        <w:ind w:firstLine="570"/>
        <w:rPr>
          <w:rFonts w:hint="eastAsia" w:ascii="仿宋" w:hAnsi="仿宋" w:eastAsia="仿宋" w:cs="仿宋"/>
          <w:color w:val="auto"/>
          <w:sz w:val="24"/>
          <w:highlight w:val="none"/>
        </w:rPr>
      </w:pPr>
    </w:p>
    <w:p w14:paraId="4C6D8D52">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（采购人名称）：</w:t>
      </w:r>
    </w:p>
    <w:p w14:paraId="4CB1B713">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（法定代表人姓名）在</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（供应商名称）任</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（职务名称）职务，是</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（供应商名称）的法定代表人。</w:t>
      </w:r>
    </w:p>
    <w:p w14:paraId="195ADF8F">
      <w:pPr>
        <w:tabs>
          <w:tab w:val="left" w:pos="6300"/>
        </w:tabs>
        <w:snapToGrid w:val="0"/>
        <w:spacing w:line="500" w:lineRule="exact"/>
        <w:ind w:firstLine="570"/>
        <w:rPr>
          <w:rFonts w:hint="eastAsia" w:ascii="仿宋" w:hAnsi="仿宋" w:eastAsia="仿宋" w:cs="仿宋"/>
          <w:color w:val="auto"/>
          <w:sz w:val="24"/>
          <w:highlight w:val="none"/>
        </w:rPr>
      </w:pPr>
    </w:p>
    <w:p w14:paraId="24BC8947">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4CB76BCA">
      <w:pPr>
        <w:tabs>
          <w:tab w:val="left" w:pos="6300"/>
        </w:tabs>
        <w:snapToGrid w:val="0"/>
        <w:spacing w:line="500" w:lineRule="exact"/>
        <w:ind w:firstLine="570"/>
        <w:rPr>
          <w:rFonts w:hint="eastAsia" w:ascii="仿宋" w:hAnsi="仿宋" w:eastAsia="仿宋" w:cs="仿宋"/>
          <w:color w:val="auto"/>
          <w:sz w:val="24"/>
          <w:highlight w:val="none"/>
        </w:rPr>
      </w:pPr>
    </w:p>
    <w:p w14:paraId="60199835">
      <w:pPr>
        <w:tabs>
          <w:tab w:val="left" w:pos="6300"/>
        </w:tabs>
        <w:snapToGrid w:val="0"/>
        <w:spacing w:line="500" w:lineRule="exact"/>
        <w:ind w:firstLine="570"/>
        <w:rPr>
          <w:rFonts w:hint="eastAsia" w:ascii="仿宋" w:hAnsi="仿宋" w:eastAsia="仿宋" w:cs="仿宋"/>
          <w:color w:val="auto"/>
          <w:sz w:val="24"/>
          <w:highlight w:val="none"/>
        </w:rPr>
      </w:pPr>
    </w:p>
    <w:p w14:paraId="753D6D2D">
      <w:pPr>
        <w:tabs>
          <w:tab w:val="left" w:pos="6300"/>
        </w:tabs>
        <w:snapToGrid w:val="0"/>
        <w:spacing w:line="500" w:lineRule="exact"/>
        <w:ind w:firstLine="570"/>
        <w:rPr>
          <w:rFonts w:hint="eastAsia" w:ascii="仿宋" w:hAnsi="仿宋" w:eastAsia="仿宋" w:cs="仿宋"/>
          <w:color w:val="auto"/>
          <w:sz w:val="24"/>
          <w:highlight w:val="none"/>
        </w:rPr>
      </w:pPr>
    </w:p>
    <w:p w14:paraId="20493708">
      <w:pPr>
        <w:tabs>
          <w:tab w:val="left" w:pos="6300"/>
        </w:tabs>
        <w:snapToGrid w:val="0"/>
        <w:spacing w:line="500" w:lineRule="exact"/>
        <w:ind w:firstLine="57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（供应商公章）</w:t>
      </w:r>
    </w:p>
    <w:p w14:paraId="0D8FA09B">
      <w:pPr>
        <w:tabs>
          <w:tab w:val="left" w:pos="6300"/>
        </w:tabs>
        <w:snapToGrid w:val="0"/>
        <w:spacing w:line="500" w:lineRule="exact"/>
        <w:ind w:firstLine="570"/>
        <w:rPr>
          <w:rFonts w:hint="eastAsia" w:ascii="仿宋" w:hAnsi="仿宋" w:eastAsia="仿宋" w:cs="仿宋"/>
          <w:color w:val="auto"/>
          <w:sz w:val="24"/>
          <w:highlight w:val="none"/>
        </w:rPr>
      </w:pPr>
    </w:p>
    <w:p w14:paraId="5CADC2A3">
      <w:pPr>
        <w:tabs>
          <w:tab w:val="left" w:pos="6300"/>
        </w:tabs>
        <w:snapToGrid w:val="0"/>
        <w:spacing w:line="500" w:lineRule="exact"/>
        <w:ind w:firstLine="57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3424276F">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（附：法定代表人身份证正反面复印件）</w:t>
      </w:r>
    </w:p>
    <w:p w14:paraId="164739EE">
      <w:pPr>
        <w:tabs>
          <w:tab w:val="left" w:pos="6300"/>
        </w:tabs>
        <w:snapToGrid w:val="0"/>
        <w:spacing w:line="500" w:lineRule="exact"/>
        <w:ind w:firstLine="570"/>
        <w:rPr>
          <w:rFonts w:hint="eastAsia" w:ascii="仿宋" w:hAnsi="仿宋" w:eastAsia="仿宋" w:cs="仿宋"/>
          <w:color w:val="auto"/>
          <w:sz w:val="24"/>
          <w:highlight w:val="none"/>
        </w:rPr>
      </w:pPr>
    </w:p>
    <w:p w14:paraId="7491DD97">
      <w:pPr>
        <w:tabs>
          <w:tab w:val="left" w:pos="6300"/>
        </w:tabs>
        <w:snapToGrid w:val="0"/>
        <w:spacing w:line="500" w:lineRule="exact"/>
        <w:ind w:firstLine="570"/>
        <w:rPr>
          <w:rFonts w:hint="eastAsia" w:ascii="仿宋" w:hAnsi="仿宋" w:eastAsia="仿宋" w:cs="仿宋"/>
          <w:color w:val="auto"/>
          <w:sz w:val="24"/>
          <w:highlight w:val="none"/>
        </w:rPr>
      </w:pPr>
    </w:p>
    <w:p w14:paraId="4365209D">
      <w:pPr>
        <w:tabs>
          <w:tab w:val="left" w:pos="6300"/>
        </w:tabs>
        <w:snapToGrid w:val="0"/>
        <w:spacing w:line="500" w:lineRule="exact"/>
        <w:ind w:firstLine="570"/>
        <w:rPr>
          <w:rFonts w:hint="eastAsia" w:ascii="仿宋" w:hAnsi="仿宋" w:eastAsia="仿宋" w:cs="仿宋"/>
          <w:color w:val="auto"/>
          <w:sz w:val="24"/>
          <w:highlight w:val="none"/>
        </w:rPr>
      </w:pPr>
    </w:p>
    <w:p w14:paraId="7AF2F80D">
      <w:pPr>
        <w:tabs>
          <w:tab w:val="left" w:pos="6300"/>
        </w:tabs>
        <w:snapToGrid w:val="0"/>
        <w:spacing w:line="500" w:lineRule="exact"/>
        <w:ind w:firstLine="570"/>
        <w:rPr>
          <w:rFonts w:hint="eastAsia" w:ascii="仿宋" w:hAnsi="仿宋" w:eastAsia="仿宋" w:cs="仿宋"/>
          <w:color w:val="auto"/>
          <w:sz w:val="24"/>
          <w:highlight w:val="none"/>
        </w:rPr>
      </w:pPr>
    </w:p>
    <w:p w14:paraId="2CCC3C27">
      <w:pPr>
        <w:tabs>
          <w:tab w:val="left" w:pos="6300"/>
        </w:tabs>
        <w:snapToGrid w:val="0"/>
        <w:spacing w:line="500" w:lineRule="exact"/>
        <w:ind w:firstLine="570"/>
        <w:rPr>
          <w:rFonts w:hint="eastAsia" w:ascii="仿宋" w:hAnsi="仿宋" w:eastAsia="仿宋" w:cs="仿宋"/>
          <w:color w:val="auto"/>
          <w:sz w:val="24"/>
          <w:highlight w:val="none"/>
        </w:rPr>
      </w:pPr>
    </w:p>
    <w:p w14:paraId="68FEFD5D">
      <w:pPr>
        <w:tabs>
          <w:tab w:val="left" w:pos="6300"/>
        </w:tabs>
        <w:snapToGrid w:val="0"/>
        <w:spacing w:line="500" w:lineRule="exact"/>
        <w:ind w:firstLine="570"/>
        <w:rPr>
          <w:rFonts w:hint="eastAsia" w:ascii="仿宋" w:hAnsi="仿宋" w:eastAsia="仿宋" w:cs="仿宋"/>
          <w:color w:val="auto"/>
          <w:sz w:val="24"/>
          <w:highlight w:val="none"/>
        </w:rPr>
      </w:pPr>
    </w:p>
    <w:p w14:paraId="00458FA4">
      <w:pPr>
        <w:tabs>
          <w:tab w:val="left" w:pos="6300"/>
        </w:tabs>
        <w:snapToGrid w:val="0"/>
        <w:spacing w:line="500" w:lineRule="exact"/>
        <w:ind w:firstLine="570"/>
        <w:rPr>
          <w:rFonts w:hint="eastAsia" w:ascii="仿宋" w:hAnsi="仿宋" w:eastAsia="仿宋" w:cs="仿宋"/>
          <w:color w:val="auto"/>
          <w:highlight w:val="none"/>
        </w:rPr>
      </w:pPr>
      <w:r>
        <w:rPr>
          <w:rFonts w:hint="eastAsia" w:ascii="仿宋" w:hAnsi="仿宋" w:eastAsia="仿宋" w:cs="仿宋"/>
          <w:color w:val="auto"/>
          <w:highlight w:val="none"/>
        </w:rPr>
        <w:br w:type="column"/>
      </w:r>
      <w:r>
        <w:rPr>
          <w:rFonts w:hint="eastAsia" w:ascii="仿宋" w:hAnsi="仿宋" w:eastAsia="仿宋" w:cs="仿宋"/>
          <w:color w:val="auto"/>
          <w:sz w:val="24"/>
          <w:szCs w:val="24"/>
          <w:highlight w:val="none"/>
        </w:rPr>
        <w:t>（三）法定代表人授权委托书（格式）</w:t>
      </w:r>
    </w:p>
    <w:p w14:paraId="2F07BB14">
      <w:pPr>
        <w:tabs>
          <w:tab w:val="left" w:pos="6300"/>
        </w:tabs>
        <w:snapToGrid w:val="0"/>
        <w:spacing w:line="500" w:lineRule="exact"/>
        <w:ind w:firstLine="570"/>
        <w:rPr>
          <w:rFonts w:hint="eastAsia" w:ascii="仿宋" w:hAnsi="仿宋" w:eastAsia="仿宋" w:cs="仿宋"/>
          <w:color w:val="auto"/>
          <w:sz w:val="24"/>
          <w:highlight w:val="none"/>
        </w:rPr>
      </w:pPr>
    </w:p>
    <w:p w14:paraId="319EB3E6">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szCs w:val="28"/>
          <w:highlight w:val="none"/>
        </w:rPr>
        <w:t>采购项目名称</w:t>
      </w:r>
      <w:r>
        <w:rPr>
          <w:rFonts w:hint="eastAsia" w:ascii="仿宋" w:hAnsi="仿宋" w:eastAsia="仿宋" w:cs="仿宋"/>
          <w:color w:val="auto"/>
          <w:sz w:val="24"/>
          <w:highlight w:val="none"/>
        </w:rPr>
        <w:t>：</w:t>
      </w:r>
    </w:p>
    <w:p w14:paraId="6FCAE32A">
      <w:pPr>
        <w:tabs>
          <w:tab w:val="left" w:pos="6300"/>
        </w:tabs>
        <w:snapToGrid w:val="0"/>
        <w:spacing w:line="500" w:lineRule="exact"/>
        <w:ind w:firstLine="570"/>
        <w:rPr>
          <w:rFonts w:hint="eastAsia" w:ascii="仿宋" w:hAnsi="仿宋" w:eastAsia="仿宋" w:cs="仿宋"/>
          <w:color w:val="auto"/>
          <w:sz w:val="24"/>
          <w:highlight w:val="none"/>
        </w:rPr>
      </w:pPr>
    </w:p>
    <w:p w14:paraId="4935B996">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（采购人名称）：</w:t>
      </w:r>
    </w:p>
    <w:p w14:paraId="45EA40D4">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（供应商法定代表人名称）是</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（供应商名称）的法定代表人，特授权</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（被授权人姓名及身份证号码）代表我单位全权办理上述项目的采购、签约等具体工作，并签署全部有关文件、协议及合同。</w:t>
      </w:r>
    </w:p>
    <w:p w14:paraId="098EB3FD">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我单位对被授权人的签字负全部责任。</w:t>
      </w:r>
    </w:p>
    <w:p w14:paraId="43C6719A">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在撤消授权的书面通知以前，本授权书一直有效。被授权人在授权书有效期内签署的所有文件不因授权的撤消而失效。</w:t>
      </w:r>
    </w:p>
    <w:p w14:paraId="1A4F450D">
      <w:pPr>
        <w:tabs>
          <w:tab w:val="left" w:pos="6300"/>
        </w:tabs>
        <w:snapToGrid w:val="0"/>
        <w:spacing w:line="500" w:lineRule="exact"/>
        <w:ind w:firstLine="570"/>
        <w:rPr>
          <w:rFonts w:hint="eastAsia" w:ascii="仿宋" w:hAnsi="仿宋" w:eastAsia="仿宋" w:cs="仿宋"/>
          <w:color w:val="auto"/>
          <w:sz w:val="24"/>
          <w:highlight w:val="none"/>
        </w:rPr>
      </w:pPr>
    </w:p>
    <w:p w14:paraId="4C00E326">
      <w:pPr>
        <w:tabs>
          <w:tab w:val="left" w:pos="6300"/>
        </w:tabs>
        <w:snapToGrid w:val="0"/>
        <w:spacing w:line="500" w:lineRule="exact"/>
        <w:ind w:firstLine="570"/>
        <w:rPr>
          <w:rFonts w:hint="eastAsia" w:ascii="仿宋" w:hAnsi="仿宋" w:eastAsia="仿宋" w:cs="仿宋"/>
          <w:color w:val="auto"/>
          <w:sz w:val="24"/>
          <w:highlight w:val="none"/>
        </w:rPr>
      </w:pPr>
    </w:p>
    <w:p w14:paraId="04AC6EB9">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被授权人：                                   供应商法定代表人：</w:t>
      </w:r>
    </w:p>
    <w:p w14:paraId="313E8FC1">
      <w:pPr>
        <w:tabs>
          <w:tab w:val="left" w:pos="6300"/>
        </w:tabs>
        <w:snapToGrid w:val="0"/>
        <w:spacing w:line="500" w:lineRule="exact"/>
        <w:ind w:firstLine="57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（签字或盖章）                                （签字或盖章）</w:t>
      </w:r>
    </w:p>
    <w:p w14:paraId="53B34AF4">
      <w:pPr>
        <w:tabs>
          <w:tab w:val="left" w:pos="6300"/>
        </w:tabs>
        <w:snapToGrid w:val="0"/>
        <w:spacing w:line="500" w:lineRule="exact"/>
        <w:ind w:firstLine="570"/>
        <w:rPr>
          <w:rFonts w:hint="eastAsia" w:ascii="仿宋" w:hAnsi="仿宋" w:eastAsia="仿宋" w:cs="仿宋"/>
          <w:color w:val="auto"/>
          <w:sz w:val="24"/>
          <w:szCs w:val="28"/>
          <w:highlight w:val="none"/>
        </w:rPr>
      </w:pPr>
    </w:p>
    <w:p w14:paraId="0A6DDC98">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（附：被授权人身份证正反面复印件）</w:t>
      </w:r>
    </w:p>
    <w:p w14:paraId="349CF74D">
      <w:pPr>
        <w:tabs>
          <w:tab w:val="left" w:pos="6300"/>
        </w:tabs>
        <w:snapToGrid w:val="0"/>
        <w:spacing w:line="500" w:lineRule="exact"/>
        <w:ind w:firstLine="570"/>
        <w:rPr>
          <w:rFonts w:hint="eastAsia" w:ascii="仿宋" w:hAnsi="仿宋" w:eastAsia="仿宋" w:cs="仿宋"/>
          <w:color w:val="auto"/>
          <w:sz w:val="24"/>
          <w:highlight w:val="none"/>
        </w:rPr>
      </w:pPr>
    </w:p>
    <w:p w14:paraId="053FCB55">
      <w:pPr>
        <w:tabs>
          <w:tab w:val="left" w:pos="6300"/>
        </w:tabs>
        <w:snapToGrid w:val="0"/>
        <w:spacing w:line="500" w:lineRule="exact"/>
        <w:ind w:firstLine="570"/>
        <w:rPr>
          <w:rFonts w:hint="eastAsia" w:ascii="仿宋" w:hAnsi="仿宋" w:eastAsia="仿宋" w:cs="仿宋"/>
          <w:color w:val="auto"/>
          <w:sz w:val="24"/>
          <w:highlight w:val="none"/>
        </w:rPr>
      </w:pPr>
    </w:p>
    <w:p w14:paraId="2D95C90E">
      <w:pPr>
        <w:tabs>
          <w:tab w:val="left" w:pos="6300"/>
        </w:tabs>
        <w:snapToGrid w:val="0"/>
        <w:spacing w:line="500" w:lineRule="exact"/>
        <w:ind w:firstLine="570"/>
        <w:rPr>
          <w:rFonts w:hint="eastAsia" w:ascii="仿宋" w:hAnsi="仿宋" w:eastAsia="仿宋" w:cs="仿宋"/>
          <w:color w:val="auto"/>
          <w:sz w:val="24"/>
          <w:highlight w:val="none"/>
        </w:rPr>
      </w:pPr>
    </w:p>
    <w:p w14:paraId="6B4DED58">
      <w:pPr>
        <w:tabs>
          <w:tab w:val="left" w:pos="6300"/>
        </w:tabs>
        <w:snapToGrid w:val="0"/>
        <w:spacing w:line="500" w:lineRule="exact"/>
        <w:ind w:right="480" w:firstLine="57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（供应商公章）</w:t>
      </w:r>
    </w:p>
    <w:p w14:paraId="6EEDECF7">
      <w:pPr>
        <w:tabs>
          <w:tab w:val="left" w:pos="6300"/>
        </w:tabs>
        <w:snapToGrid w:val="0"/>
        <w:spacing w:line="500" w:lineRule="exact"/>
        <w:ind w:right="480" w:firstLine="57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5B4DC6D9">
      <w:pPr>
        <w:tabs>
          <w:tab w:val="left" w:pos="6300"/>
        </w:tabs>
        <w:snapToGrid w:val="0"/>
        <w:spacing w:line="500" w:lineRule="exact"/>
        <w:ind w:right="480" w:firstLine="570"/>
        <w:jc w:val="right"/>
        <w:rPr>
          <w:rFonts w:hint="eastAsia" w:ascii="仿宋" w:hAnsi="仿宋" w:eastAsia="仿宋" w:cs="仿宋"/>
          <w:color w:val="auto"/>
          <w:sz w:val="24"/>
          <w:highlight w:val="none"/>
        </w:rPr>
      </w:pPr>
    </w:p>
    <w:p w14:paraId="079C8ED3">
      <w:pPr>
        <w:widowControl/>
        <w:spacing w:line="400" w:lineRule="exact"/>
        <w:ind w:firstLine="56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highlight w:val="none"/>
        </w:rPr>
        <w:br w:type="column"/>
      </w:r>
      <w:bookmarkStart w:id="153" w:name="_Toc14422"/>
      <w:r>
        <w:rPr>
          <w:rFonts w:hint="eastAsia" w:ascii="仿宋" w:hAnsi="仿宋" w:eastAsia="仿宋" w:cs="仿宋"/>
          <w:color w:val="auto"/>
          <w:sz w:val="24"/>
          <w:szCs w:val="24"/>
          <w:highlight w:val="none"/>
        </w:rPr>
        <w:t>（四）基本资格条件承诺函（格式）</w:t>
      </w:r>
    </w:p>
    <w:p w14:paraId="18FE0236">
      <w:pPr>
        <w:tabs>
          <w:tab w:val="left" w:pos="6300"/>
        </w:tabs>
        <w:snapToGrid w:val="0"/>
        <w:spacing w:line="530" w:lineRule="exact"/>
        <w:rPr>
          <w:rFonts w:hint="eastAsia" w:ascii="仿宋" w:hAnsi="仿宋" w:eastAsia="仿宋" w:cs="仿宋"/>
          <w:color w:val="auto"/>
          <w:sz w:val="24"/>
          <w:highlight w:val="none"/>
        </w:rPr>
      </w:pPr>
    </w:p>
    <w:p w14:paraId="03D4E545">
      <w:pPr>
        <w:tabs>
          <w:tab w:val="left" w:pos="6300"/>
        </w:tabs>
        <w:snapToGrid w:val="0"/>
        <w:spacing w:line="5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（采购人名称）：</w:t>
      </w:r>
    </w:p>
    <w:p w14:paraId="3B1115B7">
      <w:pPr>
        <w:tabs>
          <w:tab w:val="left" w:pos="6300"/>
        </w:tabs>
        <w:snapToGrid w:val="0"/>
        <w:spacing w:line="5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（供应商名称）郑重承诺：</w:t>
      </w:r>
    </w:p>
    <w:p w14:paraId="6DAA3FB1">
      <w:pPr>
        <w:tabs>
          <w:tab w:val="left" w:pos="6300"/>
        </w:tabs>
        <w:snapToGrid w:val="0"/>
        <w:spacing w:line="500" w:lineRule="exact"/>
        <w:ind w:right="480" w:firstLine="57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1.我方具有良好的商业信誉和健全的财务会计制度，具有履行合同所必需的设备和专业技术能力，具</w:t>
      </w:r>
      <w:r>
        <w:rPr>
          <w:rFonts w:hint="eastAsia" w:ascii="仿宋" w:hAnsi="仿宋" w:eastAsia="仿宋" w:cs="仿宋"/>
          <w:color w:val="auto"/>
          <w:sz w:val="24"/>
          <w:highlight w:val="none"/>
          <w:lang w:val="zh-CN"/>
        </w:rPr>
        <w:t>有依法缴纳税收和社会保障金的良好记录</w:t>
      </w:r>
      <w:r>
        <w:rPr>
          <w:rFonts w:hint="eastAsia" w:ascii="仿宋" w:hAnsi="仿宋" w:eastAsia="仿宋" w:cs="仿宋"/>
          <w:color w:val="auto"/>
          <w:sz w:val="24"/>
          <w:highlight w:val="none"/>
        </w:rPr>
        <w:t>，参加本项目采购活动前三年内无重大违法活动记录。</w:t>
      </w:r>
    </w:p>
    <w:p w14:paraId="1B82123B">
      <w:pPr>
        <w:tabs>
          <w:tab w:val="left" w:pos="6300"/>
        </w:tabs>
        <w:snapToGrid w:val="0"/>
        <w:spacing w:line="500" w:lineRule="exact"/>
        <w:ind w:right="480" w:firstLine="57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2.我方未列入在信用中国网站（www.creditchina.gov.cn）“失信被执行人”、“重大税收违法案件当事人名单”中，也未列入中国政府采购网（www.ccgp.gov.cn）“政府采购严重违法失信行为记录名单”中。</w:t>
      </w:r>
    </w:p>
    <w:p w14:paraId="7BCD7430">
      <w:pPr>
        <w:tabs>
          <w:tab w:val="left" w:pos="6300"/>
        </w:tabs>
        <w:snapToGrid w:val="0"/>
        <w:spacing w:line="500" w:lineRule="exact"/>
        <w:ind w:right="480" w:firstLine="57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3.我方在采购项目评审（评标）环节结束后，随时接受采购人、采购代理机构的检查验证，配合提供相关证明材料，证明符合《中华人民共和国政府采购法》规定的供应商基本资格条件。</w:t>
      </w:r>
    </w:p>
    <w:p w14:paraId="4D65BEDA">
      <w:pPr>
        <w:tabs>
          <w:tab w:val="left" w:pos="6300"/>
        </w:tabs>
        <w:snapToGrid w:val="0"/>
        <w:spacing w:line="500" w:lineRule="exact"/>
        <w:ind w:right="480" w:firstLine="57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我方对以上承诺负全部法律责任。</w:t>
      </w:r>
    </w:p>
    <w:p w14:paraId="3C1B4915">
      <w:pPr>
        <w:tabs>
          <w:tab w:val="left" w:pos="6300"/>
        </w:tabs>
        <w:snapToGrid w:val="0"/>
        <w:spacing w:line="500" w:lineRule="exact"/>
        <w:ind w:right="480" w:firstLine="57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特此承诺。</w:t>
      </w:r>
    </w:p>
    <w:p w14:paraId="798D61C5">
      <w:pPr>
        <w:tabs>
          <w:tab w:val="left" w:pos="6300"/>
        </w:tabs>
        <w:snapToGrid w:val="0"/>
        <w:spacing w:line="530" w:lineRule="exact"/>
        <w:rPr>
          <w:rFonts w:hint="eastAsia" w:ascii="仿宋" w:hAnsi="仿宋" w:eastAsia="仿宋" w:cs="仿宋"/>
          <w:color w:val="auto"/>
          <w:sz w:val="24"/>
          <w:szCs w:val="24"/>
          <w:highlight w:val="none"/>
        </w:rPr>
      </w:pPr>
    </w:p>
    <w:p w14:paraId="186C844F">
      <w:pPr>
        <w:tabs>
          <w:tab w:val="left" w:pos="6300"/>
        </w:tabs>
        <w:snapToGrid w:val="0"/>
        <w:spacing w:line="500" w:lineRule="exact"/>
        <w:ind w:right="480" w:firstLine="57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（供应商公章）</w:t>
      </w:r>
    </w:p>
    <w:p w14:paraId="6CD8EE84">
      <w:pPr>
        <w:tabs>
          <w:tab w:val="left" w:pos="6300"/>
        </w:tabs>
        <w:snapToGrid w:val="0"/>
        <w:spacing w:line="500" w:lineRule="exact"/>
        <w:ind w:right="480" w:firstLine="57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4242678E">
      <w:pPr>
        <w:tabs>
          <w:tab w:val="left" w:pos="6300"/>
        </w:tabs>
        <w:snapToGrid w:val="0"/>
        <w:spacing w:line="500" w:lineRule="exact"/>
        <w:ind w:firstLine="570"/>
        <w:rPr>
          <w:rFonts w:hint="eastAsia" w:ascii="仿宋" w:hAnsi="仿宋" w:eastAsia="仿宋" w:cs="仿宋"/>
          <w:color w:val="auto"/>
          <w:sz w:val="24"/>
          <w:szCs w:val="24"/>
          <w:highlight w:val="none"/>
        </w:rPr>
      </w:pPr>
    </w:p>
    <w:p w14:paraId="2D35CD34">
      <w:pPr>
        <w:tabs>
          <w:tab w:val="left" w:pos="6300"/>
        </w:tabs>
        <w:snapToGrid w:val="0"/>
        <w:spacing w:line="500" w:lineRule="exact"/>
        <w:ind w:firstLine="480" w:firstLineChars="200"/>
        <w:rPr>
          <w:rFonts w:hint="eastAsia" w:ascii="仿宋" w:hAnsi="仿宋" w:eastAsia="仿宋" w:cs="仿宋"/>
          <w:color w:val="auto"/>
          <w:sz w:val="24"/>
          <w:szCs w:val="24"/>
          <w:highlight w:val="none"/>
        </w:rPr>
      </w:pPr>
    </w:p>
    <w:p w14:paraId="3AD62E49">
      <w:pPr>
        <w:tabs>
          <w:tab w:val="left" w:pos="6300"/>
        </w:tabs>
        <w:snapToGrid w:val="0"/>
        <w:spacing w:line="500" w:lineRule="exact"/>
        <w:ind w:firstLine="480" w:firstLineChars="200"/>
        <w:rPr>
          <w:rFonts w:hint="eastAsia" w:ascii="仿宋" w:hAnsi="仿宋" w:eastAsia="仿宋" w:cs="仿宋"/>
          <w:color w:val="auto"/>
          <w:sz w:val="24"/>
          <w:szCs w:val="24"/>
          <w:highlight w:val="none"/>
        </w:rPr>
      </w:pPr>
    </w:p>
    <w:p w14:paraId="316C57CB">
      <w:pPr>
        <w:pStyle w:val="5"/>
        <w:rPr>
          <w:rFonts w:hint="eastAsia" w:ascii="仿宋" w:hAnsi="仿宋" w:eastAsia="仿宋" w:cs="仿宋"/>
          <w:color w:val="auto"/>
          <w:sz w:val="24"/>
          <w:szCs w:val="24"/>
          <w:highlight w:val="none"/>
        </w:rPr>
      </w:pPr>
    </w:p>
    <w:p w14:paraId="20BF92A9">
      <w:pPr>
        <w:rPr>
          <w:rFonts w:hint="eastAsia" w:ascii="仿宋" w:hAnsi="仿宋" w:eastAsia="仿宋" w:cs="仿宋"/>
          <w:color w:val="auto"/>
          <w:sz w:val="24"/>
          <w:szCs w:val="24"/>
          <w:highlight w:val="none"/>
        </w:rPr>
      </w:pPr>
    </w:p>
    <w:p w14:paraId="5C3A283B">
      <w:pPr>
        <w:pStyle w:val="5"/>
        <w:rPr>
          <w:rFonts w:hint="eastAsia" w:ascii="仿宋" w:hAnsi="仿宋" w:eastAsia="仿宋" w:cs="仿宋"/>
          <w:color w:val="auto"/>
          <w:sz w:val="24"/>
          <w:szCs w:val="24"/>
          <w:highlight w:val="none"/>
        </w:rPr>
      </w:pPr>
    </w:p>
    <w:p w14:paraId="5C47A7EE">
      <w:pPr>
        <w:rPr>
          <w:rFonts w:hint="eastAsia" w:ascii="仿宋" w:hAnsi="仿宋" w:eastAsia="仿宋" w:cs="仿宋"/>
          <w:color w:val="auto"/>
          <w:sz w:val="24"/>
          <w:szCs w:val="24"/>
          <w:highlight w:val="none"/>
        </w:rPr>
      </w:pPr>
    </w:p>
    <w:p w14:paraId="337DEC4E">
      <w:pPr>
        <w:tabs>
          <w:tab w:val="left" w:pos="6300"/>
        </w:tabs>
        <w:snapToGrid w:val="0"/>
        <w:spacing w:line="500" w:lineRule="exact"/>
        <w:ind w:firstLine="570"/>
        <w:rPr>
          <w:rFonts w:hint="eastAsia" w:ascii="仿宋" w:hAnsi="仿宋" w:eastAsia="仿宋" w:cs="仿宋"/>
          <w:color w:val="auto"/>
          <w:sz w:val="24"/>
          <w:szCs w:val="24"/>
          <w:highlight w:val="none"/>
        </w:rPr>
      </w:pPr>
    </w:p>
    <w:p w14:paraId="3A3CCB33">
      <w:pPr>
        <w:tabs>
          <w:tab w:val="left" w:pos="6300"/>
        </w:tabs>
        <w:snapToGrid w:val="0"/>
        <w:spacing w:line="500" w:lineRule="exact"/>
        <w:ind w:firstLine="570"/>
        <w:rPr>
          <w:rFonts w:hint="eastAsia" w:ascii="仿宋" w:hAnsi="仿宋" w:eastAsia="仿宋" w:cs="仿宋"/>
          <w:color w:val="auto"/>
          <w:sz w:val="24"/>
          <w:szCs w:val="24"/>
          <w:highlight w:val="none"/>
        </w:rPr>
      </w:pPr>
    </w:p>
    <w:p w14:paraId="15D347EC">
      <w:pPr>
        <w:tabs>
          <w:tab w:val="left" w:pos="6300"/>
        </w:tabs>
        <w:snapToGrid w:val="0"/>
        <w:spacing w:line="500" w:lineRule="exact"/>
        <w:ind w:firstLine="57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（五）特定资格条件证明文件（如果有）</w:t>
      </w:r>
    </w:p>
    <w:p w14:paraId="5F108A36">
      <w:pPr>
        <w:pStyle w:val="5"/>
        <w:spacing w:before="0" w:after="0" w:line="360" w:lineRule="auto"/>
        <w:rPr>
          <w:rFonts w:hint="eastAsia" w:ascii="仿宋" w:hAnsi="仿宋" w:eastAsia="仿宋" w:cs="仿宋"/>
          <w:b w:val="0"/>
          <w:bCs/>
          <w:color w:val="auto"/>
          <w:highlight w:val="none"/>
        </w:rPr>
      </w:pPr>
      <w:r>
        <w:rPr>
          <w:rFonts w:hint="eastAsia" w:ascii="仿宋" w:hAnsi="仿宋" w:eastAsia="仿宋" w:cs="仿宋"/>
          <w:b w:val="0"/>
          <w:color w:val="auto"/>
          <w:sz w:val="28"/>
          <w:highlight w:val="none"/>
        </w:rPr>
        <w:br w:type="page"/>
      </w:r>
      <w:bookmarkStart w:id="154" w:name="_Toc17417"/>
      <w:bookmarkStart w:id="155" w:name="_Toc15318"/>
      <w:bookmarkStart w:id="156" w:name="_Toc26481"/>
      <w:bookmarkStart w:id="157" w:name="_Toc5951"/>
      <w:r>
        <w:rPr>
          <w:rFonts w:hint="eastAsia" w:ascii="仿宋" w:hAnsi="仿宋" w:eastAsia="仿宋" w:cs="仿宋"/>
          <w:b w:val="0"/>
          <w:bCs/>
          <w:color w:val="auto"/>
          <w:sz w:val="24"/>
          <w:szCs w:val="24"/>
          <w:highlight w:val="none"/>
        </w:rPr>
        <w:t>五、其他应提供的资料</w:t>
      </w:r>
      <w:bookmarkEnd w:id="153"/>
      <w:bookmarkEnd w:id="154"/>
      <w:bookmarkEnd w:id="155"/>
      <w:bookmarkEnd w:id="156"/>
      <w:bookmarkEnd w:id="157"/>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如有，格式自拟）</w:t>
      </w:r>
    </w:p>
    <w:p w14:paraId="4385DA3D">
      <w:pPr>
        <w:tabs>
          <w:tab w:val="left" w:pos="6300"/>
        </w:tabs>
        <w:snapToGrid w:val="0"/>
        <w:spacing w:line="500" w:lineRule="exact"/>
        <w:ind w:firstLine="570"/>
        <w:rPr>
          <w:rFonts w:hint="eastAsia" w:ascii="仿宋" w:hAnsi="仿宋" w:eastAsia="仿宋" w:cs="仿宋"/>
          <w:color w:val="auto"/>
          <w:sz w:val="24"/>
          <w:szCs w:val="24"/>
          <w:highlight w:val="none"/>
        </w:rPr>
      </w:pPr>
      <w:bookmarkStart w:id="158" w:name="_Toc10494"/>
      <w:bookmarkStart w:id="159" w:name="_Toc136879718"/>
      <w:bookmarkStart w:id="160" w:name="_Toc27041"/>
      <w:bookmarkStart w:id="161" w:name="_Toc136880175"/>
    </w:p>
    <w:bookmarkEnd w:id="158"/>
    <w:bookmarkEnd w:id="159"/>
    <w:bookmarkEnd w:id="160"/>
    <w:bookmarkEnd w:id="161"/>
    <w:p w14:paraId="4C2324B0">
      <w:pPr>
        <w:spacing w:line="360" w:lineRule="auto"/>
        <w:ind w:firstLine="480" w:firstLineChars="200"/>
        <w:jc w:val="center"/>
        <w:rPr>
          <w:rFonts w:hint="eastAsia" w:ascii="仿宋" w:hAnsi="仿宋" w:eastAsia="仿宋" w:cs="仿宋"/>
          <w:color w:val="auto"/>
          <w:sz w:val="24"/>
          <w:szCs w:val="24"/>
          <w:highlight w:val="none"/>
        </w:rPr>
      </w:pPr>
    </w:p>
    <w:p w14:paraId="7E4C579C">
      <w:pPr>
        <w:spacing w:line="400" w:lineRule="exact"/>
        <w:ind w:firstLine="480" w:firstLineChars="200"/>
        <w:jc w:val="center"/>
        <w:rPr>
          <w:rFonts w:hint="eastAsia" w:ascii="仿宋" w:hAnsi="仿宋" w:eastAsia="仿宋" w:cs="仿宋"/>
          <w:color w:val="auto"/>
          <w:sz w:val="24"/>
          <w:szCs w:val="24"/>
          <w:highlight w:val="none"/>
        </w:rPr>
      </w:pPr>
    </w:p>
    <w:p w14:paraId="5F1506B5">
      <w:pPr>
        <w:spacing w:line="400" w:lineRule="exact"/>
        <w:ind w:firstLine="480" w:firstLineChars="200"/>
        <w:jc w:val="center"/>
        <w:rPr>
          <w:rFonts w:hint="eastAsia" w:ascii="仿宋" w:hAnsi="仿宋" w:eastAsia="仿宋" w:cs="仿宋"/>
          <w:color w:val="auto"/>
          <w:sz w:val="24"/>
          <w:szCs w:val="24"/>
          <w:highlight w:val="none"/>
        </w:rPr>
      </w:pPr>
    </w:p>
    <w:p w14:paraId="02B86BB3">
      <w:pPr>
        <w:spacing w:line="400" w:lineRule="exact"/>
        <w:ind w:firstLine="480" w:firstLineChars="200"/>
        <w:jc w:val="center"/>
        <w:rPr>
          <w:rFonts w:hint="eastAsia" w:ascii="仿宋" w:hAnsi="仿宋" w:eastAsia="仿宋" w:cs="仿宋"/>
          <w:color w:val="auto"/>
          <w:sz w:val="24"/>
          <w:szCs w:val="24"/>
          <w:highlight w:val="none"/>
        </w:rPr>
      </w:pPr>
    </w:p>
    <w:p w14:paraId="61E5A03E">
      <w:pPr>
        <w:spacing w:line="400" w:lineRule="exact"/>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（结束）</w:t>
      </w:r>
    </w:p>
    <w:p w14:paraId="52EA9A24">
      <w:pPr>
        <w:spacing w:line="360" w:lineRule="auto"/>
        <w:ind w:firstLine="480" w:firstLineChars="200"/>
        <w:rPr>
          <w:rFonts w:hint="eastAsia" w:ascii="仿宋" w:hAnsi="仿宋" w:eastAsia="仿宋" w:cs="仿宋"/>
          <w:color w:val="auto"/>
          <w:sz w:val="24"/>
          <w:szCs w:val="24"/>
          <w:highlight w:val="none"/>
        </w:rPr>
      </w:pPr>
    </w:p>
    <w:p w14:paraId="2F7CBBF5">
      <w:pPr>
        <w:spacing w:line="360" w:lineRule="auto"/>
        <w:ind w:firstLine="480" w:firstLineChars="200"/>
        <w:jc w:val="center"/>
        <w:rPr>
          <w:rFonts w:hint="eastAsia" w:ascii="仿宋" w:hAnsi="仿宋" w:eastAsia="仿宋" w:cs="仿宋"/>
          <w:color w:val="auto"/>
          <w:sz w:val="24"/>
          <w:szCs w:val="24"/>
          <w:highlight w:val="none"/>
        </w:rPr>
      </w:pPr>
    </w:p>
    <w:p w14:paraId="78B34833">
      <w:pPr>
        <w:spacing w:line="360" w:lineRule="auto"/>
        <w:ind w:firstLine="480" w:firstLineChars="200"/>
        <w:jc w:val="center"/>
        <w:rPr>
          <w:rFonts w:hint="eastAsia" w:ascii="仿宋" w:hAnsi="仿宋" w:eastAsia="仿宋" w:cs="仿宋"/>
          <w:color w:val="auto"/>
          <w:sz w:val="24"/>
          <w:szCs w:val="24"/>
          <w:highlight w:val="none"/>
        </w:rPr>
      </w:pPr>
    </w:p>
    <w:p w14:paraId="5BA62D9C">
      <w:pPr>
        <w:spacing w:line="360" w:lineRule="auto"/>
        <w:ind w:firstLine="480" w:firstLineChars="200"/>
        <w:jc w:val="center"/>
        <w:rPr>
          <w:rFonts w:hint="eastAsia" w:ascii="仿宋" w:hAnsi="仿宋" w:eastAsia="仿宋" w:cs="仿宋"/>
          <w:color w:val="auto"/>
          <w:sz w:val="24"/>
          <w:szCs w:val="24"/>
          <w:highlight w:val="none"/>
        </w:rPr>
      </w:pPr>
    </w:p>
    <w:p w14:paraId="67735780">
      <w:pPr>
        <w:spacing w:line="360" w:lineRule="auto"/>
        <w:ind w:firstLine="480" w:firstLineChars="200"/>
        <w:jc w:val="center"/>
        <w:rPr>
          <w:rFonts w:hint="eastAsia" w:ascii="仿宋" w:hAnsi="仿宋" w:eastAsia="仿宋" w:cs="仿宋"/>
          <w:color w:val="auto"/>
          <w:sz w:val="24"/>
          <w:szCs w:val="24"/>
          <w:highlight w:val="none"/>
        </w:rPr>
      </w:pPr>
    </w:p>
    <w:p w14:paraId="3608E8A1">
      <w:pPr>
        <w:spacing w:line="360" w:lineRule="auto"/>
        <w:ind w:firstLine="480" w:firstLineChars="200"/>
        <w:jc w:val="center"/>
        <w:rPr>
          <w:rFonts w:hint="eastAsia" w:ascii="仿宋" w:hAnsi="仿宋" w:eastAsia="仿宋" w:cs="仿宋"/>
          <w:color w:val="auto"/>
          <w:sz w:val="24"/>
          <w:szCs w:val="24"/>
          <w:highlight w:val="none"/>
        </w:rPr>
      </w:pPr>
    </w:p>
    <w:p w14:paraId="2B2BA332">
      <w:pPr>
        <w:pStyle w:val="126"/>
        <w:spacing w:line="20" w:lineRule="atLeast"/>
        <w:jc w:val="center"/>
        <w:rPr>
          <w:rFonts w:hint="eastAsia" w:ascii="仿宋" w:hAnsi="仿宋" w:eastAsia="仿宋" w:cs="仿宋"/>
          <w:color w:val="auto"/>
          <w:highlight w:val="none"/>
        </w:rPr>
      </w:pPr>
    </w:p>
    <w:p w14:paraId="4F658FFE">
      <w:pPr>
        <w:pStyle w:val="126"/>
        <w:spacing w:line="20" w:lineRule="atLeast"/>
        <w:jc w:val="center"/>
        <w:rPr>
          <w:rFonts w:hint="eastAsia" w:ascii="仿宋" w:hAnsi="仿宋" w:eastAsia="仿宋" w:cs="仿宋"/>
          <w:color w:val="auto"/>
          <w:highlight w:val="none"/>
        </w:rPr>
      </w:pPr>
    </w:p>
    <w:sectPr>
      <w:headerReference r:id="rId9" w:type="default"/>
      <w:footerReference r:id="rId10" w:type="default"/>
      <w:pgSz w:w="11907" w:h="16840"/>
      <w:pgMar w:top="1134" w:right="1191" w:bottom="1134" w:left="1304" w:header="624"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1" w:fontKey="{0BC79B94-AB10-43FC-9F20-1A4F4B430860}"/>
  </w:font>
  <w:font w:name="Calibri Light">
    <w:panose1 w:val="020F0302020204030204"/>
    <w:charset w:val="00"/>
    <w:family w:val="swiss"/>
    <w:pitch w:val="default"/>
    <w:sig w:usb0="E4002EFF" w:usb1="C000247B" w:usb2="00000009" w:usb3="00000000" w:csb0="200001FF" w:csb1="00000000"/>
  </w:font>
  <w:font w:name="Helvetica">
    <w:altName w:val="Arial"/>
    <w:panose1 w:val="020B0604020202020204"/>
    <w:charset w:val="00"/>
    <w:family w:val="auto"/>
    <w:pitch w:val="default"/>
    <w:sig w:usb0="00000000" w:usb1="00000000" w:usb2="00000000" w:usb3="00000000" w:csb0="00000001" w:csb1="00000000"/>
  </w:font>
  <w:font w:name="昆仑楷体">
    <w:altName w:val="宋体"/>
    <w:panose1 w:val="00000000000000000000"/>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文鼎粗黑">
    <w:altName w:val="黑体"/>
    <w:panose1 w:val="00000000000000000000"/>
    <w:charset w:val="86"/>
    <w:family w:val="auto"/>
    <w:pitch w:val="default"/>
    <w:sig w:usb0="00000000" w:usb1="00000000" w:usb2="00000010" w:usb3="00000000" w:csb0="00040000" w:csb1="00000000"/>
  </w:font>
  <w:font w:name="方正仿宋_GBK">
    <w:panose1 w:val="02000000000000000000"/>
    <w:charset w:val="86"/>
    <w:family w:val="script"/>
    <w:pitch w:val="default"/>
    <w:sig w:usb0="A00002BF" w:usb1="38CF7CFA" w:usb2="00082016" w:usb3="00000000" w:csb0="00040001" w:csb1="00000000"/>
    <w:embedRegular r:id="rId2" w:fontKey="{7655DC49-56B4-42F5-A2A8-7F9FA5E4FC6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7F2D7">
    <w:pPr>
      <w:pStyle w:val="38"/>
      <w:framePr w:wrap="around" w:vAnchor="text" w:hAnchor="margin" w:xAlign="center" w:y="1"/>
      <w:jc w:val="center"/>
      <w:rPr>
        <w:rStyle w:val="67"/>
        <w:rFonts w:ascii="宋体"/>
        <w:sz w:val="21"/>
        <w:szCs w:val="21"/>
      </w:rPr>
    </w:pPr>
    <w:r>
      <w:rPr>
        <w:rFonts w:ascii="宋体"/>
        <w:sz w:val="21"/>
        <w:szCs w:val="21"/>
      </w:rPr>
      <w:fldChar w:fldCharType="begin"/>
    </w:r>
    <w:r>
      <w:rPr>
        <w:rStyle w:val="67"/>
        <w:rFonts w:ascii="宋体"/>
        <w:sz w:val="21"/>
        <w:szCs w:val="21"/>
      </w:rPr>
      <w:instrText xml:space="preserve">PAGE  </w:instrText>
    </w:r>
    <w:r>
      <w:rPr>
        <w:rFonts w:ascii="宋体"/>
        <w:sz w:val="21"/>
        <w:szCs w:val="21"/>
      </w:rPr>
      <w:fldChar w:fldCharType="separate"/>
    </w:r>
    <w:r>
      <w:rPr>
        <w:rStyle w:val="67"/>
        <w:rFonts w:ascii="宋体"/>
        <w:sz w:val="21"/>
        <w:szCs w:val="21"/>
      </w:rPr>
      <w:t>- 6 -</w:t>
    </w:r>
    <w:r>
      <w:rPr>
        <w:rFonts w:ascii="宋体"/>
        <w:sz w:val="21"/>
        <w:szCs w:val="21"/>
      </w:rPr>
      <w:fldChar w:fldCharType="end"/>
    </w:r>
  </w:p>
  <w:p w14:paraId="113B1C38">
    <w:pPr>
      <w:pStyle w:val="3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0F212">
    <w:pPr>
      <w:pStyle w:val="38"/>
      <w:jc w:val="center"/>
      <w:rPr>
        <w:rFonts w:hint="eastAsia" w:ascii="宋体" w:hAnsi="宋体"/>
        <w:sz w:val="21"/>
        <w:szCs w:val="21"/>
      </w:rPr>
    </w:pPr>
    <w:r>
      <w:rPr>
        <w:rFonts w:ascii="宋体" w:hAnsi="宋体"/>
        <w:sz w:val="21"/>
        <w:szCs w:val="21"/>
      </w:rPr>
      <w:fldChar w:fldCharType="begin"/>
    </w:r>
    <w:r>
      <w:rPr>
        <w:rStyle w:val="67"/>
        <w:rFonts w:ascii="宋体" w:hAnsi="宋体"/>
        <w:sz w:val="21"/>
        <w:szCs w:val="21"/>
      </w:rPr>
      <w:instrText xml:space="preserve"> PAGE </w:instrText>
    </w:r>
    <w:r>
      <w:rPr>
        <w:rFonts w:ascii="宋体" w:hAnsi="宋体"/>
        <w:sz w:val="21"/>
        <w:szCs w:val="21"/>
      </w:rPr>
      <w:fldChar w:fldCharType="separate"/>
    </w:r>
    <w:r>
      <w:rPr>
        <w:rStyle w:val="67"/>
        <w:rFonts w:ascii="宋体" w:hAnsi="宋体"/>
        <w:sz w:val="21"/>
        <w:szCs w:val="21"/>
      </w:rPr>
      <w:t>- 30 -</w:t>
    </w:r>
    <w:r>
      <w:rPr>
        <w:rFonts w:ascii="宋体" w:hAnsi="宋体"/>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93AA1">
    <w:pPr>
      <w:pStyle w:val="38"/>
      <w:framePr w:wrap="around" w:vAnchor="text" w:hAnchor="margin" w:xAlign="center" w:y="1"/>
      <w:rPr>
        <w:rStyle w:val="67"/>
      </w:rPr>
    </w:pPr>
    <w:r>
      <w:fldChar w:fldCharType="begin"/>
    </w:r>
    <w:r>
      <w:rPr>
        <w:rStyle w:val="67"/>
      </w:rPr>
      <w:instrText xml:space="preserve">PAGE  </w:instrText>
    </w:r>
    <w:r>
      <w:fldChar w:fldCharType="separate"/>
    </w:r>
    <w:r>
      <w:fldChar w:fldCharType="end"/>
    </w:r>
  </w:p>
  <w:p w14:paraId="1208F3C1">
    <w:pPr>
      <w:pStyle w:val="3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A1D18">
    <w:pPr>
      <w:pStyle w:val="38"/>
      <w:ind w:right="360"/>
      <w:jc w:val="center"/>
    </w:pPr>
    <w:r>
      <w:fldChar w:fldCharType="begin"/>
    </w:r>
    <w:r>
      <w:rPr>
        <w:rStyle w:val="67"/>
      </w:rPr>
      <w:instrText xml:space="preserve"> PAGE </w:instrText>
    </w:r>
    <w:r>
      <w:fldChar w:fldCharType="separate"/>
    </w:r>
    <w:r>
      <w:rPr>
        <w:rStyle w:val="67"/>
      </w:rPr>
      <w:t>- 31 -</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05E2F">
    <w:pPr>
      <w:pStyle w:val="38"/>
      <w:jc w:val="center"/>
      <w:rPr>
        <w:rFonts w:ascii="宋体" w:hAnsi="宋体"/>
        <w:sz w:val="21"/>
        <w:szCs w:val="21"/>
      </w:rPr>
    </w:pPr>
    <w:r>
      <w:rPr>
        <w:rFonts w:ascii="宋体" w:hAnsi="宋体"/>
        <w:sz w:val="21"/>
        <w:szCs w:val="21"/>
      </w:rPr>
      <w:fldChar w:fldCharType="begin"/>
    </w:r>
    <w:r>
      <w:rPr>
        <w:rStyle w:val="67"/>
        <w:rFonts w:ascii="宋体" w:hAnsi="宋体"/>
        <w:sz w:val="21"/>
        <w:szCs w:val="21"/>
      </w:rPr>
      <w:instrText xml:space="preserve"> PAGE </w:instrText>
    </w:r>
    <w:r>
      <w:rPr>
        <w:rFonts w:ascii="宋体" w:hAnsi="宋体"/>
        <w:sz w:val="21"/>
        <w:szCs w:val="21"/>
      </w:rPr>
      <w:fldChar w:fldCharType="separate"/>
    </w:r>
    <w:r>
      <w:rPr>
        <w:rStyle w:val="67"/>
        <w:rFonts w:ascii="宋体" w:hAnsi="宋体"/>
        <w:sz w:val="21"/>
        <w:szCs w:val="21"/>
      </w:rPr>
      <w:t>- 65 -</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0B25B">
    <w:pPr>
      <w:pStyle w:val="40"/>
      <w:jc w:val="both"/>
      <w:rPr>
        <w:rFonts w:ascii="仿宋" w:hAnsi="仿宋" w:eastAsia="仿宋" w:cs="仿宋"/>
        <w:sz w:val="24"/>
        <w:szCs w:val="24"/>
      </w:rPr>
    </w:pPr>
    <w:r>
      <w:rPr>
        <w:rFonts w:hint="eastAsia" w:ascii="仿宋" w:hAnsi="仿宋" w:eastAsia="仿宋" w:cs="仿宋"/>
        <w:sz w:val="24"/>
        <w:szCs w:val="24"/>
        <w:lang w:val="en-US" w:eastAsia="zh-CN"/>
      </w:rPr>
      <w:t>重庆千诺工程项目管理有限公司</w:t>
    </w:r>
    <w:r>
      <w:rPr>
        <w:rFonts w:hint="eastAsia" w:ascii="仿宋" w:hAnsi="仿宋" w:eastAsia="仿宋" w:cs="仿宋"/>
        <w:sz w:val="24"/>
        <w:szCs w:val="24"/>
      </w:rPr>
      <w:t xml:space="preserve">                                网上竞采文件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96A36">
    <w:pPr>
      <w:pStyle w:val="40"/>
      <w:jc w:val="both"/>
      <w:rPr>
        <w:rFonts w:ascii="仿宋" w:hAnsi="仿宋" w:eastAsia="仿宋" w:cs="仿宋"/>
        <w:sz w:val="24"/>
        <w:szCs w:val="24"/>
      </w:rPr>
    </w:pPr>
    <w:r>
      <w:rPr>
        <w:rFonts w:hint="eastAsia" w:ascii="仿宋" w:hAnsi="仿宋" w:eastAsia="仿宋" w:cs="仿宋"/>
        <w:sz w:val="24"/>
        <w:szCs w:val="24"/>
        <w:lang w:eastAsia="zh-CN"/>
      </w:rPr>
      <w:t>重庆千诺工程项目管理有限公司</w:t>
    </w:r>
    <w:r>
      <w:rPr>
        <w:rFonts w:hint="eastAsia" w:ascii="仿宋" w:hAnsi="仿宋" w:eastAsia="仿宋" w:cs="仿宋"/>
        <w:sz w:val="24"/>
        <w:szCs w:val="24"/>
      </w:rPr>
      <w:t xml:space="preserve">                                     网上竞采文件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03040">
    <w:pPr>
      <w:pStyle w:val="40"/>
      <w:jc w:val="both"/>
    </w:pPr>
    <w:r>
      <w:rPr>
        <w:rFonts w:hint="eastAsia" w:ascii="方正仿宋_GBK" w:eastAsia="方正仿宋_GBK"/>
        <w:sz w:val="21"/>
        <w:szCs w:val="21"/>
        <w:lang w:eastAsia="zh-CN"/>
      </w:rPr>
      <w:t>重庆千诺工程项目管理有限公司</w:t>
    </w:r>
    <w:r>
      <w:rPr>
        <w:rFonts w:hint="eastAsia" w:ascii="方正仿宋_GBK" w:eastAsia="方正仿宋_GBK"/>
        <w:sz w:val="21"/>
        <w:szCs w:val="21"/>
      </w:rPr>
      <w:t xml:space="preserve">                                               网上竞采文件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CF5DDE"/>
    <w:multiLevelType w:val="singleLevel"/>
    <w:tmpl w:val="D5CF5DDE"/>
    <w:lvl w:ilvl="0" w:tentative="0">
      <w:start w:val="1"/>
      <w:numFmt w:val="chineseCounting"/>
      <w:suff w:val="nothing"/>
      <w:lvlText w:val="%1、"/>
      <w:lvlJc w:val="left"/>
      <w:rPr>
        <w:rFonts w:hint="eastAsia"/>
      </w:rPr>
    </w:lvl>
  </w:abstractNum>
  <w:abstractNum w:abstractNumId="1">
    <w:nsid w:val="00000009"/>
    <w:multiLevelType w:val="multilevel"/>
    <w:tmpl w:val="00000009"/>
    <w:lvl w:ilvl="0" w:tentative="0">
      <w:start w:val="1"/>
      <w:numFmt w:val="upperLetter"/>
      <w:pStyle w:val="177"/>
      <w:suff w:val="nothing"/>
      <w:lvlText w:val="附　录　%1"/>
      <w:lvlJc w:val="left"/>
      <w:pPr>
        <w:ind w:left="0" w:firstLine="0"/>
      </w:pPr>
      <w:rPr>
        <w:rFonts w:hint="eastAsia" w:ascii="黑体" w:hAnsi="Times New Roman" w:eastAsia="黑体"/>
        <w:b w:val="0"/>
        <w:i w:val="0"/>
        <w:sz w:val="21"/>
      </w:rPr>
    </w:lvl>
    <w:lvl w:ilvl="1" w:tentative="0">
      <w:start w:val="1"/>
      <w:numFmt w:val="decimal"/>
      <w:pStyle w:val="195"/>
      <w:suff w:val="nothing"/>
      <w:lvlText w:val="%1.%2　"/>
      <w:lvlJc w:val="left"/>
      <w:pPr>
        <w:ind w:left="210" w:firstLine="0"/>
      </w:pPr>
      <w:rPr>
        <w:rFonts w:hint="eastAsia" w:ascii="黑体" w:hAnsi="Times New Roman" w:eastAsia="黑体"/>
        <w:b w:val="0"/>
        <w:i w:val="0"/>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000000A"/>
    <w:multiLevelType w:val="multilevel"/>
    <w:tmpl w:val="0000000A"/>
    <w:lvl w:ilvl="0" w:tentative="0">
      <w:start w:val="1"/>
      <w:numFmt w:val="bullet"/>
      <w:pStyle w:val="168"/>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B"/>
    <w:multiLevelType w:val="singleLevel"/>
    <w:tmpl w:val="0000000B"/>
    <w:lvl w:ilvl="0" w:tentative="0">
      <w:start w:val="1"/>
      <w:numFmt w:val="bullet"/>
      <w:pStyle w:val="184"/>
      <w:lvlText w:val=""/>
      <w:lvlJc w:val="left"/>
      <w:pPr>
        <w:tabs>
          <w:tab w:val="left" w:pos="360"/>
        </w:tabs>
        <w:ind w:left="360" w:hanging="360"/>
      </w:pPr>
      <w:rPr>
        <w:rFonts w:hint="default" w:ascii="Wingdings" w:hAnsi="Wingdings"/>
      </w:rPr>
    </w:lvl>
  </w:abstractNum>
  <w:abstractNum w:abstractNumId="4">
    <w:nsid w:val="0000000D"/>
    <w:multiLevelType w:val="singleLevel"/>
    <w:tmpl w:val="0000000D"/>
    <w:lvl w:ilvl="0" w:tentative="0">
      <w:start w:val="1"/>
      <w:numFmt w:val="bullet"/>
      <w:pStyle w:val="242"/>
      <w:lvlText w:val=""/>
      <w:lvlJc w:val="left"/>
      <w:pPr>
        <w:tabs>
          <w:tab w:val="left" w:pos="1200"/>
        </w:tabs>
        <w:ind w:left="1200" w:hanging="360"/>
      </w:pPr>
      <w:rPr>
        <w:rFonts w:hint="default" w:ascii="Wingdings" w:hAnsi="Wingdings"/>
      </w:rPr>
    </w:lvl>
  </w:abstractNum>
  <w:abstractNum w:abstractNumId="5">
    <w:nsid w:val="0000000E"/>
    <w:multiLevelType w:val="multilevel"/>
    <w:tmpl w:val="0000000E"/>
    <w:lvl w:ilvl="0" w:tentative="0">
      <w:start w:val="1"/>
      <w:numFmt w:val="bullet"/>
      <w:pStyle w:val="146"/>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6">
    <w:nsid w:val="00000010"/>
    <w:multiLevelType w:val="singleLevel"/>
    <w:tmpl w:val="00000010"/>
    <w:lvl w:ilvl="0" w:tentative="0">
      <w:start w:val="1"/>
      <w:numFmt w:val="bullet"/>
      <w:pStyle w:val="176"/>
      <w:lvlText w:val=""/>
      <w:lvlJc w:val="left"/>
      <w:pPr>
        <w:tabs>
          <w:tab w:val="left" w:pos="1620"/>
        </w:tabs>
        <w:ind w:left="1620" w:hanging="360"/>
      </w:pPr>
      <w:rPr>
        <w:rFonts w:hint="default" w:ascii="Wingdings" w:hAnsi="Wingdings"/>
      </w:rPr>
    </w:lvl>
  </w:abstractNum>
  <w:abstractNum w:abstractNumId="7">
    <w:nsid w:val="00000011"/>
    <w:multiLevelType w:val="multilevel"/>
    <w:tmpl w:val="00000011"/>
    <w:lvl w:ilvl="0" w:tentative="0">
      <w:start w:val="1"/>
      <w:numFmt w:val="decimal"/>
      <w:pStyle w:val="20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2"/>
    <w:multiLevelType w:val="multilevel"/>
    <w:tmpl w:val="00000012"/>
    <w:lvl w:ilvl="0" w:tentative="0">
      <w:start w:val="1"/>
      <w:numFmt w:val="bullet"/>
      <w:pStyle w:val="22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00000013"/>
    <w:multiLevelType w:val="singleLevel"/>
    <w:tmpl w:val="00000013"/>
    <w:lvl w:ilvl="0" w:tentative="0">
      <w:start w:val="1"/>
      <w:numFmt w:val="decimal"/>
      <w:pStyle w:val="14"/>
      <w:lvlText w:val="%1."/>
      <w:lvlJc w:val="left"/>
      <w:pPr>
        <w:tabs>
          <w:tab w:val="left" w:pos="425"/>
        </w:tabs>
        <w:ind w:left="425" w:hanging="425"/>
      </w:pPr>
      <w:rPr>
        <w:rFonts w:hint="default"/>
      </w:rPr>
    </w:lvl>
  </w:abstractNum>
  <w:abstractNum w:abstractNumId="10">
    <w:nsid w:val="00000014"/>
    <w:multiLevelType w:val="singleLevel"/>
    <w:tmpl w:val="00000014"/>
    <w:lvl w:ilvl="0" w:tentative="0">
      <w:start w:val="1"/>
      <w:numFmt w:val="bullet"/>
      <w:pStyle w:val="30"/>
      <w:lvlText w:val=""/>
      <w:lvlJc w:val="left"/>
      <w:pPr>
        <w:tabs>
          <w:tab w:val="left" w:pos="780"/>
        </w:tabs>
        <w:ind w:left="780" w:hanging="360"/>
      </w:pPr>
      <w:rPr>
        <w:rFonts w:hint="default" w:ascii="Wingdings" w:hAnsi="Wingdings"/>
      </w:rPr>
    </w:lvl>
  </w:abstractNum>
  <w:abstractNum w:abstractNumId="11">
    <w:nsid w:val="00000016"/>
    <w:multiLevelType w:val="singleLevel"/>
    <w:tmpl w:val="00000016"/>
    <w:lvl w:ilvl="0" w:tentative="0">
      <w:start w:val="1"/>
      <w:numFmt w:val="decimal"/>
      <w:pStyle w:val="127"/>
      <w:lvlText w:val="%1)"/>
      <w:lvlJc w:val="left"/>
      <w:pPr>
        <w:tabs>
          <w:tab w:val="left" w:pos="425"/>
        </w:tabs>
        <w:ind w:left="425" w:hanging="425"/>
      </w:pPr>
      <w:rPr>
        <w:rFonts w:hint="eastAsia"/>
      </w:rPr>
    </w:lvl>
  </w:abstractNum>
  <w:abstractNum w:abstractNumId="12">
    <w:nsid w:val="00000017"/>
    <w:multiLevelType w:val="multilevel"/>
    <w:tmpl w:val="00000017"/>
    <w:lvl w:ilvl="0" w:tentative="0">
      <w:start w:val="1"/>
      <w:numFmt w:val="chineseCountingThousand"/>
      <w:pStyle w:val="252"/>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198"/>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9"/>
  </w:num>
  <w:num w:numId="2">
    <w:abstractNumId w:val="10"/>
  </w:num>
  <w:num w:numId="3">
    <w:abstractNumId w:val="11"/>
  </w:num>
  <w:num w:numId="4">
    <w:abstractNumId w:val="5"/>
  </w:num>
  <w:num w:numId="5">
    <w:abstractNumId w:val="2"/>
  </w:num>
  <w:num w:numId="6">
    <w:abstractNumId w:val="6"/>
  </w:num>
  <w:num w:numId="7">
    <w:abstractNumId w:val="1"/>
  </w:num>
  <w:num w:numId="8">
    <w:abstractNumId w:val="3"/>
  </w:num>
  <w:num w:numId="9">
    <w:abstractNumId w:val="13"/>
  </w:num>
  <w:num w:numId="10">
    <w:abstractNumId w:val="7"/>
  </w:num>
  <w:num w:numId="11">
    <w:abstractNumId w:val="8"/>
  </w:num>
  <w:num w:numId="12">
    <w:abstractNumId w:val="4"/>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zYzViMTA0ZGViZTIxNTkxYWEwNGJiYTkxNTQ1MGQifQ=="/>
    <w:docVar w:name="KSO_WPS_MARK_KEY" w:val="466196e3-2bcf-42ae-96dc-6deba7c9db18"/>
  </w:docVars>
  <w:rsids>
    <w:rsidRoot w:val="00B50FC0"/>
    <w:rsid w:val="000661D3"/>
    <w:rsid w:val="0006680A"/>
    <w:rsid w:val="000851E6"/>
    <w:rsid w:val="000E7F13"/>
    <w:rsid w:val="0016285F"/>
    <w:rsid w:val="00166E1F"/>
    <w:rsid w:val="0019222D"/>
    <w:rsid w:val="002D3BA6"/>
    <w:rsid w:val="003222D6"/>
    <w:rsid w:val="00492675"/>
    <w:rsid w:val="0055698A"/>
    <w:rsid w:val="0060114B"/>
    <w:rsid w:val="00601ABD"/>
    <w:rsid w:val="0061627F"/>
    <w:rsid w:val="00632475"/>
    <w:rsid w:val="006E15F2"/>
    <w:rsid w:val="00760250"/>
    <w:rsid w:val="008214F7"/>
    <w:rsid w:val="00877DFA"/>
    <w:rsid w:val="0089674D"/>
    <w:rsid w:val="00985640"/>
    <w:rsid w:val="0099707F"/>
    <w:rsid w:val="009A721B"/>
    <w:rsid w:val="009B50C5"/>
    <w:rsid w:val="00A34B2B"/>
    <w:rsid w:val="00A6769A"/>
    <w:rsid w:val="00AC1D8C"/>
    <w:rsid w:val="00AF7683"/>
    <w:rsid w:val="00B50FC0"/>
    <w:rsid w:val="00CB6E3A"/>
    <w:rsid w:val="00CC09AC"/>
    <w:rsid w:val="00CD75C2"/>
    <w:rsid w:val="00E42B9F"/>
    <w:rsid w:val="00E60A79"/>
    <w:rsid w:val="00F05E08"/>
    <w:rsid w:val="00F340E6"/>
    <w:rsid w:val="00F368F8"/>
    <w:rsid w:val="00F96D4B"/>
    <w:rsid w:val="010525D0"/>
    <w:rsid w:val="011A5340"/>
    <w:rsid w:val="012807F8"/>
    <w:rsid w:val="01891B53"/>
    <w:rsid w:val="01C21457"/>
    <w:rsid w:val="0221276B"/>
    <w:rsid w:val="025877D0"/>
    <w:rsid w:val="026D64DC"/>
    <w:rsid w:val="027C16B8"/>
    <w:rsid w:val="0317318F"/>
    <w:rsid w:val="03556AB2"/>
    <w:rsid w:val="04382163"/>
    <w:rsid w:val="04676E77"/>
    <w:rsid w:val="04A63819"/>
    <w:rsid w:val="04F85FF1"/>
    <w:rsid w:val="05057701"/>
    <w:rsid w:val="05322502"/>
    <w:rsid w:val="05BB42A5"/>
    <w:rsid w:val="05D11515"/>
    <w:rsid w:val="05FB28F4"/>
    <w:rsid w:val="06635A4F"/>
    <w:rsid w:val="072145DC"/>
    <w:rsid w:val="072846B9"/>
    <w:rsid w:val="076C046F"/>
    <w:rsid w:val="07ED235A"/>
    <w:rsid w:val="088B55C9"/>
    <w:rsid w:val="08B3253E"/>
    <w:rsid w:val="092C7268"/>
    <w:rsid w:val="09D1609A"/>
    <w:rsid w:val="09D77CF9"/>
    <w:rsid w:val="09ED2E9B"/>
    <w:rsid w:val="0A4B01E4"/>
    <w:rsid w:val="0A707BE7"/>
    <w:rsid w:val="0A7D7D7B"/>
    <w:rsid w:val="0AD61B81"/>
    <w:rsid w:val="0ADF4EB4"/>
    <w:rsid w:val="0AFC25D2"/>
    <w:rsid w:val="0B007B52"/>
    <w:rsid w:val="0B8961FD"/>
    <w:rsid w:val="0C3C5C5D"/>
    <w:rsid w:val="0CF619A7"/>
    <w:rsid w:val="0D0C2411"/>
    <w:rsid w:val="0D6E42F3"/>
    <w:rsid w:val="0E331896"/>
    <w:rsid w:val="0E671979"/>
    <w:rsid w:val="0E9E4376"/>
    <w:rsid w:val="0F167D68"/>
    <w:rsid w:val="0F251EFA"/>
    <w:rsid w:val="0F2C1D70"/>
    <w:rsid w:val="0FAC1E0F"/>
    <w:rsid w:val="0FB35FED"/>
    <w:rsid w:val="0FC92E5D"/>
    <w:rsid w:val="10104F83"/>
    <w:rsid w:val="108300B5"/>
    <w:rsid w:val="10D23E14"/>
    <w:rsid w:val="11060443"/>
    <w:rsid w:val="112F264C"/>
    <w:rsid w:val="115B228C"/>
    <w:rsid w:val="118C42A1"/>
    <w:rsid w:val="11922FEB"/>
    <w:rsid w:val="11A541D1"/>
    <w:rsid w:val="11AE2F4A"/>
    <w:rsid w:val="11B31A46"/>
    <w:rsid w:val="11DD4F52"/>
    <w:rsid w:val="120320D2"/>
    <w:rsid w:val="12227F59"/>
    <w:rsid w:val="12B60FA3"/>
    <w:rsid w:val="12F021A3"/>
    <w:rsid w:val="13054DB2"/>
    <w:rsid w:val="132412C3"/>
    <w:rsid w:val="133D2E2F"/>
    <w:rsid w:val="13E73C4E"/>
    <w:rsid w:val="14212B79"/>
    <w:rsid w:val="14A33DD8"/>
    <w:rsid w:val="14AF18FC"/>
    <w:rsid w:val="15D07BCF"/>
    <w:rsid w:val="16472285"/>
    <w:rsid w:val="16640530"/>
    <w:rsid w:val="16755E9F"/>
    <w:rsid w:val="171C5300"/>
    <w:rsid w:val="17492F0E"/>
    <w:rsid w:val="17881C2D"/>
    <w:rsid w:val="179F70B6"/>
    <w:rsid w:val="18785439"/>
    <w:rsid w:val="18A5104D"/>
    <w:rsid w:val="18F74349"/>
    <w:rsid w:val="190F569C"/>
    <w:rsid w:val="1947355A"/>
    <w:rsid w:val="19F95FF3"/>
    <w:rsid w:val="19FC4286"/>
    <w:rsid w:val="1A6E148E"/>
    <w:rsid w:val="1A8216F7"/>
    <w:rsid w:val="1AB23A71"/>
    <w:rsid w:val="1B0C34A1"/>
    <w:rsid w:val="1B98237C"/>
    <w:rsid w:val="1B9F7EE3"/>
    <w:rsid w:val="1C220379"/>
    <w:rsid w:val="1C4A7CD9"/>
    <w:rsid w:val="1CBB6F3F"/>
    <w:rsid w:val="1D05527E"/>
    <w:rsid w:val="1D1516C2"/>
    <w:rsid w:val="1D8B2357"/>
    <w:rsid w:val="1D914272"/>
    <w:rsid w:val="1E4515C4"/>
    <w:rsid w:val="1EBA7398"/>
    <w:rsid w:val="1EE44212"/>
    <w:rsid w:val="1F417171"/>
    <w:rsid w:val="1F6470B0"/>
    <w:rsid w:val="1F9F033C"/>
    <w:rsid w:val="1FA0658E"/>
    <w:rsid w:val="204F1D62"/>
    <w:rsid w:val="205729E2"/>
    <w:rsid w:val="20880DD0"/>
    <w:rsid w:val="20914128"/>
    <w:rsid w:val="20D90162"/>
    <w:rsid w:val="21735AF9"/>
    <w:rsid w:val="21A06DEB"/>
    <w:rsid w:val="21C226F3"/>
    <w:rsid w:val="220652BA"/>
    <w:rsid w:val="22162123"/>
    <w:rsid w:val="22915548"/>
    <w:rsid w:val="22EE2E53"/>
    <w:rsid w:val="22FF5139"/>
    <w:rsid w:val="24672062"/>
    <w:rsid w:val="248C3E9A"/>
    <w:rsid w:val="248E2DE1"/>
    <w:rsid w:val="24AE4614"/>
    <w:rsid w:val="24BD5937"/>
    <w:rsid w:val="24CB3DC0"/>
    <w:rsid w:val="24D665AE"/>
    <w:rsid w:val="24E928B8"/>
    <w:rsid w:val="24FB6014"/>
    <w:rsid w:val="254823C1"/>
    <w:rsid w:val="2614136F"/>
    <w:rsid w:val="26B20955"/>
    <w:rsid w:val="27420045"/>
    <w:rsid w:val="274D5ACF"/>
    <w:rsid w:val="27677991"/>
    <w:rsid w:val="278A4A2C"/>
    <w:rsid w:val="28456613"/>
    <w:rsid w:val="28491410"/>
    <w:rsid w:val="2860721B"/>
    <w:rsid w:val="28A80261"/>
    <w:rsid w:val="292567E1"/>
    <w:rsid w:val="29626024"/>
    <w:rsid w:val="2AC93501"/>
    <w:rsid w:val="2B05230C"/>
    <w:rsid w:val="2BFC0FF0"/>
    <w:rsid w:val="2C304924"/>
    <w:rsid w:val="2C426408"/>
    <w:rsid w:val="2C9F197B"/>
    <w:rsid w:val="2CAD3314"/>
    <w:rsid w:val="2CC35BC3"/>
    <w:rsid w:val="2CCF2A57"/>
    <w:rsid w:val="2CED0673"/>
    <w:rsid w:val="2D2C2A74"/>
    <w:rsid w:val="2D3F79D7"/>
    <w:rsid w:val="2D96271E"/>
    <w:rsid w:val="2D9E007B"/>
    <w:rsid w:val="2DA76D39"/>
    <w:rsid w:val="2E4C297A"/>
    <w:rsid w:val="2E7806D6"/>
    <w:rsid w:val="2E8207C4"/>
    <w:rsid w:val="2F5E2951"/>
    <w:rsid w:val="2FD84DB8"/>
    <w:rsid w:val="300761B5"/>
    <w:rsid w:val="300E2A05"/>
    <w:rsid w:val="301D21FC"/>
    <w:rsid w:val="303A24A6"/>
    <w:rsid w:val="304E59DB"/>
    <w:rsid w:val="3098247E"/>
    <w:rsid w:val="30FB789A"/>
    <w:rsid w:val="322122F4"/>
    <w:rsid w:val="322C3CB1"/>
    <w:rsid w:val="330E1253"/>
    <w:rsid w:val="331F458A"/>
    <w:rsid w:val="337E678E"/>
    <w:rsid w:val="338B4A07"/>
    <w:rsid w:val="347F407A"/>
    <w:rsid w:val="34C507EF"/>
    <w:rsid w:val="34D5216F"/>
    <w:rsid w:val="354D18D5"/>
    <w:rsid w:val="36676E29"/>
    <w:rsid w:val="369062CC"/>
    <w:rsid w:val="36A65A03"/>
    <w:rsid w:val="36E14B30"/>
    <w:rsid w:val="36E33724"/>
    <w:rsid w:val="370E4697"/>
    <w:rsid w:val="371371EE"/>
    <w:rsid w:val="37206361"/>
    <w:rsid w:val="37411742"/>
    <w:rsid w:val="37B00EE0"/>
    <w:rsid w:val="38064393"/>
    <w:rsid w:val="380C6E13"/>
    <w:rsid w:val="381B0776"/>
    <w:rsid w:val="386D0B7F"/>
    <w:rsid w:val="38705A0B"/>
    <w:rsid w:val="38934A8A"/>
    <w:rsid w:val="38AC5B4C"/>
    <w:rsid w:val="390C7F70"/>
    <w:rsid w:val="392D2431"/>
    <w:rsid w:val="39C74C55"/>
    <w:rsid w:val="39F43377"/>
    <w:rsid w:val="3A170959"/>
    <w:rsid w:val="3A1C1BAF"/>
    <w:rsid w:val="3A305137"/>
    <w:rsid w:val="3A570589"/>
    <w:rsid w:val="3AE07D2F"/>
    <w:rsid w:val="3AF95E24"/>
    <w:rsid w:val="3B31460B"/>
    <w:rsid w:val="3B3836C7"/>
    <w:rsid w:val="3BB80457"/>
    <w:rsid w:val="3BD50A45"/>
    <w:rsid w:val="3C2B6D87"/>
    <w:rsid w:val="3CAF5C6E"/>
    <w:rsid w:val="3D0D0E66"/>
    <w:rsid w:val="3D183C25"/>
    <w:rsid w:val="3D1909C8"/>
    <w:rsid w:val="3D5640D5"/>
    <w:rsid w:val="3DEE62BF"/>
    <w:rsid w:val="3E6D08CC"/>
    <w:rsid w:val="3F081602"/>
    <w:rsid w:val="3F7841B5"/>
    <w:rsid w:val="3F852AA5"/>
    <w:rsid w:val="3F99798D"/>
    <w:rsid w:val="3FB65C45"/>
    <w:rsid w:val="3FCF35E7"/>
    <w:rsid w:val="401270D9"/>
    <w:rsid w:val="406F4F58"/>
    <w:rsid w:val="409C47C1"/>
    <w:rsid w:val="40B732E0"/>
    <w:rsid w:val="40CE016E"/>
    <w:rsid w:val="40CE3973"/>
    <w:rsid w:val="41E158E5"/>
    <w:rsid w:val="42153520"/>
    <w:rsid w:val="424474C6"/>
    <w:rsid w:val="426B4971"/>
    <w:rsid w:val="42795447"/>
    <w:rsid w:val="42AC0347"/>
    <w:rsid w:val="42DF4555"/>
    <w:rsid w:val="42F04068"/>
    <w:rsid w:val="43171167"/>
    <w:rsid w:val="43326EBF"/>
    <w:rsid w:val="43901207"/>
    <w:rsid w:val="43D321DE"/>
    <w:rsid w:val="445251D5"/>
    <w:rsid w:val="44605159"/>
    <w:rsid w:val="44B7744D"/>
    <w:rsid w:val="4504286C"/>
    <w:rsid w:val="45144193"/>
    <w:rsid w:val="451D77E8"/>
    <w:rsid w:val="464F5D68"/>
    <w:rsid w:val="465D46FF"/>
    <w:rsid w:val="466924B3"/>
    <w:rsid w:val="468679DC"/>
    <w:rsid w:val="46A25D38"/>
    <w:rsid w:val="46CB09CA"/>
    <w:rsid w:val="47384EDF"/>
    <w:rsid w:val="48167282"/>
    <w:rsid w:val="4843113A"/>
    <w:rsid w:val="48457423"/>
    <w:rsid w:val="48582566"/>
    <w:rsid w:val="48864335"/>
    <w:rsid w:val="494E52FD"/>
    <w:rsid w:val="49D22F38"/>
    <w:rsid w:val="49DD3664"/>
    <w:rsid w:val="4A7B03DF"/>
    <w:rsid w:val="4B130F93"/>
    <w:rsid w:val="4C2048B8"/>
    <w:rsid w:val="4C83217E"/>
    <w:rsid w:val="4C833D43"/>
    <w:rsid w:val="4CD60F5E"/>
    <w:rsid w:val="4D461C92"/>
    <w:rsid w:val="4D466727"/>
    <w:rsid w:val="4D50664E"/>
    <w:rsid w:val="4E7D0D4F"/>
    <w:rsid w:val="4EA70ED0"/>
    <w:rsid w:val="4F431134"/>
    <w:rsid w:val="4F807FCA"/>
    <w:rsid w:val="4FCF212F"/>
    <w:rsid w:val="4FF95795"/>
    <w:rsid w:val="5067435B"/>
    <w:rsid w:val="507E0104"/>
    <w:rsid w:val="50A97422"/>
    <w:rsid w:val="51F7263B"/>
    <w:rsid w:val="52524C16"/>
    <w:rsid w:val="526606C2"/>
    <w:rsid w:val="5293012E"/>
    <w:rsid w:val="529C40E3"/>
    <w:rsid w:val="52CC4050"/>
    <w:rsid w:val="531D273D"/>
    <w:rsid w:val="5338205E"/>
    <w:rsid w:val="535527CB"/>
    <w:rsid w:val="53743ED2"/>
    <w:rsid w:val="53C108BF"/>
    <w:rsid w:val="53D24C9F"/>
    <w:rsid w:val="541A08A5"/>
    <w:rsid w:val="54D63934"/>
    <w:rsid w:val="54F02F3B"/>
    <w:rsid w:val="556D1537"/>
    <w:rsid w:val="56091A90"/>
    <w:rsid w:val="562904EF"/>
    <w:rsid w:val="565C2507"/>
    <w:rsid w:val="5682571F"/>
    <w:rsid w:val="57E32488"/>
    <w:rsid w:val="58196DAC"/>
    <w:rsid w:val="58382B00"/>
    <w:rsid w:val="58EE3C77"/>
    <w:rsid w:val="59017D1E"/>
    <w:rsid w:val="59063F78"/>
    <w:rsid w:val="59594AC9"/>
    <w:rsid w:val="596A402B"/>
    <w:rsid w:val="599975CF"/>
    <w:rsid w:val="59C12681"/>
    <w:rsid w:val="59CE316E"/>
    <w:rsid w:val="5A627539"/>
    <w:rsid w:val="5A75672B"/>
    <w:rsid w:val="5A932270"/>
    <w:rsid w:val="5AD771BE"/>
    <w:rsid w:val="5B505E97"/>
    <w:rsid w:val="5BB21112"/>
    <w:rsid w:val="5C1E267D"/>
    <w:rsid w:val="5CC61678"/>
    <w:rsid w:val="5D1458EA"/>
    <w:rsid w:val="5D226789"/>
    <w:rsid w:val="5DF647A0"/>
    <w:rsid w:val="5DFF0E1E"/>
    <w:rsid w:val="5E503D20"/>
    <w:rsid w:val="5E886CE4"/>
    <w:rsid w:val="5EFB2B28"/>
    <w:rsid w:val="5F4571B2"/>
    <w:rsid w:val="603A1DC8"/>
    <w:rsid w:val="60D5460C"/>
    <w:rsid w:val="61581B1D"/>
    <w:rsid w:val="61F72DEE"/>
    <w:rsid w:val="62111B1F"/>
    <w:rsid w:val="62B61E66"/>
    <w:rsid w:val="63D01E3F"/>
    <w:rsid w:val="63F0428F"/>
    <w:rsid w:val="643050EE"/>
    <w:rsid w:val="643248A8"/>
    <w:rsid w:val="64780896"/>
    <w:rsid w:val="65B64922"/>
    <w:rsid w:val="6645421B"/>
    <w:rsid w:val="669929BC"/>
    <w:rsid w:val="66B4618F"/>
    <w:rsid w:val="66B56861"/>
    <w:rsid w:val="66CD2666"/>
    <w:rsid w:val="66F7101E"/>
    <w:rsid w:val="66FE3167"/>
    <w:rsid w:val="670F1A60"/>
    <w:rsid w:val="67185FD7"/>
    <w:rsid w:val="67CC5F51"/>
    <w:rsid w:val="67E46396"/>
    <w:rsid w:val="68031475"/>
    <w:rsid w:val="6832131A"/>
    <w:rsid w:val="697F1C90"/>
    <w:rsid w:val="69AC6EAA"/>
    <w:rsid w:val="69FA7873"/>
    <w:rsid w:val="6AD0079D"/>
    <w:rsid w:val="6ADD55FC"/>
    <w:rsid w:val="6AE9031A"/>
    <w:rsid w:val="6B366553"/>
    <w:rsid w:val="6BA3608B"/>
    <w:rsid w:val="6BE61D2D"/>
    <w:rsid w:val="6C0F2059"/>
    <w:rsid w:val="6C521322"/>
    <w:rsid w:val="6CF52602"/>
    <w:rsid w:val="6CF748E0"/>
    <w:rsid w:val="6D0660FE"/>
    <w:rsid w:val="6D3A7F90"/>
    <w:rsid w:val="6E223B68"/>
    <w:rsid w:val="6E2A648C"/>
    <w:rsid w:val="6F03756C"/>
    <w:rsid w:val="6F3027C1"/>
    <w:rsid w:val="6F6B0AA1"/>
    <w:rsid w:val="6FD5166D"/>
    <w:rsid w:val="700C5C21"/>
    <w:rsid w:val="701C1C58"/>
    <w:rsid w:val="701D465E"/>
    <w:rsid w:val="7055244F"/>
    <w:rsid w:val="705E77F2"/>
    <w:rsid w:val="70E537FD"/>
    <w:rsid w:val="70E84CDA"/>
    <w:rsid w:val="712B426F"/>
    <w:rsid w:val="71D770C3"/>
    <w:rsid w:val="726F4F19"/>
    <w:rsid w:val="72830B08"/>
    <w:rsid w:val="72A11576"/>
    <w:rsid w:val="72B50B7E"/>
    <w:rsid w:val="73DF3770"/>
    <w:rsid w:val="73FB6A64"/>
    <w:rsid w:val="74727AC0"/>
    <w:rsid w:val="74AF129E"/>
    <w:rsid w:val="74CE5606"/>
    <w:rsid w:val="752E4C17"/>
    <w:rsid w:val="758119C2"/>
    <w:rsid w:val="761D1EEE"/>
    <w:rsid w:val="766C5EFC"/>
    <w:rsid w:val="76872172"/>
    <w:rsid w:val="76B659D2"/>
    <w:rsid w:val="76CC46E8"/>
    <w:rsid w:val="7707390B"/>
    <w:rsid w:val="770C71DA"/>
    <w:rsid w:val="7733278C"/>
    <w:rsid w:val="77377CE0"/>
    <w:rsid w:val="77E37F3B"/>
    <w:rsid w:val="781A6515"/>
    <w:rsid w:val="781B6807"/>
    <w:rsid w:val="782347DB"/>
    <w:rsid w:val="78743289"/>
    <w:rsid w:val="78970D25"/>
    <w:rsid w:val="78A44C3B"/>
    <w:rsid w:val="78AE6B25"/>
    <w:rsid w:val="78CA4C57"/>
    <w:rsid w:val="7A1847B2"/>
    <w:rsid w:val="7A200710"/>
    <w:rsid w:val="7A337B1E"/>
    <w:rsid w:val="7A666C01"/>
    <w:rsid w:val="7A744676"/>
    <w:rsid w:val="7A99611A"/>
    <w:rsid w:val="7AD91D9F"/>
    <w:rsid w:val="7B7F3C83"/>
    <w:rsid w:val="7BDC213F"/>
    <w:rsid w:val="7C0F2651"/>
    <w:rsid w:val="7C264E67"/>
    <w:rsid w:val="7C6641AB"/>
    <w:rsid w:val="7C743467"/>
    <w:rsid w:val="7CA63C51"/>
    <w:rsid w:val="7D6A4C5A"/>
    <w:rsid w:val="7DBB1D66"/>
    <w:rsid w:val="7DD81BC4"/>
    <w:rsid w:val="7DF54524"/>
    <w:rsid w:val="7E206D18"/>
    <w:rsid w:val="7E5751DF"/>
    <w:rsid w:val="7E5E3E35"/>
    <w:rsid w:val="7EAD237F"/>
    <w:rsid w:val="7EC632F1"/>
    <w:rsid w:val="7ED35B5A"/>
    <w:rsid w:val="7F127358"/>
    <w:rsid w:val="7F985AAF"/>
    <w:rsid w:val="7FDA2596"/>
    <w:rsid w:val="7FF525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0" w:semiHidden="0" w:name="toa heading"/>
    <w:lsdException w:uiPriority="0" w:name="List"/>
    <w:lsdException w:uiPriority="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0" w:name="List Continue 5"/>
    <w:lsdException w:uiPriority="0" w:name="Message Header"/>
    <w:lsdException w:qFormat="1" w:unhideWhenUsed="0" w:uiPriority="99"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73"/>
    <w:qFormat/>
    <w:uiPriority w:val="0"/>
    <w:pPr>
      <w:widowControl w:val="0"/>
      <w:jc w:val="both"/>
    </w:pPr>
    <w:rPr>
      <w:rFonts w:ascii="Calibri" w:hAnsi="Calibri" w:eastAsia="宋体" w:cs="Times New Roman"/>
      <w:kern w:val="2"/>
      <w:sz w:val="28"/>
      <w:lang w:val="en-US" w:eastAsia="zh-CN" w:bidi="ar-SA"/>
    </w:rPr>
  </w:style>
  <w:style w:type="paragraph" w:styleId="3">
    <w:name w:val="heading 1"/>
    <w:basedOn w:val="1"/>
    <w:next w:val="1"/>
    <w:qFormat/>
    <w:uiPriority w:val="0"/>
    <w:pPr>
      <w:keepNext/>
      <w:snapToGrid w:val="0"/>
      <w:spacing w:line="360" w:lineRule="atLeast"/>
      <w:outlineLvl w:val="0"/>
    </w:pPr>
    <w:rPr>
      <w:rFonts w:ascii="宋体"/>
    </w:rPr>
  </w:style>
  <w:style w:type="paragraph" w:styleId="4">
    <w:name w:val="heading 2"/>
    <w:basedOn w:val="1"/>
    <w:next w:val="1"/>
    <w:link w:val="103"/>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link w:val="107"/>
    <w:qFormat/>
    <w:uiPriority w:val="0"/>
    <w:pPr>
      <w:keepNext/>
      <w:keepLines/>
      <w:spacing w:before="260" w:after="260" w:line="413" w:lineRule="auto"/>
      <w:outlineLvl w:val="2"/>
    </w:pPr>
    <w:rPr>
      <w:b/>
      <w:sz w:val="32"/>
    </w:rPr>
  </w:style>
  <w:style w:type="paragraph" w:styleId="6">
    <w:name w:val="heading 4"/>
    <w:basedOn w:val="1"/>
    <w:next w:val="1"/>
    <w:qFormat/>
    <w:uiPriority w:val="0"/>
    <w:pPr>
      <w:spacing w:before="280" w:after="290" w:line="372" w:lineRule="auto"/>
      <w:outlineLvl w:val="3"/>
    </w:pPr>
  </w:style>
  <w:style w:type="paragraph" w:styleId="7">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8">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9">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10">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1">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5">
    <w:name w:val="Default Paragraph Font"/>
    <w:semiHidden/>
    <w:unhideWhenUsed/>
    <w:qFormat/>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Times New Roman"/>
      <w:color w:val="000000"/>
      <w:sz w:val="24"/>
      <w:lang w:val="en-US" w:eastAsia="zh-CN" w:bidi="ar-SA"/>
    </w:rPr>
  </w:style>
  <w:style w:type="paragraph" w:styleId="12">
    <w:name w:val="List 3"/>
    <w:basedOn w:val="1"/>
    <w:qFormat/>
    <w:uiPriority w:val="0"/>
    <w:pPr>
      <w:adjustRightInd w:val="0"/>
      <w:snapToGrid w:val="0"/>
      <w:spacing w:line="360" w:lineRule="auto"/>
      <w:ind w:left="100" w:leftChars="400" w:hanging="200" w:hangingChars="200"/>
    </w:pPr>
    <w:rPr>
      <w:sz w:val="24"/>
    </w:r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1"/>
      </w:numPr>
      <w:tabs>
        <w:tab w:val="left" w:pos="780"/>
        <w:tab w:val="clear" w:pos="425"/>
      </w:tabs>
      <w:spacing w:line="360" w:lineRule="auto"/>
    </w:pPr>
    <w:rPr>
      <w:sz w:val="24"/>
    </w:rPr>
  </w:style>
  <w:style w:type="paragraph" w:styleId="15">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6">
    <w:name w:val="Normal Indent"/>
    <w:basedOn w:val="1"/>
    <w:next w:val="1"/>
    <w:qFormat/>
    <w:uiPriority w:val="0"/>
    <w:pPr>
      <w:adjustRightInd w:val="0"/>
      <w:snapToGrid w:val="0"/>
      <w:spacing w:line="360" w:lineRule="auto"/>
      <w:ind w:firstLine="420"/>
    </w:pPr>
    <w:rPr>
      <w:sz w:val="24"/>
    </w:rPr>
  </w:style>
  <w:style w:type="paragraph" w:styleId="17">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8">
    <w:name w:val="Document Map"/>
    <w:basedOn w:val="1"/>
    <w:qFormat/>
    <w:uiPriority w:val="0"/>
    <w:pPr>
      <w:shd w:val="clear" w:color="auto" w:fill="000080"/>
    </w:pPr>
  </w:style>
  <w:style w:type="paragraph" w:styleId="19">
    <w:name w:val="toa heading"/>
    <w:basedOn w:val="1"/>
    <w:next w:val="1"/>
    <w:qFormat/>
    <w:uiPriority w:val="0"/>
    <w:pPr>
      <w:spacing w:before="120"/>
    </w:pPr>
    <w:rPr>
      <w:rFonts w:ascii="Arial" w:hAnsi="Arial"/>
      <w:sz w:val="24"/>
    </w:rPr>
  </w:style>
  <w:style w:type="paragraph" w:styleId="20">
    <w:name w:val="annotation text"/>
    <w:basedOn w:val="1"/>
    <w:link w:val="84"/>
    <w:qFormat/>
    <w:uiPriority w:val="0"/>
    <w:pPr>
      <w:adjustRightInd w:val="0"/>
      <w:spacing w:line="360" w:lineRule="atLeast"/>
      <w:jc w:val="left"/>
      <w:textAlignment w:val="baseline"/>
    </w:pPr>
    <w:rPr>
      <w:kern w:val="0"/>
      <w:sz w:val="24"/>
    </w:rPr>
  </w:style>
  <w:style w:type="paragraph" w:styleId="21">
    <w:name w:val="Body Text 3"/>
    <w:basedOn w:val="1"/>
    <w:qFormat/>
    <w:uiPriority w:val="0"/>
    <w:pPr>
      <w:adjustRightInd w:val="0"/>
      <w:snapToGrid w:val="0"/>
      <w:spacing w:after="120" w:line="360" w:lineRule="auto"/>
    </w:pPr>
    <w:rPr>
      <w:sz w:val="16"/>
    </w:rPr>
  </w:style>
  <w:style w:type="paragraph" w:styleId="22">
    <w:name w:val="List Bullet 3"/>
    <w:basedOn w:val="1"/>
    <w:qFormat/>
    <w:uiPriority w:val="0"/>
    <w:pPr>
      <w:tabs>
        <w:tab w:val="left" w:pos="1200"/>
      </w:tabs>
      <w:adjustRightInd w:val="0"/>
      <w:snapToGrid w:val="0"/>
      <w:spacing w:line="360" w:lineRule="auto"/>
      <w:ind w:left="1200" w:hanging="360"/>
    </w:pPr>
    <w:rPr>
      <w:sz w:val="24"/>
    </w:rPr>
  </w:style>
  <w:style w:type="paragraph" w:styleId="23">
    <w:name w:val="Body Text"/>
    <w:basedOn w:val="1"/>
    <w:next w:val="24"/>
    <w:qFormat/>
    <w:uiPriority w:val="0"/>
    <w:rPr>
      <w:rFonts w:ascii="仿宋_GB2312" w:eastAsia="仿宋_GB2312"/>
      <w:sz w:val="32"/>
    </w:rPr>
  </w:style>
  <w:style w:type="paragraph" w:customStyle="1" w:styleId="24">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styleId="25">
    <w:name w:val="Body Text Indent"/>
    <w:basedOn w:val="1"/>
    <w:link w:val="86"/>
    <w:qFormat/>
    <w:uiPriority w:val="0"/>
    <w:pPr>
      <w:spacing w:line="700" w:lineRule="exact"/>
      <w:ind w:left="960"/>
    </w:pPr>
    <w:rPr>
      <w:sz w:val="44"/>
    </w:rPr>
  </w:style>
  <w:style w:type="paragraph" w:styleId="26">
    <w:name w:val="List Number 3"/>
    <w:basedOn w:val="1"/>
    <w:qFormat/>
    <w:uiPriority w:val="0"/>
    <w:pPr>
      <w:tabs>
        <w:tab w:val="left" w:pos="2120"/>
      </w:tabs>
      <w:adjustRightInd w:val="0"/>
      <w:snapToGrid w:val="0"/>
      <w:spacing w:line="360" w:lineRule="auto"/>
      <w:ind w:left="2120" w:hanging="720"/>
    </w:pPr>
    <w:rPr>
      <w:sz w:val="24"/>
    </w:rPr>
  </w:style>
  <w:style w:type="paragraph" w:styleId="27">
    <w:name w:val="List 2"/>
    <w:basedOn w:val="1"/>
    <w:qFormat/>
    <w:uiPriority w:val="0"/>
    <w:pPr>
      <w:adjustRightInd w:val="0"/>
      <w:snapToGrid w:val="0"/>
      <w:spacing w:line="360" w:lineRule="auto"/>
      <w:ind w:left="100" w:leftChars="200" w:hanging="200" w:hangingChars="200"/>
    </w:pPr>
    <w:rPr>
      <w:sz w:val="24"/>
    </w:rPr>
  </w:style>
  <w:style w:type="paragraph" w:styleId="28">
    <w:name w:val="List Continue"/>
    <w:basedOn w:val="1"/>
    <w:qFormat/>
    <w:uiPriority w:val="0"/>
    <w:pPr>
      <w:adjustRightInd w:val="0"/>
      <w:snapToGrid w:val="0"/>
      <w:spacing w:after="120" w:line="360" w:lineRule="auto"/>
      <w:ind w:left="420" w:leftChars="200"/>
    </w:pPr>
    <w:rPr>
      <w:sz w:val="24"/>
    </w:rPr>
  </w:style>
  <w:style w:type="paragraph" w:styleId="29">
    <w:name w:val="Block Text"/>
    <w:basedOn w:val="1"/>
    <w:qFormat/>
    <w:uiPriority w:val="0"/>
    <w:pPr>
      <w:spacing w:after="120"/>
      <w:ind w:left="1440" w:leftChars="700" w:right="1440" w:rightChars="700"/>
    </w:pPr>
  </w:style>
  <w:style w:type="paragraph" w:styleId="30">
    <w:name w:val="List Bullet 2"/>
    <w:basedOn w:val="1"/>
    <w:qFormat/>
    <w:uiPriority w:val="0"/>
    <w:pPr>
      <w:numPr>
        <w:ilvl w:val="0"/>
        <w:numId w:val="2"/>
      </w:numPr>
      <w:adjustRightInd w:val="0"/>
      <w:snapToGrid w:val="0"/>
      <w:spacing w:line="360" w:lineRule="auto"/>
    </w:pPr>
    <w:rPr>
      <w:sz w:val="24"/>
    </w:rPr>
  </w:style>
  <w:style w:type="paragraph" w:styleId="31">
    <w:name w:val="toc 5"/>
    <w:basedOn w:val="1"/>
    <w:next w:val="1"/>
    <w:qFormat/>
    <w:uiPriority w:val="0"/>
    <w:pPr>
      <w:ind w:left="1680" w:leftChars="800"/>
    </w:pPr>
  </w:style>
  <w:style w:type="paragraph" w:styleId="32">
    <w:name w:val="toc 3"/>
    <w:basedOn w:val="1"/>
    <w:next w:val="1"/>
    <w:qFormat/>
    <w:uiPriority w:val="39"/>
    <w:pPr>
      <w:ind w:left="840" w:leftChars="400"/>
    </w:pPr>
  </w:style>
  <w:style w:type="paragraph" w:styleId="33">
    <w:name w:val="Plain Text"/>
    <w:basedOn w:val="1"/>
    <w:qFormat/>
    <w:uiPriority w:val="0"/>
    <w:rPr>
      <w:rFonts w:ascii="宋体" w:hAnsi="Courier New"/>
      <w:sz w:val="21"/>
    </w:rPr>
  </w:style>
  <w:style w:type="paragraph" w:styleId="34">
    <w:name w:val="toc 8"/>
    <w:basedOn w:val="1"/>
    <w:next w:val="1"/>
    <w:qFormat/>
    <w:uiPriority w:val="0"/>
    <w:pPr>
      <w:ind w:left="2940" w:leftChars="1400"/>
    </w:pPr>
  </w:style>
  <w:style w:type="paragraph" w:styleId="35">
    <w:name w:val="Date"/>
    <w:basedOn w:val="1"/>
    <w:next w:val="1"/>
    <w:link w:val="112"/>
    <w:qFormat/>
    <w:uiPriority w:val="0"/>
  </w:style>
  <w:style w:type="paragraph" w:styleId="36">
    <w:name w:val="Body Text Indent 2"/>
    <w:basedOn w:val="1"/>
    <w:link w:val="81"/>
    <w:qFormat/>
    <w:uiPriority w:val="0"/>
    <w:pPr>
      <w:snapToGrid w:val="0"/>
      <w:spacing w:line="560" w:lineRule="atLeast"/>
      <w:ind w:firstLine="540"/>
    </w:pPr>
  </w:style>
  <w:style w:type="paragraph" w:styleId="37">
    <w:name w:val="Balloon Text"/>
    <w:basedOn w:val="1"/>
    <w:qFormat/>
    <w:uiPriority w:val="0"/>
    <w:rPr>
      <w:sz w:val="18"/>
    </w:rPr>
  </w:style>
  <w:style w:type="paragraph" w:styleId="38">
    <w:name w:val="footer"/>
    <w:basedOn w:val="1"/>
    <w:link w:val="119"/>
    <w:qFormat/>
    <w:uiPriority w:val="99"/>
    <w:pPr>
      <w:tabs>
        <w:tab w:val="center" w:pos="4153"/>
        <w:tab w:val="right" w:pos="8306"/>
      </w:tabs>
      <w:snapToGrid w:val="0"/>
      <w:jc w:val="left"/>
    </w:pPr>
    <w:rPr>
      <w:sz w:val="18"/>
    </w:rPr>
  </w:style>
  <w:style w:type="paragraph" w:styleId="39">
    <w:name w:val="envelope return"/>
    <w:basedOn w:val="1"/>
    <w:qFormat/>
    <w:uiPriority w:val="0"/>
    <w:pPr>
      <w:snapToGrid w:val="0"/>
    </w:pPr>
    <w:rPr>
      <w:rFonts w:ascii="Arial" w:hAnsi="Arial"/>
    </w:rPr>
  </w:style>
  <w:style w:type="paragraph" w:styleId="40">
    <w:name w:val="header"/>
    <w:basedOn w:val="1"/>
    <w:qFormat/>
    <w:uiPriority w:val="0"/>
    <w:pPr>
      <w:pBdr>
        <w:bottom w:val="single" w:color="auto" w:sz="6" w:space="1"/>
      </w:pBdr>
      <w:tabs>
        <w:tab w:val="center" w:pos="4153"/>
        <w:tab w:val="right" w:pos="8306"/>
      </w:tabs>
      <w:snapToGrid w:val="0"/>
      <w:jc w:val="center"/>
    </w:pPr>
    <w:rPr>
      <w:sz w:val="18"/>
    </w:rPr>
  </w:style>
  <w:style w:type="paragraph" w:styleId="41">
    <w:name w:val="toc 1"/>
    <w:basedOn w:val="1"/>
    <w:next w:val="1"/>
    <w:qFormat/>
    <w:uiPriority w:val="0"/>
    <w:pPr>
      <w:spacing w:line="180" w:lineRule="auto"/>
      <w:jc w:val="center"/>
    </w:pPr>
    <w:rPr>
      <w:sz w:val="30"/>
    </w:rPr>
  </w:style>
  <w:style w:type="paragraph" w:styleId="42">
    <w:name w:val="List Continue 4"/>
    <w:basedOn w:val="1"/>
    <w:qFormat/>
    <w:uiPriority w:val="0"/>
    <w:pPr>
      <w:adjustRightInd w:val="0"/>
      <w:snapToGrid w:val="0"/>
      <w:spacing w:after="120" w:line="360" w:lineRule="auto"/>
      <w:ind w:left="1680" w:leftChars="800"/>
    </w:pPr>
    <w:rPr>
      <w:sz w:val="24"/>
    </w:rPr>
  </w:style>
  <w:style w:type="paragraph" w:styleId="43">
    <w:name w:val="toc 4"/>
    <w:basedOn w:val="1"/>
    <w:next w:val="1"/>
    <w:qFormat/>
    <w:uiPriority w:val="0"/>
    <w:pPr>
      <w:ind w:left="1260" w:leftChars="600"/>
    </w:pPr>
  </w:style>
  <w:style w:type="paragraph" w:styleId="44">
    <w:name w:val="Subtitle"/>
    <w:basedOn w:val="1"/>
    <w:qFormat/>
    <w:uiPriority w:val="99"/>
    <w:pPr>
      <w:spacing w:before="240" w:after="60" w:line="312" w:lineRule="auto"/>
      <w:jc w:val="center"/>
      <w:outlineLvl w:val="1"/>
    </w:pPr>
    <w:rPr>
      <w:rFonts w:ascii="Calibri Light" w:hAnsi="Calibri Light"/>
      <w:b/>
      <w:bCs/>
      <w:kern w:val="28"/>
      <w:sz w:val="32"/>
      <w:szCs w:val="32"/>
    </w:rPr>
  </w:style>
  <w:style w:type="paragraph" w:styleId="45">
    <w:name w:val="footnote text"/>
    <w:basedOn w:val="1"/>
    <w:link w:val="92"/>
    <w:qFormat/>
    <w:uiPriority w:val="0"/>
    <w:pPr>
      <w:spacing w:line="360" w:lineRule="auto"/>
    </w:pPr>
    <w:rPr>
      <w:sz w:val="18"/>
    </w:rPr>
  </w:style>
  <w:style w:type="paragraph" w:styleId="46">
    <w:name w:val="toc 6"/>
    <w:basedOn w:val="1"/>
    <w:next w:val="1"/>
    <w:qFormat/>
    <w:uiPriority w:val="0"/>
    <w:pPr>
      <w:ind w:left="2100" w:leftChars="1000"/>
    </w:pPr>
  </w:style>
  <w:style w:type="paragraph" w:styleId="47">
    <w:name w:val="List 5"/>
    <w:basedOn w:val="1"/>
    <w:qFormat/>
    <w:uiPriority w:val="0"/>
    <w:pPr>
      <w:adjustRightInd w:val="0"/>
      <w:snapToGrid w:val="0"/>
      <w:spacing w:line="360" w:lineRule="auto"/>
      <w:ind w:left="100" w:leftChars="800" w:hanging="200" w:hangingChars="200"/>
    </w:pPr>
    <w:rPr>
      <w:sz w:val="24"/>
    </w:rPr>
  </w:style>
  <w:style w:type="paragraph" w:styleId="48">
    <w:name w:val="Body Text Indent 3"/>
    <w:basedOn w:val="1"/>
    <w:qFormat/>
    <w:uiPriority w:val="0"/>
    <w:pPr>
      <w:spacing w:line="360" w:lineRule="auto"/>
      <w:ind w:firstLine="632"/>
    </w:pPr>
    <w:rPr>
      <w:rFonts w:ascii="黑体" w:eastAsia="黑体"/>
    </w:rPr>
  </w:style>
  <w:style w:type="paragraph" w:styleId="49">
    <w:name w:val="table of figures"/>
    <w:basedOn w:val="1"/>
    <w:next w:val="1"/>
    <w:qFormat/>
    <w:uiPriority w:val="0"/>
    <w:pPr>
      <w:tabs>
        <w:tab w:val="right" w:leader="dot" w:pos="8640"/>
      </w:tabs>
      <w:spacing w:line="360" w:lineRule="auto"/>
      <w:ind w:left="400" w:hanging="400"/>
    </w:pPr>
    <w:rPr>
      <w:sz w:val="24"/>
    </w:rPr>
  </w:style>
  <w:style w:type="paragraph" w:styleId="50">
    <w:name w:val="toc 2"/>
    <w:basedOn w:val="1"/>
    <w:next w:val="1"/>
    <w:qFormat/>
    <w:uiPriority w:val="39"/>
    <w:pPr>
      <w:ind w:left="420" w:leftChars="200"/>
    </w:pPr>
  </w:style>
  <w:style w:type="paragraph" w:styleId="51">
    <w:name w:val="toc 9"/>
    <w:basedOn w:val="1"/>
    <w:next w:val="1"/>
    <w:qFormat/>
    <w:uiPriority w:val="0"/>
    <w:pPr>
      <w:ind w:left="3360" w:leftChars="1600"/>
    </w:pPr>
  </w:style>
  <w:style w:type="paragraph" w:styleId="52">
    <w:name w:val="Body Text 2"/>
    <w:basedOn w:val="1"/>
    <w:qFormat/>
    <w:uiPriority w:val="0"/>
    <w:pPr>
      <w:adjustRightInd w:val="0"/>
      <w:snapToGrid w:val="0"/>
      <w:spacing w:after="120" w:line="480" w:lineRule="auto"/>
    </w:pPr>
    <w:rPr>
      <w:sz w:val="24"/>
    </w:rPr>
  </w:style>
  <w:style w:type="paragraph" w:styleId="53">
    <w:name w:val="List 4"/>
    <w:basedOn w:val="1"/>
    <w:qFormat/>
    <w:uiPriority w:val="0"/>
    <w:pPr>
      <w:adjustRightInd w:val="0"/>
      <w:snapToGrid w:val="0"/>
      <w:spacing w:line="360" w:lineRule="auto"/>
      <w:ind w:left="100" w:leftChars="600" w:hanging="200" w:hangingChars="200"/>
    </w:pPr>
    <w:rPr>
      <w:sz w:val="24"/>
    </w:rPr>
  </w:style>
  <w:style w:type="paragraph" w:styleId="54">
    <w:name w:val="List Continue 2"/>
    <w:basedOn w:val="1"/>
    <w:qFormat/>
    <w:uiPriority w:val="0"/>
    <w:pPr>
      <w:adjustRightInd w:val="0"/>
      <w:snapToGrid w:val="0"/>
      <w:spacing w:after="120" w:line="360" w:lineRule="auto"/>
      <w:ind w:left="840" w:leftChars="400"/>
    </w:pPr>
    <w:rPr>
      <w:sz w:val="24"/>
    </w:rPr>
  </w:style>
  <w:style w:type="paragraph" w:styleId="55">
    <w:name w:val="HTML Preformatted"/>
    <w:basedOn w:val="1"/>
    <w:qFormat/>
    <w:uiPriority w:val="0"/>
    <w:rPr>
      <w:rFonts w:ascii="Courier New" w:hAnsi="Courier New"/>
      <w:sz w:val="20"/>
    </w:rPr>
  </w:style>
  <w:style w:type="paragraph" w:styleId="56">
    <w:name w:val="Normal (Web)"/>
    <w:basedOn w:val="1"/>
    <w:qFormat/>
    <w:uiPriority w:val="0"/>
    <w:pPr>
      <w:widowControl/>
      <w:spacing w:before="100" w:beforeAutospacing="1" w:after="100" w:afterAutospacing="1"/>
      <w:jc w:val="left"/>
    </w:pPr>
    <w:rPr>
      <w:rFonts w:ascii="宋体" w:hAnsi="宋体"/>
      <w:kern w:val="0"/>
      <w:sz w:val="24"/>
    </w:rPr>
  </w:style>
  <w:style w:type="paragraph" w:styleId="57">
    <w:name w:val="List Continue 3"/>
    <w:basedOn w:val="1"/>
    <w:qFormat/>
    <w:uiPriority w:val="0"/>
    <w:pPr>
      <w:adjustRightInd w:val="0"/>
      <w:snapToGrid w:val="0"/>
      <w:spacing w:after="120" w:line="360" w:lineRule="auto"/>
      <w:ind w:left="1260" w:leftChars="600"/>
    </w:pPr>
    <w:rPr>
      <w:sz w:val="24"/>
    </w:rPr>
  </w:style>
  <w:style w:type="paragraph" w:styleId="58">
    <w:name w:val="index 1"/>
    <w:basedOn w:val="1"/>
    <w:next w:val="1"/>
    <w:qFormat/>
    <w:uiPriority w:val="0"/>
    <w:pPr>
      <w:adjustRightInd w:val="0"/>
      <w:spacing w:line="240" w:lineRule="atLeast"/>
      <w:textAlignment w:val="baseline"/>
    </w:pPr>
    <w:rPr>
      <w:rFonts w:ascii="宋体"/>
      <w:kern w:val="0"/>
      <w:sz w:val="21"/>
    </w:rPr>
  </w:style>
  <w:style w:type="paragraph" w:styleId="59">
    <w:name w:val="Title"/>
    <w:basedOn w:val="1"/>
    <w:qFormat/>
    <w:uiPriority w:val="0"/>
    <w:pPr>
      <w:widowControl/>
      <w:spacing w:after="240" w:line="360" w:lineRule="auto"/>
      <w:jc w:val="center"/>
    </w:pPr>
    <w:rPr>
      <w:rFonts w:ascii="Arial" w:hAnsi="Arial"/>
      <w:b/>
      <w:smallCaps/>
      <w:kern w:val="28"/>
      <w:sz w:val="36"/>
      <w:lang w:eastAsia="en-US"/>
    </w:rPr>
  </w:style>
  <w:style w:type="paragraph" w:styleId="60">
    <w:name w:val="annotation subject"/>
    <w:basedOn w:val="20"/>
    <w:next w:val="20"/>
    <w:link w:val="83"/>
    <w:qFormat/>
    <w:uiPriority w:val="0"/>
    <w:pPr>
      <w:adjustRightInd/>
      <w:spacing w:line="240" w:lineRule="auto"/>
      <w:textAlignment w:val="auto"/>
    </w:pPr>
  </w:style>
  <w:style w:type="paragraph" w:styleId="61">
    <w:name w:val="Body Text First Indent"/>
    <w:basedOn w:val="23"/>
    <w:next w:val="62"/>
    <w:qFormat/>
    <w:uiPriority w:val="0"/>
    <w:pPr>
      <w:spacing w:line="360" w:lineRule="auto"/>
      <w:ind w:firstLine="420"/>
    </w:pPr>
    <w:rPr>
      <w:rFonts w:ascii="宋体" w:hAnsi="宋体"/>
      <w:sz w:val="24"/>
    </w:rPr>
  </w:style>
  <w:style w:type="paragraph" w:styleId="62">
    <w:name w:val="Body Text First Indent 2"/>
    <w:basedOn w:val="25"/>
    <w:next w:val="1"/>
    <w:link w:val="110"/>
    <w:qFormat/>
    <w:uiPriority w:val="0"/>
    <w:pPr>
      <w:spacing w:after="120" w:line="240" w:lineRule="auto"/>
      <w:ind w:left="420" w:leftChars="200" w:firstLine="420" w:firstLineChars="200"/>
    </w:pPr>
  </w:style>
  <w:style w:type="table" w:styleId="64">
    <w:name w:val="Table Grid"/>
    <w:basedOn w:val="6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6">
    <w:name w:val="Strong"/>
    <w:qFormat/>
    <w:uiPriority w:val="0"/>
    <w:rPr>
      <w:b/>
    </w:rPr>
  </w:style>
  <w:style w:type="character" w:styleId="67">
    <w:name w:val="page number"/>
    <w:basedOn w:val="65"/>
    <w:qFormat/>
    <w:uiPriority w:val="0"/>
  </w:style>
  <w:style w:type="character" w:styleId="68">
    <w:name w:val="FollowedHyperlink"/>
    <w:qFormat/>
    <w:uiPriority w:val="0"/>
    <w:rPr>
      <w:color w:val="800080"/>
      <w:u w:val="single"/>
    </w:rPr>
  </w:style>
  <w:style w:type="character" w:styleId="69">
    <w:name w:val="Emphasis"/>
    <w:qFormat/>
    <w:uiPriority w:val="0"/>
    <w:rPr>
      <w:i/>
    </w:rPr>
  </w:style>
  <w:style w:type="character" w:styleId="70">
    <w:name w:val="Hyperlink"/>
    <w:qFormat/>
    <w:uiPriority w:val="99"/>
    <w:rPr>
      <w:color w:val="0000FF"/>
      <w:u w:val="single"/>
    </w:rPr>
  </w:style>
  <w:style w:type="character" w:styleId="71">
    <w:name w:val="annotation reference"/>
    <w:qFormat/>
    <w:uiPriority w:val="0"/>
    <w:rPr>
      <w:sz w:val="21"/>
      <w:szCs w:val="21"/>
    </w:rPr>
  </w:style>
  <w:style w:type="character" w:styleId="72">
    <w:name w:val="footnote reference"/>
    <w:qFormat/>
    <w:uiPriority w:val="0"/>
    <w:rPr>
      <w:position w:val="6"/>
      <w:sz w:val="14"/>
      <w:vertAlign w:val="superscript"/>
    </w:rPr>
  </w:style>
  <w:style w:type="paragraph" w:customStyle="1" w:styleId="73">
    <w:name w:val="默认"/>
    <w:qFormat/>
    <w:uiPriority w:val="99"/>
    <w:rPr>
      <w:rFonts w:ascii="Helvetica" w:hAnsi="Helvetica" w:eastAsia="宋体" w:cs="Times New Roman"/>
      <w:color w:val="000000"/>
      <w:sz w:val="22"/>
      <w:szCs w:val="22"/>
      <w:lang w:val="en-US" w:eastAsia="zh-CN" w:bidi="ar-SA"/>
    </w:rPr>
  </w:style>
  <w:style w:type="paragraph" w:customStyle="1" w:styleId="74">
    <w:name w:val="正文1"/>
    <w:basedOn w:val="1"/>
    <w:next w:val="1"/>
    <w:qFormat/>
    <w:uiPriority w:val="0"/>
    <w:pPr>
      <w:spacing w:line="300" w:lineRule="auto"/>
      <w:ind w:firstLine="200" w:firstLineChars="200"/>
    </w:pPr>
    <w:rPr>
      <w:sz w:val="24"/>
    </w:rPr>
  </w:style>
  <w:style w:type="paragraph" w:customStyle="1" w:styleId="75">
    <w:name w:val="标书正文1"/>
    <w:basedOn w:val="1"/>
    <w:qFormat/>
    <w:uiPriority w:val="0"/>
    <w:pPr>
      <w:spacing w:line="520" w:lineRule="exact"/>
      <w:ind w:firstLine="640" w:firstLineChars="200"/>
    </w:pPr>
    <w:rPr>
      <w:rFonts w:ascii="Times New Roman" w:hAnsi="Times New Roman"/>
    </w:rPr>
  </w:style>
  <w:style w:type="character" w:customStyle="1" w:styleId="76">
    <w:name w:val="Char Char7"/>
    <w:qFormat/>
    <w:uiPriority w:val="0"/>
    <w:rPr>
      <w:rFonts w:ascii="宋体" w:hAnsi="宋体" w:eastAsia="宋体"/>
      <w:kern w:val="2"/>
      <w:sz w:val="28"/>
    </w:rPr>
  </w:style>
  <w:style w:type="character" w:customStyle="1" w:styleId="77">
    <w:name w:val="font91"/>
    <w:qFormat/>
    <w:uiPriority w:val="0"/>
    <w:rPr>
      <w:rFonts w:hint="eastAsia" w:ascii="宋体" w:hAnsi="宋体" w:eastAsia="宋体" w:cs="宋体"/>
      <w:color w:val="000000"/>
      <w:sz w:val="20"/>
      <w:szCs w:val="20"/>
      <w:u w:val="none"/>
    </w:rPr>
  </w:style>
  <w:style w:type="character" w:customStyle="1" w:styleId="78">
    <w:name w:val="未命名11"/>
    <w:qFormat/>
    <w:uiPriority w:val="0"/>
    <w:rPr>
      <w:color w:val="77FFFF"/>
      <w:sz w:val="24"/>
    </w:rPr>
  </w:style>
  <w:style w:type="character" w:customStyle="1" w:styleId="79">
    <w:name w:val="font51"/>
    <w:qFormat/>
    <w:uiPriority w:val="0"/>
    <w:rPr>
      <w:rFonts w:hint="eastAsia" w:ascii="宋体" w:hAnsi="宋体" w:eastAsia="宋体" w:cs="宋体"/>
      <w:color w:val="000000"/>
      <w:sz w:val="20"/>
      <w:szCs w:val="20"/>
      <w:u w:val="none"/>
      <w:vertAlign w:val="superscript"/>
    </w:rPr>
  </w:style>
  <w:style w:type="character" w:customStyle="1" w:styleId="80">
    <w:name w:val="content-white1"/>
    <w:qFormat/>
    <w:uiPriority w:val="0"/>
    <w:rPr>
      <w:color w:val="auto"/>
      <w:sz w:val="18"/>
      <w:u w:val="none"/>
    </w:rPr>
  </w:style>
  <w:style w:type="character" w:customStyle="1" w:styleId="81">
    <w:name w:val="正文文本缩进 2 字符"/>
    <w:link w:val="36"/>
    <w:qFormat/>
    <w:uiPriority w:val="0"/>
    <w:rPr>
      <w:kern w:val="2"/>
      <w:sz w:val="28"/>
    </w:rPr>
  </w:style>
  <w:style w:type="character" w:customStyle="1" w:styleId="82">
    <w:name w:val="Char Char11"/>
    <w:qFormat/>
    <w:uiPriority w:val="0"/>
    <w:rPr>
      <w:rFonts w:ascii="宋体"/>
      <w:kern w:val="2"/>
      <w:sz w:val="28"/>
    </w:rPr>
  </w:style>
  <w:style w:type="character" w:customStyle="1" w:styleId="83">
    <w:name w:val="批注主题 字符"/>
    <w:basedOn w:val="84"/>
    <w:link w:val="60"/>
    <w:qFormat/>
    <w:uiPriority w:val="0"/>
    <w:rPr>
      <w:sz w:val="24"/>
    </w:rPr>
  </w:style>
  <w:style w:type="character" w:customStyle="1" w:styleId="84">
    <w:name w:val="批注文字 字符"/>
    <w:link w:val="20"/>
    <w:qFormat/>
    <w:uiPriority w:val="0"/>
    <w:rPr>
      <w:sz w:val="24"/>
    </w:rPr>
  </w:style>
  <w:style w:type="character" w:customStyle="1" w:styleId="85">
    <w:name w:val="font41"/>
    <w:qFormat/>
    <w:uiPriority w:val="0"/>
    <w:rPr>
      <w:rFonts w:hint="eastAsia" w:ascii="宋体" w:hAnsi="宋体" w:eastAsia="宋体" w:cs="宋体"/>
      <w:color w:val="000000"/>
      <w:sz w:val="20"/>
      <w:szCs w:val="20"/>
      <w:u w:val="none"/>
    </w:rPr>
  </w:style>
  <w:style w:type="character" w:customStyle="1" w:styleId="86">
    <w:name w:val="正文文本缩进 字符"/>
    <w:link w:val="25"/>
    <w:qFormat/>
    <w:uiPriority w:val="0"/>
    <w:rPr>
      <w:kern w:val="2"/>
      <w:sz w:val="44"/>
    </w:rPr>
  </w:style>
  <w:style w:type="character" w:customStyle="1" w:styleId="87">
    <w:name w:val="Table Text Char"/>
    <w:link w:val="88"/>
    <w:qFormat/>
    <w:uiPriority w:val="0"/>
    <w:rPr>
      <w:rFonts w:ascii="Arial" w:hAnsi="Arial"/>
      <w:kern w:val="2"/>
      <w:sz w:val="18"/>
      <w:lang w:val="en-US" w:eastAsia="zh-CN" w:bidi="ar-SA"/>
    </w:rPr>
  </w:style>
  <w:style w:type="paragraph" w:customStyle="1" w:styleId="88">
    <w:name w:val="Table Text"/>
    <w:link w:val="87"/>
    <w:qFormat/>
    <w:uiPriority w:val="0"/>
    <w:pPr>
      <w:snapToGrid w:val="0"/>
      <w:spacing w:before="80" w:after="80"/>
    </w:pPr>
    <w:rPr>
      <w:rFonts w:ascii="Arial" w:hAnsi="Arial" w:eastAsia="宋体" w:cs="Times New Roman"/>
      <w:kern w:val="2"/>
      <w:sz w:val="18"/>
      <w:lang w:val="en-US" w:eastAsia="zh-CN" w:bidi="ar-SA"/>
    </w:rPr>
  </w:style>
  <w:style w:type="character" w:customStyle="1" w:styleId="89">
    <w:name w:val="v151"/>
    <w:qFormat/>
    <w:uiPriority w:val="0"/>
    <w:rPr>
      <w:sz w:val="18"/>
    </w:rPr>
  </w:style>
  <w:style w:type="character" w:customStyle="1" w:styleId="90">
    <w:name w:val="样式 宋体"/>
    <w:qFormat/>
    <w:uiPriority w:val="0"/>
    <w:rPr>
      <w:rFonts w:ascii="宋体" w:hAnsi="宋体" w:eastAsia="宋体"/>
      <w:sz w:val="28"/>
    </w:rPr>
  </w:style>
  <w:style w:type="character" w:customStyle="1" w:styleId="91">
    <w:name w:val="title_emph1"/>
    <w:qFormat/>
    <w:uiPriority w:val="0"/>
    <w:rPr>
      <w:rFonts w:hint="default" w:ascii="Arial" w:hAnsi="Arial"/>
      <w:b/>
      <w:sz w:val="20"/>
    </w:rPr>
  </w:style>
  <w:style w:type="character" w:customStyle="1" w:styleId="92">
    <w:name w:val="脚注文本 字符"/>
    <w:link w:val="45"/>
    <w:qFormat/>
    <w:uiPriority w:val="0"/>
    <w:rPr>
      <w:kern w:val="2"/>
      <w:sz w:val="18"/>
    </w:rPr>
  </w:style>
  <w:style w:type="character" w:customStyle="1" w:styleId="93">
    <w:name w:val="Char Char"/>
    <w:qFormat/>
    <w:uiPriority w:val="0"/>
    <w:rPr>
      <w:rFonts w:ascii="宋体" w:hAnsi="宋体" w:eastAsia="宋体"/>
      <w:kern w:val="2"/>
      <w:sz w:val="24"/>
      <w:lang w:val="en-US" w:eastAsia="zh-CN" w:bidi="ar-SA"/>
    </w:rPr>
  </w:style>
  <w:style w:type="character" w:customStyle="1" w:styleId="94">
    <w:name w:val="Table Heading Char Char"/>
    <w:qFormat/>
    <w:uiPriority w:val="0"/>
    <w:rPr>
      <w:rFonts w:ascii="Arial" w:hAnsi="Arial" w:eastAsia="黑体"/>
      <w:kern w:val="2"/>
      <w:sz w:val="18"/>
      <w:lang w:val="en-US" w:eastAsia="zh-CN"/>
    </w:rPr>
  </w:style>
  <w:style w:type="character" w:customStyle="1" w:styleId="95">
    <w:name w:val="正文 + 三号 Char"/>
    <w:qFormat/>
    <w:uiPriority w:val="0"/>
    <w:rPr>
      <w:rFonts w:eastAsia="宋体"/>
      <w:kern w:val="2"/>
      <w:sz w:val="21"/>
      <w:lang w:val="en-US" w:eastAsia="zh-CN"/>
    </w:rPr>
  </w:style>
  <w:style w:type="character" w:customStyle="1" w:styleId="96">
    <w:name w:val="Char Char5"/>
    <w:qFormat/>
    <w:uiPriority w:val="0"/>
    <w:rPr>
      <w:rFonts w:ascii="Arial" w:hAnsi="Arial" w:eastAsia="宋体"/>
      <w:b/>
      <w:smallCaps/>
      <w:kern w:val="28"/>
      <w:sz w:val="36"/>
      <w:lang w:val="en-US" w:eastAsia="en-US"/>
    </w:rPr>
  </w:style>
  <w:style w:type="character" w:customStyle="1" w:styleId="97">
    <w:name w:val="Table Text Char Char Char Char"/>
    <w:link w:val="98"/>
    <w:qFormat/>
    <w:uiPriority w:val="0"/>
    <w:rPr>
      <w:rFonts w:ascii="Arial" w:hAnsi="Arial"/>
      <w:kern w:val="2"/>
      <w:sz w:val="18"/>
      <w:lang w:val="en-US" w:eastAsia="zh-CN" w:bidi="ar-SA"/>
    </w:rPr>
  </w:style>
  <w:style w:type="paragraph" w:customStyle="1" w:styleId="98">
    <w:name w:val="Table Text Char Char Char"/>
    <w:link w:val="97"/>
    <w:qFormat/>
    <w:uiPriority w:val="0"/>
    <w:pPr>
      <w:snapToGrid w:val="0"/>
      <w:spacing w:before="80" w:after="80"/>
    </w:pPr>
    <w:rPr>
      <w:rFonts w:ascii="Arial" w:hAnsi="Arial" w:eastAsia="宋体" w:cs="Times New Roman"/>
      <w:kern w:val="2"/>
      <w:sz w:val="18"/>
      <w:lang w:val="en-US" w:eastAsia="zh-CN" w:bidi="ar-SA"/>
    </w:rPr>
  </w:style>
  <w:style w:type="character" w:customStyle="1" w:styleId="99">
    <w:name w:val="font01"/>
    <w:basedOn w:val="65"/>
    <w:qFormat/>
    <w:uiPriority w:val="0"/>
    <w:rPr>
      <w:rFonts w:hint="default" w:ascii="Times New Roman" w:hAnsi="Times New Roman" w:cs="Times New Roman"/>
      <w:color w:val="000000"/>
      <w:sz w:val="20"/>
      <w:szCs w:val="20"/>
      <w:u w:val="none"/>
    </w:rPr>
  </w:style>
  <w:style w:type="character" w:customStyle="1" w:styleId="100">
    <w:name w:val="font101"/>
    <w:qFormat/>
    <w:uiPriority w:val="0"/>
    <w:rPr>
      <w:rFonts w:hint="default" w:ascii="Times New Roman" w:hAnsi="Times New Roman" w:cs="Times New Roman"/>
      <w:color w:val="000000"/>
      <w:sz w:val="20"/>
      <w:szCs w:val="20"/>
      <w:u w:val="none"/>
    </w:rPr>
  </w:style>
  <w:style w:type="character" w:customStyle="1" w:styleId="101">
    <w:name w:val="Table Text Char1 Char"/>
    <w:qFormat/>
    <w:uiPriority w:val="0"/>
    <w:rPr>
      <w:rFonts w:ascii="Arial" w:hAnsi="Arial"/>
      <w:kern w:val="2"/>
      <w:sz w:val="18"/>
      <w:lang w:val="en-US" w:eastAsia="zh-CN" w:bidi="ar-SA"/>
    </w:rPr>
  </w:style>
  <w:style w:type="character" w:customStyle="1" w:styleId="102">
    <w:name w:val="Char Char2"/>
    <w:qFormat/>
    <w:uiPriority w:val="0"/>
    <w:rPr>
      <w:rFonts w:eastAsia="宋体"/>
      <w:kern w:val="2"/>
      <w:sz w:val="18"/>
      <w:lang w:val="en-US" w:eastAsia="zh-CN"/>
    </w:rPr>
  </w:style>
  <w:style w:type="character" w:customStyle="1" w:styleId="103">
    <w:name w:val="标题 2 字符"/>
    <w:link w:val="4"/>
    <w:qFormat/>
    <w:uiPriority w:val="0"/>
    <w:rPr>
      <w:rFonts w:ascii="Arial" w:hAnsi="Arial" w:eastAsia="黑体"/>
      <w:b/>
      <w:kern w:val="2"/>
      <w:sz w:val="32"/>
    </w:rPr>
  </w:style>
  <w:style w:type="character" w:customStyle="1" w:styleId="104">
    <w:name w:val="font31"/>
    <w:qFormat/>
    <w:uiPriority w:val="0"/>
    <w:rPr>
      <w:rFonts w:hint="eastAsia" w:ascii="宋体" w:hAnsi="宋体" w:eastAsia="宋体" w:cs="宋体"/>
      <w:b/>
      <w:color w:val="000000"/>
      <w:sz w:val="20"/>
      <w:szCs w:val="20"/>
      <w:u w:val="none"/>
    </w:rPr>
  </w:style>
  <w:style w:type="character" w:customStyle="1" w:styleId="105">
    <w:name w:val="文字 Char"/>
    <w:link w:val="106"/>
    <w:qFormat/>
    <w:uiPriority w:val="0"/>
    <w:rPr>
      <w:rFonts w:ascii="宋体"/>
      <w:kern w:val="2"/>
      <w:sz w:val="28"/>
    </w:rPr>
  </w:style>
  <w:style w:type="paragraph" w:customStyle="1" w:styleId="106">
    <w:name w:val="文字"/>
    <w:basedOn w:val="1"/>
    <w:link w:val="105"/>
    <w:qFormat/>
    <w:uiPriority w:val="0"/>
    <w:pPr>
      <w:tabs>
        <w:tab w:val="left" w:pos="8520"/>
      </w:tabs>
      <w:spacing w:line="312" w:lineRule="auto"/>
      <w:ind w:right="-210" w:firstLine="556"/>
    </w:pPr>
    <w:rPr>
      <w:rFonts w:ascii="宋体"/>
    </w:rPr>
  </w:style>
  <w:style w:type="character" w:customStyle="1" w:styleId="107">
    <w:name w:val="标题 3 字符"/>
    <w:link w:val="5"/>
    <w:qFormat/>
    <w:uiPriority w:val="0"/>
    <w:rPr>
      <w:rFonts w:eastAsia="宋体"/>
      <w:b/>
      <w:kern w:val="2"/>
      <w:sz w:val="32"/>
      <w:lang w:val="en-US" w:eastAsia="zh-CN"/>
    </w:rPr>
  </w:style>
  <w:style w:type="character" w:customStyle="1" w:styleId="108">
    <w:name w:val="Char Char6"/>
    <w:qFormat/>
    <w:uiPriority w:val="0"/>
    <w:rPr>
      <w:rFonts w:ascii="仿宋_GB2312" w:eastAsia="仿宋_GB2312"/>
      <w:kern w:val="2"/>
      <w:sz w:val="32"/>
    </w:rPr>
  </w:style>
  <w:style w:type="character" w:customStyle="1" w:styleId="109">
    <w:name w:val="Char Char3"/>
    <w:qFormat/>
    <w:uiPriority w:val="0"/>
    <w:rPr>
      <w:rFonts w:eastAsia="宋体"/>
      <w:kern w:val="2"/>
      <w:sz w:val="18"/>
      <w:lang w:val="en-US" w:eastAsia="zh-CN"/>
    </w:rPr>
  </w:style>
  <w:style w:type="character" w:customStyle="1" w:styleId="110">
    <w:name w:val="正文文本首行缩进 2 字符"/>
    <w:basedOn w:val="86"/>
    <w:link w:val="62"/>
    <w:qFormat/>
    <w:uiPriority w:val="0"/>
    <w:rPr>
      <w:kern w:val="2"/>
      <w:sz w:val="44"/>
    </w:rPr>
  </w:style>
  <w:style w:type="character" w:customStyle="1" w:styleId="111">
    <w:name w:val="标书正文:  0.74 厘米 Char1"/>
    <w:qFormat/>
    <w:uiPriority w:val="0"/>
    <w:rPr>
      <w:rFonts w:eastAsia="宋体"/>
      <w:kern w:val="2"/>
      <w:sz w:val="24"/>
      <w:lang w:val="en-US" w:eastAsia="zh-CN"/>
    </w:rPr>
  </w:style>
  <w:style w:type="character" w:customStyle="1" w:styleId="112">
    <w:name w:val="日期 字符"/>
    <w:link w:val="35"/>
    <w:qFormat/>
    <w:uiPriority w:val="0"/>
    <w:rPr>
      <w:kern w:val="2"/>
      <w:sz w:val="28"/>
    </w:rPr>
  </w:style>
  <w:style w:type="character" w:customStyle="1" w:styleId="113">
    <w:name w:val="font1"/>
    <w:qFormat/>
    <w:uiPriority w:val="0"/>
    <w:rPr>
      <w:color w:val="000000"/>
      <w:sz w:val="18"/>
    </w:rPr>
  </w:style>
  <w:style w:type="character" w:customStyle="1" w:styleId="114">
    <w:name w:val="Char Char4"/>
    <w:qFormat/>
    <w:uiPriority w:val="0"/>
    <w:rPr>
      <w:rFonts w:eastAsia="宋体"/>
      <w:b/>
      <w:kern w:val="2"/>
      <w:sz w:val="21"/>
      <w:lang w:val="en-US" w:eastAsia="zh-CN"/>
    </w:rPr>
  </w:style>
  <w:style w:type="character" w:customStyle="1" w:styleId="115">
    <w:name w:val="top-det1"/>
    <w:qFormat/>
    <w:uiPriority w:val="0"/>
    <w:rPr>
      <w:b/>
      <w:color w:val="000000"/>
    </w:rPr>
  </w:style>
  <w:style w:type="character" w:customStyle="1" w:styleId="116">
    <w:name w:val="crowed11"/>
    <w:qFormat/>
    <w:uiPriority w:val="0"/>
    <w:rPr>
      <w:rFonts w:hint="default"/>
      <w:sz w:val="24"/>
    </w:rPr>
  </w:style>
  <w:style w:type="character" w:customStyle="1" w:styleId="117">
    <w:name w:val="H2 Char"/>
    <w:qFormat/>
    <w:uiPriority w:val="0"/>
    <w:rPr>
      <w:rFonts w:ascii="Arial" w:hAnsi="Arial" w:eastAsia="宋体"/>
      <w:kern w:val="2"/>
      <w:sz w:val="28"/>
      <w:lang w:val="en-US" w:eastAsia="zh-CN"/>
    </w:rPr>
  </w:style>
  <w:style w:type="character" w:customStyle="1" w:styleId="118">
    <w:name w:val="小 Char"/>
    <w:qFormat/>
    <w:uiPriority w:val="0"/>
    <w:rPr>
      <w:rFonts w:ascii="宋体" w:hAnsi="Courier New" w:eastAsia="宋体"/>
      <w:kern w:val="2"/>
      <w:sz w:val="21"/>
      <w:lang w:val="en-US" w:eastAsia="zh-CN" w:bidi="ar-SA"/>
    </w:rPr>
  </w:style>
  <w:style w:type="character" w:customStyle="1" w:styleId="119">
    <w:name w:val="页脚 字符"/>
    <w:link w:val="38"/>
    <w:qFormat/>
    <w:uiPriority w:val="99"/>
    <w:rPr>
      <w:kern w:val="2"/>
      <w:sz w:val="18"/>
    </w:rPr>
  </w:style>
  <w:style w:type="character" w:customStyle="1" w:styleId="120">
    <w:name w:val="font11"/>
    <w:qFormat/>
    <w:uiPriority w:val="0"/>
    <w:rPr>
      <w:rFonts w:hint="eastAsia" w:ascii="宋体" w:hAnsi="宋体" w:eastAsia="宋体" w:cs="宋体"/>
      <w:color w:val="000000"/>
      <w:sz w:val="20"/>
      <w:szCs w:val="20"/>
      <w:u w:val="none"/>
      <w:vertAlign w:val="superscript"/>
    </w:rPr>
  </w:style>
  <w:style w:type="paragraph" w:customStyle="1" w:styleId="121">
    <w:name w:val="样式 正文缩进正文（首行缩进两字）表正文正文非缩进特点标题4段1 + 首行缩进:  2 字符"/>
    <w:basedOn w:val="16"/>
    <w:qFormat/>
    <w:uiPriority w:val="0"/>
    <w:pPr>
      <w:ind w:firstLine="480" w:firstLineChars="200"/>
    </w:pPr>
  </w:style>
  <w:style w:type="paragraph" w:customStyle="1" w:styleId="122">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23">
    <w:name w:val="修订1"/>
    <w:qFormat/>
    <w:uiPriority w:val="0"/>
    <w:rPr>
      <w:rFonts w:ascii="Calibri" w:hAnsi="Calibri" w:eastAsia="宋体" w:cs="Times New Roman"/>
      <w:kern w:val="2"/>
      <w:sz w:val="21"/>
      <w:lang w:val="en-US" w:eastAsia="zh-CN" w:bidi="ar-SA"/>
    </w:rPr>
  </w:style>
  <w:style w:type="paragraph" w:customStyle="1" w:styleId="124">
    <w:name w:val="正文（首行不缩进）"/>
    <w:basedOn w:val="1"/>
    <w:qFormat/>
    <w:uiPriority w:val="0"/>
    <w:pPr>
      <w:autoSpaceDE w:val="0"/>
      <w:autoSpaceDN w:val="0"/>
      <w:adjustRightInd w:val="0"/>
      <w:spacing w:line="360" w:lineRule="auto"/>
      <w:jc w:val="left"/>
    </w:pPr>
    <w:rPr>
      <w:kern w:val="0"/>
      <w:sz w:val="21"/>
    </w:rPr>
  </w:style>
  <w:style w:type="paragraph" w:customStyle="1" w:styleId="125">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26">
    <w:name w:val="无间隔1"/>
    <w:qFormat/>
    <w:uiPriority w:val="1"/>
    <w:pPr>
      <w:jc w:val="both"/>
    </w:pPr>
    <w:rPr>
      <w:rFonts w:ascii="Calibri" w:hAnsi="Calibri" w:eastAsia="Times New Roman" w:cs="Times New Roman"/>
      <w:lang w:val="en-US" w:eastAsia="zh-CN" w:bidi="ar-SA"/>
    </w:rPr>
  </w:style>
  <w:style w:type="paragraph" w:customStyle="1" w:styleId="127">
    <w:name w:val="操作步骤"/>
    <w:basedOn w:val="1"/>
    <w:qFormat/>
    <w:uiPriority w:val="0"/>
    <w:pPr>
      <w:numPr>
        <w:ilvl w:val="0"/>
        <w:numId w:val="3"/>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28">
    <w:name w:val="Table Paragraph"/>
    <w:basedOn w:val="1"/>
    <w:qFormat/>
    <w:uiPriority w:val="1"/>
    <w:pPr>
      <w:autoSpaceDE w:val="0"/>
      <w:autoSpaceDN w:val="0"/>
      <w:adjustRightInd w:val="0"/>
    </w:pPr>
    <w:rPr>
      <w:sz w:val="24"/>
    </w:rPr>
  </w:style>
  <w:style w:type="paragraph" w:customStyle="1" w:styleId="129">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30">
    <w:name w:val="样式5"/>
    <w:basedOn w:val="131"/>
    <w:next w:val="1"/>
    <w:qFormat/>
    <w:uiPriority w:val="0"/>
  </w:style>
  <w:style w:type="paragraph" w:customStyle="1" w:styleId="131">
    <w:name w:val="编号正文"/>
    <w:basedOn w:val="132"/>
    <w:qFormat/>
    <w:uiPriority w:val="0"/>
    <w:pPr>
      <w:snapToGrid/>
      <w:spacing w:line="360" w:lineRule="auto"/>
      <w:ind w:left="1407" w:hanging="1047"/>
      <w:jc w:val="left"/>
    </w:pPr>
    <w:rPr>
      <w:rFonts w:eastAsia="仿宋_GB2312"/>
    </w:rPr>
  </w:style>
  <w:style w:type="paragraph" w:customStyle="1" w:styleId="132">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33">
    <w:name w:val="样式10"/>
    <w:basedOn w:val="1"/>
    <w:next w:val="1"/>
    <w:qFormat/>
    <w:uiPriority w:val="0"/>
    <w:rPr>
      <w:rFonts w:ascii="Times New Roman" w:hAnsi="Times New Roman" w:eastAsia="仿宋"/>
      <w:sz w:val="24"/>
    </w:rPr>
  </w:style>
  <w:style w:type="paragraph" w:customStyle="1" w:styleId="134">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35">
    <w:name w:val="Char Char1 Char"/>
    <w:basedOn w:val="1"/>
    <w:qFormat/>
    <w:uiPriority w:val="0"/>
    <w:rPr>
      <w:rFonts w:ascii="Tahoma" w:hAnsi="Tahoma"/>
      <w:sz w:val="24"/>
      <w:szCs w:val="24"/>
    </w:rPr>
  </w:style>
  <w:style w:type="paragraph" w:customStyle="1" w:styleId="136">
    <w:name w:val="样式1xz"/>
    <w:basedOn w:val="1"/>
    <w:qFormat/>
    <w:uiPriority w:val="0"/>
    <w:pPr>
      <w:tabs>
        <w:tab w:val="left" w:pos="1050"/>
        <w:tab w:val="right" w:leader="dot" w:pos="8296"/>
      </w:tabs>
    </w:pPr>
    <w:rPr>
      <w:caps/>
      <w:spacing w:val="20"/>
      <w:sz w:val="24"/>
    </w:rPr>
  </w:style>
  <w:style w:type="paragraph" w:customStyle="1" w:styleId="137">
    <w:name w:val="_Style 19"/>
    <w:basedOn w:val="1"/>
    <w:next w:val="138"/>
    <w:qFormat/>
    <w:uiPriority w:val="0"/>
    <w:pPr>
      <w:ind w:firstLine="420" w:firstLineChars="200"/>
    </w:pPr>
    <w:rPr>
      <w:sz w:val="21"/>
      <w:szCs w:val="22"/>
    </w:rPr>
  </w:style>
  <w:style w:type="paragraph" w:customStyle="1" w:styleId="138">
    <w:name w:val="列表段落1"/>
    <w:basedOn w:val="1"/>
    <w:qFormat/>
    <w:uiPriority w:val="0"/>
    <w:pPr>
      <w:ind w:firstLine="420" w:firstLineChars="200"/>
    </w:pPr>
  </w:style>
  <w:style w:type="paragraph" w:customStyle="1" w:styleId="139">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40">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41">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42">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3">
    <w:name w:val="司法正文"/>
    <w:qFormat/>
    <w:uiPriority w:val="0"/>
    <w:pPr>
      <w:widowControl w:val="0"/>
      <w:ind w:firstLine="200" w:firstLineChars="200"/>
      <w:jc w:val="both"/>
    </w:pPr>
    <w:rPr>
      <w:rFonts w:ascii="Calibri" w:hAnsi="Calibri" w:eastAsia="仿宋_GB2312" w:cs="Times New Roman"/>
      <w:sz w:val="32"/>
      <w:lang w:val="en-US" w:eastAsia="zh-CN" w:bidi="ar-SA"/>
    </w:rPr>
  </w:style>
  <w:style w:type="paragraph" w:customStyle="1" w:styleId="144">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45">
    <w:name w:val="正文文本 21"/>
    <w:basedOn w:val="1"/>
    <w:qFormat/>
    <w:uiPriority w:val="0"/>
    <w:pPr>
      <w:adjustRightInd w:val="0"/>
      <w:spacing w:before="120" w:line="360" w:lineRule="auto"/>
      <w:ind w:firstLine="480"/>
      <w:textAlignment w:val="baseline"/>
    </w:pPr>
    <w:rPr>
      <w:sz w:val="24"/>
    </w:rPr>
  </w:style>
  <w:style w:type="paragraph" w:customStyle="1" w:styleId="146">
    <w:name w:val="首行缩进"/>
    <w:basedOn w:val="1"/>
    <w:qFormat/>
    <w:uiPriority w:val="0"/>
    <w:pPr>
      <w:numPr>
        <w:ilvl w:val="0"/>
        <w:numId w:val="4"/>
      </w:numPr>
      <w:spacing w:line="360" w:lineRule="auto"/>
    </w:pPr>
    <w:rPr>
      <w:rFonts w:eastAsia="仿宋_GB2312"/>
    </w:rPr>
  </w:style>
  <w:style w:type="paragraph" w:customStyle="1" w:styleId="147">
    <w:name w:val="简单回函地址"/>
    <w:basedOn w:val="1"/>
    <w:qFormat/>
    <w:uiPriority w:val="0"/>
    <w:pPr>
      <w:adjustRightInd w:val="0"/>
      <w:snapToGrid w:val="0"/>
      <w:spacing w:line="360" w:lineRule="auto"/>
    </w:pPr>
    <w:rPr>
      <w:sz w:val="24"/>
    </w:rPr>
  </w:style>
  <w:style w:type="paragraph" w:customStyle="1" w:styleId="148">
    <w:name w:val="二级列表"/>
    <w:basedOn w:val="149"/>
    <w:next w:val="149"/>
    <w:qFormat/>
    <w:uiPriority w:val="0"/>
    <w:pPr>
      <w:tabs>
        <w:tab w:val="left" w:pos="2120"/>
      </w:tabs>
      <w:ind w:firstLine="0" w:firstLineChars="0"/>
    </w:pPr>
    <w:rPr>
      <w:b/>
    </w:rPr>
  </w:style>
  <w:style w:type="paragraph" w:customStyle="1" w:styleId="149">
    <w:name w:val="段落正文"/>
    <w:basedOn w:val="1"/>
    <w:qFormat/>
    <w:uiPriority w:val="0"/>
    <w:pPr>
      <w:spacing w:beforeLines="50" w:line="360" w:lineRule="auto"/>
      <w:ind w:firstLine="200" w:firstLineChars="200"/>
    </w:pPr>
    <w:rPr>
      <w:spacing w:val="2"/>
      <w:sz w:val="24"/>
    </w:rPr>
  </w:style>
  <w:style w:type="paragraph" w:customStyle="1" w:styleId="150">
    <w:name w:val="标题无"/>
    <w:basedOn w:val="1"/>
    <w:qFormat/>
    <w:uiPriority w:val="0"/>
    <w:pPr>
      <w:spacing w:line="360" w:lineRule="auto"/>
    </w:pPr>
    <w:rPr>
      <w:sz w:val="24"/>
    </w:rPr>
  </w:style>
  <w:style w:type="paragraph" w:customStyle="1" w:styleId="151">
    <w:name w:val="没有缩进（为图形使用）"/>
    <w:basedOn w:val="1"/>
    <w:qFormat/>
    <w:uiPriority w:val="0"/>
    <w:pPr>
      <w:spacing w:before="120" w:after="120" w:line="360" w:lineRule="auto"/>
    </w:pPr>
    <w:rPr>
      <w:sz w:val="24"/>
    </w:rPr>
  </w:style>
  <w:style w:type="paragraph" w:customStyle="1" w:styleId="152">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153">
    <w:name w:val="正文表格"/>
    <w:basedOn w:val="1"/>
    <w:qFormat/>
    <w:uiPriority w:val="0"/>
    <w:pPr>
      <w:adjustRightInd w:val="0"/>
      <w:spacing w:before="40" w:after="40"/>
    </w:pPr>
    <w:rPr>
      <w:sz w:val="24"/>
    </w:rPr>
  </w:style>
  <w:style w:type="paragraph" w:customStyle="1" w:styleId="154">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55">
    <w:name w:val="标书正文:  0.74 厘米"/>
    <w:basedOn w:val="1"/>
    <w:qFormat/>
    <w:uiPriority w:val="0"/>
    <w:pPr>
      <w:snapToGrid w:val="0"/>
      <w:spacing w:line="360" w:lineRule="auto"/>
      <w:ind w:firstLine="420"/>
    </w:pPr>
    <w:rPr>
      <w:sz w:val="24"/>
    </w:rPr>
  </w:style>
  <w:style w:type="paragraph" w:customStyle="1" w:styleId="156">
    <w:name w:val="Title - Date"/>
    <w:basedOn w:val="59"/>
    <w:next w:val="1"/>
    <w:qFormat/>
    <w:uiPriority w:val="0"/>
    <w:pPr>
      <w:spacing w:before="240" w:after="720"/>
    </w:pPr>
    <w:rPr>
      <w:sz w:val="28"/>
    </w:rPr>
  </w:style>
  <w:style w:type="paragraph" w:customStyle="1" w:styleId="157">
    <w:name w:val="样式 标题 6第五层条 + 三号 段前: 0.5 行"/>
    <w:basedOn w:val="8"/>
    <w:qFormat/>
    <w:uiPriority w:val="0"/>
    <w:pPr>
      <w:widowControl/>
      <w:adjustRightInd/>
      <w:snapToGrid/>
      <w:spacing w:beforeLines="50"/>
      <w:jc w:val="left"/>
    </w:pPr>
    <w:rPr>
      <w:snapToGrid w:val="0"/>
      <w:kern w:val="24"/>
      <w:sz w:val="28"/>
    </w:rPr>
  </w:style>
  <w:style w:type="paragraph" w:customStyle="1" w:styleId="158">
    <w:name w:val="样式11"/>
    <w:basedOn w:val="1"/>
    <w:next w:val="1"/>
    <w:qFormat/>
    <w:uiPriority w:val="0"/>
    <w:rPr>
      <w:rFonts w:ascii="Times New Roman" w:hAnsi="Times New Roman"/>
    </w:rPr>
  </w:style>
  <w:style w:type="paragraph" w:customStyle="1" w:styleId="159">
    <w:name w:val="Char Char14 Char Char"/>
    <w:basedOn w:val="1"/>
    <w:qFormat/>
    <w:uiPriority w:val="0"/>
    <w:rPr>
      <w:sz w:val="21"/>
      <w:szCs w:val="24"/>
    </w:rPr>
  </w:style>
  <w:style w:type="paragraph" w:customStyle="1" w:styleId="160">
    <w:name w:val="表头文本"/>
    <w:qFormat/>
    <w:uiPriority w:val="0"/>
    <w:pPr>
      <w:jc w:val="center"/>
    </w:pPr>
    <w:rPr>
      <w:rFonts w:ascii="Arial" w:hAnsi="Arial" w:eastAsia="宋体" w:cs="Times New Roman"/>
      <w:b/>
      <w:sz w:val="21"/>
      <w:lang w:val="en-US" w:eastAsia="zh-CN" w:bidi="ar-SA"/>
    </w:rPr>
  </w:style>
  <w:style w:type="paragraph" w:customStyle="1" w:styleId="161">
    <w:name w:val="Char Char Char Char Char Char Char"/>
    <w:basedOn w:val="1"/>
    <w:qFormat/>
    <w:uiPriority w:val="0"/>
    <w:rPr>
      <w:rFonts w:ascii="Tahoma" w:hAnsi="Tahoma"/>
      <w:sz w:val="24"/>
    </w:rPr>
  </w:style>
  <w:style w:type="paragraph" w:customStyle="1" w:styleId="162">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63">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164">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65">
    <w:name w:val="正文文本缩进 21"/>
    <w:basedOn w:val="1"/>
    <w:qFormat/>
    <w:uiPriority w:val="0"/>
    <w:pPr>
      <w:adjustRightInd w:val="0"/>
      <w:spacing w:before="120"/>
      <w:ind w:firstLine="420"/>
      <w:textAlignment w:val="baseline"/>
    </w:pPr>
    <w:rPr>
      <w:sz w:val="24"/>
    </w:rPr>
  </w:style>
  <w:style w:type="paragraph" w:customStyle="1" w:styleId="166">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67">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68">
    <w:name w:val="样式 正文首行缩进 2 + 首行缩进:  2 字符"/>
    <w:basedOn w:val="1"/>
    <w:qFormat/>
    <w:uiPriority w:val="0"/>
    <w:pPr>
      <w:numPr>
        <w:ilvl w:val="0"/>
        <w:numId w:val="5"/>
      </w:numPr>
      <w:adjustRightInd w:val="0"/>
      <w:snapToGrid w:val="0"/>
      <w:spacing w:line="360" w:lineRule="auto"/>
    </w:pPr>
    <w:rPr>
      <w:rFonts w:ascii="Arial" w:hAnsi="Arial"/>
      <w:b/>
      <w:sz w:val="24"/>
    </w:rPr>
  </w:style>
  <w:style w:type="paragraph" w:customStyle="1" w:styleId="169">
    <w:name w:val="样式 首行缩进:  0.74 厘米"/>
    <w:basedOn w:val="1"/>
    <w:qFormat/>
    <w:uiPriority w:val="0"/>
    <w:pPr>
      <w:spacing w:line="360" w:lineRule="auto"/>
      <w:ind w:firstLine="420"/>
    </w:pPr>
    <w:rPr>
      <w:sz w:val="24"/>
    </w:rPr>
  </w:style>
  <w:style w:type="paragraph" w:customStyle="1" w:styleId="170">
    <w:name w:val="表格文本"/>
    <w:qFormat/>
    <w:uiPriority w:val="0"/>
    <w:pPr>
      <w:tabs>
        <w:tab w:val="decimal" w:pos="0"/>
      </w:tabs>
    </w:pPr>
    <w:rPr>
      <w:rFonts w:ascii="Arial" w:hAnsi="Arial" w:eastAsia="宋体" w:cs="Times New Roman"/>
      <w:sz w:val="21"/>
      <w:lang w:val="en-US" w:eastAsia="zh-CN" w:bidi="ar-SA"/>
    </w:rPr>
  </w:style>
  <w:style w:type="paragraph" w:customStyle="1" w:styleId="171">
    <w:name w:val="默认段落字体 Para Char Char Char Char Char Char Char"/>
    <w:basedOn w:val="1"/>
    <w:qFormat/>
    <w:uiPriority w:val="0"/>
    <w:rPr>
      <w:rFonts w:ascii="Tahoma" w:hAnsi="Tahoma"/>
      <w:sz w:val="24"/>
    </w:rPr>
  </w:style>
  <w:style w:type="paragraph" w:customStyle="1" w:styleId="172">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73">
    <w:name w:val="Char1"/>
    <w:basedOn w:val="1"/>
    <w:qFormat/>
    <w:uiPriority w:val="0"/>
    <w:rPr>
      <w:sz w:val="21"/>
    </w:rPr>
  </w:style>
  <w:style w:type="paragraph" w:customStyle="1" w:styleId="174">
    <w:name w:val="样式 标题 1 + 居中 段前: 6 磅 段后: 6 磅 行距: 1.5 倍行距"/>
    <w:basedOn w:val="3"/>
    <w:qFormat/>
    <w:uiPriority w:val="0"/>
    <w:pPr>
      <w:keepLines/>
      <w:adjustRightInd w:val="0"/>
      <w:spacing w:before="120" w:after="120" w:line="360" w:lineRule="auto"/>
      <w:jc w:val="center"/>
    </w:pPr>
    <w:rPr>
      <w:rFonts w:ascii="Times New Roman"/>
      <w:b/>
      <w:kern w:val="44"/>
      <w:sz w:val="32"/>
    </w:rPr>
  </w:style>
  <w:style w:type="paragraph" w:customStyle="1" w:styleId="175">
    <w:name w:val="Char1 Char Char Char"/>
    <w:basedOn w:val="1"/>
    <w:qFormat/>
    <w:uiPriority w:val="0"/>
    <w:rPr>
      <w:rFonts w:ascii="Tahoma" w:hAnsi="Tahoma"/>
      <w:sz w:val="30"/>
    </w:rPr>
  </w:style>
  <w:style w:type="paragraph" w:customStyle="1" w:styleId="176">
    <w:name w:val="Char Char Char Char Char"/>
    <w:basedOn w:val="1"/>
    <w:qFormat/>
    <w:uiPriority w:val="0"/>
    <w:pPr>
      <w:numPr>
        <w:ilvl w:val="0"/>
        <w:numId w:val="6"/>
      </w:numPr>
      <w:tabs>
        <w:tab w:val="left" w:pos="425"/>
        <w:tab w:val="clear" w:pos="1620"/>
      </w:tabs>
    </w:pPr>
    <w:rPr>
      <w:rFonts w:ascii="Tahoma" w:hAnsi="Tahoma"/>
      <w:sz w:val="24"/>
    </w:rPr>
  </w:style>
  <w:style w:type="paragraph" w:customStyle="1" w:styleId="177">
    <w:name w:val="Item Step in Table"/>
    <w:qFormat/>
    <w:uiPriority w:val="0"/>
    <w:pPr>
      <w:numPr>
        <w:ilvl w:val="0"/>
        <w:numId w:val="7"/>
      </w:numPr>
      <w:tabs>
        <w:tab w:val="left" w:pos="397"/>
      </w:tabs>
      <w:spacing w:before="40" w:after="40"/>
      <w:jc w:val="both"/>
    </w:pPr>
    <w:rPr>
      <w:rFonts w:ascii="Arial" w:hAnsi="Arial" w:eastAsia="宋体" w:cs="Times New Roman"/>
      <w:sz w:val="18"/>
      <w:lang w:val="en-US" w:eastAsia="zh-CN" w:bidi="ar-SA"/>
    </w:rPr>
  </w:style>
  <w:style w:type="paragraph" w:customStyle="1" w:styleId="178">
    <w:name w:val="Table Contents"/>
    <w:basedOn w:val="23"/>
    <w:qFormat/>
    <w:uiPriority w:val="0"/>
    <w:pPr>
      <w:suppressAutoHyphens/>
      <w:jc w:val="left"/>
    </w:pPr>
    <w:rPr>
      <w:rFonts w:ascii="Times New Roman" w:eastAsia="Times New Roman"/>
      <w:kern w:val="0"/>
      <w:sz w:val="24"/>
    </w:rPr>
  </w:style>
  <w:style w:type="paragraph" w:customStyle="1" w:styleId="179">
    <w:name w:val="标题2"/>
    <w:basedOn w:val="4"/>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80">
    <w:name w:val="List Paragraph11"/>
    <w:basedOn w:val="1"/>
    <w:qFormat/>
    <w:uiPriority w:val="0"/>
    <w:pPr>
      <w:ind w:firstLine="420" w:firstLineChars="200"/>
    </w:pPr>
    <w:rPr>
      <w:rFonts w:ascii="等线" w:hAnsi="等线" w:eastAsia="等线"/>
      <w:sz w:val="21"/>
      <w:szCs w:val="22"/>
    </w:rPr>
  </w:style>
  <w:style w:type="paragraph" w:customStyle="1" w:styleId="181">
    <w:name w:val="附录3"/>
    <w:basedOn w:val="1"/>
    <w:next w:val="1"/>
    <w:qFormat/>
    <w:uiPriority w:val="0"/>
    <w:pPr>
      <w:tabs>
        <w:tab w:val="left" w:pos="851"/>
      </w:tabs>
      <w:ind w:left="425" w:hanging="425"/>
      <w:outlineLvl w:val="2"/>
    </w:pPr>
    <w:rPr>
      <w:rFonts w:eastAsia="黑体"/>
      <w:b/>
      <w:sz w:val="32"/>
    </w:rPr>
  </w:style>
  <w:style w:type="paragraph" w:customStyle="1" w:styleId="182">
    <w:name w:val="标题3——2"/>
    <w:basedOn w:val="5"/>
    <w:next w:val="61"/>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183">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84">
    <w:name w:val="表号"/>
    <w:basedOn w:val="1"/>
    <w:qFormat/>
    <w:uiPriority w:val="0"/>
    <w:pPr>
      <w:numPr>
        <w:ilvl w:val="0"/>
        <w:numId w:val="8"/>
      </w:numPr>
      <w:tabs>
        <w:tab w:val="left" w:pos="648"/>
        <w:tab w:val="clear" w:pos="360"/>
      </w:tabs>
      <w:autoSpaceDE w:val="0"/>
      <w:autoSpaceDN w:val="0"/>
      <w:adjustRightInd w:val="0"/>
      <w:spacing w:before="210" w:after="210"/>
      <w:ind w:left="425" w:hanging="137"/>
      <w:jc w:val="center"/>
    </w:pPr>
    <w:rPr>
      <w:kern w:val="0"/>
      <w:sz w:val="21"/>
      <w:lang w:eastAsia="en-US"/>
    </w:rPr>
  </w:style>
  <w:style w:type="paragraph" w:customStyle="1" w:styleId="185">
    <w:name w:val="List Paragraph1"/>
    <w:basedOn w:val="1"/>
    <w:qFormat/>
    <w:uiPriority w:val="0"/>
    <w:pPr>
      <w:ind w:firstLine="420" w:firstLineChars="200"/>
    </w:pPr>
    <w:rPr>
      <w:sz w:val="21"/>
      <w:szCs w:val="22"/>
    </w:rPr>
  </w:style>
  <w:style w:type="paragraph" w:customStyle="1" w:styleId="186">
    <w:name w:val="af"/>
    <w:basedOn w:val="1"/>
    <w:qFormat/>
    <w:uiPriority w:val="0"/>
    <w:pPr>
      <w:widowControl/>
      <w:spacing w:line="300" w:lineRule="atLeast"/>
      <w:jc w:val="left"/>
    </w:pPr>
    <w:rPr>
      <w:rFonts w:ascii="宋体" w:hAnsi="宋体"/>
      <w:kern w:val="0"/>
      <w:sz w:val="18"/>
    </w:rPr>
  </w:style>
  <w:style w:type="paragraph" w:customStyle="1" w:styleId="187">
    <w:name w:val="样式8"/>
    <w:basedOn w:val="1"/>
    <w:next w:val="1"/>
    <w:qFormat/>
    <w:uiPriority w:val="0"/>
    <w:rPr>
      <w:rFonts w:ascii="Times New Roman" w:hAnsi="Times New Roman" w:eastAsia="仿宋"/>
      <w:sz w:val="24"/>
    </w:rPr>
  </w:style>
  <w:style w:type="paragraph" w:customStyle="1" w:styleId="188">
    <w:name w:val="bt"/>
    <w:basedOn w:val="1"/>
    <w:next w:val="23"/>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89">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90">
    <w:name w:val="样式 标题 1章标题Heading 0Section HeadPIM 1H1h11st levell11H1..."/>
    <w:basedOn w:val="3"/>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191">
    <w:name w:val="图片文字"/>
    <w:basedOn w:val="1"/>
    <w:qFormat/>
    <w:uiPriority w:val="0"/>
    <w:pPr>
      <w:spacing w:line="240" w:lineRule="atLeast"/>
      <w:jc w:val="center"/>
    </w:pPr>
    <w:rPr>
      <w:sz w:val="21"/>
    </w:rPr>
  </w:style>
  <w:style w:type="paragraph" w:customStyle="1" w:styleId="192">
    <w:name w:val="表格内文字"/>
    <w:basedOn w:val="33"/>
    <w:qFormat/>
    <w:uiPriority w:val="0"/>
    <w:pPr>
      <w:adjustRightInd w:val="0"/>
    </w:pPr>
    <w:rPr>
      <w:color w:val="000000"/>
      <w:lang w:val="en-GB"/>
    </w:rPr>
  </w:style>
  <w:style w:type="paragraph" w:customStyle="1" w:styleId="193">
    <w:name w:val="二级条标题"/>
    <w:basedOn w:val="194"/>
    <w:next w:val="196"/>
    <w:qFormat/>
    <w:uiPriority w:val="0"/>
    <w:pPr>
      <w:ind w:left="840"/>
      <w:outlineLvl w:val="3"/>
    </w:pPr>
  </w:style>
  <w:style w:type="paragraph" w:customStyle="1" w:styleId="194">
    <w:name w:val="一级条标题"/>
    <w:basedOn w:val="195"/>
    <w:next w:val="196"/>
    <w:qFormat/>
    <w:uiPriority w:val="0"/>
    <w:pPr>
      <w:numPr>
        <w:numId w:val="0"/>
      </w:numPr>
      <w:spacing w:beforeLines="0" w:afterLines="0"/>
      <w:ind w:left="525"/>
      <w:outlineLvl w:val="2"/>
    </w:pPr>
    <w:rPr>
      <w:sz w:val="21"/>
    </w:rPr>
  </w:style>
  <w:style w:type="paragraph" w:customStyle="1" w:styleId="195">
    <w:name w:val="章标题"/>
    <w:next w:val="1"/>
    <w:qFormat/>
    <w:uiPriority w:val="0"/>
    <w:pPr>
      <w:numPr>
        <w:ilvl w:val="1"/>
        <w:numId w:val="7"/>
      </w:numPr>
      <w:spacing w:beforeLines="50" w:afterLines="50"/>
      <w:ind w:left="0"/>
      <w:jc w:val="both"/>
      <w:outlineLvl w:val="1"/>
    </w:pPr>
    <w:rPr>
      <w:rFonts w:ascii="黑体" w:hAnsi="Calibri" w:eastAsia="宋体" w:cs="Times New Roman"/>
      <w:sz w:val="24"/>
      <w:lang w:val="en-US" w:eastAsia="zh-CN" w:bidi="ar-SA"/>
    </w:rPr>
  </w:style>
  <w:style w:type="paragraph" w:customStyle="1" w:styleId="196">
    <w:name w:val="段"/>
    <w:next w:val="1"/>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97">
    <w:name w:val="CSS1级正文 Char"/>
    <w:basedOn w:val="23"/>
    <w:qFormat/>
    <w:uiPriority w:val="0"/>
    <w:pPr>
      <w:adjustRightInd w:val="0"/>
      <w:snapToGrid w:val="0"/>
      <w:spacing w:line="360" w:lineRule="auto"/>
      <w:ind w:firstLine="480"/>
    </w:pPr>
    <w:rPr>
      <w:rFonts w:ascii="Times New Roman" w:eastAsia="宋体"/>
      <w:sz w:val="24"/>
    </w:rPr>
  </w:style>
  <w:style w:type="paragraph" w:customStyle="1" w:styleId="198">
    <w:name w:val="标题 5（有编号）（绿盟科技）"/>
    <w:basedOn w:val="1"/>
    <w:next w:val="152"/>
    <w:qFormat/>
    <w:uiPriority w:val="0"/>
    <w:pPr>
      <w:keepNext/>
      <w:keepLines/>
      <w:numPr>
        <w:ilvl w:val="4"/>
        <w:numId w:val="9"/>
      </w:numPr>
      <w:spacing w:before="280" w:after="156" w:line="377" w:lineRule="auto"/>
      <w:jc w:val="left"/>
      <w:outlineLvl w:val="4"/>
    </w:pPr>
    <w:rPr>
      <w:rFonts w:ascii="Arial" w:hAnsi="Arial" w:eastAsia="黑体"/>
      <w:b/>
      <w:kern w:val="0"/>
      <w:sz w:val="24"/>
      <w:szCs w:val="28"/>
    </w:rPr>
  </w:style>
  <w:style w:type="paragraph" w:customStyle="1" w:styleId="199">
    <w:name w:val="Char2 Char Char Char Char Char Char"/>
    <w:basedOn w:val="1"/>
    <w:qFormat/>
    <w:uiPriority w:val="0"/>
    <w:rPr>
      <w:rFonts w:ascii="仿宋_GB2312"/>
      <w:b/>
      <w:sz w:val="30"/>
    </w:rPr>
  </w:style>
  <w:style w:type="paragraph" w:customStyle="1" w:styleId="200">
    <w:name w:val="表头样式"/>
    <w:basedOn w:val="1"/>
    <w:qFormat/>
    <w:uiPriority w:val="0"/>
    <w:pPr>
      <w:autoSpaceDE w:val="0"/>
      <w:autoSpaceDN w:val="0"/>
      <w:adjustRightInd w:val="0"/>
      <w:spacing w:line="360" w:lineRule="auto"/>
      <w:jc w:val="left"/>
    </w:pPr>
    <w:rPr>
      <w:b/>
      <w:kern w:val="0"/>
      <w:sz w:val="21"/>
    </w:rPr>
  </w:style>
  <w:style w:type="paragraph" w:customStyle="1" w:styleId="201">
    <w:name w:val="文本框样式1"/>
    <w:basedOn w:val="1"/>
    <w:qFormat/>
    <w:uiPriority w:val="0"/>
    <w:pPr>
      <w:adjustRightInd w:val="0"/>
      <w:snapToGrid w:val="0"/>
      <w:spacing w:before="60" w:line="180" w:lineRule="exact"/>
      <w:jc w:val="center"/>
    </w:pPr>
    <w:rPr>
      <w:sz w:val="21"/>
    </w:rPr>
  </w:style>
  <w:style w:type="paragraph" w:customStyle="1" w:styleId="202">
    <w:name w:val="样式6"/>
    <w:basedOn w:val="1"/>
    <w:next w:val="1"/>
    <w:qFormat/>
    <w:uiPriority w:val="0"/>
    <w:rPr>
      <w:rFonts w:ascii="Times New Roman" w:hAnsi="Times New Roman"/>
    </w:rPr>
  </w:style>
  <w:style w:type="paragraph" w:customStyle="1" w:styleId="203">
    <w:name w:val="_"/>
    <w:basedOn w:val="1"/>
    <w:qFormat/>
    <w:uiPriority w:val="0"/>
    <w:pPr>
      <w:adjustRightInd w:val="0"/>
      <w:spacing w:line="360" w:lineRule="auto"/>
      <w:ind w:left="480" w:firstLine="200" w:firstLineChars="200"/>
      <w:textAlignment w:val="baseline"/>
    </w:pPr>
    <w:rPr>
      <w:kern w:val="0"/>
      <w:sz w:val="24"/>
    </w:rPr>
  </w:style>
  <w:style w:type="paragraph" w:customStyle="1" w:styleId="20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05">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206">
    <w:name w:val="样式 样式 首行缩进:  2 字符 + 首行缩进:  2 字符"/>
    <w:basedOn w:val="1"/>
    <w:qFormat/>
    <w:uiPriority w:val="0"/>
    <w:pPr>
      <w:numPr>
        <w:ilvl w:val="0"/>
        <w:numId w:val="10"/>
      </w:numPr>
      <w:tabs>
        <w:tab w:val="clear" w:pos="1230"/>
      </w:tabs>
      <w:spacing w:line="360" w:lineRule="auto"/>
      <w:ind w:firstLine="480" w:firstLineChars="200"/>
    </w:pPr>
    <w:rPr>
      <w:sz w:val="24"/>
    </w:rPr>
  </w:style>
  <w:style w:type="paragraph" w:customStyle="1" w:styleId="207">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208">
    <w:name w:val="Table Heading"/>
    <w:qFormat/>
    <w:uiPriority w:val="0"/>
    <w:pPr>
      <w:keepNext/>
      <w:snapToGrid w:val="0"/>
      <w:spacing w:before="80" w:after="80"/>
      <w:jc w:val="center"/>
    </w:pPr>
    <w:rPr>
      <w:rFonts w:ascii="Arial" w:hAnsi="Arial" w:eastAsia="宋体" w:cs="Times New Roman"/>
      <w:sz w:val="18"/>
      <w:lang w:val="en-US" w:eastAsia="zh-CN" w:bidi="ar-SA"/>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IN Feature"/>
    <w:next w:val="211"/>
    <w:qFormat/>
    <w:uiPriority w:val="0"/>
    <w:pPr>
      <w:keepNext/>
      <w:keepLines/>
      <w:spacing w:before="240" w:after="240"/>
      <w:outlineLvl w:val="7"/>
    </w:pPr>
    <w:rPr>
      <w:rFonts w:ascii="Arial" w:hAnsi="Arial" w:eastAsia="宋体" w:cs="Times New Roman"/>
      <w:sz w:val="21"/>
      <w:lang w:val="en-US" w:eastAsia="zh-CN" w:bidi="ar-SA"/>
    </w:rPr>
  </w:style>
  <w:style w:type="paragraph" w:customStyle="1" w:styleId="211">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212">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13">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214">
    <w:name w:val="正文字缩2字"/>
    <w:basedOn w:val="1"/>
    <w:qFormat/>
    <w:uiPriority w:val="0"/>
    <w:pPr>
      <w:spacing w:before="60" w:after="60" w:line="360" w:lineRule="auto"/>
      <w:ind w:left="200" w:leftChars="200" w:firstLine="200" w:firstLineChars="200"/>
    </w:pPr>
    <w:rPr>
      <w:sz w:val="24"/>
    </w:rPr>
  </w:style>
  <w:style w:type="paragraph" w:customStyle="1" w:styleId="215">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16">
    <w:name w:val="样式4"/>
    <w:basedOn w:val="6"/>
    <w:qFormat/>
    <w:uiPriority w:val="0"/>
    <w:pPr>
      <w:adjustRightInd w:val="0"/>
      <w:snapToGrid w:val="0"/>
    </w:pPr>
  </w:style>
  <w:style w:type="paragraph" w:customStyle="1" w:styleId="217">
    <w:name w:val="样式 行距: 1.5 倍行距1"/>
    <w:basedOn w:val="1"/>
    <w:qFormat/>
    <w:uiPriority w:val="0"/>
    <w:pPr>
      <w:snapToGrid w:val="0"/>
    </w:pPr>
    <w:rPr>
      <w:sz w:val="21"/>
    </w:rPr>
  </w:style>
  <w:style w:type="paragraph" w:customStyle="1" w:styleId="218">
    <w:name w:val="Char"/>
    <w:basedOn w:val="1"/>
    <w:qFormat/>
    <w:uiPriority w:val="0"/>
    <w:pPr>
      <w:spacing w:line="240" w:lineRule="atLeast"/>
      <w:ind w:left="420" w:firstLine="420"/>
    </w:pPr>
    <w:rPr>
      <w:kern w:val="0"/>
      <w:sz w:val="21"/>
    </w:rPr>
  </w:style>
  <w:style w:type="paragraph" w:customStyle="1" w:styleId="219">
    <w:name w:val="样式1"/>
    <w:basedOn w:val="6"/>
    <w:qFormat/>
    <w:uiPriority w:val="0"/>
    <w:pPr>
      <w:tabs>
        <w:tab w:val="left" w:pos="720"/>
      </w:tabs>
      <w:spacing w:before="500" w:after="260" w:line="560" w:lineRule="atLeast"/>
      <w:ind w:left="420" w:hanging="420"/>
    </w:pPr>
  </w:style>
  <w:style w:type="paragraph" w:customStyle="1" w:styleId="220">
    <w:name w:val="标准正文"/>
    <w:basedOn w:val="25"/>
    <w:qFormat/>
    <w:uiPriority w:val="0"/>
    <w:pPr>
      <w:spacing w:before="60" w:after="60" w:line="360" w:lineRule="auto"/>
      <w:ind w:left="0" w:firstLine="482"/>
    </w:pPr>
    <w:rPr>
      <w:rFonts w:ascii="Arial" w:hAnsi="Arial"/>
      <w:sz w:val="24"/>
    </w:rPr>
  </w:style>
  <w:style w:type="paragraph" w:customStyle="1" w:styleId="221">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22">
    <w:name w:val="Item List"/>
    <w:qFormat/>
    <w:uiPriority w:val="0"/>
    <w:pPr>
      <w:numPr>
        <w:ilvl w:val="0"/>
        <w:numId w:val="11"/>
      </w:numPr>
      <w:spacing w:line="300" w:lineRule="auto"/>
      <w:jc w:val="both"/>
    </w:pPr>
    <w:rPr>
      <w:rFonts w:ascii="Arial" w:hAnsi="Arial" w:eastAsia="宋体" w:cs="Times New Roman"/>
      <w:sz w:val="21"/>
      <w:lang w:val="en-US" w:eastAsia="zh-CN" w:bidi="ar-SA"/>
    </w:rPr>
  </w:style>
  <w:style w:type="paragraph" w:customStyle="1" w:styleId="223">
    <w:name w:val="Figure Description"/>
    <w:next w:val="1"/>
    <w:qFormat/>
    <w:uiPriority w:val="0"/>
    <w:pPr>
      <w:snapToGrid w:val="0"/>
      <w:spacing w:before="80" w:after="320"/>
      <w:ind w:left="1134"/>
      <w:jc w:val="center"/>
    </w:pPr>
    <w:rPr>
      <w:rFonts w:ascii="Arial" w:hAnsi="Arial" w:eastAsia="宋体" w:cs="Times New Roman"/>
      <w:sz w:val="18"/>
      <w:lang w:val="en-US" w:eastAsia="zh-CN" w:bidi="ar-SA"/>
    </w:rPr>
  </w:style>
  <w:style w:type="paragraph" w:customStyle="1" w:styleId="224">
    <w:name w:val="样式7"/>
    <w:basedOn w:val="1"/>
    <w:next w:val="1"/>
    <w:qFormat/>
    <w:uiPriority w:val="0"/>
    <w:rPr>
      <w:rFonts w:ascii="Times New Roman" w:hAnsi="Times New Roman"/>
    </w:rPr>
  </w:style>
  <w:style w:type="paragraph" w:customStyle="1" w:styleId="225">
    <w:name w:val="正文 A"/>
    <w:qFormat/>
    <w:uiPriority w:val="0"/>
    <w:pPr>
      <w:framePr w:wrap="around" w:vAnchor="margin" w:hAnchor="text" w:y="1"/>
      <w:widowControl w:val="0"/>
      <w:jc w:val="both"/>
    </w:pPr>
    <w:rPr>
      <w:rFonts w:ascii="Calibri" w:hAnsi="Calibri" w:eastAsia="Times New Roman" w:cs="Times New Roman"/>
      <w:color w:val="000000"/>
      <w:kern w:val="2"/>
      <w:sz w:val="28"/>
      <w:szCs w:val="28"/>
      <w:lang w:val="en-US" w:eastAsia="zh-CN" w:bidi="ar-SA"/>
    </w:rPr>
  </w:style>
  <w:style w:type="paragraph" w:customStyle="1" w:styleId="226">
    <w:name w:val="样式 宋体 五号 行距: 单倍行距"/>
    <w:basedOn w:val="1"/>
    <w:qFormat/>
    <w:uiPriority w:val="0"/>
    <w:pPr>
      <w:adjustRightInd w:val="0"/>
      <w:jc w:val="left"/>
    </w:pPr>
    <w:rPr>
      <w:rFonts w:ascii="宋体" w:hAnsi="宋体"/>
      <w:kern w:val="0"/>
      <w:sz w:val="21"/>
    </w:rPr>
  </w:style>
  <w:style w:type="paragraph" w:customStyle="1" w:styleId="227">
    <w:name w:val="Table Description"/>
    <w:next w:val="1"/>
    <w:qFormat/>
    <w:uiPriority w:val="0"/>
    <w:pPr>
      <w:keepNext/>
      <w:snapToGrid w:val="0"/>
      <w:spacing w:before="160" w:after="80"/>
      <w:ind w:left="1134"/>
      <w:jc w:val="center"/>
    </w:pPr>
    <w:rPr>
      <w:rFonts w:ascii="Arial" w:hAnsi="Arial" w:eastAsia="宋体" w:cs="Times New Roman"/>
      <w:sz w:val="18"/>
      <w:lang w:val="en-US" w:eastAsia="zh-CN" w:bidi="ar-SA"/>
    </w:rPr>
  </w:style>
  <w:style w:type="paragraph" w:customStyle="1" w:styleId="228">
    <w:name w:val="Char Char 字元 字元 字元 Char Char Char Char"/>
    <w:basedOn w:val="1"/>
    <w:qFormat/>
    <w:uiPriority w:val="0"/>
    <w:pPr>
      <w:adjustRightInd w:val="0"/>
      <w:spacing w:line="360" w:lineRule="auto"/>
    </w:pPr>
    <w:rPr>
      <w:kern w:val="0"/>
      <w:sz w:val="24"/>
    </w:rPr>
  </w:style>
  <w:style w:type="paragraph" w:customStyle="1" w:styleId="229">
    <w:name w:val="内容标题"/>
    <w:basedOn w:val="18"/>
    <w:qFormat/>
    <w:uiPriority w:val="0"/>
    <w:rPr>
      <w:rFonts w:ascii="Tahoma" w:hAnsi="Tahoma"/>
      <w:sz w:val="24"/>
    </w:rPr>
  </w:style>
  <w:style w:type="paragraph" w:customStyle="1" w:styleId="230">
    <w:name w:val="Char Char Char Char Char Char Char Char Char Char Char Char Char Char Char Char"/>
    <w:basedOn w:val="1"/>
    <w:qFormat/>
    <w:uiPriority w:val="0"/>
    <w:pPr>
      <w:tabs>
        <w:tab w:val="left" w:pos="360"/>
      </w:tabs>
    </w:pPr>
    <w:rPr>
      <w:sz w:val="24"/>
    </w:rPr>
  </w:style>
  <w:style w:type="paragraph" w:customStyle="1" w:styleId="231">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3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33">
    <w:name w:val="图例"/>
    <w:basedOn w:val="1"/>
    <w:qFormat/>
    <w:uiPriority w:val="0"/>
    <w:pPr>
      <w:spacing w:before="120" w:after="120" w:line="360" w:lineRule="auto"/>
      <w:jc w:val="center"/>
    </w:pPr>
    <w:rPr>
      <w:rFonts w:eastAsia="仿宋_GB2312"/>
      <w:b/>
      <w:sz w:val="24"/>
    </w:rPr>
  </w:style>
  <w:style w:type="paragraph" w:customStyle="1" w:styleId="234">
    <w:name w:val="00"/>
    <w:basedOn w:val="1"/>
    <w:qFormat/>
    <w:uiPriority w:val="0"/>
    <w:pPr>
      <w:autoSpaceDE w:val="0"/>
      <w:autoSpaceDN w:val="0"/>
      <w:adjustRightInd w:val="0"/>
      <w:jc w:val="left"/>
    </w:pPr>
    <w:rPr>
      <w:rFonts w:ascii="黑体" w:eastAsia="黑体"/>
      <w:b/>
      <w:kern w:val="0"/>
      <w:sz w:val="20"/>
    </w:rPr>
  </w:style>
  <w:style w:type="paragraph" w:customStyle="1" w:styleId="235">
    <w:name w:val="Char1 Char Char Char1"/>
    <w:basedOn w:val="1"/>
    <w:qFormat/>
    <w:uiPriority w:val="0"/>
    <w:rPr>
      <w:rFonts w:ascii="Tahoma" w:hAnsi="Tahoma"/>
      <w:sz w:val="24"/>
    </w:rPr>
  </w:style>
  <w:style w:type="paragraph" w:customStyle="1" w:styleId="236">
    <w:name w:val="表文字"/>
    <w:qFormat/>
    <w:uiPriority w:val="0"/>
    <w:rPr>
      <w:rFonts w:ascii="宋体" w:hAnsi="Calibri" w:eastAsia="宋体" w:cs="Times New Roman"/>
      <w:kern w:val="2"/>
      <w:lang w:val="en-US" w:eastAsia="zh-CN" w:bidi="ar-SA"/>
    </w:rPr>
  </w:style>
  <w:style w:type="paragraph" w:customStyle="1" w:styleId="237">
    <w:name w:val="正文4"/>
    <w:basedOn w:val="1"/>
    <w:qFormat/>
    <w:uiPriority w:val="0"/>
    <w:pPr>
      <w:tabs>
        <w:tab w:val="left" w:pos="1275"/>
      </w:tabs>
      <w:spacing w:before="60" w:after="60" w:line="360" w:lineRule="auto"/>
      <w:ind w:left="820" w:leftChars="400" w:hanging="705"/>
    </w:pPr>
    <w:rPr>
      <w:sz w:val="24"/>
    </w:rPr>
  </w:style>
  <w:style w:type="paragraph" w:customStyle="1" w:styleId="238">
    <w:name w:val="可研正文"/>
    <w:basedOn w:val="23"/>
    <w:qFormat/>
    <w:uiPriority w:val="0"/>
    <w:pPr>
      <w:adjustRightInd w:val="0"/>
      <w:snapToGrid w:val="0"/>
      <w:spacing w:line="440" w:lineRule="exact"/>
      <w:ind w:firstLine="567"/>
    </w:pPr>
    <w:rPr>
      <w:sz w:val="28"/>
    </w:rPr>
  </w:style>
  <w:style w:type="paragraph" w:customStyle="1" w:styleId="239">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240">
    <w:name w:val="正文 + 三号"/>
    <w:basedOn w:val="1"/>
    <w:qFormat/>
    <w:uiPriority w:val="0"/>
    <w:rPr>
      <w:sz w:val="21"/>
    </w:rPr>
  </w:style>
  <w:style w:type="paragraph" w:customStyle="1" w:styleId="241">
    <w:name w:val="样式3"/>
    <w:basedOn w:val="3"/>
    <w:next w:val="3"/>
    <w:qFormat/>
    <w:uiPriority w:val="0"/>
    <w:pPr>
      <w:keepLines/>
      <w:adjustRightInd w:val="0"/>
      <w:spacing w:before="340" w:after="330" w:line="576" w:lineRule="auto"/>
    </w:pPr>
    <w:rPr>
      <w:rFonts w:ascii="Times New Roman" w:eastAsia="黑体"/>
      <w:b/>
      <w:kern w:val="44"/>
      <w:sz w:val="44"/>
    </w:rPr>
  </w:style>
  <w:style w:type="paragraph" w:customStyle="1" w:styleId="242">
    <w:name w:val="列表项目"/>
    <w:basedOn w:val="1"/>
    <w:qFormat/>
    <w:uiPriority w:val="0"/>
    <w:pPr>
      <w:numPr>
        <w:ilvl w:val="0"/>
        <w:numId w:val="12"/>
      </w:numPr>
      <w:tabs>
        <w:tab w:val="left" w:pos="420"/>
        <w:tab w:val="clear" w:pos="1200"/>
      </w:tabs>
      <w:spacing w:line="288" w:lineRule="auto"/>
      <w:ind w:left="840" w:leftChars="200" w:hanging="420" w:hangingChars="200"/>
    </w:pPr>
    <w:rPr>
      <w:sz w:val="21"/>
    </w:rPr>
  </w:style>
  <w:style w:type="paragraph" w:customStyle="1" w:styleId="243">
    <w:name w:val="标题1"/>
    <w:basedOn w:val="1"/>
    <w:next w:val="1"/>
    <w:qFormat/>
    <w:uiPriority w:val="0"/>
    <w:rPr>
      <w:rFonts w:ascii="Times New Roman" w:hAnsi="Times New Roman"/>
    </w:rPr>
  </w:style>
  <w:style w:type="paragraph" w:customStyle="1" w:styleId="244">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245">
    <w:name w:val="关键词"/>
    <w:basedOn w:val="1"/>
    <w:next w:val="1"/>
    <w:qFormat/>
    <w:uiPriority w:val="0"/>
    <w:pPr>
      <w:spacing w:line="360" w:lineRule="auto"/>
    </w:pPr>
    <w:rPr>
      <w:rFonts w:eastAsia="黑体"/>
      <w:sz w:val="20"/>
    </w:rPr>
  </w:style>
  <w:style w:type="paragraph" w:customStyle="1" w:styleId="246">
    <w:name w:val="Char Char Char Char Char Char Char1"/>
    <w:basedOn w:val="18"/>
    <w:qFormat/>
    <w:uiPriority w:val="0"/>
    <w:rPr>
      <w:rFonts w:ascii="宋体" w:hAnsi="Tahoma"/>
    </w:rPr>
  </w:style>
  <w:style w:type="paragraph" w:customStyle="1" w:styleId="247">
    <w:name w:val="普通(网站)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48">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249">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250">
    <w:name w:val="Char2"/>
    <w:basedOn w:val="1"/>
    <w:qFormat/>
    <w:uiPriority w:val="0"/>
    <w:pPr>
      <w:spacing w:line="240" w:lineRule="atLeast"/>
      <w:ind w:left="420" w:firstLine="420"/>
    </w:pPr>
    <w:rPr>
      <w:kern w:val="0"/>
      <w:sz w:val="21"/>
    </w:rPr>
  </w:style>
  <w:style w:type="paragraph" w:customStyle="1" w:styleId="251">
    <w:name w:val="样式12"/>
    <w:basedOn w:val="1"/>
    <w:next w:val="1"/>
    <w:qFormat/>
    <w:uiPriority w:val="0"/>
    <w:rPr>
      <w:rFonts w:ascii="Times New Roman" w:hAnsi="Times New Roman" w:eastAsia="仿宋"/>
      <w:sz w:val="24"/>
    </w:rPr>
  </w:style>
  <w:style w:type="paragraph" w:customStyle="1" w:styleId="252">
    <w:name w:val="样式2"/>
    <w:basedOn w:val="6"/>
    <w:qFormat/>
    <w:uiPriority w:val="0"/>
    <w:pPr>
      <w:numPr>
        <w:ilvl w:val="0"/>
        <w:numId w:val="13"/>
      </w:numPr>
      <w:spacing w:before="560" w:line="400" w:lineRule="exact"/>
      <w:jc w:val="center"/>
      <w:outlineLvl w:val="0"/>
    </w:pPr>
    <w:rPr>
      <w:sz w:val="44"/>
    </w:rPr>
  </w:style>
  <w:style w:type="paragraph" w:customStyle="1" w:styleId="25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54">
    <w:name w:val="列出段落1"/>
    <w:qFormat/>
    <w:uiPriority w:val="0"/>
    <w:pPr>
      <w:framePr w:wrap="around" w:vAnchor="margin" w:hAnchor="text" w:y="1"/>
      <w:widowControl w:val="0"/>
      <w:ind w:firstLine="420"/>
      <w:jc w:val="both"/>
    </w:pPr>
    <w:rPr>
      <w:rFonts w:ascii="Calibri" w:hAnsi="Calibri" w:eastAsia="Times New Roman" w:cs="Calibri"/>
      <w:color w:val="000000"/>
      <w:kern w:val="2"/>
      <w:sz w:val="21"/>
      <w:szCs w:val="21"/>
      <w:u w:color="000000"/>
      <w:lang w:val="en-US" w:eastAsia="zh-CN" w:bidi="ar-SA"/>
    </w:rPr>
  </w:style>
  <w:style w:type="paragraph" w:customStyle="1" w:styleId="255">
    <w:name w:val="文章正文"/>
    <w:basedOn w:val="1"/>
    <w:qFormat/>
    <w:uiPriority w:val="0"/>
    <w:pPr>
      <w:ind w:firstLine="560" w:firstLineChars="200"/>
    </w:pPr>
    <w:rPr>
      <w:rFonts w:ascii="仿宋_GB2312" w:hAnsi="宋体" w:eastAsia="仿宋_GB2312"/>
      <w:color w:val="000000"/>
    </w:rPr>
  </w:style>
  <w:style w:type="paragraph" w:customStyle="1" w:styleId="256">
    <w:name w:val="默认段落字体 Para Char Char Char Char Char Char Char Char Char1 Char Char Char Char"/>
    <w:basedOn w:val="1"/>
    <w:qFormat/>
    <w:uiPriority w:val="0"/>
    <w:rPr>
      <w:rFonts w:ascii="Tahoma" w:hAnsi="Tahoma"/>
      <w:sz w:val="24"/>
    </w:rPr>
  </w:style>
  <w:style w:type="paragraph" w:customStyle="1" w:styleId="257">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258">
    <w:name w:val="Title - Revision"/>
    <w:basedOn w:val="59"/>
    <w:qFormat/>
    <w:uiPriority w:val="0"/>
    <w:pPr>
      <w:spacing w:before="720"/>
    </w:pPr>
  </w:style>
  <w:style w:type="paragraph" w:customStyle="1" w:styleId="259">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60">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261">
    <w:name w:val="Note"/>
    <w:basedOn w:val="1"/>
    <w:qFormat/>
    <w:uiPriority w:val="0"/>
    <w:pPr>
      <w:pBdr>
        <w:top w:val="single" w:color="auto" w:sz="12" w:space="3"/>
        <w:bottom w:val="single" w:color="auto" w:sz="12" w:space="3"/>
      </w:pBdr>
      <w:spacing w:line="360" w:lineRule="auto"/>
    </w:pPr>
    <w:rPr>
      <w:sz w:val="24"/>
    </w:rPr>
  </w:style>
  <w:style w:type="paragraph" w:customStyle="1" w:styleId="262">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63">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264">
    <w:name w:val="样式9"/>
    <w:basedOn w:val="1"/>
    <w:next w:val="1"/>
    <w:qFormat/>
    <w:uiPriority w:val="0"/>
    <w:rPr>
      <w:rFonts w:ascii="Times New Roman" w:hAnsi="Times New Roman" w:eastAsia="仿宋"/>
      <w:sz w:val="24"/>
    </w:rPr>
  </w:style>
  <w:style w:type="paragraph" w:customStyle="1" w:styleId="265">
    <w:name w:val="首行缩进 1"/>
    <w:basedOn w:val="1"/>
    <w:qFormat/>
    <w:uiPriority w:val="0"/>
    <w:pPr>
      <w:spacing w:after="120" w:line="360" w:lineRule="auto"/>
      <w:ind w:firstLine="200" w:firstLineChars="200"/>
    </w:pPr>
    <w:rPr>
      <w:sz w:val="24"/>
    </w:rPr>
  </w:style>
  <w:style w:type="paragraph" w:customStyle="1" w:styleId="266">
    <w:name w:val="1"/>
    <w:basedOn w:val="1"/>
    <w:next w:val="33"/>
    <w:qFormat/>
    <w:uiPriority w:val="0"/>
    <w:rPr>
      <w:rFonts w:ascii="宋体" w:hAnsi="Courier New"/>
      <w:sz w:val="21"/>
    </w:rPr>
  </w:style>
  <w:style w:type="paragraph" w:customStyle="1" w:styleId="267">
    <w:name w:val="1.正文"/>
    <w:basedOn w:val="1"/>
    <w:qFormat/>
    <w:uiPriority w:val="0"/>
    <w:pPr>
      <w:spacing w:line="360" w:lineRule="auto"/>
      <w:ind w:left="540" w:leftChars="225" w:firstLine="540" w:firstLineChars="225"/>
    </w:pPr>
    <w:rPr>
      <w:sz w:val="24"/>
    </w:rPr>
  </w:style>
  <w:style w:type="paragraph" w:customStyle="1" w:styleId="268">
    <w:name w:val="Style Heading 3h3Heading 3 - oldLevel 3 HeadH3level_3PIM 3se..."/>
    <w:basedOn w:val="5"/>
    <w:qFormat/>
    <w:uiPriority w:val="0"/>
    <w:pPr>
      <w:tabs>
        <w:tab w:val="left" w:pos="709"/>
        <w:tab w:val="left" w:pos="1620"/>
      </w:tabs>
      <w:ind w:left="1620" w:hanging="360"/>
    </w:pPr>
  </w:style>
  <w:style w:type="paragraph" w:customStyle="1" w:styleId="269">
    <w:name w:val="摘要"/>
    <w:basedOn w:val="1"/>
    <w:next w:val="4"/>
    <w:qFormat/>
    <w:uiPriority w:val="0"/>
    <w:pPr>
      <w:spacing w:line="360" w:lineRule="auto"/>
    </w:pPr>
    <w:rPr>
      <w:rFonts w:eastAsia="黑体"/>
      <w:sz w:val="20"/>
    </w:rPr>
  </w:style>
  <w:style w:type="paragraph" w:customStyle="1" w:styleId="270">
    <w:name w:val="Char Char Char"/>
    <w:basedOn w:val="1"/>
    <w:qFormat/>
    <w:uiPriority w:val="0"/>
    <w:rPr>
      <w:rFonts w:ascii="Tahoma" w:hAnsi="Tahoma"/>
      <w:sz w:val="24"/>
    </w:rPr>
  </w:style>
  <w:style w:type="character" w:customStyle="1" w:styleId="271">
    <w:name w:val="font61"/>
    <w:basedOn w:val="65"/>
    <w:qFormat/>
    <w:uiPriority w:val="0"/>
    <w:rPr>
      <w:rFonts w:hint="default" w:ascii="Times New Roman" w:hAnsi="Times New Roman" w:cs="Times New Roman"/>
      <w:color w:val="000000"/>
      <w:sz w:val="18"/>
      <w:szCs w:val="18"/>
      <w:u w:val="none"/>
    </w:rPr>
  </w:style>
  <w:style w:type="character" w:customStyle="1" w:styleId="272">
    <w:name w:val="font21"/>
    <w:basedOn w:val="65"/>
    <w:qFormat/>
    <w:uiPriority w:val="0"/>
    <w:rPr>
      <w:rFonts w:hint="eastAsia" w:ascii="宋体" w:hAnsi="宋体" w:eastAsia="宋体" w:cs="宋体"/>
      <w:color w:val="000000"/>
      <w:sz w:val="18"/>
      <w:szCs w:val="18"/>
      <w:u w:val="none"/>
    </w:rPr>
  </w:style>
  <w:style w:type="character" w:customStyle="1" w:styleId="273">
    <w:name w:val="NormalCharacter"/>
    <w:link w:val="1"/>
    <w:qFormat/>
    <w:uiPriority w:val="0"/>
    <w:rPr>
      <w:rFonts w:ascii="Calibri" w:hAnsi="Calibri" w:eastAsia="宋体" w:cs="Times New Roman"/>
      <w:kern w:val="2"/>
      <w:sz w:val="28"/>
      <w:lang w:val="en-US" w:eastAsia="zh-CN" w:bidi="ar-SA"/>
    </w:rPr>
  </w:style>
  <w:style w:type="character" w:customStyle="1" w:styleId="274">
    <w:name w:val="font71"/>
    <w:basedOn w:val="65"/>
    <w:qFormat/>
    <w:uiPriority w:val="0"/>
    <w:rPr>
      <w:rFonts w:hint="eastAsia" w:ascii="宋体" w:hAnsi="宋体" w:eastAsia="宋体" w:cs="宋体"/>
      <w:color w:val="000000"/>
      <w:sz w:val="20"/>
      <w:szCs w:val="20"/>
      <w:u w:val="none"/>
    </w:rPr>
  </w:style>
  <w:style w:type="paragraph" w:customStyle="1" w:styleId="275">
    <w:name w:val="BodyText"/>
    <w:basedOn w:val="1"/>
    <w:next w:val="1"/>
    <w:qFormat/>
    <w:uiPriority w:val="99"/>
    <w:pPr>
      <w:spacing w:line="500" w:lineRule="exact"/>
      <w:textAlignment w:val="baseline"/>
    </w:pPr>
    <w:rPr>
      <w:rFonts w:ascii="宋体" w:hAnsi="宋体" w:cs="宋体"/>
      <w:kern w:val="0"/>
    </w:rPr>
  </w:style>
  <w:style w:type="paragraph" w:customStyle="1" w:styleId="276">
    <w:name w:val="BodyTextIndent"/>
    <w:basedOn w:val="1"/>
    <w:qFormat/>
    <w:uiPriority w:val="0"/>
    <w:pPr>
      <w:spacing w:line="700" w:lineRule="exact"/>
      <w:ind w:left="960"/>
      <w:jc w:val="both"/>
      <w:textAlignment w:val="baseline"/>
    </w:pPr>
    <w:rPr>
      <w:rFonts w:ascii="Times New Roman" w:hAnsi="Times New Roman"/>
      <w:kern w:val="2"/>
      <w:sz w:val="44"/>
      <w:lang w:val="en-US" w:eastAsia="zh-CN" w:bidi="ar-SA"/>
    </w:rPr>
  </w:style>
  <w:style w:type="paragraph" w:styleId="277">
    <w:name w:val="List Paragraph"/>
    <w:basedOn w:val="1"/>
    <w:unhideWhenUsed/>
    <w:qFormat/>
    <w:uiPriority w:val="99"/>
    <w:pPr>
      <w:ind w:firstLine="420" w:firstLineChars="200"/>
    </w:pPr>
  </w:style>
  <w:style w:type="paragraph" w:customStyle="1" w:styleId="278">
    <w:name w:val="Heading3"/>
    <w:basedOn w:val="1"/>
    <w:next w:val="1"/>
    <w:qFormat/>
    <w:uiPriority w:val="0"/>
    <w:pPr>
      <w:keepNext/>
      <w:keepLines/>
      <w:spacing w:before="260" w:after="260" w:line="413" w:lineRule="auto"/>
      <w:jc w:val="both"/>
      <w:textAlignment w:val="baseline"/>
    </w:pPr>
    <w:rPr>
      <w:b/>
      <w:kern w:val="2"/>
      <w:sz w:val="32"/>
      <w:lang w:val="en-US" w:eastAsia="zh-CN" w:bidi="ar-SA"/>
    </w:rPr>
  </w:style>
  <w:style w:type="paragraph" w:customStyle="1" w:styleId="279">
    <w:name w:val="参数正文"/>
    <w:basedOn w:val="1"/>
    <w:qFormat/>
    <w:uiPriority w:val="0"/>
    <w:pPr>
      <w:spacing w:before="0" w:beforeLines="0" w:beforeAutospacing="0" w:after="0" w:afterLines="0" w:afterAutospacing="0"/>
    </w:pPr>
    <w:rPr>
      <w:lang w:val="en-US" w:eastAsia="uk-UA"/>
    </w:rPr>
  </w:style>
  <w:style w:type="paragraph" w:customStyle="1" w:styleId="280">
    <w:name w:val="正文（自己设定的格式）"/>
    <w:basedOn w:val="1"/>
    <w:qFormat/>
    <w:uiPriority w:val="0"/>
    <w:pPr>
      <w:spacing w:line="580" w:lineRule="exact"/>
      <w:ind w:firstLine="200" w:firstLineChars="200"/>
    </w:pPr>
    <w:rPr>
      <w:rFonts w:ascii="Calibri" w:hAnsi="Calibri" w:eastAsia="方正仿宋_GBK"/>
      <w:sz w:val="24"/>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31</Pages>
  <Words>12924</Words>
  <Characters>13844</Characters>
  <Lines>133</Lines>
  <Paragraphs>37</Paragraphs>
  <TotalTime>18</TotalTime>
  <ScaleCrop>false</ScaleCrop>
  <LinksUpToDate>false</LinksUpToDate>
  <CharactersWithSpaces>14244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2023-08-01T10:12:00Z</dcterms:created>
  <dc:creator>刘胜仲</dc:creator>
  <cp:lastModifiedBy>WPS_1640659495</cp:lastModifiedBy>
  <cp:lastPrinted>2025-10-15T05:00:00Z</cp:lastPrinted>
  <dcterms:modified xsi:type="dcterms:W3CDTF">2026-05-28T09:14:45Z</dcterms:modified>
  <dc:title>竞争性谈判文件</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SaveFontToCloudKey">
    <vt:lpwstr>7990579_cloud</vt:lpwstr>
  </property>
  <property fmtid="{D5CDD505-2E9C-101B-9397-08002B2CF9AE}" pid="4" name="ICV">
    <vt:lpwstr>47FCB1732C42471B924C1B585AE40A8B_13</vt:lpwstr>
  </property>
  <property fmtid="{D5CDD505-2E9C-101B-9397-08002B2CF9AE}" pid="5" name="KSOTemplateDocerSaveRecord">
    <vt:lpwstr>eyJoZGlkIjoiMDhjNmU2MzVjZDFjOTgxMTIzNzQ1Nzg2ZTEwMDcwZTgiLCJ1c2VySWQiOiIxMzA3MTMwNDA3In0=</vt:lpwstr>
  </property>
</Properties>
</file>