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重庆市珊瑚初级中学校（明佳校区）卫生间改建工程</w:t>
      </w: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pPr>
        <w:spacing w:line="700" w:lineRule="exact"/>
        <w:jc w:val="center"/>
        <w:rPr>
          <w:rFonts w:hint="eastAsia" w:ascii="宋体" w:hAnsi="宋体" w:cs="宋体"/>
          <w:color w:val="auto"/>
          <w:sz w:val="40"/>
          <w:szCs w:val="22"/>
          <w:highlight w:val="none"/>
        </w:rPr>
      </w:pPr>
    </w:p>
    <w:p>
      <w:pPr>
        <w:spacing w:line="700" w:lineRule="exact"/>
        <w:rPr>
          <w:rFonts w:hint="eastAsia" w:ascii="宋体" w:hAnsi="宋体" w:cs="宋体"/>
          <w:color w:val="auto"/>
          <w:sz w:val="40"/>
          <w:szCs w:val="22"/>
          <w:highlight w:val="none"/>
        </w:rPr>
      </w:pPr>
    </w:p>
    <w:p>
      <w:pPr>
        <w:spacing w:line="700" w:lineRule="exact"/>
        <w:rPr>
          <w:rFonts w:hint="eastAsia" w:ascii="宋体" w:hAnsi="宋体" w:cs="宋体"/>
          <w:color w:val="auto"/>
          <w:sz w:val="40"/>
          <w:szCs w:val="22"/>
          <w:highlight w:val="none"/>
        </w:rPr>
      </w:pPr>
    </w:p>
    <w:p>
      <w:pPr>
        <w:spacing w:line="500" w:lineRule="exact"/>
        <w:outlineLvl w:val="0"/>
        <w:rPr>
          <w:rFonts w:hint="eastAsia" w:ascii="宋体" w:hAnsi="宋体" w:cs="宋体"/>
          <w:color w:val="auto"/>
          <w:sz w:val="44"/>
          <w:szCs w:val="22"/>
          <w:highlight w:val="none"/>
        </w:rPr>
      </w:pPr>
    </w:p>
    <w:p>
      <w:pPr>
        <w:pStyle w:val="30"/>
        <w:rPr>
          <w:rFonts w:ascii="Times New Roman"/>
          <w:color w:val="auto"/>
          <w:highlight w:val="none"/>
        </w:rPr>
      </w:pPr>
    </w:p>
    <w:p>
      <w:pPr>
        <w:rPr>
          <w:color w:val="auto"/>
          <w:highlight w:val="none"/>
        </w:rPr>
      </w:pPr>
    </w:p>
    <w:p>
      <w:pPr>
        <w:spacing w:line="360" w:lineRule="auto"/>
        <w:ind w:left="2558" w:leftChars="342" w:hanging="1600" w:hangingChars="500"/>
        <w:outlineLvl w:val="0"/>
        <w:rPr>
          <w:rFonts w:hint="eastAsia" w:ascii="宋体" w:hAnsi="宋体" w:cs="宋体"/>
          <w:color w:val="auto"/>
          <w:sz w:val="32"/>
          <w:szCs w:val="32"/>
          <w:highlight w:val="none"/>
        </w:rPr>
      </w:pPr>
    </w:p>
    <w:p>
      <w:pPr>
        <w:spacing w:line="500" w:lineRule="exact"/>
        <w:ind w:firstLine="800" w:firstLineChars="250"/>
        <w:outlineLvl w:val="0"/>
        <w:rPr>
          <w:rFonts w:hint="eastAsia" w:ascii="宋体" w:hAnsi="宋体" w:cs="宋体"/>
          <w:color w:val="auto"/>
          <w:sz w:val="32"/>
          <w:szCs w:val="32"/>
          <w:highlight w:val="none"/>
        </w:rPr>
      </w:pPr>
    </w:p>
    <w:p>
      <w:pPr>
        <w:pStyle w:val="30"/>
        <w:rPr>
          <w:rFonts w:ascii="Times New Roman"/>
          <w:color w:val="auto"/>
          <w:highlight w:val="none"/>
        </w:rPr>
      </w:pPr>
    </w:p>
    <w:p>
      <w:pPr>
        <w:rPr>
          <w:rFonts w:ascii="Times New Roman"/>
          <w:color w:val="auto"/>
          <w:highlight w:val="none"/>
        </w:rPr>
      </w:pPr>
    </w:p>
    <w:p>
      <w:pPr>
        <w:pStyle w:val="21"/>
        <w:rPr>
          <w:color w:val="auto"/>
          <w:highlight w:val="none"/>
        </w:rPr>
      </w:pPr>
    </w:p>
    <w:p>
      <w:pPr>
        <w:rPr>
          <w:color w:val="auto"/>
          <w:highlight w:val="none"/>
        </w:rPr>
      </w:pPr>
    </w:p>
    <w:p>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重庆市珊瑚初级中学校</w:t>
      </w:r>
    </w:p>
    <w:p>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p>
    <w:p>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pPr>
        <w:pStyle w:val="2"/>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32491"/>
      <w:bookmarkStart w:id="1" w:name="_Toc11641050"/>
      <w:bookmarkStart w:id="2" w:name="_Toc12789052"/>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7775175"/>
      <w:bookmarkStart w:id="4" w:name="_Toc313893526"/>
    </w:p>
    <w:p>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重庆市珊瑚初级中学校</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重庆市珊瑚初级中学校（明佳校区）卫生间改建工程</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重庆市珊瑚初级中学校（明佳校区）卫生间改建工程</w:t>
            </w:r>
          </w:p>
        </w:tc>
        <w:tc>
          <w:tcPr>
            <w:tcW w:w="1833" w:type="dxa"/>
            <w:vAlign w:val="center"/>
          </w:tcPr>
          <w:p>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558112.21</w:t>
            </w:r>
          </w:p>
        </w:tc>
        <w:tc>
          <w:tcPr>
            <w:tcW w:w="2055" w:type="dxa"/>
            <w:vAlign w:val="center"/>
          </w:tcPr>
          <w:p>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pPr>
              <w:snapToGrid w:val="0"/>
              <w:spacing w:line="440" w:lineRule="exact"/>
              <w:jc w:val="center"/>
              <w:outlineLvl w:val="0"/>
              <w:rPr>
                <w:rFonts w:hint="eastAsia" w:ascii="宋体" w:hAnsi="宋体" w:cs="宋体"/>
                <w:b/>
                <w:color w:val="auto"/>
                <w:sz w:val="24"/>
                <w:szCs w:val="24"/>
                <w:highlight w:val="none"/>
              </w:rPr>
            </w:pPr>
          </w:p>
        </w:tc>
      </w:tr>
    </w:tbl>
    <w:p>
      <w:pPr>
        <w:pStyle w:val="3"/>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w:t>
      </w:r>
      <w:r>
        <w:rPr>
          <w:rFonts w:hint="eastAsia" w:ascii="宋体" w:hAnsi="宋体" w:cs="宋体"/>
          <w:color w:val="auto"/>
          <w:sz w:val="24"/>
          <w:szCs w:val="24"/>
          <w:highlight w:val="none"/>
          <w:lang w:eastAsia="zh-CN"/>
        </w:rPr>
        <w:t>中央及市级校舍维修资金和学校自筹资金</w:t>
      </w:r>
      <w:r>
        <w:rPr>
          <w:rFonts w:hint="eastAsia" w:ascii="宋体" w:hAnsi="宋体" w:eastAsia="宋体" w:cs="宋体"/>
          <w:color w:val="auto"/>
          <w:sz w:val="24"/>
          <w:szCs w:val="24"/>
          <w:highlight w:val="none"/>
        </w:rPr>
        <w:t>，采购预算金额为</w:t>
      </w:r>
      <w:r>
        <w:rPr>
          <w:rFonts w:hint="eastAsia" w:ascii="宋体" w:hAnsi="宋体" w:cs="宋体"/>
          <w:color w:val="auto"/>
          <w:sz w:val="24"/>
          <w:szCs w:val="24"/>
          <w:highlight w:val="none"/>
          <w:lang w:val="en-US" w:eastAsia="zh-CN"/>
        </w:rPr>
        <w:t>558112.21</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pPr>
        <w:pStyle w:val="3"/>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建筑工程施工总承包叁级及以上资质或建筑装修装饰工程专业承包二级及以上资质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pStyle w:val="3"/>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27572"/>
      <w:bookmarkStart w:id="15" w:name="_Toc13746"/>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供应商在2025年7月8日17：00前将加盖供应商公章的《采购文件发售登记表》扫描件发送至786017407@qq.com（邮箱），其报名才被接收</w:t>
      </w:r>
      <w:r>
        <w:rPr>
          <w:rFonts w:hint="eastAsia" w:ascii="宋体" w:hAnsi="宋体" w:eastAsia="宋体" w:cs="宋体"/>
          <w:color w:val="auto"/>
          <w:sz w:val="24"/>
          <w:szCs w:val="24"/>
          <w:highlight w:val="none"/>
        </w:rPr>
        <w:t>。</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一并递交。</w:t>
      </w:r>
    </w:p>
    <w:bookmarkEnd w:id="14"/>
    <w:bookmarkEnd w:id="15"/>
    <w:bookmarkEnd w:id="18"/>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lang w:val="en-US" w:eastAsia="zh-CN"/>
        </w:rPr>
        <w:t>响应文件</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重庆市珊瑚初级中学校（明佳校区）博识楼三楼会议室</w:t>
      </w:r>
      <w:r>
        <w:rPr>
          <w:rFonts w:hint="eastAsia" w:ascii="宋体" w:hAnsi="宋体" w:eastAsia="宋体" w:cs="宋体"/>
          <w:color w:val="auto"/>
          <w:sz w:val="24"/>
          <w:szCs w:val="24"/>
          <w:highlight w:val="none"/>
          <w:lang w:val="en-US" w:eastAsia="zh-CN"/>
        </w:rPr>
        <w:t>。</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pPr>
        <w:pStyle w:val="3"/>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pPr>
        <w:pStyle w:val="3"/>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32633"/>
      <w:bookmarkStart w:id="22" w:name="_Toc24944"/>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重庆市珊瑚初级中学校</w:t>
      </w:r>
    </w:p>
    <w:p>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黄老师</w:t>
      </w:r>
    </w:p>
    <w:p>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023-62623798</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7048"/>
      <w:bookmarkStart w:id="25" w:name="_Toc22583"/>
      <w:r>
        <w:rPr>
          <w:rFonts w:hint="eastAsia" w:ascii="宋体" w:hAnsi="宋体" w:cs="宋体"/>
          <w:color w:val="auto"/>
          <w:sz w:val="24"/>
          <w:szCs w:val="24"/>
          <w:highlight w:val="none"/>
          <w:lang w:eastAsia="zh-CN"/>
        </w:rPr>
        <w:t>重庆市南岸区花园路街道明佳路15号</w:t>
      </w:r>
    </w:p>
    <w:p>
      <w:pPr>
        <w:snapToGrid w:val="0"/>
        <w:spacing w:line="440" w:lineRule="exact"/>
        <w:ind w:firstLine="480" w:firstLineChars="200"/>
        <w:outlineLvl w:val="1"/>
        <w:rPr>
          <w:rFonts w:hint="eastAsia" w:ascii="宋体" w:hAnsi="宋体" w:cs="宋体"/>
          <w:color w:val="auto"/>
          <w:sz w:val="24"/>
          <w:szCs w:val="24"/>
          <w:highlight w:val="none"/>
        </w:rPr>
      </w:pPr>
    </w:p>
    <w:p>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pPr>
        <w:pStyle w:val="2"/>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pPr>
        <w:pStyle w:val="2"/>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12519"/>
      <w:bookmarkStart w:id="28" w:name="_Toc1794"/>
      <w:bookmarkStart w:id="29" w:name="_Toc16585"/>
      <w:bookmarkStart w:id="30" w:name="_Toc26338"/>
      <w:bookmarkStart w:id="31" w:name="_Toc832"/>
      <w:bookmarkStart w:id="32" w:name="_Toc24430"/>
      <w:bookmarkStart w:id="33" w:name="_Toc11641055"/>
      <w:bookmarkStart w:id="34" w:name="_Toc12789059"/>
      <w:r>
        <w:rPr>
          <w:rFonts w:hint="eastAsia" w:cs="宋体" w:asciiTheme="minorEastAsia" w:hAnsiTheme="minorEastAsia" w:eastAsiaTheme="minorEastAsia"/>
          <w:color w:val="auto"/>
          <w:sz w:val="24"/>
          <w:szCs w:val="16"/>
          <w:highlight w:val="none"/>
        </w:rPr>
        <w:t>一、项目概况</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eastAsiaTheme="minorEastAsia"/>
          <w:color w:val="auto"/>
          <w:sz w:val="24"/>
          <w:szCs w:val="24"/>
          <w:highlight w:val="none"/>
          <w:lang w:eastAsia="zh-CN"/>
        </w:rPr>
        <w:t>重庆市南岸区花园路街道明佳路15号</w:t>
      </w:r>
      <w:r>
        <w:rPr>
          <w:rFonts w:hint="eastAsia" w:cs="宋体" w:asciiTheme="minorEastAsia" w:hAnsiTheme="minorEastAsia" w:eastAsiaTheme="minorEastAsia"/>
          <w:color w:val="auto"/>
          <w:sz w:val="24"/>
          <w:szCs w:val="24"/>
          <w:highlight w:val="none"/>
        </w:rPr>
        <w:t>。</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2.建设内容：</w:t>
      </w:r>
      <w:r>
        <w:rPr>
          <w:rFonts w:hint="eastAsia" w:cs="宋体" w:asciiTheme="minorEastAsia" w:hAnsiTheme="minorEastAsia" w:eastAsiaTheme="minorEastAsia"/>
          <w:color w:val="auto"/>
          <w:sz w:val="24"/>
          <w:szCs w:val="24"/>
          <w:highlight w:val="none"/>
          <w:lang w:val="en-US" w:eastAsia="zh-CN"/>
        </w:rPr>
        <w:t>该项目改建面积约3000㎡,拟对教学楼卫生间局部进行翻新，主要包括更换老化管道和卫生洁具、修复和更换已损坏的吊顶及墙面瓷砖，更新隔断门及配套设施、完善防滑和排水设施，优化照明和通风系统等。</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项目服务需求</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40</w:t>
      </w:r>
      <w:r>
        <w:rPr>
          <w:rFonts w:hint="eastAsia" w:cs="宋体" w:asciiTheme="minorEastAsia" w:hAnsiTheme="minorEastAsia" w:eastAsiaTheme="minorEastAsia"/>
          <w:color w:val="auto"/>
          <w:sz w:val="24"/>
          <w:szCs w:val="24"/>
          <w:highlight w:val="none"/>
        </w:rPr>
        <w:t>日历天。</w:t>
      </w:r>
    </w:p>
    <w:p>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建筑工程专业贰级</w:t>
      </w:r>
      <w:r>
        <w:rPr>
          <w:rFonts w:hint="eastAsia" w:cs="宋体" w:asciiTheme="minorEastAsia" w:hAnsiTheme="minorEastAsia" w:eastAsiaTheme="minorEastAsia"/>
          <w:color w:val="auto"/>
          <w:sz w:val="24"/>
          <w:szCs w:val="24"/>
          <w:highlight w:val="none"/>
        </w:rPr>
        <w:t>及以上注册建造师执业资格。</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工程类中级</w:t>
      </w:r>
      <w:r>
        <w:rPr>
          <w:rFonts w:hint="eastAsia" w:cs="宋体" w:asciiTheme="minorEastAsia" w:hAnsiTheme="minorEastAsia" w:eastAsiaTheme="minorEastAsia"/>
          <w:color w:val="auto"/>
          <w:sz w:val="24"/>
          <w:szCs w:val="24"/>
          <w:highlight w:val="none"/>
        </w:rPr>
        <w:t>及以上技术职称。</w:t>
      </w:r>
    </w:p>
    <w:p>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pPr>
        <w:snapToGrid w:val="0"/>
        <w:spacing w:line="440" w:lineRule="exact"/>
        <w:jc w:val="left"/>
        <w:rPr>
          <w:rFonts w:hint="eastAsia" w:cs="宋体" w:asciiTheme="minorEastAsia" w:hAnsiTheme="minorEastAsia" w:eastAsiaTheme="minorEastAsia"/>
          <w:b/>
          <w:bCs/>
          <w:color w:val="auto"/>
          <w:sz w:val="24"/>
          <w:szCs w:val="24"/>
          <w:highlight w:val="none"/>
        </w:rPr>
      </w:pPr>
      <w:bookmarkStart w:id="35" w:name="_Toc2705"/>
      <w:r>
        <w:rPr>
          <w:rFonts w:hint="eastAsia" w:cs="宋体" w:asciiTheme="minorEastAsia" w:hAnsiTheme="minorEastAsia" w:eastAsiaTheme="minorEastAsia"/>
          <w:b/>
          <w:bCs/>
          <w:color w:val="auto"/>
          <w:sz w:val="24"/>
          <w:szCs w:val="24"/>
          <w:highlight w:val="none"/>
        </w:rPr>
        <w:t>四、安全生产</w:t>
      </w:r>
      <w:bookmarkEnd w:id="35"/>
    </w:p>
    <w:p>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pPr>
        <w:pStyle w:val="2"/>
        <w:rPr>
          <w:color w:val="auto"/>
          <w:highlight w:val="none"/>
        </w:rPr>
      </w:pPr>
    </w:p>
    <w:p>
      <w:pPr>
        <w:rPr>
          <w:color w:val="auto"/>
          <w:highlight w:val="none"/>
        </w:rPr>
      </w:pPr>
      <w:r>
        <w:rPr>
          <w:rFonts w:hint="eastAsia"/>
          <w:color w:val="auto"/>
          <w:highlight w:val="none"/>
        </w:rPr>
        <w:br w:type="page"/>
      </w:r>
    </w:p>
    <w:p>
      <w:pPr>
        <w:pStyle w:val="2"/>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pPr>
        <w:snapToGrid w:val="0"/>
        <w:spacing w:line="440" w:lineRule="exact"/>
        <w:rPr>
          <w:rFonts w:hint="eastAsia" w:ascii="宋体" w:hAnsi="宋体" w:cs="宋体"/>
          <w:b/>
          <w:bCs/>
          <w:color w:val="auto"/>
          <w:kern w:val="0"/>
          <w:sz w:val="24"/>
          <w:szCs w:val="24"/>
          <w:highlight w:val="none"/>
        </w:rPr>
      </w:pPr>
      <w:bookmarkStart w:id="37" w:name="_Toc4837"/>
      <w:bookmarkStart w:id="38" w:name="_Toc516231412"/>
      <w:bookmarkStart w:id="39" w:name="_Toc179714298"/>
      <w:bookmarkStart w:id="40" w:name="_Toc267320051"/>
      <w:bookmarkStart w:id="41" w:name="_Toc525658704"/>
      <w:bookmarkStart w:id="42" w:name="_Toc24569665"/>
      <w:bookmarkStart w:id="43" w:name="_Toc31319"/>
      <w:bookmarkStart w:id="44" w:name="_Toc102227319"/>
      <w:bookmarkStart w:id="45" w:name="_Toc342913393"/>
      <w:bookmarkStart w:id="46" w:name="_Toc8808"/>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40</w:t>
      </w:r>
      <w:r>
        <w:rPr>
          <w:rFonts w:hint="eastAsia" w:ascii="宋体" w:hAnsi="宋体" w:cs="宋体"/>
          <w:color w:val="auto"/>
          <w:kern w:val="0"/>
          <w:sz w:val="24"/>
          <w:szCs w:val="24"/>
          <w:highlight w:val="none"/>
        </w:rPr>
        <w:t>日历天内完成所有施工内容并验收合格。</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重庆市南岸区花园路街道明佳路15号</w:t>
      </w:r>
      <w:r>
        <w:rPr>
          <w:rFonts w:hint="eastAsia" w:ascii="宋体" w:hAnsi="宋体" w:eastAsia="宋体" w:cs="宋体"/>
          <w:color w:val="auto"/>
          <w:kern w:val="0"/>
          <w:sz w:val="24"/>
          <w:szCs w:val="24"/>
          <w:highlight w:val="none"/>
        </w:rPr>
        <w:t>。</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pPr>
        <w:pStyle w:val="3"/>
        <w:snapToGrid w:val="0"/>
        <w:spacing w:before="0" w:after="0" w:line="440" w:lineRule="exact"/>
        <w:rPr>
          <w:rFonts w:hint="eastAsia" w:ascii="宋体" w:hAnsi="宋体" w:cs="宋体"/>
          <w:color w:val="auto"/>
          <w:sz w:val="24"/>
          <w:szCs w:val="24"/>
          <w:highlight w:val="none"/>
        </w:rPr>
      </w:pPr>
      <w:bookmarkStart w:id="49" w:name="_Toc8488"/>
      <w:bookmarkStart w:id="50" w:name="_Toc15594"/>
      <w:bookmarkStart w:id="51" w:name="_Toc29345"/>
      <w:r>
        <w:rPr>
          <w:rFonts w:hint="eastAsia" w:ascii="宋体" w:hAnsi="宋体" w:cs="宋体"/>
          <w:color w:val="auto"/>
          <w:sz w:val="24"/>
          <w:szCs w:val="24"/>
          <w:highlight w:val="none"/>
        </w:rPr>
        <w:t>二、计价方式和报价要求</w:t>
      </w:r>
      <w:bookmarkEnd w:id="49"/>
      <w:bookmarkEnd w:id="50"/>
      <w:bookmarkEnd w:id="51"/>
    </w:p>
    <w:p>
      <w:pPr>
        <w:snapToGrid w:val="0"/>
        <w:spacing w:line="440" w:lineRule="exact"/>
        <w:ind w:firstLine="480" w:firstLineChars="200"/>
        <w:rPr>
          <w:rFonts w:hint="eastAsia" w:ascii="宋体" w:hAnsi="宋体" w:cs="宋体"/>
          <w:color w:val="auto"/>
          <w:kern w:val="0"/>
          <w:sz w:val="24"/>
          <w:szCs w:val="24"/>
          <w:highlight w:val="none"/>
        </w:rPr>
      </w:pPr>
      <w:bookmarkStart w:id="52" w:name="_Toc20397"/>
      <w:bookmarkStart w:id="53" w:name="_Toc344475121"/>
      <w:bookmarkStart w:id="54" w:name="_Toc8523"/>
      <w:bookmarkStart w:id="55" w:name="_Toc31674"/>
      <w:bookmarkStart w:id="56" w:name="_Toc30477"/>
      <w:bookmarkStart w:id="57" w:name="_Toc24569666"/>
      <w:bookmarkStart w:id="58" w:name="_Toc403569791"/>
      <w:r>
        <w:rPr>
          <w:rFonts w:hint="eastAsia" w:ascii="宋体" w:hAnsi="宋体" w:cs="宋体"/>
          <w:color w:val="auto"/>
          <w:kern w:val="0"/>
          <w:sz w:val="24"/>
          <w:szCs w:val="24"/>
          <w:highlight w:val="none"/>
        </w:rPr>
        <w:t>（一）计价方式：本项目实行工程量清单计价。</w:t>
      </w:r>
    </w:p>
    <w:p>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pPr>
        <w:snapToGrid w:val="0"/>
        <w:spacing w:line="440" w:lineRule="exact"/>
        <w:ind w:firstLine="480" w:firstLineChars="200"/>
        <w:rPr>
          <w:rFonts w:hint="default" w:eastAsia="仿宋_GB2312"/>
          <w:highlight w:val="none"/>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lang w:val="en-US" w:eastAsia="zh-CN"/>
        </w:rPr>
        <w:t>558112.21</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伍拾伍万捌仟壹佰壹拾贰元贰角壹分</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21606.99</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w:t>
      </w:r>
      <w:bookmarkStart w:id="197" w:name="_GoBack"/>
      <w:r>
        <w:rPr>
          <w:rFonts w:hint="eastAsia" w:ascii="宋体" w:hAnsi="宋体" w:eastAsia="宋体" w:cs="宋体"/>
          <w:color w:val="auto"/>
          <w:kern w:val="0"/>
          <w:sz w:val="24"/>
          <w:szCs w:val="24"/>
          <w:highlight w:val="none"/>
          <w:lang w:val="en-US" w:eastAsia="zh-CN"/>
        </w:rPr>
        <w:t>履约担保的形式</w:t>
      </w:r>
      <w:bookmarkEnd w:id="197"/>
      <w:r>
        <w:rPr>
          <w:rFonts w:hint="eastAsia" w:ascii="宋体" w:hAnsi="宋体" w:eastAsia="宋体" w:cs="宋体"/>
          <w:color w:val="auto"/>
          <w:kern w:val="0"/>
          <w:sz w:val="24"/>
          <w:szCs w:val="24"/>
          <w:highlight w:val="none"/>
          <w:lang w:val="en-US" w:eastAsia="zh-CN"/>
        </w:rPr>
        <w:t>、金额及期限：</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22835"/>
      <w:bookmarkStart w:id="63" w:name="_Toc6007"/>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技术措施清单中以项目编码、项目名称、项目特征、主要工程内容、工程量及计量单位列项的项目,无论何种因素影响，相应的综合单价不作调整，工程量执行分部分项工程量清单结算原则。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pPr>
        <w:snapToGrid w:val="0"/>
        <w:spacing w:line="440" w:lineRule="exact"/>
        <w:ind w:firstLine="480" w:firstLineChars="200"/>
        <w:jc w:val="left"/>
        <w:rPr>
          <w:rFonts w:hint="eastAsia" w:ascii="宋体" w:hAnsi="宋体" w:cs="宋体"/>
          <w:color w:val="auto"/>
          <w:sz w:val="24"/>
          <w:szCs w:val="24"/>
          <w:highlight w:val="none"/>
        </w:rPr>
      </w:pPr>
      <w:bookmarkStart w:id="65" w:name="_Toc28250"/>
      <w:bookmarkStart w:id="66" w:name="_Toc24569667"/>
      <w:bookmarkStart w:id="67" w:name="_Toc19901"/>
      <w:bookmarkStart w:id="68" w:name="_Toc10176"/>
      <w:r>
        <w:rPr>
          <w:rFonts w:hint="eastAsia" w:ascii="宋体" w:hAnsi="宋体" w:cs="宋体"/>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屋面防水工程、有防水要求的卫生间、房间和外墙面的防渗漏，质保期为5年。</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pPr>
        <w:pStyle w:val="7"/>
        <w:snapToGrid w:val="0"/>
        <w:spacing w:line="440" w:lineRule="exact"/>
        <w:ind w:firstLine="480" w:firstLineChars="200"/>
        <w:rPr>
          <w:rFonts w:ascii="宋体" w:hAnsi="宋体" w:eastAsia="宋体" w:cs="宋体"/>
          <w:sz w:val="24"/>
          <w:szCs w:val="24"/>
          <w:highlight w:val="none"/>
        </w:rPr>
      </w:pPr>
      <w:bookmarkStart w:id="69" w:name="_Toc4293"/>
      <w:bookmarkStart w:id="70" w:name="_Toc12794"/>
      <w:bookmarkStart w:id="71" w:name="_Toc24569668"/>
      <w:bookmarkStart w:id="72" w:name="_Toc12582"/>
      <w:bookmarkStart w:id="73" w:name="_Toc520204758"/>
      <w:bookmarkStart w:id="74" w:name="_Toc267320052"/>
      <w:bookmarkStart w:id="75" w:name="_Toc13040"/>
      <w:bookmarkStart w:id="76" w:name="_Toc31427"/>
      <w:r>
        <w:rPr>
          <w:rFonts w:hint="eastAsia" w:ascii="宋体" w:hAnsi="宋体" w:eastAsia="宋体" w:cs="宋体"/>
          <w:sz w:val="24"/>
          <w:szCs w:val="24"/>
          <w:highlight w:val="none"/>
        </w:rPr>
        <w:t>（1）本项目不支付预付款，按月计量支付经审核合格工程量价款的80%支付。</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（2）竣工验收合格后，由成交供应商向采购人提出支付申请，采购人支付至合同总价的80%。</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（3）工程经财评中心结算审计后出具审计报告，移交档案资料且通过档案验收后，由成交供应商向采购人支付结算审定总额的3%作为质保金后，采购人按合同约定支付至结算审定总额的100%。</w:t>
      </w:r>
    </w:p>
    <w:p>
      <w:pPr>
        <w:pStyle w:val="7"/>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（4）缺陷责任期24个月，缺陷责任期到期后1个月内采购人无息退还质保金。</w:t>
      </w:r>
    </w:p>
    <w:p>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pPr>
        <w:pStyle w:val="3"/>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pPr>
        <w:pStyle w:val="3"/>
        <w:snapToGrid w:val="0"/>
        <w:spacing w:before="0" w:after="0" w:line="440" w:lineRule="exact"/>
        <w:rPr>
          <w:rFonts w:hint="eastAsia" w:ascii="宋体" w:hAnsi="宋体" w:cs="宋体"/>
          <w:color w:val="auto"/>
          <w:sz w:val="24"/>
          <w:szCs w:val="24"/>
          <w:highlight w:val="none"/>
        </w:rPr>
      </w:pPr>
      <w:bookmarkStart w:id="77" w:name="_Toc23606"/>
      <w:bookmarkStart w:id="78" w:name="_Toc24896"/>
      <w:bookmarkStart w:id="79" w:name="_Toc22916"/>
      <w:bookmarkStart w:id="80" w:name="_Toc403569795"/>
      <w:bookmarkStart w:id="81" w:name="_Toc24569670"/>
      <w:bookmarkStart w:id="82" w:name="_Toc729"/>
      <w:r>
        <w:rPr>
          <w:rFonts w:hint="eastAsia" w:ascii="宋体" w:hAnsi="宋体" w:cs="宋体"/>
          <w:color w:val="auto"/>
          <w:sz w:val="24"/>
          <w:szCs w:val="24"/>
          <w:highlight w:val="none"/>
        </w:rPr>
        <w:t>九、</w:t>
      </w:r>
      <w:bookmarkStart w:id="83" w:name="_Toc29578"/>
      <w:bookmarkStart w:id="84" w:name="_Toc17102"/>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pPr>
        <w:pStyle w:val="3"/>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0405"/>
      <w:bookmarkStart w:id="88" w:name="_Toc19328"/>
      <w:bookmarkStart w:id="89" w:name="_Toc3546"/>
      <w:bookmarkStart w:id="90" w:name="_Toc16151"/>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pPr>
        <w:pStyle w:val="3"/>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pPr>
        <w:pStyle w:val="3"/>
        <w:snapToGrid w:val="0"/>
        <w:spacing w:before="0" w:after="0" w:line="440" w:lineRule="exact"/>
        <w:rPr>
          <w:rFonts w:hint="eastAsia" w:ascii="宋体" w:hAnsi="宋体" w:cs="宋体"/>
          <w:color w:val="auto"/>
          <w:sz w:val="24"/>
          <w:szCs w:val="24"/>
          <w:highlight w:val="none"/>
        </w:rPr>
      </w:pPr>
      <w:bookmarkStart w:id="94" w:name="_Toc15269"/>
      <w:bookmarkStart w:id="95" w:name="_Toc21784"/>
      <w:bookmarkStart w:id="96" w:name="_Toc25408"/>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pPr>
        <w:pStyle w:val="11"/>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pPr>
        <w:pStyle w:val="7"/>
        <w:rPr>
          <w:rFonts w:hint="eastAsia" w:ascii="宋体" w:hAnsi="宋体" w:cs="宋体"/>
          <w:b/>
          <w:bCs/>
          <w:color w:val="auto"/>
          <w:sz w:val="36"/>
          <w:szCs w:val="28"/>
          <w:highlight w:val="none"/>
        </w:rPr>
      </w:pPr>
    </w:p>
    <w:p>
      <w:pPr>
        <w:rPr>
          <w:rFonts w:hint="eastAsia" w:ascii="宋体" w:hAnsi="宋体" w:cs="宋体"/>
          <w:b/>
          <w:bCs/>
          <w:color w:val="auto"/>
          <w:sz w:val="36"/>
          <w:szCs w:val="28"/>
          <w:highlight w:val="none"/>
        </w:rPr>
      </w:pPr>
    </w:p>
    <w:p>
      <w:pPr>
        <w:rPr>
          <w:rFonts w:hint="eastAsia" w:ascii="宋体" w:hAnsi="宋体" w:cs="宋体"/>
          <w:color w:val="auto"/>
          <w:sz w:val="36"/>
          <w:szCs w:val="36"/>
          <w:highlight w:val="none"/>
        </w:rPr>
      </w:pPr>
      <w:bookmarkStart w:id="97" w:name="_Toc19698"/>
    </w:p>
    <w:p>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pPr>
        <w:pStyle w:val="2"/>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pPr>
        <w:pStyle w:val="3"/>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pPr>
              <w:pStyle w:val="12"/>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sz w:val="24"/>
                <w:szCs w:val="24"/>
                <w:highlight w:val="none"/>
                <w:lang w:val="zh-CN"/>
              </w:rPr>
            </w:pP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bookmarkStart w:id="100" w:name="_Toc17411"/>
            <w:bookmarkStart w:id="101" w:name="_Toc1961"/>
            <w:bookmarkStart w:id="102" w:name="_Toc14187"/>
            <w:r>
              <w:rPr>
                <w:rFonts w:hint="eastAsia" w:ascii="宋体" w:hAnsi="宋体" w:cs="宋体"/>
                <w:color w:val="auto"/>
                <w:sz w:val="24"/>
                <w:szCs w:val="24"/>
                <w:highlight w:val="none"/>
              </w:rPr>
              <w:t>序号</w:t>
            </w:r>
          </w:p>
        </w:tc>
        <w:tc>
          <w:tcPr>
            <w:tcW w:w="1259"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highlight w:val="none"/>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pPr>
              <w:widowControl/>
              <w:wordWrap w:val="0"/>
              <w:spacing w:line="400" w:lineRule="exact"/>
              <w:ind w:firstLine="240" w:firstLineChars="100"/>
              <w:jc w:val="lef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pPr>
              <w:widowControl/>
              <w:wordWrap w:val="0"/>
              <w:jc w:val="center"/>
              <w:rPr>
                <w:color w:val="auto"/>
                <w:sz w:val="24"/>
                <w:szCs w:val="24"/>
                <w:highlight w:val="none"/>
              </w:rPr>
            </w:pPr>
            <w:r>
              <w:rPr>
                <w:rFonts w:hint="eastAsia"/>
                <w:color w:val="auto"/>
                <w:sz w:val="24"/>
                <w:szCs w:val="24"/>
                <w:highlight w:val="none"/>
              </w:rPr>
              <w:t>项目</w:t>
            </w:r>
          </w:p>
          <w:p>
            <w:pPr>
              <w:widowControl/>
              <w:wordWrap w:val="0"/>
              <w:jc w:val="center"/>
              <w:rPr>
                <w:color w:val="auto"/>
                <w:sz w:val="24"/>
                <w:szCs w:val="24"/>
                <w:highlight w:val="none"/>
              </w:rPr>
            </w:pPr>
            <w:r>
              <w:rPr>
                <w:rFonts w:hint="eastAsia"/>
                <w:color w:val="auto"/>
                <w:sz w:val="24"/>
                <w:szCs w:val="24"/>
                <w:highlight w:val="none"/>
              </w:rPr>
              <w:t>理解</w:t>
            </w:r>
          </w:p>
          <w:p>
            <w:pPr>
              <w:widowControl/>
              <w:wordWrap w:val="0"/>
              <w:jc w:val="center"/>
              <w:rPr>
                <w:color w:val="auto"/>
                <w:sz w:val="24"/>
                <w:szCs w:val="24"/>
                <w:highlight w:val="none"/>
              </w:rPr>
            </w:pPr>
            <w:r>
              <w:rPr>
                <w:rFonts w:hint="eastAsia"/>
                <w:color w:val="auto"/>
                <w:sz w:val="24"/>
                <w:szCs w:val="24"/>
                <w:highlight w:val="none"/>
              </w:rPr>
              <w:t>（10分）</w:t>
            </w:r>
          </w:p>
          <w:p>
            <w:pPr>
              <w:widowControl/>
              <w:wordWrap w:val="0"/>
              <w:jc w:val="center"/>
              <w:rPr>
                <w:rFonts w:hint="eastAsia" w:ascii="宋体" w:hAnsi="宋体" w:cs="宋体"/>
                <w:color w:val="auto"/>
                <w:sz w:val="24"/>
                <w:szCs w:val="24"/>
                <w:highlight w:val="none"/>
              </w:rPr>
            </w:pP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w:t>
            </w:r>
            <w:r>
              <w:rPr>
                <w:rFonts w:hint="eastAsia"/>
                <w:color w:val="auto"/>
                <w:sz w:val="24"/>
                <w:szCs w:val="24"/>
                <w:highlight w:val="none"/>
                <w:lang w:val="en-US" w:eastAsia="zh-CN"/>
              </w:rPr>
              <w:t>10</w:t>
            </w:r>
            <w:r>
              <w:rPr>
                <w:rFonts w:hint="eastAsia"/>
                <w:color w:val="auto"/>
                <w:sz w:val="24"/>
                <w:szCs w:val="24"/>
                <w:highlight w:val="none"/>
              </w:rPr>
              <w:t>0页。</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widowControl/>
              <w:wordWrap w:val="0"/>
              <w:jc w:val="center"/>
              <w:rPr>
                <w:color w:val="auto"/>
                <w:sz w:val="24"/>
                <w:szCs w:val="24"/>
                <w:highlight w:val="none"/>
              </w:rPr>
            </w:pPr>
            <w:r>
              <w:rPr>
                <w:rFonts w:hint="eastAsia"/>
                <w:color w:val="auto"/>
                <w:sz w:val="24"/>
                <w:szCs w:val="24"/>
                <w:highlight w:val="none"/>
              </w:rPr>
              <w:t>施工</w:t>
            </w:r>
          </w:p>
          <w:p>
            <w:pPr>
              <w:widowControl/>
              <w:wordWrap w:val="0"/>
              <w:jc w:val="center"/>
              <w:rPr>
                <w:color w:val="auto"/>
                <w:sz w:val="24"/>
                <w:szCs w:val="24"/>
                <w:highlight w:val="none"/>
              </w:rPr>
            </w:pPr>
            <w:r>
              <w:rPr>
                <w:rFonts w:hint="eastAsia"/>
                <w:color w:val="auto"/>
                <w:sz w:val="24"/>
                <w:szCs w:val="24"/>
                <w:highlight w:val="none"/>
              </w:rPr>
              <w:t>方案</w:t>
            </w:r>
          </w:p>
          <w:p>
            <w:pPr>
              <w:widowControl/>
              <w:wordWrap w:val="0"/>
              <w:jc w:val="center"/>
              <w:rPr>
                <w:color w:val="auto"/>
                <w:sz w:val="24"/>
                <w:szCs w:val="24"/>
                <w:highlight w:val="none"/>
              </w:rPr>
            </w:pPr>
            <w:r>
              <w:rPr>
                <w:rFonts w:hint="eastAsia"/>
                <w:color w:val="auto"/>
                <w:sz w:val="24"/>
                <w:szCs w:val="24"/>
                <w:highlight w:val="none"/>
              </w:rPr>
              <w:t>与</w:t>
            </w:r>
          </w:p>
          <w:p>
            <w:pPr>
              <w:widowControl/>
              <w:wordWrap w:val="0"/>
              <w:jc w:val="center"/>
              <w:rPr>
                <w:color w:val="auto"/>
                <w:sz w:val="24"/>
                <w:szCs w:val="24"/>
                <w:highlight w:val="none"/>
              </w:rPr>
            </w:pPr>
            <w:r>
              <w:rPr>
                <w:rFonts w:hint="eastAsia"/>
                <w:color w:val="auto"/>
                <w:sz w:val="24"/>
                <w:szCs w:val="24"/>
                <w:highlight w:val="none"/>
              </w:rPr>
              <w:t>技术</w:t>
            </w:r>
          </w:p>
          <w:p>
            <w:pPr>
              <w:widowControl/>
              <w:wordWrap w:val="0"/>
              <w:jc w:val="center"/>
              <w:rPr>
                <w:color w:val="auto"/>
                <w:sz w:val="24"/>
                <w:szCs w:val="24"/>
                <w:highlight w:val="none"/>
              </w:rPr>
            </w:pPr>
            <w:r>
              <w:rPr>
                <w:rFonts w:hint="eastAsia"/>
                <w:color w:val="auto"/>
                <w:sz w:val="24"/>
                <w:szCs w:val="24"/>
                <w:highlight w:val="none"/>
              </w:rPr>
              <w:t>措施</w:t>
            </w:r>
          </w:p>
          <w:p>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pPr>
        <w:pStyle w:val="3"/>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pPr>
        <w:pStyle w:val="3"/>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pPr>
        <w:tabs>
          <w:tab w:val="left" w:pos="703"/>
        </w:tabs>
        <w:spacing w:line="360" w:lineRule="auto"/>
        <w:ind w:firstLine="480" w:firstLineChars="200"/>
        <w:rPr>
          <w:rFonts w:hint="eastAsia" w:ascii="宋体" w:hAnsi="宋体" w:cs="宋体"/>
          <w:color w:val="auto"/>
          <w:sz w:val="24"/>
          <w:szCs w:val="24"/>
          <w:highlight w:val="none"/>
        </w:rPr>
      </w:pPr>
      <w:bookmarkStart w:id="105" w:name="_Toc9808"/>
      <w:bookmarkStart w:id="106" w:name="_Toc4550"/>
      <w:bookmarkStart w:id="107" w:name="_Toc27033"/>
      <w:bookmarkStart w:id="108" w:name="_Toc22128"/>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pPr>
        <w:pStyle w:val="3"/>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pPr>
        <w:pStyle w:val="3"/>
        <w:snapToGrid w:val="0"/>
        <w:spacing w:before="0" w:after="0" w:line="360" w:lineRule="auto"/>
        <w:rPr>
          <w:rFonts w:hint="eastAsia" w:ascii="宋体" w:hAnsi="宋体" w:cs="宋体"/>
          <w:color w:val="auto"/>
          <w:sz w:val="24"/>
          <w:szCs w:val="24"/>
          <w:highlight w:val="none"/>
        </w:rPr>
      </w:pPr>
      <w:bookmarkStart w:id="112" w:name="_Toc15608"/>
      <w:bookmarkStart w:id="113" w:name="_Toc342913389"/>
      <w:bookmarkStart w:id="114" w:name="_Toc952"/>
      <w:bookmarkStart w:id="115" w:name="_Toc53751346"/>
      <w:bookmarkStart w:id="116" w:name="_Toc80104359"/>
      <w:bookmarkStart w:id="117" w:name="_Toc50741100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pPr>
        <w:pStyle w:val="3"/>
        <w:snapToGrid w:val="0"/>
        <w:spacing w:before="0" w:after="0" w:line="360" w:lineRule="auto"/>
        <w:rPr>
          <w:rFonts w:hint="eastAsia" w:ascii="宋体" w:hAnsi="宋体" w:eastAsia="宋体" w:cs="宋体"/>
          <w:color w:val="auto"/>
          <w:sz w:val="24"/>
          <w:szCs w:val="24"/>
          <w:highlight w:val="none"/>
          <w:lang w:eastAsia="zh-CN"/>
        </w:rPr>
      </w:pPr>
      <w:bookmarkStart w:id="118" w:name="_Toc53751347"/>
      <w:bookmarkStart w:id="119" w:name="_Toc13521"/>
      <w:bookmarkStart w:id="120" w:name="_Toc342913391"/>
      <w:bookmarkStart w:id="121" w:name="_Toc4017"/>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pPr>
        <w:spacing w:line="360" w:lineRule="auto"/>
        <w:ind w:firstLine="480" w:firstLineChars="200"/>
        <w:rPr>
          <w:rFonts w:hint="eastAsia" w:ascii="宋体" w:hAnsi="宋体" w:eastAsia="宋体" w:cs="宋体"/>
          <w:color w:val="auto"/>
          <w:sz w:val="24"/>
          <w:szCs w:val="24"/>
          <w:highlight w:val="none"/>
        </w:rPr>
      </w:pPr>
      <w:bookmarkStart w:id="122" w:name="_Toc318166429"/>
      <w:bookmarkStart w:id="123" w:name="_Toc318159780"/>
      <w:bookmarkStart w:id="124" w:name="_Toc318159160"/>
      <w:bookmarkStart w:id="125" w:name="_Toc318159349"/>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pPr>
        <w:pStyle w:val="3"/>
        <w:snapToGrid w:val="0"/>
        <w:spacing w:before="0" w:after="0" w:line="360" w:lineRule="auto"/>
        <w:rPr>
          <w:rFonts w:hint="eastAsia" w:ascii="宋体" w:hAnsi="宋体" w:cs="宋体"/>
          <w:color w:val="auto"/>
          <w:sz w:val="24"/>
          <w:szCs w:val="24"/>
          <w:highlight w:val="none"/>
        </w:rPr>
      </w:pPr>
      <w:bookmarkStart w:id="126" w:name="_Toc15467"/>
      <w:bookmarkStart w:id="127" w:name="_Toc27179"/>
      <w:bookmarkStart w:id="128" w:name="_Toc342913392"/>
      <w:bookmarkStart w:id="129" w:name="_Toc102227318"/>
      <w:bookmarkStart w:id="130" w:name="_Toc53751348"/>
      <w:bookmarkStart w:id="131" w:name="_Toc179714297"/>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pPr>
        <w:pStyle w:val="3"/>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pPr>
        <w:spacing w:line="360" w:lineRule="auto"/>
        <w:ind w:firstLine="480" w:firstLineChars="200"/>
        <w:rPr>
          <w:rFonts w:hint="eastAsia" w:ascii="宋体" w:hAnsi="宋体" w:cs="宋体"/>
          <w:color w:val="auto"/>
          <w:sz w:val="24"/>
          <w:szCs w:val="24"/>
          <w:highlight w:val="none"/>
        </w:rPr>
      </w:pPr>
      <w:bookmarkStart w:id="135" w:name="_Toc342913395"/>
      <w:bookmarkStart w:id="136" w:name="_Toc102227321"/>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pPr>
        <w:pStyle w:val="3"/>
        <w:snapToGrid w:val="0"/>
        <w:spacing w:before="0" w:after="0" w:line="360" w:lineRule="auto"/>
        <w:rPr>
          <w:rFonts w:hint="eastAsia" w:ascii="宋体" w:hAnsi="宋体" w:cs="宋体"/>
          <w:color w:val="auto"/>
          <w:sz w:val="24"/>
          <w:szCs w:val="24"/>
          <w:highlight w:val="none"/>
        </w:rPr>
      </w:pPr>
      <w:bookmarkStart w:id="137" w:name="_Toc14208"/>
      <w:bookmarkStart w:id="138" w:name="_Toc53751350"/>
      <w:bookmarkStart w:id="139" w:name="_Toc15298"/>
      <w:r>
        <w:rPr>
          <w:rFonts w:hint="eastAsia" w:ascii="宋体" w:hAnsi="宋体" w:cs="宋体"/>
          <w:color w:val="auto"/>
          <w:sz w:val="24"/>
          <w:szCs w:val="24"/>
          <w:highlight w:val="none"/>
        </w:rPr>
        <w:t>五、成交通知</w:t>
      </w:r>
      <w:bookmarkEnd w:id="135"/>
      <w:bookmarkEnd w:id="136"/>
      <w:bookmarkEnd w:id="137"/>
      <w:bookmarkEnd w:id="138"/>
      <w:bookmarkEnd w:id="139"/>
    </w:p>
    <w:p>
      <w:pPr>
        <w:spacing w:line="360" w:lineRule="auto"/>
        <w:ind w:firstLine="480" w:firstLineChars="200"/>
        <w:rPr>
          <w:rFonts w:hint="eastAsia" w:ascii="宋体" w:hAnsi="宋体" w:eastAsia="宋体" w:cs="宋体"/>
          <w:color w:val="auto"/>
          <w:sz w:val="24"/>
          <w:highlight w:val="none"/>
        </w:rPr>
      </w:pPr>
      <w:bookmarkStart w:id="140" w:name="_Toc638"/>
      <w:bookmarkStart w:id="141" w:name="_Toc53751351"/>
      <w:r>
        <w:rPr>
          <w:rFonts w:hint="eastAsia" w:ascii="宋体" w:hAnsi="宋体" w:eastAsia="宋体" w:cs="宋体"/>
          <w:color w:val="auto"/>
          <w:sz w:val="24"/>
          <w:highlight w:val="none"/>
        </w:rPr>
        <w:t>（一）定标原则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pPr>
        <w:pStyle w:val="3"/>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pPr>
        <w:pStyle w:val="3"/>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pPr>
        <w:pStyle w:val="3"/>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6265"/>
      <w:bookmarkStart w:id="145" w:name="_Toc21783697"/>
      <w:r>
        <w:rPr>
          <w:rFonts w:hint="eastAsia" w:ascii="宋体" w:hAnsi="宋体" w:eastAsia="宋体" w:cs="宋体"/>
          <w:b w:val="0"/>
          <w:color w:val="auto"/>
          <w:kern w:val="2"/>
          <w:sz w:val="24"/>
          <w:szCs w:val="24"/>
          <w:highlight w:val="none"/>
          <w:lang w:val="en-US" w:eastAsia="zh-CN" w:bidi="ar-SA"/>
        </w:rPr>
        <w:t>本项目代理服务费按发改价格(2011)534号文件规定7折计取，不足3000元，按3000元支付。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pPr>
        <w:pStyle w:val="3"/>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144974827"/>
      <w:bookmarkStart w:id="150" w:name="_Toc335223532"/>
      <w:bookmarkStart w:id="151" w:name="_Toc509390697"/>
      <w:bookmarkStart w:id="152" w:name="_Toc509218786"/>
      <w:bookmarkStart w:id="153" w:name="_Toc57820637"/>
      <w:bookmarkStart w:id="154" w:name="_Toc509390696"/>
      <w:bookmarkStart w:id="155" w:name="_Toc240180917"/>
      <w:bookmarkStart w:id="156" w:name="_Toc335223531"/>
      <w:bookmarkStart w:id="157" w:name="_Toc424558369"/>
      <w:bookmarkStart w:id="158" w:name="_Toc424558729"/>
      <w:bookmarkStart w:id="159" w:name="_Toc467164257"/>
      <w:bookmarkStart w:id="160" w:name="_Toc351203494"/>
      <w:bookmarkStart w:id="161" w:name="_Toc534185765"/>
      <w:bookmarkStart w:id="162" w:name="_Toc152045768"/>
      <w:bookmarkStart w:id="163" w:name="_Toc424558368"/>
      <w:bookmarkStart w:id="164" w:name="_Toc32387"/>
      <w:bookmarkStart w:id="165" w:name="_Toc467164258"/>
      <w:bookmarkStart w:id="166" w:name="_Toc424558728"/>
      <w:bookmarkStart w:id="167" w:name="_Toc152042547"/>
      <w:bookmarkStart w:id="168" w:name="_Toc240180916"/>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重庆市珊瑚初级中学校（明佳校区）卫生间改建工程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重庆市珊瑚初级中学校（明佳校区）卫生间改建工程</w:t>
      </w:r>
      <w:r>
        <w:rPr>
          <w:rFonts w:hint="eastAsia" w:cs="宋体" w:asciiTheme="minorEastAsia" w:hAnsiTheme="minorEastAsia" w:eastAsiaTheme="minorEastAsia"/>
          <w:color w:val="auto"/>
          <w:sz w:val="24"/>
          <w:szCs w:val="24"/>
          <w:highlight w:val="none"/>
        </w:rPr>
        <w:t xml:space="preserve">  </w:t>
      </w:r>
    </w:p>
    <w:p>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重庆市南岸区花园路街道明佳路15号</w:t>
      </w:r>
    </w:p>
    <w:p>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lang w:eastAsia="zh-CN"/>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lang w:eastAsia="zh-CN"/>
        </w:rPr>
        <w:t>中央及市级校舍维修资金和学校自筹资金</w:t>
      </w:r>
    </w:p>
    <w:p>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lang w:eastAsia="zh-CN"/>
        </w:rPr>
        <w:t>该项目改建面积约3000㎡,拟对教学楼卫生间局部进行翻新，主要包括更换老化管道和卫生洁具、修复和更换已损坏的吊顶及墙面瓷砖，更新隔断门及配套设施、完善防滑和排水设施，优化照明和通风系统等。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351203482"/>
      <w:bookmarkStart w:id="170" w:name="_Toc532377167"/>
      <w:bookmarkStart w:id="171" w:name="_Toc532375574"/>
      <w:r>
        <w:rPr>
          <w:rFonts w:hint="eastAsia" w:asciiTheme="minorEastAsia" w:hAnsiTheme="minorEastAsia" w:eastAsiaTheme="minorEastAsia"/>
          <w:color w:val="auto"/>
          <w:kern w:val="2"/>
          <w:szCs w:val="24"/>
          <w:highlight w:val="none"/>
        </w:rPr>
        <w:t>二、合同工期</w:t>
      </w:r>
      <w:bookmarkEnd w:id="169"/>
      <w:bookmarkEnd w:id="170"/>
      <w:bookmarkEnd w:id="171"/>
    </w:p>
    <w:p>
      <w:pPr>
        <w:pStyle w:val="4"/>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351203483"/>
      <w:bookmarkStart w:id="173" w:name="_Toc532377168"/>
      <w:bookmarkStart w:id="174" w:name="_Toc532375575"/>
      <w:r>
        <w:rPr>
          <w:rFonts w:hint="eastAsia" w:asciiTheme="minorEastAsia" w:hAnsiTheme="minorEastAsia" w:eastAsiaTheme="minorEastAsia"/>
          <w:color w:val="auto"/>
          <w:kern w:val="2"/>
          <w:szCs w:val="24"/>
          <w:highlight w:val="none"/>
        </w:rPr>
        <w:t>三、质量标准</w:t>
      </w:r>
      <w:bookmarkEnd w:id="172"/>
      <w:bookmarkEnd w:id="173"/>
      <w:bookmarkEnd w:id="174"/>
    </w:p>
    <w:p>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5577"/>
      <w:bookmarkStart w:id="177" w:name="_Toc532377170"/>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7"/>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351203484"/>
      <w:bookmarkStart w:id="179" w:name="_Toc532375576"/>
      <w:bookmarkStart w:id="180" w:name="_Toc532377169"/>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（1）本项目不支付预付款，按月计量支付经审核合格工程量价款的80%支付。</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（2）竣工验收合格后，由成交供应商向采购人提出支付申请，采购人支付至合同总价的80%。</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（3）工程经财评中心结算审计后出具审计报告，移交档案资料且通过档案验收后，由成交供应商向采购人支付结算审定总额的3%作为质保金后，采购人按合同约定支付至结算审定总额的100%。</w:t>
      </w:r>
    </w:p>
    <w:p>
      <w:pPr>
        <w:pStyle w:val="7"/>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（4）缺陷责任期24个月，缺陷责任期到期后1个月内采购人无息退还质保金。</w:t>
      </w:r>
    </w:p>
    <w:p>
      <w:pPr>
        <w:pStyle w:val="11"/>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pPr>
        <w:snapToGrid w:val="0"/>
        <w:spacing w:line="440" w:lineRule="exact"/>
        <w:ind w:firstLine="482" w:firstLineChars="200"/>
        <w:jc w:val="left"/>
        <w:rPr>
          <w:rFonts w:hint="eastAsia" w:ascii="宋体" w:hAnsi="宋体" w:cs="宋体"/>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屋面防水工程、有防水要求的卫生间、房间和外墙面的防渗漏，质保期为5年。</w:t>
      </w:r>
    </w:p>
    <w:p>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pPr>
        <w:spacing w:line="360" w:lineRule="auto"/>
        <w:ind w:firstLine="480" w:firstLineChars="200"/>
        <w:rPr>
          <w:rFonts w:hint="eastAsia" w:cs="宋体" w:asciiTheme="minorEastAsia" w:hAnsiTheme="minorEastAsia" w:eastAsiaTheme="minorEastAsia"/>
          <w:color w:val="auto"/>
          <w:sz w:val="24"/>
          <w:szCs w:val="24"/>
          <w:highlight w:val="none"/>
        </w:rPr>
      </w:pPr>
    </w:p>
    <w:p>
      <w:pPr>
        <w:rPr>
          <w:rFonts w:hint="eastAsia" w:cs="宋体" w:asciiTheme="minorEastAsia" w:hAnsiTheme="minorEastAsia" w:eastAsiaTheme="minorEastAsia"/>
          <w:color w:val="auto"/>
          <w:sz w:val="24"/>
          <w:szCs w:val="24"/>
          <w:highlight w:val="none"/>
        </w:rPr>
      </w:pP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pPr>
        <w:snapToGrid w:val="0"/>
        <w:spacing w:line="360" w:lineRule="auto"/>
        <w:ind w:firstLine="550" w:firstLineChars="250"/>
        <w:rPr>
          <w:rFonts w:hint="eastAsia" w:ascii="宋体" w:hAnsi="宋体" w:cs="宋体"/>
          <w:bCs/>
          <w:color w:val="auto"/>
          <w:sz w:val="22"/>
          <w:szCs w:val="18"/>
          <w:highlight w:val="none"/>
        </w:rPr>
      </w:pPr>
    </w:p>
    <w:p>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pPr>
        <w:pStyle w:val="2"/>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pPr>
        <w:pStyle w:val="3"/>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500" w:lineRule="exact"/>
        <w:ind w:firstLine="480" w:firstLineChars="200"/>
        <w:rPr>
          <w:rFonts w:hint="eastAsia" w:ascii="宋体" w:hAnsi="宋体" w:cs="宋体"/>
          <w:color w:val="auto"/>
          <w:sz w:val="24"/>
          <w:szCs w:val="24"/>
          <w:highlight w:val="none"/>
        </w:rPr>
      </w:pPr>
    </w:p>
    <w:p>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pPr>
        <w:pStyle w:val="3"/>
        <w:spacing w:before="0" w:after="0" w:line="360" w:lineRule="auto"/>
        <w:rPr>
          <w:rFonts w:hint="eastAsia" w:ascii="宋体" w:hAnsi="宋体" w:cs="宋体"/>
          <w:color w:val="auto"/>
          <w:sz w:val="28"/>
          <w:szCs w:val="28"/>
          <w:highlight w:val="none"/>
        </w:rPr>
      </w:pPr>
      <w:bookmarkStart w:id="185" w:name="_Toc342913420"/>
      <w:bookmarkStart w:id="186" w:name="_Toc313008357"/>
      <w:bookmarkStart w:id="187" w:name="_Toc313888361"/>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bl>
    <w:p>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pPr>
        <w:pStyle w:val="3"/>
        <w:spacing w:before="0" w:after="0" w:line="360" w:lineRule="auto"/>
        <w:jc w:val="center"/>
        <w:rPr>
          <w:rFonts w:hint="eastAsia" w:ascii="宋体" w:hAnsi="宋体" w:cs="宋体"/>
          <w:b w:val="0"/>
          <w:color w:val="auto"/>
          <w:sz w:val="24"/>
          <w:szCs w:val="24"/>
          <w:highlight w:val="none"/>
        </w:rPr>
      </w:pPr>
    </w:p>
    <w:p>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pPr>
        <w:pStyle w:val="3"/>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bl>
    <w:p>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008358"/>
      <w:bookmarkStart w:id="192" w:name="_Toc313888362"/>
      <w:bookmarkStart w:id="193" w:name="_Toc342913421"/>
      <w:bookmarkStart w:id="194" w:name="_Toc80104371"/>
      <w:bookmarkStart w:id="195" w:name="_Toc12335"/>
      <w:r>
        <w:rPr>
          <w:rFonts w:hint="eastAsia" w:ascii="宋体" w:hAnsi="宋体" w:cs="宋体"/>
          <w:color w:val="auto"/>
          <w:sz w:val="24"/>
          <w:szCs w:val="24"/>
          <w:highlight w:val="none"/>
        </w:rPr>
        <w:t>商务部分其他资料（格式自拟）</w:t>
      </w:r>
    </w:p>
    <w:p>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pPr>
        <w:pStyle w:val="3"/>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jc w:val="center"/>
        <w:rPr>
          <w:rFonts w:hint="eastAsia" w:ascii="宋体" w:hAnsi="宋体" w:cs="宋体"/>
          <w:color w:val="auto"/>
          <w:sz w:val="24"/>
          <w:szCs w:val="24"/>
          <w:highlight w:val="none"/>
        </w:rPr>
      </w:pPr>
    </w:p>
    <w:p>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cs="宋体"/>
          <w:color w:val="auto"/>
          <w:sz w:val="24"/>
          <w:szCs w:val="24"/>
          <w:highlight w:val="none"/>
        </w:rPr>
      </w:pPr>
    </w:p>
    <w:p>
      <w:pPr>
        <w:pStyle w:val="17"/>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17"/>
        <w:rPr>
          <w:rFonts w:hint="eastAsia" w:ascii="宋体" w:hAnsi="宋体"/>
          <w:color w:val="auto"/>
          <w:highlight w:val="none"/>
        </w:rPr>
      </w:pP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pPr>
        <w:tabs>
          <w:tab w:val="left" w:pos="6300"/>
        </w:tabs>
        <w:snapToGrid w:val="0"/>
        <w:spacing w:line="530" w:lineRule="exact"/>
        <w:rPr>
          <w:rFonts w:hint="eastAsia" w:ascii="宋体" w:hAnsi="宋体" w:cs="宋体"/>
          <w:color w:val="auto"/>
          <w:sz w:val="24"/>
          <w:szCs w:val="24"/>
          <w:highlight w:val="none"/>
        </w:rPr>
      </w:pPr>
    </w:p>
    <w:p>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pPr>
        <w:tabs>
          <w:tab w:val="left" w:pos="6300"/>
        </w:tabs>
        <w:snapToGrid w:val="0"/>
        <w:spacing w:line="530" w:lineRule="exact"/>
        <w:rPr>
          <w:rFonts w:hint="eastAsia" w:ascii="宋体" w:hAnsi="宋体" w:cs="宋体"/>
          <w:color w:val="auto"/>
          <w:sz w:val="24"/>
          <w:szCs w:val="24"/>
          <w:highlight w:val="none"/>
        </w:rPr>
      </w:pPr>
    </w:p>
    <w:p>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pStyle w:val="21"/>
        <w:jc w:val="right"/>
        <w:rPr>
          <w:rFonts w:hint="eastAsia" w:eastAsia="宋体" w:cs="宋体"/>
          <w:color w:val="auto"/>
          <w:szCs w:val="24"/>
          <w:highlight w:val="none"/>
        </w:rPr>
      </w:pPr>
    </w:p>
    <w:p>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pPr>
        <w:pStyle w:val="21"/>
        <w:rPr>
          <w:rFonts w:hint="eastAsia" w:eastAsia="宋体" w:cs="宋体"/>
          <w:color w:val="auto"/>
          <w:sz w:val="32"/>
          <w:szCs w:val="32"/>
          <w:highlight w:val="none"/>
        </w:rPr>
      </w:pPr>
    </w:p>
    <w:p>
      <w:pPr>
        <w:pStyle w:val="21"/>
        <w:rPr>
          <w:rFonts w:hint="eastAsia" w:eastAsia="宋体" w:cs="宋体"/>
          <w:color w:val="auto"/>
          <w:sz w:val="32"/>
          <w:szCs w:val="32"/>
          <w:highlight w:val="none"/>
        </w:rPr>
      </w:pP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pPr>
        <w:pStyle w:val="21"/>
        <w:rPr>
          <w:rFonts w:hint="eastAsia" w:eastAsia="宋体" w:cs="宋体"/>
          <w:color w:val="auto"/>
          <w:sz w:val="32"/>
          <w:szCs w:val="32"/>
          <w:highlight w:val="none"/>
        </w:rPr>
      </w:pPr>
    </w:p>
    <w:p>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pPr>
        <w:pStyle w:val="3"/>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pPr>
        <w:spacing w:line="360" w:lineRule="auto"/>
        <w:ind w:firstLine="720" w:firstLineChars="200"/>
        <w:jc w:val="center"/>
        <w:rPr>
          <w:rFonts w:hint="eastAsia" w:ascii="宋体" w:hAnsi="宋体" w:cs="宋体"/>
          <w:color w:val="auto"/>
          <w:sz w:val="36"/>
          <w:szCs w:val="22"/>
          <w:highlight w:val="none"/>
        </w:rPr>
      </w:pPr>
    </w:p>
    <w:p>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4D27139"/>
    <w:rsid w:val="057407DA"/>
    <w:rsid w:val="067B6479"/>
    <w:rsid w:val="0C9341B4"/>
    <w:rsid w:val="0CD05E3A"/>
    <w:rsid w:val="0E6C7FD4"/>
    <w:rsid w:val="15E51CAB"/>
    <w:rsid w:val="19115702"/>
    <w:rsid w:val="19335911"/>
    <w:rsid w:val="195B5DE1"/>
    <w:rsid w:val="19B96255"/>
    <w:rsid w:val="1BE373FE"/>
    <w:rsid w:val="1C600287"/>
    <w:rsid w:val="1F666789"/>
    <w:rsid w:val="20083037"/>
    <w:rsid w:val="20654120"/>
    <w:rsid w:val="233D08A4"/>
    <w:rsid w:val="24D871B2"/>
    <w:rsid w:val="2A561BA2"/>
    <w:rsid w:val="2D034490"/>
    <w:rsid w:val="302E75E3"/>
    <w:rsid w:val="39101C6E"/>
    <w:rsid w:val="3C67792D"/>
    <w:rsid w:val="3C891294"/>
    <w:rsid w:val="3FAD044A"/>
    <w:rsid w:val="414B4D00"/>
    <w:rsid w:val="433A270B"/>
    <w:rsid w:val="45BB6C22"/>
    <w:rsid w:val="46A85DF4"/>
    <w:rsid w:val="46E22F3A"/>
    <w:rsid w:val="47DF450D"/>
    <w:rsid w:val="482B25AB"/>
    <w:rsid w:val="4B223CB8"/>
    <w:rsid w:val="4C8A370E"/>
    <w:rsid w:val="4DC37044"/>
    <w:rsid w:val="4E0C0303"/>
    <w:rsid w:val="5168196D"/>
    <w:rsid w:val="54D961C1"/>
    <w:rsid w:val="5603579C"/>
    <w:rsid w:val="561473E8"/>
    <w:rsid w:val="57135925"/>
    <w:rsid w:val="580B5AB7"/>
    <w:rsid w:val="596F1435"/>
    <w:rsid w:val="5B8E3F8F"/>
    <w:rsid w:val="5E7D0892"/>
    <w:rsid w:val="608E02A7"/>
    <w:rsid w:val="64A83829"/>
    <w:rsid w:val="66313CF5"/>
    <w:rsid w:val="67324976"/>
    <w:rsid w:val="692765F5"/>
    <w:rsid w:val="6ECA1E43"/>
    <w:rsid w:val="6F735C9C"/>
    <w:rsid w:val="71331676"/>
    <w:rsid w:val="729A74A8"/>
    <w:rsid w:val="73E10D40"/>
    <w:rsid w:val="752B5E6F"/>
    <w:rsid w:val="75C7149C"/>
    <w:rsid w:val="769901FE"/>
    <w:rsid w:val="787C1702"/>
    <w:rsid w:val="78894543"/>
    <w:rsid w:val="7BE8499A"/>
    <w:rsid w:val="7C270787"/>
    <w:rsid w:val="7C614DB0"/>
    <w:rsid w:val="7CFD1B1B"/>
    <w:rsid w:val="7E002F8A"/>
    <w:rsid w:val="7F1845EF"/>
    <w:rsid w:val="7F52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2" w:lineRule="auto"/>
      <w:outlineLvl w:val="2"/>
    </w:pPr>
    <w:rPr>
      <w:b/>
      <w:sz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40"/>
        <w:tab w:val="right" w:pos="8300"/>
      </w:tabs>
      <w:snapToGrid w:val="0"/>
      <w:jc w:val="left"/>
    </w:pPr>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7"/>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8"/>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10060</Words>
  <Characters>10865</Characters>
  <Lines>257</Lines>
  <Paragraphs>72</Paragraphs>
  <TotalTime>12</TotalTime>
  <ScaleCrop>false</ScaleCrop>
  <LinksUpToDate>false</LinksUpToDate>
  <CharactersWithSpaces>10966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陈时逸</cp:lastModifiedBy>
  <dcterms:modified xsi:type="dcterms:W3CDTF">2025-07-04T02:07:23Z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71F5D1890FC646C4BC1DFC2F1958740A</vt:lpwstr>
  </property>
  <property fmtid="{D5CDD505-2E9C-101B-9397-08002B2CF9AE}" pid="4" name="KSOTemplateDocerSaveRecord">
    <vt:lpwstr>eyJoZGlkIjoiZTJiMzBjMjhiZWJhNWM4ZmFhMTM2MTZmYWZjZmRmZmQiLCJ1c2VySWQiOiI2MzA5MDUyNTAifQ==</vt:lpwstr>
  </property>
</Properties>
</file>