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color w:val="auto"/>
          <w:sz w:val="52"/>
          <w:szCs w:val="52"/>
          <w:u w:val="none"/>
        </w:rPr>
      </w:pPr>
    </w:p>
    <w:p>
      <w:pPr>
        <w:jc w:val="center"/>
        <w:rPr>
          <w:rFonts w:hint="eastAsia" w:ascii="宋体" w:hAnsi="宋体" w:eastAsia="宋体" w:cs="宋体"/>
          <w:b/>
          <w:bCs/>
          <w:color w:val="auto"/>
          <w:spacing w:val="80"/>
          <w:sz w:val="52"/>
          <w:szCs w:val="52"/>
          <w:u w:val="none"/>
        </w:rPr>
      </w:pPr>
      <w:r>
        <w:rPr>
          <w:rFonts w:hint="eastAsia" w:ascii="宋体" w:hAnsi="宋体" w:cs="宋体"/>
          <w:b/>
          <w:bCs/>
          <w:color w:val="auto"/>
          <w:sz w:val="52"/>
          <w:szCs w:val="52"/>
          <w:u w:val="none"/>
        </w:rPr>
        <w:t>车辆租赁经营业务用新能源汽车采购</w:t>
      </w:r>
    </w:p>
    <w:p>
      <w:pPr>
        <w:pStyle w:val="30"/>
        <w:tabs>
          <w:tab w:val="left" w:pos="1206"/>
        </w:tabs>
        <w:ind w:left="0" w:leftChars="0" w:firstLine="0" w:firstLineChars="0"/>
        <w:rPr>
          <w:rFonts w:hint="eastAsia" w:ascii="宋体" w:hAnsi="宋体" w:eastAsia="宋体" w:cs="宋体"/>
          <w:b/>
          <w:color w:val="auto"/>
          <w:spacing w:val="80"/>
          <w:sz w:val="112"/>
          <w:szCs w:val="112"/>
          <w:lang w:eastAsia="zh-CN"/>
        </w:rPr>
      </w:pPr>
      <w:r>
        <w:rPr>
          <w:rFonts w:hint="eastAsia" w:ascii="宋体" w:hAnsi="宋体" w:cs="宋体"/>
          <w:b/>
          <w:color w:val="auto"/>
          <w:spacing w:val="80"/>
          <w:sz w:val="112"/>
          <w:szCs w:val="112"/>
          <w:lang w:eastAsia="zh-CN"/>
        </w:rPr>
        <w:tab/>
      </w:r>
    </w:p>
    <w:p>
      <w:pPr>
        <w:jc w:val="center"/>
        <w:rPr>
          <w:rFonts w:hint="eastAsia" w:ascii="宋体" w:hAnsi="宋体" w:eastAsia="宋体" w:cs="宋体"/>
          <w:b/>
          <w:color w:val="auto"/>
          <w:spacing w:val="80"/>
          <w:sz w:val="112"/>
          <w:szCs w:val="112"/>
        </w:rPr>
      </w:pPr>
      <w:r>
        <w:rPr>
          <w:rFonts w:hint="eastAsia" w:ascii="宋体" w:hAnsi="宋体" w:cs="宋体"/>
          <w:b/>
          <w:color w:val="auto"/>
          <w:spacing w:val="80"/>
          <w:sz w:val="112"/>
          <w:szCs w:val="112"/>
          <w:lang w:eastAsia="zh-CN"/>
        </w:rPr>
        <w:t>招标文件</w:t>
      </w:r>
    </w:p>
    <w:p>
      <w:pPr>
        <w:jc w:val="center"/>
        <w:rPr>
          <w:rFonts w:hint="eastAsia" w:ascii="宋体" w:hAnsi="宋体" w:eastAsia="宋体" w:cs="宋体"/>
          <w:color w:val="auto"/>
          <w:sz w:val="32"/>
        </w:rPr>
      </w:pPr>
    </w:p>
    <w:p>
      <w:pPr>
        <w:jc w:val="center"/>
        <w:rPr>
          <w:rFonts w:hint="eastAsia" w:ascii="宋体" w:hAnsi="宋体" w:eastAsia="宋体" w:cs="宋体"/>
          <w:b/>
          <w:bCs/>
          <w:color w:val="auto"/>
          <w:sz w:val="36"/>
          <w:szCs w:val="30"/>
        </w:rPr>
      </w:pPr>
    </w:p>
    <w:p>
      <w:pPr>
        <w:spacing w:line="700" w:lineRule="exact"/>
        <w:ind w:firstLine="2880" w:firstLineChars="900"/>
        <w:rPr>
          <w:rFonts w:hint="eastAsia" w:ascii="宋体" w:hAnsi="宋体" w:eastAsia="宋体" w:cs="宋体"/>
          <w:bCs/>
          <w:color w:val="auto"/>
          <w:sz w:val="32"/>
          <w:szCs w:val="32"/>
        </w:rPr>
      </w:pPr>
    </w:p>
    <w:p>
      <w:pPr>
        <w:pStyle w:val="29"/>
        <w:rPr>
          <w:rFonts w:hint="eastAsia"/>
        </w:rPr>
      </w:pPr>
    </w:p>
    <w:p>
      <w:pPr>
        <w:spacing w:line="700" w:lineRule="exact"/>
        <w:ind w:firstLine="964" w:firstLineChars="300"/>
        <w:rPr>
          <w:rFonts w:hint="default"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rPr>
        <w:t>项目编号：</w:t>
      </w:r>
      <w:r>
        <w:rPr>
          <w:rFonts w:hint="eastAsia" w:ascii="宋体" w:hAnsi="宋体" w:cs="宋体"/>
          <w:b/>
          <w:bCs w:val="0"/>
          <w:color w:val="auto"/>
          <w:sz w:val="32"/>
          <w:szCs w:val="32"/>
          <w:lang w:val="en-US" w:eastAsia="zh-CN"/>
        </w:rPr>
        <w:t>CQHXZX</w:t>
      </w:r>
      <w:r>
        <w:rPr>
          <w:rFonts w:hint="eastAsia" w:ascii="宋体" w:hAnsi="宋体" w:eastAsia="宋体" w:cs="宋体"/>
          <w:b/>
          <w:bCs w:val="0"/>
          <w:color w:val="auto"/>
          <w:sz w:val="32"/>
          <w:szCs w:val="32"/>
        </w:rPr>
        <w:t>-</w:t>
      </w:r>
      <w:r>
        <w:rPr>
          <w:rFonts w:hint="eastAsia" w:ascii="宋体" w:hAnsi="宋体" w:cs="宋体"/>
          <w:b/>
          <w:bCs w:val="0"/>
          <w:color w:val="auto"/>
          <w:sz w:val="32"/>
          <w:szCs w:val="32"/>
          <w:lang w:val="en-US" w:eastAsia="zh-CN"/>
        </w:rPr>
        <w:t>2025-010</w:t>
      </w:r>
    </w:p>
    <w:p>
      <w:pPr>
        <w:ind w:firstLine="964" w:firstLineChars="300"/>
        <w:jc w:val="both"/>
        <w:rPr>
          <w:rFonts w:hint="eastAsia" w:ascii="宋体" w:hAnsi="宋体" w:eastAsia="宋体" w:cs="宋体"/>
          <w:b/>
          <w:bCs w:val="0"/>
          <w:color w:val="auto"/>
          <w:sz w:val="32"/>
        </w:rPr>
      </w:pPr>
      <w:r>
        <w:rPr>
          <w:rFonts w:hint="eastAsia" w:ascii="宋体" w:hAnsi="宋体" w:eastAsia="宋体" w:cs="宋体"/>
          <w:b/>
          <w:bCs w:val="0"/>
          <w:color w:val="auto"/>
          <w:sz w:val="32"/>
          <w:szCs w:val="32"/>
        </w:rPr>
        <w:t>项目名称：</w:t>
      </w:r>
      <w:r>
        <w:rPr>
          <w:rFonts w:hint="eastAsia" w:ascii="宋体" w:hAnsi="宋体" w:eastAsia="宋体" w:cs="宋体"/>
          <w:b/>
          <w:bCs w:val="0"/>
          <w:color w:val="auto"/>
          <w:sz w:val="32"/>
          <w:szCs w:val="32"/>
          <w:lang w:eastAsia="zh-CN"/>
        </w:rPr>
        <w:t>车辆租赁经营业务用新能源汽车采购</w:t>
      </w:r>
    </w:p>
    <w:p>
      <w:pPr>
        <w:jc w:val="center"/>
        <w:rPr>
          <w:rFonts w:hint="eastAsia" w:ascii="宋体" w:hAnsi="宋体" w:eastAsia="宋体" w:cs="宋体"/>
          <w:color w:val="auto"/>
          <w:sz w:val="32"/>
        </w:rPr>
      </w:pPr>
    </w:p>
    <w:p>
      <w:pPr>
        <w:jc w:val="center"/>
        <w:rPr>
          <w:rFonts w:hint="eastAsia" w:ascii="宋体" w:hAnsi="宋体" w:eastAsia="宋体" w:cs="宋体"/>
          <w:color w:val="auto"/>
          <w:sz w:val="32"/>
        </w:rPr>
      </w:pPr>
    </w:p>
    <w:p>
      <w:pPr>
        <w:jc w:val="center"/>
        <w:rPr>
          <w:rFonts w:hint="eastAsia" w:ascii="宋体" w:hAnsi="宋体" w:eastAsia="宋体" w:cs="宋体"/>
          <w:color w:val="auto"/>
          <w:sz w:val="32"/>
        </w:rPr>
      </w:pPr>
    </w:p>
    <w:p>
      <w:pPr>
        <w:spacing w:line="700" w:lineRule="exact"/>
        <w:ind w:firstLine="964" w:firstLineChars="3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rPr>
        <w:t>采   购   人：重庆两江新区保安服务有限责任公司</w:t>
      </w:r>
    </w:p>
    <w:p>
      <w:pPr>
        <w:spacing w:line="700" w:lineRule="exact"/>
        <w:ind w:firstLine="964" w:firstLineChars="30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采购代理机构：</w:t>
      </w:r>
      <w:r>
        <w:rPr>
          <w:rFonts w:hint="eastAsia" w:ascii="宋体" w:hAnsi="宋体" w:eastAsia="宋体" w:cs="宋体"/>
          <w:b/>
          <w:bCs w:val="0"/>
          <w:color w:val="auto"/>
          <w:sz w:val="32"/>
          <w:szCs w:val="32"/>
          <w:lang w:eastAsia="zh-CN"/>
        </w:rPr>
        <w:t>重庆</w:t>
      </w:r>
      <w:r>
        <w:rPr>
          <w:rFonts w:hint="eastAsia" w:ascii="宋体" w:hAnsi="宋体" w:eastAsia="宋体" w:cs="宋体"/>
          <w:b/>
          <w:bCs w:val="0"/>
          <w:color w:val="auto"/>
          <w:sz w:val="32"/>
          <w:szCs w:val="32"/>
          <w:lang w:val="en-US" w:eastAsia="zh-CN"/>
        </w:rPr>
        <w:t>浩讯建设工程咨询</w:t>
      </w:r>
      <w:r>
        <w:rPr>
          <w:rFonts w:hint="eastAsia" w:ascii="宋体" w:hAnsi="宋体" w:eastAsia="宋体" w:cs="宋体"/>
          <w:b/>
          <w:bCs w:val="0"/>
          <w:color w:val="auto"/>
          <w:sz w:val="32"/>
          <w:szCs w:val="32"/>
          <w:lang w:eastAsia="zh-CN"/>
        </w:rPr>
        <w:t>有限公司</w:t>
      </w:r>
      <w:r>
        <w:rPr>
          <w:rFonts w:hint="eastAsia" w:ascii="宋体" w:hAnsi="宋体" w:eastAsia="宋体" w:cs="宋体"/>
          <w:b/>
          <w:bCs w:val="0"/>
          <w:color w:val="auto"/>
          <w:sz w:val="32"/>
          <w:szCs w:val="32"/>
          <w:lang w:val="en-US" w:eastAsia="zh-CN"/>
        </w:rPr>
        <w:t xml:space="preserve">  </w:t>
      </w:r>
    </w:p>
    <w:p>
      <w:pPr>
        <w:bidi w:val="0"/>
        <w:rPr>
          <w:rFonts w:hint="eastAsia"/>
          <w:b/>
          <w:bCs w:val="0"/>
        </w:rPr>
      </w:pPr>
    </w:p>
    <w:p>
      <w:pPr>
        <w:pStyle w:val="29"/>
        <w:ind w:left="0" w:leftChars="0" w:firstLine="0" w:firstLineChars="0"/>
        <w:jc w:val="center"/>
        <w:outlineLvl w:val="9"/>
        <w:rPr>
          <w:rFonts w:hint="eastAsia" w:ascii="宋体" w:hAnsi="宋体" w:eastAsia="宋体" w:cs="宋体"/>
          <w:color w:val="auto"/>
          <w:sz w:val="52"/>
          <w:szCs w:val="52"/>
          <w:lang w:val="en-US" w:eastAsia="zh-CN"/>
        </w:rPr>
      </w:pPr>
      <w:r>
        <w:rPr>
          <w:rFonts w:hint="eastAsia" w:ascii="宋体" w:hAnsi="宋体" w:eastAsia="宋体" w:cs="宋体"/>
          <w:color w:val="auto"/>
          <w:sz w:val="52"/>
          <w:szCs w:val="5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b/>
          <w:bCs/>
          <w:color w:val="000000"/>
          <w:sz w:val="32"/>
          <w:szCs w:val="32"/>
          <w:highlight w:val="none"/>
        </w:rPr>
      </w:pPr>
      <w:bookmarkStart w:id="0" w:name="_Toc20357"/>
      <w:bookmarkStart w:id="1" w:name="_Toc18601"/>
      <w:r>
        <w:rPr>
          <w:rFonts w:hint="eastAsia" w:ascii="宋体" w:hAnsi="宋体" w:eastAsia="宋体" w:cs="宋体"/>
          <w:b/>
          <w:bCs/>
          <w:color w:val="000000"/>
          <w:sz w:val="32"/>
          <w:szCs w:val="32"/>
          <w:highlight w:val="none"/>
        </w:rPr>
        <w:t>二〇二</w:t>
      </w:r>
      <w:r>
        <w:rPr>
          <w:rFonts w:hint="eastAsia" w:ascii="宋体" w:hAnsi="宋体" w:eastAsia="宋体" w:cs="宋体"/>
          <w:b/>
          <w:bCs/>
          <w:color w:val="000000"/>
          <w:sz w:val="32"/>
          <w:szCs w:val="32"/>
          <w:highlight w:val="none"/>
          <w:lang w:val="en-US" w:eastAsia="zh-CN"/>
        </w:rPr>
        <w:t>五</w:t>
      </w:r>
      <w:r>
        <w:rPr>
          <w:rFonts w:hint="eastAsia" w:ascii="宋体" w:hAnsi="宋体" w:eastAsia="宋体" w:cs="宋体"/>
          <w:b/>
          <w:bCs/>
          <w:color w:val="000000"/>
          <w:sz w:val="32"/>
          <w:szCs w:val="32"/>
          <w:highlight w:val="none"/>
        </w:rPr>
        <w:t>年</w:t>
      </w:r>
      <w:r>
        <w:rPr>
          <w:rFonts w:hint="eastAsia" w:ascii="宋体" w:hAnsi="宋体" w:cs="宋体"/>
          <w:b/>
          <w:bCs/>
          <w:color w:val="000000"/>
          <w:sz w:val="32"/>
          <w:szCs w:val="32"/>
          <w:highlight w:val="none"/>
          <w:lang w:val="en-US" w:eastAsia="zh-CN"/>
        </w:rPr>
        <w:t>五</w:t>
      </w:r>
      <w:r>
        <w:rPr>
          <w:rFonts w:hint="eastAsia" w:ascii="宋体" w:hAnsi="宋体" w:eastAsia="宋体" w:cs="宋体"/>
          <w:b/>
          <w:bCs/>
          <w:color w:val="000000"/>
          <w:sz w:val="32"/>
          <w:szCs w:val="32"/>
          <w:highlight w:val="none"/>
        </w:rPr>
        <w:t>月</w:t>
      </w:r>
      <w:bookmarkEnd w:id="0"/>
      <w:bookmarkEnd w:id="1"/>
    </w:p>
    <w:p>
      <w:pPr>
        <w:pStyle w:val="30"/>
        <w:rPr>
          <w:rFonts w:hint="default" w:ascii="宋体" w:hAnsi="宋体" w:eastAsia="宋体" w:cs="宋体"/>
          <w:color w:val="auto"/>
          <w:sz w:val="52"/>
          <w:szCs w:val="52"/>
          <w:lang w:val="en-US" w:eastAsia="zh-CN"/>
        </w:rPr>
        <w:sectPr>
          <w:headerReference r:id="rId3" w:type="default"/>
          <w:footerReference r:id="rId4" w:type="default"/>
          <w:pgSz w:w="11907" w:h="16840"/>
          <w:pgMar w:top="1134" w:right="1191" w:bottom="1134" w:left="1304" w:header="851" w:footer="992" w:gutter="0"/>
          <w:pgNumType w:fmt="decimal" w:start="1"/>
          <w:cols w:space="720" w:num="1"/>
          <w:docGrid w:linePitch="380" w:charSpace="-5735"/>
        </w:sectPr>
      </w:pPr>
    </w:p>
    <w:p>
      <w:pPr>
        <w:pStyle w:val="29"/>
        <w:ind w:left="0" w:leftChars="0" w:firstLine="0" w:firstLineChars="0"/>
        <w:jc w:val="center"/>
        <w:outlineLvl w:val="9"/>
        <w:rPr>
          <w:rFonts w:hint="eastAsia" w:ascii="宋体" w:hAnsi="宋体" w:eastAsia="宋体" w:cs="宋体"/>
          <w:color w:val="auto"/>
          <w:sz w:val="52"/>
          <w:szCs w:val="52"/>
        </w:rPr>
      </w:pPr>
      <w:r>
        <w:rPr>
          <w:rFonts w:hint="eastAsia" w:ascii="宋体" w:hAnsi="宋体" w:eastAsia="宋体" w:cs="宋体"/>
          <w:color w:val="auto"/>
          <w:sz w:val="52"/>
          <w:szCs w:val="52"/>
          <w:lang w:eastAsia="zh-CN"/>
        </w:rPr>
        <w:t>招标</w:t>
      </w:r>
      <w:r>
        <w:rPr>
          <w:rFonts w:hint="eastAsia" w:ascii="宋体" w:hAnsi="宋体" w:eastAsia="宋体" w:cs="宋体"/>
          <w:color w:val="auto"/>
          <w:sz w:val="52"/>
          <w:szCs w:val="52"/>
        </w:rPr>
        <w:t>文件发售登记表</w:t>
      </w:r>
    </w:p>
    <w:tbl>
      <w:tblPr>
        <w:tblStyle w:val="23"/>
        <w:tblW w:w="91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9"/>
        <w:gridCol w:w="1076"/>
        <w:gridCol w:w="36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209" w:type="dxa"/>
            <w:noWrap w:val="0"/>
            <w:vAlign w:val="center"/>
          </w:tcPr>
          <w:p>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采购文件编号</w:t>
            </w:r>
          </w:p>
        </w:tc>
        <w:tc>
          <w:tcPr>
            <w:tcW w:w="6970" w:type="dxa"/>
            <w:gridSpan w:val="3"/>
            <w:noWrap w:val="0"/>
            <w:vAlign w:val="center"/>
          </w:tcPr>
          <w:p>
            <w:pPr>
              <w:spacing w:line="700" w:lineRule="exact"/>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209" w:type="dxa"/>
            <w:noWrap w:val="0"/>
            <w:vAlign w:val="center"/>
          </w:tcPr>
          <w:p>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名称</w:t>
            </w:r>
          </w:p>
        </w:tc>
        <w:tc>
          <w:tcPr>
            <w:tcW w:w="6970" w:type="dxa"/>
            <w:gridSpan w:val="3"/>
            <w:noWrap w:val="0"/>
            <w:vAlign w:val="center"/>
          </w:tcPr>
          <w:p>
            <w:pPr>
              <w:spacing w:line="700" w:lineRule="exact"/>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209" w:type="dxa"/>
            <w:noWrap w:val="0"/>
            <w:vAlign w:val="center"/>
          </w:tcPr>
          <w:p>
            <w:pPr>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供应商</w:t>
            </w:r>
            <w:r>
              <w:rPr>
                <w:rFonts w:hint="eastAsia" w:ascii="宋体" w:hAnsi="宋体" w:eastAsia="宋体" w:cs="宋体"/>
                <w:color w:val="auto"/>
                <w:sz w:val="30"/>
                <w:szCs w:val="30"/>
                <w:highlight w:val="none"/>
              </w:rPr>
              <w:t>名称</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盖公章</w:t>
            </w:r>
            <w:r>
              <w:rPr>
                <w:rFonts w:hint="eastAsia" w:ascii="宋体" w:hAnsi="宋体" w:eastAsia="宋体" w:cs="宋体"/>
                <w:color w:val="auto"/>
                <w:sz w:val="30"/>
                <w:szCs w:val="30"/>
                <w:highlight w:val="none"/>
                <w:lang w:eastAsia="zh-CN"/>
              </w:rPr>
              <w:t>）</w:t>
            </w:r>
          </w:p>
        </w:tc>
        <w:tc>
          <w:tcPr>
            <w:tcW w:w="6970" w:type="dxa"/>
            <w:gridSpan w:val="3"/>
            <w:noWrap w:val="0"/>
            <w:vAlign w:val="bottom"/>
          </w:tcPr>
          <w:p>
            <w:pPr>
              <w:jc w:val="righ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209" w:type="dxa"/>
            <w:noWrap w:val="0"/>
            <w:vAlign w:val="center"/>
          </w:tcPr>
          <w:p>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联系人</w:t>
            </w:r>
          </w:p>
        </w:tc>
        <w:tc>
          <w:tcPr>
            <w:tcW w:w="2209" w:type="dxa"/>
            <w:noWrap w:val="0"/>
            <w:vAlign w:val="center"/>
          </w:tcPr>
          <w:p>
            <w:pPr>
              <w:jc w:val="left"/>
              <w:rPr>
                <w:rFonts w:hint="eastAsia" w:ascii="宋体" w:hAnsi="宋体" w:eastAsia="宋体" w:cs="宋体"/>
                <w:color w:val="auto"/>
                <w:sz w:val="30"/>
                <w:szCs w:val="30"/>
                <w:highlight w:val="none"/>
              </w:rPr>
            </w:pPr>
          </w:p>
        </w:tc>
        <w:tc>
          <w:tcPr>
            <w:tcW w:w="1075" w:type="dxa"/>
            <w:noWrap w:val="0"/>
            <w:vAlign w:val="center"/>
          </w:tcPr>
          <w:p>
            <w:pPr>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手机</w:t>
            </w:r>
          </w:p>
        </w:tc>
        <w:tc>
          <w:tcPr>
            <w:tcW w:w="3686" w:type="dxa"/>
            <w:noWrap w:val="0"/>
            <w:vAlign w:val="center"/>
          </w:tcPr>
          <w:p>
            <w:pPr>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209" w:type="dxa"/>
            <w:noWrap w:val="0"/>
            <w:vAlign w:val="center"/>
          </w:tcPr>
          <w:p>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办公电话</w:t>
            </w:r>
          </w:p>
        </w:tc>
        <w:tc>
          <w:tcPr>
            <w:tcW w:w="2209" w:type="dxa"/>
            <w:noWrap w:val="0"/>
            <w:vAlign w:val="center"/>
          </w:tcPr>
          <w:p>
            <w:pPr>
              <w:jc w:val="left"/>
              <w:rPr>
                <w:rFonts w:hint="eastAsia" w:ascii="宋体" w:hAnsi="宋体" w:eastAsia="宋体" w:cs="宋体"/>
                <w:color w:val="auto"/>
                <w:sz w:val="30"/>
                <w:szCs w:val="30"/>
                <w:highlight w:val="none"/>
              </w:rPr>
            </w:pPr>
          </w:p>
        </w:tc>
        <w:tc>
          <w:tcPr>
            <w:tcW w:w="1075" w:type="dxa"/>
            <w:noWrap w:val="0"/>
            <w:vAlign w:val="center"/>
          </w:tcPr>
          <w:p>
            <w:pPr>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传真</w:t>
            </w:r>
          </w:p>
        </w:tc>
        <w:tc>
          <w:tcPr>
            <w:tcW w:w="3686" w:type="dxa"/>
            <w:noWrap w:val="0"/>
            <w:vAlign w:val="center"/>
          </w:tcPr>
          <w:p>
            <w:pPr>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209" w:type="dxa"/>
            <w:noWrap w:val="0"/>
            <w:vAlign w:val="center"/>
          </w:tcPr>
          <w:p>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E-mail</w:t>
            </w:r>
          </w:p>
        </w:tc>
        <w:tc>
          <w:tcPr>
            <w:tcW w:w="2208" w:type="dxa"/>
            <w:noWrap w:val="0"/>
            <w:vAlign w:val="center"/>
          </w:tcPr>
          <w:p>
            <w:pPr>
              <w:jc w:val="left"/>
              <w:rPr>
                <w:rFonts w:hint="eastAsia" w:ascii="宋体" w:hAnsi="宋体" w:eastAsia="宋体" w:cs="宋体"/>
                <w:color w:val="auto"/>
                <w:sz w:val="30"/>
                <w:szCs w:val="30"/>
                <w:highlight w:val="none"/>
              </w:rPr>
            </w:pPr>
          </w:p>
        </w:tc>
        <w:tc>
          <w:tcPr>
            <w:tcW w:w="1076" w:type="dxa"/>
            <w:noWrap w:val="0"/>
            <w:vAlign w:val="center"/>
          </w:tcPr>
          <w:p>
            <w:pPr>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登记日期</w:t>
            </w:r>
          </w:p>
        </w:tc>
        <w:tc>
          <w:tcPr>
            <w:tcW w:w="3686" w:type="dxa"/>
            <w:noWrap w:val="0"/>
            <w:vAlign w:val="center"/>
          </w:tcPr>
          <w:p>
            <w:pPr>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209" w:type="dxa"/>
            <w:noWrap w:val="0"/>
            <w:vAlign w:val="center"/>
          </w:tcPr>
          <w:p>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单位地址</w:t>
            </w:r>
          </w:p>
        </w:tc>
        <w:tc>
          <w:tcPr>
            <w:tcW w:w="6970" w:type="dxa"/>
            <w:gridSpan w:val="3"/>
            <w:noWrap w:val="0"/>
            <w:vAlign w:val="center"/>
          </w:tcPr>
          <w:p>
            <w:pPr>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9179" w:type="dxa"/>
            <w:gridSpan w:val="4"/>
            <w:noWrap w:val="0"/>
            <w:vAlign w:val="center"/>
          </w:tcPr>
          <w:p>
            <w:pPr>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备注:</w:t>
            </w:r>
          </w:p>
        </w:tc>
      </w:tr>
    </w:tbl>
    <w:p>
      <w:pPr>
        <w:pStyle w:val="18"/>
        <w:keepNext w:val="0"/>
        <w:keepLines w:val="0"/>
        <w:pageBreakBefore w:val="0"/>
        <w:tabs>
          <w:tab w:val="right" w:leader="dot" w:pos="9412"/>
          <w:tab w:val="clear" w:pos="8400"/>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000000"/>
          <w:sz w:val="24"/>
          <w:szCs w:val="24"/>
          <w:highlight w:val="none"/>
        </w:rPr>
        <w:sectPr>
          <w:headerReference r:id="rId5" w:type="default"/>
          <w:pgSz w:w="11907" w:h="16840"/>
          <w:pgMar w:top="1134" w:right="1191" w:bottom="1134" w:left="1304" w:header="851" w:footer="992" w:gutter="0"/>
          <w:pgNumType w:fmt="decimal" w:start="1"/>
          <w:cols w:space="720" w:num="1"/>
          <w:docGrid w:linePitch="380" w:charSpace="-5735"/>
        </w:sect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TOC \o "1-3" \h \z </w:instrText>
      </w:r>
      <w:r>
        <w:rPr>
          <w:rFonts w:hint="eastAsia" w:ascii="宋体" w:hAnsi="宋体" w:eastAsia="宋体" w:cs="宋体"/>
          <w:color w:val="000000"/>
          <w:sz w:val="24"/>
          <w:szCs w:val="24"/>
          <w:highlight w:val="none"/>
        </w:rPr>
        <w:fldChar w:fldCharType="separate"/>
      </w:r>
    </w:p>
    <w:p>
      <w:pPr>
        <w:bidi w:val="0"/>
        <w:rPr>
          <w:rFonts w:hint="eastAsia"/>
        </w:rPr>
      </w:pPr>
      <w:r>
        <w:rPr>
          <w:rFonts w:hint="eastAsia" w:ascii="宋体" w:hAnsi="宋体" w:eastAsia="宋体" w:cs="宋体"/>
          <w:color w:val="000000"/>
          <w:sz w:val="24"/>
          <w:szCs w:val="24"/>
          <w:highlight w:val="none"/>
        </w:rPr>
        <w:fldChar w:fldCharType="end"/>
      </w:r>
    </w:p>
    <w:sdt>
      <w:sdtPr>
        <w:rPr>
          <w:rFonts w:ascii="宋体" w:hAnsi="宋体" w:eastAsia="宋体" w:cs="Times New Roman"/>
          <w:kern w:val="2"/>
          <w:sz w:val="72"/>
          <w:szCs w:val="72"/>
          <w:lang w:val="en-US" w:eastAsia="zh-CN" w:bidi="ar-SA"/>
        </w:rPr>
        <w:id w:val="147471283"/>
        <w15:color w:val="DBDBDB"/>
        <w:docPartObj>
          <w:docPartGallery w:val="Table of Contents"/>
          <w:docPartUnique/>
        </w:docPartObj>
      </w:sdtPr>
      <w:sdtEndPr>
        <w:rPr>
          <w:rFonts w:hint="eastAsia" w:ascii="宋体" w:hAnsi="宋体" w:eastAsia="宋体" w:cs="宋体"/>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sz w:val="72"/>
              <w:szCs w:val="72"/>
            </w:rPr>
          </w:pPr>
          <w:r>
            <w:rPr>
              <w:rFonts w:ascii="宋体" w:hAnsi="宋体" w:eastAsia="宋体"/>
              <w:sz w:val="72"/>
              <w:szCs w:val="72"/>
            </w:rPr>
            <w:t>目录</w:t>
          </w:r>
        </w:p>
        <w:p>
          <w:pPr>
            <w:pStyle w:val="45"/>
            <w:tabs>
              <w:tab w:val="right" w:leader="dot" w:pos="9412"/>
            </w:tabs>
            <w:rPr>
              <w:rFonts w:hint="eastAsia" w:ascii="宋体" w:hAnsi="宋体" w:eastAsia="宋体" w:cs="宋体"/>
              <w:sz w:val="28"/>
              <w:szCs w:val="28"/>
            </w:rPr>
          </w:pPr>
          <w:r>
            <w:rPr>
              <w:rFonts w:hint="eastAsia" w:ascii="宋体" w:hAnsi="宋体" w:eastAsia="宋体" w:cs="宋体"/>
              <w:b/>
              <w:kern w:val="2"/>
              <w:sz w:val="28"/>
              <w:szCs w:val="28"/>
              <w:lang w:val="en-US" w:eastAsia="zh-CN" w:bidi="ar-SA"/>
            </w:rPr>
            <w:fldChar w:fldCharType="begin"/>
          </w:r>
          <w:r>
            <w:rPr>
              <w:rFonts w:hint="eastAsia" w:ascii="宋体" w:hAnsi="宋体" w:eastAsia="宋体" w:cs="宋体"/>
              <w:b/>
              <w:kern w:val="2"/>
              <w:sz w:val="28"/>
              <w:szCs w:val="28"/>
              <w:lang w:val="en-US" w:eastAsia="zh-CN" w:bidi="ar-SA"/>
            </w:rPr>
            <w:instrText xml:space="preserve">TOC \o "1-1" \h \u </w:instrText>
          </w:r>
          <w:r>
            <w:rPr>
              <w:rFonts w:hint="eastAsia" w:ascii="宋体" w:hAnsi="宋体" w:eastAsia="宋体" w:cs="宋体"/>
              <w:b/>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_Toc9572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 xml:space="preserve">第一篇 </w:t>
          </w:r>
          <w:r>
            <w:rPr>
              <w:rFonts w:hint="eastAsia" w:ascii="宋体" w:hAnsi="宋体" w:cs="宋体"/>
              <w:sz w:val="28"/>
              <w:szCs w:val="28"/>
              <w:lang w:val="en-US" w:eastAsia="zh-CN"/>
            </w:rPr>
            <w:t>投标邀请书</w:t>
          </w:r>
          <w:r>
            <w:rPr>
              <w:rFonts w:hint="eastAsia" w:ascii="宋体" w:hAnsi="宋体" w:eastAsia="宋体" w:cs="宋体"/>
              <w:sz w:val="28"/>
              <w:szCs w:val="28"/>
            </w:rPr>
            <w:tab/>
          </w:r>
          <w:r>
            <w:rPr>
              <w:rFonts w:hint="eastAsia" w:ascii="宋体" w:hAnsi="宋体" w:eastAsia="宋体" w:cs="宋体"/>
              <w:sz w:val="28"/>
              <w:szCs w:val="28"/>
              <w:lang w:val="en-US" w:eastAsia="zh-CN"/>
            </w:rPr>
            <w:t>1</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_Toc18134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一、</w:t>
          </w:r>
          <w:r>
            <w:rPr>
              <w:rFonts w:hint="eastAsia" w:ascii="宋体" w:hAnsi="宋体" w:cs="宋体"/>
              <w:kern w:val="2"/>
              <w:sz w:val="28"/>
              <w:szCs w:val="28"/>
              <w:lang w:val="en-US" w:eastAsia="zh-CN" w:bidi="ar-SA"/>
            </w:rPr>
            <w:t>招标</w:t>
          </w:r>
          <w:r>
            <w:rPr>
              <w:rFonts w:hint="eastAsia" w:ascii="宋体" w:hAnsi="宋体" w:eastAsia="宋体" w:cs="宋体"/>
              <w:kern w:val="2"/>
              <w:sz w:val="28"/>
              <w:szCs w:val="28"/>
              <w:lang w:val="en-US" w:eastAsia="zh-CN" w:bidi="ar-SA"/>
            </w:rPr>
            <w:t>项目内容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_Toc18134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_Toc6193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二、资金来源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_Toc6193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_Toc25213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三、</w:t>
          </w:r>
          <w:r>
            <w:rPr>
              <w:rFonts w:hint="eastAsia" w:ascii="宋体" w:hAnsi="宋体" w:cs="宋体"/>
              <w:kern w:val="2"/>
              <w:sz w:val="28"/>
              <w:szCs w:val="28"/>
              <w:lang w:val="en-US" w:eastAsia="zh-CN" w:bidi="ar-SA"/>
            </w:rPr>
            <w:t>投标</w:t>
          </w:r>
          <w:r>
            <w:rPr>
              <w:rFonts w:hint="eastAsia" w:ascii="宋体" w:hAnsi="宋体" w:eastAsia="宋体" w:cs="宋体"/>
              <w:kern w:val="2"/>
              <w:sz w:val="28"/>
              <w:szCs w:val="28"/>
              <w:lang w:val="en-US" w:eastAsia="zh-CN" w:bidi="ar-SA"/>
            </w:rPr>
            <w:t>人资格要求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_Toc25213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_Toc27186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四、投标</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开标有关说明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_Toc27186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_Toc31286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五、</w:t>
          </w:r>
          <w:r>
            <w:rPr>
              <w:rFonts w:hint="eastAsia" w:ascii="宋体" w:hAnsi="宋体" w:cs="宋体"/>
              <w:kern w:val="2"/>
              <w:sz w:val="28"/>
              <w:szCs w:val="28"/>
              <w:lang w:val="en-US" w:eastAsia="zh-CN" w:bidi="ar-SA"/>
            </w:rPr>
            <w:t>投标</w:t>
          </w:r>
          <w:r>
            <w:rPr>
              <w:rFonts w:hint="eastAsia" w:ascii="宋体" w:hAnsi="宋体" w:eastAsia="宋体" w:cs="宋体"/>
              <w:kern w:val="2"/>
              <w:sz w:val="28"/>
              <w:szCs w:val="28"/>
              <w:lang w:val="en-US" w:eastAsia="zh-CN" w:bidi="ar-SA"/>
            </w:rPr>
            <w:t>保证金</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_Toc1010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六、采购项目需落实的政府采购政策</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_Toc27602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七</w:t>
          </w:r>
          <w:r>
            <w:rPr>
              <w:rFonts w:hint="eastAsia" w:ascii="宋体" w:hAnsi="宋体" w:cs="宋体"/>
              <w:kern w:val="2"/>
              <w:sz w:val="28"/>
              <w:szCs w:val="28"/>
              <w:lang w:val="en-US" w:eastAsia="zh-CN" w:bidi="ar-SA"/>
            </w:rPr>
            <w:t>、投标</w:t>
          </w:r>
          <w:r>
            <w:rPr>
              <w:rFonts w:hint="eastAsia" w:ascii="宋体" w:hAnsi="宋体" w:eastAsia="宋体" w:cs="宋体"/>
              <w:kern w:val="2"/>
              <w:sz w:val="28"/>
              <w:szCs w:val="28"/>
              <w:lang w:val="en-US" w:eastAsia="zh-CN" w:bidi="ar-SA"/>
            </w:rPr>
            <w:t>有关规定</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_Toc19882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八、联系方式</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kern w:val="2"/>
              <w:sz w:val="28"/>
              <w:szCs w:val="28"/>
              <w:lang w:val="en-US" w:eastAsia="zh-CN" w:bidi="ar-SA"/>
            </w:rPr>
            <w:fldChar w:fldCharType="end"/>
          </w:r>
        </w:p>
        <w:p>
          <w:pPr>
            <w:pStyle w:val="45"/>
            <w:tabs>
              <w:tab w:val="right" w:leader="dot" w:pos="9412"/>
            </w:tabs>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_Toc8615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第二篇 项目服务需求</w:t>
          </w:r>
          <w:r>
            <w:rPr>
              <w:rFonts w:hint="eastAsia" w:ascii="宋体" w:hAnsi="宋体" w:eastAsia="宋体" w:cs="宋体"/>
              <w:sz w:val="28"/>
              <w:szCs w:val="28"/>
            </w:rPr>
            <w:tab/>
          </w:r>
          <w:r>
            <w:rPr>
              <w:rFonts w:hint="eastAsia" w:ascii="宋体" w:hAnsi="宋体" w:eastAsia="宋体" w:cs="宋体"/>
              <w:sz w:val="28"/>
              <w:szCs w:val="28"/>
              <w:lang w:val="en-US" w:eastAsia="zh-CN"/>
            </w:rPr>
            <w:t>4</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_Toc10062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一、采购参数</w:t>
          </w:r>
          <w:r>
            <w:rPr>
              <w:rFonts w:hint="eastAsia" w:ascii="宋体" w:hAnsi="宋体" w:eastAsia="宋体" w:cs="宋体"/>
              <w:sz w:val="28"/>
              <w:szCs w:val="28"/>
            </w:rPr>
            <w:tab/>
          </w:r>
          <w:r>
            <w:rPr>
              <w:rFonts w:hint="eastAsia" w:ascii="宋体" w:hAnsi="宋体" w:eastAsia="宋体" w:cs="宋体"/>
              <w:sz w:val="28"/>
              <w:szCs w:val="28"/>
              <w:lang w:val="en-US" w:eastAsia="zh-CN"/>
            </w:rPr>
            <w:t>4</w:t>
          </w:r>
          <w:r>
            <w:rPr>
              <w:rFonts w:hint="eastAsia" w:ascii="宋体" w:hAnsi="宋体" w:eastAsia="宋体" w:cs="宋体"/>
              <w:kern w:val="2"/>
              <w:sz w:val="28"/>
              <w:szCs w:val="28"/>
              <w:lang w:val="en-US" w:eastAsia="zh-CN" w:bidi="ar-SA"/>
            </w:rPr>
            <w:fldChar w:fldCharType="end"/>
          </w:r>
        </w:p>
        <w:p>
          <w:pPr>
            <w:pStyle w:val="45"/>
            <w:tabs>
              <w:tab w:val="right" w:leader="dot" w:pos="9412"/>
            </w:tabs>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_Toc1774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lang w:val="en-US" w:eastAsia="zh-CN"/>
            </w:rPr>
            <w:t>第三篇  项目商务需求</w:t>
          </w:r>
          <w:r>
            <w:rPr>
              <w:rFonts w:hint="eastAsia" w:ascii="宋体" w:hAnsi="宋体" w:eastAsia="宋体" w:cs="宋体"/>
              <w:sz w:val="28"/>
              <w:szCs w:val="28"/>
            </w:rPr>
            <w:tab/>
          </w:r>
          <w:r>
            <w:rPr>
              <w:rFonts w:hint="eastAsia" w:ascii="宋体" w:hAnsi="宋体" w:eastAsia="宋体" w:cs="宋体"/>
              <w:sz w:val="28"/>
              <w:szCs w:val="28"/>
              <w:lang w:val="en-US" w:eastAsia="zh-CN"/>
            </w:rPr>
            <w:t>5</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_Toc30211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一、实施（交货）时间、延期交货的处罚</w:t>
          </w:r>
          <w:r>
            <w:rPr>
              <w:rFonts w:hint="eastAsia" w:ascii="宋体" w:hAnsi="宋体" w:eastAsia="宋体" w:cs="宋体"/>
              <w:sz w:val="28"/>
              <w:szCs w:val="28"/>
            </w:rPr>
            <w:tab/>
          </w:r>
          <w:r>
            <w:rPr>
              <w:rFonts w:hint="eastAsia" w:ascii="宋体" w:hAnsi="宋体" w:eastAsia="宋体" w:cs="宋体"/>
              <w:sz w:val="28"/>
              <w:szCs w:val="28"/>
              <w:lang w:val="en-US" w:eastAsia="zh-CN"/>
            </w:rPr>
            <w:t>5</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_Toc8154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二、报价要求及结算</w:t>
          </w:r>
          <w:r>
            <w:rPr>
              <w:rFonts w:hint="eastAsia" w:ascii="宋体" w:hAnsi="宋体" w:eastAsia="宋体" w:cs="宋体"/>
              <w:sz w:val="28"/>
              <w:szCs w:val="28"/>
            </w:rPr>
            <w:tab/>
          </w:r>
          <w:r>
            <w:rPr>
              <w:rFonts w:hint="eastAsia" w:ascii="宋体" w:hAnsi="宋体" w:eastAsia="宋体" w:cs="宋体"/>
              <w:sz w:val="28"/>
              <w:szCs w:val="28"/>
              <w:lang w:val="en-US" w:eastAsia="zh-CN"/>
            </w:rPr>
            <w:t>5</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_Toc6724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三、质量保证及售后服务</w:t>
          </w:r>
          <w:r>
            <w:rPr>
              <w:rFonts w:hint="eastAsia" w:ascii="宋体" w:hAnsi="宋体" w:eastAsia="宋体" w:cs="宋体"/>
              <w:sz w:val="28"/>
              <w:szCs w:val="28"/>
            </w:rPr>
            <w:tab/>
          </w:r>
          <w:r>
            <w:rPr>
              <w:rFonts w:hint="eastAsia" w:ascii="宋体" w:hAnsi="宋体" w:eastAsia="宋体" w:cs="宋体"/>
              <w:sz w:val="28"/>
              <w:szCs w:val="28"/>
              <w:lang w:val="en-US" w:eastAsia="zh-CN"/>
            </w:rPr>
            <w:t>5</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_Toc27560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四、付款方式</w:t>
          </w:r>
          <w:r>
            <w:rPr>
              <w:rFonts w:hint="eastAsia" w:ascii="宋体" w:hAnsi="宋体" w:eastAsia="宋体" w:cs="宋体"/>
              <w:sz w:val="28"/>
              <w:szCs w:val="28"/>
            </w:rPr>
            <w:tab/>
          </w:r>
          <w:r>
            <w:rPr>
              <w:rFonts w:hint="eastAsia" w:ascii="宋体" w:hAnsi="宋体" w:eastAsia="宋体" w:cs="宋体"/>
              <w:sz w:val="28"/>
              <w:szCs w:val="28"/>
              <w:lang w:val="en-US" w:eastAsia="zh-CN"/>
            </w:rPr>
            <w:t>5</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_Toc31814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五、知识产权</w:t>
          </w:r>
          <w:r>
            <w:rPr>
              <w:rFonts w:hint="eastAsia" w:ascii="宋体" w:hAnsi="宋体" w:eastAsia="宋体" w:cs="宋体"/>
              <w:sz w:val="28"/>
              <w:szCs w:val="28"/>
            </w:rPr>
            <w:tab/>
          </w:r>
          <w:r>
            <w:rPr>
              <w:rFonts w:hint="eastAsia" w:ascii="宋体" w:hAnsi="宋体" w:eastAsia="宋体" w:cs="宋体"/>
              <w:sz w:val="28"/>
              <w:szCs w:val="28"/>
              <w:lang w:val="en-US" w:eastAsia="zh-CN"/>
            </w:rPr>
            <w:t>6</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_Toc10236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六、其他</w:t>
          </w:r>
          <w:r>
            <w:rPr>
              <w:rFonts w:hint="eastAsia" w:ascii="宋体" w:hAnsi="宋体" w:eastAsia="宋体" w:cs="宋体"/>
              <w:sz w:val="28"/>
              <w:szCs w:val="28"/>
            </w:rPr>
            <w:tab/>
          </w:r>
          <w:r>
            <w:rPr>
              <w:rFonts w:hint="eastAsia" w:ascii="宋体" w:hAnsi="宋体" w:eastAsia="宋体" w:cs="宋体"/>
              <w:sz w:val="28"/>
              <w:szCs w:val="28"/>
              <w:lang w:val="en-US" w:eastAsia="zh-CN"/>
            </w:rPr>
            <w:t>6</w:t>
          </w:r>
          <w:r>
            <w:rPr>
              <w:rFonts w:hint="eastAsia" w:ascii="宋体" w:hAnsi="宋体" w:eastAsia="宋体" w:cs="宋体"/>
              <w:kern w:val="2"/>
              <w:sz w:val="28"/>
              <w:szCs w:val="28"/>
              <w:lang w:val="en-US" w:eastAsia="zh-CN" w:bidi="ar-SA"/>
            </w:rPr>
            <w:fldChar w:fldCharType="end"/>
          </w:r>
        </w:p>
        <w:p>
          <w:pPr>
            <w:pStyle w:val="45"/>
            <w:tabs>
              <w:tab w:val="right" w:leader="dot" w:pos="9412"/>
            </w:tabs>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_Toc2136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lang w:val="en-US" w:eastAsia="zh-CN"/>
            </w:rPr>
            <w:t>第四篇  资格审查及评标办法</w:t>
          </w:r>
          <w:r>
            <w:rPr>
              <w:rFonts w:hint="eastAsia" w:ascii="宋体" w:hAnsi="宋体" w:eastAsia="宋体" w:cs="宋体"/>
              <w:sz w:val="28"/>
              <w:szCs w:val="28"/>
            </w:rPr>
            <w:tab/>
          </w:r>
          <w:r>
            <w:rPr>
              <w:rFonts w:hint="eastAsia" w:ascii="宋体" w:hAnsi="宋体" w:eastAsia="宋体" w:cs="宋体"/>
              <w:sz w:val="28"/>
              <w:szCs w:val="28"/>
              <w:lang w:val="en-US" w:eastAsia="zh-CN"/>
            </w:rPr>
            <w:t>7</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_Toc2110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一、资格审查及符合性审查</w:t>
          </w:r>
          <w:r>
            <w:rPr>
              <w:rFonts w:hint="eastAsia" w:ascii="宋体" w:hAnsi="宋体" w:eastAsia="宋体" w:cs="宋体"/>
              <w:sz w:val="28"/>
              <w:szCs w:val="28"/>
            </w:rPr>
            <w:tab/>
          </w:r>
          <w:r>
            <w:rPr>
              <w:rFonts w:hint="eastAsia" w:ascii="宋体" w:hAnsi="宋体" w:eastAsia="宋体" w:cs="宋体"/>
              <w:sz w:val="28"/>
              <w:szCs w:val="28"/>
              <w:lang w:val="en-US" w:eastAsia="zh-CN"/>
            </w:rPr>
            <w:t>7</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_Toc843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二、评标方法</w:t>
          </w:r>
          <w:r>
            <w:rPr>
              <w:rFonts w:hint="eastAsia" w:ascii="宋体" w:hAnsi="宋体" w:eastAsia="宋体" w:cs="宋体"/>
              <w:sz w:val="28"/>
              <w:szCs w:val="28"/>
            </w:rPr>
            <w:tab/>
          </w:r>
          <w:r>
            <w:rPr>
              <w:rFonts w:hint="eastAsia" w:ascii="宋体" w:hAnsi="宋体" w:eastAsia="宋体" w:cs="宋体"/>
              <w:sz w:val="28"/>
              <w:szCs w:val="28"/>
              <w:lang w:val="en-US" w:eastAsia="zh-CN"/>
            </w:rPr>
            <w:t>8</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_Toc18652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三、评标标准</w:t>
          </w:r>
          <w:r>
            <w:rPr>
              <w:rFonts w:hint="eastAsia" w:ascii="宋体" w:hAnsi="宋体" w:eastAsia="宋体" w:cs="宋体"/>
              <w:sz w:val="28"/>
              <w:szCs w:val="28"/>
            </w:rPr>
            <w:tab/>
          </w:r>
          <w:r>
            <w:rPr>
              <w:rFonts w:hint="eastAsia" w:ascii="宋体" w:hAnsi="宋体" w:eastAsia="宋体" w:cs="宋体"/>
              <w:sz w:val="28"/>
              <w:szCs w:val="28"/>
              <w:lang w:val="en-US" w:eastAsia="zh-CN"/>
            </w:rPr>
            <w:t>9</w:t>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_Toc7982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四、无效</w:t>
          </w:r>
          <w:r>
            <w:rPr>
              <w:rFonts w:hint="eastAsia" w:ascii="宋体" w:hAnsi="宋体" w:cs="宋体"/>
              <w:sz w:val="28"/>
              <w:szCs w:val="28"/>
              <w:lang w:val="en-US" w:eastAsia="zh-CN"/>
            </w:rPr>
            <w:t>投</w:t>
          </w:r>
          <w:r>
            <w:rPr>
              <w:rFonts w:hint="eastAsia" w:ascii="宋体" w:hAnsi="宋体" w:cs="宋体"/>
              <w:sz w:val="28"/>
              <w:szCs w:val="28"/>
              <w:lang w:eastAsia="zh-CN"/>
            </w:rPr>
            <w:t>标</w:t>
          </w:r>
          <w:r>
            <w:rPr>
              <w:rFonts w:hint="eastAsia" w:ascii="宋体" w:hAnsi="宋体" w:eastAsia="宋体" w:cs="宋体"/>
              <w:sz w:val="28"/>
              <w:szCs w:val="28"/>
            </w:rPr>
            <w:t>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_Toc7982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_Toc1433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五、废标条款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_Toc15076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 xml:space="preserve">第五篇  </w:t>
          </w:r>
          <w:r>
            <w:rPr>
              <w:rFonts w:hint="eastAsia" w:ascii="宋体" w:hAnsi="宋体" w:cs="宋体"/>
              <w:sz w:val="28"/>
              <w:szCs w:val="28"/>
              <w:lang w:val="en-US" w:eastAsia="zh-CN"/>
            </w:rPr>
            <w:t>投</w:t>
          </w:r>
          <w:r>
            <w:rPr>
              <w:rFonts w:hint="eastAsia" w:ascii="宋体" w:hAnsi="宋体" w:cs="宋体"/>
              <w:sz w:val="28"/>
              <w:szCs w:val="28"/>
              <w:lang w:eastAsia="zh-CN"/>
            </w:rPr>
            <w:t>标</w:t>
          </w:r>
          <w:r>
            <w:rPr>
              <w:rFonts w:hint="eastAsia" w:ascii="宋体" w:hAnsi="宋体" w:eastAsia="宋体" w:cs="宋体"/>
              <w:sz w:val="28"/>
              <w:szCs w:val="28"/>
            </w:rPr>
            <w:t>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_Toc15076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_Toc13135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一、</w:t>
          </w:r>
          <w:r>
            <w:rPr>
              <w:rFonts w:hint="eastAsia" w:ascii="宋体" w:hAnsi="宋体" w:cs="宋体"/>
              <w:sz w:val="28"/>
              <w:szCs w:val="28"/>
              <w:lang w:val="en-US" w:eastAsia="zh-CN"/>
            </w:rPr>
            <w:t>投</w:t>
          </w:r>
          <w:r>
            <w:rPr>
              <w:rFonts w:hint="eastAsia" w:ascii="宋体" w:hAnsi="宋体" w:cs="宋体"/>
              <w:sz w:val="28"/>
              <w:szCs w:val="28"/>
              <w:lang w:eastAsia="zh-CN"/>
            </w:rPr>
            <w:t>标</w:t>
          </w:r>
          <w:r>
            <w:rPr>
              <w:rFonts w:hint="eastAsia" w:ascii="宋体" w:hAnsi="宋体" w:eastAsia="宋体" w:cs="宋体"/>
              <w:sz w:val="28"/>
              <w:szCs w:val="28"/>
            </w:rPr>
            <w:t>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_Toc13135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_Toc19287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二、</w:t>
          </w:r>
          <w:r>
            <w:rPr>
              <w:rFonts w:hint="eastAsia" w:ascii="宋体" w:hAnsi="宋体" w:cs="宋体"/>
              <w:sz w:val="28"/>
              <w:szCs w:val="28"/>
              <w:lang w:val="en-US" w:eastAsia="zh-CN"/>
            </w:rPr>
            <w:t>招</w:t>
          </w:r>
          <w:r>
            <w:rPr>
              <w:rFonts w:hint="eastAsia" w:ascii="宋体" w:hAnsi="宋体" w:cs="宋体"/>
              <w:sz w:val="28"/>
              <w:szCs w:val="28"/>
              <w:lang w:eastAsia="zh-CN"/>
            </w:rPr>
            <w:t>标</w:t>
          </w:r>
          <w:r>
            <w:rPr>
              <w:rFonts w:hint="eastAsia" w:ascii="宋体" w:hAnsi="宋体" w:eastAsia="宋体" w:cs="宋体"/>
              <w:sz w:val="28"/>
              <w:szCs w:val="28"/>
            </w:rPr>
            <w:t>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_Toc19287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_Toc24786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三、</w:t>
          </w:r>
          <w:r>
            <w:rPr>
              <w:rFonts w:hint="eastAsia" w:ascii="宋体" w:hAnsi="宋体" w:cs="宋体"/>
              <w:sz w:val="28"/>
              <w:szCs w:val="28"/>
              <w:lang w:val="en-US" w:eastAsia="zh-CN"/>
            </w:rPr>
            <w:t>投</w:t>
          </w:r>
          <w:r>
            <w:rPr>
              <w:rFonts w:hint="eastAsia" w:ascii="宋体" w:hAnsi="宋体" w:cs="宋体"/>
              <w:sz w:val="28"/>
              <w:szCs w:val="28"/>
              <w:lang w:eastAsia="zh-CN"/>
            </w:rPr>
            <w:t>标</w:t>
          </w:r>
          <w:r>
            <w:rPr>
              <w:rFonts w:hint="eastAsia" w:ascii="宋体" w:hAnsi="宋体" w:eastAsia="宋体" w:cs="宋体"/>
              <w:sz w:val="28"/>
              <w:szCs w:val="28"/>
            </w:rPr>
            <w:t>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_Toc24786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_Toc9048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四、开标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_Toc9048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_Toc16340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五、评标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_Toc16340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_Toc14187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六、定标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_Toc14187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_Toc15862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七、中标通知书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_Toc15862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_Toc9491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八、询问、质疑和投诉</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_Toc9491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_Toc30580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九、采购代理服务费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_Toc30580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_Toc16728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十、签订合同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_Toc16728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_Toc22534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第六篇  合同主要条款和格式合同（样本）</w:t>
          </w:r>
          <w:r>
            <w:rPr>
              <w:rFonts w:hint="eastAsia" w:ascii="宋体" w:hAnsi="宋体" w:eastAsia="宋体" w:cs="宋体"/>
              <w:sz w:val="28"/>
              <w:szCs w:val="28"/>
            </w:rPr>
            <w:tab/>
          </w:r>
          <w:r>
            <w:rPr>
              <w:rFonts w:hint="eastAsia" w:ascii="宋体" w:hAnsi="宋体" w:eastAsia="宋体" w:cs="宋体"/>
              <w:sz w:val="28"/>
              <w:szCs w:val="28"/>
              <w:lang w:val="en-US" w:eastAsia="zh-CN"/>
            </w:rPr>
            <w:t>1</w:t>
          </w:r>
          <w:r>
            <w:rPr>
              <w:rFonts w:hint="eastAsia" w:ascii="宋体" w:hAnsi="宋体" w:eastAsia="宋体" w:cs="宋体"/>
              <w:kern w:val="2"/>
              <w:sz w:val="28"/>
              <w:szCs w:val="28"/>
              <w:lang w:val="en-US" w:eastAsia="zh-CN" w:bidi="ar-SA"/>
            </w:rPr>
            <w:fldChar w:fldCharType="end"/>
          </w:r>
          <w:r>
            <w:rPr>
              <w:rFonts w:hint="eastAsia" w:ascii="宋体" w:hAnsi="宋体" w:cs="宋体"/>
              <w:kern w:val="2"/>
              <w:sz w:val="28"/>
              <w:szCs w:val="28"/>
              <w:lang w:val="en-US" w:eastAsia="zh-CN" w:bidi="ar-SA"/>
            </w:rPr>
            <w:t>8</w:t>
          </w:r>
        </w:p>
        <w:p>
          <w:pPr>
            <w:pStyle w:val="45"/>
            <w:tabs>
              <w:tab w:val="right" w:leader="dot" w:pos="9412"/>
            </w:tabs>
            <w:ind w:firstLine="560" w:firstLineChars="200"/>
            <w:rPr>
              <w:rFonts w:hint="default" w:ascii="宋体" w:hAnsi="宋体" w:eastAsia="宋体" w:cs="宋体"/>
              <w:sz w:val="28"/>
              <w:szCs w:val="28"/>
              <w:lang w:val="en-US"/>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_Toc20635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一、合同主要条款</w:t>
          </w:r>
          <w:r>
            <w:rPr>
              <w:rFonts w:hint="eastAsia" w:ascii="宋体" w:hAnsi="宋体" w:eastAsia="宋体" w:cs="宋体"/>
              <w:sz w:val="28"/>
              <w:szCs w:val="28"/>
            </w:rPr>
            <w:tab/>
          </w:r>
          <w:r>
            <w:rPr>
              <w:rFonts w:hint="eastAsia" w:ascii="宋体" w:hAnsi="宋体" w:eastAsia="宋体" w:cs="宋体"/>
              <w:sz w:val="28"/>
              <w:szCs w:val="28"/>
              <w:lang w:val="en-US" w:eastAsia="zh-CN"/>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9</w:t>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_Toc9196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二、采购合同（格式）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_Toc9196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lang w:val="en-US" w:eastAsia="zh-CN"/>
            </w:rPr>
            <w:t>0</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_Toc23033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 xml:space="preserve">第七篇  </w:t>
          </w:r>
          <w:r>
            <w:rPr>
              <w:rFonts w:hint="eastAsia" w:ascii="宋体" w:hAnsi="宋体" w:cs="宋体"/>
              <w:sz w:val="28"/>
              <w:szCs w:val="28"/>
              <w:lang w:val="en-US" w:eastAsia="zh-CN"/>
            </w:rPr>
            <w:t>投</w:t>
          </w:r>
          <w:r>
            <w:rPr>
              <w:rFonts w:hint="eastAsia" w:ascii="宋体" w:hAnsi="宋体" w:cs="宋体"/>
              <w:sz w:val="28"/>
              <w:szCs w:val="28"/>
              <w:lang w:eastAsia="zh-CN"/>
            </w:rPr>
            <w:t>标</w:t>
          </w:r>
          <w:r>
            <w:rPr>
              <w:rFonts w:hint="eastAsia" w:ascii="宋体" w:hAnsi="宋体" w:eastAsia="宋体" w:cs="宋体"/>
              <w:sz w:val="28"/>
              <w:szCs w:val="28"/>
            </w:rPr>
            <w:t>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_Toc23033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_Toc12866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一、经济文件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_Toc12866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_Toc23238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二、服务文件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_Toc23238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_Toc11022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三、商务文件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_Toc11022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_Toc21974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四、其他（如果有）</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_Toc21974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cs="宋体"/>
              <w:sz w:val="28"/>
              <w:szCs w:val="28"/>
              <w:lang w:val="en-US" w:eastAsia="zh-CN"/>
            </w:rPr>
            <w:t>5</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_Toc6139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lang w:val="en-US" w:eastAsia="zh-CN"/>
            </w:rPr>
            <w:t>五、</w:t>
          </w:r>
          <w:r>
            <w:rPr>
              <w:rFonts w:hint="eastAsia" w:ascii="宋体" w:hAnsi="宋体" w:eastAsia="宋体" w:cs="宋体"/>
              <w:sz w:val="28"/>
              <w:szCs w:val="28"/>
            </w:rPr>
            <w:t>资格文件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_Toc6139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lang w:val="en-US" w:eastAsia="zh-CN"/>
            </w:rPr>
            <w:t>7</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pPr>
            <w:pStyle w:val="45"/>
            <w:tabs>
              <w:tab w:val="right" w:leader="dot" w:pos="9412"/>
            </w:tabs>
            <w:ind w:firstLine="560" w:firstLineChars="200"/>
            <w:rPr>
              <w:rFonts w:hint="eastAsia" w:ascii="宋体" w:hAnsi="宋体" w:eastAsia="宋体" w:cs="宋体"/>
              <w:kern w:val="2"/>
              <w:sz w:val="28"/>
              <w:szCs w:val="28"/>
              <w:lang w:val="en-US" w:eastAsia="zh-CN" w:bidi="ar-SA"/>
            </w:rPr>
          </w:pPr>
        </w:p>
        <w:p>
          <w:pPr>
            <w:bidi w:val="0"/>
            <w:rPr>
              <w:rFonts w:hint="eastAsia"/>
              <w:lang w:val="en-US" w:eastAsia="zh-CN"/>
            </w:rPr>
            <w:sectPr>
              <w:headerReference r:id="rId6" w:type="default"/>
              <w:pgSz w:w="11907" w:h="16840"/>
              <w:pgMar w:top="1134" w:right="1191" w:bottom="1134" w:left="1304" w:header="964" w:footer="992" w:gutter="0"/>
              <w:pgNumType w:fmt="decimal"/>
              <w:cols w:space="720" w:num="1"/>
              <w:docGrid w:linePitch="312" w:charSpace="0"/>
            </w:sectPr>
          </w:pPr>
        </w:p>
        <w:p>
          <w:pPr>
            <w:bidi w:val="0"/>
          </w:pPr>
          <w:r>
            <w:rPr>
              <w:rFonts w:hint="eastAsia"/>
              <w:lang w:val="en-US" w:eastAsia="zh-CN"/>
            </w:rPr>
            <w:fldChar w:fldCharType="end"/>
          </w:r>
        </w:p>
      </w:sdtContent>
    </w:sdt>
    <w:p>
      <w:pPr>
        <w:pStyle w:val="3"/>
        <w:numPr>
          <w:ilvl w:val="0"/>
          <w:numId w:val="2"/>
        </w:numPr>
        <w:spacing w:beforeLines="0" w:afterLines="0" w:line="600" w:lineRule="exact"/>
        <w:ind w:right="-92" w:rightChars="-33"/>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投</w:t>
      </w:r>
      <w:r>
        <w:rPr>
          <w:rFonts w:hint="eastAsia" w:ascii="宋体" w:hAnsi="宋体" w:eastAsia="宋体" w:cs="宋体"/>
          <w:color w:val="000000" w:themeColor="text1"/>
          <w:lang w:eastAsia="zh-CN"/>
          <w14:textFill>
            <w14:solidFill>
              <w14:schemeClr w14:val="tx1"/>
            </w14:solidFill>
          </w14:textFill>
        </w:rPr>
        <w:t>标</w:t>
      </w:r>
      <w:r>
        <w:rPr>
          <w:rFonts w:hint="eastAsia" w:ascii="宋体" w:hAnsi="宋体" w:eastAsia="宋体" w:cs="宋体"/>
          <w:color w:val="000000" w:themeColor="text1"/>
          <w14:textFill>
            <w14:solidFill>
              <w14:schemeClr w14:val="tx1"/>
            </w14:solidFill>
          </w14:textFill>
        </w:rPr>
        <w:t>邀请书</w:t>
      </w:r>
    </w:p>
    <w:p>
      <w:pPr>
        <w:numPr>
          <w:ilvl w:val="0"/>
          <w:numId w:val="0"/>
        </w:numPr>
        <w:rPr>
          <w:rFonts w:hint="eastAsia"/>
        </w:rPr>
      </w:pPr>
    </w:p>
    <w:p>
      <w:pPr>
        <w:spacing w:before="0" w:beforeLines="0" w:after="0" w:afterLines="0" w:line="360" w:lineRule="auto"/>
        <w:ind w:left="0" w:leftChars="0" w:right="0" w:rightChars="0" w:firstLine="480" w:firstLineChars="200"/>
        <w:jc w:val="both"/>
        <w:rPr>
          <w:rFonts w:hint="eastAsia" w:ascii="宋体" w:hAnsi="宋体" w:cs="宋体"/>
          <w:color w:val="FF0000"/>
          <w:sz w:val="24"/>
          <w:szCs w:val="24"/>
        </w:rPr>
      </w:pP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重庆浩讯建设工程咨询有限公司</w:t>
      </w:r>
      <w:r>
        <w:rPr>
          <w:rFonts w:hint="eastAsia" w:ascii="宋体" w:hAnsi="宋体" w:cs="宋体"/>
          <w:color w:val="auto"/>
          <w:sz w:val="24"/>
          <w:szCs w:val="24"/>
        </w:rPr>
        <w:t xml:space="preserve">（以下简称：采购代理机构）受 </w:t>
      </w:r>
      <w:r>
        <w:rPr>
          <w:rFonts w:hint="eastAsia" w:ascii="宋体" w:hAnsi="宋体" w:cs="宋体"/>
          <w:color w:val="auto"/>
          <w:sz w:val="24"/>
          <w:szCs w:val="24"/>
          <w:u w:val="single"/>
        </w:rPr>
        <w:t xml:space="preserve">重庆两江新区保安服务有限责任公司 </w:t>
      </w:r>
      <w:r>
        <w:rPr>
          <w:rFonts w:hint="eastAsia" w:ascii="宋体" w:hAnsi="宋体" w:cs="宋体"/>
          <w:color w:val="auto"/>
          <w:sz w:val="24"/>
          <w:szCs w:val="24"/>
        </w:rPr>
        <w:t>（以下简称：采购人）的委托，对</w:t>
      </w:r>
      <w:r>
        <w:rPr>
          <w:rFonts w:hint="eastAsia" w:ascii="宋体" w:hAnsi="宋体" w:cs="宋体"/>
          <w:color w:val="auto"/>
          <w:sz w:val="24"/>
          <w:szCs w:val="24"/>
          <w:u w:val="single"/>
        </w:rPr>
        <w:t xml:space="preserve"> 车辆租赁经营业务用新能源汽车采购 </w:t>
      </w:r>
      <w:r>
        <w:rPr>
          <w:rFonts w:hint="eastAsia" w:ascii="宋体" w:hAnsi="宋体" w:cs="宋体"/>
          <w:color w:val="auto"/>
          <w:sz w:val="24"/>
          <w:szCs w:val="24"/>
        </w:rPr>
        <w:t>进行公开</w:t>
      </w:r>
      <w:r>
        <w:rPr>
          <w:rFonts w:hint="eastAsia" w:ascii="宋体" w:hAnsi="宋体" w:cs="宋体"/>
          <w:color w:val="auto"/>
          <w:sz w:val="24"/>
          <w:szCs w:val="24"/>
          <w:lang w:eastAsia="zh-CN"/>
        </w:rPr>
        <w:t>招标</w:t>
      </w:r>
      <w:r>
        <w:rPr>
          <w:rFonts w:hint="eastAsia" w:ascii="宋体" w:hAnsi="宋体" w:cs="宋体"/>
          <w:color w:val="auto"/>
          <w:sz w:val="24"/>
          <w:szCs w:val="24"/>
        </w:rPr>
        <w:t>，欢迎有资格的</w:t>
      </w:r>
      <w:r>
        <w:rPr>
          <w:rFonts w:hint="eastAsia" w:ascii="宋体" w:hAnsi="宋体" w:cs="宋体"/>
          <w:color w:val="auto"/>
          <w:sz w:val="24"/>
          <w:szCs w:val="24"/>
          <w:lang w:val="en-US" w:eastAsia="zh-CN"/>
        </w:rPr>
        <w:t>投</w:t>
      </w:r>
      <w:r>
        <w:rPr>
          <w:rFonts w:hint="eastAsia" w:ascii="宋体" w:hAnsi="宋体" w:cs="宋体"/>
          <w:color w:val="auto"/>
          <w:sz w:val="24"/>
          <w:szCs w:val="24"/>
          <w:lang w:eastAsia="zh-CN"/>
        </w:rPr>
        <w:t>标</w:t>
      </w:r>
      <w:r>
        <w:rPr>
          <w:rFonts w:hint="eastAsia" w:ascii="宋体" w:hAnsi="宋体" w:cs="宋体"/>
          <w:color w:val="auto"/>
          <w:sz w:val="24"/>
          <w:szCs w:val="24"/>
        </w:rPr>
        <w:t>人参加</w:t>
      </w:r>
      <w:r>
        <w:rPr>
          <w:rFonts w:hint="eastAsia" w:ascii="宋体" w:hAnsi="宋体" w:cs="宋体"/>
          <w:color w:val="auto"/>
          <w:sz w:val="24"/>
          <w:szCs w:val="24"/>
          <w:lang w:val="en-US" w:eastAsia="zh-CN"/>
        </w:rPr>
        <w:t>投</w:t>
      </w:r>
      <w:r>
        <w:rPr>
          <w:rFonts w:hint="eastAsia" w:ascii="宋体" w:hAnsi="宋体" w:cs="宋体"/>
          <w:color w:val="auto"/>
          <w:sz w:val="24"/>
          <w:szCs w:val="24"/>
          <w:lang w:eastAsia="zh-CN"/>
        </w:rPr>
        <w:t>标</w:t>
      </w:r>
      <w:r>
        <w:rPr>
          <w:rFonts w:hint="eastAsia" w:ascii="宋体" w:hAnsi="宋体" w:cs="宋体"/>
          <w:color w:val="auto"/>
          <w:sz w:val="24"/>
          <w:szCs w:val="24"/>
        </w:rPr>
        <w:t>。</w:t>
      </w:r>
    </w:p>
    <w:p>
      <w:pPr>
        <w:pStyle w:val="4"/>
        <w:spacing w:line="500" w:lineRule="exact"/>
        <w:ind w:firstLine="480" w:firstLineChars="200"/>
        <w:outlineLvl w:val="0"/>
        <w:rPr>
          <w:rFonts w:hint="eastAsia" w:ascii="宋体" w:hAnsi="宋体" w:eastAsia="宋体" w:cs="宋体"/>
          <w:b w:val="0"/>
          <w:color w:val="000000" w:themeColor="text1"/>
          <w:kern w:val="2"/>
          <w:sz w:val="24"/>
          <w:lang w:val="en-US" w:eastAsia="zh-CN" w:bidi="ar-SA"/>
          <w14:textFill>
            <w14:solidFill>
              <w14:schemeClr w14:val="tx1"/>
            </w14:solidFill>
          </w14:textFill>
        </w:rPr>
      </w:pPr>
      <w:bookmarkStart w:id="2" w:name="_Toc27818"/>
      <w:bookmarkStart w:id="3" w:name="_Toc16069"/>
      <w:bookmarkStart w:id="4" w:name="_Toc25075"/>
      <w:bookmarkStart w:id="5" w:name="_Toc9732"/>
      <w:bookmarkStart w:id="6" w:name="_Toc11724"/>
      <w:bookmarkStart w:id="7" w:name="_Toc18134"/>
      <w:bookmarkStart w:id="8" w:name="_Toc9788"/>
      <w:r>
        <w:rPr>
          <w:rFonts w:hint="eastAsia" w:ascii="宋体" w:hAnsi="宋体" w:eastAsia="宋体" w:cs="宋体"/>
          <w:b w:val="0"/>
          <w:color w:val="000000" w:themeColor="text1"/>
          <w:kern w:val="2"/>
          <w:sz w:val="24"/>
          <w:lang w:val="en-US" w:eastAsia="zh-CN" w:bidi="ar-SA"/>
          <w14:textFill>
            <w14:solidFill>
              <w14:schemeClr w14:val="tx1"/>
            </w14:solidFill>
          </w14:textFill>
        </w:rPr>
        <w:t>一、</w:t>
      </w:r>
      <w:r>
        <w:rPr>
          <w:rFonts w:hint="eastAsia" w:cs="宋体"/>
          <w:b w:val="0"/>
          <w:color w:val="000000" w:themeColor="text1"/>
          <w:kern w:val="2"/>
          <w:sz w:val="24"/>
          <w:lang w:val="en-US" w:eastAsia="zh-CN" w:bidi="ar-SA"/>
          <w14:textFill>
            <w14:solidFill>
              <w14:schemeClr w14:val="tx1"/>
            </w14:solidFill>
          </w14:textFill>
        </w:rPr>
        <w:t>招标</w:t>
      </w:r>
      <w:r>
        <w:rPr>
          <w:rFonts w:hint="eastAsia" w:ascii="宋体" w:hAnsi="宋体" w:eastAsia="宋体" w:cs="宋体"/>
          <w:b w:val="0"/>
          <w:color w:val="000000" w:themeColor="text1"/>
          <w:kern w:val="2"/>
          <w:sz w:val="24"/>
          <w:lang w:val="en-US" w:eastAsia="zh-CN" w:bidi="ar-SA"/>
          <w14:textFill>
            <w14:solidFill>
              <w14:schemeClr w14:val="tx1"/>
            </w14:solidFill>
          </w14:textFill>
        </w:rPr>
        <w:t>项目内容</w:t>
      </w:r>
      <w:bookmarkEnd w:id="2"/>
      <w:bookmarkEnd w:id="3"/>
      <w:bookmarkEnd w:id="4"/>
      <w:bookmarkEnd w:id="5"/>
      <w:bookmarkEnd w:id="6"/>
      <w:bookmarkEnd w:id="7"/>
      <w:bookmarkEnd w:id="8"/>
    </w:p>
    <w:tbl>
      <w:tblPr>
        <w:tblStyle w:val="23"/>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3017"/>
        <w:gridCol w:w="1444"/>
        <w:gridCol w:w="1325"/>
        <w:gridCol w:w="1637"/>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cs="宋体"/>
                <w:szCs w:val="22"/>
              </w:rPr>
            </w:pPr>
            <w:r>
              <w:rPr>
                <w:rFonts w:hint="eastAsia" w:ascii="宋体" w:hAnsi="宋体" w:cs="宋体"/>
                <w:sz w:val="24"/>
                <w:szCs w:val="22"/>
                <w:lang w:bidi="ar"/>
              </w:rPr>
              <w:t>序号</w:t>
            </w:r>
          </w:p>
        </w:tc>
        <w:tc>
          <w:tcPr>
            <w:tcW w:w="15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cs="宋体"/>
                <w:szCs w:val="22"/>
              </w:rPr>
            </w:pPr>
            <w:r>
              <w:rPr>
                <w:rFonts w:hint="eastAsia" w:ascii="宋体" w:hAnsi="宋体" w:cs="宋体"/>
                <w:sz w:val="24"/>
                <w:szCs w:val="22"/>
                <w:lang w:bidi="ar"/>
              </w:rPr>
              <w:t>项目内容</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cs="宋体"/>
                <w:szCs w:val="22"/>
              </w:rPr>
            </w:pPr>
            <w:r>
              <w:rPr>
                <w:rFonts w:hint="eastAsia" w:ascii="宋体" w:hAnsi="宋体" w:cs="宋体"/>
                <w:sz w:val="24"/>
                <w:szCs w:val="22"/>
                <w:lang w:bidi="ar"/>
              </w:rPr>
              <w:t>数量（台）</w:t>
            </w:r>
          </w:p>
        </w:tc>
        <w:tc>
          <w:tcPr>
            <w:tcW w:w="700" w:type="pct"/>
            <w:tcBorders>
              <w:top w:val="single" w:color="auto" w:sz="4" w:space="0"/>
              <w:left w:val="single" w:color="auto" w:sz="4" w:space="0"/>
              <w:bottom w:val="single" w:color="auto" w:sz="4" w:space="0"/>
              <w:right w:val="single" w:color="auto" w:sz="4" w:space="0"/>
            </w:tcBorders>
            <w:shd w:val="clear" w:color="auto" w:fill="auto"/>
          </w:tcPr>
          <w:p>
            <w:pPr>
              <w:spacing w:line="500" w:lineRule="exact"/>
              <w:jc w:val="center"/>
              <w:rPr>
                <w:rFonts w:hint="eastAsia" w:ascii="宋体" w:hAnsi="宋体" w:cs="宋体"/>
                <w:szCs w:val="22"/>
              </w:rPr>
            </w:pPr>
            <w:r>
              <w:rPr>
                <w:rFonts w:hint="eastAsia" w:ascii="宋体" w:hAnsi="宋体" w:cs="宋体"/>
                <w:sz w:val="24"/>
                <w:szCs w:val="22"/>
                <w:lang w:bidi="ar"/>
              </w:rPr>
              <w:t>总计限价（</w:t>
            </w:r>
            <w:r>
              <w:rPr>
                <w:rFonts w:hint="eastAsia" w:ascii="宋体" w:hAnsi="宋体" w:cs="宋体"/>
                <w:sz w:val="24"/>
                <w:szCs w:val="22"/>
                <w:lang w:val="en-US" w:eastAsia="zh-CN" w:bidi="ar"/>
              </w:rPr>
              <w:t>万</w:t>
            </w:r>
            <w:r>
              <w:rPr>
                <w:rFonts w:hint="eastAsia" w:ascii="宋体" w:hAnsi="宋体" w:cs="宋体"/>
                <w:sz w:val="24"/>
                <w:szCs w:val="22"/>
                <w:lang w:bidi="ar"/>
              </w:rPr>
              <w:t>元）</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szCs w:val="22"/>
                <w:lang w:bidi="ar"/>
              </w:rPr>
            </w:pPr>
            <w:r>
              <w:rPr>
                <w:rFonts w:hint="eastAsia" w:ascii="宋体" w:hAnsi="宋体" w:eastAsia="宋体" w:cs="宋体"/>
                <w:sz w:val="24"/>
                <w:szCs w:val="22"/>
                <w:lang w:val="en-US" w:eastAsia="zh-CN" w:bidi="ar"/>
              </w:rPr>
              <w:t>中标人数量</w:t>
            </w:r>
            <w:r>
              <w:rPr>
                <w:rFonts w:hint="eastAsia" w:ascii="宋体" w:hAnsi="宋体" w:cs="宋体"/>
                <w:sz w:val="24"/>
                <w:szCs w:val="22"/>
                <w:lang w:val="en-US" w:eastAsia="zh-CN" w:bidi="ar"/>
              </w:rPr>
              <w:t>（名）</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eastAsia="宋体" w:cs="宋体"/>
                <w:sz w:val="24"/>
                <w:szCs w:val="22"/>
                <w:lang w:val="en-US" w:eastAsia="zh-CN" w:bidi="ar"/>
              </w:rPr>
            </w:pPr>
            <w:r>
              <w:rPr>
                <w:rFonts w:hint="eastAsia" w:ascii="宋体" w:hAnsi="宋体" w:eastAsia="宋体" w:cs="宋体"/>
                <w:sz w:val="24"/>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cs="宋体"/>
                <w:szCs w:val="22"/>
              </w:rPr>
            </w:pPr>
            <w:bookmarkStart w:id="9" w:name="_Hlk344477914"/>
            <w:r>
              <w:rPr>
                <w:rFonts w:hint="eastAsia" w:ascii="宋体" w:hAnsi="宋体" w:cs="宋体"/>
                <w:szCs w:val="22"/>
              </w:rPr>
              <w:t>1</w:t>
            </w:r>
          </w:p>
        </w:tc>
        <w:tc>
          <w:tcPr>
            <w:tcW w:w="15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cs="宋体"/>
                <w:szCs w:val="22"/>
              </w:rPr>
            </w:pPr>
            <w:r>
              <w:rPr>
                <w:rFonts w:hint="eastAsia" w:ascii="宋体" w:hAnsi="宋体" w:cs="宋体"/>
                <w:szCs w:val="22"/>
              </w:rPr>
              <w:t>车辆租赁经营业务用新能源汽车采购</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宋体" w:hAnsi="宋体" w:cs="宋体"/>
                <w:szCs w:val="22"/>
              </w:rPr>
            </w:pPr>
            <w:r>
              <w:rPr>
                <w:rFonts w:hint="eastAsia" w:ascii="宋体" w:hAnsi="宋体" w:cs="宋体"/>
                <w:szCs w:val="22"/>
              </w:rPr>
              <w:t>54</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default" w:ascii="宋体" w:hAnsi="宋体" w:eastAsia="宋体" w:cs="宋体"/>
                <w:szCs w:val="22"/>
                <w:lang w:val="en-US" w:eastAsia="zh-CN"/>
              </w:rPr>
            </w:pPr>
            <w:r>
              <w:rPr>
                <w:rFonts w:hint="eastAsia" w:ascii="宋体" w:hAnsi="宋体" w:cs="宋体"/>
                <w:szCs w:val="22"/>
                <w:lang w:val="en-US" w:eastAsia="zh-CN"/>
              </w:rPr>
              <w:t>264.6</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hint="eastAsia" w:ascii="宋体" w:hAnsi="宋体" w:cs="宋体"/>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w:t>
            </w:r>
          </w:p>
        </w:tc>
      </w:tr>
      <w:bookmarkEnd w:id="9"/>
    </w:tbl>
    <w:p>
      <w:pPr>
        <w:pStyle w:val="4"/>
        <w:spacing w:line="500" w:lineRule="exact"/>
        <w:ind w:firstLine="480" w:firstLineChars="200"/>
        <w:outlineLvl w:val="0"/>
        <w:rPr>
          <w:rFonts w:hint="eastAsia" w:ascii="宋体" w:hAnsi="宋体" w:eastAsia="宋体" w:cs="宋体"/>
          <w:b w:val="0"/>
          <w:color w:val="000000" w:themeColor="text1"/>
          <w:kern w:val="2"/>
          <w:sz w:val="24"/>
          <w:lang w:val="en-US" w:eastAsia="zh-CN" w:bidi="ar-SA"/>
          <w14:textFill>
            <w14:solidFill>
              <w14:schemeClr w14:val="tx1"/>
            </w14:solidFill>
          </w14:textFill>
        </w:rPr>
      </w:pPr>
      <w:bookmarkStart w:id="10" w:name="_Toc6193"/>
      <w:bookmarkStart w:id="11" w:name="_Toc29826"/>
      <w:bookmarkStart w:id="12" w:name="_Toc2528"/>
      <w:bookmarkStart w:id="13" w:name="_Toc9509"/>
      <w:bookmarkStart w:id="14" w:name="_Toc779"/>
      <w:bookmarkStart w:id="15" w:name="_Toc6645"/>
      <w:bookmarkStart w:id="16" w:name="_Toc551"/>
      <w:bookmarkStart w:id="17" w:name="_Toc38287841"/>
      <w:r>
        <w:rPr>
          <w:rFonts w:hint="eastAsia" w:ascii="宋体" w:hAnsi="宋体" w:eastAsia="宋体" w:cs="宋体"/>
          <w:b w:val="0"/>
          <w:color w:val="000000" w:themeColor="text1"/>
          <w:kern w:val="2"/>
          <w:sz w:val="24"/>
          <w:lang w:val="en-US" w:eastAsia="zh-CN" w:bidi="ar-SA"/>
          <w14:textFill>
            <w14:solidFill>
              <w14:schemeClr w14:val="tx1"/>
            </w14:solidFill>
          </w14:textFill>
        </w:rPr>
        <w:t>二、资金来源</w:t>
      </w:r>
      <w:bookmarkEnd w:id="10"/>
      <w:bookmarkEnd w:id="11"/>
      <w:bookmarkEnd w:id="12"/>
      <w:bookmarkEnd w:id="13"/>
      <w:bookmarkEnd w:id="14"/>
      <w:bookmarkEnd w:id="15"/>
      <w:bookmarkEnd w:id="16"/>
      <w:bookmarkEnd w:id="17"/>
    </w:p>
    <w:p>
      <w:pPr>
        <w:spacing w:line="500" w:lineRule="exact"/>
        <w:ind w:right="-652" w:rightChars="-233" w:firstLine="480" w:firstLineChars="200"/>
        <w:rPr>
          <w:rFonts w:hint="eastAsia" w:ascii="宋体" w:hAnsi="宋体" w:eastAsia="宋体" w:cs="宋体"/>
          <w:b w:val="0"/>
          <w:color w:val="000000" w:themeColor="text1"/>
          <w:kern w:val="2"/>
          <w:sz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lang w:val="en-US" w:eastAsia="zh-CN" w:bidi="ar-SA"/>
          <w14:textFill>
            <w14:solidFill>
              <w14:schemeClr w14:val="tx1"/>
            </w14:solidFill>
          </w14:textFill>
        </w:rPr>
        <w:t>企业自</w:t>
      </w:r>
      <w:r>
        <w:rPr>
          <w:rFonts w:hint="eastAsia" w:ascii="宋体" w:hAnsi="宋体" w:cs="宋体"/>
          <w:b w:val="0"/>
          <w:color w:val="000000" w:themeColor="text1"/>
          <w:kern w:val="2"/>
          <w:sz w:val="24"/>
          <w:lang w:val="en-US" w:eastAsia="zh-CN" w:bidi="ar-SA"/>
          <w14:textFill>
            <w14:solidFill>
              <w14:schemeClr w14:val="tx1"/>
            </w14:solidFill>
          </w14:textFill>
        </w:rPr>
        <w:t>有</w:t>
      </w:r>
      <w:r>
        <w:rPr>
          <w:rFonts w:hint="eastAsia" w:ascii="宋体" w:hAnsi="宋体" w:eastAsia="宋体" w:cs="宋体"/>
          <w:b w:val="0"/>
          <w:color w:val="000000" w:themeColor="text1"/>
          <w:kern w:val="2"/>
          <w:sz w:val="24"/>
          <w:lang w:val="en-US" w:eastAsia="zh-CN" w:bidi="ar-SA"/>
          <w14:textFill>
            <w14:solidFill>
              <w14:schemeClr w14:val="tx1"/>
            </w14:solidFill>
          </w14:textFill>
        </w:rPr>
        <w:t>资金</w:t>
      </w:r>
      <w:r>
        <w:rPr>
          <w:rFonts w:hint="eastAsia" w:ascii="宋体" w:hAnsi="宋体" w:cs="宋体"/>
          <w:b w:val="0"/>
          <w:color w:val="000000" w:themeColor="text1"/>
          <w:kern w:val="2"/>
          <w:sz w:val="24"/>
          <w:lang w:val="en-US" w:eastAsia="zh-CN" w:bidi="ar-SA"/>
          <w14:textFill>
            <w14:solidFill>
              <w14:schemeClr w14:val="tx1"/>
            </w14:solidFill>
          </w14:textFill>
        </w:rPr>
        <w:t>。</w:t>
      </w:r>
    </w:p>
    <w:p>
      <w:pPr>
        <w:pStyle w:val="4"/>
        <w:spacing w:line="500" w:lineRule="exact"/>
        <w:ind w:firstLine="480" w:firstLineChars="200"/>
        <w:outlineLvl w:val="0"/>
        <w:rPr>
          <w:rFonts w:hint="eastAsia" w:ascii="宋体" w:hAnsi="宋体" w:eastAsia="宋体" w:cs="宋体"/>
          <w:b w:val="0"/>
          <w:color w:val="000000" w:themeColor="text1"/>
          <w:kern w:val="2"/>
          <w:sz w:val="24"/>
          <w:lang w:val="en-US" w:eastAsia="zh-CN" w:bidi="ar-SA"/>
          <w14:textFill>
            <w14:solidFill>
              <w14:schemeClr w14:val="tx1"/>
            </w14:solidFill>
          </w14:textFill>
        </w:rPr>
      </w:pPr>
      <w:bookmarkStart w:id="18" w:name="_Toc25213"/>
      <w:bookmarkStart w:id="19" w:name="_Toc29030"/>
      <w:bookmarkStart w:id="20" w:name="_Toc10516"/>
      <w:bookmarkStart w:id="21" w:name="_Toc31362"/>
      <w:bookmarkStart w:id="22" w:name="_Toc30444"/>
      <w:bookmarkStart w:id="23" w:name="_Toc38287842"/>
      <w:bookmarkStart w:id="24" w:name="_Toc13357"/>
      <w:bookmarkStart w:id="25" w:name="_Toc13995"/>
      <w:r>
        <w:rPr>
          <w:rFonts w:hint="eastAsia" w:ascii="宋体" w:hAnsi="宋体" w:eastAsia="宋体" w:cs="宋体"/>
          <w:b w:val="0"/>
          <w:color w:val="000000" w:themeColor="text1"/>
          <w:kern w:val="2"/>
          <w:sz w:val="24"/>
          <w:lang w:val="en-US" w:eastAsia="zh-CN" w:bidi="ar-SA"/>
          <w14:textFill>
            <w14:solidFill>
              <w14:schemeClr w14:val="tx1"/>
            </w14:solidFill>
          </w14:textFill>
        </w:rPr>
        <w:t>三、</w:t>
      </w:r>
      <w:r>
        <w:rPr>
          <w:rFonts w:hint="eastAsia" w:cs="宋体"/>
          <w:b w:val="0"/>
          <w:color w:val="000000" w:themeColor="text1"/>
          <w:kern w:val="2"/>
          <w:sz w:val="24"/>
          <w:lang w:val="en-US" w:eastAsia="zh-CN" w:bidi="ar-SA"/>
          <w14:textFill>
            <w14:solidFill>
              <w14:schemeClr w14:val="tx1"/>
            </w14:solidFill>
          </w14:textFill>
        </w:rPr>
        <w:t>投标</w:t>
      </w:r>
      <w:r>
        <w:rPr>
          <w:rFonts w:hint="eastAsia" w:ascii="宋体" w:hAnsi="宋体" w:eastAsia="宋体" w:cs="宋体"/>
          <w:b w:val="0"/>
          <w:color w:val="000000" w:themeColor="text1"/>
          <w:kern w:val="2"/>
          <w:sz w:val="24"/>
          <w:lang w:val="en-US" w:eastAsia="zh-CN" w:bidi="ar-SA"/>
          <w14:textFill>
            <w14:solidFill>
              <w14:schemeClr w14:val="tx1"/>
            </w14:solidFill>
          </w14:textFill>
        </w:rPr>
        <w:t>人资格要求</w:t>
      </w:r>
      <w:bookmarkEnd w:id="18"/>
      <w:bookmarkEnd w:id="19"/>
      <w:bookmarkEnd w:id="20"/>
      <w:bookmarkEnd w:id="21"/>
      <w:bookmarkEnd w:id="22"/>
      <w:bookmarkEnd w:id="23"/>
      <w:bookmarkEnd w:id="24"/>
      <w:bookmarkEnd w:id="25"/>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供应商是指向采购人提供货物、工程或者服务的法人、其他组织或者自然人（以下简称“供应商”）。合格的供应商应符合政府采购法第二十二条规定的基本条件</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w:t>
      </w:r>
    </w:p>
    <w:p>
      <w:pPr>
        <w:spacing w:line="38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（一）基本资格条件</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snapToGrid w:val="0"/>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6.法律、行政法规规定的其他条件。</w:t>
      </w:r>
    </w:p>
    <w:p>
      <w:pPr>
        <w:pStyle w:val="4"/>
        <w:spacing w:line="500" w:lineRule="exact"/>
        <w:ind w:firstLine="480" w:firstLineChars="200"/>
        <w:rPr>
          <w:rFonts w:hint="eastAsia" w:cs="宋体"/>
          <w:color w:val="000000" w:themeColor="text1"/>
          <w:sz w:val="24"/>
          <w14:textFill>
            <w14:solidFill>
              <w14:schemeClr w14:val="tx1"/>
            </w14:solidFill>
          </w14:textFill>
        </w:rPr>
      </w:pPr>
      <w:bookmarkStart w:id="26" w:name="_Toc9049"/>
      <w:bookmarkStart w:id="27" w:name="_Toc38287843"/>
      <w:bookmarkStart w:id="28" w:name="_Toc10893"/>
      <w:r>
        <w:rPr>
          <w:rFonts w:hint="eastAsia" w:cs="宋体"/>
          <w:color w:val="000000" w:themeColor="text1"/>
          <w:sz w:val="24"/>
          <w14:textFill>
            <w14:solidFill>
              <w14:schemeClr w14:val="tx1"/>
            </w14:solidFill>
          </w14:textFill>
        </w:rPr>
        <w:t>四、投标、开标有关说明</w:t>
      </w:r>
      <w:bookmarkEnd w:id="26"/>
      <w:bookmarkEnd w:id="27"/>
      <w:bookmarkEnd w:id="28"/>
    </w:p>
    <w:p>
      <w:pPr>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（一）投标人须通过“行采家”平台（https://www.gec123.com/）进行注册，成为正式投标人方能参与采购活动。</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（二）超过投标截止时间递交的投标文件，恕不接收。</w:t>
      </w:r>
    </w:p>
    <w:p>
      <w:pPr>
        <w:spacing w:line="440" w:lineRule="exact"/>
        <w:ind w:firstLine="480" w:firstLineChars="200"/>
        <w:rPr>
          <w:rFonts w:ascii="宋体" w:hAnsi="宋体"/>
          <w:color w:val="auto"/>
          <w:sz w:val="24"/>
          <w:szCs w:val="24"/>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auto"/>
          <w:sz w:val="24"/>
          <w:szCs w:val="24"/>
          <w:lang w:eastAsia="zh-CN"/>
        </w:rPr>
        <w:t>招标</w:t>
      </w:r>
      <w:r>
        <w:rPr>
          <w:rFonts w:ascii="宋体" w:hAnsi="宋体"/>
          <w:color w:val="auto"/>
          <w:sz w:val="24"/>
          <w:szCs w:val="24"/>
        </w:rPr>
        <w:t>文件购买费：</w:t>
      </w:r>
      <w:r>
        <w:rPr>
          <w:rFonts w:hint="eastAsia" w:ascii="宋体" w:hAnsi="宋体"/>
          <w:color w:val="auto"/>
          <w:sz w:val="24"/>
          <w:szCs w:val="24"/>
          <w:lang w:eastAsia="zh-CN"/>
        </w:rPr>
        <w:t>招标</w:t>
      </w:r>
      <w:r>
        <w:rPr>
          <w:rFonts w:ascii="宋体" w:hAnsi="宋体"/>
          <w:color w:val="auto"/>
          <w:sz w:val="24"/>
          <w:szCs w:val="24"/>
        </w:rPr>
        <w:t>文件购买费为</w:t>
      </w:r>
      <w:r>
        <w:rPr>
          <w:rFonts w:hint="eastAsia" w:ascii="宋体" w:hAnsi="宋体"/>
          <w:color w:val="auto"/>
          <w:sz w:val="24"/>
          <w:szCs w:val="24"/>
          <w:lang w:val="en-US" w:eastAsia="zh-CN"/>
        </w:rPr>
        <w:t>5</w:t>
      </w:r>
      <w:r>
        <w:rPr>
          <w:rFonts w:ascii="宋体" w:hAnsi="宋体"/>
          <w:color w:val="auto"/>
          <w:sz w:val="24"/>
          <w:szCs w:val="24"/>
        </w:rPr>
        <w:t>00元/</w:t>
      </w:r>
      <w:r>
        <w:rPr>
          <w:rFonts w:hint="eastAsia" w:ascii="宋体" w:hAnsi="宋体"/>
          <w:color w:val="auto"/>
          <w:sz w:val="24"/>
          <w:szCs w:val="24"/>
          <w:lang w:val="en-US" w:eastAsia="zh-CN"/>
        </w:rPr>
        <w:t>份</w:t>
      </w:r>
      <w:bookmarkStart w:id="188" w:name="_GoBack"/>
      <w:bookmarkEnd w:id="188"/>
      <w:r>
        <w:rPr>
          <w:rFonts w:ascii="宋体" w:hAnsi="宋体"/>
          <w:color w:val="auto"/>
          <w:sz w:val="24"/>
          <w:szCs w:val="24"/>
        </w:rPr>
        <w:t>（售后不退），各投标人递交投标文件时在投标（开标）地点向采购代理机构缴纳。</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cs="宋体"/>
          <w:color w:val="000000" w:themeColor="text1"/>
          <w:sz w:val="24"/>
          <w:szCs w:val="24"/>
          <w14:textFill>
            <w14:solidFill>
              <w14:schemeClr w14:val="tx1"/>
            </w14:solidFill>
          </w14:textFill>
        </w:rPr>
        <w:t>）投标费用：无论投标结果如何，投标人参与本项目投标的所有费用均应由投标人自行承担。</w:t>
      </w:r>
    </w:p>
    <w:p>
      <w:pPr>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招</w:t>
      </w:r>
      <w:r>
        <w:rPr>
          <w:rFonts w:hint="eastAsia" w:ascii="宋体" w:hAnsi="宋体" w:cs="宋体"/>
          <w:color w:val="000000" w:themeColor="text1"/>
          <w:sz w:val="24"/>
          <w:szCs w:val="24"/>
          <w:lang w:eastAsia="zh-CN"/>
          <w14:textFill>
            <w14:solidFill>
              <w14:schemeClr w14:val="tx1"/>
            </w14:solidFill>
          </w14:textFill>
        </w:rPr>
        <w:t>标</w:t>
      </w:r>
      <w:r>
        <w:rPr>
          <w:rFonts w:hint="eastAsia" w:ascii="宋体" w:hAnsi="宋体" w:cs="宋体"/>
          <w:color w:val="000000" w:themeColor="text1"/>
          <w:sz w:val="24"/>
          <w:szCs w:val="24"/>
          <w14:textFill>
            <w14:solidFill>
              <w14:schemeClr w14:val="tx1"/>
            </w14:solidFill>
          </w14:textFill>
        </w:rPr>
        <w:t>文件公告期限：自采购公告发布之日起</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cs="宋体"/>
          <w:color w:val="000000" w:themeColor="text1"/>
          <w:sz w:val="24"/>
          <w:szCs w:val="24"/>
          <w14:textFill>
            <w14:solidFill>
              <w14:schemeClr w14:val="tx1"/>
            </w14:solidFill>
          </w14:textFill>
        </w:rPr>
        <w:t>个工作日。</w:t>
      </w:r>
    </w:p>
    <w:p>
      <w:pPr>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bookmarkStart w:id="29" w:name="OLE_LINK1"/>
      <w:r>
        <w:rPr>
          <w:rFonts w:hint="eastAsia" w:ascii="宋体" w:hAnsi="宋体" w:cs="宋体"/>
          <w:color w:val="000000" w:themeColor="text1"/>
          <w:sz w:val="24"/>
          <w:szCs w:val="24"/>
          <w:lang w:val="en-US" w:eastAsia="zh-CN"/>
          <w14:textFill>
            <w14:solidFill>
              <w14:schemeClr w14:val="tx1"/>
            </w14:solidFill>
          </w14:textFill>
        </w:rPr>
        <w:t>六</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招标</w:t>
      </w:r>
      <w:r>
        <w:rPr>
          <w:rFonts w:hint="eastAsia" w:ascii="宋体" w:hAnsi="宋体" w:cs="宋体"/>
          <w:color w:val="000000" w:themeColor="text1"/>
          <w:sz w:val="24"/>
          <w:szCs w:val="24"/>
          <w14:textFill>
            <w14:solidFill>
              <w14:schemeClr w14:val="tx1"/>
            </w14:solidFill>
          </w14:textFill>
        </w:rPr>
        <w:t>文件提供期限及报名</w:t>
      </w:r>
    </w:p>
    <w:p>
      <w:pPr>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招标</w:t>
      </w:r>
      <w:r>
        <w:rPr>
          <w:rFonts w:hint="eastAsia" w:ascii="宋体" w:hAnsi="宋体" w:cs="宋体"/>
          <w:color w:val="000000" w:themeColor="text1"/>
          <w:sz w:val="24"/>
          <w:szCs w:val="24"/>
          <w14:textFill>
            <w14:solidFill>
              <w14:schemeClr w14:val="tx1"/>
            </w14:solidFill>
          </w14:textFill>
        </w:rPr>
        <w:t>文件提供期限：同</w:t>
      </w:r>
      <w:r>
        <w:rPr>
          <w:rFonts w:hint="eastAsia" w:ascii="宋体" w:hAnsi="宋体" w:cs="宋体"/>
          <w:color w:val="000000" w:themeColor="text1"/>
          <w:sz w:val="24"/>
          <w:szCs w:val="24"/>
          <w:lang w:eastAsia="zh-CN"/>
          <w14:textFill>
            <w14:solidFill>
              <w14:schemeClr w14:val="tx1"/>
            </w14:solidFill>
          </w14:textFill>
        </w:rPr>
        <w:t>招标</w:t>
      </w:r>
      <w:r>
        <w:rPr>
          <w:rFonts w:hint="eastAsia" w:ascii="宋体" w:hAnsi="宋体" w:cs="宋体"/>
          <w:color w:val="000000" w:themeColor="text1"/>
          <w:sz w:val="24"/>
          <w:szCs w:val="24"/>
          <w14:textFill>
            <w14:solidFill>
              <w14:schemeClr w14:val="tx1"/>
            </w14:solidFill>
          </w14:textFill>
        </w:rPr>
        <w:t>文件公告期限。本项目</w:t>
      </w:r>
      <w:r>
        <w:rPr>
          <w:rFonts w:hint="eastAsia" w:ascii="宋体" w:hAnsi="宋体" w:cs="宋体"/>
          <w:color w:val="000000" w:themeColor="text1"/>
          <w:sz w:val="24"/>
          <w:szCs w:val="24"/>
          <w:lang w:eastAsia="zh-CN"/>
          <w14:textFill>
            <w14:solidFill>
              <w14:schemeClr w14:val="tx1"/>
            </w14:solidFill>
          </w14:textFill>
        </w:rPr>
        <w:t>招标</w:t>
      </w:r>
      <w:r>
        <w:rPr>
          <w:rFonts w:hint="eastAsia" w:ascii="宋体" w:hAnsi="宋体" w:cs="宋体"/>
          <w:color w:val="000000" w:themeColor="text1"/>
          <w:sz w:val="24"/>
          <w:szCs w:val="24"/>
          <w14:textFill>
            <w14:solidFill>
              <w14:schemeClr w14:val="tx1"/>
            </w14:solidFill>
          </w14:textFill>
        </w:rPr>
        <w:t>文件、图纸（若有）、澄清（若有）等开标前公布的所有项目资料一律在“行采家”平台（https://www.gec123.com/）上发布，凡有意参加</w:t>
      </w:r>
      <w:r>
        <w:rPr>
          <w:rFonts w:hint="eastAsia" w:ascii="宋体" w:hAnsi="宋体" w:cs="宋体"/>
          <w:color w:val="000000" w:themeColor="text1"/>
          <w:sz w:val="24"/>
          <w:szCs w:val="24"/>
          <w:lang w:val="en-US" w:eastAsia="zh-CN"/>
          <w14:textFill>
            <w14:solidFill>
              <w14:schemeClr w14:val="tx1"/>
            </w14:solidFill>
          </w14:textFill>
        </w:rPr>
        <w:t>投</w:t>
      </w:r>
      <w:r>
        <w:rPr>
          <w:rFonts w:hint="eastAsia" w:ascii="宋体" w:hAnsi="宋体" w:cs="宋体"/>
          <w:color w:val="000000" w:themeColor="text1"/>
          <w:sz w:val="24"/>
          <w:szCs w:val="24"/>
          <w:lang w:eastAsia="zh-CN"/>
          <w14:textFill>
            <w14:solidFill>
              <w14:schemeClr w14:val="tx1"/>
            </w14:solidFill>
          </w14:textFill>
        </w:rPr>
        <w:t>标</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lang w:val="en-US" w:eastAsia="zh-CN"/>
          <w14:textFill>
            <w14:solidFill>
              <w14:schemeClr w14:val="tx1"/>
            </w14:solidFill>
          </w14:textFill>
        </w:rPr>
        <w:t>投</w:t>
      </w:r>
      <w:r>
        <w:rPr>
          <w:rFonts w:hint="eastAsia" w:ascii="宋体" w:hAnsi="宋体" w:cs="宋体"/>
          <w:color w:val="000000" w:themeColor="text1"/>
          <w:sz w:val="24"/>
          <w:szCs w:val="24"/>
          <w:lang w:eastAsia="zh-CN"/>
          <w14:textFill>
            <w14:solidFill>
              <w14:schemeClr w14:val="tx1"/>
            </w14:solidFill>
          </w14:textFill>
        </w:rPr>
        <w:t>标</w:t>
      </w:r>
      <w:r>
        <w:rPr>
          <w:rFonts w:hint="eastAsia" w:ascii="宋体" w:hAnsi="宋体" w:cs="宋体"/>
          <w:color w:val="000000" w:themeColor="text1"/>
          <w:sz w:val="24"/>
          <w:szCs w:val="24"/>
          <w14:textFill>
            <w14:solidFill>
              <w14:schemeClr w14:val="tx1"/>
            </w14:solidFill>
          </w14:textFill>
        </w:rPr>
        <w:t>人，请注意下载或到采购代理机构领取。无论</w:t>
      </w:r>
      <w:r>
        <w:rPr>
          <w:rFonts w:hint="eastAsia" w:ascii="宋体" w:hAnsi="宋体" w:cs="宋体"/>
          <w:color w:val="000000" w:themeColor="text1"/>
          <w:sz w:val="24"/>
          <w:szCs w:val="24"/>
          <w:lang w:val="en-US" w:eastAsia="zh-CN"/>
          <w14:textFill>
            <w14:solidFill>
              <w14:schemeClr w14:val="tx1"/>
            </w14:solidFill>
          </w14:textFill>
        </w:rPr>
        <w:t>投</w:t>
      </w:r>
      <w:r>
        <w:rPr>
          <w:rFonts w:hint="eastAsia" w:ascii="宋体" w:hAnsi="宋体" w:cs="宋体"/>
          <w:color w:val="000000" w:themeColor="text1"/>
          <w:sz w:val="24"/>
          <w:szCs w:val="24"/>
          <w:lang w:eastAsia="zh-CN"/>
          <w14:textFill>
            <w14:solidFill>
              <w14:schemeClr w14:val="tx1"/>
            </w14:solidFill>
          </w14:textFill>
        </w:rPr>
        <w:t>标</w:t>
      </w:r>
      <w:r>
        <w:rPr>
          <w:rFonts w:hint="eastAsia" w:ascii="宋体" w:hAnsi="宋体" w:cs="宋体"/>
          <w:color w:val="000000" w:themeColor="text1"/>
          <w:sz w:val="24"/>
          <w:szCs w:val="24"/>
          <w14:textFill>
            <w14:solidFill>
              <w14:schemeClr w14:val="tx1"/>
            </w14:solidFill>
          </w14:textFill>
        </w:rPr>
        <w:t>人下载或领取与否，均视为已知晓所有</w:t>
      </w:r>
      <w:r>
        <w:rPr>
          <w:rFonts w:hint="eastAsia" w:ascii="宋体" w:hAnsi="宋体" w:cs="宋体"/>
          <w:color w:val="000000" w:themeColor="text1"/>
          <w:sz w:val="24"/>
          <w:szCs w:val="24"/>
          <w:lang w:eastAsia="zh-CN"/>
          <w14:textFill>
            <w14:solidFill>
              <w14:schemeClr w14:val="tx1"/>
            </w14:solidFill>
          </w14:textFill>
        </w:rPr>
        <w:t>招标</w:t>
      </w:r>
      <w:r>
        <w:rPr>
          <w:rFonts w:hint="eastAsia" w:ascii="宋体" w:hAnsi="宋体" w:cs="宋体"/>
          <w:color w:val="000000" w:themeColor="text1"/>
          <w:sz w:val="24"/>
          <w:szCs w:val="24"/>
          <w14:textFill>
            <w14:solidFill>
              <w14:schemeClr w14:val="tx1"/>
            </w14:solidFill>
          </w14:textFill>
        </w:rPr>
        <w:t>内容。</w:t>
      </w:r>
    </w:p>
    <w:bookmarkEnd w:id="29"/>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2.报名： </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5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 xml:space="preserve">日- </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 （工作时间）</w:t>
      </w:r>
    </w:p>
    <w:p>
      <w:pPr>
        <w:spacing w:line="50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2.1报名方式</w:t>
      </w:r>
      <w:r>
        <w:rPr>
          <w:rFonts w:hint="eastAsia" w:ascii="宋体" w:hAnsi="宋体" w:cs="宋体"/>
          <w:color w:val="auto"/>
          <w:sz w:val="24"/>
          <w:szCs w:val="24"/>
          <w:highlight w:val="none"/>
          <w:lang w:eastAsia="zh-CN"/>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①报名方式采用网上报名（并电话确认）方式进行报名。在报名期内，将本</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文件所要求的</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文件发售登记表（加盖</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人公章）扫描件传到邮箱：</w:t>
      </w:r>
      <w:r>
        <w:rPr>
          <w:rFonts w:hint="eastAsia" w:ascii="宋体" w:hAnsi="宋体" w:cs="宋体"/>
          <w:color w:val="auto"/>
          <w:sz w:val="24"/>
          <w:szCs w:val="24"/>
          <w:highlight w:val="none"/>
          <w:lang w:val="en-US" w:eastAsia="zh-CN"/>
        </w:rPr>
        <w:t>2280164915@qq.com</w:t>
      </w:r>
      <w:r>
        <w:rPr>
          <w:rFonts w:hint="eastAsia" w:ascii="宋体" w:hAnsi="宋体" w:cs="宋体"/>
          <w:color w:val="auto"/>
          <w:sz w:val="24"/>
          <w:szCs w:val="24"/>
          <w:highlight w:val="none"/>
        </w:rPr>
        <w:t xml:space="preserve"> 。</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②在报名时间内未提交</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文件发售登记表的</w:t>
      </w:r>
      <w:r>
        <w:rPr>
          <w:rFonts w:hint="eastAsia" w:ascii="宋体" w:hAnsi="宋体" w:cs="宋体"/>
          <w:color w:val="auto"/>
          <w:sz w:val="24"/>
          <w:szCs w:val="24"/>
          <w:highlight w:val="none"/>
          <w:lang w:val="en-US" w:eastAsia="zh-CN"/>
        </w:rPr>
        <w:t>投</w:t>
      </w:r>
      <w:r>
        <w:rPr>
          <w:rFonts w:hint="eastAsia" w:ascii="宋体" w:hAnsi="宋体" w:cs="宋体"/>
          <w:color w:val="auto"/>
          <w:sz w:val="24"/>
          <w:szCs w:val="24"/>
          <w:highlight w:val="none"/>
          <w:lang w:eastAsia="zh-CN"/>
        </w:rPr>
        <w:t>标</w:t>
      </w:r>
      <w:r>
        <w:rPr>
          <w:rFonts w:hint="eastAsia" w:ascii="宋体" w:hAnsi="宋体" w:cs="宋体"/>
          <w:color w:val="auto"/>
          <w:sz w:val="24"/>
          <w:szCs w:val="24"/>
          <w:highlight w:val="none"/>
        </w:rPr>
        <w:t>人视为报名不成功，不允参加本项目。</w:t>
      </w:r>
    </w:p>
    <w:p>
      <w:pPr>
        <w:numPr>
          <w:ilvl w:val="0"/>
          <w:numId w:val="0"/>
        </w:numPr>
        <w:spacing w:line="500" w:lineRule="exact"/>
        <w:ind w:firstLine="480" w:firstLineChars="200"/>
        <w:outlineLvl w:val="9"/>
        <w:rPr>
          <w:rFonts w:hint="eastAsia" w:ascii="宋体" w:hAnsi="宋体" w:cs="宋体"/>
          <w:color w:val="auto"/>
          <w:sz w:val="24"/>
          <w:szCs w:val="24"/>
          <w:highlight w:val="none"/>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七</w:t>
      </w:r>
      <w:r>
        <w:rPr>
          <w:rFonts w:hint="eastAsia" w:ascii="宋体" w:hAnsi="宋体" w:eastAsia="宋体" w:cs="宋体"/>
          <w:color w:val="auto"/>
          <w:kern w:val="2"/>
          <w:sz w:val="24"/>
          <w:szCs w:val="24"/>
          <w:lang w:val="en-US" w:eastAsia="zh-CN" w:bidi="ar-SA"/>
        </w:rPr>
        <w:t>）</w:t>
      </w:r>
      <w:r>
        <w:rPr>
          <w:rFonts w:hint="eastAsia" w:ascii="宋体" w:hAnsi="宋体" w:cs="宋体"/>
          <w:color w:val="auto"/>
          <w:sz w:val="24"/>
          <w:szCs w:val="24"/>
          <w:highlight w:val="none"/>
          <w:lang w:val="en-US" w:eastAsia="zh-CN"/>
        </w:rPr>
        <w:t>投</w:t>
      </w:r>
      <w:r>
        <w:rPr>
          <w:rFonts w:hint="eastAsia" w:ascii="宋体" w:hAnsi="宋体" w:cs="宋体"/>
          <w:color w:val="auto"/>
          <w:sz w:val="24"/>
          <w:szCs w:val="24"/>
          <w:highlight w:val="none"/>
          <w:lang w:eastAsia="zh-CN"/>
        </w:rPr>
        <w:t>标</w:t>
      </w:r>
      <w:r>
        <w:rPr>
          <w:rFonts w:hint="eastAsia" w:ascii="宋体" w:hAnsi="宋体" w:cs="宋体"/>
          <w:color w:val="auto"/>
          <w:sz w:val="24"/>
          <w:szCs w:val="24"/>
          <w:highlight w:val="none"/>
        </w:rPr>
        <w:t>地点：重庆渝高物业管理有限责任公司513会议室</w:t>
      </w:r>
    </w:p>
    <w:p>
      <w:pPr>
        <w:spacing w:line="500" w:lineRule="exact"/>
        <w:ind w:left="48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投</w:t>
      </w:r>
      <w:r>
        <w:rPr>
          <w:rFonts w:hint="eastAsia" w:ascii="宋体" w:hAnsi="宋体" w:cs="宋体"/>
          <w:color w:val="auto"/>
          <w:sz w:val="24"/>
          <w:szCs w:val="24"/>
          <w:highlight w:val="none"/>
          <w:lang w:eastAsia="zh-CN"/>
        </w:rPr>
        <w:t>标</w:t>
      </w:r>
      <w:r>
        <w:rPr>
          <w:rFonts w:hint="eastAsia" w:ascii="宋体" w:hAnsi="宋体" w:cs="宋体"/>
          <w:color w:val="auto"/>
          <w:sz w:val="24"/>
          <w:szCs w:val="24"/>
          <w:highlight w:val="none"/>
          <w:lang w:val="en-US" w:eastAsia="zh-CN"/>
        </w:rPr>
        <w:t>文件递交</w:t>
      </w: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日北京时间10:00</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九</w:t>
      </w: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 xml:space="preserve"> 日北京时间10:00</w:t>
      </w:r>
    </w:p>
    <w:p>
      <w:pPr>
        <w:spacing w:line="5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十</w:t>
      </w:r>
      <w:r>
        <w:rPr>
          <w:rFonts w:hint="eastAsia" w:ascii="宋体" w:hAnsi="宋体" w:cs="宋体"/>
          <w:color w:val="auto"/>
          <w:sz w:val="24"/>
          <w:szCs w:val="24"/>
          <w:highlight w:val="none"/>
        </w:rPr>
        <w:t>）开标地点：同</w:t>
      </w:r>
      <w:r>
        <w:rPr>
          <w:rFonts w:hint="eastAsia" w:ascii="宋体" w:hAnsi="宋体" w:cs="宋体"/>
          <w:color w:val="auto"/>
          <w:sz w:val="24"/>
          <w:szCs w:val="24"/>
          <w:highlight w:val="none"/>
          <w:lang w:val="en-US" w:eastAsia="zh-CN"/>
        </w:rPr>
        <w:t>投</w:t>
      </w:r>
      <w:r>
        <w:rPr>
          <w:rFonts w:hint="eastAsia" w:ascii="宋体" w:hAnsi="宋体" w:cs="宋体"/>
          <w:color w:val="auto"/>
          <w:sz w:val="24"/>
          <w:szCs w:val="24"/>
          <w:highlight w:val="none"/>
          <w:lang w:eastAsia="zh-CN"/>
        </w:rPr>
        <w:t>标</w:t>
      </w:r>
      <w:r>
        <w:rPr>
          <w:rFonts w:hint="eastAsia" w:ascii="宋体" w:hAnsi="宋体" w:cs="宋体"/>
          <w:color w:val="auto"/>
          <w:sz w:val="24"/>
          <w:szCs w:val="24"/>
          <w:highlight w:val="none"/>
        </w:rPr>
        <w:t>地点</w:t>
      </w:r>
    </w:p>
    <w:p>
      <w:pPr>
        <w:pStyle w:val="4"/>
        <w:spacing w:line="500" w:lineRule="exact"/>
        <w:ind w:firstLine="480" w:firstLineChars="200"/>
        <w:outlineLvl w:val="0"/>
        <w:rPr>
          <w:rFonts w:hint="eastAsia" w:ascii="宋体" w:hAnsi="宋体" w:eastAsia="宋体" w:cs="宋体"/>
          <w:b w:val="0"/>
          <w:color w:val="000000" w:themeColor="text1"/>
          <w:kern w:val="2"/>
          <w:sz w:val="24"/>
          <w:lang w:val="en-US" w:eastAsia="zh-CN" w:bidi="ar-SA"/>
          <w14:textFill>
            <w14:solidFill>
              <w14:schemeClr w14:val="tx1"/>
            </w14:solidFill>
          </w14:textFill>
        </w:rPr>
      </w:pPr>
      <w:bookmarkStart w:id="30" w:name="_Toc26063"/>
      <w:bookmarkStart w:id="31" w:name="_Toc2741"/>
      <w:bookmarkStart w:id="32" w:name="_Toc19219"/>
      <w:bookmarkStart w:id="33" w:name="_Toc31286"/>
      <w:bookmarkStart w:id="34" w:name="_Toc38287844"/>
      <w:bookmarkStart w:id="35" w:name="_Toc18568"/>
      <w:bookmarkStart w:id="36" w:name="_Toc31585"/>
      <w:bookmarkStart w:id="37" w:name="_Toc209"/>
      <w:r>
        <w:rPr>
          <w:rFonts w:hint="eastAsia" w:ascii="宋体" w:hAnsi="宋体" w:eastAsia="宋体" w:cs="宋体"/>
          <w:b w:val="0"/>
          <w:color w:val="000000" w:themeColor="text1"/>
          <w:kern w:val="2"/>
          <w:sz w:val="24"/>
          <w:lang w:val="en-US" w:eastAsia="zh-CN" w:bidi="ar-SA"/>
          <w14:textFill>
            <w14:solidFill>
              <w14:schemeClr w14:val="tx1"/>
            </w14:solidFill>
          </w14:textFill>
        </w:rPr>
        <w:t>五、</w:t>
      </w:r>
      <w:r>
        <w:rPr>
          <w:rFonts w:hint="eastAsia" w:cs="宋体"/>
          <w:b w:val="0"/>
          <w:color w:val="000000" w:themeColor="text1"/>
          <w:kern w:val="2"/>
          <w:sz w:val="24"/>
          <w:lang w:val="en-US" w:eastAsia="zh-CN" w:bidi="ar-SA"/>
          <w14:textFill>
            <w14:solidFill>
              <w14:schemeClr w14:val="tx1"/>
            </w14:solidFill>
          </w14:textFill>
        </w:rPr>
        <w:t>投标</w:t>
      </w:r>
      <w:r>
        <w:rPr>
          <w:rFonts w:hint="eastAsia" w:ascii="宋体" w:hAnsi="宋体" w:eastAsia="宋体" w:cs="宋体"/>
          <w:b w:val="0"/>
          <w:color w:val="000000" w:themeColor="text1"/>
          <w:kern w:val="2"/>
          <w:sz w:val="24"/>
          <w:lang w:val="en-US" w:eastAsia="zh-CN" w:bidi="ar-SA"/>
          <w14:textFill>
            <w14:solidFill>
              <w14:schemeClr w14:val="tx1"/>
            </w14:solidFill>
          </w14:textFill>
        </w:rPr>
        <w:t>保证金</w:t>
      </w:r>
      <w:bookmarkEnd w:id="30"/>
      <w:bookmarkEnd w:id="31"/>
      <w:bookmarkEnd w:id="32"/>
      <w:bookmarkEnd w:id="33"/>
      <w:bookmarkEnd w:id="34"/>
      <w:bookmarkEnd w:id="35"/>
      <w:bookmarkEnd w:id="36"/>
      <w:bookmarkEnd w:id="37"/>
    </w:p>
    <w:p>
      <w:pPr>
        <w:snapToGrid w:val="0"/>
        <w:spacing w:line="500" w:lineRule="exact"/>
        <w:ind w:firstLine="1200" w:firstLineChars="5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w:t>
      </w:r>
    </w:p>
    <w:p>
      <w:pPr>
        <w:pStyle w:val="4"/>
        <w:spacing w:line="500" w:lineRule="exact"/>
        <w:ind w:firstLine="480" w:firstLineChars="200"/>
        <w:outlineLvl w:val="0"/>
        <w:rPr>
          <w:rFonts w:hint="eastAsia" w:ascii="宋体" w:hAnsi="宋体" w:eastAsia="宋体" w:cs="宋体"/>
          <w:b w:val="0"/>
          <w:color w:val="000000" w:themeColor="text1"/>
          <w:kern w:val="2"/>
          <w:sz w:val="24"/>
          <w:lang w:val="en-US" w:eastAsia="zh-CN" w:bidi="ar-SA"/>
          <w14:textFill>
            <w14:solidFill>
              <w14:schemeClr w14:val="tx1"/>
            </w14:solidFill>
          </w14:textFill>
        </w:rPr>
      </w:pPr>
      <w:bookmarkStart w:id="38" w:name="_Toc1010"/>
      <w:bookmarkStart w:id="39" w:name="_Toc15387"/>
      <w:bookmarkStart w:id="40" w:name="_Toc27429"/>
      <w:bookmarkStart w:id="41" w:name="_Toc38287845"/>
      <w:bookmarkStart w:id="42" w:name="_Toc22888"/>
      <w:bookmarkStart w:id="43" w:name="_Toc19397"/>
      <w:bookmarkStart w:id="44" w:name="_Toc15698"/>
      <w:bookmarkStart w:id="45" w:name="_Toc29778"/>
      <w:r>
        <w:rPr>
          <w:rFonts w:hint="eastAsia" w:ascii="宋体" w:hAnsi="宋体" w:eastAsia="宋体" w:cs="宋体"/>
          <w:b w:val="0"/>
          <w:color w:val="000000" w:themeColor="text1"/>
          <w:kern w:val="2"/>
          <w:sz w:val="24"/>
          <w:lang w:val="en-US" w:eastAsia="zh-CN" w:bidi="ar-SA"/>
          <w14:textFill>
            <w14:solidFill>
              <w14:schemeClr w14:val="tx1"/>
            </w14:solidFill>
          </w14:textFill>
        </w:rPr>
        <w:t>六、采购项目需落实的政府采购政策</w:t>
      </w:r>
      <w:bookmarkEnd w:id="38"/>
      <w:bookmarkEnd w:id="39"/>
      <w:bookmarkEnd w:id="40"/>
      <w:bookmarkEnd w:id="41"/>
      <w:bookmarkEnd w:id="42"/>
      <w:bookmarkEnd w:id="43"/>
      <w:bookmarkEnd w:id="44"/>
      <w:bookmarkEnd w:id="45"/>
    </w:p>
    <w:p>
      <w:pPr>
        <w:snapToGrid w:val="0"/>
        <w:spacing w:line="440" w:lineRule="exact"/>
        <w:ind w:firstLine="480" w:firstLineChars="200"/>
        <w:rPr>
          <w:rFonts w:hint="eastAsia" w:ascii="宋体" w:hAnsi="宋体" w:eastAsia="宋体" w:cs="宋体"/>
          <w:color w:val="auto"/>
          <w:sz w:val="24"/>
          <w:szCs w:val="24"/>
        </w:rPr>
      </w:pPr>
      <w:bookmarkStart w:id="46" w:name="_Toc38287846"/>
      <w:bookmarkStart w:id="47" w:name="_Toc6402"/>
      <w:bookmarkStart w:id="48" w:name="_Toc2365"/>
      <w:r>
        <w:rPr>
          <w:rFonts w:hint="eastAsia" w:ascii="宋体" w:hAnsi="宋体" w:eastAsia="宋体" w:cs="宋体"/>
          <w:color w:val="auto"/>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）按照&lt;财政部、司法部关于政府采购支持监狱企业发展有关问题的通知&gt;（财库〔2014〕68号）的规定，落实支持监狱企业发展政策。</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rPr>
        <w:t>）按照《三部门联合发布关于促进残疾人就业政府采购政策的通知》（财库〔2017〕 141号）的规定，落实支持残疾人福利性单位发展政策。</w:t>
      </w:r>
    </w:p>
    <w:bookmarkEnd w:id="46"/>
    <w:bookmarkEnd w:id="47"/>
    <w:bookmarkEnd w:id="48"/>
    <w:p>
      <w:pPr>
        <w:pStyle w:val="4"/>
        <w:spacing w:line="500" w:lineRule="exact"/>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七、投标有关规定</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bookmarkStart w:id="49" w:name="_Toc25246"/>
      <w:bookmarkStart w:id="50" w:name="_Toc20649"/>
      <w:bookmarkStart w:id="51" w:name="_Toc38287847"/>
      <w:bookmarkStart w:id="52" w:name="_Toc26910"/>
      <w:bookmarkStart w:id="53" w:name="_Toc14614"/>
      <w:bookmarkStart w:id="54" w:name="_Toc19882"/>
      <w:bookmarkStart w:id="55" w:name="_Toc21423"/>
      <w:bookmarkStart w:id="56" w:name="_Toc23186"/>
      <w:r>
        <w:rPr>
          <w:rFonts w:hint="eastAsia" w:ascii="宋体" w:hAnsi="宋体" w:cs="宋体"/>
          <w:color w:val="000000" w:themeColor="text1"/>
          <w:sz w:val="24"/>
          <w:szCs w:val="24"/>
          <w14:textFill>
            <w14:solidFill>
              <w14:schemeClr w14:val="tx1"/>
            </w14:solidFill>
          </w14:textFill>
        </w:rPr>
        <w:t>（一）单位负责人为同一人或者存在直接控股、管理关系的不同投标人，不得参加同一合同项（分包）下的政府采购活动，</w:t>
      </w:r>
      <w:r>
        <w:rPr>
          <w:rFonts w:hint="eastAsia" w:ascii="宋体" w:hAnsi="宋体" w:cs="宋体"/>
          <w:color w:val="000000" w:themeColor="text1"/>
          <w:sz w:val="24"/>
          <w:szCs w:val="24"/>
          <w:u w:val="single"/>
          <w14:textFill>
            <w14:solidFill>
              <w14:schemeClr w14:val="tx1"/>
            </w14:solidFill>
          </w14:textFill>
        </w:rPr>
        <w:t>否则为无效投标。</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（二）为、检测等采购项目提供整体设计、规范编制或者项目管理、监理服务的投标人，不得再参加该采购项目的其他采购活动，</w:t>
      </w:r>
      <w:r>
        <w:rPr>
          <w:rFonts w:hint="eastAsia" w:ascii="宋体" w:hAnsi="宋体" w:cs="宋体"/>
          <w:color w:val="000000" w:themeColor="text1"/>
          <w:sz w:val="24"/>
          <w:szCs w:val="24"/>
          <w:u w:val="single"/>
          <w14:textFill>
            <w14:solidFill>
              <w14:schemeClr w14:val="tx1"/>
            </w14:solidFill>
          </w14:textFill>
        </w:rPr>
        <w:t>否则为无效投标</w:t>
      </w:r>
      <w:r>
        <w:rPr>
          <w:rFonts w:hint="eastAsia" w:ascii="宋体" w:hAnsi="宋体" w:cs="宋体"/>
          <w:color w:val="000000" w:themeColor="text1"/>
          <w:sz w:val="24"/>
          <w:szCs w:val="24"/>
          <w14:textFill>
            <w14:solidFill>
              <w14:schemeClr w14:val="tx1"/>
            </w14:solidFill>
          </w14:textFill>
        </w:rPr>
        <w:t>。</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w:t>
      </w:r>
      <w:r>
        <w:rPr>
          <w:rFonts w:hint="eastAsia" w:ascii="宋体" w:hAnsi="宋体" w:cs="宋体"/>
          <w:color w:val="000000" w:themeColor="text1"/>
          <w:sz w:val="24"/>
          <w:szCs w:val="24"/>
          <w:u w:val="single"/>
          <w14:textFill>
            <w14:solidFill>
              <w14:schemeClr w14:val="tx1"/>
            </w14:solidFill>
          </w14:textFill>
        </w:rPr>
        <w:t>将拒绝其参与政府采购活动</w:t>
      </w:r>
      <w:r>
        <w:rPr>
          <w:rFonts w:hint="eastAsia" w:ascii="宋体" w:hAnsi="宋体" w:cs="宋体"/>
          <w:color w:val="000000" w:themeColor="text1"/>
          <w:sz w:val="24"/>
          <w:szCs w:val="24"/>
          <w14:textFill>
            <w14:solidFill>
              <w14:schemeClr w14:val="tx1"/>
            </w14:solidFill>
          </w14:textFill>
        </w:rPr>
        <w:t>。</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w:t>
      </w:r>
      <w:r>
        <w:rPr>
          <w:rFonts w:hint="eastAsia" w:ascii="宋体" w:hAnsi="宋体" w:cs="宋体"/>
          <w:color w:val="000000" w:themeColor="text1"/>
          <w:sz w:val="24"/>
          <w:szCs w:val="24"/>
          <w:u w:val="single"/>
          <w14:textFill>
            <w14:solidFill>
              <w14:schemeClr w14:val="tx1"/>
            </w14:solidFill>
          </w14:textFill>
        </w:rPr>
        <w:t>本项目不接受联合体，否则为无效投标</w:t>
      </w:r>
      <w:r>
        <w:rPr>
          <w:rFonts w:hint="eastAsia" w:ascii="宋体" w:hAnsi="宋体" w:cs="宋体"/>
          <w:color w:val="000000" w:themeColor="text1"/>
          <w:sz w:val="24"/>
          <w:szCs w:val="24"/>
          <w14:textFill>
            <w14:solidFill>
              <w14:schemeClr w14:val="tx1"/>
            </w14:solidFill>
          </w14:textFill>
        </w:rPr>
        <w:t>。</w:t>
      </w:r>
    </w:p>
    <w:p>
      <w:pPr>
        <w:pStyle w:val="4"/>
        <w:spacing w:line="500" w:lineRule="exact"/>
        <w:ind w:firstLine="480" w:firstLineChars="200"/>
        <w:outlineLvl w:val="0"/>
        <w:rPr>
          <w:rFonts w:hint="eastAsia" w:ascii="宋体" w:hAnsi="宋体" w:eastAsia="宋体" w:cs="宋体"/>
          <w:b w:val="0"/>
          <w:color w:val="000000" w:themeColor="text1"/>
          <w:kern w:val="2"/>
          <w:sz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lang w:val="en-US" w:eastAsia="zh-CN" w:bidi="ar-SA"/>
          <w14:textFill>
            <w14:solidFill>
              <w14:schemeClr w14:val="tx1"/>
            </w14:solidFill>
          </w14:textFill>
        </w:rPr>
        <w:t>八、联系方式</w:t>
      </w:r>
      <w:bookmarkEnd w:id="49"/>
      <w:bookmarkEnd w:id="50"/>
      <w:bookmarkEnd w:id="51"/>
      <w:bookmarkEnd w:id="52"/>
      <w:bookmarkEnd w:id="53"/>
      <w:bookmarkEnd w:id="54"/>
      <w:bookmarkEnd w:id="55"/>
      <w:bookmarkEnd w:id="56"/>
    </w:p>
    <w:p>
      <w:pPr>
        <w:snapToGrid w:val="0"/>
        <w:spacing w:line="500" w:lineRule="exact"/>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（一）采购人：重庆两江新区保安服务有限责任公司</w:t>
      </w:r>
    </w:p>
    <w:p>
      <w:pPr>
        <w:snapToGrid w:val="0"/>
        <w:spacing w:line="500" w:lineRule="exact"/>
        <w:ind w:firstLine="1200" w:firstLineChars="5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联系人： 向老师</w:t>
      </w:r>
    </w:p>
    <w:p>
      <w:pPr>
        <w:snapToGrid w:val="0"/>
        <w:spacing w:line="500" w:lineRule="exact"/>
        <w:ind w:firstLine="1200" w:firstLineChars="5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电  话：15723397886</w:t>
      </w:r>
    </w:p>
    <w:p>
      <w:pPr>
        <w:snapToGrid w:val="0"/>
        <w:spacing w:line="500" w:lineRule="exact"/>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（二）采购代理机构</w:t>
      </w:r>
      <w:r>
        <w:rPr>
          <w:rFonts w:hint="eastAsia" w:ascii="宋体" w:hAnsi="宋体" w:cs="宋体"/>
          <w:color w:val="auto"/>
          <w:sz w:val="24"/>
          <w:szCs w:val="24"/>
          <w:u w:val="none"/>
        </w:rPr>
        <w:t>：</w:t>
      </w:r>
      <w:r>
        <w:rPr>
          <w:rFonts w:hint="eastAsia" w:asciiTheme="minorEastAsia" w:hAnsiTheme="minorEastAsia" w:eastAsiaTheme="minorEastAsia" w:cstheme="minorEastAsia"/>
          <w:b w:val="0"/>
          <w:bCs w:val="0"/>
          <w:color w:val="auto"/>
          <w:sz w:val="24"/>
          <w:szCs w:val="24"/>
          <w:u w:val="none"/>
          <w:lang w:eastAsia="zh-CN"/>
        </w:rPr>
        <w:t>重庆浩讯建设工程咨询有限公司</w:t>
      </w:r>
      <w:r>
        <w:rPr>
          <w:rFonts w:hint="eastAsia" w:ascii="宋体" w:hAnsi="宋体" w:cs="宋体"/>
          <w:color w:val="auto"/>
          <w:sz w:val="24"/>
          <w:szCs w:val="24"/>
        </w:rPr>
        <w:t xml:space="preserve"> </w:t>
      </w:r>
    </w:p>
    <w:p>
      <w:pPr>
        <w:snapToGrid w:val="0"/>
        <w:spacing w:line="500" w:lineRule="exact"/>
        <w:ind w:firstLine="1200" w:firstLineChars="500"/>
        <w:rPr>
          <w:rFonts w:hint="eastAsia" w:ascii="宋体" w:hAnsi="宋体" w:eastAsia="宋体" w:cs="宋体"/>
          <w:color w:val="auto"/>
          <w:sz w:val="24"/>
          <w:szCs w:val="24"/>
          <w:lang w:val="en-US" w:eastAsia="zh-CN"/>
        </w:rPr>
      </w:pPr>
      <w:r>
        <w:rPr>
          <w:rFonts w:hint="eastAsia" w:ascii="宋体" w:hAnsi="宋体" w:cs="宋体"/>
          <w:color w:val="auto"/>
          <w:sz w:val="24"/>
          <w:szCs w:val="24"/>
        </w:rPr>
        <w:t xml:space="preserve">联系人： </w:t>
      </w:r>
      <w:r>
        <w:rPr>
          <w:rFonts w:hint="eastAsia" w:ascii="宋体" w:hAnsi="宋体" w:cs="宋体"/>
          <w:color w:val="auto"/>
          <w:sz w:val="24"/>
          <w:szCs w:val="24"/>
          <w:lang w:val="en-US" w:eastAsia="zh-CN"/>
        </w:rPr>
        <w:t>李老师</w:t>
      </w:r>
    </w:p>
    <w:p>
      <w:pPr>
        <w:snapToGrid w:val="0"/>
        <w:spacing w:line="500" w:lineRule="exact"/>
        <w:ind w:firstLine="1200" w:firstLineChars="500"/>
        <w:rPr>
          <w:rFonts w:hint="default" w:ascii="宋体" w:hAnsi="宋体" w:eastAsia="宋体" w:cs="宋体"/>
          <w:color w:val="auto"/>
          <w:sz w:val="24"/>
          <w:szCs w:val="24"/>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13436040613</w:t>
      </w:r>
    </w:p>
    <w:p>
      <w:pPr>
        <w:snapToGrid w:val="0"/>
        <w:spacing w:line="50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pPr>
        <w:snapToGrid w:val="0"/>
        <w:spacing w:line="500" w:lineRule="exact"/>
        <w:ind w:firstLine="723" w:firstLineChars="300"/>
        <w:jc w:val="left"/>
        <w:rPr>
          <w:rFonts w:hint="eastAsia" w:ascii="宋体" w:hAnsi="宋体" w:cs="宋体"/>
          <w:b/>
          <w:bCs/>
          <w:color w:val="auto"/>
          <w:sz w:val="24"/>
          <w:szCs w:val="24"/>
        </w:rPr>
      </w:pPr>
      <w:r>
        <w:rPr>
          <w:rFonts w:hint="eastAsia" w:ascii="宋体" w:hAnsi="宋体" w:cs="宋体"/>
          <w:b/>
          <w:bCs/>
          <w:color w:val="000000" w:themeColor="text1"/>
          <w:sz w:val="24"/>
          <w:szCs w:val="24"/>
          <w14:textFill>
            <w14:solidFill>
              <w14:schemeClr w14:val="tx1"/>
            </w14:solidFill>
          </w14:textFill>
        </w:rPr>
        <w:t>注：投标人如有质疑的，由采购代理机构统一接收。投标人可采取将质疑函盖章扫描后同质疑函电子版本（word版）发送到采购</w:t>
      </w:r>
      <w:r>
        <w:rPr>
          <w:rFonts w:hint="eastAsia" w:ascii="宋体" w:hAnsi="宋体" w:cs="宋体"/>
          <w:b/>
          <w:bCs/>
          <w:color w:val="auto"/>
          <w:sz w:val="24"/>
          <w:szCs w:val="24"/>
        </w:rPr>
        <w:t>代理机构联系人邮箱（</w:t>
      </w:r>
      <w:r>
        <w:rPr>
          <w:rFonts w:hint="eastAsia" w:ascii="宋体" w:hAnsi="宋体" w:cs="宋体"/>
          <w:b/>
          <w:bCs/>
          <w:color w:val="auto"/>
          <w:sz w:val="24"/>
          <w:szCs w:val="24"/>
          <w:lang w:val="en-US" w:eastAsia="zh-CN"/>
        </w:rPr>
        <w:t>2280164915@qq.com</w:t>
      </w:r>
      <w:r>
        <w:rPr>
          <w:rFonts w:hint="eastAsia" w:ascii="宋体" w:hAnsi="宋体" w:cs="宋体"/>
          <w:b/>
          <w:bCs/>
          <w:color w:val="auto"/>
          <w:sz w:val="24"/>
          <w:szCs w:val="24"/>
        </w:rPr>
        <w:t xml:space="preserve"> ）。</w:t>
      </w:r>
    </w:p>
    <w:p>
      <w:pPr>
        <w:bidi w:val="0"/>
        <w:rPr>
          <w:rFonts w:hint="eastAsia"/>
        </w:rPr>
        <w:sectPr>
          <w:footerReference r:id="rId7" w:type="default"/>
          <w:pgSz w:w="11907" w:h="16840"/>
          <w:pgMar w:top="1134" w:right="1191" w:bottom="1134" w:left="1304" w:header="964" w:footer="992" w:gutter="0"/>
          <w:pgNumType w:fmt="decimal" w:start="1"/>
          <w:cols w:space="720" w:num="1"/>
          <w:docGrid w:linePitch="312" w:charSpace="0"/>
        </w:sectPr>
      </w:pPr>
      <w:r>
        <w:rPr>
          <w:rFonts w:hint="eastAsia" w:ascii="宋体" w:hAnsi="宋体" w:eastAsia="宋体" w:cs="宋体"/>
          <w:color w:val="000000" w:themeColor="text1"/>
          <w14:textFill>
            <w14:solidFill>
              <w14:schemeClr w14:val="tx1"/>
            </w14:solidFill>
          </w14:textFill>
        </w:rPr>
        <w:br w:type="page"/>
      </w:r>
    </w:p>
    <w:p>
      <w:pPr>
        <w:bidi w:val="0"/>
        <w:rPr>
          <w:rFonts w:hint="eastAsia"/>
        </w:rPr>
      </w:pPr>
      <w:bookmarkStart w:id="57" w:name="_Toc21559"/>
      <w:bookmarkStart w:id="58" w:name="_Toc20751"/>
      <w:bookmarkStart w:id="59" w:name="_Toc13529"/>
      <w:bookmarkStart w:id="60" w:name="_Toc3822"/>
      <w:bookmarkStart w:id="61" w:name="_Toc38287848"/>
      <w:bookmarkStart w:id="62" w:name="_Toc27663"/>
      <w:bookmarkStart w:id="63" w:name="_Toc21495"/>
      <w:bookmarkStart w:id="64" w:name="_Toc8615"/>
    </w:p>
    <w:p>
      <w:pPr>
        <w:pStyle w:val="3"/>
        <w:spacing w:beforeLines="0" w:afterLines="0" w:line="600" w:lineRule="exact"/>
        <w:ind w:right="-92" w:rightChars="-33"/>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第二篇 项目服务需求</w:t>
      </w:r>
      <w:bookmarkEnd w:id="57"/>
      <w:bookmarkEnd w:id="58"/>
      <w:bookmarkEnd w:id="59"/>
      <w:bookmarkEnd w:id="60"/>
      <w:bookmarkEnd w:id="61"/>
      <w:bookmarkEnd w:id="62"/>
      <w:bookmarkEnd w:id="63"/>
      <w:bookmarkEnd w:id="64"/>
      <w:bookmarkStart w:id="65" w:name="_Toc38287849"/>
    </w:p>
    <w:bookmarkEnd w:id="65"/>
    <w:p>
      <w:pPr>
        <w:pStyle w:val="4"/>
        <w:spacing w:line="500" w:lineRule="exact"/>
        <w:ind w:firstLine="480" w:firstLineChars="200"/>
        <w:outlineLvl w:val="0"/>
        <w:rPr>
          <w:rFonts w:hint="eastAsia" w:ascii="宋体" w:hAnsi="宋体" w:eastAsia="宋体" w:cs="宋体"/>
          <w:b w:val="0"/>
          <w:color w:val="auto"/>
          <w:kern w:val="2"/>
          <w:sz w:val="24"/>
          <w:lang w:val="en-US" w:eastAsia="zh-CN" w:bidi="ar-SA"/>
        </w:rPr>
      </w:pPr>
      <w:bookmarkStart w:id="66" w:name="_Toc22784"/>
      <w:bookmarkStart w:id="67" w:name="_Toc21093"/>
      <w:bookmarkStart w:id="68" w:name="_Toc9777"/>
      <w:bookmarkStart w:id="69" w:name="_Toc31495"/>
      <w:bookmarkStart w:id="70" w:name="_Toc10062"/>
      <w:bookmarkStart w:id="71" w:name="_Toc15826"/>
      <w:bookmarkStart w:id="72" w:name="_Toc38287852"/>
      <w:r>
        <w:rPr>
          <w:rFonts w:hint="eastAsia" w:ascii="宋体" w:hAnsi="宋体" w:eastAsia="宋体" w:cs="宋体"/>
          <w:b w:val="0"/>
          <w:color w:val="auto"/>
          <w:kern w:val="2"/>
          <w:sz w:val="24"/>
          <w:lang w:val="en-US" w:eastAsia="zh-CN" w:bidi="ar-SA"/>
        </w:rPr>
        <w:t>一、采购参数</w:t>
      </w:r>
      <w:bookmarkEnd w:id="66"/>
      <w:bookmarkEnd w:id="67"/>
      <w:bookmarkEnd w:id="68"/>
      <w:bookmarkEnd w:id="69"/>
      <w:bookmarkEnd w:id="70"/>
    </w:p>
    <w:tbl>
      <w:tblPr>
        <w:tblStyle w:val="23"/>
        <w:tblpPr w:leftFromText="180" w:rightFromText="180" w:vertAnchor="text" w:horzAnchor="page" w:tblpXSpec="center" w:tblpY="30"/>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7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外观尺寸</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w:t>
            </w:r>
            <w:r>
              <w:rPr>
                <w:rFonts w:ascii="宋体" w:hAnsi="宋体" w:cs="宋体"/>
                <w:color w:val="000000"/>
                <w:sz w:val="21"/>
                <w:szCs w:val="21"/>
                <w:lang w:bidi="ar"/>
              </w:rPr>
              <w:t>3</w:t>
            </w:r>
            <w:r>
              <w:rPr>
                <w:rFonts w:hint="eastAsia" w:ascii="宋体" w:hAnsi="宋体" w:cs="宋体"/>
                <w:color w:val="000000"/>
                <w:sz w:val="21"/>
                <w:szCs w:val="21"/>
                <w:lang w:bidi="ar"/>
              </w:rPr>
              <w:t>610</w:t>
            </w:r>
            <w:r>
              <w:rPr>
                <w:rFonts w:ascii="宋体" w:hAnsi="宋体" w:cs="宋体"/>
                <w:color w:val="000000"/>
                <w:sz w:val="21"/>
                <w:szCs w:val="21"/>
                <w:lang w:bidi="ar"/>
              </w:rPr>
              <w:t>×1</w:t>
            </w:r>
            <w:r>
              <w:rPr>
                <w:rFonts w:hint="eastAsia" w:ascii="宋体" w:hAnsi="宋体" w:cs="宋体"/>
                <w:color w:val="000000"/>
                <w:sz w:val="21"/>
                <w:szCs w:val="21"/>
                <w:lang w:bidi="ar"/>
              </w:rPr>
              <w:t>6</w:t>
            </w:r>
            <w:r>
              <w:rPr>
                <w:rFonts w:ascii="宋体" w:hAnsi="宋体" w:cs="宋体"/>
                <w:color w:val="000000"/>
                <w:sz w:val="21"/>
                <w:szCs w:val="21"/>
                <w:lang w:bidi="ar"/>
              </w:rPr>
              <w:t>5</w:t>
            </w:r>
            <w:r>
              <w:rPr>
                <w:rFonts w:hint="eastAsia" w:ascii="宋体" w:hAnsi="宋体" w:cs="宋体"/>
                <w:color w:val="000000"/>
                <w:sz w:val="21"/>
                <w:szCs w:val="21"/>
                <w:lang w:bidi="ar"/>
              </w:rPr>
              <w:t>2</w:t>
            </w:r>
            <w:r>
              <w:rPr>
                <w:rFonts w:ascii="宋体" w:hAnsi="宋体" w:cs="宋体"/>
                <w:color w:val="000000"/>
                <w:sz w:val="21"/>
                <w:szCs w:val="21"/>
                <w:lang w:bidi="ar"/>
              </w:rPr>
              <w:t>×1</w:t>
            </w:r>
            <w:r>
              <w:rPr>
                <w:rFonts w:hint="eastAsia" w:ascii="宋体" w:hAnsi="宋体" w:cs="宋体"/>
                <w:color w:val="000000"/>
                <w:sz w:val="21"/>
                <w:szCs w:val="21"/>
                <w:lang w:bidi="ar"/>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额定乘员</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轴  距</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w:t>
            </w:r>
            <w:r>
              <w:rPr>
                <w:rFonts w:ascii="宋体" w:hAnsi="宋体" w:cs="宋体"/>
                <w:color w:val="000000"/>
                <w:sz w:val="21"/>
                <w:szCs w:val="21"/>
                <w:lang w:bidi="ar"/>
              </w:rPr>
              <w:t>2</w:t>
            </w:r>
            <w:r>
              <w:rPr>
                <w:rFonts w:hint="eastAsia" w:ascii="宋体" w:hAnsi="宋体" w:cs="宋体"/>
                <w:color w:val="000000"/>
                <w:sz w:val="21"/>
                <w:szCs w:val="21"/>
                <w:lang w:bidi="ar"/>
              </w:rPr>
              <w:t>39</w:t>
            </w:r>
            <w:r>
              <w:rPr>
                <w:rFonts w:ascii="宋体" w:hAnsi="宋体" w:cs="宋体"/>
                <w:color w:val="000000"/>
                <w:sz w:val="21"/>
                <w:szCs w:val="21"/>
                <w:lang w:bidi="ar"/>
              </w:rPr>
              <w:t>0</w:t>
            </w:r>
            <w:r>
              <w:rPr>
                <w:rFonts w:hint="eastAsia" w:ascii="宋体" w:hAnsi="宋体" w:cs="宋体"/>
                <w:color w:val="000000"/>
                <w:sz w:val="21"/>
                <w:szCs w:val="21"/>
                <w:lang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前/后轮距</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≥1400</w:t>
            </w:r>
            <w:r>
              <w:rPr>
                <w:rFonts w:ascii="宋体" w:hAnsi="宋体" w:cs="宋体"/>
                <w:color w:val="000000"/>
                <w:sz w:val="21"/>
                <w:szCs w:val="21"/>
                <w:lang w:bidi="ar"/>
              </w:rPr>
              <w:t>/</w:t>
            </w:r>
            <w:r>
              <w:rPr>
                <w:rFonts w:hint="eastAsia" w:ascii="宋体" w:hAnsi="宋体" w:cs="宋体"/>
                <w:color w:val="000000"/>
                <w:sz w:val="21"/>
                <w:szCs w:val="21"/>
                <w:lang w:bidi="ar"/>
              </w:rPr>
              <w:t>1400</w:t>
            </w:r>
            <w:r>
              <w:rPr>
                <w:rFonts w:ascii="宋体" w:hAnsi="宋体" w:cs="宋体"/>
                <w:color w:val="000000"/>
                <w:sz w:val="21"/>
                <w:szCs w:val="21"/>
                <w:lang w:bidi="ar"/>
              </w:rPr>
              <w:t>(</w:t>
            </w:r>
            <w:r>
              <w:rPr>
                <w:rFonts w:hint="eastAsia" w:ascii="宋体" w:hAnsi="宋体" w:cs="宋体"/>
                <w:color w:val="000000"/>
                <w:sz w:val="21"/>
                <w:szCs w:val="21"/>
                <w:lang w:bidi="ar"/>
              </w:rPr>
              <w:t>mm</w:t>
            </w:r>
            <w:r>
              <w:rPr>
                <w:rFonts w:ascii="宋体" w:hAnsi="宋体" w:cs="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最小离地间隙</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≥140mm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最小转弯半径</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爬坡能力</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最高时速</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≥100km</w:t>
            </w:r>
            <w:r>
              <w:rPr>
                <w:rFonts w:ascii="宋体" w:hAnsi="宋体" w:cs="宋体"/>
                <w:color w:val="000000"/>
                <w:sz w:val="21"/>
                <w:szCs w:val="21"/>
                <w:lang w:bidi="ar"/>
              </w:rPr>
              <w:t>/</w:t>
            </w:r>
            <w:r>
              <w:rPr>
                <w:rFonts w:hint="eastAsia" w:ascii="宋体" w:hAnsi="宋体" w:cs="宋体"/>
                <w:color w:val="000000"/>
                <w:sz w:val="21"/>
                <w:szCs w:val="21"/>
                <w:lang w:bidi="ar"/>
              </w:rPr>
              <w:t>h</w:t>
            </w:r>
            <w:r>
              <w:rPr>
                <w:rFonts w:ascii="宋体" w:hAnsi="宋体" w:cs="宋体"/>
                <w:color w:val="000000"/>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★续航里程</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≥300km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★电  机</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永磁同步电机，功率不低于55</w:t>
            </w:r>
            <w:r>
              <w:rPr>
                <w:rFonts w:ascii="宋体" w:hAnsi="宋体" w:cs="宋体"/>
                <w:color w:val="000000"/>
                <w:sz w:val="21"/>
                <w:szCs w:val="21"/>
                <w:lang w:bidi="ar"/>
              </w:rPr>
              <w:t xml:space="preserve">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变速箱</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固定齿比变速箱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★电  池</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磷酸铁锂电池不低于30k</w:t>
            </w:r>
            <w:r>
              <w:rPr>
                <w:rFonts w:ascii="宋体" w:hAnsi="宋体" w:cs="宋体"/>
                <w:color w:val="000000"/>
                <w:sz w:val="21"/>
                <w:szCs w:val="21"/>
                <w:lang w:bidi="ar"/>
              </w:rPr>
              <w:t>W.</w:t>
            </w:r>
            <w:r>
              <w:rPr>
                <w:rFonts w:hint="eastAsia" w:ascii="宋体" w:hAnsi="宋体" w:cs="宋体"/>
                <w:color w:val="000000"/>
                <w:sz w:val="21"/>
                <w:szCs w:val="21"/>
                <w:lang w:bidi="ar"/>
              </w:rPr>
              <w:t>h液冷锂电池组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★充电系统</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车载充电机+外置家用3</w:t>
            </w:r>
            <w:r>
              <w:rPr>
                <w:rFonts w:ascii="宋体" w:hAnsi="宋体" w:cs="宋体"/>
                <w:color w:val="000000"/>
                <w:sz w:val="21"/>
                <w:szCs w:val="21"/>
                <w:lang w:bidi="ar"/>
              </w:rPr>
              <w:t>.3KW</w:t>
            </w:r>
            <w:r>
              <w:rPr>
                <w:rFonts w:hint="eastAsia" w:ascii="宋体" w:hAnsi="宋体" w:cs="宋体"/>
                <w:color w:val="000000"/>
                <w:sz w:val="21"/>
                <w:szCs w:val="21"/>
                <w:lang w:bidi="ar"/>
              </w:rPr>
              <w:t>连接线，国标快慢充接口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充电时间</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快充0.6小时，慢充5小时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动力驱动</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制动系统</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前后通风盘式+电子驻车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前桥及悬挂</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麦弗逊式独立悬架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后桥及悬挂</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扭力梁式非独立悬架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轮胎/轮毂</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轮胎规格165/65</w:t>
            </w:r>
            <w:r>
              <w:rPr>
                <w:rFonts w:ascii="宋体" w:hAnsi="宋体" w:cs="宋体"/>
                <w:color w:val="000000"/>
                <w:sz w:val="21"/>
                <w:szCs w:val="21"/>
                <w:lang w:bidi="ar"/>
              </w:rPr>
              <w:t>R1</w:t>
            </w:r>
            <w:r>
              <w:rPr>
                <w:rFonts w:hint="eastAsia" w:ascii="宋体" w:hAnsi="宋体" w:cs="宋体"/>
                <w:color w:val="000000"/>
                <w:sz w:val="21"/>
                <w:szCs w:val="21"/>
                <w:lang w:bidi="ar"/>
              </w:rPr>
              <w:t>5</w:t>
            </w:r>
            <w:r>
              <w:rPr>
                <w:rFonts w:ascii="宋体" w:hAnsi="宋体" w:cs="宋体"/>
                <w:color w:val="000000"/>
                <w:sz w:val="21"/>
                <w:szCs w:val="21"/>
                <w:lang w:bidi="ar"/>
              </w:rPr>
              <w:t xml:space="preserve"> </w:t>
            </w:r>
            <w:r>
              <w:rPr>
                <w:rFonts w:hint="eastAsia" w:ascii="宋体" w:hAnsi="宋体" w:cs="宋体"/>
                <w:color w:val="000000"/>
                <w:sz w:val="21"/>
                <w:szCs w:val="21"/>
                <w:lang w:bidi="ar"/>
              </w:rPr>
              <w:t>，铝合金轮毂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座  椅</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织布+透气网布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后视镜</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电动外后视镜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1849" w:type="dxa"/>
            <w:shd w:val="clear" w:color="auto" w:fill="auto"/>
            <w:vAlign w:val="center"/>
          </w:tcPr>
          <w:p>
            <w:pPr>
              <w:rPr>
                <w:rFonts w:hint="eastAsia" w:ascii="宋体" w:hAnsi="宋体" w:cs="宋体"/>
                <w:color w:val="000000"/>
                <w:sz w:val="21"/>
                <w:szCs w:val="21"/>
                <w:lang w:bidi="ar"/>
              </w:rPr>
            </w:pPr>
            <w:r>
              <w:rPr>
                <w:rFonts w:ascii="宋体" w:hAnsi="宋体" w:cs="宋体"/>
                <w:color w:val="000000"/>
                <w:sz w:val="21"/>
                <w:szCs w:val="21"/>
                <w:lang w:bidi="ar"/>
              </w:rPr>
              <w:t>驾驶模式切换</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运动、经济、标准/舒适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★换挡方式</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电子怀式换挡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方向盘</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多功能方向盘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★安全辅助功能</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ABS防抱死、（EBD/CBC）制动力分配系统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影音系统</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不低于10寸触控显示屏（倒车影像/集成语音系统/导航功能/收音机功能）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语音识别控制</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多媒体系统、导航、电话、空调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远程启动功能</w:t>
            </w:r>
          </w:p>
        </w:tc>
        <w:tc>
          <w:tcPr>
            <w:tcW w:w="7411"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APP远程车况查询/诊断、 车辆定位/寻车、车辆启动、充电管理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849" w:type="dxa"/>
            <w:shd w:val="clear" w:color="auto" w:fill="auto"/>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灯光及信号</w:t>
            </w:r>
          </w:p>
        </w:tc>
        <w:tc>
          <w:tcPr>
            <w:tcW w:w="7411" w:type="dxa"/>
            <w:shd w:val="clear" w:color="auto" w:fill="auto"/>
            <w:vAlign w:val="center"/>
          </w:tcPr>
          <w:p>
            <w:pPr>
              <w:jc w:val="center"/>
              <w:rPr>
                <w:rFonts w:hint="eastAsia" w:ascii="宋体" w:hAnsi="宋体" w:cs="宋体"/>
                <w:color w:val="000000"/>
                <w:sz w:val="21"/>
                <w:szCs w:val="21"/>
                <w:lang w:bidi="ar"/>
              </w:rPr>
            </w:pPr>
            <w:r>
              <w:rPr>
                <w:rFonts w:hint="eastAsia" w:ascii="宋体" w:hAnsi="宋体" w:cs="宋体"/>
                <w:color w:val="000000"/>
                <w:sz w:val="21"/>
                <w:szCs w:val="21"/>
                <w:lang w:bidi="ar"/>
              </w:rPr>
              <w:t>前近光灯/远光灯/倒车灯/转向灯/大灯高度调节 /安全带未系警告/车门未关警告 /遥控中央门锁/胎压显示</w:t>
            </w:r>
          </w:p>
        </w:tc>
      </w:tr>
    </w:tbl>
    <w:p>
      <w:pPr>
        <w:widowControl/>
        <w:jc w:val="center"/>
        <w:rPr>
          <w:rFonts w:hint="eastAsia" w:ascii="宋体" w:hAnsi="宋体" w:cs="宋体"/>
          <w:color w:val="000000" w:themeColor="text1"/>
          <w:sz w:val="44"/>
          <w14:textFill>
            <w14:solidFill>
              <w14:schemeClr w14:val="tx1"/>
            </w14:solidFill>
          </w14:textFill>
        </w:rPr>
      </w:pPr>
    </w:p>
    <w:p>
      <w:pPr>
        <w:widowControl/>
        <w:jc w:val="center"/>
        <w:rPr>
          <w:rFonts w:hint="eastAsia" w:ascii="宋体" w:hAnsi="宋体" w:cs="宋体"/>
          <w:color w:val="000000" w:themeColor="text1"/>
          <w:sz w:val="44"/>
          <w14:textFill>
            <w14:solidFill>
              <w14:schemeClr w14:val="tx1"/>
            </w14:solidFill>
          </w14:textFill>
        </w:rPr>
      </w:pPr>
    </w:p>
    <w:p>
      <w:pPr>
        <w:widowControl/>
        <w:rPr>
          <w:rFonts w:hint="eastAsia" w:ascii="宋体" w:hAnsi="宋体" w:cs="宋体"/>
          <w:color w:val="000000" w:themeColor="text1"/>
          <w:sz w:val="44"/>
          <w14:textFill>
            <w14:solidFill>
              <w14:schemeClr w14:val="tx1"/>
            </w14:solidFill>
          </w14:textFill>
        </w:rPr>
      </w:pPr>
    </w:p>
    <w:bookmarkEnd w:id="71"/>
    <w:bookmarkEnd w:id="72"/>
    <w:p>
      <w:pPr>
        <w:widowControl/>
        <w:jc w:val="center"/>
        <w:rPr>
          <w:rFonts w:hint="eastAsia" w:ascii="宋体" w:hAnsi="宋体" w:cs="宋体"/>
          <w:color w:val="000000" w:themeColor="text1"/>
          <w:sz w:val="44"/>
          <w14:textFill>
            <w14:solidFill>
              <w14:schemeClr w14:val="tx1"/>
            </w14:solidFill>
          </w14:textFill>
        </w:rPr>
      </w:pPr>
      <w:r>
        <w:rPr>
          <w:rFonts w:hint="eastAsia" w:ascii="宋体" w:hAnsi="宋体" w:cs="宋体"/>
          <w:color w:val="000000" w:themeColor="text1"/>
          <w:sz w:val="44"/>
          <w14:textFill>
            <w14:solidFill>
              <w14:schemeClr w14:val="tx1"/>
            </w14:solidFill>
          </w14:textFill>
        </w:rPr>
        <w:t>第三篇  项目商务需求</w:t>
      </w:r>
    </w:p>
    <w:p>
      <w:pPr>
        <w:snapToGrid w:val="0"/>
        <w:spacing w:line="360" w:lineRule="exact"/>
        <w:rPr>
          <w:rFonts w:hint="eastAsia" w:ascii="宋体" w:hAnsi="宋体" w:cs="宋体"/>
          <w:color w:val="000000" w:themeColor="text1"/>
          <w:kern w:val="0"/>
          <w:sz w:val="24"/>
          <w:szCs w:val="24"/>
          <w14:textFill>
            <w14:solidFill>
              <w14:schemeClr w14:val="tx1"/>
            </w14:solidFill>
          </w14:textFill>
        </w:rPr>
      </w:pPr>
    </w:p>
    <w:p>
      <w:pPr>
        <w:pStyle w:val="4"/>
        <w:widowControl/>
        <w:spacing w:line="240" w:lineRule="auto"/>
        <w:ind w:firstLine="482"/>
        <w:rPr>
          <w:rFonts w:hint="eastAsia" w:cs="宋体"/>
          <w:sz w:val="24"/>
          <w:szCs w:val="24"/>
        </w:rPr>
      </w:pPr>
      <w:bookmarkStart w:id="73" w:name="_Toc26369"/>
      <w:bookmarkStart w:id="74" w:name="_Toc340223144"/>
      <w:bookmarkStart w:id="75" w:name="_Toc4743927"/>
      <w:r>
        <w:rPr>
          <w:rFonts w:cs="宋体"/>
          <w:sz w:val="24"/>
          <w:szCs w:val="24"/>
        </w:rPr>
        <w:t>一、实施（交货）时间</w:t>
      </w:r>
      <w:bookmarkEnd w:id="73"/>
      <w:bookmarkEnd w:id="74"/>
      <w:r>
        <w:rPr>
          <w:rFonts w:cs="宋体"/>
          <w:sz w:val="24"/>
          <w:szCs w:val="24"/>
        </w:rPr>
        <w:t>、延期交货的处罚</w:t>
      </w:r>
      <w:bookmarkEnd w:id="75"/>
    </w:p>
    <w:p>
      <w:pPr>
        <w:spacing w:line="400" w:lineRule="exact"/>
        <w:ind w:firstLine="480" w:firstLineChars="200"/>
        <w:jc w:val="left"/>
        <w:rPr>
          <w:rFonts w:hint="eastAsia" w:ascii="宋体" w:hAnsi="宋体" w:cs="宋体"/>
        </w:rPr>
      </w:pPr>
      <w:bookmarkStart w:id="76" w:name="_Toc393274507"/>
      <w:bookmarkStart w:id="77" w:name="_Toc267320050"/>
      <w:r>
        <w:rPr>
          <w:rFonts w:hint="eastAsia" w:ascii="宋体" w:hAnsi="宋体" w:cs="宋体"/>
          <w:sz w:val="24"/>
          <w:lang w:bidi="ar"/>
        </w:rPr>
        <w:t>（1）交货时间</w:t>
      </w:r>
    </w:p>
    <w:p>
      <w:pPr>
        <w:spacing w:line="400" w:lineRule="exact"/>
        <w:ind w:firstLine="480" w:firstLineChars="200"/>
        <w:jc w:val="left"/>
        <w:rPr>
          <w:rFonts w:hint="eastAsia" w:ascii="宋体" w:hAnsi="宋体" w:cs="宋体"/>
          <w:color w:val="auto"/>
        </w:rPr>
      </w:pPr>
      <w:r>
        <w:rPr>
          <w:rFonts w:hint="eastAsia" w:ascii="宋体" w:hAnsi="宋体" w:cs="宋体"/>
          <w:color w:val="auto"/>
          <w:sz w:val="24"/>
          <w:lang w:bidi="ar"/>
        </w:rPr>
        <w:t>须在1</w:t>
      </w:r>
      <w:r>
        <w:rPr>
          <w:rFonts w:hint="eastAsia" w:ascii="宋体" w:hAnsi="宋体" w:cs="宋体"/>
          <w:color w:val="auto"/>
          <w:sz w:val="24"/>
          <w:lang w:val="en-US" w:eastAsia="zh-CN" w:bidi="ar"/>
        </w:rPr>
        <w:t>5</w:t>
      </w:r>
      <w:r>
        <w:rPr>
          <w:rFonts w:hint="eastAsia" w:ascii="宋体" w:hAnsi="宋体" w:cs="宋体"/>
          <w:color w:val="auto"/>
          <w:sz w:val="24"/>
          <w:lang w:bidi="ar"/>
        </w:rPr>
        <w:t>个日历天内完成供货工作</w:t>
      </w:r>
    </w:p>
    <w:p>
      <w:pPr>
        <w:spacing w:line="400" w:lineRule="exact"/>
        <w:ind w:firstLine="480" w:firstLineChars="200"/>
        <w:jc w:val="left"/>
        <w:rPr>
          <w:rFonts w:hint="eastAsia" w:ascii="宋体" w:hAnsi="宋体" w:cs="宋体"/>
        </w:rPr>
      </w:pPr>
      <w:r>
        <w:rPr>
          <w:rFonts w:hint="eastAsia" w:ascii="宋体" w:hAnsi="宋体" w:cs="宋体"/>
          <w:sz w:val="24"/>
          <w:lang w:bidi="ar"/>
        </w:rPr>
        <w:t>（2）延期交货的处罚：</w:t>
      </w:r>
    </w:p>
    <w:p>
      <w:pPr>
        <w:spacing w:line="400" w:lineRule="exact"/>
        <w:ind w:firstLine="480" w:firstLineChars="200"/>
        <w:jc w:val="left"/>
        <w:rPr>
          <w:rFonts w:hint="eastAsia" w:ascii="宋体" w:hAnsi="宋体" w:cs="宋体"/>
        </w:rPr>
      </w:pPr>
      <w:r>
        <w:rPr>
          <w:rFonts w:eastAsia="仿宋_GB2312"/>
          <w:sz w:val="24"/>
          <w:lang w:bidi="ar"/>
        </w:rPr>
        <w:fldChar w:fldCharType="begin"/>
      </w:r>
      <w:r>
        <w:rPr>
          <w:rFonts w:hint="eastAsia" w:ascii="宋体" w:hAnsi="宋体" w:cs="宋体"/>
          <w:sz w:val="24"/>
          <w:lang w:bidi="ar"/>
        </w:rPr>
        <w:instrText xml:space="preserve"> = 1 \* GB3 \* MERGEFORMAT </w:instrText>
      </w:r>
      <w:r>
        <w:rPr>
          <w:rFonts w:ascii="宋体" w:hAnsi="宋体" w:cs="宋体"/>
          <w:sz w:val="24"/>
          <w:lang w:bidi="ar"/>
        </w:rPr>
        <w:fldChar w:fldCharType="separate"/>
      </w:r>
      <w:r>
        <w:rPr>
          <w:rFonts w:hint="eastAsia" w:ascii="宋体" w:hAnsi="宋体" w:cs="宋体"/>
          <w:sz w:val="24"/>
          <w:lang w:bidi="ar"/>
        </w:rPr>
        <w:t>①</w:t>
      </w:r>
      <w:r>
        <w:rPr>
          <w:rFonts w:eastAsia="仿宋_GB2312"/>
          <w:sz w:val="24"/>
          <w:lang w:bidi="ar"/>
        </w:rPr>
        <w:fldChar w:fldCharType="end"/>
      </w:r>
      <w:r>
        <w:rPr>
          <w:rFonts w:hint="eastAsia" w:ascii="宋体" w:hAnsi="宋体" w:cs="宋体"/>
          <w:sz w:val="24"/>
          <w:lang w:bidi="ar"/>
        </w:rPr>
        <w:t xml:space="preserve"> 中标人必须按批准的合同中约定时间组织货物供应，如因采购人原因造成交货延误，则协商顺延。</w:t>
      </w:r>
    </w:p>
    <w:p>
      <w:pPr>
        <w:spacing w:line="400" w:lineRule="exact"/>
        <w:ind w:firstLine="480" w:firstLineChars="200"/>
        <w:jc w:val="left"/>
        <w:rPr>
          <w:rFonts w:hint="eastAsia" w:ascii="宋体" w:hAnsi="宋体" w:cs="宋体"/>
        </w:rPr>
      </w:pPr>
      <w:bookmarkStart w:id="78" w:name="_Toc153679099"/>
      <w:r>
        <w:rPr>
          <w:rFonts w:eastAsia="仿宋_GB2312"/>
          <w:sz w:val="24"/>
          <w:lang w:bidi="ar"/>
        </w:rPr>
        <w:fldChar w:fldCharType="begin"/>
      </w:r>
      <w:r>
        <w:rPr>
          <w:rFonts w:hint="eastAsia" w:ascii="宋体" w:hAnsi="宋体" w:cs="宋体"/>
          <w:sz w:val="24"/>
          <w:lang w:bidi="ar"/>
        </w:rPr>
        <w:instrText xml:space="preserve"> = 2 \* GB3 \* MERGEFORMAT </w:instrText>
      </w:r>
      <w:r>
        <w:rPr>
          <w:rFonts w:ascii="宋体" w:hAnsi="宋体" w:cs="宋体"/>
          <w:sz w:val="24"/>
          <w:lang w:bidi="ar"/>
        </w:rPr>
        <w:fldChar w:fldCharType="separate"/>
      </w:r>
      <w:r>
        <w:rPr>
          <w:rFonts w:hint="eastAsia" w:ascii="宋体" w:hAnsi="宋体" w:cs="宋体"/>
          <w:sz w:val="24"/>
          <w:lang w:bidi="ar"/>
        </w:rPr>
        <w:t>②</w:t>
      </w:r>
      <w:r>
        <w:rPr>
          <w:rFonts w:eastAsia="仿宋_GB2312"/>
          <w:sz w:val="24"/>
          <w:lang w:bidi="ar"/>
        </w:rPr>
        <w:fldChar w:fldCharType="end"/>
      </w:r>
      <w:r>
        <w:rPr>
          <w:rFonts w:hint="eastAsia" w:ascii="宋体" w:hAnsi="宋体" w:cs="宋体"/>
          <w:sz w:val="24"/>
          <w:lang w:bidi="ar"/>
        </w:rPr>
        <w:t xml:space="preserve"> 如供货方未按期交货，每延期1天需向采购人交当次应付总金额5‰/天的违约金；延期30天仍未完成交货的，采购人有权单方终止合同，对采购人造成不良后果的，由供货方承担一切责任，并赔偿所造成的损失。</w:t>
      </w:r>
    </w:p>
    <w:bookmarkEnd w:id="78"/>
    <w:p>
      <w:pPr>
        <w:spacing w:line="400" w:lineRule="exact"/>
        <w:ind w:firstLine="480" w:firstLineChars="200"/>
        <w:jc w:val="left"/>
        <w:rPr>
          <w:rFonts w:hint="eastAsia" w:ascii="宋体" w:hAnsi="宋体" w:cs="宋体"/>
        </w:rPr>
      </w:pPr>
      <w:r>
        <w:rPr>
          <w:rFonts w:hint="eastAsia" w:ascii="宋体" w:hAnsi="宋体" w:cs="宋体"/>
          <w:sz w:val="24"/>
          <w:lang w:bidi="ar"/>
        </w:rPr>
        <w:t>（3）验收方式</w:t>
      </w:r>
    </w:p>
    <w:p>
      <w:pPr>
        <w:spacing w:line="400" w:lineRule="exact"/>
        <w:ind w:firstLine="480" w:firstLineChars="200"/>
        <w:jc w:val="left"/>
        <w:rPr>
          <w:rFonts w:hint="eastAsia" w:ascii="宋体" w:hAnsi="宋体" w:cs="宋体"/>
        </w:rPr>
      </w:pPr>
      <w:r>
        <w:rPr>
          <w:rFonts w:hint="eastAsia" w:ascii="宋体" w:hAnsi="宋体" w:cs="宋体"/>
          <w:sz w:val="24"/>
          <w:lang w:bidi="ar"/>
        </w:rPr>
        <w:t>由采购人组织相关部门及人员进行验收。</w:t>
      </w:r>
    </w:p>
    <w:p>
      <w:pPr>
        <w:pStyle w:val="4"/>
        <w:widowControl/>
        <w:spacing w:line="240" w:lineRule="auto"/>
        <w:ind w:firstLine="482"/>
        <w:rPr>
          <w:rFonts w:hint="eastAsia" w:cs="宋体"/>
          <w:sz w:val="24"/>
          <w:szCs w:val="24"/>
        </w:rPr>
      </w:pPr>
      <w:bookmarkStart w:id="79" w:name="_Toc4743928"/>
      <w:r>
        <w:rPr>
          <w:rFonts w:cs="宋体"/>
          <w:sz w:val="24"/>
          <w:szCs w:val="24"/>
        </w:rPr>
        <w:t>二、报价要求</w:t>
      </w:r>
      <w:bookmarkEnd w:id="79"/>
      <w:r>
        <w:rPr>
          <w:rFonts w:cs="宋体"/>
          <w:sz w:val="24"/>
          <w:szCs w:val="24"/>
        </w:rPr>
        <w:t>及结算</w:t>
      </w:r>
    </w:p>
    <w:p>
      <w:pPr>
        <w:spacing w:line="400" w:lineRule="exact"/>
        <w:ind w:firstLine="480" w:firstLineChars="200"/>
        <w:jc w:val="left"/>
        <w:rPr>
          <w:rFonts w:hint="eastAsia" w:ascii="宋体" w:hAnsi="宋体" w:cs="宋体"/>
          <w:szCs w:val="24"/>
        </w:rPr>
      </w:pPr>
      <w:bookmarkStart w:id="80" w:name="_Toc4743929"/>
      <w:r>
        <w:rPr>
          <w:rFonts w:hint="eastAsia" w:ascii="宋体" w:hAnsi="宋体" w:cs="宋体"/>
          <w:sz w:val="24"/>
          <w:szCs w:val="24"/>
          <w:lang w:bidi="ar"/>
        </w:rPr>
        <w:t>1、本次报价为人民币报价，报价不能超过最高限价，否则为废标。本项目报价应是含采购范围内的全部工作内容的包干价，包括含内置充电器、灭火器、人工工资、奖金、福利、社保等费用,以及材料费、安装费、交通、运输、利润、税金、各种风险等在内的一切费用；报价保留小数点后两位数。在投标有效期和合同有效期内，该报价固定不变。</w:t>
      </w:r>
    </w:p>
    <w:p>
      <w:pPr>
        <w:spacing w:line="400" w:lineRule="exact"/>
        <w:ind w:firstLine="480" w:firstLineChars="200"/>
        <w:jc w:val="left"/>
        <w:rPr>
          <w:rFonts w:hint="eastAsia" w:ascii="宋体" w:hAnsi="宋体" w:cs="宋体"/>
          <w:szCs w:val="24"/>
        </w:rPr>
      </w:pPr>
      <w:r>
        <w:rPr>
          <w:rFonts w:hint="eastAsia" w:ascii="宋体" w:hAnsi="宋体" w:cs="宋体"/>
          <w:sz w:val="24"/>
          <w:szCs w:val="24"/>
          <w:lang w:bidi="ar"/>
        </w:rPr>
        <w:t>2、结算</w:t>
      </w:r>
    </w:p>
    <w:p>
      <w:pPr>
        <w:spacing w:line="400" w:lineRule="exact"/>
        <w:ind w:firstLine="480" w:firstLineChars="200"/>
        <w:jc w:val="left"/>
        <w:rPr>
          <w:rFonts w:hint="eastAsia" w:ascii="宋体" w:hAnsi="宋体" w:cs="宋体"/>
          <w:szCs w:val="24"/>
        </w:rPr>
      </w:pPr>
      <w:r>
        <w:rPr>
          <w:rFonts w:hint="eastAsia" w:ascii="宋体" w:hAnsi="宋体" w:cs="宋体"/>
          <w:sz w:val="24"/>
          <w:szCs w:val="24"/>
          <w:lang w:bidi="ar"/>
        </w:rPr>
        <w:t>结算金额：合同金额。</w:t>
      </w:r>
    </w:p>
    <w:p>
      <w:pPr>
        <w:pStyle w:val="4"/>
        <w:widowControl/>
        <w:spacing w:line="240" w:lineRule="auto"/>
        <w:ind w:firstLine="482"/>
        <w:rPr>
          <w:rFonts w:hint="eastAsia" w:cs="宋体"/>
          <w:sz w:val="24"/>
          <w:szCs w:val="24"/>
        </w:rPr>
      </w:pPr>
      <w:r>
        <w:rPr>
          <w:rFonts w:cs="宋体"/>
          <w:sz w:val="24"/>
          <w:szCs w:val="24"/>
        </w:rPr>
        <w:t>三、质量保证及售后服务</w:t>
      </w:r>
      <w:bookmarkEnd w:id="76"/>
      <w:bookmarkEnd w:id="77"/>
      <w:bookmarkEnd w:id="80"/>
    </w:p>
    <w:p>
      <w:pPr>
        <w:pStyle w:val="19"/>
        <w:spacing w:line="400" w:lineRule="exact"/>
        <w:ind w:firstLine="480" w:firstLineChars="200"/>
        <w:jc w:val="left"/>
        <w:rPr>
          <w:rFonts w:hint="eastAsia" w:ascii="宋体" w:hAnsi="宋体" w:cs="宋体"/>
        </w:rPr>
      </w:pPr>
      <w:bookmarkStart w:id="81" w:name="_Toc393274508"/>
      <w:bookmarkStart w:id="82" w:name="_Toc267320051"/>
      <w:r>
        <w:rPr>
          <w:rFonts w:hint="eastAsia" w:ascii="宋体" w:hAnsi="宋体" w:cs="宋体"/>
          <w:lang w:bidi="ar"/>
        </w:rPr>
        <w:t>1、 车辆质保不低于3年或6万公里，锂电池质保不低于8年或10万公里（时间和里程以先到为准）（人为因素除外）。</w:t>
      </w:r>
    </w:p>
    <w:p>
      <w:pPr>
        <w:pStyle w:val="19"/>
        <w:spacing w:line="400" w:lineRule="exact"/>
        <w:ind w:firstLine="480" w:firstLineChars="200"/>
        <w:jc w:val="left"/>
        <w:rPr>
          <w:rFonts w:hint="eastAsia" w:ascii="宋体" w:hAnsi="宋体" w:cs="宋体"/>
        </w:rPr>
      </w:pPr>
      <w:r>
        <w:rPr>
          <w:rFonts w:hint="eastAsia" w:ascii="宋体" w:hAnsi="宋体" w:cs="宋体"/>
          <w:lang w:bidi="ar"/>
        </w:rPr>
        <w:t>2、需建立系统化的售后管理档案，便于动态了解车辆维护状况，保持车辆正常使用状况，仓库需备有常用易损件，以满足不时之需。</w:t>
      </w:r>
    </w:p>
    <w:p>
      <w:pPr>
        <w:pStyle w:val="19"/>
        <w:spacing w:line="400" w:lineRule="exact"/>
        <w:ind w:firstLine="480" w:firstLineChars="200"/>
        <w:jc w:val="left"/>
        <w:rPr>
          <w:rFonts w:hint="eastAsia" w:ascii="宋体" w:hAnsi="宋体" w:cs="宋体"/>
        </w:rPr>
      </w:pPr>
      <w:r>
        <w:rPr>
          <w:rFonts w:hint="eastAsia" w:ascii="宋体" w:hAnsi="宋体" w:cs="宋体"/>
          <w:lang w:bidi="ar"/>
        </w:rPr>
        <w:t>3、 免费为车辆管理人员、车辆驾驶人员、车辆维修人员进行日常车辆使用以及保养知识的培训。</w:t>
      </w:r>
    </w:p>
    <w:p>
      <w:pPr>
        <w:pStyle w:val="19"/>
        <w:spacing w:line="400" w:lineRule="exact"/>
        <w:ind w:firstLine="480" w:firstLineChars="200"/>
        <w:jc w:val="left"/>
        <w:rPr>
          <w:rFonts w:hint="eastAsia" w:ascii="宋体" w:hAnsi="宋体" w:cs="宋体"/>
        </w:rPr>
      </w:pPr>
      <w:r>
        <w:rPr>
          <w:rFonts w:hint="eastAsia" w:ascii="宋体" w:hAnsi="宋体" w:cs="宋体"/>
          <w:lang w:bidi="ar"/>
        </w:rPr>
        <w:t>4、 为了使车辆保持良好的行驶状态，售后人员需定期上门对所有车辆进行维修，保养（至少一年一次）。</w:t>
      </w:r>
    </w:p>
    <w:p>
      <w:pPr>
        <w:pStyle w:val="4"/>
        <w:widowControl/>
        <w:spacing w:line="240" w:lineRule="auto"/>
        <w:rPr>
          <w:rFonts w:hint="eastAsia" w:cs="宋体"/>
          <w:sz w:val="24"/>
          <w:szCs w:val="24"/>
        </w:rPr>
      </w:pPr>
      <w:bookmarkStart w:id="83" w:name="_Toc4743930"/>
      <w:r>
        <w:rPr>
          <w:rFonts w:cs="宋体"/>
          <w:sz w:val="24"/>
          <w:szCs w:val="24"/>
        </w:rPr>
        <w:t>四、</w:t>
      </w:r>
      <w:bookmarkEnd w:id="81"/>
      <w:bookmarkEnd w:id="82"/>
      <w:bookmarkStart w:id="84" w:name="_Toc393274509"/>
      <w:r>
        <w:rPr>
          <w:rFonts w:cs="宋体"/>
          <w:sz w:val="24"/>
          <w:szCs w:val="24"/>
        </w:rPr>
        <w:t>付款方式</w:t>
      </w:r>
      <w:bookmarkEnd w:id="83"/>
    </w:p>
    <w:p>
      <w:pPr>
        <w:spacing w:line="400" w:lineRule="exact"/>
        <w:ind w:firstLine="480" w:firstLineChars="200"/>
        <w:jc w:val="left"/>
        <w:rPr>
          <w:rFonts w:hint="eastAsia" w:ascii="宋体" w:hAnsi="宋体" w:cs="宋体"/>
        </w:rPr>
      </w:pPr>
      <w:bookmarkStart w:id="85" w:name="_Toc4743931"/>
      <w:r>
        <w:rPr>
          <w:rFonts w:hint="eastAsia" w:ascii="宋体" w:hAnsi="宋体" w:cs="宋体"/>
          <w:sz w:val="24"/>
          <w:lang w:bidi="ar"/>
        </w:rPr>
        <w:t>签订合同，货到验收合格后15个工作日内，采购人支付合同总价的100%给成交供应商。</w:t>
      </w:r>
    </w:p>
    <w:p>
      <w:pPr>
        <w:pStyle w:val="4"/>
        <w:widowControl/>
        <w:spacing w:line="240" w:lineRule="auto"/>
        <w:ind w:firstLine="482"/>
        <w:rPr>
          <w:rFonts w:hint="eastAsia" w:cs="宋体"/>
          <w:sz w:val="24"/>
          <w:szCs w:val="24"/>
        </w:rPr>
      </w:pPr>
      <w:r>
        <w:rPr>
          <w:rFonts w:cs="宋体"/>
          <w:sz w:val="24"/>
          <w:szCs w:val="24"/>
        </w:rPr>
        <w:t>五、知识产权</w:t>
      </w:r>
      <w:bookmarkEnd w:id="84"/>
      <w:bookmarkEnd w:id="85"/>
    </w:p>
    <w:p>
      <w:pPr>
        <w:spacing w:line="400" w:lineRule="exact"/>
        <w:ind w:firstLine="480" w:firstLineChars="200"/>
        <w:jc w:val="left"/>
        <w:rPr>
          <w:rFonts w:hint="eastAsia" w:ascii="宋体" w:hAnsi="宋体" w:cs="宋体"/>
        </w:rPr>
      </w:pPr>
      <w:r>
        <w:rPr>
          <w:rFonts w:hint="eastAsia" w:ascii="宋体" w:hAnsi="宋体" w:cs="宋体"/>
          <w:sz w:val="24"/>
          <w:lang w:bidi="ar"/>
        </w:rPr>
        <w:t>中标人应保证采购人在中华人民共和国境内使用其提供的货物和服务时免受第三方因专利权或其它知识产权的侵权起诉。如果第三方提出侵权起诉，中标人应承担由此而引起的一切法律责任和费用。</w:t>
      </w:r>
    </w:p>
    <w:p>
      <w:pPr>
        <w:pStyle w:val="4"/>
        <w:widowControl/>
        <w:spacing w:line="240" w:lineRule="auto"/>
        <w:ind w:firstLine="482"/>
        <w:rPr>
          <w:rFonts w:hint="eastAsia" w:cs="宋体"/>
          <w:sz w:val="24"/>
          <w:szCs w:val="24"/>
        </w:rPr>
      </w:pPr>
      <w:bookmarkStart w:id="86" w:name="_Toc267320054"/>
      <w:bookmarkStart w:id="87" w:name="_Toc18915272"/>
      <w:bookmarkStart w:id="88" w:name="_Toc515447996"/>
      <w:r>
        <w:rPr>
          <w:rFonts w:cs="宋体"/>
          <w:sz w:val="24"/>
          <w:szCs w:val="24"/>
        </w:rPr>
        <w:t>六、其他</w:t>
      </w:r>
      <w:bookmarkEnd w:id="86"/>
      <w:bookmarkEnd w:id="87"/>
      <w:bookmarkEnd w:id="88"/>
    </w:p>
    <w:p>
      <w:pPr>
        <w:spacing w:line="360" w:lineRule="exact"/>
        <w:ind w:firstLine="480" w:firstLineChars="200"/>
        <w:jc w:val="left"/>
        <w:rPr>
          <w:rFonts w:hint="eastAsia" w:ascii="宋体" w:hAnsi="宋体" w:cs="宋体"/>
          <w:szCs w:val="24"/>
        </w:rPr>
      </w:pPr>
      <w:r>
        <w:rPr>
          <w:rFonts w:hint="eastAsia" w:ascii="宋体" w:hAnsi="宋体" w:cs="宋体"/>
          <w:sz w:val="24"/>
          <w:szCs w:val="24"/>
          <w:lang w:bidi="ar"/>
        </w:rPr>
        <w:t>1.供应商必须在响应文件中对以上条款和服务承诺明确列出，承诺内容必须达到本篇及其他条款的要求。</w:t>
      </w:r>
    </w:p>
    <w:p>
      <w:pPr>
        <w:spacing w:line="360" w:lineRule="auto"/>
        <w:ind w:firstLine="560" w:firstLineChars="200"/>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spacing w:line="400" w:lineRule="exact"/>
        <w:ind w:firstLine="56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spacing w:line="400" w:lineRule="exact"/>
        <w:ind w:firstLine="56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spacing w:line="400" w:lineRule="exact"/>
        <w:ind w:firstLine="56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pStyle w:val="19"/>
        <w:tabs>
          <w:tab w:val="left" w:pos="1260"/>
          <w:tab w:val="left" w:pos="1685"/>
          <w:tab w:val="right" w:leader="dot" w:pos="8400"/>
        </w:tabs>
        <w:spacing w:line="400" w:lineRule="exact"/>
        <w:ind w:firstLine="480" w:firstLineChars="200"/>
        <w:jc w:val="left"/>
        <w:rPr>
          <w:rFonts w:hint="eastAsia" w:ascii="宋体" w:hAnsi="宋体" w:cs="宋体"/>
          <w:color w:val="000000"/>
          <w:szCs w:val="24"/>
        </w:rPr>
      </w:pPr>
    </w:p>
    <w:p>
      <w:pPr>
        <w:spacing w:line="400" w:lineRule="exact"/>
        <w:ind w:firstLine="560" w:firstLineChars="200"/>
        <w:jc w:val="left"/>
      </w:pPr>
    </w:p>
    <w:p>
      <w:pPr>
        <w:rPr>
          <w:rFonts w:hint="eastAsia" w:ascii="宋体" w:hAnsi="宋体" w:cs="宋体"/>
          <w:color w:val="000000" w:themeColor="text1"/>
          <w14:textFill>
            <w14:solidFill>
              <w14:schemeClr w14:val="tx1"/>
            </w14:solidFill>
          </w14:textFill>
        </w:rPr>
      </w:pPr>
    </w:p>
    <w:p>
      <w:pPr>
        <w:bidi w:val="0"/>
        <w:rPr>
          <w:rFonts w:hint="eastAsia"/>
        </w:rPr>
      </w:pPr>
      <w:bookmarkStart w:id="89" w:name="_Toc2132"/>
      <w:bookmarkStart w:id="90" w:name="_Toc21855"/>
      <w:bookmarkStart w:id="91" w:name="_Toc38287862"/>
    </w:p>
    <w:p>
      <w:pPr>
        <w:bidi w:val="0"/>
        <w:rPr>
          <w:rFonts w:hint="eastAsia"/>
        </w:rPr>
      </w:pPr>
    </w:p>
    <w:p>
      <w:pPr>
        <w:bidi w:val="0"/>
        <w:rPr>
          <w:rFonts w:hint="eastAsia"/>
        </w:rPr>
      </w:pPr>
    </w:p>
    <w:p>
      <w:pPr>
        <w:bidi w:val="0"/>
        <w:rPr>
          <w:rFonts w:hint="eastAsia"/>
        </w:rPr>
      </w:pPr>
    </w:p>
    <w:p>
      <w:pPr>
        <w:bidi w:val="0"/>
        <w:rPr>
          <w:rFonts w:hint="eastAsia"/>
          <w:lang w:val="en-US" w:eastAsia="zh-CN"/>
        </w:rPr>
      </w:pPr>
      <w:bookmarkStart w:id="92" w:name="_Toc17548"/>
      <w:bookmarkStart w:id="93" w:name="_Toc23631"/>
      <w:bookmarkStart w:id="94" w:name="_Toc28491"/>
      <w:bookmarkStart w:id="95" w:name="_Toc17204"/>
      <w:bookmarkStart w:id="96" w:name="_Toc2136"/>
    </w:p>
    <w:p>
      <w:pPr>
        <w:bidi w:val="0"/>
        <w:rPr>
          <w:rFonts w:hint="eastAsia"/>
          <w:lang w:val="en-US" w:eastAsia="zh-CN"/>
        </w:rPr>
      </w:pPr>
    </w:p>
    <w:bookmarkEnd w:id="89"/>
    <w:bookmarkEnd w:id="92"/>
    <w:bookmarkEnd w:id="93"/>
    <w:bookmarkEnd w:id="94"/>
    <w:bookmarkEnd w:id="95"/>
    <w:bookmarkEnd w:id="96"/>
    <w:p>
      <w:pPr>
        <w:rPr>
          <w:rFonts w:hint="eastAsia" w:cs="宋体"/>
          <w:color w:val="000000" w:themeColor="text1"/>
          <w:sz w:val="44"/>
          <w:szCs w:val="44"/>
          <w14:textFill>
            <w14:solidFill>
              <w14:schemeClr w14:val="tx1"/>
            </w14:solidFill>
          </w14:textFill>
        </w:rPr>
      </w:pPr>
      <w:bookmarkStart w:id="97" w:name="_Toc27359"/>
      <w:r>
        <w:rPr>
          <w:rFonts w:hint="eastAsia" w:cs="宋体"/>
          <w:color w:val="000000" w:themeColor="text1"/>
          <w:sz w:val="44"/>
          <w:szCs w:val="44"/>
          <w14:textFill>
            <w14:solidFill>
              <w14:schemeClr w14:val="tx1"/>
            </w14:solidFill>
          </w14:textFill>
        </w:rPr>
        <w:br w:type="page"/>
      </w:r>
    </w:p>
    <w:p>
      <w:pPr>
        <w:pStyle w:val="4"/>
        <w:spacing w:line="240" w:lineRule="auto"/>
        <w:jc w:val="center"/>
        <w:rPr>
          <w:rFonts w:hint="eastAsia" w:cs="宋体"/>
          <w:color w:val="000000" w:themeColor="text1"/>
          <w:sz w:val="24"/>
          <w:szCs w:val="24"/>
          <w14:textFill>
            <w14:solidFill>
              <w14:schemeClr w14:val="tx1"/>
            </w14:solidFill>
          </w14:textFill>
        </w:rPr>
      </w:pPr>
      <w:r>
        <w:rPr>
          <w:rFonts w:hint="eastAsia" w:cs="宋体"/>
          <w:color w:val="000000" w:themeColor="text1"/>
          <w:sz w:val="44"/>
          <w:szCs w:val="44"/>
          <w14:textFill>
            <w14:solidFill>
              <w14:schemeClr w14:val="tx1"/>
            </w14:solidFill>
          </w14:textFill>
        </w:rPr>
        <w:t>第四篇  资格审查及评标办法</w:t>
      </w:r>
    </w:p>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98" w:name="_Toc32380"/>
      <w:r>
        <w:rPr>
          <w:rFonts w:hint="eastAsia" w:cs="宋体"/>
          <w:color w:val="000000" w:themeColor="text1"/>
          <w:sz w:val="24"/>
          <w:szCs w:val="24"/>
          <w14:textFill>
            <w14:solidFill>
              <w14:schemeClr w14:val="tx1"/>
            </w14:solidFill>
          </w14:textFill>
        </w:rPr>
        <w:t>一、资格审查及符合性审查</w:t>
      </w:r>
      <w:bookmarkEnd w:id="98"/>
    </w:p>
    <w:p>
      <w:pPr>
        <w:bidi w:val="0"/>
        <w:ind w:firstLine="480" w:firstLineChars="200"/>
        <w:rPr>
          <w:rFonts w:hint="eastAsia"/>
        </w:rPr>
      </w:pPr>
      <w:bookmarkStart w:id="99" w:name="_Toc1397382806"/>
      <w:bookmarkStart w:id="100" w:name="_Toc159"/>
      <w:bookmarkStart w:id="101" w:name="_Toc2030776744"/>
      <w:r>
        <w:rPr>
          <w:rFonts w:hint="eastAsia" w:ascii="宋体" w:hAnsi="宋体" w:cs="宋体"/>
          <w:color w:val="000000" w:themeColor="text1"/>
          <w:kern w:val="0"/>
          <w:sz w:val="24"/>
          <w:szCs w:val="24"/>
          <w:lang w:val="en-US" w:eastAsia="zh-CN"/>
          <w14:textFill>
            <w14:solidFill>
              <w14:schemeClr w14:val="tx1"/>
            </w14:solidFill>
          </w14:textFill>
        </w:rPr>
        <w:t>若未通过资格审查及符合性审查的投标文件，不进入评审环节</w:t>
      </w:r>
      <w:r>
        <w:rPr>
          <w:rFonts w:hint="eastAsia" w:ascii="宋体" w:hAnsi="宋体" w:cs="宋体"/>
          <w:color w:val="000000" w:themeColor="text1"/>
          <w:kern w:val="0"/>
          <w:sz w:val="24"/>
          <w:szCs w:val="24"/>
          <w14:textFill>
            <w14:solidFill>
              <w14:schemeClr w14:val="tx1"/>
            </w14:solidFill>
          </w14:textFill>
        </w:rPr>
        <w:t>。</w:t>
      </w:r>
      <w:bookmarkEnd w:id="99"/>
      <w:bookmarkEnd w:id="100"/>
      <w:bookmarkEnd w:id="101"/>
    </w:p>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102" w:name="_Toc2921"/>
      <w:bookmarkStart w:id="103" w:name="_Toc26833"/>
      <w:r>
        <w:rPr>
          <w:rFonts w:hint="eastAsia" w:cs="宋体"/>
          <w:color w:val="000000" w:themeColor="text1"/>
          <w:sz w:val="24"/>
          <w:szCs w:val="24"/>
          <w14:textFill>
            <w14:solidFill>
              <w14:schemeClr w14:val="tx1"/>
            </w14:solidFill>
          </w14:textFill>
        </w:rPr>
        <w:t>一、资格审查</w:t>
      </w:r>
      <w:bookmarkEnd w:id="102"/>
      <w:bookmarkEnd w:id="103"/>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依据政府采购相关法律法规规定，由采购人或采购代理机构对投标文件中的资格证明文件进行审查。资格审查资料表如下：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735"/>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序号</w:t>
            </w:r>
          </w:p>
        </w:tc>
        <w:tc>
          <w:tcPr>
            <w:tcW w:w="4444" w:type="dxa"/>
            <w:gridSpan w:val="2"/>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检查因素</w:t>
            </w:r>
          </w:p>
        </w:tc>
        <w:tc>
          <w:tcPr>
            <w:tcW w:w="4508" w:type="dxa"/>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9" w:type="dxa"/>
            <w:vMerge w:val="restart"/>
            <w:vAlign w:val="center"/>
          </w:tcPr>
          <w:p>
            <w:pPr>
              <w:spacing w:line="2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投标人应符合的基本资格条件</w:t>
            </w:r>
          </w:p>
        </w:tc>
        <w:tc>
          <w:tcPr>
            <w:tcW w:w="3735" w:type="dxa"/>
            <w:vAlign w:val="center"/>
          </w:tcPr>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（1）具有独立承担民事责任的能力</w:t>
            </w:r>
          </w:p>
        </w:tc>
        <w:tc>
          <w:tcPr>
            <w:tcW w:w="4508" w:type="dxa"/>
            <w:vAlign w:val="center"/>
          </w:tcPr>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投标人法人营业执照（副本）或事业单位法人证书（副本）或个体工商户营业执照或有效的自然人身份证明、组织机构代码证复印件（注</w:t>
            </w:r>
            <w:r>
              <w:rPr>
                <w:rFonts w:hint="eastAsia" w:ascii="宋体" w:hAnsi="宋体" w:cs="宋体"/>
                <w:color w:val="000000" w:themeColor="text1"/>
                <w:kern w:val="0"/>
                <w:sz w:val="24"/>
                <w:szCs w:val="24"/>
                <w14:textFill>
                  <w14:solidFill>
                    <w14:schemeClr w14:val="tx1"/>
                  </w14:solidFill>
                </w14:textFill>
              </w:rPr>
              <w:fldChar w:fldCharType="begin"/>
            </w:r>
            <w:r>
              <w:rPr>
                <w:rFonts w:hint="eastAsia" w:ascii="宋体" w:hAnsi="宋体" w:cs="宋体"/>
                <w:color w:val="000000" w:themeColor="text1"/>
                <w:kern w:val="0"/>
                <w:sz w:val="24"/>
                <w:szCs w:val="24"/>
                <w14:textFill>
                  <w14:solidFill>
                    <w14:schemeClr w14:val="tx1"/>
                  </w14:solidFill>
                </w14:textFill>
              </w:rPr>
              <w:instrText xml:space="preserve"> eq \o\ac(○,</w:instrText>
            </w:r>
            <w:r>
              <w:rPr>
                <w:rFonts w:hint="eastAsia" w:ascii="宋体" w:hAnsi="宋体" w:cs="宋体"/>
                <w:color w:val="000000" w:themeColor="text1"/>
                <w:kern w:val="0"/>
                <w:position w:val="3"/>
                <w:sz w:val="16"/>
                <w:szCs w:val="24"/>
                <w14:textFill>
                  <w14:solidFill>
                    <w14:schemeClr w14:val="tx1"/>
                  </w14:solidFill>
                </w14:textFill>
              </w:rPr>
              <w:instrText xml:space="preserve">1</w:instrText>
            </w:r>
            <w:r>
              <w:rPr>
                <w:rFonts w:hint="eastAsia" w:ascii="宋体" w:hAnsi="宋体" w:cs="宋体"/>
                <w:color w:val="000000" w:themeColor="text1"/>
                <w:kern w:val="0"/>
                <w:sz w:val="24"/>
                <w:szCs w:val="24"/>
                <w14:textFill>
                  <w14:solidFill>
                    <w14:schemeClr w14:val="tx1"/>
                  </w14:solidFill>
                </w14:textFill>
              </w:rPr>
              <w:instrText xml:space="preserve">)</w:instrTex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 xml:space="preserve">）； </w:t>
            </w:r>
          </w:p>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宋体" w:hAnsi="宋体" w:cs="宋体"/>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hint="eastAsia" w:ascii="宋体" w:hAnsi="宋体" w:cs="宋体"/>
                <w:color w:val="000000" w:themeColor="text1"/>
                <w:sz w:val="21"/>
                <w:szCs w:val="21"/>
                <w:lang w:val="zh-CN"/>
                <w14:textFill>
                  <w14:solidFill>
                    <w14:schemeClr w14:val="tx1"/>
                  </w14:solidFill>
                </w14:textFill>
              </w:rPr>
            </w:pPr>
          </w:p>
        </w:tc>
        <w:tc>
          <w:tcPr>
            <w:tcW w:w="3735" w:type="dxa"/>
            <w:vAlign w:val="center"/>
          </w:tcPr>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具有良好的商业信誉和健全的财务会计制度</w:t>
            </w:r>
          </w:p>
        </w:tc>
        <w:tc>
          <w:tcPr>
            <w:tcW w:w="4508" w:type="dxa"/>
            <w:vAlign w:val="center"/>
          </w:tcPr>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宋体" w:hAnsi="宋体" w:cs="宋体"/>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hint="eastAsia" w:ascii="宋体" w:hAnsi="宋体" w:cs="宋体"/>
                <w:color w:val="000000" w:themeColor="text1"/>
                <w:sz w:val="21"/>
                <w:szCs w:val="21"/>
                <w:lang w:val="zh-CN"/>
                <w14:textFill>
                  <w14:solidFill>
                    <w14:schemeClr w14:val="tx1"/>
                  </w14:solidFill>
                </w14:textFill>
              </w:rPr>
            </w:pPr>
          </w:p>
        </w:tc>
        <w:tc>
          <w:tcPr>
            <w:tcW w:w="3735" w:type="dxa"/>
            <w:vAlign w:val="center"/>
          </w:tcPr>
          <w:p>
            <w:pPr>
              <w:spacing w:line="2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（3）具有履行合同所必需的设备和专业技术能力</w:t>
            </w:r>
          </w:p>
        </w:tc>
        <w:tc>
          <w:tcPr>
            <w:tcW w:w="4508" w:type="dxa"/>
            <w:vAlign w:val="center"/>
          </w:tcPr>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宋体" w:hAnsi="宋体" w:cs="宋体"/>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hint="eastAsia" w:ascii="宋体" w:hAnsi="宋体" w:cs="宋体"/>
                <w:color w:val="000000" w:themeColor="text1"/>
                <w:sz w:val="21"/>
                <w:szCs w:val="21"/>
                <w:lang w:val="zh-CN"/>
                <w14:textFill>
                  <w14:solidFill>
                    <w14:schemeClr w14:val="tx1"/>
                  </w14:solidFill>
                </w14:textFill>
              </w:rPr>
            </w:pPr>
          </w:p>
        </w:tc>
        <w:tc>
          <w:tcPr>
            <w:tcW w:w="3735" w:type="dxa"/>
            <w:vAlign w:val="center"/>
          </w:tcPr>
          <w:p>
            <w:pPr>
              <w:spacing w:line="2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（4）有依法缴纳税收和社会保障金的良好记录</w:t>
            </w:r>
          </w:p>
        </w:tc>
        <w:tc>
          <w:tcPr>
            <w:tcW w:w="4508" w:type="dxa"/>
            <w:vAlign w:val="center"/>
          </w:tcPr>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1.税务登记证（副本）复印件（注</w:t>
            </w:r>
            <w:r>
              <w:rPr>
                <w:rFonts w:hint="eastAsia" w:ascii="宋体" w:hAnsi="宋体" w:cs="宋体"/>
                <w:color w:val="000000" w:themeColor="text1"/>
                <w:kern w:val="0"/>
                <w:sz w:val="24"/>
                <w:szCs w:val="24"/>
                <w14:textFill>
                  <w14:solidFill>
                    <w14:schemeClr w14:val="tx1"/>
                  </w14:solidFill>
                </w14:textFill>
              </w:rPr>
              <w:fldChar w:fldCharType="begin"/>
            </w:r>
            <w:r>
              <w:rPr>
                <w:rFonts w:hint="eastAsia" w:ascii="宋体" w:hAnsi="宋体" w:cs="宋体"/>
                <w:color w:val="000000" w:themeColor="text1"/>
                <w:kern w:val="0"/>
                <w:sz w:val="24"/>
                <w:szCs w:val="24"/>
                <w14:textFill>
                  <w14:solidFill>
                    <w14:schemeClr w14:val="tx1"/>
                  </w14:solidFill>
                </w14:textFill>
              </w:rPr>
              <w:instrText xml:space="preserve"> eq \o\ac(○,</w:instrText>
            </w:r>
            <w:r>
              <w:rPr>
                <w:rFonts w:hint="eastAsia" w:ascii="宋体" w:hAnsi="宋体" w:cs="宋体"/>
                <w:color w:val="000000" w:themeColor="text1"/>
                <w:kern w:val="0"/>
                <w:position w:val="3"/>
                <w:sz w:val="16"/>
                <w:szCs w:val="24"/>
                <w14:textFill>
                  <w14:solidFill>
                    <w14:schemeClr w14:val="tx1"/>
                  </w14:solidFill>
                </w14:textFill>
              </w:rPr>
              <w:instrText xml:space="preserve">1</w:instrText>
            </w:r>
            <w:r>
              <w:rPr>
                <w:rFonts w:hint="eastAsia" w:ascii="宋体" w:hAnsi="宋体" w:cs="宋体"/>
                <w:color w:val="000000" w:themeColor="text1"/>
                <w:kern w:val="0"/>
                <w:sz w:val="24"/>
                <w:szCs w:val="24"/>
                <w14:textFill>
                  <w14:solidFill>
                    <w14:schemeClr w14:val="tx1"/>
                  </w14:solidFill>
                </w14:textFill>
              </w:rPr>
              <w:instrText xml:space="preserve">)</w:instrTex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w:t>
            </w:r>
          </w:p>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2.缴纳社会保障金的证明材料复印件（缴纳社会保障金的证明材料指：社会保险登记证（注</w:t>
            </w:r>
            <w:r>
              <w:rPr>
                <w:rFonts w:hint="eastAsia" w:ascii="宋体" w:hAnsi="宋体" w:cs="宋体"/>
                <w:color w:val="000000" w:themeColor="text1"/>
                <w:kern w:val="0"/>
                <w:sz w:val="24"/>
                <w:szCs w:val="24"/>
                <w14:textFill>
                  <w14:solidFill>
                    <w14:schemeClr w14:val="tx1"/>
                  </w14:solidFill>
                </w14:textFill>
              </w:rPr>
              <w:fldChar w:fldCharType="begin"/>
            </w:r>
            <w:r>
              <w:rPr>
                <w:rFonts w:hint="eastAsia" w:ascii="宋体" w:hAnsi="宋体" w:cs="宋体"/>
                <w:color w:val="000000" w:themeColor="text1"/>
                <w:kern w:val="0"/>
                <w:sz w:val="24"/>
                <w:szCs w:val="24"/>
                <w14:textFill>
                  <w14:solidFill>
                    <w14:schemeClr w14:val="tx1"/>
                  </w14:solidFill>
                </w14:textFill>
              </w:rPr>
              <w:instrText xml:space="preserve"> eq \o\ac(○,</w:instrText>
            </w:r>
            <w:r>
              <w:rPr>
                <w:rFonts w:hint="eastAsia" w:ascii="宋体" w:hAnsi="宋体" w:cs="宋体"/>
                <w:color w:val="000000" w:themeColor="text1"/>
                <w:kern w:val="0"/>
                <w:position w:val="3"/>
                <w:sz w:val="16"/>
                <w:szCs w:val="24"/>
                <w14:textFill>
                  <w14:solidFill>
                    <w14:schemeClr w14:val="tx1"/>
                  </w14:solidFill>
                </w14:textFill>
              </w:rPr>
              <w:instrText xml:space="preserve">1</w:instrText>
            </w:r>
            <w:r>
              <w:rPr>
                <w:rFonts w:hint="eastAsia" w:ascii="宋体" w:hAnsi="宋体" w:cs="宋体"/>
                <w:color w:val="000000" w:themeColor="text1"/>
                <w:kern w:val="0"/>
                <w:sz w:val="24"/>
                <w:szCs w:val="24"/>
                <w14:textFill>
                  <w14:solidFill>
                    <w14:schemeClr w14:val="tx1"/>
                  </w14:solidFill>
                </w14:textFill>
              </w:rPr>
              <w:instrText xml:space="preserve">)</w:instrTex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）或缴纳社会保险的凭据（专用收据或社会保险缴纳清单）。</w:t>
            </w:r>
          </w:p>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宋体" w:hAnsi="宋体" w:cs="宋体"/>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hint="eastAsia" w:ascii="宋体" w:hAnsi="宋体" w:cs="宋体"/>
                <w:color w:val="000000" w:themeColor="text1"/>
                <w:sz w:val="21"/>
                <w:szCs w:val="21"/>
                <w:lang w:val="zh-CN"/>
                <w14:textFill>
                  <w14:solidFill>
                    <w14:schemeClr w14:val="tx1"/>
                  </w14:solidFill>
                </w14:textFill>
              </w:rPr>
            </w:pPr>
          </w:p>
        </w:tc>
        <w:tc>
          <w:tcPr>
            <w:tcW w:w="3735" w:type="dxa"/>
            <w:vAlign w:val="center"/>
          </w:tcPr>
          <w:p>
            <w:pPr>
              <w:spacing w:line="2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（5）参加政府采购活动前三年内，在经营活动中没有重大违法记录（注</w:t>
            </w:r>
            <w:r>
              <w:rPr>
                <w:rFonts w:hint="eastAsia" w:ascii="宋体" w:hAnsi="宋体" w:cs="宋体"/>
                <w:color w:val="000000" w:themeColor="text1"/>
                <w:kern w:val="0"/>
                <w:sz w:val="24"/>
                <w:szCs w:val="24"/>
                <w14:textFill>
                  <w14:solidFill>
                    <w14:schemeClr w14:val="tx1"/>
                  </w14:solidFill>
                </w14:textFill>
              </w:rPr>
              <w:fldChar w:fldCharType="begin"/>
            </w:r>
            <w:r>
              <w:rPr>
                <w:rFonts w:hint="eastAsia" w:ascii="宋体" w:hAnsi="宋体" w:cs="宋体"/>
                <w:color w:val="000000" w:themeColor="text1"/>
                <w:kern w:val="0"/>
                <w:sz w:val="24"/>
                <w:szCs w:val="24"/>
                <w14:textFill>
                  <w14:solidFill>
                    <w14:schemeClr w14:val="tx1"/>
                  </w14:solidFill>
                </w14:textFill>
              </w:rPr>
              <w:instrText xml:space="preserve"> eq \o\ac(○,</w:instrText>
            </w:r>
            <w:r>
              <w:rPr>
                <w:rFonts w:hint="eastAsia" w:ascii="宋体" w:hAnsi="宋体" w:cs="宋体"/>
                <w:color w:val="000000" w:themeColor="text1"/>
                <w:kern w:val="0"/>
                <w:position w:val="3"/>
                <w:sz w:val="16"/>
                <w:szCs w:val="24"/>
                <w14:textFill>
                  <w14:solidFill>
                    <w14:schemeClr w14:val="tx1"/>
                  </w14:solidFill>
                </w14:textFill>
              </w:rPr>
              <w:instrText xml:space="preserve">2</w:instrText>
            </w:r>
            <w:r>
              <w:rPr>
                <w:rFonts w:hint="eastAsia" w:ascii="宋体" w:hAnsi="宋体" w:cs="宋体"/>
                <w:color w:val="000000" w:themeColor="text1"/>
                <w:kern w:val="0"/>
                <w:sz w:val="24"/>
                <w:szCs w:val="24"/>
                <w14:textFill>
                  <w14:solidFill>
                    <w14:schemeClr w14:val="tx1"/>
                  </w14:solidFill>
                </w14:textFill>
              </w:rPr>
              <w:instrText xml:space="preserve">)</w:instrTex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w:t>
            </w:r>
          </w:p>
        </w:tc>
        <w:tc>
          <w:tcPr>
            <w:tcW w:w="4508" w:type="dxa"/>
            <w:vAlign w:val="center"/>
          </w:tcPr>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1.投标人提供书面声明（见格式文件）；</w:t>
            </w:r>
          </w:p>
          <w:p>
            <w:pPr>
              <w:spacing w:line="240" w:lineRule="exact"/>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hint="eastAsia" w:ascii="宋体" w:hAnsi="宋体" w:cs="宋体"/>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hint="eastAsia" w:ascii="宋体" w:hAnsi="宋体" w:cs="宋体"/>
                <w:color w:val="000000" w:themeColor="text1"/>
                <w:sz w:val="21"/>
                <w:szCs w:val="21"/>
                <w14:textFill>
                  <w14:solidFill>
                    <w14:schemeClr w14:val="tx1"/>
                  </w14:solidFill>
                </w14:textFill>
              </w:rPr>
            </w:pPr>
          </w:p>
        </w:tc>
        <w:tc>
          <w:tcPr>
            <w:tcW w:w="3735" w:type="dxa"/>
            <w:vAlign w:val="center"/>
          </w:tcPr>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（6）法律、行政法规规定的其他条件</w:t>
            </w:r>
          </w:p>
        </w:tc>
        <w:tc>
          <w:tcPr>
            <w:tcW w:w="4508" w:type="dxa"/>
            <w:vAlign w:val="center"/>
          </w:tcPr>
          <w:p>
            <w:pPr>
              <w:spacing w:line="240" w:lineRule="exact"/>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4444" w:type="dxa"/>
            <w:gridSpan w:val="2"/>
            <w:vAlign w:val="center"/>
          </w:tcPr>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特定资格条件</w:t>
            </w:r>
          </w:p>
        </w:tc>
        <w:tc>
          <w:tcPr>
            <w:tcW w:w="4508" w:type="dxa"/>
            <w:vAlign w:val="center"/>
          </w:tcPr>
          <w:p>
            <w:pPr>
              <w:spacing w:line="2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按第一篇“三、投标人资格要求（二）特定资格条件”的要求提交</w:t>
            </w:r>
          </w:p>
        </w:tc>
      </w:tr>
    </w:tbl>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w:t>
      </w: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fldChar w:fldCharType="begin"/>
      </w:r>
      <w:r>
        <w:rPr>
          <w:rFonts w:hint="eastAsia" w:ascii="宋体" w:hAnsi="宋体" w:cs="宋体"/>
          <w:color w:val="000000" w:themeColor="text1"/>
          <w:kern w:val="0"/>
          <w:sz w:val="24"/>
          <w:szCs w:val="24"/>
          <w14:textFill>
            <w14:solidFill>
              <w14:schemeClr w14:val="tx1"/>
            </w14:solidFill>
          </w14:textFill>
        </w:rPr>
        <w:instrText xml:space="preserve"> eq \o\ac(</w:instrText>
      </w:r>
      <w:r>
        <w:rPr>
          <w:rFonts w:hint="eastAsia" w:ascii="宋体" w:hAnsi="宋体" w:cs="宋体"/>
          <w:color w:val="000000" w:themeColor="text1"/>
          <w:kern w:val="0"/>
          <w:position w:val="-4"/>
          <w:sz w:val="36"/>
          <w:szCs w:val="24"/>
          <w14:textFill>
            <w14:solidFill>
              <w14:schemeClr w14:val="tx1"/>
            </w14:solidFill>
          </w14:textFill>
        </w:rPr>
        <w:instrText xml:space="preserve">○</w:instrText>
      </w:r>
      <w:r>
        <w:rPr>
          <w:rFonts w:hint="eastAsia" w:ascii="宋体" w:hAnsi="宋体" w:cs="宋体"/>
          <w:color w:val="000000" w:themeColor="text1"/>
          <w:kern w:val="0"/>
          <w:sz w:val="24"/>
          <w:szCs w:val="24"/>
          <w14:textFill>
            <w14:solidFill>
              <w14:schemeClr w14:val="tx1"/>
            </w14:solidFill>
          </w14:textFill>
        </w:rPr>
        <w:instrText xml:space="preserve">,1)</w:instrTex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kern w:val="0"/>
          <w:sz w:val="24"/>
          <w:szCs w:val="24"/>
          <w14:textFill>
            <w14:solidFill>
              <w14:schemeClr w14:val="tx1"/>
            </w14:solidFill>
          </w14:textFill>
        </w:rPr>
        <w:t>投标人按“五证合一”登记制度办理营业执照的，组织机构代码证、税务登记证（副本）和社会保险登记证以投标人所提供的营业执照（副本）复印件为准。</w:t>
      </w: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fldChar w:fldCharType="begin"/>
      </w:r>
      <w:r>
        <w:rPr>
          <w:rFonts w:hint="eastAsia" w:ascii="宋体" w:hAnsi="宋体" w:cs="宋体"/>
          <w:color w:val="000000" w:themeColor="text1"/>
          <w:kern w:val="0"/>
          <w:sz w:val="24"/>
          <w:szCs w:val="24"/>
          <w14:textFill>
            <w14:solidFill>
              <w14:schemeClr w14:val="tx1"/>
            </w14:solidFill>
          </w14:textFill>
        </w:rPr>
        <w:instrText xml:space="preserve"> eq \o\ac(</w:instrText>
      </w:r>
      <w:r>
        <w:rPr>
          <w:rFonts w:hint="eastAsia" w:ascii="宋体" w:hAnsi="宋体" w:cs="宋体"/>
          <w:color w:val="000000" w:themeColor="text1"/>
          <w:kern w:val="0"/>
          <w:position w:val="-4"/>
          <w:sz w:val="36"/>
          <w:szCs w:val="24"/>
          <w14:textFill>
            <w14:solidFill>
              <w14:schemeClr w14:val="tx1"/>
            </w14:solidFill>
          </w14:textFill>
        </w:rPr>
        <w:instrText xml:space="preserve">○</w:instrText>
      </w:r>
      <w:r>
        <w:rPr>
          <w:rFonts w:hint="eastAsia" w:ascii="宋体" w:hAnsi="宋体" w:cs="宋体"/>
          <w:color w:val="000000" w:themeColor="text1"/>
          <w:kern w:val="0"/>
          <w:sz w:val="24"/>
          <w:szCs w:val="24"/>
          <w14:textFill>
            <w14:solidFill>
              <w14:schemeClr w14:val="tx1"/>
            </w14:solidFill>
          </w14:textFill>
        </w:rPr>
        <w:instrText xml:space="preserve">,2)</w:instrTex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kern w:val="0"/>
          <w:sz w:val="24"/>
          <w:szCs w:val="24"/>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104" w:name="_Toc20252"/>
      <w:bookmarkStart w:id="105" w:name="_Toc27011"/>
      <w:r>
        <w:rPr>
          <w:rFonts w:hint="eastAsia" w:cs="宋体"/>
          <w:color w:val="000000" w:themeColor="text1"/>
          <w:sz w:val="24"/>
          <w:szCs w:val="24"/>
          <w14:textFill>
            <w14:solidFill>
              <w14:schemeClr w14:val="tx1"/>
            </w14:solidFill>
          </w14:textFill>
        </w:rPr>
        <w:t>二、评标方法</w:t>
      </w:r>
      <w:bookmarkEnd w:id="104"/>
      <w:bookmarkEnd w:id="105"/>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本项目采用综合评分法进行评标。</w:t>
      </w: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评分法，是指投标文件满足招标文件全部实质性要求且按照评审因素的量化指标评审得分最高的投标人为中标候选人的评标方法。投标人总得分为价格、商务、服务等评定因素分别按照相应权重值计算分项得分后相加，满分为100分.</w:t>
      </w: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（一）符合性审查</w:t>
      </w: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评标委员会应当对符合资格的投标人的投标文件进行符合性审查，以确定其是否满足招标文件的实质性要求。符合性审查资料表如下：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序号</w:t>
            </w:r>
          </w:p>
        </w:tc>
        <w:tc>
          <w:tcPr>
            <w:tcW w:w="3546" w:type="dxa"/>
            <w:gridSpan w:val="2"/>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评审因素</w:t>
            </w:r>
          </w:p>
        </w:tc>
        <w:tc>
          <w:tcPr>
            <w:tcW w:w="5409" w:type="dxa"/>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1562" w:type="dxa"/>
            <w:vMerge w:val="restart"/>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有效性审查</w:t>
            </w:r>
          </w:p>
        </w:tc>
        <w:tc>
          <w:tcPr>
            <w:tcW w:w="1984"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投标文件签署</w:t>
            </w:r>
          </w:p>
        </w:tc>
        <w:tc>
          <w:tcPr>
            <w:tcW w:w="5409"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p>
        </w:tc>
        <w:tc>
          <w:tcPr>
            <w:tcW w:w="1562" w:type="dxa"/>
            <w:vMerge w:val="continue"/>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p>
        </w:tc>
        <w:tc>
          <w:tcPr>
            <w:tcW w:w="1984" w:type="dxa"/>
            <w:vAlign w:val="center"/>
          </w:tcPr>
          <w:p>
            <w:pPr>
              <w:spacing w:line="2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投标方案</w:t>
            </w:r>
          </w:p>
        </w:tc>
        <w:tc>
          <w:tcPr>
            <w:tcW w:w="5409"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p>
        </w:tc>
        <w:tc>
          <w:tcPr>
            <w:tcW w:w="1562" w:type="dxa"/>
            <w:vMerge w:val="continue"/>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p>
        </w:tc>
        <w:tc>
          <w:tcPr>
            <w:tcW w:w="1984" w:type="dxa"/>
            <w:vAlign w:val="center"/>
          </w:tcPr>
          <w:p>
            <w:pPr>
              <w:spacing w:line="2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报价唯一</w:t>
            </w:r>
          </w:p>
        </w:tc>
        <w:tc>
          <w:tcPr>
            <w:tcW w:w="5409"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只能在预算金额和最高限价内报价，</w:t>
            </w:r>
            <w:r>
              <w:rPr>
                <w:rFonts w:hint="eastAsia" w:ascii="宋体" w:hAnsi="宋体" w:cs="宋体"/>
                <w:color w:val="000000" w:themeColor="text1"/>
                <w:sz w:val="2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p>
        </w:tc>
        <w:tc>
          <w:tcPr>
            <w:tcW w:w="1562"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完整性审查</w:t>
            </w:r>
          </w:p>
        </w:tc>
        <w:tc>
          <w:tcPr>
            <w:tcW w:w="1984"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投标文件份数</w:t>
            </w:r>
          </w:p>
        </w:tc>
        <w:tc>
          <w:tcPr>
            <w:tcW w:w="5409"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投标文件正、副本数量符合招标文件要求。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w:t>
            </w:r>
          </w:p>
        </w:tc>
        <w:tc>
          <w:tcPr>
            <w:tcW w:w="1562"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技术部分</w:t>
            </w:r>
          </w:p>
        </w:tc>
        <w:tc>
          <w:tcPr>
            <w:tcW w:w="1984"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投标文件内容</w:t>
            </w:r>
          </w:p>
        </w:tc>
        <w:tc>
          <w:tcPr>
            <w:tcW w:w="5409"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本招标文件第二篇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w:t>
            </w:r>
          </w:p>
        </w:tc>
        <w:tc>
          <w:tcPr>
            <w:tcW w:w="1562"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商务部分</w:t>
            </w:r>
          </w:p>
        </w:tc>
        <w:tc>
          <w:tcPr>
            <w:tcW w:w="1984"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投标文件内容</w:t>
            </w:r>
          </w:p>
        </w:tc>
        <w:tc>
          <w:tcPr>
            <w:tcW w:w="5409"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本招标文件第三篇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w:t>
            </w:r>
          </w:p>
        </w:tc>
        <w:tc>
          <w:tcPr>
            <w:tcW w:w="1562"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投标有效期</w:t>
            </w:r>
          </w:p>
        </w:tc>
        <w:tc>
          <w:tcPr>
            <w:tcW w:w="1984"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投标文件内容</w:t>
            </w:r>
          </w:p>
        </w:tc>
        <w:tc>
          <w:tcPr>
            <w:tcW w:w="5409" w:type="dxa"/>
            <w:vAlign w:val="center"/>
          </w:tcPr>
          <w:p>
            <w:pPr>
              <w:spacing w:line="2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投标有效期为投标截止日期后九十天内</w:t>
            </w:r>
          </w:p>
        </w:tc>
      </w:tr>
    </w:tbl>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（三）比较与评价。按招标文件中规定的评标方法和标准，对资格审查和符合性审查合格的投标文件进行商务和技术评估。</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复核后，评标委员会汇总每个投标人每项评分因素的得分。</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（四）推荐中标候选人名单。</w:t>
      </w:r>
    </w:p>
    <w:p>
      <w:pPr>
        <w:adjustRightInd w:val="0"/>
        <w:snapToGrid w:val="0"/>
        <w:spacing w:line="276" w:lineRule="auto"/>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本项目按有效投标人评审后综合得分由高到低顺序排列，得分排名第一名的投标人为中标候选人；如总得分相同，以商务部分得分较高者优先，如商务部分得分也相同，则由采购人通过抽签方式随机抽取确定中标候选人。</w:t>
      </w:r>
    </w:p>
    <w:p>
      <w:pPr>
        <w:pStyle w:val="4"/>
        <w:ind w:firstLine="480" w:firstLineChars="200"/>
        <w:outlineLvl w:val="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br w:type="page"/>
      </w:r>
      <w:bookmarkStart w:id="106" w:name="_Toc24531"/>
      <w:bookmarkStart w:id="107" w:name="_Toc28132"/>
      <w:bookmarkStart w:id="108" w:name="_Toc18298"/>
      <w:bookmarkStart w:id="109" w:name="_Toc8325"/>
      <w:bookmarkStart w:id="110" w:name="_Toc16268"/>
      <w:bookmarkStart w:id="111" w:name="_Toc18652"/>
      <w:r>
        <w:rPr>
          <w:rFonts w:hint="eastAsia" w:ascii="宋体" w:hAnsi="宋体" w:eastAsia="宋体" w:cs="宋体"/>
          <w:b w:val="0"/>
          <w:color w:val="000000" w:themeColor="text1"/>
          <w:kern w:val="2"/>
          <w:sz w:val="24"/>
          <w:lang w:val="en-US" w:eastAsia="zh-CN" w:bidi="ar-SA"/>
          <w14:textFill>
            <w14:solidFill>
              <w14:schemeClr w14:val="tx1"/>
            </w14:solidFill>
          </w14:textFill>
        </w:rPr>
        <w:t>三、评标标准</w:t>
      </w:r>
      <w:bookmarkEnd w:id="97"/>
      <w:bookmarkEnd w:id="106"/>
      <w:bookmarkEnd w:id="107"/>
      <w:bookmarkEnd w:id="108"/>
      <w:bookmarkEnd w:id="109"/>
      <w:bookmarkEnd w:id="110"/>
      <w:bookmarkEnd w:id="111"/>
    </w:p>
    <w:p>
      <w:pPr>
        <w:snapToGrid w:val="0"/>
        <w:spacing w:line="360" w:lineRule="auto"/>
        <w:ind w:firstLine="480" w:firstLineChars="200"/>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（一）评审因素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544" w:type="dxa"/>
            <w:gridSpan w:val="2"/>
            <w:noWrap w:val="0"/>
            <w:vAlign w:val="center"/>
          </w:tcPr>
          <w:p>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评审因素</w:t>
            </w:r>
          </w:p>
        </w:tc>
        <w:tc>
          <w:tcPr>
            <w:tcW w:w="5409" w:type="dxa"/>
            <w:noWrap w:val="0"/>
            <w:vAlign w:val="center"/>
          </w:tcPr>
          <w:p>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560" w:type="dxa"/>
            <w:vMerge w:val="restart"/>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有效性审查</w:t>
            </w:r>
          </w:p>
        </w:tc>
        <w:tc>
          <w:tcPr>
            <w:tcW w:w="1984" w:type="dxa"/>
            <w:noWrap w:val="0"/>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响应文件签署</w:t>
            </w:r>
          </w:p>
        </w:tc>
        <w:tc>
          <w:tcPr>
            <w:tcW w:w="5409" w:type="dxa"/>
            <w:noWrap w:val="0"/>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560" w:type="dxa"/>
            <w:vMerge w:val="continue"/>
            <w:noWrap w:val="0"/>
            <w:vAlign w:val="center"/>
          </w:tcPr>
          <w:p>
            <w:pPr>
              <w:spacing w:line="240" w:lineRule="exact"/>
              <w:rPr>
                <w:rFonts w:hint="eastAsia" w:ascii="宋体" w:hAnsi="宋体" w:eastAsia="宋体" w:cs="宋体"/>
                <w:color w:val="auto"/>
                <w:kern w:val="0"/>
                <w:sz w:val="21"/>
                <w:szCs w:val="21"/>
              </w:rPr>
            </w:pPr>
          </w:p>
        </w:tc>
        <w:tc>
          <w:tcPr>
            <w:tcW w:w="1984" w:type="dxa"/>
            <w:noWrap w:val="0"/>
            <w:vAlign w:val="center"/>
          </w:tcPr>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w:t>
            </w:r>
          </w:p>
        </w:tc>
        <w:tc>
          <w:tcPr>
            <w:tcW w:w="5409" w:type="dxa"/>
            <w:noWrap w:val="0"/>
            <w:vAlign w:val="center"/>
          </w:tcPr>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法定代表人身份证明及授权委托书有效，符合</w:t>
            </w:r>
            <w:r>
              <w:rPr>
                <w:rFonts w:hint="eastAsia" w:ascii="宋体" w:hAnsi="宋体" w:cs="宋体"/>
                <w:color w:val="auto"/>
                <w:sz w:val="21"/>
                <w:szCs w:val="21"/>
                <w:lang w:eastAsia="zh-CN"/>
              </w:rPr>
              <w:t>招标文件</w:t>
            </w:r>
            <w:r>
              <w:rPr>
                <w:rFonts w:hint="eastAsia" w:ascii="宋体" w:hAnsi="宋体" w:eastAsia="宋体" w:cs="宋体"/>
                <w:color w:val="auto"/>
                <w:sz w:val="21"/>
                <w:szCs w:val="21"/>
              </w:rPr>
              <w:t>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560" w:type="dxa"/>
            <w:vMerge w:val="continue"/>
            <w:noWrap w:val="0"/>
            <w:vAlign w:val="center"/>
          </w:tcPr>
          <w:p>
            <w:pPr>
              <w:spacing w:line="240" w:lineRule="exact"/>
              <w:rPr>
                <w:rFonts w:hint="eastAsia" w:ascii="宋体" w:hAnsi="宋体" w:eastAsia="宋体" w:cs="宋体"/>
                <w:color w:val="auto"/>
                <w:kern w:val="0"/>
                <w:sz w:val="21"/>
                <w:szCs w:val="21"/>
              </w:rPr>
            </w:pPr>
          </w:p>
        </w:tc>
        <w:tc>
          <w:tcPr>
            <w:tcW w:w="1984" w:type="dxa"/>
            <w:noWrap w:val="0"/>
            <w:vAlign w:val="center"/>
          </w:tcPr>
          <w:p>
            <w:pPr>
              <w:spacing w:line="36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c>
          <w:tcPr>
            <w:tcW w:w="5409" w:type="dxa"/>
            <w:noWrap w:val="0"/>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只能有一个</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560" w:type="dxa"/>
            <w:vMerge w:val="continue"/>
            <w:noWrap w:val="0"/>
            <w:vAlign w:val="center"/>
          </w:tcPr>
          <w:p>
            <w:pPr>
              <w:spacing w:line="240" w:lineRule="exact"/>
              <w:rPr>
                <w:rFonts w:hint="eastAsia" w:ascii="宋体" w:hAnsi="宋体" w:eastAsia="宋体" w:cs="宋体"/>
                <w:color w:val="auto"/>
                <w:kern w:val="0"/>
                <w:sz w:val="21"/>
                <w:szCs w:val="21"/>
              </w:rPr>
            </w:pPr>
          </w:p>
        </w:tc>
        <w:tc>
          <w:tcPr>
            <w:tcW w:w="1984" w:type="dxa"/>
            <w:noWrap w:val="0"/>
            <w:vAlign w:val="center"/>
          </w:tcPr>
          <w:p>
            <w:pPr>
              <w:spacing w:line="36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报价唯一</w:t>
            </w:r>
          </w:p>
        </w:tc>
        <w:tc>
          <w:tcPr>
            <w:tcW w:w="5409" w:type="dxa"/>
            <w:noWrap w:val="0"/>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560"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完整性审查</w:t>
            </w:r>
          </w:p>
        </w:tc>
        <w:tc>
          <w:tcPr>
            <w:tcW w:w="1984" w:type="dxa"/>
            <w:noWrap w:val="0"/>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文件份数</w:t>
            </w:r>
          </w:p>
        </w:tc>
        <w:tc>
          <w:tcPr>
            <w:tcW w:w="5409" w:type="dxa"/>
            <w:noWrap w:val="0"/>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文件正、副本数量符合</w:t>
            </w:r>
            <w:r>
              <w:rPr>
                <w:rFonts w:hint="eastAsia" w:ascii="宋体" w:hAnsi="宋体" w:cs="宋体"/>
                <w:color w:val="auto"/>
                <w:sz w:val="21"/>
                <w:szCs w:val="21"/>
                <w:lang w:eastAsia="zh-CN"/>
              </w:rPr>
              <w:t>招标文件</w:t>
            </w:r>
            <w:r>
              <w:rPr>
                <w:rFonts w:hint="eastAsia" w:ascii="宋体" w:hAnsi="宋体" w:eastAsia="宋体" w:cs="宋体"/>
                <w:color w:val="auto"/>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560" w:type="dxa"/>
            <w:vMerge w:val="restart"/>
            <w:noWrap w:val="0"/>
            <w:vAlign w:val="center"/>
          </w:tcPr>
          <w:p>
            <w:pPr>
              <w:spacing w:line="240" w:lineRule="exact"/>
              <w:rPr>
                <w:rFonts w:hint="eastAsia" w:ascii="宋体" w:hAnsi="宋体" w:eastAsia="宋体" w:cs="宋体"/>
                <w:color w:val="auto"/>
                <w:sz w:val="21"/>
                <w:szCs w:val="21"/>
                <w:lang w:val="zh-CN"/>
              </w:rPr>
            </w:pPr>
            <w:r>
              <w:rPr>
                <w:rFonts w:hint="eastAsia" w:ascii="宋体" w:hAnsi="宋体" w:cs="宋体"/>
                <w:color w:val="auto"/>
                <w:kern w:val="0"/>
                <w:sz w:val="21"/>
                <w:szCs w:val="21"/>
                <w:lang w:eastAsia="zh-CN"/>
              </w:rPr>
              <w:t>招标文件</w:t>
            </w:r>
            <w:r>
              <w:rPr>
                <w:rFonts w:hint="eastAsia" w:ascii="宋体" w:hAnsi="宋体" w:eastAsia="宋体" w:cs="宋体"/>
                <w:color w:val="auto"/>
                <w:kern w:val="0"/>
                <w:sz w:val="21"/>
                <w:szCs w:val="21"/>
              </w:rPr>
              <w:t>的响应程度审查</w:t>
            </w:r>
          </w:p>
        </w:tc>
        <w:tc>
          <w:tcPr>
            <w:tcW w:w="1984" w:type="dxa"/>
            <w:noWrap w:val="0"/>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响应文件内容</w:t>
            </w:r>
          </w:p>
        </w:tc>
        <w:tc>
          <w:tcPr>
            <w:tcW w:w="5409" w:type="dxa"/>
            <w:noWrap w:val="0"/>
            <w:vAlign w:val="center"/>
          </w:tcPr>
          <w:p>
            <w:pPr>
              <w:pStyle w:val="13"/>
              <w:spacing w:line="36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w:t>
            </w:r>
            <w:r>
              <w:rPr>
                <w:rFonts w:hint="eastAsia" w:ascii="宋体" w:hAnsi="宋体" w:cs="宋体"/>
                <w:color w:val="auto"/>
                <w:kern w:val="0"/>
                <w:sz w:val="21"/>
                <w:szCs w:val="21"/>
                <w:lang w:val="en-US" w:eastAsia="zh-CN"/>
              </w:rPr>
              <w:t>招标文件</w:t>
            </w:r>
            <w:r>
              <w:rPr>
                <w:rFonts w:hint="eastAsia" w:ascii="宋体" w:hAnsi="宋体" w:eastAsia="宋体" w:cs="宋体"/>
                <w:color w:val="auto"/>
                <w:kern w:val="0"/>
                <w:sz w:val="21"/>
                <w:szCs w:val="21"/>
                <w:lang w:val="en-US" w:eastAsia="zh-CN"/>
              </w:rPr>
              <w:t>第三篇、第四篇规定的</w:t>
            </w:r>
            <w:r>
              <w:rPr>
                <w:rFonts w:hint="eastAsia" w:ascii="宋体" w:hAnsi="宋体" w:cs="宋体"/>
                <w:color w:val="auto"/>
                <w:kern w:val="0"/>
                <w:sz w:val="21"/>
                <w:szCs w:val="21"/>
                <w:lang w:val="en-US" w:eastAsia="zh-CN"/>
              </w:rPr>
              <w:t>招标</w:t>
            </w:r>
            <w:r>
              <w:rPr>
                <w:rFonts w:hint="eastAsia" w:ascii="宋体" w:hAnsi="宋体" w:eastAsia="宋体" w:cs="宋体"/>
                <w:color w:val="auto"/>
                <w:kern w:val="0"/>
                <w:sz w:val="21"/>
                <w:szCs w:val="21"/>
                <w:lang w:val="en-US" w:eastAsia="zh-CN"/>
              </w:rPr>
              <w:t>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560" w:type="dxa"/>
            <w:vMerge w:val="continue"/>
            <w:noWrap w:val="0"/>
            <w:vAlign w:val="center"/>
          </w:tcPr>
          <w:p>
            <w:pPr>
              <w:spacing w:line="240" w:lineRule="exact"/>
              <w:rPr>
                <w:rFonts w:hint="eastAsia" w:ascii="宋体" w:hAnsi="宋体" w:eastAsia="宋体" w:cs="宋体"/>
                <w:color w:val="auto"/>
                <w:sz w:val="21"/>
                <w:szCs w:val="21"/>
                <w:lang w:val="zh-CN"/>
              </w:rPr>
            </w:pPr>
          </w:p>
        </w:tc>
        <w:tc>
          <w:tcPr>
            <w:tcW w:w="1984" w:type="dxa"/>
            <w:noWrap w:val="0"/>
            <w:vAlign w:val="center"/>
          </w:tcPr>
          <w:p>
            <w:pPr>
              <w:spacing w:line="360" w:lineRule="exac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招标</w:t>
            </w:r>
            <w:r>
              <w:rPr>
                <w:rFonts w:hint="eastAsia" w:ascii="宋体" w:hAnsi="宋体" w:eastAsia="宋体" w:cs="宋体"/>
                <w:color w:val="auto"/>
                <w:kern w:val="0"/>
                <w:sz w:val="21"/>
                <w:szCs w:val="21"/>
              </w:rPr>
              <w:t>有效期</w:t>
            </w:r>
          </w:p>
        </w:tc>
        <w:tc>
          <w:tcPr>
            <w:tcW w:w="5409" w:type="dxa"/>
            <w:noWrap w:val="0"/>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满足</w:t>
            </w:r>
            <w:r>
              <w:rPr>
                <w:rFonts w:hint="eastAsia" w:ascii="宋体" w:hAnsi="宋体" w:cs="宋体"/>
                <w:color w:val="auto"/>
                <w:kern w:val="0"/>
                <w:sz w:val="21"/>
                <w:szCs w:val="21"/>
                <w:lang w:val="en-US" w:eastAsia="zh-CN"/>
              </w:rPr>
              <w:t>招标</w:t>
            </w:r>
            <w:r>
              <w:rPr>
                <w:rFonts w:hint="eastAsia" w:ascii="宋体" w:hAnsi="宋体" w:eastAsia="宋体" w:cs="宋体"/>
                <w:color w:val="auto"/>
                <w:kern w:val="0"/>
                <w:sz w:val="21"/>
                <w:szCs w:val="21"/>
              </w:rPr>
              <w:t>文件</w:t>
            </w:r>
            <w:r>
              <w:rPr>
                <w:rFonts w:hint="eastAsia" w:ascii="宋体" w:hAnsi="宋体" w:eastAsia="宋体" w:cs="宋体"/>
                <w:color w:val="auto"/>
                <w:sz w:val="21"/>
                <w:szCs w:val="21"/>
                <w:lang w:val="zh-CN"/>
              </w:rPr>
              <w:t>规定。</w:t>
            </w:r>
          </w:p>
        </w:tc>
      </w:tr>
    </w:tbl>
    <w:p>
      <w:pPr>
        <w:bidi w:val="0"/>
      </w:pPr>
      <w:bookmarkStart w:id="112" w:name="_Toc30029"/>
      <w:bookmarkStart w:id="113" w:name="_Toc21489"/>
      <w:bookmarkStart w:id="114" w:name="_Toc7996"/>
    </w:p>
    <w:bookmarkEnd w:id="90"/>
    <w:bookmarkEnd w:id="91"/>
    <w:bookmarkEnd w:id="112"/>
    <w:bookmarkEnd w:id="113"/>
    <w:bookmarkEnd w:id="114"/>
    <w:p>
      <w:pPr>
        <w:pStyle w:val="4"/>
        <w:widowControl/>
        <w:ind w:firstLine="562"/>
        <w:rPr>
          <w:rFonts w:hint="eastAsia" w:cs="宋体"/>
        </w:rPr>
      </w:pPr>
      <w:r>
        <w:rPr>
          <w:rFonts w:hint="eastAsia" w:ascii="宋体" w:hAnsi="宋体" w:cs="宋体"/>
          <w:color w:val="000000" w:themeColor="text1"/>
          <w:sz w:val="24"/>
          <w:szCs w:val="24"/>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w:t>
      </w:r>
      <w:r>
        <w:rPr>
          <w:rFonts w:cs="宋体"/>
        </w:rPr>
        <w:t>评审标准</w:t>
      </w:r>
    </w:p>
    <w:tbl>
      <w:tblPr>
        <w:tblStyle w:val="23"/>
        <w:tblW w:w="8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1023"/>
        <w:gridCol w:w="1023"/>
        <w:gridCol w:w="3455"/>
        <w:gridCol w:w="2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left"/>
              <w:rPr>
                <w:rFonts w:hint="eastAsia" w:ascii="宋体" w:hAnsi="宋体" w:cs="宋体"/>
                <w:sz w:val="21"/>
                <w:szCs w:val="21"/>
              </w:rPr>
            </w:pPr>
            <w:r>
              <w:rPr>
                <w:rFonts w:hint="eastAsia" w:ascii="宋体" w:hAnsi="宋体" w:cs="宋体"/>
                <w:sz w:val="21"/>
                <w:szCs w:val="21"/>
                <w:lang w:bidi="ar"/>
              </w:rPr>
              <w:t>序号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left"/>
              <w:rPr>
                <w:rFonts w:hint="eastAsia" w:ascii="宋体" w:hAnsi="宋体" w:cs="宋体"/>
                <w:sz w:val="21"/>
                <w:szCs w:val="21"/>
              </w:rPr>
            </w:pPr>
            <w:r>
              <w:rPr>
                <w:rFonts w:hint="eastAsia" w:ascii="宋体" w:hAnsi="宋体" w:cs="宋体"/>
                <w:sz w:val="21"/>
                <w:szCs w:val="21"/>
                <w:lang w:bidi="ar"/>
              </w:rPr>
              <w:t>评分因素及权重</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ind w:firstLine="174" w:firstLineChars="83"/>
              <w:jc w:val="left"/>
              <w:rPr>
                <w:rFonts w:hint="eastAsia" w:ascii="宋体" w:hAnsi="宋体" w:cs="宋体"/>
                <w:sz w:val="21"/>
                <w:szCs w:val="21"/>
              </w:rPr>
            </w:pPr>
            <w:r>
              <w:rPr>
                <w:rFonts w:hint="eastAsia" w:ascii="宋体" w:hAnsi="宋体" w:cs="宋体"/>
                <w:sz w:val="21"/>
                <w:szCs w:val="21"/>
                <w:lang w:bidi="ar"/>
              </w:rPr>
              <w:t>分值</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ind w:firstLine="420" w:firstLineChars="200"/>
              <w:jc w:val="left"/>
              <w:rPr>
                <w:rFonts w:hint="eastAsia" w:ascii="宋体" w:hAnsi="宋体" w:cs="宋体"/>
                <w:sz w:val="21"/>
                <w:szCs w:val="21"/>
              </w:rPr>
            </w:pPr>
            <w:r>
              <w:rPr>
                <w:rFonts w:hint="eastAsia" w:ascii="宋体" w:hAnsi="宋体" w:cs="宋体"/>
                <w:sz w:val="21"/>
                <w:szCs w:val="21"/>
                <w:lang w:bidi="ar"/>
              </w:rPr>
              <w:t>评分标准</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ind w:firstLine="420" w:firstLineChars="200"/>
              <w:jc w:val="left"/>
              <w:rPr>
                <w:rFonts w:hint="eastAsia" w:ascii="宋体" w:hAnsi="宋体" w:cs="宋体"/>
                <w:sz w:val="21"/>
                <w:szCs w:val="21"/>
              </w:rPr>
            </w:pPr>
            <w:r>
              <w:rPr>
                <w:rFonts w:hint="eastAsia" w:ascii="宋体" w:hAnsi="宋体" w:cs="宋体"/>
                <w:sz w:val="21"/>
                <w:szCs w:val="21"/>
                <w:lang w:bidi="ar"/>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ind w:firstLine="174" w:firstLineChars="83"/>
              <w:jc w:val="left"/>
              <w:rPr>
                <w:rFonts w:hint="eastAsia" w:ascii="宋体" w:hAnsi="宋体" w:cs="宋体"/>
                <w:sz w:val="21"/>
                <w:szCs w:val="21"/>
              </w:rPr>
            </w:pPr>
            <w:r>
              <w:rPr>
                <w:rFonts w:hint="eastAsia" w:ascii="宋体" w:hAnsi="宋体" w:cs="宋体"/>
                <w:sz w:val="21"/>
                <w:szCs w:val="21"/>
                <w:lang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left"/>
              <w:rPr>
                <w:rFonts w:hint="eastAsia" w:ascii="宋体" w:hAnsi="宋体" w:cs="宋体"/>
                <w:sz w:val="21"/>
                <w:szCs w:val="21"/>
              </w:rPr>
            </w:pPr>
            <w:r>
              <w:rPr>
                <w:rFonts w:hint="eastAsia" w:ascii="宋体" w:hAnsi="宋体" w:cs="宋体"/>
                <w:sz w:val="21"/>
                <w:szCs w:val="21"/>
                <w:lang w:bidi="ar"/>
              </w:rPr>
              <w:t>报价（30%）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ind w:firstLine="174" w:firstLineChars="83"/>
              <w:jc w:val="left"/>
              <w:rPr>
                <w:rFonts w:hint="eastAsia" w:ascii="宋体" w:hAnsi="宋体" w:cs="宋体"/>
                <w:sz w:val="21"/>
                <w:szCs w:val="21"/>
              </w:rPr>
            </w:pPr>
            <w:r>
              <w:rPr>
                <w:rFonts w:hint="eastAsia" w:ascii="宋体" w:hAnsi="宋体" w:cs="宋体"/>
                <w:sz w:val="21"/>
                <w:szCs w:val="21"/>
                <w:lang w:bidi="ar"/>
              </w:rPr>
              <w:t>30分</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bidi="ar"/>
              </w:rPr>
              <w:t>有效的投标报价中的最低价为评标基准价，按照下列公式计算每个投标人的投标价格得分。</w:t>
            </w:r>
          </w:p>
          <w:p>
            <w:pPr>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bidi="ar"/>
              </w:rPr>
              <w:t>投标报价得分＝（评标基准价/投标报价）×价格权重×100。</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left"/>
              <w:rPr>
                <w:rFonts w:hint="eastAsia" w:ascii="宋体" w:hAnsi="宋体" w:cs="宋体"/>
                <w:sz w:val="21"/>
                <w:szCs w:val="21"/>
              </w:rPr>
            </w:pPr>
            <w:r>
              <w:rPr>
                <w:rFonts w:hint="eastAsia" w:ascii="宋体" w:hAnsi="宋体" w:cs="宋体"/>
                <w:color w:val="000000"/>
                <w:sz w:val="21"/>
                <w:szCs w:val="21"/>
                <w:lang w:bidi="ar"/>
              </w:rPr>
              <w:t>得分保留小数点后两位，四舍五入。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1"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ind w:firstLine="174" w:firstLineChars="83"/>
              <w:jc w:val="left"/>
              <w:rPr>
                <w:rFonts w:hint="eastAsia" w:ascii="宋体" w:hAnsi="宋体" w:cs="宋体"/>
                <w:sz w:val="21"/>
                <w:szCs w:val="21"/>
              </w:rPr>
            </w:pPr>
            <w:r>
              <w:rPr>
                <w:rFonts w:hint="eastAsia" w:ascii="宋体" w:hAnsi="宋体" w:cs="宋体"/>
                <w:sz w:val="21"/>
                <w:szCs w:val="21"/>
                <w:lang w:bidi="ar"/>
              </w:rPr>
              <w:t>2</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left"/>
              <w:rPr>
                <w:rFonts w:hint="eastAsia" w:ascii="宋体" w:hAnsi="宋体" w:cs="宋体"/>
                <w:sz w:val="21"/>
                <w:szCs w:val="21"/>
              </w:rPr>
            </w:pPr>
            <w:r>
              <w:rPr>
                <w:rFonts w:hint="eastAsia" w:ascii="宋体" w:hAnsi="宋体" w:cs="宋体"/>
                <w:sz w:val="21"/>
                <w:szCs w:val="21"/>
                <w:lang w:bidi="ar"/>
              </w:rPr>
              <w:t>技术部分</w:t>
            </w:r>
          </w:p>
          <w:p>
            <w:pPr>
              <w:jc w:val="left"/>
              <w:rPr>
                <w:rFonts w:hint="eastAsia" w:ascii="宋体" w:hAnsi="宋体" w:cs="宋体"/>
                <w:sz w:val="21"/>
                <w:szCs w:val="21"/>
              </w:rPr>
            </w:pPr>
            <w:r>
              <w:rPr>
                <w:rFonts w:hint="eastAsia" w:ascii="宋体" w:hAnsi="宋体" w:cs="宋体"/>
                <w:sz w:val="21"/>
                <w:szCs w:val="21"/>
                <w:lang w:bidi="ar"/>
              </w:rPr>
              <w:t>（30%）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ind w:firstLine="174" w:firstLineChars="83"/>
              <w:jc w:val="left"/>
              <w:rPr>
                <w:rFonts w:hint="eastAsia" w:ascii="宋体" w:hAnsi="宋体" w:cs="宋体"/>
                <w:sz w:val="21"/>
                <w:szCs w:val="21"/>
              </w:rPr>
            </w:pPr>
            <w:r>
              <w:rPr>
                <w:rFonts w:hint="eastAsia" w:ascii="宋体" w:hAnsi="宋体" w:cs="宋体"/>
                <w:sz w:val="21"/>
                <w:szCs w:val="21"/>
                <w:lang w:bidi="ar"/>
              </w:rPr>
              <w:t>30分</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ind w:firstLine="174" w:firstLineChars="83"/>
              <w:jc w:val="left"/>
              <w:rPr>
                <w:rFonts w:hint="eastAsia" w:ascii="宋体" w:hAnsi="宋体" w:cs="宋体"/>
                <w:color w:val="000000"/>
                <w:sz w:val="21"/>
                <w:szCs w:val="21"/>
              </w:rPr>
            </w:pPr>
            <w:r>
              <w:rPr>
                <w:rFonts w:hint="eastAsia" w:ascii="宋体" w:hAnsi="宋体" w:cs="宋体"/>
                <w:color w:val="000000"/>
                <w:sz w:val="21"/>
                <w:szCs w:val="21"/>
                <w:lang w:bidi="ar"/>
              </w:rPr>
              <w:t>1、起评分：</w:t>
            </w:r>
          </w:p>
          <w:p>
            <w:pPr>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bidi="ar"/>
              </w:rPr>
              <w:t>有效供应商的起评分为30分，“</w:t>
            </w:r>
            <w:bookmarkStart w:id="115" w:name="OLE_LINK4"/>
            <w:r>
              <w:rPr>
                <w:rFonts w:hint="eastAsia" w:ascii="宋体" w:hAnsi="宋体" w:cs="宋体"/>
                <w:color w:val="000000"/>
                <w:sz w:val="21"/>
                <w:szCs w:val="21"/>
                <w:lang w:bidi="ar"/>
              </w:rPr>
              <w:t>★</w:t>
            </w:r>
            <w:bookmarkEnd w:id="115"/>
            <w:r>
              <w:rPr>
                <w:rFonts w:hint="eastAsia" w:ascii="宋体" w:hAnsi="宋体" w:cs="宋体"/>
                <w:color w:val="000000"/>
                <w:sz w:val="21"/>
                <w:szCs w:val="21"/>
                <w:lang w:bidi="ar"/>
              </w:rPr>
              <w:t>”条款为必须满足项，一条不满足技术部分不得分。</w:t>
            </w:r>
          </w:p>
          <w:p>
            <w:pPr>
              <w:ind w:firstLine="210" w:firstLineChars="100"/>
              <w:jc w:val="left"/>
              <w:rPr>
                <w:rFonts w:hint="eastAsia" w:ascii="宋体" w:hAnsi="宋体" w:cs="宋体"/>
                <w:color w:val="000000"/>
                <w:sz w:val="21"/>
                <w:szCs w:val="21"/>
              </w:rPr>
            </w:pPr>
            <w:r>
              <w:rPr>
                <w:rFonts w:hint="eastAsia" w:ascii="宋体" w:hAnsi="宋体" w:cs="宋体"/>
                <w:color w:val="000000"/>
                <w:sz w:val="21"/>
                <w:szCs w:val="21"/>
                <w:lang w:bidi="ar"/>
              </w:rPr>
              <w:t>2、扣分条款：</w:t>
            </w:r>
          </w:p>
          <w:p>
            <w:pPr>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bidi="ar"/>
              </w:rPr>
              <w:t>技术参数基本要求中，非“</w:t>
            </w:r>
            <w:bookmarkStart w:id="116" w:name="OLE_LINK5"/>
            <w:r>
              <w:rPr>
                <w:rFonts w:hint="eastAsia" w:ascii="宋体" w:hAnsi="宋体" w:cs="宋体"/>
                <w:color w:val="000000"/>
                <w:sz w:val="21"/>
                <w:szCs w:val="21"/>
                <w:lang w:bidi="ar"/>
              </w:rPr>
              <w:t>★</w:t>
            </w:r>
            <w:bookmarkEnd w:id="116"/>
            <w:r>
              <w:rPr>
                <w:rFonts w:hint="eastAsia" w:ascii="宋体" w:hAnsi="宋体" w:cs="宋体"/>
                <w:color w:val="000000"/>
                <w:sz w:val="21"/>
                <w:szCs w:val="21"/>
                <w:lang w:bidi="ar"/>
              </w:rPr>
              <w:t>”标注的技术参数每负偏离一条从起评分中扣除3分，扣完为止。</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left"/>
              <w:rPr>
                <w:rFonts w:hint="eastAsia" w:ascii="宋体" w:hAns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0" w:hRule="atLeast"/>
          <w:jc w:val="center"/>
        </w:trPr>
        <w:tc>
          <w:tcPr>
            <w:tcW w:w="506" w:type="dxa"/>
            <w:vMerge w:val="restart"/>
            <w:tcBorders>
              <w:top w:val="single" w:color="000000" w:sz="4" w:space="0"/>
              <w:left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 w:val="20"/>
              </w:rPr>
            </w:pPr>
            <w:r>
              <w:rPr>
                <w:rFonts w:hint="eastAsia"/>
                <w:sz w:val="20"/>
              </w:rPr>
              <w:t>3</w:t>
            </w:r>
          </w:p>
        </w:tc>
        <w:tc>
          <w:tcPr>
            <w:tcW w:w="1023" w:type="dxa"/>
            <w:vMerge w:val="restart"/>
            <w:tcBorders>
              <w:top w:val="single" w:color="000000" w:sz="4" w:space="0"/>
              <w:left w:val="single" w:color="000000" w:sz="4" w:space="0"/>
              <w:right w:val="single" w:color="000000" w:sz="4" w:space="0"/>
            </w:tcBorders>
            <w:shd w:val="clear" w:color="auto" w:fill="auto"/>
            <w:tcMar>
              <w:top w:w="15" w:type="dxa"/>
              <w:left w:w="15" w:type="dxa"/>
              <w:bottom w:w="15" w:type="dxa"/>
              <w:right w:w="15" w:type="dxa"/>
            </w:tcMar>
            <w:vAlign w:val="center"/>
          </w:tcPr>
          <w:p>
            <w:pPr>
              <w:jc w:val="left"/>
              <w:rPr>
                <w:rFonts w:hint="eastAsia" w:ascii="宋体" w:hAnsi="宋体" w:cs="宋体"/>
                <w:sz w:val="21"/>
                <w:szCs w:val="21"/>
              </w:rPr>
            </w:pPr>
            <w:r>
              <w:rPr>
                <w:rFonts w:hint="eastAsia" w:ascii="宋体" w:hAnsi="宋体" w:cs="宋体"/>
                <w:sz w:val="21"/>
                <w:szCs w:val="21"/>
                <w:lang w:bidi="ar"/>
              </w:rPr>
              <w:t>商务部分</w:t>
            </w:r>
          </w:p>
          <w:p>
            <w:pPr>
              <w:rPr>
                <w:sz w:val="20"/>
              </w:rPr>
            </w:pPr>
            <w:r>
              <w:rPr>
                <w:rFonts w:hint="eastAsia" w:ascii="宋体" w:hAnsi="宋体" w:cs="宋体"/>
                <w:sz w:val="21"/>
                <w:szCs w:val="21"/>
                <w:lang w:bidi="ar"/>
              </w:rPr>
              <w:t>（40%）</w:t>
            </w:r>
          </w:p>
        </w:tc>
        <w:tc>
          <w:tcPr>
            <w:tcW w:w="1023"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left"/>
              <w:rPr>
                <w:rFonts w:hint="eastAsia" w:ascii="宋体" w:hAnsi="宋体" w:cs="宋体"/>
                <w:sz w:val="21"/>
                <w:szCs w:val="21"/>
              </w:rPr>
            </w:pPr>
            <w:r>
              <w:rPr>
                <w:rFonts w:hint="eastAsia" w:ascii="宋体" w:hAnsi="宋体" w:cs="宋体"/>
                <w:sz w:val="21"/>
                <w:szCs w:val="21"/>
                <w:lang w:bidi="ar"/>
              </w:rPr>
              <w:t>服务保障</w:t>
            </w:r>
          </w:p>
          <w:p>
            <w:pPr>
              <w:jc w:val="left"/>
              <w:rPr>
                <w:rFonts w:hint="eastAsia" w:ascii="宋体" w:hAnsi="宋体" w:cs="宋体"/>
                <w:sz w:val="21"/>
                <w:szCs w:val="21"/>
              </w:rPr>
            </w:pPr>
            <w:r>
              <w:rPr>
                <w:rFonts w:hint="eastAsia" w:ascii="宋体" w:hAnsi="宋体" w:cs="宋体"/>
                <w:sz w:val="21"/>
                <w:szCs w:val="21"/>
                <w:lang w:bidi="ar"/>
              </w:rPr>
              <w:t>能力（35分）</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left"/>
              <w:rPr>
                <w:rFonts w:hint="eastAsia" w:ascii="宋体" w:hAnsi="宋体" w:cs="宋体"/>
                <w:sz w:val="21"/>
                <w:szCs w:val="21"/>
              </w:rPr>
            </w:pPr>
            <w:r>
              <w:rPr>
                <w:rFonts w:hint="eastAsia" w:ascii="宋体" w:hAnsi="宋体" w:cs="宋体"/>
                <w:sz w:val="21"/>
                <w:szCs w:val="21"/>
                <w:lang w:bidi="ar"/>
              </w:rPr>
              <w:t>供货服务方案（15分）</w:t>
            </w:r>
          </w:p>
          <w:p>
            <w:pPr>
              <w:ind w:firstLine="420" w:firstLineChars="200"/>
              <w:jc w:val="left"/>
              <w:rPr>
                <w:rFonts w:hint="eastAsia" w:ascii="宋体" w:hAnsi="宋体" w:cs="宋体"/>
                <w:sz w:val="21"/>
                <w:szCs w:val="21"/>
              </w:rPr>
            </w:pPr>
            <w:r>
              <w:rPr>
                <w:rFonts w:hint="eastAsia" w:ascii="宋体" w:hAnsi="宋体" w:cs="宋体"/>
                <w:sz w:val="21"/>
                <w:szCs w:val="21"/>
                <w:lang w:bidi="ar"/>
              </w:rPr>
              <w:t>提供完整的供货服务方案，包括：供货方式、质量保证、操作培训等，根据方案优劣评分。</w:t>
            </w:r>
          </w:p>
          <w:p>
            <w:pPr>
              <w:jc w:val="left"/>
              <w:rPr>
                <w:rFonts w:hint="eastAsia" w:ascii="宋体" w:hAnsi="宋体" w:cs="宋体"/>
                <w:sz w:val="21"/>
                <w:szCs w:val="21"/>
              </w:rPr>
            </w:pPr>
            <w:r>
              <w:rPr>
                <w:rFonts w:hint="eastAsia" w:ascii="宋体" w:hAnsi="宋体" w:cs="宋体"/>
                <w:sz w:val="21"/>
                <w:szCs w:val="21"/>
                <w:lang w:bidi="ar"/>
              </w:rPr>
              <w:t>1、方案内容全面、详细具体、合理可行、能提供更优的服务承诺,得10-15分；</w:t>
            </w:r>
          </w:p>
          <w:p>
            <w:pPr>
              <w:jc w:val="left"/>
              <w:rPr>
                <w:rFonts w:hint="eastAsia" w:ascii="宋体" w:hAnsi="宋体" w:cs="宋体"/>
                <w:sz w:val="21"/>
                <w:szCs w:val="21"/>
              </w:rPr>
            </w:pPr>
            <w:r>
              <w:rPr>
                <w:rFonts w:hint="eastAsia" w:ascii="宋体" w:hAnsi="宋体" w:cs="宋体"/>
                <w:sz w:val="21"/>
                <w:szCs w:val="21"/>
                <w:lang w:bidi="ar"/>
              </w:rPr>
              <w:t>2、方案内容较全、较详细、较合理可行,得5-9分；</w:t>
            </w:r>
          </w:p>
          <w:p>
            <w:pPr>
              <w:jc w:val="left"/>
              <w:rPr>
                <w:rFonts w:hint="eastAsia" w:ascii="宋体" w:hAnsi="宋体" w:cs="宋体"/>
                <w:sz w:val="21"/>
                <w:szCs w:val="21"/>
              </w:rPr>
            </w:pPr>
            <w:r>
              <w:rPr>
                <w:rFonts w:hint="eastAsia" w:ascii="宋体" w:hAnsi="宋体" w:cs="宋体"/>
                <w:sz w:val="21"/>
                <w:szCs w:val="21"/>
                <w:lang w:bidi="ar"/>
              </w:rPr>
              <w:t>3、方案内容及和合理可行性一般,得1-4分；</w:t>
            </w:r>
          </w:p>
          <w:p>
            <w:pPr>
              <w:jc w:val="left"/>
              <w:rPr>
                <w:rFonts w:hint="eastAsia" w:ascii="宋体" w:hAnsi="宋体" w:cs="宋体"/>
                <w:color w:val="000000"/>
                <w:sz w:val="21"/>
                <w:szCs w:val="21"/>
              </w:rPr>
            </w:pPr>
            <w:r>
              <w:rPr>
                <w:rFonts w:hint="eastAsia" w:ascii="宋体" w:hAnsi="宋体" w:cs="宋体"/>
                <w:sz w:val="21"/>
                <w:szCs w:val="21"/>
                <w:lang w:bidi="ar"/>
              </w:rPr>
              <w:t>4、差或未提供不得分。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ind w:firstLine="420" w:firstLineChars="200"/>
              <w:jc w:val="left"/>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5" w:hRule="atLeast"/>
          <w:jc w:val="center"/>
        </w:trPr>
        <w:tc>
          <w:tcPr>
            <w:tcW w:w="506" w:type="dxa"/>
            <w:vMerge w:val="continue"/>
            <w:tcBorders>
              <w:left w:val="single" w:color="000000" w:sz="4" w:space="0"/>
              <w:right w:val="single" w:color="000000" w:sz="4" w:space="0"/>
            </w:tcBorders>
            <w:shd w:val="clear" w:color="auto" w:fill="auto"/>
            <w:tcMar>
              <w:top w:w="15" w:type="dxa"/>
              <w:left w:w="15" w:type="dxa"/>
              <w:bottom w:w="15" w:type="dxa"/>
              <w:right w:w="15" w:type="dxa"/>
            </w:tcMar>
            <w:vAlign w:val="center"/>
          </w:tcPr>
          <w:p>
            <w:pPr>
              <w:rPr>
                <w:sz w:val="20"/>
              </w:rPr>
            </w:pPr>
          </w:p>
        </w:tc>
        <w:tc>
          <w:tcPr>
            <w:tcW w:w="1023" w:type="dxa"/>
            <w:vMerge w:val="continue"/>
            <w:tcBorders>
              <w:left w:val="single" w:color="000000" w:sz="4" w:space="0"/>
              <w:right w:val="single" w:color="000000" w:sz="4" w:space="0"/>
            </w:tcBorders>
            <w:shd w:val="clear" w:color="auto" w:fill="auto"/>
            <w:tcMar>
              <w:top w:w="15" w:type="dxa"/>
              <w:left w:w="15" w:type="dxa"/>
              <w:bottom w:w="15" w:type="dxa"/>
              <w:right w:w="15" w:type="dxa"/>
            </w:tcMar>
            <w:vAlign w:val="center"/>
          </w:tcPr>
          <w:p>
            <w:pPr>
              <w:rPr>
                <w:sz w:val="20"/>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sz w:val="20"/>
              </w:rPr>
            </w:pP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lang w:bidi="ar"/>
              </w:rPr>
              <w:t>售后服务方案（20分）</w:t>
            </w:r>
          </w:p>
          <w:p>
            <w:pPr>
              <w:jc w:val="left"/>
              <w:rPr>
                <w:rFonts w:hint="eastAsia" w:ascii="宋体" w:hAnsi="宋体" w:cs="宋体"/>
                <w:color w:val="000000"/>
                <w:sz w:val="21"/>
                <w:szCs w:val="21"/>
              </w:rPr>
            </w:pPr>
            <w:r>
              <w:rPr>
                <w:rFonts w:hint="eastAsia" w:ascii="宋体" w:hAnsi="宋体" w:cs="宋体"/>
                <w:color w:val="000000"/>
                <w:sz w:val="21"/>
                <w:szCs w:val="21"/>
                <w:lang w:bidi="ar"/>
              </w:rPr>
              <w:t>1.具有本地化售后服务机构和能力的得3分；</w:t>
            </w:r>
          </w:p>
          <w:p>
            <w:pPr>
              <w:jc w:val="left"/>
              <w:rPr>
                <w:rFonts w:hint="eastAsia" w:ascii="宋体" w:hAnsi="宋体" w:cs="宋体"/>
                <w:color w:val="000000"/>
                <w:sz w:val="21"/>
                <w:szCs w:val="21"/>
              </w:rPr>
            </w:pPr>
            <w:r>
              <w:rPr>
                <w:rFonts w:hint="eastAsia" w:ascii="宋体" w:hAnsi="宋体" w:cs="宋体"/>
                <w:color w:val="000000"/>
                <w:sz w:val="21"/>
                <w:szCs w:val="21"/>
                <w:lang w:bidi="ar"/>
              </w:rPr>
              <w:t>2.本地化售后服务机构获得3A级质量服务诚信证书的得3分</w:t>
            </w:r>
          </w:p>
          <w:p>
            <w:pPr>
              <w:jc w:val="left"/>
              <w:rPr>
                <w:rFonts w:hint="eastAsia" w:ascii="宋体" w:hAnsi="宋体" w:cs="宋体"/>
                <w:color w:val="000000"/>
                <w:sz w:val="21"/>
                <w:szCs w:val="21"/>
              </w:rPr>
            </w:pPr>
            <w:r>
              <w:rPr>
                <w:rFonts w:hint="eastAsia" w:ascii="宋体" w:hAnsi="宋体" w:cs="宋体"/>
                <w:color w:val="000000"/>
                <w:sz w:val="21"/>
                <w:szCs w:val="21"/>
                <w:lang w:bidi="ar"/>
              </w:rPr>
              <w:t>3.提供完整的售后服务方案，包括本地化服务网点布置方案、维修响应时间、质保期内服务方式、质保期外服务方式，备品备件情况，是否能够提供损坏备用品及其他服务承诺，根据方案优劣评分。</w:t>
            </w:r>
          </w:p>
          <w:p>
            <w:pPr>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bidi="ar"/>
              </w:rPr>
              <w:t>（1）、方案内容全面、详细具体、合理可行、能提供更优的服务承诺,得10-14分；</w:t>
            </w:r>
          </w:p>
          <w:p>
            <w:pPr>
              <w:jc w:val="left"/>
              <w:rPr>
                <w:rFonts w:hint="eastAsia" w:ascii="宋体" w:hAnsi="宋体" w:cs="宋体"/>
                <w:color w:val="000000"/>
                <w:sz w:val="21"/>
                <w:szCs w:val="21"/>
              </w:rPr>
            </w:pPr>
            <w:r>
              <w:rPr>
                <w:rFonts w:hint="eastAsia" w:ascii="宋体" w:hAnsi="宋体" w:cs="宋体"/>
                <w:color w:val="000000"/>
                <w:sz w:val="21"/>
                <w:szCs w:val="21"/>
                <w:lang w:bidi="ar"/>
              </w:rPr>
              <w:t>（2）、方案内容较全、较详细、较合理可行,得5-9分；</w:t>
            </w:r>
          </w:p>
          <w:p>
            <w:pPr>
              <w:jc w:val="left"/>
              <w:rPr>
                <w:rFonts w:hint="eastAsia" w:ascii="宋体" w:hAnsi="宋体" w:cs="宋体"/>
                <w:color w:val="000000"/>
                <w:sz w:val="21"/>
                <w:szCs w:val="21"/>
              </w:rPr>
            </w:pPr>
            <w:r>
              <w:rPr>
                <w:rFonts w:hint="eastAsia" w:ascii="宋体" w:hAnsi="宋体" w:cs="宋体"/>
                <w:color w:val="000000"/>
                <w:sz w:val="21"/>
                <w:szCs w:val="21"/>
                <w:lang w:bidi="ar"/>
              </w:rPr>
              <w:t>（3）、方案内容及和合理可行性一般,得1-4分；</w:t>
            </w:r>
          </w:p>
          <w:p>
            <w:pPr>
              <w:jc w:val="left"/>
              <w:rPr>
                <w:rFonts w:hint="eastAsia" w:ascii="宋体" w:hAnsi="宋体" w:cs="宋体"/>
                <w:color w:val="000000"/>
                <w:sz w:val="21"/>
                <w:szCs w:val="21"/>
              </w:rPr>
            </w:pPr>
            <w:r>
              <w:rPr>
                <w:rFonts w:hint="eastAsia" w:ascii="宋体" w:hAnsi="宋体" w:cs="宋体"/>
                <w:color w:val="000000"/>
                <w:sz w:val="21"/>
                <w:szCs w:val="21"/>
                <w:lang w:bidi="ar"/>
              </w:rPr>
              <w:t>（4）、差或未提供不得分。</w:t>
            </w:r>
          </w:p>
        </w:tc>
        <w:tc>
          <w:tcPr>
            <w:tcW w:w="258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bidi="ar"/>
              </w:rPr>
              <w:t>本地化服务机构提供在重庆注册的公司统一信用代码证，相关资质证书提供复印件加盖公章且需在有效期围内；</w:t>
            </w:r>
          </w:p>
          <w:p>
            <w:pPr>
              <w:ind w:firstLine="480"/>
              <w:jc w:val="left"/>
              <w:rPr>
                <w:rFonts w:hint="eastAsia" w:ascii="宋体" w:hAns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5" w:hRule="atLeast"/>
          <w:jc w:val="center"/>
        </w:trPr>
        <w:tc>
          <w:tcPr>
            <w:tcW w:w="506" w:type="dxa"/>
            <w:vMerge w:val="continue"/>
            <w:tcBorders>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sz w:val="20"/>
              </w:rPr>
            </w:pPr>
          </w:p>
        </w:tc>
        <w:tc>
          <w:tcPr>
            <w:tcW w:w="1023" w:type="dxa"/>
            <w:vMerge w:val="continue"/>
            <w:tcBorders>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sz w:val="20"/>
              </w:rPr>
            </w:pPr>
          </w:p>
        </w:tc>
        <w:tc>
          <w:tcPr>
            <w:tcW w:w="10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业绩（5分）</w:t>
            </w:r>
          </w:p>
        </w:tc>
        <w:tc>
          <w:tcPr>
            <w:tcW w:w="3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hint="eastAsia" w:ascii="宋体" w:hAnsi="宋体" w:cs="宋体"/>
                <w:color w:val="000000"/>
                <w:sz w:val="21"/>
                <w:szCs w:val="21"/>
                <w:lang w:bidi="ar"/>
              </w:rPr>
            </w:pPr>
            <w:r>
              <w:rPr>
                <w:rFonts w:hint="eastAsia" w:ascii="宋体" w:hAnsi="宋体" w:cs="宋体"/>
                <w:color w:val="000000"/>
                <w:sz w:val="21"/>
                <w:szCs w:val="21"/>
                <w:lang w:bidi="ar"/>
              </w:rPr>
              <w:t>投标人近5年（2020年5月至今）每承担过一个类似项目的，得1分，本项最高得5分。</w:t>
            </w:r>
          </w:p>
          <w:p>
            <w:pPr>
              <w:jc w:val="left"/>
              <w:rPr>
                <w:rFonts w:hint="eastAsia" w:ascii="宋体" w:hAnsi="宋体" w:cs="宋体"/>
                <w:color w:val="000000"/>
                <w:sz w:val="21"/>
                <w:szCs w:val="21"/>
                <w:lang w:bidi="ar"/>
              </w:rPr>
            </w:pPr>
          </w:p>
        </w:tc>
        <w:tc>
          <w:tcPr>
            <w:tcW w:w="25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ind w:firstLine="420" w:firstLineChars="200"/>
              <w:jc w:val="left"/>
              <w:rPr>
                <w:rFonts w:hint="eastAsia" w:ascii="宋体" w:hAnsi="宋体" w:cs="宋体"/>
                <w:color w:val="000000"/>
                <w:sz w:val="21"/>
                <w:szCs w:val="21"/>
                <w:lang w:bidi="ar"/>
              </w:rPr>
            </w:pPr>
            <w:r>
              <w:rPr>
                <w:rFonts w:hint="eastAsia" w:ascii="宋体" w:hAnsi="宋体" w:cs="宋体"/>
                <w:color w:val="000000"/>
                <w:sz w:val="21"/>
                <w:szCs w:val="21"/>
                <w:lang w:bidi="ar"/>
              </w:rPr>
              <w:t>注：有效的业绩证明材料需提供中标（成交）通知书或销售合同的扫描件以及银行转账单复印件或发票复印件。</w:t>
            </w:r>
          </w:p>
        </w:tc>
      </w:tr>
    </w:tbl>
    <w:p>
      <w:pPr>
        <w:pStyle w:val="8"/>
        <w:rPr>
          <w:rFonts w:hint="eastAsia" w:ascii="宋体" w:hAnsi="宋体" w:eastAsia="宋体" w:cs="宋体"/>
          <w:color w:val="000000" w:themeColor="text1"/>
          <w:sz w:val="24"/>
          <w:szCs w:val="24"/>
          <w14:textFill>
            <w14:solidFill>
              <w14:schemeClr w14:val="tx1"/>
            </w14:solidFill>
          </w14:textFill>
        </w:rPr>
      </w:pPr>
    </w:p>
    <w:p>
      <w:pPr>
        <w:snapToGrid w:val="0"/>
        <w:spacing w:line="380" w:lineRule="exact"/>
        <w:ind w:firstLine="465"/>
        <w:rPr>
          <w:rFonts w:hint="eastAsia" w:ascii="宋体" w:hAnsi="宋体" w:cs="宋体"/>
          <w:b/>
          <w:bCs/>
          <w:color w:val="auto"/>
          <w:sz w:val="24"/>
          <w:szCs w:val="24"/>
          <w:u w:val="single"/>
        </w:rPr>
      </w:pPr>
      <w:r>
        <w:rPr>
          <w:rFonts w:hint="eastAsia" w:ascii="宋体" w:hAnsi="宋体" w:cs="宋体"/>
          <w:b/>
          <w:bCs/>
          <w:color w:val="auto"/>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bCs/>
          <w:color w:val="auto"/>
          <w:sz w:val="24"/>
          <w:szCs w:val="24"/>
          <w:u w:val="single"/>
        </w:rPr>
        <w:t>投标人不能证明其报价合理性的，评标委员会应当将其作为无效投标处理。</w:t>
      </w:r>
    </w:p>
    <w:p>
      <w:pPr>
        <w:numPr>
          <w:ilvl w:val="255"/>
          <w:numId w:val="0"/>
        </w:numPr>
        <w:spacing w:line="380" w:lineRule="exact"/>
        <w:ind w:firstLine="480" w:firstLineChars="200"/>
        <w:rPr>
          <w:rFonts w:hint="eastAsia" w:ascii="宋体" w:hAnsi="宋体" w:cs="宋体"/>
          <w:color w:val="000000" w:themeColor="text1"/>
          <w:sz w:val="24"/>
          <w:szCs w:val="24"/>
          <w14:textFill>
            <w14:solidFill>
              <w14:schemeClr w14:val="tx1"/>
            </w14:solidFill>
          </w14:textFill>
        </w:rPr>
      </w:pPr>
      <w:bookmarkStart w:id="117" w:name="_Toc38287865"/>
      <w:bookmarkStart w:id="118" w:name="_Toc4278"/>
      <w:r>
        <w:rPr>
          <w:rFonts w:hint="eastAsia" w:ascii="宋体" w:hAnsi="宋体" w:cs="宋体"/>
          <w:color w:val="000000" w:themeColor="text1"/>
          <w:sz w:val="24"/>
          <w:szCs w:val="24"/>
          <w14:textFill>
            <w14:solidFill>
              <w14:schemeClr w14:val="tx1"/>
            </w14:solidFill>
          </w14:textFill>
        </w:rPr>
        <w:t>四、无效投标条款</w:t>
      </w:r>
      <w:bookmarkEnd w:id="117"/>
      <w:bookmarkEnd w:id="118"/>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投标人或其投标文件出现下列情况之一者，应为无效投标</w:t>
      </w:r>
      <w:r>
        <w:rPr>
          <w:rFonts w:hint="eastAsia" w:ascii="宋体" w:hAnsi="宋体" w:cs="宋体"/>
          <w:color w:val="000000" w:themeColor="text1"/>
          <w:sz w:val="24"/>
          <w:szCs w:val="24"/>
          <w14:textFill>
            <w14:solidFill>
              <w14:schemeClr w14:val="tx1"/>
            </w14:solidFill>
          </w14:textFill>
        </w:rPr>
        <w:t>：</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（一）未按照招标文件的规定提交投标保证金的；</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（二）投标文件未按招标文件要求签署、盖章的；</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（三）不具备招标文件中规定的资格要求的；</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（四）报价超过招标文件中规定的预算金额或者最高限价的；</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（五）投标文件含有采购人不能接受的附加条件的；</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（六）法律、法规和招标文件规定的其他无效情形。</w:t>
      </w:r>
    </w:p>
    <w:p>
      <w:pPr>
        <w:pStyle w:val="4"/>
        <w:spacing w:line="380" w:lineRule="exact"/>
        <w:ind w:firstLine="480" w:firstLineChars="200"/>
        <w:rPr>
          <w:rFonts w:hint="eastAsia" w:cs="宋体"/>
          <w:color w:val="000000" w:themeColor="text1"/>
          <w:sz w:val="24"/>
          <w:szCs w:val="24"/>
          <w14:textFill>
            <w14:solidFill>
              <w14:schemeClr w14:val="tx1"/>
            </w14:solidFill>
          </w14:textFill>
        </w:rPr>
      </w:pPr>
      <w:bookmarkStart w:id="119" w:name="_Toc3885"/>
      <w:bookmarkStart w:id="120" w:name="_Toc38287866"/>
      <w:bookmarkStart w:id="121" w:name="_Toc17524"/>
      <w:r>
        <w:rPr>
          <w:rFonts w:hint="eastAsia" w:cs="宋体"/>
          <w:color w:val="000000" w:themeColor="text1"/>
          <w:sz w:val="24"/>
          <w:szCs w:val="24"/>
          <w14:textFill>
            <w14:solidFill>
              <w14:schemeClr w14:val="tx1"/>
            </w14:solidFill>
          </w14:textFill>
        </w:rPr>
        <w:t>五、废标条款</w:t>
      </w:r>
      <w:bookmarkEnd w:id="119"/>
      <w:bookmarkEnd w:id="120"/>
      <w:bookmarkEnd w:id="121"/>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在招标采购中，出现下列情形之一的，应予废标：</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（一）符合专业条件的投标人或者对招标文件作实质响应的投标人不足三家的；</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（二）投标人的报价均超过了采购预算，采购人不能支付的；</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（三）出现影响采购公正的违法、违规行为的；</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（四）因重大变故，采购任务取消的。</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废标后，除采购任务取消情形外，应当重新组织采购。</w:t>
      </w:r>
    </w:p>
    <w:p>
      <w:pPr>
        <w:bidi w:val="0"/>
        <w:rPr>
          <w:rFonts w:hint="eastAsia"/>
        </w:rPr>
      </w:pPr>
      <w:r>
        <w:rPr>
          <w:rFonts w:hint="eastAsia"/>
        </w:rPr>
        <w:br w:type="page"/>
      </w:r>
      <w:bookmarkStart w:id="122" w:name="_Toc38287867"/>
    </w:p>
    <w:p>
      <w:pPr>
        <w:bidi w:val="0"/>
        <w:rPr>
          <w:rFonts w:hint="eastAsia"/>
        </w:rPr>
      </w:pPr>
      <w:bookmarkStart w:id="123" w:name="_Toc15713"/>
      <w:bookmarkStart w:id="124" w:name="_Toc11316"/>
      <w:bookmarkStart w:id="125" w:name="_Toc22841"/>
      <w:bookmarkStart w:id="126" w:name="_Toc22593"/>
      <w:bookmarkStart w:id="127" w:name="_Toc15076"/>
      <w:bookmarkStart w:id="128" w:name="_Toc12931"/>
      <w:bookmarkStart w:id="129" w:name="_Toc25419"/>
    </w:p>
    <w:bookmarkEnd w:id="122"/>
    <w:bookmarkEnd w:id="123"/>
    <w:bookmarkEnd w:id="124"/>
    <w:bookmarkEnd w:id="125"/>
    <w:bookmarkEnd w:id="126"/>
    <w:bookmarkEnd w:id="127"/>
    <w:bookmarkEnd w:id="128"/>
    <w:bookmarkEnd w:id="129"/>
    <w:p>
      <w:pPr>
        <w:pStyle w:val="3"/>
        <w:spacing w:beforeLines="0" w:afterLines="0" w:line="1000" w:lineRule="exact"/>
        <w:rPr>
          <w:rFonts w:hint="eastAsia" w:ascii="宋体" w:hAnsi="宋体" w:eastAsia="宋体" w:cs="宋体"/>
          <w:color w:val="000000" w:themeColor="text1"/>
          <w14:textFill>
            <w14:solidFill>
              <w14:schemeClr w14:val="tx1"/>
            </w14:solidFill>
          </w14:textFill>
        </w:rPr>
      </w:pPr>
      <w:bookmarkStart w:id="130" w:name="_Toc21257"/>
      <w:bookmarkStart w:id="131" w:name="_Toc735"/>
      <w:bookmarkStart w:id="132" w:name="_Toc30580"/>
      <w:bookmarkStart w:id="133" w:name="_Toc1495"/>
      <w:bookmarkStart w:id="134" w:name="_Toc3255"/>
      <w:bookmarkStart w:id="135" w:name="_Toc8430"/>
      <w:bookmarkStart w:id="136" w:name="_Toc24553"/>
      <w:bookmarkStart w:id="137" w:name="_Toc23168"/>
      <w:bookmarkStart w:id="138" w:name="_Toc38287880"/>
      <w:r>
        <w:rPr>
          <w:rFonts w:hint="eastAsia" w:ascii="宋体" w:hAnsi="宋体" w:eastAsia="宋体" w:cs="宋体"/>
          <w:color w:val="000000" w:themeColor="text1"/>
          <w14:textFill>
            <w14:solidFill>
              <w14:schemeClr w14:val="tx1"/>
            </w14:solidFill>
          </w14:textFill>
        </w:rPr>
        <w:t>第五篇  投标人须知</w:t>
      </w:r>
    </w:p>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139" w:name="_Toc13239"/>
      <w:bookmarkStart w:id="140" w:name="_Toc8111"/>
      <w:r>
        <w:rPr>
          <w:rFonts w:hint="eastAsia" w:cs="宋体"/>
          <w:color w:val="000000" w:themeColor="text1"/>
          <w:sz w:val="24"/>
          <w:szCs w:val="24"/>
          <w14:textFill>
            <w14:solidFill>
              <w14:schemeClr w14:val="tx1"/>
            </w14:solidFill>
          </w14:textFill>
        </w:rPr>
        <w:t>一、投标人</w:t>
      </w:r>
      <w:bookmarkEnd w:id="139"/>
      <w:bookmarkEnd w:id="140"/>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（一）投标人</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（二）合格投标人条件</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合格投标人应完全符合招标文件第一篇中规定的投标人资格条件，并对招标文件作出实质性响应。</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（三）投标人的风险</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投标人没有按照招标文件要求提供全部资料，或者投标人没有对招标文件在各方面作出实质性响应，可能导致投标被拒绝或评定为无效投标。</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（四）法律责任</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投标人违反《中华人民共和国政府采购法》、《中华人民共和国政府采购实施条例》等相关规定，将按规定追究投标人法律责任。</w:t>
      </w:r>
    </w:p>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141" w:name="_Toc18659"/>
      <w:bookmarkStart w:id="142" w:name="_Toc27938"/>
      <w:r>
        <w:rPr>
          <w:rFonts w:hint="eastAsia" w:cs="宋体"/>
          <w:color w:val="000000" w:themeColor="text1"/>
          <w:sz w:val="24"/>
          <w:szCs w:val="24"/>
          <w14:textFill>
            <w14:solidFill>
              <w14:schemeClr w14:val="tx1"/>
            </w14:solidFill>
          </w14:textFill>
        </w:rPr>
        <w:t>二、招标文件</w:t>
      </w:r>
      <w:bookmarkEnd w:id="141"/>
      <w:bookmarkEnd w:id="142"/>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招标文件是投标人编制投标文件的依据，是评标委员会评判依据和标准。招标文件也是采购人与中标人签订合同的基础。</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（一）招标文件由投标邀请书；项目技术规格、数量及质量要求；商务条款；投标人须知；评标方法、评标标准、无效吧投标条款和废标条款；合同主要条款、合同范本；投标文件格式等七部分组成。</w:t>
      </w:r>
    </w:p>
    <w:p>
      <w:pPr>
        <w:snapToGrid w:val="0"/>
        <w:spacing w:line="40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（二）采购代理机构对招标文件所作的一切有效的书面通知、修改及补充，都是招标文件不可分割的部分。</w:t>
      </w:r>
    </w:p>
    <w:p>
      <w:pPr>
        <w:snapToGrid w:val="0"/>
        <w:spacing w:line="40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招标文件、补遗文件（如果有）一律在行采家（https://www.gec123.com/）上发布，请各投标人注意下载或到采购代理机构处领取；无论投标人下载或领取与否，均视同投标人已知晓本项目招标文件、补遗文件的内容。</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（四）采购代理机构对已发出的招标文件需要进行澄清或修改的，应以书面形式或公告形式通知所有招标文件收受人。该澄清或者修改的内容为招标文件的组成部分。</w:t>
      </w:r>
    </w:p>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143" w:name="_Toc26353"/>
      <w:bookmarkStart w:id="144" w:name="_Toc3633"/>
      <w:r>
        <w:rPr>
          <w:rFonts w:hint="eastAsia" w:cs="宋体"/>
          <w:color w:val="000000" w:themeColor="text1"/>
          <w:sz w:val="24"/>
          <w:szCs w:val="24"/>
          <w14:textFill>
            <w14:solidFill>
              <w14:schemeClr w14:val="tx1"/>
            </w14:solidFill>
          </w14:textFill>
        </w:rPr>
        <w:t>三、投标文件</w:t>
      </w:r>
      <w:bookmarkEnd w:id="143"/>
      <w:bookmarkEnd w:id="144"/>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投标人应当按照招标文件的要求编制投标文件，并对招标文件提出的要求和条件作出实质性响应，投标文件采用软面胶装面册，同时应编制完整的页码、目录。</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（一）投标文件组成</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（二）联合投标</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投标人不允许以联合体形式参与投标。</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（三）投标有效期</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投标有效期为投标截止日期后九十天内。</w:t>
      </w:r>
    </w:p>
    <w:p>
      <w:pPr>
        <w:snapToGrid w:val="0"/>
        <w:spacing w:line="400" w:lineRule="exact"/>
        <w:ind w:firstLine="472" w:firstLineChars="196"/>
        <w:jc w:val="left"/>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（四）投标文件的份数和签署</w:t>
      </w:r>
    </w:p>
    <w:p>
      <w:pPr>
        <w:tabs>
          <w:tab w:val="left" w:pos="0"/>
        </w:tabs>
        <w:spacing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1.投标文件一式三份，其中正本一份，副本二份。每套纸质投标文件须在封面清楚地标明“正本”、“副本”，副本应为正本的完整复印件，副本与正本不一致时以正本为准。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2.在投标文件正本中，招标文件第七篇投标文件格式中规定签字、盖章的地方必须按其规定完整地签字、盖章。</w:t>
      </w:r>
    </w:p>
    <w:p>
      <w:pPr>
        <w:tabs>
          <w:tab w:val="left" w:pos="0"/>
        </w:tabs>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3.若投标人对投标文件的错处作必要修改，则应在修改处加盖投标人公章或由法定代表人或法定代表人授权代表签字确认。</w:t>
      </w:r>
    </w:p>
    <w:p>
      <w:pPr>
        <w:snapToGrid w:val="0"/>
        <w:spacing w:line="400" w:lineRule="exact"/>
        <w:ind w:firstLine="470" w:firstLineChars="196"/>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电子邮件</w:t>
      </w:r>
      <w:r>
        <w:rPr>
          <w:rFonts w:hint="eastAsia" w:ascii="宋体" w:hAnsi="宋体" w:cs="宋体"/>
          <w:color w:val="000000" w:themeColor="text1"/>
          <w:sz w:val="24"/>
          <w:szCs w:val="24"/>
          <w14:textFill>
            <w14:solidFill>
              <w14:schemeClr w14:val="tx1"/>
            </w14:solidFill>
          </w14:textFill>
        </w:rPr>
        <w:t>、电话、传真形式的投标文件概不接受。</w:t>
      </w:r>
    </w:p>
    <w:p>
      <w:pPr>
        <w:snapToGrid w:val="0"/>
        <w:spacing w:line="400" w:lineRule="exact"/>
        <w:ind w:firstLine="470" w:firstLineChars="196"/>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（五）投标报价</w:t>
      </w:r>
    </w:p>
    <w:p>
      <w:pPr>
        <w:snapToGrid w:val="0"/>
        <w:spacing w:line="400" w:lineRule="exact"/>
        <w:ind w:firstLine="470" w:firstLineChars="196"/>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1.投标人应严格按照“投标文件格式”中“开标一览表”的格式填写报价。</w:t>
      </w:r>
    </w:p>
    <w:p>
      <w:pPr>
        <w:snapToGrid w:val="0"/>
        <w:spacing w:line="400" w:lineRule="exact"/>
        <w:ind w:left="3" w:leftChars="1"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3.本项目只接受一个投标报价，有选择的或有条件的报价将不予接受。</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（六）修正错误</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若投标文件出现计算或表达上的错误，修正错误的原则如下：</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1.投标文件中开标一览表（报价表）内容与投标文件中相应内容不一致的，以开标一览表（报价表）为准；</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2.大写金额和小写金额不一致的，以大写金额为准；</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3.单价金额小数点或者百分比有明显错位的，以开标一览表的总价为准，并修改单价；</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4.总价金额与单价汇总金额不一致的，以单价金额计算结果为准。</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（七）投标文件的递交</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1.投标文件的密封与标记</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投标文件的正本、副本均应密封送达投标地点，应在封套上注明项目名称、投标人名称。若正本、副本以分别进行密封的，还应在封套上注明“正本”、“副本”字样。</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2.投标文件不接受邮寄递交</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3.如果未按上述规定进行密封和标记，采购代理机构对投标文件误投、丢失或提前拆封不负责任。</w:t>
      </w:r>
    </w:p>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145" w:name="_Toc578"/>
      <w:bookmarkStart w:id="146" w:name="_Toc28095"/>
      <w:r>
        <w:rPr>
          <w:rFonts w:hint="eastAsia" w:cs="宋体"/>
          <w:color w:val="000000" w:themeColor="text1"/>
          <w:sz w:val="24"/>
          <w:szCs w:val="24"/>
          <w14:textFill>
            <w14:solidFill>
              <w14:schemeClr w14:val="tx1"/>
            </w14:solidFill>
          </w14:textFill>
        </w:rPr>
        <w:t>四、开标</w:t>
      </w:r>
      <w:bookmarkEnd w:id="145"/>
      <w:bookmarkEnd w:id="146"/>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（一）开标应当在招标文件中“投标邀请书”确定的时间和地点公开进行。</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（二）采购代理机构可视采购具体情况，延长投标截止时间和开标时间，但至少在招标文件要求提交投标文件的截止时间三日前，将变更时间书面通知所有招标文件收受人。</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（三）开标由采购人或采购代理机构主持，邀请投标人和有关监督部门代表参加,有关监督部门可视情况派员现场监督。</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（五）未宣读的投标价格、价格折扣和招标文件允许提供的备选投标方案等实质性内容等，评标时不予承认。</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（六）开标过程应由采购人或采购代理机构指定专人负责记录，并存档备查。</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（七）投标人未参加开标的，视同认可开标结果。</w:t>
      </w:r>
    </w:p>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147" w:name="_Toc8913"/>
      <w:bookmarkStart w:id="148" w:name="_Toc27795"/>
      <w:r>
        <w:rPr>
          <w:rFonts w:hint="eastAsia" w:cs="宋体"/>
          <w:color w:val="000000" w:themeColor="text1"/>
          <w:sz w:val="24"/>
          <w:szCs w:val="24"/>
          <w14:textFill>
            <w14:solidFill>
              <w14:schemeClr w14:val="tx1"/>
            </w14:solidFill>
          </w14:textFill>
        </w:rPr>
        <w:t>五、评标</w:t>
      </w:r>
      <w:bookmarkEnd w:id="147"/>
      <w:bookmarkEnd w:id="148"/>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见第四篇“评标”内容。</w:t>
      </w:r>
    </w:p>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149" w:name="_Toc12496"/>
      <w:bookmarkStart w:id="150" w:name="_Toc9869"/>
      <w:r>
        <w:rPr>
          <w:rFonts w:hint="eastAsia" w:cs="宋体"/>
          <w:color w:val="000000" w:themeColor="text1"/>
          <w:sz w:val="24"/>
          <w:szCs w:val="24"/>
          <w14:textFill>
            <w14:solidFill>
              <w14:schemeClr w14:val="tx1"/>
            </w14:solidFill>
          </w14:textFill>
        </w:rPr>
        <w:t>六、定标</w:t>
      </w:r>
      <w:bookmarkEnd w:id="149"/>
      <w:bookmarkEnd w:id="150"/>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（一）定标原则</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采购人或其授权的评标委员会应按照评标报告中推荐的中标候选人排名顺序确定中标人。</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（二）定标程序</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 采购代理机构应当在评标结束后将评标报告送采购人。</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2.采购人应当自收到评审报告之日起5个工作日内在评审报告推荐的中按顺序确定中标人。</w:t>
      </w:r>
    </w:p>
    <w:p>
      <w:pPr>
        <w:adjustRightInd w:val="0"/>
        <w:snapToGrid w:val="0"/>
        <w:spacing w:line="276"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按有效投标人评审后综合得分由高到低顺序排列，得分排名前2名的投标人为中标候选人；如总得分相同，以商务部分得分较高者优先，如商务部分得分也相同，则由采购人通过抽签方式随机抽取确定中标候选人。</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3.采购人或者采购代理机构应当自中标人确定之日起2个工作日内，在行采家网上公告中标结果。中标公告期限为1个工作日。</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4.中标人变更</w:t>
      </w:r>
    </w:p>
    <w:p>
      <w:pPr>
        <w:pStyle w:val="12"/>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中标人拒绝与采购人签订合同的，采购人可以按照评标报告推荐的中标候选人顺序，确定排名下一位的候选人为中标人，也可以重新开展采购活动。</w:t>
      </w:r>
    </w:p>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151" w:name="_Toc17582"/>
      <w:bookmarkStart w:id="152" w:name="_Toc17914"/>
      <w:r>
        <w:rPr>
          <w:rFonts w:hint="eastAsia" w:cs="宋体"/>
          <w:color w:val="000000" w:themeColor="text1"/>
          <w:sz w:val="24"/>
          <w:szCs w:val="24"/>
          <w14:textFill>
            <w14:solidFill>
              <w14:schemeClr w14:val="tx1"/>
            </w14:solidFill>
          </w14:textFill>
        </w:rPr>
        <w:t>七、中标通知书</w:t>
      </w:r>
      <w:bookmarkEnd w:id="151"/>
      <w:bookmarkEnd w:id="152"/>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（一）采购人依法确定中标人后，采购代理机构以书面形式发出中标通知书。</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（二）中标通知书发出后，采购人改变中标结果，或者中标人放弃中标，应当承担相应的法律责任。</w:t>
      </w:r>
    </w:p>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153" w:name="_Toc30665"/>
      <w:bookmarkStart w:id="154" w:name="_Toc24185"/>
      <w:r>
        <w:rPr>
          <w:rFonts w:hint="eastAsia" w:cs="宋体"/>
          <w:color w:val="000000" w:themeColor="text1"/>
          <w:sz w:val="24"/>
          <w:szCs w:val="24"/>
          <w14:textFill>
            <w14:solidFill>
              <w14:schemeClr w14:val="tx1"/>
            </w14:solidFill>
          </w14:textFill>
        </w:rPr>
        <w:t>八、询问、质疑和投诉</w:t>
      </w:r>
      <w:bookmarkEnd w:id="153"/>
      <w:bookmarkEnd w:id="154"/>
    </w:p>
    <w:p>
      <w:pPr>
        <w:spacing w:line="400" w:lineRule="exact"/>
        <w:ind w:right="12"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（一）询问</w:t>
      </w:r>
    </w:p>
    <w:p>
      <w:pPr>
        <w:spacing w:line="400" w:lineRule="exact"/>
        <w:ind w:right="12"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采购人或者采购代理机构应当在3个工作日内对投标人依法提出的询问作出答复。投标人询问可以是口头或书面形式。</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（二）质疑</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投标人认为采购文件、采购过程和中标结果使自己的权益收到伤害的，可向采购人或采购代理机构以书面形式提出质疑。</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1.质疑时限、内容</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1.1投标人对招标文件提出质疑的，应在依法获取招标文件（购买了招标文件并完成了报名手续）之日或者招标文件公告期限届满之日起七个工作日内提出。</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投标人对采购过程提出质疑的，应在各采购程序环节结束之日起七个工作日内提出。</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1.3投标人对中标结果提出质疑的，应当在中标结果公告期限届满之日起七个工作日内提出。</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1.4投标人提出质疑应当提交质疑函和必要的证明材料，质疑函应当包括下列内容：</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1.4.1投标人的姓名或者名称、地址、邮编、联系人及联系电话；</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1.4.2质疑项目的名称、项目号以及招标项目编号；</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1.4.3具体、明确的质疑事项和与质疑事项相关的请求；</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1.4.4事实依据；</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1.4.5必要的法律依据；</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1.4.6提出质疑的日期；</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1.4.7营业执照（或事业单位法人证书，或个体工商户营业执照或有效的自然人身份证明、组织机构代码证）复印件；</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1.4.8法定代表人授权委托书原件、法定代表人身份证复印件和其授权代表的身份证复印件（投标人为自然人的提供自然人身份证复印件）；</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1.5投标人为自然人的，质疑函应当由本人签字；投标人为法人或者其他组织的，质疑函应当由法定代表人、主要负责人，或者其授权代表签字或者盖章，并加盖公章。</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2.质疑答复</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采购人、采购代理机构应当在收到投标人的书面质疑后七个工作日内作出答复，并以书面形式通知质疑投标人和其他有关投标人。</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3.其他</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3.1投标人应按照《政府采购质疑和投诉办法》（财政部令第94号）及相关法律法规要求，在法定质疑期内一次性提出针对同一采购程序环节的质疑。</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3.2质疑函范本可在财政部门户网站和中国政府采购网下载。</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（三）投诉</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1.投标人对采购人、采购代理机构的答复不满意，或者采购人、采购代理机构未在规定时间内作出答复的，可以在答复期满后15个工作日内按照相关法律法规向财政部门提起投诉。</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2.投标人应按照《政府采购质疑和投诉办法》（财政部令第94号）及相关法律法规要求递交投诉书和必要的证明材料。投诉书范本可在财政部门户网站和中国政府采购网下载。</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pPr>
        <w:pStyle w:val="4"/>
        <w:spacing w:line="400" w:lineRule="exact"/>
        <w:ind w:firstLine="480" w:firstLineChars="200"/>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九、采购代理服务费</w:t>
      </w:r>
      <w:bookmarkEnd w:id="130"/>
      <w:bookmarkEnd w:id="131"/>
      <w:bookmarkEnd w:id="132"/>
      <w:bookmarkEnd w:id="133"/>
      <w:bookmarkEnd w:id="134"/>
      <w:bookmarkEnd w:id="135"/>
      <w:bookmarkEnd w:id="136"/>
    </w:p>
    <w:p>
      <w:pPr>
        <w:snapToGrid/>
        <w:spacing w:line="400" w:lineRule="exact"/>
        <w:ind w:right="12" w:firstLine="480" w:firstLineChars="200"/>
        <w:rPr>
          <w:rFonts w:hint="eastAsia" w:ascii="宋体" w:hAnsi="宋体" w:eastAsia="宋体" w:cs="宋体"/>
          <w:color w:val="auto"/>
          <w:sz w:val="24"/>
          <w:szCs w:val="20"/>
          <w:highlight w:val="none"/>
        </w:rPr>
      </w:pPr>
      <w:r>
        <w:rPr>
          <w:rFonts w:hint="eastAsia" w:ascii="宋体" w:hAnsi="宋体" w:cs="宋体"/>
          <w:color w:val="auto"/>
          <w:sz w:val="24"/>
          <w:szCs w:val="20"/>
          <w:highlight w:val="none"/>
          <w:lang w:val="en-US" w:eastAsia="zh-CN"/>
        </w:rPr>
        <w:t>本采购项目采购工作完成后，</w:t>
      </w:r>
      <w:r>
        <w:rPr>
          <w:rFonts w:hint="eastAsia" w:ascii="宋体" w:hAnsi="宋体" w:eastAsia="宋体" w:cs="宋体"/>
          <w:color w:val="auto"/>
          <w:sz w:val="24"/>
          <w:szCs w:val="20"/>
          <w:highlight w:val="none"/>
        </w:rPr>
        <w:t>采购代理服务费的收取标准按照以下标准“</w:t>
      </w:r>
      <w:r>
        <w:rPr>
          <w:rFonts w:hint="eastAsia" w:ascii="宋体" w:hAnsi="宋体" w:eastAsia="宋体" w:cs="宋体"/>
          <w:color w:val="auto"/>
          <w:sz w:val="24"/>
          <w:szCs w:val="20"/>
          <w:highlight w:val="none"/>
          <w:lang w:val="en-US" w:eastAsia="zh-CN"/>
        </w:rPr>
        <w:t>货物</w:t>
      </w:r>
      <w:r>
        <w:rPr>
          <w:rFonts w:hint="eastAsia" w:ascii="宋体" w:hAnsi="宋体" w:eastAsia="宋体" w:cs="宋体"/>
          <w:color w:val="auto"/>
          <w:sz w:val="24"/>
          <w:szCs w:val="20"/>
          <w:highlight w:val="none"/>
        </w:rPr>
        <w:t>采购”执行</w:t>
      </w:r>
      <w:r>
        <w:rPr>
          <w:rFonts w:hint="eastAsia" w:ascii="宋体" w:hAnsi="宋体" w:cs="宋体"/>
          <w:color w:val="auto"/>
          <w:sz w:val="24"/>
          <w:szCs w:val="20"/>
          <w:highlight w:val="none"/>
          <w:lang w:eastAsia="zh-CN"/>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noWrap w:val="0"/>
            <w:vAlign w:val="top"/>
          </w:tcPr>
          <w:p>
            <w:pPr>
              <w:snapToGrid/>
              <w:spacing w:line="400" w:lineRule="exact"/>
              <w:ind w:right="12" w:firstLine="1610" w:firstLineChars="67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75g9YAAAAIAQAADwAAAAAAAAABACAAAAAiAAAAZHJzL2Rvd25yZXYueG1sUEsBAhQA&#10;FAAAAAgAh07iQG+brXX0AQAA8A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auto"/>
                <w:sz w:val="24"/>
                <w:szCs w:val="20"/>
                <w:highlight w:val="none"/>
              </w:rPr>
              <w:t>采购类型</w:t>
            </w:r>
          </w:p>
          <w:p>
            <w:pPr>
              <w:snapToGrid/>
              <w:spacing w:line="400" w:lineRule="exact"/>
              <w:ind w:right="1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成交金额（万元）</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货物采购</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服务采购</w:t>
            </w:r>
          </w:p>
        </w:tc>
        <w:tc>
          <w:tcPr>
            <w:tcW w:w="2272"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100以下</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1.5%</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1.5%</w:t>
            </w:r>
          </w:p>
        </w:tc>
        <w:tc>
          <w:tcPr>
            <w:tcW w:w="2272"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100-500</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1.1%</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0.8%</w:t>
            </w:r>
          </w:p>
        </w:tc>
        <w:tc>
          <w:tcPr>
            <w:tcW w:w="2272"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500-1000</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0.8%</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0.45%</w:t>
            </w:r>
          </w:p>
        </w:tc>
        <w:tc>
          <w:tcPr>
            <w:tcW w:w="2272"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1000-5000</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0.5%</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0.25%</w:t>
            </w:r>
          </w:p>
        </w:tc>
        <w:tc>
          <w:tcPr>
            <w:tcW w:w="2272"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5000-10000</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0.25%</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0.1%</w:t>
            </w:r>
          </w:p>
        </w:tc>
        <w:tc>
          <w:tcPr>
            <w:tcW w:w="2272"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10000-100000</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0.05%</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0.05%</w:t>
            </w:r>
          </w:p>
        </w:tc>
        <w:tc>
          <w:tcPr>
            <w:tcW w:w="2272"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1000000以上</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0.01%</w:t>
            </w:r>
          </w:p>
        </w:tc>
        <w:tc>
          <w:tcPr>
            <w:tcW w:w="2273"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0.01%</w:t>
            </w:r>
          </w:p>
        </w:tc>
        <w:tc>
          <w:tcPr>
            <w:tcW w:w="2272" w:type="dxa"/>
            <w:noWrap w:val="0"/>
            <w:vAlign w:val="center"/>
          </w:tcPr>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0.01%</w:t>
            </w:r>
          </w:p>
        </w:tc>
      </w:tr>
    </w:tbl>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注：采购代理服务收费按差额定率累进法计算。</w:t>
      </w:r>
    </w:p>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例如：某</w:t>
      </w:r>
      <w:r>
        <w:rPr>
          <w:rFonts w:hint="eastAsia" w:ascii="宋体" w:hAnsi="宋体" w:eastAsia="宋体" w:cs="宋体"/>
          <w:color w:val="auto"/>
          <w:sz w:val="24"/>
          <w:szCs w:val="20"/>
          <w:highlight w:val="none"/>
          <w:lang w:val="en-US" w:eastAsia="zh-CN"/>
        </w:rPr>
        <w:t>货物</w:t>
      </w:r>
      <w:r>
        <w:rPr>
          <w:rFonts w:hint="eastAsia" w:ascii="宋体" w:hAnsi="宋体" w:eastAsia="宋体" w:cs="宋体"/>
          <w:color w:val="auto"/>
          <w:sz w:val="24"/>
          <w:szCs w:val="20"/>
          <w:highlight w:val="none"/>
        </w:rPr>
        <w:t>采购代理业务成交金额为</w:t>
      </w:r>
      <w:r>
        <w:rPr>
          <w:rFonts w:hint="eastAsia" w:ascii="宋体" w:hAnsi="宋体" w:eastAsia="宋体" w:cs="宋体"/>
          <w:color w:val="auto"/>
          <w:sz w:val="24"/>
          <w:szCs w:val="20"/>
          <w:highlight w:val="none"/>
          <w:lang w:val="en-US" w:eastAsia="zh-CN"/>
        </w:rPr>
        <w:t>50</w:t>
      </w:r>
      <w:r>
        <w:rPr>
          <w:rFonts w:hint="eastAsia" w:ascii="宋体" w:hAnsi="宋体" w:eastAsia="宋体" w:cs="宋体"/>
          <w:color w:val="auto"/>
          <w:sz w:val="24"/>
          <w:szCs w:val="20"/>
          <w:highlight w:val="none"/>
        </w:rPr>
        <w:t>0万元，计算采购代理服务收费额如下：</w:t>
      </w:r>
    </w:p>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100万元×1.5%=1.5万元</w:t>
      </w:r>
    </w:p>
    <w:p>
      <w:pPr>
        <w:snapToGrid/>
        <w:spacing w:line="400" w:lineRule="exact"/>
        <w:ind w:right="12" w:firstLine="480" w:firstLineChars="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（500-100）万元×</w:t>
      </w:r>
      <w:r>
        <w:rPr>
          <w:rFonts w:hint="eastAsia" w:ascii="宋体" w:hAnsi="宋体" w:eastAsia="宋体" w:cs="宋体"/>
          <w:color w:val="auto"/>
          <w:sz w:val="24"/>
          <w:szCs w:val="20"/>
          <w:highlight w:val="none"/>
          <w:lang w:val="en-US" w:eastAsia="zh-CN"/>
        </w:rPr>
        <w:t>1.1</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4.4</w:t>
      </w:r>
      <w:r>
        <w:rPr>
          <w:rFonts w:hint="eastAsia" w:ascii="宋体" w:hAnsi="宋体" w:eastAsia="宋体" w:cs="宋体"/>
          <w:color w:val="auto"/>
          <w:sz w:val="24"/>
          <w:szCs w:val="20"/>
          <w:highlight w:val="none"/>
        </w:rPr>
        <w:t>万元</w:t>
      </w:r>
    </w:p>
    <w:p>
      <w:pPr>
        <w:snapToGrid/>
        <w:spacing w:line="400" w:lineRule="exact"/>
        <w:ind w:right="12" w:firstLine="480" w:firstLineChars="0"/>
      </w:pPr>
      <w:r>
        <w:rPr>
          <w:rFonts w:hint="eastAsia" w:ascii="宋体" w:hAnsi="宋体" w:eastAsia="宋体" w:cs="宋体"/>
          <w:color w:val="auto"/>
          <w:sz w:val="24"/>
          <w:szCs w:val="20"/>
          <w:highlight w:val="none"/>
        </w:rPr>
        <w:t>合计收费=1.5+</w:t>
      </w:r>
      <w:r>
        <w:rPr>
          <w:rFonts w:hint="eastAsia" w:ascii="宋体" w:hAnsi="宋体" w:eastAsia="宋体" w:cs="宋体"/>
          <w:color w:val="auto"/>
          <w:sz w:val="24"/>
          <w:szCs w:val="20"/>
          <w:highlight w:val="none"/>
          <w:lang w:val="en-US" w:eastAsia="zh-CN"/>
        </w:rPr>
        <w:t>4.4</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5.9</w:t>
      </w:r>
      <w:r>
        <w:rPr>
          <w:rFonts w:hint="eastAsia" w:ascii="宋体" w:hAnsi="宋体" w:eastAsia="宋体" w:cs="宋体"/>
          <w:color w:val="auto"/>
          <w:sz w:val="24"/>
          <w:szCs w:val="20"/>
          <w:highlight w:val="none"/>
        </w:rPr>
        <w:t>（万元）</w:t>
      </w:r>
    </w:p>
    <w:bookmarkEnd w:id="137"/>
    <w:bookmarkEnd w:id="138"/>
    <w:p>
      <w:pPr>
        <w:pStyle w:val="4"/>
        <w:spacing w:line="400" w:lineRule="exact"/>
        <w:ind w:firstLine="480" w:firstLineChars="200"/>
        <w:rPr>
          <w:rFonts w:hint="eastAsia" w:cs="宋体"/>
          <w:color w:val="000000" w:themeColor="text1"/>
          <w:sz w:val="24"/>
          <w:szCs w:val="24"/>
          <w14:textFill>
            <w14:solidFill>
              <w14:schemeClr w14:val="tx1"/>
            </w14:solidFill>
          </w14:textFill>
        </w:rPr>
      </w:pPr>
      <w:bookmarkStart w:id="155" w:name="_Toc23484"/>
      <w:bookmarkStart w:id="156" w:name="_Toc23886"/>
      <w:r>
        <w:rPr>
          <w:rFonts w:hint="eastAsia" w:cs="宋体"/>
          <w:color w:val="000000" w:themeColor="text1"/>
          <w:sz w:val="24"/>
          <w:szCs w:val="24"/>
          <w14:textFill>
            <w14:solidFill>
              <w14:schemeClr w14:val="tx1"/>
            </w14:solidFill>
          </w14:textFill>
        </w:rPr>
        <w:t>十、签订合同</w:t>
      </w:r>
      <w:bookmarkEnd w:id="155"/>
      <w:bookmarkEnd w:id="156"/>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（一）采购人应当自中标通知书发出之日起三十日内，按照招标文件和中标人投标文件的约定，与中标人签订书面合同。所签订的合同不得对招标文件和中标人投标文件作实质性修改。</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（二）招标文件、中标人的投标文件及澄清文件等，均为签订政府采购合同的依据。</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（四）合同原则上应按照《重庆市政府采购合同》签订，相关单位要求适用合同通用格式版本的，应按其要求另行签订其他合同。</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（五）采购人要求中标人提供履约保证金的，应当在招标文件中予以约定。中标人履约完毕后，采购人应按招标文件及合同的约定无息退还其履约保证金。</w:t>
      </w:r>
    </w:p>
    <w:p>
      <w:pPr>
        <w:spacing w:line="800" w:lineRule="exact"/>
        <w:ind w:firstLine="2240" w:firstLineChars="800"/>
        <w:rPr>
          <w:rFonts w:hint="eastAsia" w:ascii="宋体" w:hAnsi="宋体" w:cs="宋体"/>
          <w:color w:val="000000" w:themeColor="text1"/>
          <w14:textFill>
            <w14:solidFill>
              <w14:schemeClr w14:val="tx1"/>
            </w14:solidFill>
          </w14:textFill>
        </w:rPr>
      </w:pPr>
    </w:p>
    <w:p>
      <w:pPr>
        <w:pStyle w:val="17"/>
        <w:rPr>
          <w:rFonts w:hint="eastAsia" w:ascii="宋体" w:hAnsi="宋体" w:cs="宋体"/>
          <w:color w:val="000000" w:themeColor="text1"/>
          <w14:textFill>
            <w14:solidFill>
              <w14:schemeClr w14:val="tx1"/>
            </w14:solidFill>
          </w14:textFill>
        </w:rPr>
      </w:pPr>
    </w:p>
    <w:p>
      <w:pPr>
        <w:widowControl/>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rPr>
          <w:rFonts w:hint="eastAsia" w:ascii="宋体" w:hAnsi="宋体" w:cs="宋体"/>
          <w:color w:val="000000" w:themeColor="text1"/>
          <w14:textFill>
            <w14:solidFill>
              <w14:schemeClr w14:val="tx1"/>
            </w14:solidFill>
          </w14:textFill>
        </w:rPr>
      </w:pPr>
    </w:p>
    <w:p>
      <w:pPr>
        <w:spacing w:line="800" w:lineRule="exact"/>
        <w:ind w:firstLine="440" w:firstLineChars="100"/>
        <w:rPr>
          <w:rFonts w:hint="eastAsia" w:ascii="宋体" w:hAnsi="宋体" w:cs="宋体"/>
          <w:color w:val="000000" w:themeColor="text1"/>
          <w:sz w:val="44"/>
          <w14:textFill>
            <w14:solidFill>
              <w14:schemeClr w14:val="tx1"/>
            </w14:solidFill>
          </w14:textFill>
        </w:rPr>
      </w:pPr>
      <w:bookmarkStart w:id="157" w:name="_Toc31460"/>
      <w:bookmarkStart w:id="158" w:name="_Toc38287883"/>
      <w:r>
        <w:rPr>
          <w:rFonts w:hint="eastAsia" w:ascii="宋体" w:hAnsi="宋体" w:cs="宋体"/>
          <w:color w:val="000000" w:themeColor="text1"/>
          <w:sz w:val="44"/>
          <w14:textFill>
            <w14:solidFill>
              <w14:schemeClr w14:val="tx1"/>
            </w14:solidFill>
          </w14:textFill>
        </w:rPr>
        <w:t>第六篇  合同主要条款和格式合同（样本）</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bookmarkStart w:id="159" w:name="_Toc31485"/>
      <w:bookmarkStart w:id="160" w:name="_Toc38287881"/>
      <w:bookmarkStart w:id="161" w:name="_Toc277084870"/>
      <w:bookmarkStart w:id="162" w:name="_Toc285722712"/>
      <w:r>
        <w:rPr>
          <w:rFonts w:hint="eastAsia" w:ascii="宋体" w:hAnsi="宋体" w:cs="宋体"/>
          <w:color w:val="000000" w:themeColor="text1"/>
          <w:sz w:val="24"/>
          <w14:textFill>
            <w14:solidFill>
              <w14:schemeClr w14:val="tx1"/>
            </w14:solidFill>
          </w14:textFill>
        </w:rPr>
        <w:t>一、合同主要条款</w:t>
      </w:r>
      <w:bookmarkEnd w:id="159"/>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注：供需双方签订合同时注意对分包部分的合同履行及付款等相关事项进行约定。</w:t>
      </w:r>
    </w:p>
    <w:p>
      <w:bookmarkStart w:id="163" w:name="_Toc820188370"/>
    </w:p>
    <w:p/>
    <w:p/>
    <w:p/>
    <w:p/>
    <w:p/>
    <w:p/>
    <w:p/>
    <w:p/>
    <w:p/>
    <w:p/>
    <w:p/>
    <w:p/>
    <w:p/>
    <w:p/>
    <w:p/>
    <w:p/>
    <w:p/>
    <w:p/>
    <w:p>
      <w:pPr>
        <w:rPr>
          <w:rFonts w:hint="eastAsia" w:ascii="宋体" w:hAnsi="宋体"/>
        </w:rPr>
      </w:pPr>
    </w:p>
    <w:p>
      <w:pPr>
        <w:rPr>
          <w:rFonts w:hint="eastAsia" w:ascii="宋体" w:hAnsi="宋体"/>
        </w:rPr>
      </w:pPr>
    </w:p>
    <w:p/>
    <w:p/>
    <w:p>
      <w:pPr>
        <w:rPr>
          <w:rFonts w:hint="eastAsia" w:ascii="宋体" w:hAnsi="宋体"/>
        </w:rPr>
      </w:pPr>
    </w:p>
    <w:p>
      <w:pPr>
        <w:widowControl/>
        <w:jc w:val="left"/>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pPr>
        <w:pStyle w:val="2"/>
        <w:rPr>
          <w:rFonts w:hint="eastAsia" w:ascii="宋体" w:hAnsi="宋体" w:cs="宋体"/>
          <w:color w:val="000000" w:themeColor="text1"/>
          <w14:textFill>
            <w14:solidFill>
              <w14:schemeClr w14:val="tx1"/>
            </w14:solidFill>
          </w14:textFill>
        </w:rPr>
      </w:pPr>
    </w:p>
    <w:p>
      <w:pPr>
        <w:pStyle w:val="4"/>
        <w:spacing w:line="500" w:lineRule="exact"/>
        <w:rPr>
          <w:rFonts w:hint="eastAsia" w:cs="宋体"/>
          <w:color w:val="000000" w:themeColor="text1"/>
          <w:sz w:val="24"/>
          <w14:textFill>
            <w14:solidFill>
              <w14:schemeClr w14:val="tx1"/>
            </w14:solidFill>
          </w14:textFill>
        </w:rPr>
      </w:pPr>
      <w:bookmarkStart w:id="164" w:name="_Toc24227"/>
      <w:r>
        <w:rPr>
          <w:rFonts w:hint="eastAsia" w:cs="宋体"/>
          <w:color w:val="000000" w:themeColor="text1"/>
          <w:sz w:val="24"/>
          <w14:textFill>
            <w14:solidFill>
              <w14:schemeClr w14:val="tx1"/>
            </w14:solidFill>
          </w14:textFill>
        </w:rPr>
        <w:t>二、采购合同（格式）</w:t>
      </w:r>
      <w:bookmarkEnd w:id="163"/>
      <w:bookmarkEnd w:id="164"/>
    </w:p>
    <w:p>
      <w:pPr>
        <w:spacing w:line="500" w:lineRule="exact"/>
        <w:jc w:val="center"/>
        <w:rPr>
          <w:rFonts w:hint="eastAsia" w:ascii="宋体" w:hAnsi="宋体" w:cs="宋体"/>
          <w:color w:val="000000" w:themeColor="text1"/>
          <w:sz w:val="44"/>
          <w14:textFill>
            <w14:solidFill>
              <w14:schemeClr w14:val="tx1"/>
            </w14:solidFill>
          </w14:textFill>
        </w:rPr>
      </w:pPr>
      <w:r>
        <w:rPr>
          <w:rFonts w:hint="eastAsia" w:ascii="宋体" w:hAnsi="宋体" w:cs="宋体"/>
          <w:color w:val="000000" w:themeColor="text1"/>
          <w:sz w:val="44"/>
          <w14:textFill>
            <w14:solidFill>
              <w14:schemeClr w14:val="tx1"/>
            </w14:solidFill>
          </w14:textFill>
        </w:rPr>
        <w:t>采购合同</w:t>
      </w:r>
    </w:p>
    <w:p>
      <w:pPr>
        <w:spacing w:line="5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（采购计划编号：     ）</w:t>
      </w:r>
    </w:p>
    <w:p>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甲方（需方）：___________________________      </w:t>
      </w:r>
    </w:p>
    <w:p>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乙方（供方）：___________________________      </w:t>
      </w:r>
    </w:p>
    <w:p>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经双方协商一致，达成以下购销合同：</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240" w:lineRule="atLeas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984" w:type="dxa"/>
            <w:vAlign w:val="center"/>
          </w:tcPr>
          <w:p>
            <w:pPr>
              <w:spacing w:line="240" w:lineRule="atLeas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2432" w:type="dxa"/>
            <w:gridSpan w:val="2"/>
            <w:vAlign w:val="center"/>
          </w:tcPr>
          <w:p>
            <w:pPr>
              <w:spacing w:line="240" w:lineRule="atLeas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tc>
        <w:tc>
          <w:tcPr>
            <w:tcW w:w="1559" w:type="dxa"/>
            <w:vAlign w:val="center"/>
          </w:tcPr>
          <w:p>
            <w:pPr>
              <w:spacing w:line="240" w:lineRule="atLeas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服务时间</w:t>
            </w:r>
          </w:p>
        </w:tc>
        <w:tc>
          <w:tcPr>
            <w:tcW w:w="1567" w:type="dxa"/>
            <w:vAlign w:val="center"/>
          </w:tcPr>
          <w:p>
            <w:pPr>
              <w:spacing w:line="240" w:lineRule="atLeas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cs="宋体"/>
                <w:color w:val="000000" w:themeColor="text1"/>
                <w:sz w:val="21"/>
                <w:szCs w:val="21"/>
                <w14:textFill>
                  <w14:solidFill>
                    <w14:schemeClr w14:val="tx1"/>
                  </w14:solidFill>
                </w14:textFill>
              </w:rPr>
            </w:pPr>
          </w:p>
        </w:tc>
        <w:tc>
          <w:tcPr>
            <w:tcW w:w="984" w:type="dxa"/>
            <w:vAlign w:val="center"/>
          </w:tcPr>
          <w:p>
            <w:pPr>
              <w:spacing w:line="240" w:lineRule="atLeast"/>
              <w:jc w:val="center"/>
              <w:rPr>
                <w:rFonts w:hint="eastAsia" w:ascii="宋体" w:hAnsi="宋体" w:cs="宋体"/>
                <w:color w:val="000000" w:themeColor="text1"/>
                <w:sz w:val="21"/>
                <w:szCs w:val="21"/>
                <w14:textFill>
                  <w14:solidFill>
                    <w14:schemeClr w14:val="tx1"/>
                  </w14:solidFill>
                </w14:textFill>
              </w:rPr>
            </w:pPr>
          </w:p>
        </w:tc>
        <w:tc>
          <w:tcPr>
            <w:tcW w:w="2432" w:type="dxa"/>
            <w:gridSpan w:val="2"/>
            <w:vAlign w:val="center"/>
          </w:tcPr>
          <w:p>
            <w:pPr>
              <w:spacing w:line="240" w:lineRule="atLeast"/>
              <w:jc w:val="center"/>
              <w:rPr>
                <w:rFonts w:hint="eastAsia" w:ascii="宋体" w:hAnsi="宋体" w:cs="宋体"/>
                <w:color w:val="000000" w:themeColor="text1"/>
                <w:sz w:val="21"/>
                <w:szCs w:val="21"/>
                <w14:textFill>
                  <w14:solidFill>
                    <w14:schemeClr w14:val="tx1"/>
                  </w14:solidFill>
                </w14:textFill>
              </w:rPr>
            </w:pPr>
          </w:p>
        </w:tc>
        <w:tc>
          <w:tcPr>
            <w:tcW w:w="1559" w:type="dxa"/>
            <w:vAlign w:val="center"/>
          </w:tcPr>
          <w:p>
            <w:pPr>
              <w:spacing w:line="240" w:lineRule="atLeast"/>
              <w:jc w:val="center"/>
              <w:rPr>
                <w:rFonts w:hint="eastAsia" w:ascii="宋体" w:hAnsi="宋体" w:cs="宋体"/>
                <w:color w:val="000000" w:themeColor="text1"/>
                <w:sz w:val="21"/>
                <w:szCs w:val="21"/>
                <w14:textFill>
                  <w14:solidFill>
                    <w14:schemeClr w14:val="tx1"/>
                  </w14:solidFill>
                </w14:textFill>
              </w:rPr>
            </w:pPr>
          </w:p>
        </w:tc>
        <w:tc>
          <w:tcPr>
            <w:tcW w:w="1567" w:type="dxa"/>
            <w:vAlign w:val="center"/>
          </w:tcPr>
          <w:p>
            <w:pPr>
              <w:spacing w:line="240" w:lineRule="atLeast"/>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1" w:hRule="atLeast"/>
        </w:trPr>
        <w:tc>
          <w:tcPr>
            <w:tcW w:w="9613" w:type="dxa"/>
            <w:gridSpan w:val="6"/>
          </w:tcPr>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628" w:type="dxa"/>
            <w:gridSpan w:val="7"/>
          </w:tcPr>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二、验收（考核)方式：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628" w:type="dxa"/>
            <w:gridSpan w:val="7"/>
          </w:tcPr>
          <w:p>
            <w:pPr>
              <w:numPr>
                <w:ilvl w:val="255"/>
                <w:numId w:val="0"/>
              </w:numPr>
              <w:spacing w:line="38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三、履约保证金（如有）</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注：需约定逾期退还履约保证金的违约责任。</w:t>
            </w:r>
          </w:p>
          <w:p>
            <w:pPr>
              <w:pStyle w:val="13"/>
              <w:spacing w:line="240" w:lineRule="atLeast"/>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628" w:type="dxa"/>
            <w:gridSpan w:val="7"/>
          </w:tcPr>
          <w:p>
            <w:pPr>
              <w:pStyle w:val="13"/>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628" w:type="dxa"/>
            <w:gridSpan w:val="7"/>
          </w:tcPr>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五、违约责任：</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按《中华人民共和国民法典》、《中华人民共和国政府采购法》执行，或按双方约定。</w:t>
            </w:r>
          </w:p>
          <w:p>
            <w:pPr>
              <w:spacing w:line="240" w:lineRule="atLeast"/>
              <w:rPr>
                <w:rFonts w:hint="eastAsia" w:ascii="宋体" w:hAnsi="宋体" w:cs="宋体"/>
                <w:color w:val="000000" w:themeColor="text1"/>
                <w:sz w:val="21"/>
                <w:szCs w:val="21"/>
                <w14:textFill>
                  <w14:solidFill>
                    <w14:schemeClr w14:val="tx1"/>
                  </w14:solidFill>
                </w14:textFill>
              </w:rPr>
            </w:pP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628" w:type="dxa"/>
            <w:gridSpan w:val="7"/>
          </w:tcPr>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五、其他约定事项：</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1.招标文件及其澄清文件、投标文件和承诺是本合同不可分割的部分。</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2.本合同如发生争议由双方协商解决，协商不成向需方当地仲裁机构提请仲裁。</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3.本合同一式__份， 需方__份，供方__份，具备同等法律效力。</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4503" w:type="dxa"/>
            <w:gridSpan w:val="3"/>
          </w:tcPr>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需方：</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tc>
        <w:tc>
          <w:tcPr>
            <w:tcW w:w="5125" w:type="dxa"/>
            <w:gridSpan w:val="4"/>
          </w:tcPr>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供方：</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传真：</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p>
            <w:pPr>
              <w:widowControl/>
              <w:spacing w:line="240" w:lineRule="atLeast"/>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628" w:type="dxa"/>
            <w:gridSpan w:val="7"/>
          </w:tcPr>
          <w:p>
            <w:pPr>
              <w:spacing w:line="240" w:lineRule="atLeas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p>
            <w:pPr>
              <w:spacing w:line="240" w:lineRule="atLeast"/>
              <w:rPr>
                <w:rFonts w:hint="eastAsia" w:ascii="宋体" w:hAnsi="宋体" w:cs="宋体"/>
                <w:color w:val="000000" w:themeColor="text1"/>
                <w:sz w:val="21"/>
                <w:szCs w:val="21"/>
                <w14:textFill>
                  <w14:solidFill>
                    <w14:schemeClr w14:val="tx1"/>
                  </w14:solidFill>
                </w14:textFill>
              </w:rPr>
            </w:pPr>
          </w:p>
        </w:tc>
      </w:tr>
    </w:tbl>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签约时间：           年   月   日      签约地点：</w:t>
      </w:r>
    </w:p>
    <w:bookmarkEnd w:id="160"/>
    <w:bookmarkEnd w:id="161"/>
    <w:bookmarkEnd w:id="162"/>
    <w:p>
      <w:pPr>
        <w:spacing w:line="380" w:lineRule="exact"/>
        <w:ind w:firstLine="420" w:firstLineChars="200"/>
        <w:rPr>
          <w:rFonts w:hint="eastAsia" w:ascii="宋体" w:hAnsi="宋体" w:cs="宋体"/>
          <w:color w:val="000000" w:themeColor="text1"/>
          <w:sz w:val="21"/>
          <w:szCs w:val="21"/>
          <w14:textFill>
            <w14:solidFill>
              <w14:schemeClr w14:val="tx1"/>
            </w14:solidFill>
          </w14:textFill>
        </w:rPr>
        <w:sectPr>
          <w:headerReference r:id="rId8" w:type="default"/>
          <w:footerReference r:id="rId9" w:type="default"/>
          <w:pgSz w:w="11907" w:h="16840"/>
          <w:pgMar w:top="1134" w:right="1083" w:bottom="1134" w:left="1304" w:header="964" w:footer="992" w:gutter="0"/>
          <w:cols w:space="720" w:num="1"/>
          <w:docGrid w:linePitch="312" w:charSpace="0"/>
        </w:sectPr>
      </w:pPr>
      <w:r>
        <w:rPr>
          <w:rFonts w:hint="eastAsia" w:ascii="宋体" w:hAnsi="宋体" w:cs="宋体"/>
          <w:color w:val="000000" w:themeColor="text1"/>
          <w:sz w:val="21"/>
          <w:szCs w:val="21"/>
          <w14:textFill>
            <w14:solidFill>
              <w14:schemeClr w14:val="tx1"/>
            </w14:solidFill>
          </w14:textFill>
        </w:rPr>
        <w:t>注：供需双方应按照招标文件和中标人投标文件的规定签订书面合同，所签订的合同不得对招标文件确定的事项及中标人投标文件作实质性修改。</w:t>
      </w:r>
    </w:p>
    <w:p>
      <w:pPr>
        <w:pStyle w:val="3"/>
        <w:spacing w:beforeLines="0" w:afterLines="0" w:line="700" w:lineRule="exact"/>
        <w:ind w:firstLine="2200" w:firstLineChars="500"/>
        <w:jc w:val="both"/>
        <w:rPr>
          <w:rFonts w:hint="eastAsia" w:ascii="宋体" w:hAnsi="宋体" w:eastAsia="宋体" w:cs="宋体"/>
          <w:color w:val="000000" w:themeColor="text1"/>
          <w14:textFill>
            <w14:solidFill>
              <w14:schemeClr w14:val="tx1"/>
            </w14:solidFill>
          </w14:textFill>
        </w:rPr>
      </w:pPr>
      <w:bookmarkStart w:id="165" w:name="_Toc20088"/>
      <w:r>
        <w:rPr>
          <w:rFonts w:hint="eastAsia" w:ascii="宋体" w:hAnsi="宋体" w:eastAsia="宋体" w:cs="宋体"/>
          <w:color w:val="000000" w:themeColor="text1"/>
          <w14:textFill>
            <w14:solidFill>
              <w14:schemeClr w14:val="tx1"/>
            </w14:solidFill>
          </w14:textFill>
        </w:rPr>
        <w:t>第七篇  投标文件格式</w:t>
      </w:r>
      <w:bookmarkEnd w:id="157"/>
      <w:bookmarkEnd w:id="158"/>
      <w:bookmarkEnd w:id="165"/>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bookmarkStart w:id="166" w:name="_Hlk132127887"/>
      <w:r>
        <w:rPr>
          <w:rFonts w:hint="eastAsia" w:ascii="宋体" w:hAnsi="宋体" w:cs="宋体"/>
          <w:color w:val="000000" w:themeColor="text1"/>
          <w:sz w:val="24"/>
          <w:szCs w:val="24"/>
          <w14:textFill>
            <w14:solidFill>
              <w14:schemeClr w14:val="tx1"/>
            </w14:solidFill>
          </w14:textFill>
        </w:rPr>
        <w:t>一、经济文件</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（一）开标一览表（格式）</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二、服务文件</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（一）服务条款差异表</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三、商务文件</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（一）投标函（格式）</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（二）商务条款差异表</w:t>
      </w:r>
    </w:p>
    <w:p>
      <w:pPr>
        <w:tabs>
          <w:tab w:val="left" w:pos="1764"/>
        </w:tabs>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四、其他（如果有）</w:t>
      </w:r>
    </w:p>
    <w:p>
      <w:pPr>
        <w:tabs>
          <w:tab w:val="left" w:pos="6300"/>
        </w:tabs>
        <w:snapToGrid w:val="0"/>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（一）其他与项目有关的资料（自附）</w:t>
      </w: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五、资格文件</w:t>
      </w:r>
    </w:p>
    <w:p>
      <w:pPr>
        <w:snapToGrid w:val="0"/>
        <w:spacing w:line="36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w:t>
      </w:r>
    </w:p>
    <w:p>
      <w:pPr>
        <w:snapToGrid w:val="0"/>
        <w:spacing w:line="36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（二）法定代表人身份证明书（格式）</w:t>
      </w:r>
    </w:p>
    <w:p>
      <w:pPr>
        <w:snapToGrid w:val="0"/>
        <w:spacing w:line="36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（三）法定代表人授权委托书（格式）</w:t>
      </w:r>
    </w:p>
    <w:p>
      <w:pPr>
        <w:snapToGrid w:val="0"/>
        <w:spacing w:line="36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（四）基本资格条件承诺函（格式）</w:t>
      </w:r>
    </w:p>
    <w:bookmarkEnd w:id="166"/>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p>
    <w:p>
      <w:pPr>
        <w:snapToGrid w:val="0"/>
        <w:spacing w:line="380" w:lineRule="exact"/>
        <w:ind w:firstLine="1200" w:firstLineChars="500"/>
        <w:rPr>
          <w:rFonts w:hint="eastAsia" w:ascii="宋体" w:hAnsi="宋体" w:cs="宋体"/>
          <w:color w:val="000000" w:themeColor="text1"/>
          <w:spacing w:val="-1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w:t>
      </w:r>
      <w:r>
        <w:rPr>
          <w:rFonts w:hint="eastAsia" w:ascii="宋体" w:hAnsi="宋体" w:cs="宋体"/>
          <w:color w:val="000000" w:themeColor="text1"/>
          <w:spacing w:val="-11"/>
          <w:sz w:val="24"/>
          <w:szCs w:val="24"/>
          <w:u w:val="single"/>
          <w14:textFill>
            <w14:solidFill>
              <w14:schemeClr w14:val="tx1"/>
            </w14:solidFill>
          </w14:textFill>
        </w:rPr>
        <w:t>本篇标注为“（格式）”的，为实质性响应格式，投标人不得随意删除格式中设定的内容，否则为无效投标（投标人在格式的基础上如需增加响应内容的，可另行增加）。</w:t>
      </w:r>
    </w:p>
    <w:p>
      <w:pPr>
        <w:snapToGrid w:val="0"/>
        <w:spacing w:line="380" w:lineRule="exact"/>
        <w:ind w:firstLine="436" w:firstLineChars="200"/>
        <w:rPr>
          <w:rFonts w:hint="eastAsia" w:ascii="宋体" w:hAnsi="宋体" w:cs="宋体"/>
          <w:color w:val="000000" w:themeColor="text1"/>
          <w:spacing w:val="-11"/>
          <w:sz w:val="24"/>
          <w:szCs w:val="24"/>
          <w:u w:val="single"/>
          <w14:textFill>
            <w14:solidFill>
              <w14:schemeClr w14:val="tx1"/>
            </w14:solidFill>
          </w14:textFill>
        </w:rPr>
      </w:pPr>
    </w:p>
    <w:p>
      <w:pPr>
        <w:spacing w:line="380" w:lineRule="exact"/>
        <w:rPr>
          <w:rFonts w:hint="eastAsia" w:ascii="宋体" w:hAnsi="宋体" w:cs="宋体"/>
          <w:color w:val="000000" w:themeColor="text1"/>
          <w14:textFill>
            <w14:solidFill>
              <w14:schemeClr w14:val="tx1"/>
            </w14:solidFill>
          </w14:textFill>
        </w:rPr>
      </w:pPr>
      <w:bookmarkStart w:id="167" w:name="_Toc38287884"/>
      <w:bookmarkStart w:id="168" w:name="_Toc429584884"/>
      <w:bookmarkStart w:id="169" w:name="_Toc14493"/>
    </w:p>
    <w:p>
      <w:pPr>
        <w:spacing w:line="380" w:lineRule="exact"/>
        <w:rPr>
          <w:rFonts w:hint="eastAsia" w:ascii="宋体" w:hAnsi="宋体" w:cs="宋体"/>
          <w:color w:val="000000" w:themeColor="text1"/>
          <w14:textFill>
            <w14:solidFill>
              <w14:schemeClr w14:val="tx1"/>
            </w14:solidFill>
          </w14:textFill>
        </w:rPr>
      </w:pPr>
    </w:p>
    <w:p>
      <w:pPr>
        <w:spacing w:line="380" w:lineRule="exact"/>
        <w:rPr>
          <w:rFonts w:hint="eastAsia" w:ascii="宋体" w:hAnsi="宋体" w:cs="宋体"/>
          <w:color w:val="000000" w:themeColor="text1"/>
          <w14:textFill>
            <w14:solidFill>
              <w14:schemeClr w14:val="tx1"/>
            </w14:solidFill>
          </w14:textFill>
        </w:rPr>
      </w:pPr>
    </w:p>
    <w:p>
      <w:pPr>
        <w:spacing w:line="380" w:lineRule="exact"/>
        <w:rPr>
          <w:rFonts w:hint="eastAsia" w:ascii="宋体" w:hAnsi="宋体" w:cs="宋体"/>
          <w:color w:val="000000" w:themeColor="text1"/>
          <w14:textFill>
            <w14:solidFill>
              <w14:schemeClr w14:val="tx1"/>
            </w14:solidFill>
          </w14:textFill>
        </w:rPr>
      </w:pPr>
    </w:p>
    <w:p>
      <w:pPr>
        <w:spacing w:line="380" w:lineRule="exact"/>
        <w:rPr>
          <w:rFonts w:hint="eastAsia" w:ascii="宋体" w:hAnsi="宋体" w:cs="宋体"/>
          <w:color w:val="000000" w:themeColor="text1"/>
          <w14:textFill>
            <w14:solidFill>
              <w14:schemeClr w14:val="tx1"/>
            </w14:solidFill>
          </w14:textFill>
        </w:rPr>
      </w:pPr>
    </w:p>
    <w:p>
      <w:pPr>
        <w:spacing w:line="380" w:lineRule="exact"/>
        <w:rPr>
          <w:rFonts w:hint="eastAsia" w:ascii="宋体" w:hAnsi="宋体" w:cs="宋体"/>
          <w:color w:val="000000" w:themeColor="text1"/>
          <w14:textFill>
            <w14:solidFill>
              <w14:schemeClr w14:val="tx1"/>
            </w14:solidFill>
          </w14:textFill>
        </w:rPr>
      </w:pPr>
    </w:p>
    <w:p>
      <w:pPr>
        <w:pStyle w:val="1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spacing w:line="380" w:lineRule="exact"/>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spacing w:line="380" w:lineRule="exact"/>
        <w:rPr>
          <w:rFonts w:hint="eastAsia" w:ascii="宋体" w:hAnsi="宋体" w:cs="宋体"/>
          <w:color w:val="000000" w:themeColor="text1"/>
          <w14:textFill>
            <w14:solidFill>
              <w14:schemeClr w14:val="tx1"/>
            </w14:solidFill>
          </w14:textFill>
        </w:rPr>
      </w:pPr>
    </w:p>
    <w:p>
      <w:pPr>
        <w:spacing w:line="38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一、经济文件</w:t>
      </w:r>
      <w:bookmarkEnd w:id="167"/>
      <w:bookmarkEnd w:id="168"/>
      <w:bookmarkEnd w:id="169"/>
    </w:p>
    <w:p>
      <w:pPr>
        <w:snapToGrid w:val="0"/>
        <w:spacing w:line="380" w:lineRule="exact"/>
        <w:jc w:val="center"/>
        <w:rPr>
          <w:rFonts w:hint="eastAsia" w:ascii="宋体" w:hAnsi="宋体" w:cs="宋体"/>
          <w:color w:val="000000" w:themeColor="text1"/>
          <w:szCs w:val="36"/>
          <w14:textFill>
            <w14:solidFill>
              <w14:schemeClr w14:val="tx1"/>
            </w14:solidFill>
          </w14:textFill>
        </w:rPr>
      </w:pPr>
    </w:p>
    <w:p>
      <w:pPr>
        <w:snapToGrid w:val="0"/>
        <w:spacing w:line="380" w:lineRule="exact"/>
        <w:jc w:val="center"/>
        <w:rPr>
          <w:rFonts w:hint="eastAsia" w:ascii="宋体" w:hAnsi="宋体" w:cs="宋体"/>
          <w:color w:val="000000" w:themeColor="text1"/>
          <w:szCs w:val="36"/>
          <w14:textFill>
            <w14:solidFill>
              <w14:schemeClr w14:val="tx1"/>
            </w14:solidFill>
          </w14:textFill>
        </w:rPr>
      </w:pPr>
      <w:r>
        <w:rPr>
          <w:rFonts w:hint="eastAsia" w:ascii="宋体" w:hAnsi="宋体" w:cs="宋体"/>
          <w:color w:val="000000" w:themeColor="text1"/>
          <w:szCs w:val="36"/>
          <w14:textFill>
            <w14:solidFill>
              <w14:schemeClr w14:val="tx1"/>
            </w14:solidFill>
          </w14:textFill>
        </w:rPr>
        <w:t>（一）开标一览表（格式）</w:t>
      </w:r>
    </w:p>
    <w:p>
      <w:pPr>
        <w:spacing w:line="380" w:lineRule="exact"/>
        <w:ind w:firstLine="240" w:firstLineChars="100"/>
        <w:rPr>
          <w:rFonts w:hint="eastAsia" w:ascii="宋体" w:hAnsi="宋体" w:cs="宋体"/>
          <w:color w:val="000000" w:themeColor="text1"/>
          <w:sz w:val="24"/>
          <w:szCs w:val="28"/>
          <w14:textFill>
            <w14:solidFill>
              <w14:schemeClr w14:val="tx1"/>
            </w14:solidFill>
          </w14:textFill>
        </w:rPr>
      </w:pPr>
    </w:p>
    <w:p>
      <w:pPr>
        <w:spacing w:line="380" w:lineRule="exact"/>
        <w:ind w:firstLine="240" w:firstLineChars="100"/>
        <w:rPr>
          <w:rFonts w:hint="eastAsia" w:ascii="宋体" w:hAnsi="宋体" w:cs="宋体"/>
          <w:color w:val="000000" w:themeColor="text1"/>
          <w:sz w:val="24"/>
          <w:szCs w:val="28"/>
          <w14:textFill>
            <w14:solidFill>
              <w14:schemeClr w14:val="tx1"/>
            </w14:solidFill>
          </w14:textFill>
        </w:rPr>
      </w:pPr>
      <w:bookmarkStart w:id="170" w:name="_Hlk132127989"/>
      <w:r>
        <w:rPr>
          <w:rFonts w:hint="eastAsia" w:ascii="宋体" w:hAnsi="宋体" w:cs="宋体"/>
          <w:color w:val="000000" w:themeColor="text1"/>
          <w:sz w:val="24"/>
          <w:szCs w:val="28"/>
          <w14:textFill>
            <w14:solidFill>
              <w14:schemeClr w14:val="tx1"/>
            </w14:solidFill>
          </w14:textFill>
        </w:rPr>
        <w:t xml:space="preserve">招标项目名称：                                                 </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380" w:lineRule="exact"/>
              <w:jc w:val="center"/>
              <w:rPr>
                <w:rFonts w:hint="eastAsia" w:ascii="宋体" w:hAnsi="宋体" w:cs="宋体"/>
                <w:color w:val="000000" w:themeColor="text1"/>
                <w:sz w:val="21"/>
                <w:szCs w:val="28"/>
                <w14:textFill>
                  <w14:solidFill>
                    <w14:schemeClr w14:val="tx1"/>
                  </w14:solidFill>
                </w14:textFill>
              </w:rPr>
            </w:pPr>
            <w:r>
              <w:rPr>
                <w:rFonts w:hint="eastAsia" w:ascii="宋体" w:hAnsi="宋体" w:cs="宋体"/>
                <w:color w:val="000000" w:themeColor="text1"/>
                <w:sz w:val="21"/>
                <w:szCs w:val="28"/>
                <w14:textFill>
                  <w14:solidFill>
                    <w14:schemeClr w14:val="tx1"/>
                  </w14:solidFill>
                </w14:textFill>
              </w:rPr>
              <w:t>投标人名称</w:t>
            </w:r>
          </w:p>
        </w:tc>
        <w:tc>
          <w:tcPr>
            <w:tcW w:w="7840" w:type="dxa"/>
            <w:gridSpan w:val="3"/>
            <w:vAlign w:val="center"/>
          </w:tcPr>
          <w:p>
            <w:pPr>
              <w:spacing w:line="380" w:lineRule="exact"/>
              <w:jc w:val="center"/>
              <w:rPr>
                <w:rFonts w:hint="eastAsia" w:ascii="宋体" w:hAnsi="宋体" w:cs="宋体"/>
                <w:color w:val="000000" w:themeColor="text1"/>
                <w:sz w:val="2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vAlign w:val="center"/>
          </w:tcPr>
          <w:p>
            <w:pPr>
              <w:spacing w:line="380" w:lineRule="exact"/>
              <w:jc w:val="center"/>
              <w:rPr>
                <w:rFonts w:hint="eastAsia" w:ascii="宋体" w:hAnsi="宋体" w:cs="宋体"/>
                <w:color w:val="000000" w:themeColor="text1"/>
                <w:sz w:val="21"/>
                <w:szCs w:val="28"/>
                <w14:textFill>
                  <w14:solidFill>
                    <w14:schemeClr w14:val="tx1"/>
                  </w14:solidFill>
                </w14:textFill>
              </w:rPr>
            </w:pPr>
            <w:r>
              <w:rPr>
                <w:rFonts w:hint="eastAsia" w:ascii="宋体" w:hAnsi="宋体" w:cs="宋体"/>
                <w:color w:val="000000" w:themeColor="text1"/>
                <w:sz w:val="21"/>
                <w:szCs w:val="28"/>
                <w14:textFill>
                  <w14:solidFill>
                    <w14:schemeClr w14:val="tx1"/>
                  </w14:solidFill>
                </w14:textFill>
              </w:rPr>
              <w:t>分包号</w:t>
            </w:r>
          </w:p>
        </w:tc>
        <w:tc>
          <w:tcPr>
            <w:tcW w:w="2148" w:type="dxa"/>
            <w:vAlign w:val="center"/>
          </w:tcPr>
          <w:p>
            <w:pPr>
              <w:spacing w:line="380" w:lineRule="exact"/>
              <w:jc w:val="center"/>
              <w:rPr>
                <w:rFonts w:hint="eastAsia" w:ascii="宋体" w:hAnsi="宋体" w:cs="宋体"/>
                <w:color w:val="000000" w:themeColor="text1"/>
                <w:sz w:val="21"/>
                <w:szCs w:val="28"/>
                <w14:textFill>
                  <w14:solidFill>
                    <w14:schemeClr w14:val="tx1"/>
                  </w14:solidFill>
                </w14:textFill>
              </w:rPr>
            </w:pPr>
            <w:r>
              <w:rPr>
                <w:rFonts w:hint="eastAsia" w:ascii="宋体" w:hAnsi="宋体" w:cs="宋体"/>
                <w:color w:val="000000" w:themeColor="text1"/>
                <w:sz w:val="21"/>
                <w:szCs w:val="28"/>
                <w14:textFill>
                  <w14:solidFill>
                    <w14:schemeClr w14:val="tx1"/>
                  </w14:solidFill>
                </w14:textFill>
              </w:rPr>
              <w:t>分包名称</w:t>
            </w:r>
          </w:p>
        </w:tc>
        <w:tc>
          <w:tcPr>
            <w:tcW w:w="932" w:type="dxa"/>
            <w:vAlign w:val="center"/>
          </w:tcPr>
          <w:p>
            <w:pPr>
              <w:spacing w:line="380" w:lineRule="exact"/>
              <w:jc w:val="center"/>
              <w:rPr>
                <w:rFonts w:hint="eastAsia" w:ascii="宋体" w:hAnsi="宋体" w:cs="宋体"/>
                <w:color w:val="000000" w:themeColor="text1"/>
                <w:sz w:val="21"/>
                <w:szCs w:val="28"/>
                <w14:textFill>
                  <w14:solidFill>
                    <w14:schemeClr w14:val="tx1"/>
                  </w14:solidFill>
                </w14:textFill>
              </w:rPr>
            </w:pPr>
            <w:r>
              <w:rPr>
                <w:rFonts w:hint="eastAsia" w:ascii="宋体" w:hAnsi="宋体" w:cs="宋体"/>
                <w:color w:val="000000" w:themeColor="text1"/>
                <w:sz w:val="21"/>
                <w:szCs w:val="28"/>
                <w14:textFill>
                  <w14:solidFill>
                    <w14:schemeClr w14:val="tx1"/>
                  </w14:solidFill>
                </w14:textFill>
              </w:rPr>
              <w:t>数量</w:t>
            </w:r>
          </w:p>
        </w:tc>
        <w:tc>
          <w:tcPr>
            <w:tcW w:w="4760" w:type="dxa"/>
            <w:vAlign w:val="center"/>
          </w:tcPr>
          <w:p>
            <w:pPr>
              <w:spacing w:line="380" w:lineRule="exact"/>
              <w:jc w:val="center"/>
              <w:rPr>
                <w:rFonts w:hint="eastAsia" w:ascii="宋体" w:hAnsi="宋体" w:cs="宋体"/>
                <w:color w:val="000000" w:themeColor="text1"/>
                <w:sz w:val="21"/>
                <w:szCs w:val="28"/>
                <w14:textFill>
                  <w14:solidFill>
                    <w14:schemeClr w14:val="tx1"/>
                  </w14:solidFill>
                </w14:textFill>
              </w:rPr>
            </w:pPr>
            <w:r>
              <w:rPr>
                <w:rFonts w:hint="eastAsia" w:ascii="宋体" w:hAnsi="宋体" w:cs="宋体"/>
                <w:color w:val="000000" w:themeColor="text1"/>
                <w:sz w:val="21"/>
                <w:szCs w:val="28"/>
                <w14:textFill>
                  <w14:solidFill>
                    <w14:schemeClr w14:val="tx1"/>
                  </w14:solidFill>
                </w14:textFill>
              </w:rPr>
              <w:t>投标总</w:t>
            </w:r>
            <w:r>
              <w:rPr>
                <w:rFonts w:hint="eastAsia" w:ascii="宋体" w:hAnsi="宋体" w:cs="宋体"/>
                <w:color w:val="000000" w:themeColor="text1"/>
                <w:sz w:val="21"/>
                <w:szCs w:val="21"/>
                <w14:textFill>
                  <w14:solidFill>
                    <w14:schemeClr w14:val="tx1"/>
                  </w14:solidFill>
                </w14:textFill>
              </w:rPr>
              <w:t>报价</w:t>
            </w:r>
            <w:r>
              <w:rPr>
                <w:rFonts w:hint="eastAsia" w:ascii="宋体" w:hAnsi="宋体" w:cs="宋体"/>
                <w:color w:val="000000" w:themeColor="text1"/>
                <w:sz w:val="21"/>
                <w:szCs w:val="28"/>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380" w:lineRule="exact"/>
              <w:jc w:val="center"/>
              <w:rPr>
                <w:rFonts w:hint="eastAsia" w:ascii="宋体" w:hAnsi="宋体" w:cs="宋体"/>
                <w:color w:val="000000" w:themeColor="text1"/>
                <w:sz w:val="21"/>
                <w:szCs w:val="28"/>
                <w14:textFill>
                  <w14:solidFill>
                    <w14:schemeClr w14:val="tx1"/>
                  </w14:solidFill>
                </w14:textFill>
              </w:rPr>
            </w:pPr>
          </w:p>
        </w:tc>
        <w:tc>
          <w:tcPr>
            <w:tcW w:w="2148" w:type="dxa"/>
            <w:tcBorders>
              <w:bottom w:val="single" w:color="auto" w:sz="4" w:space="0"/>
            </w:tcBorders>
          </w:tcPr>
          <w:p>
            <w:pPr>
              <w:spacing w:line="380" w:lineRule="exact"/>
              <w:rPr>
                <w:rFonts w:hint="eastAsia" w:ascii="宋体" w:hAnsi="宋体" w:cs="宋体"/>
                <w:color w:val="000000" w:themeColor="text1"/>
                <w:sz w:val="21"/>
                <w:szCs w:val="28"/>
                <w14:textFill>
                  <w14:solidFill>
                    <w14:schemeClr w14:val="tx1"/>
                  </w14:solidFill>
                </w14:textFill>
              </w:rPr>
            </w:pPr>
          </w:p>
        </w:tc>
        <w:tc>
          <w:tcPr>
            <w:tcW w:w="932" w:type="dxa"/>
            <w:tcBorders>
              <w:bottom w:val="single" w:color="auto" w:sz="4" w:space="0"/>
            </w:tcBorders>
          </w:tcPr>
          <w:p>
            <w:pPr>
              <w:spacing w:line="380" w:lineRule="exact"/>
              <w:rPr>
                <w:rFonts w:hint="eastAsia" w:ascii="宋体" w:hAnsi="宋体" w:cs="宋体"/>
                <w:color w:val="000000" w:themeColor="text1"/>
                <w:sz w:val="21"/>
                <w:szCs w:val="28"/>
                <w14:textFill>
                  <w14:solidFill>
                    <w14:schemeClr w14:val="tx1"/>
                  </w14:solidFill>
                </w14:textFill>
              </w:rPr>
            </w:pPr>
            <w:r>
              <w:rPr>
                <w:rFonts w:hint="eastAsia" w:ascii="宋体" w:hAnsi="宋体" w:cs="宋体"/>
                <w:color w:val="000000" w:themeColor="text1"/>
                <w:sz w:val="21"/>
                <w:szCs w:val="28"/>
                <w14:textFill>
                  <w14:solidFill>
                    <w14:schemeClr w14:val="tx1"/>
                  </w14:solidFill>
                </w14:textFill>
              </w:rPr>
              <w:t>同招标文件要求</w:t>
            </w:r>
          </w:p>
        </w:tc>
        <w:tc>
          <w:tcPr>
            <w:tcW w:w="4760" w:type="dxa"/>
            <w:tcBorders>
              <w:bottom w:val="single" w:color="auto" w:sz="4" w:space="0"/>
            </w:tcBorders>
            <w:vAlign w:val="center"/>
          </w:tcPr>
          <w:p>
            <w:pPr>
              <w:spacing w:line="380" w:lineRule="exact"/>
              <w:ind w:firstLine="2100" w:firstLineChars="1000"/>
              <w:rPr>
                <w:rFonts w:hint="eastAsia" w:ascii="宋体" w:hAnsi="宋体" w:cs="宋体"/>
                <w:color w:val="000000" w:themeColor="text1"/>
                <w:sz w:val="2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pPr>
              <w:spacing w:line="380" w:lineRule="exact"/>
              <w:rPr>
                <w:rFonts w:hint="eastAsia" w:ascii="宋体" w:hAnsi="宋体" w:cs="宋体"/>
                <w:color w:val="000000" w:themeColor="text1"/>
                <w:sz w:val="21"/>
                <w:szCs w:val="28"/>
                <w14:textFill>
                  <w14:solidFill>
                    <w14:schemeClr w14:val="tx1"/>
                  </w14:solidFill>
                </w14:textFill>
              </w:rPr>
            </w:pPr>
            <w:r>
              <w:rPr>
                <w:rFonts w:hint="eastAsia" w:ascii="宋体" w:hAnsi="宋体" w:cs="宋体"/>
                <w:color w:val="000000" w:themeColor="text1"/>
                <w:sz w:val="21"/>
                <w:szCs w:val="28"/>
                <w14:textFill>
                  <w14:solidFill>
                    <w14:schemeClr w14:val="tx1"/>
                  </w14:solidFill>
                </w14:textFill>
              </w:rPr>
              <w:t xml:space="preserve">投标总报价（大写）：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pPr>
              <w:pStyle w:val="13"/>
              <w:spacing w:line="380" w:lineRule="exact"/>
              <w:rPr>
                <w:rFonts w:hint="eastAsia" w:ascii="宋体" w:hAnsi="宋体" w:cs="宋体"/>
                <w:color w:val="000000" w:themeColor="text1"/>
                <w:sz w:val="21"/>
                <w:szCs w:val="28"/>
                <w14:textFill>
                  <w14:solidFill>
                    <w14:schemeClr w14:val="tx1"/>
                  </w14:solidFill>
                </w14:textFill>
              </w:rPr>
            </w:pPr>
            <w:r>
              <w:rPr>
                <w:rFonts w:hint="eastAsia" w:ascii="宋体" w:hAnsi="宋体" w:cs="宋体"/>
                <w:color w:val="000000" w:themeColor="text1"/>
                <w:sz w:val="21"/>
                <w:szCs w:val="28"/>
                <w14:textFill>
                  <w14:solidFill>
                    <w14:schemeClr w14:val="tx1"/>
                  </w14:solidFill>
                </w14:textFill>
              </w:rPr>
              <w:t>备注：</w:t>
            </w:r>
          </w:p>
        </w:tc>
      </w:tr>
    </w:tbl>
    <w:p>
      <w:pPr>
        <w:pStyle w:val="13"/>
        <w:spacing w:line="380" w:lineRule="exact"/>
        <w:rPr>
          <w:rFonts w:hint="eastAsia" w:ascii="宋体" w:hAnsi="宋体" w:cs="宋体"/>
          <w:color w:val="000000" w:themeColor="text1"/>
          <w:sz w:val="24"/>
          <w:szCs w:val="28"/>
          <w14:textFill>
            <w14:solidFill>
              <w14:schemeClr w14:val="tx1"/>
            </w14:solidFill>
          </w14:textFill>
        </w:rPr>
      </w:pPr>
    </w:p>
    <w:p>
      <w:pPr>
        <w:spacing w:line="380" w:lineRule="exact"/>
        <w:rPr>
          <w:rFonts w:hint="eastAsia" w:ascii="宋体" w:hAnsi="宋体" w:cs="宋体"/>
          <w:color w:val="000000" w:themeColor="text1"/>
          <w14:textFill>
            <w14:solidFill>
              <w14:schemeClr w14:val="tx1"/>
            </w14:solidFill>
          </w14:textFill>
        </w:rPr>
      </w:pPr>
    </w:p>
    <w:p>
      <w:pPr>
        <w:spacing w:line="380" w:lineRule="exact"/>
        <w:rPr>
          <w:rFonts w:hint="eastAsia" w:ascii="宋体" w:hAnsi="宋体" w:cs="宋体"/>
          <w:color w:val="000000" w:themeColor="text1"/>
          <w:sz w:val="24"/>
          <w:szCs w:val="28"/>
          <w14:textFill>
            <w14:solidFill>
              <w14:schemeClr w14:val="tx1"/>
            </w14:solidFill>
          </w14:textFill>
        </w:rPr>
      </w:pPr>
    </w:p>
    <w:p>
      <w:pPr>
        <w:spacing w:line="380" w:lineRule="exact"/>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投标人：                    法定代表人（或法定代表人授权代表）或自然人：</w:t>
      </w:r>
    </w:p>
    <w:p>
      <w:pPr>
        <w:spacing w:line="380" w:lineRule="exact"/>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（投标人公章）                               （签字或盖章）</w:t>
      </w:r>
    </w:p>
    <w:p>
      <w:pPr>
        <w:spacing w:line="380" w:lineRule="exact"/>
        <w:rPr>
          <w:rFonts w:hint="eastAsia" w:ascii="宋体" w:hAnsi="宋体" w:cs="宋体"/>
          <w:color w:val="000000" w:themeColor="text1"/>
          <w:sz w:val="24"/>
          <w:szCs w:val="28"/>
          <w14:textFill>
            <w14:solidFill>
              <w14:schemeClr w14:val="tx1"/>
            </w14:solidFill>
          </w14:textFill>
        </w:rPr>
      </w:pPr>
    </w:p>
    <w:p>
      <w:pPr>
        <w:spacing w:line="380" w:lineRule="exact"/>
        <w:rPr>
          <w:rFonts w:hint="eastAsia" w:ascii="宋体" w:hAnsi="宋体" w:cs="宋体"/>
          <w:color w:val="000000" w:themeColor="text1"/>
          <w:sz w:val="24"/>
          <w:szCs w:val="28"/>
          <w14:textFill>
            <w14:solidFill>
              <w14:schemeClr w14:val="tx1"/>
            </w14:solidFill>
          </w14:textFill>
        </w:rPr>
      </w:pPr>
    </w:p>
    <w:p>
      <w:pPr>
        <w:spacing w:line="380" w:lineRule="exact"/>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pPr>
        <w:snapToGrid w:val="0"/>
        <w:spacing w:line="380" w:lineRule="exact"/>
        <w:ind w:firstLine="480" w:firstLineChars="200"/>
        <w:rPr>
          <w:rFonts w:hint="eastAsia" w:ascii="宋体" w:hAnsi="宋体" w:cs="宋体"/>
          <w:color w:val="000000" w:themeColor="text1"/>
          <w:sz w:val="24"/>
          <w:szCs w:val="28"/>
          <w14:textFill>
            <w14:solidFill>
              <w14:schemeClr w14:val="tx1"/>
            </w14:solidFill>
          </w14:textFill>
        </w:rPr>
      </w:pPr>
    </w:p>
    <w:p>
      <w:pPr>
        <w:snapToGrid w:val="0"/>
        <w:spacing w:line="380" w:lineRule="exact"/>
        <w:ind w:firstLine="480" w:firstLineChars="200"/>
        <w:rPr>
          <w:rFonts w:hint="eastAsia" w:ascii="宋体" w:hAnsi="宋体" w:cs="宋体"/>
          <w:color w:val="000000" w:themeColor="text1"/>
          <w:sz w:val="24"/>
          <w:szCs w:val="28"/>
          <w14:textFill>
            <w14:solidFill>
              <w14:schemeClr w14:val="tx1"/>
            </w14:solidFill>
          </w14:textFill>
        </w:rPr>
      </w:pPr>
    </w:p>
    <w:p>
      <w:pPr>
        <w:snapToGrid w:val="0"/>
        <w:spacing w:line="380" w:lineRule="exact"/>
        <w:ind w:firstLine="480" w:firstLineChars="200"/>
        <w:rPr>
          <w:rFonts w:hint="eastAsia" w:ascii="宋体" w:hAnsi="宋体" w:cs="宋体"/>
          <w:color w:val="000000" w:themeColor="text1"/>
          <w:sz w:val="24"/>
          <w:szCs w:val="28"/>
          <w14:textFill>
            <w14:solidFill>
              <w14:schemeClr w14:val="tx1"/>
            </w14:solidFill>
          </w14:textFill>
        </w:rPr>
      </w:pPr>
    </w:p>
    <w:p>
      <w:pPr>
        <w:snapToGrid w:val="0"/>
        <w:spacing w:line="380" w:lineRule="exact"/>
        <w:ind w:firstLine="480" w:firstLineChars="200"/>
        <w:rPr>
          <w:rFonts w:hint="eastAsia" w:ascii="宋体" w:hAnsi="宋体" w:cs="宋体"/>
          <w:color w:val="000000" w:themeColor="text1"/>
          <w:sz w:val="24"/>
          <w:szCs w:val="28"/>
          <w14:textFill>
            <w14:solidFill>
              <w14:schemeClr w14:val="tx1"/>
            </w14:solidFill>
          </w14:textFill>
        </w:rPr>
      </w:pPr>
    </w:p>
    <w:p>
      <w:pPr>
        <w:snapToGrid w:val="0"/>
        <w:spacing w:line="380" w:lineRule="exact"/>
        <w:ind w:firstLine="480" w:firstLineChars="200"/>
        <w:rPr>
          <w:rFonts w:hint="eastAsia" w:ascii="宋体" w:hAnsi="宋体" w:cs="宋体"/>
          <w:color w:val="000000" w:themeColor="text1"/>
          <w:sz w:val="24"/>
          <w:szCs w:val="28"/>
          <w14:textFill>
            <w14:solidFill>
              <w14:schemeClr w14:val="tx1"/>
            </w14:solidFill>
          </w14:textFill>
        </w:rPr>
      </w:pPr>
    </w:p>
    <w:p>
      <w:pPr>
        <w:snapToGrid w:val="0"/>
        <w:spacing w:line="380" w:lineRule="exact"/>
        <w:rPr>
          <w:rFonts w:hint="eastAsia" w:ascii="宋体" w:hAnsi="宋体" w:cs="宋体"/>
          <w:color w:val="000000" w:themeColor="text1"/>
          <w:sz w:val="24"/>
          <w:szCs w:val="28"/>
          <w14:textFill>
            <w14:solidFill>
              <w14:schemeClr w14:val="tx1"/>
            </w14:solidFill>
          </w14:textFill>
        </w:rPr>
      </w:pPr>
    </w:p>
    <w:p>
      <w:pPr>
        <w:snapToGrid w:val="0"/>
        <w:spacing w:line="380" w:lineRule="exact"/>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说明：</w:t>
      </w:r>
    </w:p>
    <w:p>
      <w:pPr>
        <w:snapToGrid w:val="0"/>
        <w:spacing w:line="380" w:lineRule="exact"/>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1.开标一览表按格式填列。</w:t>
      </w:r>
    </w:p>
    <w:p>
      <w:pPr>
        <w:snapToGrid w:val="0"/>
        <w:spacing w:line="380" w:lineRule="exact"/>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2.</w:t>
      </w:r>
      <w:r>
        <w:rPr>
          <w:rFonts w:hint="eastAsia" w:ascii="宋体" w:hAnsi="宋体" w:cs="宋体"/>
          <w:color w:val="000000" w:themeColor="text1"/>
          <w:sz w:val="24"/>
          <w:szCs w:val="28"/>
          <w:u w:val="single"/>
          <w14:textFill>
            <w14:solidFill>
              <w14:schemeClr w14:val="tx1"/>
            </w14:solidFill>
          </w14:textFill>
        </w:rPr>
        <w:t>开标一览表在开标大会上当众宣读，务必填写清楚，准确无误，否则为无效投标（评标委员会予以认可的除外）</w:t>
      </w:r>
      <w:r>
        <w:rPr>
          <w:rFonts w:hint="eastAsia" w:ascii="宋体" w:hAnsi="宋体" w:cs="宋体"/>
          <w:color w:val="000000" w:themeColor="text1"/>
          <w:sz w:val="24"/>
          <w:szCs w:val="28"/>
          <w14:textFill>
            <w14:solidFill>
              <w14:schemeClr w14:val="tx1"/>
            </w14:solidFill>
          </w14:textFill>
        </w:rPr>
        <w:t>。</w:t>
      </w:r>
    </w:p>
    <w:bookmarkEnd w:id="170"/>
    <w:p>
      <w:pPr>
        <w:snapToGrid w:val="0"/>
        <w:spacing w:line="380" w:lineRule="exact"/>
        <w:ind w:firstLine="56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p>
    <w:p>
      <w:pPr>
        <w:pStyle w:val="4"/>
        <w:spacing w:line="500" w:lineRule="exact"/>
        <w:ind w:firstLine="560" w:firstLineChars="200"/>
        <w:rPr>
          <w:rFonts w:hint="eastAsia" w:cs="宋体"/>
          <w:color w:val="000000" w:themeColor="text1"/>
          <w:szCs w:val="28"/>
          <w14:textFill>
            <w14:solidFill>
              <w14:schemeClr w14:val="tx1"/>
            </w14:solidFill>
          </w14:textFill>
        </w:rPr>
      </w:pPr>
      <w:bookmarkStart w:id="171" w:name="_Toc31755"/>
      <w:r>
        <w:rPr>
          <w:rFonts w:hint="eastAsia" w:cs="宋体"/>
          <w:color w:val="000000" w:themeColor="text1"/>
          <w:szCs w:val="28"/>
          <w14:textFill>
            <w14:solidFill>
              <w14:schemeClr w14:val="tx1"/>
            </w14:solidFill>
          </w14:textFill>
        </w:rPr>
        <w:t>二、服务文件</w:t>
      </w:r>
      <w:bookmarkEnd w:id="171"/>
    </w:p>
    <w:p>
      <w:pPr>
        <w:spacing w:line="400" w:lineRule="exact"/>
        <w:ind w:firstLine="480" w:firstLineChars="200"/>
        <w:jc w:val="center"/>
        <w:rPr>
          <w:rFonts w:hint="eastAsia" w:ascii="宋体" w:hAnsi="宋体" w:cs="宋体"/>
          <w:color w:val="000000" w:themeColor="text1"/>
          <w:sz w:val="24"/>
          <w:szCs w:val="28"/>
          <w14:textFill>
            <w14:solidFill>
              <w14:schemeClr w14:val="tx1"/>
            </w14:solidFill>
          </w14:textFill>
        </w:rPr>
      </w:pPr>
    </w:p>
    <w:p>
      <w:pPr>
        <w:spacing w:line="400" w:lineRule="exact"/>
        <w:ind w:firstLine="560" w:firstLineChars="200"/>
        <w:jc w:val="center"/>
        <w:rPr>
          <w:rFonts w:hint="eastAsia"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（一）服务条款差异表</w:t>
      </w:r>
    </w:p>
    <w:p>
      <w:pPr>
        <w:spacing w:line="400" w:lineRule="exact"/>
        <w:ind w:firstLine="480" w:firstLineChars="200"/>
        <w:rPr>
          <w:rFonts w:hint="eastAsia" w:ascii="宋体" w:hAnsi="宋体" w:cs="宋体"/>
          <w:color w:val="000000" w:themeColor="text1"/>
          <w:sz w:val="24"/>
          <w:szCs w:val="28"/>
          <w14:textFill>
            <w14:solidFill>
              <w14:schemeClr w14:val="tx1"/>
            </w14:solidFill>
          </w14:textFill>
        </w:rPr>
      </w:pPr>
    </w:p>
    <w:p>
      <w:pPr>
        <w:spacing w:line="400" w:lineRule="exact"/>
        <w:ind w:firstLine="480" w:firstLineChars="200"/>
        <w:rPr>
          <w:rFonts w:hint="eastAsia" w:ascii="宋体" w:hAnsi="宋体" w:cs="宋体"/>
          <w:color w:val="000000" w:themeColor="text1"/>
          <w:sz w:val="24"/>
          <w:szCs w:val="28"/>
          <w14:textFill>
            <w14:solidFill>
              <w14:schemeClr w14:val="tx1"/>
            </w14:solidFill>
          </w14:textFill>
        </w:rPr>
      </w:pPr>
      <w:bookmarkStart w:id="172" w:name="_Hlk132128101"/>
      <w:r>
        <w:rPr>
          <w:rFonts w:hint="eastAsia" w:ascii="宋体" w:hAnsi="宋体" w:cs="宋体"/>
          <w:color w:val="000000" w:themeColor="text1"/>
          <w:sz w:val="24"/>
          <w:szCs w:val="28"/>
          <w14:textFill>
            <w14:solidFill>
              <w14:schemeClr w14:val="tx1"/>
            </w14:solidFill>
          </w14:textFill>
        </w:rPr>
        <w:t>招标项目名称：</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68"/>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2"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968"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招标要求</w:t>
            </w:r>
          </w:p>
        </w:tc>
        <w:tc>
          <w:tcPr>
            <w:tcW w:w="3081"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投标应答</w:t>
            </w:r>
          </w:p>
        </w:tc>
        <w:tc>
          <w:tcPr>
            <w:tcW w:w="2307"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2"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968"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提醒：投标人应写明具体内容，若要求提供支撑（证明）材料的，投标人应标注出支撑（证明）该具体内容的支撑（证明）材料在投标文件中的所在位置（页码）。</w:t>
            </w:r>
          </w:p>
        </w:tc>
        <w:tc>
          <w:tcPr>
            <w:tcW w:w="2307"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2"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968"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2"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968"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2"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968"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0"/>
              <w:rPr>
                <w:rFonts w:hint="eastAsia" w:ascii="宋体" w:hAnsi="宋体" w:cs="宋体"/>
                <w:color w:val="000000" w:themeColor="text1"/>
                <w:sz w:val="21"/>
                <w:szCs w:val="21"/>
                <w14:textFill>
                  <w14:solidFill>
                    <w14:schemeClr w14:val="tx1"/>
                  </w14:solidFill>
                </w14:textFill>
              </w:rPr>
            </w:pPr>
          </w:p>
        </w:tc>
      </w:tr>
    </w:tbl>
    <w:p>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投标人：                   法定代表人（或法定代表人授权代表）或自然人：</w:t>
      </w:r>
    </w:p>
    <w:p>
      <w:pPr>
        <w:spacing w:line="500" w:lineRule="exact"/>
        <w:rPr>
          <w:rFonts w:hint="eastAsia" w:ascii="宋体" w:hAnsi="宋体" w:cs="宋体"/>
          <w:color w:val="000000" w:themeColor="text1"/>
          <w:sz w:val="24"/>
          <w:szCs w:val="28"/>
          <w14:textFill>
            <w14:solidFill>
              <w14:schemeClr w14:val="tx1"/>
            </w14:solidFill>
          </w14:textFill>
        </w:rPr>
      </w:pPr>
    </w:p>
    <w:p>
      <w:pPr>
        <w:spacing w:line="500" w:lineRule="exact"/>
        <w:ind w:firstLine="720" w:firstLineChars="3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（投标人公章）                               （签字或盖章）</w:t>
      </w:r>
    </w:p>
    <w:p>
      <w:pPr>
        <w:tabs>
          <w:tab w:val="left" w:pos="6300"/>
        </w:tabs>
        <w:snapToGrid w:val="0"/>
        <w:spacing w:line="50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bookmarkEnd w:id="172"/>
    <w:p>
      <w:pPr>
        <w:tabs>
          <w:tab w:val="left" w:pos="6300"/>
        </w:tabs>
        <w:snapToGrid w:val="0"/>
        <w:spacing w:line="500" w:lineRule="exact"/>
        <w:rPr>
          <w:rFonts w:hint="eastAsia" w:ascii="宋体" w:hAnsi="宋体" w:cs="宋体"/>
          <w:color w:val="000000" w:themeColor="text1"/>
          <w:sz w:val="24"/>
          <w14:textFill>
            <w14:solidFill>
              <w14:schemeClr w14:val="tx1"/>
            </w14:solidFill>
          </w14:textFill>
        </w:rPr>
      </w:pPr>
      <w:bookmarkStart w:id="173" w:name="_Hlk132128127"/>
    </w:p>
    <w:p>
      <w:pPr>
        <w:tabs>
          <w:tab w:val="left" w:pos="6300"/>
        </w:tabs>
        <w:snapToGrid w:val="0"/>
        <w:spacing w:line="500" w:lineRule="exact"/>
        <w:rPr>
          <w:rFonts w:hint="eastAsia" w:ascii="宋体" w:hAnsi="宋体" w:cs="宋体"/>
          <w:color w:val="000000" w:themeColor="text1"/>
          <w:sz w:val="24"/>
          <w14:textFill>
            <w14:solidFill>
              <w14:schemeClr w14:val="tx1"/>
            </w14:solidFill>
          </w14:textFill>
        </w:rPr>
      </w:pPr>
    </w:p>
    <w:p>
      <w:pPr>
        <w:tabs>
          <w:tab w:val="left" w:pos="6300"/>
        </w:tabs>
        <w:snapToGrid w:val="0"/>
        <w:spacing w:line="500" w:lineRule="exact"/>
        <w:rPr>
          <w:rFonts w:hint="eastAsia" w:ascii="宋体" w:hAnsi="宋体" w:cs="宋体"/>
          <w:color w:val="000000" w:themeColor="text1"/>
          <w:sz w:val="24"/>
          <w14:textFill>
            <w14:solidFill>
              <w14:schemeClr w14:val="tx1"/>
            </w14:solidFill>
          </w14:textFill>
        </w:rPr>
      </w:pPr>
    </w:p>
    <w:p>
      <w:pPr>
        <w:tabs>
          <w:tab w:val="left" w:pos="6300"/>
        </w:tabs>
        <w:spacing w:line="380" w:lineRule="exact"/>
        <w:ind w:firstLine="720" w:firstLineChars="3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宋体" w:hAnsi="宋体" w:cs="宋体"/>
          <w:color w:val="000000" w:themeColor="text1"/>
          <w:sz w:val="24"/>
          <w:szCs w:val="28"/>
          <w14:textFill>
            <w14:solidFill>
              <w14:schemeClr w14:val="tx1"/>
            </w14:solidFill>
          </w14:textFill>
        </w:rPr>
        <w:t>1.本表即为对招标文件“第二篇  项目服务需求”所投分包所列条款进行比较和响应，并逐条如实填写，根据“投标应答”情况在“差异说明”项填写“正偏离”（指投标响应优于招标文件要求）或“负偏离” （指投标响应不满足招标文件要求），完全符合的填写“无差异”。</w:t>
      </w:r>
    </w:p>
    <w:p>
      <w:pPr>
        <w:numPr>
          <w:ilvl w:val="255"/>
          <w:numId w:val="0"/>
        </w:numPr>
        <w:tabs>
          <w:tab w:val="left" w:pos="6300"/>
        </w:tabs>
        <w:spacing w:line="380" w:lineRule="exact"/>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2.招标文件如要求提供相关支撑（证明）材料的，应将材料附在本表后面，并在投标响应处标注出支撑（证明）材料在投标文件中的所在位置（页码）。</w:t>
      </w:r>
    </w:p>
    <w:p>
      <w:pPr>
        <w:numPr>
          <w:ilvl w:val="255"/>
          <w:numId w:val="0"/>
        </w:numPr>
        <w:tabs>
          <w:tab w:val="left" w:pos="6300"/>
        </w:tabs>
        <w:spacing w:line="380" w:lineRule="exact"/>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3.本表可扩展。</w:t>
      </w:r>
      <w:bookmarkEnd w:id="173"/>
    </w:p>
    <w:p>
      <w:pPr>
        <w:tabs>
          <w:tab w:val="left" w:pos="6300"/>
        </w:tabs>
        <w:snapToGrid w:val="0"/>
        <w:spacing w:line="500" w:lineRule="exact"/>
        <w:ind w:firstLine="727" w:firstLineChars="303"/>
        <w:rPr>
          <w:rFonts w:hint="eastAsia" w:ascii="宋体" w:hAnsi="宋体" w:cs="宋体"/>
          <w:color w:val="000000" w:themeColor="text1"/>
          <w:sz w:val="24"/>
          <w:szCs w:val="24"/>
          <w14:textFill>
            <w14:solidFill>
              <w14:schemeClr w14:val="tx1"/>
            </w14:solidFill>
          </w14:textFill>
        </w:rPr>
      </w:pPr>
    </w:p>
    <w:p>
      <w:pPr>
        <w:pageBreakBefore/>
        <w:spacing w:line="500" w:lineRule="exact"/>
        <w:rPr>
          <w:rFonts w:hint="eastAsia" w:ascii="宋体" w:hAnsi="宋体" w:cs="宋体"/>
          <w:color w:val="000000" w:themeColor="text1"/>
          <w14:textFill>
            <w14:solidFill>
              <w14:schemeClr w14:val="tx1"/>
            </w14:solidFill>
          </w14:textFill>
        </w:rPr>
      </w:pPr>
      <w:bookmarkStart w:id="174" w:name="_Toc492721039"/>
      <w:bookmarkStart w:id="175" w:name="_Toc38287886"/>
      <w:bookmarkStart w:id="176" w:name="_Toc493178791"/>
      <w:r>
        <w:rPr>
          <w:rFonts w:hint="eastAsia" w:ascii="宋体" w:hAnsi="宋体" w:cs="宋体"/>
          <w:color w:val="000000" w:themeColor="text1"/>
          <w14:textFill>
            <w14:solidFill>
              <w14:schemeClr w14:val="tx1"/>
            </w14:solidFill>
          </w14:textFill>
        </w:rPr>
        <w:t>三、商务文件</w:t>
      </w:r>
      <w:bookmarkEnd w:id="174"/>
      <w:bookmarkEnd w:id="175"/>
      <w:bookmarkEnd w:id="176"/>
    </w:p>
    <w:p>
      <w:pPr>
        <w:ind w:firstLine="3600" w:firstLineChars="15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（一）投标函（格式）</w:t>
      </w:r>
    </w:p>
    <w:p>
      <w:pPr>
        <w:rPr>
          <w:rFonts w:hint="eastAsia" w:ascii="宋体" w:hAnsi="宋体" w:cs="宋体"/>
          <w:color w:val="000000" w:themeColor="text1"/>
          <w:sz w:val="24"/>
          <w:szCs w:val="24"/>
          <w14:textFill>
            <w14:solidFill>
              <w14:schemeClr w14:val="tx1"/>
            </w14:solidFill>
          </w14:textFill>
        </w:rPr>
      </w:pPr>
    </w:p>
    <w:p>
      <w:pPr>
        <w:rPr>
          <w:rFonts w:hint="eastAsia" w:ascii="宋体" w:hAnsi="宋体" w:cs="宋体"/>
          <w:color w:val="000000" w:themeColor="text1"/>
          <w:sz w:val="24"/>
          <w:szCs w:val="24"/>
          <w14:textFill>
            <w14:solidFill>
              <w14:schemeClr w14:val="tx1"/>
            </w14:solidFill>
          </w14:textFill>
        </w:rPr>
      </w:pPr>
      <w:bookmarkStart w:id="177" w:name="_Hlk132128142"/>
      <w:r>
        <w:rPr>
          <w:rFonts w:hint="eastAsia" w:ascii="宋体" w:hAnsi="宋体" w:cs="宋体"/>
          <w:color w:val="000000" w:themeColor="text1"/>
          <w:sz w:val="24"/>
          <w:szCs w:val="24"/>
          <w14:textFill>
            <w14:solidFill>
              <w14:schemeClr w14:val="tx1"/>
            </w14:solidFill>
          </w14:textFill>
        </w:rPr>
        <w:t xml:space="preserve">招标项目名称：                                             </w:t>
      </w:r>
    </w:p>
    <w:p>
      <w:pPr>
        <w:rPr>
          <w:rFonts w:hint="eastAsia" w:ascii="宋体" w:hAnsi="宋体" w:cs="宋体"/>
          <w:color w:val="000000" w:themeColor="text1"/>
          <w:sz w:val="24"/>
          <w:szCs w:val="24"/>
          <w14:textFill>
            <w14:solidFill>
              <w14:schemeClr w14:val="tx1"/>
            </w14:solidFill>
          </w14:textFill>
        </w:rPr>
      </w:pPr>
    </w:p>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致：重庆江峰建设工程咨询有限公司</w:t>
      </w:r>
    </w:p>
    <w:p>
      <w:pPr>
        <w:rPr>
          <w:rFonts w:hint="eastAsia" w:ascii="宋体" w:hAnsi="宋体" w:cs="宋体"/>
          <w:color w:val="000000" w:themeColor="text1"/>
          <w:sz w:val="24"/>
          <w:szCs w:val="24"/>
          <w14:textFill>
            <w14:solidFill>
              <w14:schemeClr w14:val="tx1"/>
            </w14:solidFill>
          </w14:textFill>
        </w:rPr>
      </w:pPr>
    </w:p>
    <w:p>
      <w:pPr>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投标人名称）系中华人民共和国合法企业，注册地址：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。我方就参加本次投标有关事项郑重声明如下：</w:t>
      </w:r>
    </w:p>
    <w:p>
      <w:pPr>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一、我方完全理解并接受该项目招标文件所有要求。</w:t>
      </w:r>
    </w:p>
    <w:p>
      <w:pPr>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二、我方提交的所有投标文件、资料都是准确和真实的，如有虚假或隐瞒，我方愿意承担一切法律责任。</w:t>
      </w:r>
    </w:p>
    <w:p>
      <w:pPr>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三、我方承诺按照招标文件要求，提供招标项目的技术服务。</w:t>
      </w:r>
    </w:p>
    <w:p>
      <w:pPr>
        <w:tabs>
          <w:tab w:val="left" w:pos="6300"/>
        </w:tabs>
        <w:snapToGrid w:val="0"/>
        <w:spacing w:line="380" w:lineRule="exact"/>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四、我方按招标文件要求提交的投标文件为：</w:t>
      </w:r>
      <w:r>
        <w:rPr>
          <w:rFonts w:hint="eastAsia" w:ascii="宋体" w:hAnsi="宋体" w:cs="宋体"/>
          <w:color w:val="000000" w:themeColor="text1"/>
          <w:sz w:val="24"/>
          <w:szCs w:val="28"/>
          <w14:textFill>
            <w14:solidFill>
              <w14:schemeClr w14:val="tx1"/>
            </w14:solidFill>
          </w14:textFill>
        </w:rPr>
        <w:t>投标文件正本</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份，副本</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份，电子档</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份。</w:t>
      </w:r>
    </w:p>
    <w:p>
      <w:pPr>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五、我方承诺：本次投标的投标有效期为投标截止日期起90天。</w:t>
      </w:r>
    </w:p>
    <w:p>
      <w:pPr>
        <w:tabs>
          <w:tab w:val="left" w:pos="6300"/>
        </w:tabs>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六、我方投标报价上浮率为闭口价。即在投标有效期和合同有效期内，该报价固定不变。</w:t>
      </w:r>
    </w:p>
    <w:p>
      <w:pPr>
        <w:tabs>
          <w:tab w:val="left" w:pos="6300"/>
        </w:tabs>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七、如果我方中标，我方将履行招标文件中规定的各项要求以及我方投标文件的各项承诺，按《政府采购法》、《民法典》及合同约定条款承担我方责任。</w:t>
      </w:r>
    </w:p>
    <w:p>
      <w:pPr>
        <w:tabs>
          <w:tab w:val="left" w:pos="6300"/>
        </w:tabs>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八、我方未为采购项目提供整体设计、规范编制或者项目管理、监理、检测等服务。</w:t>
      </w:r>
    </w:p>
    <w:p>
      <w:pPr>
        <w:tabs>
          <w:tab w:val="left" w:pos="6300"/>
        </w:tabs>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九、我方理解，最低报价不是中标的唯一条件。</w:t>
      </w:r>
    </w:p>
    <w:p>
      <w:pPr>
        <w:tabs>
          <w:tab w:val="left" w:pos="6300"/>
        </w:tabs>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十、我方同意按有关规定及招标文件要求，交纳足额投标保证金。</w:t>
      </w:r>
    </w:p>
    <w:p>
      <w:pPr>
        <w:tabs>
          <w:tab w:val="left" w:pos="6300"/>
        </w:tabs>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十一、若我方中标，愿意按有关规定及招标文件要求缴纳招标代理服务费。</w:t>
      </w:r>
    </w:p>
    <w:p>
      <w:pPr>
        <w:tabs>
          <w:tab w:val="left" w:pos="6300"/>
        </w:tabs>
        <w:snapToGrid w:val="0"/>
        <w:spacing w:line="380" w:lineRule="exact"/>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80" w:lineRule="exact"/>
        <w:ind w:firstLine="5460" w:firstLineChars="2275"/>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（投标人公章或自然人签署）</w:t>
      </w:r>
    </w:p>
    <w:p>
      <w:pPr>
        <w:tabs>
          <w:tab w:val="left" w:pos="6300"/>
        </w:tabs>
        <w:snapToGrid w:val="0"/>
        <w:spacing w:line="380" w:lineRule="exact"/>
        <w:ind w:firstLine="570"/>
        <w:rPr>
          <w:rFonts w:hint="eastAsia" w:ascii="宋体" w:hAnsi="宋体" w:cs="宋体"/>
          <w:color w:val="000000" w:themeColor="text1"/>
          <w:sz w:val="24"/>
          <w:szCs w:val="28"/>
          <w14:textFill>
            <w14:solidFill>
              <w14:schemeClr w14:val="tx1"/>
            </w14:solidFill>
          </w14:textFill>
        </w:rPr>
      </w:pPr>
    </w:p>
    <w:p>
      <w:pPr>
        <w:tabs>
          <w:tab w:val="left" w:pos="6300"/>
        </w:tabs>
        <w:snapToGrid w:val="0"/>
        <w:spacing w:line="380" w:lineRule="exact"/>
        <w:ind w:firstLine="5760" w:firstLineChars="24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年    月   日</w:t>
      </w:r>
    </w:p>
    <w:p>
      <w:pPr>
        <w:tabs>
          <w:tab w:val="left" w:pos="6300"/>
        </w:tabs>
        <w:snapToGrid w:val="0"/>
        <w:spacing w:line="380" w:lineRule="exact"/>
        <w:rPr>
          <w:rFonts w:hint="eastAsia" w:ascii="宋体" w:hAnsi="宋体" w:cs="宋体"/>
          <w:color w:val="000000" w:themeColor="text1"/>
          <w:sz w:val="24"/>
          <w:szCs w:val="28"/>
          <w14:textFill>
            <w14:solidFill>
              <w14:schemeClr w14:val="tx1"/>
            </w14:solidFill>
          </w14:textFill>
        </w:rPr>
      </w:pPr>
    </w:p>
    <w:p>
      <w:pPr>
        <w:tabs>
          <w:tab w:val="left" w:pos="6300"/>
        </w:tabs>
        <w:snapToGrid w:val="0"/>
        <w:spacing w:line="380" w:lineRule="exact"/>
        <w:rPr>
          <w:rFonts w:hint="eastAsia" w:ascii="宋体" w:hAnsi="宋体" w:cs="宋体"/>
          <w:color w:val="000000" w:themeColor="text1"/>
          <w:sz w:val="24"/>
          <w:szCs w:val="28"/>
          <w14:textFill>
            <w14:solidFill>
              <w14:schemeClr w14:val="tx1"/>
            </w14:solidFill>
          </w14:textFill>
        </w:rPr>
      </w:pPr>
    </w:p>
    <w:p>
      <w:pPr>
        <w:tabs>
          <w:tab w:val="left" w:pos="6300"/>
        </w:tabs>
        <w:snapToGrid w:val="0"/>
        <w:spacing w:line="380" w:lineRule="exact"/>
        <w:rPr>
          <w:rFonts w:hint="eastAsia" w:ascii="宋体" w:hAnsi="宋体" w:cs="宋体"/>
          <w:color w:val="000000" w:themeColor="text1"/>
          <w:sz w:val="24"/>
          <w:szCs w:val="28"/>
          <w14:textFill>
            <w14:solidFill>
              <w14:schemeClr w14:val="tx1"/>
            </w14:solidFill>
          </w14:textFill>
        </w:rPr>
      </w:pPr>
    </w:p>
    <w:p>
      <w:pPr>
        <w:snapToGrid w:val="0"/>
        <w:spacing w:line="312" w:lineRule="auto"/>
        <w:ind w:firstLine="480" w:firstLineChars="200"/>
        <w:rPr>
          <w:rFonts w:hint="eastAsia" w:ascii="宋体" w:hAnsi="宋体" w:cs="宋体"/>
          <w:color w:val="000000" w:themeColor="text1"/>
          <w:sz w:val="24"/>
          <w14:textFill>
            <w14:solidFill>
              <w14:schemeClr w14:val="tx1"/>
            </w14:solidFill>
          </w14:textFill>
        </w:rPr>
      </w:pPr>
    </w:p>
    <w:p>
      <w:pPr>
        <w:snapToGrid w:val="0"/>
        <w:spacing w:line="312" w:lineRule="auto"/>
        <w:ind w:firstLine="480" w:firstLineChars="200"/>
        <w:rPr>
          <w:rFonts w:hint="eastAsia" w:ascii="宋体" w:hAnsi="宋体" w:cs="宋体"/>
          <w:color w:val="000000" w:themeColor="text1"/>
          <w:sz w:val="24"/>
          <w14:textFill>
            <w14:solidFill>
              <w14:schemeClr w14:val="tx1"/>
            </w14:solidFill>
          </w14:textFill>
        </w:rPr>
      </w:pPr>
    </w:p>
    <w:p>
      <w:pPr>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注：括号内容为填写内容提示，投标人填写后可删除。</w:t>
      </w:r>
    </w:p>
    <w:bookmarkEnd w:id="177"/>
    <w:p>
      <w:pPr>
        <w:tabs>
          <w:tab w:val="left" w:pos="6300"/>
        </w:tabs>
        <w:snapToGrid w:val="0"/>
        <w:spacing w:line="380" w:lineRule="exact"/>
        <w:rPr>
          <w:rFonts w:hint="eastAsia" w:ascii="宋体" w:hAnsi="宋体" w:cs="宋体"/>
          <w:color w:val="000000" w:themeColor="text1"/>
          <w:sz w:val="24"/>
          <w:szCs w:val="28"/>
          <w14:textFill>
            <w14:solidFill>
              <w14:schemeClr w14:val="tx1"/>
            </w14:solidFill>
          </w14:textFill>
        </w:rPr>
      </w:pPr>
    </w:p>
    <w:p>
      <w:pPr>
        <w:tabs>
          <w:tab w:val="left" w:pos="6300"/>
        </w:tabs>
        <w:snapToGrid w:val="0"/>
        <w:spacing w:line="380" w:lineRule="exact"/>
        <w:rPr>
          <w:rFonts w:hint="eastAsia" w:ascii="宋体" w:hAnsi="宋体" w:cs="宋体"/>
          <w:color w:val="000000" w:themeColor="text1"/>
          <w:sz w:val="24"/>
          <w:szCs w:val="28"/>
          <w14:textFill>
            <w14:solidFill>
              <w14:schemeClr w14:val="tx1"/>
            </w14:solidFill>
          </w14:textFill>
        </w:rPr>
      </w:pPr>
    </w:p>
    <w:p>
      <w:pPr>
        <w:tabs>
          <w:tab w:val="left" w:pos="6300"/>
        </w:tabs>
        <w:snapToGrid w:val="0"/>
        <w:spacing w:line="380" w:lineRule="exact"/>
        <w:rPr>
          <w:rFonts w:hint="eastAsia" w:ascii="宋体" w:hAnsi="宋体" w:cs="宋体"/>
          <w:color w:val="000000" w:themeColor="text1"/>
          <w:sz w:val="24"/>
          <w:szCs w:val="28"/>
          <w14:textFill>
            <w14:solidFill>
              <w14:schemeClr w14:val="tx1"/>
            </w14:solidFill>
          </w14:textFill>
        </w:rPr>
      </w:pPr>
    </w:p>
    <w:p>
      <w:pPr>
        <w:snapToGrid w:val="0"/>
        <w:spacing w:before="120" w:beforeLines="50" w:line="380" w:lineRule="exact"/>
        <w:jc w:val="center"/>
        <w:rPr>
          <w:rFonts w:hint="eastAsia" w:ascii="宋体" w:hAnsi="宋体" w:cs="宋体"/>
          <w:color w:val="000000" w:themeColor="text1"/>
          <w:szCs w:val="28"/>
          <w14:textFill>
            <w14:solidFill>
              <w14:schemeClr w14:val="tx1"/>
            </w14:solidFill>
          </w14:textFill>
        </w:rPr>
      </w:pPr>
      <w:r>
        <w:rPr>
          <w:rFonts w:hint="eastAsia" w:ascii="宋体" w:hAnsi="宋体" w:cs="宋体"/>
          <w:color w:val="000000" w:themeColor="text1"/>
          <w:szCs w:val="44"/>
          <w14:textFill>
            <w14:solidFill>
              <w14:schemeClr w14:val="tx1"/>
            </w14:solidFill>
          </w14:textFill>
        </w:rPr>
        <w:br w:type="page"/>
      </w:r>
      <w:r>
        <w:rPr>
          <w:rFonts w:hint="eastAsia" w:ascii="宋体" w:hAnsi="宋体" w:cs="宋体"/>
          <w:color w:val="000000" w:themeColor="text1"/>
          <w:szCs w:val="28"/>
          <w14:textFill>
            <w14:solidFill>
              <w14:schemeClr w14:val="tx1"/>
            </w14:solidFill>
          </w14:textFill>
        </w:rPr>
        <w:t>（二）商务条款差异表</w:t>
      </w:r>
    </w:p>
    <w:p>
      <w:pPr>
        <w:spacing w:line="380" w:lineRule="exact"/>
        <w:ind w:firstLine="960" w:firstLineChars="400"/>
        <w:rPr>
          <w:rFonts w:hint="eastAsia" w:ascii="宋体" w:hAnsi="宋体" w:cs="宋体"/>
          <w:color w:val="000000" w:themeColor="text1"/>
          <w:sz w:val="24"/>
          <w:szCs w:val="28"/>
          <w14:textFill>
            <w14:solidFill>
              <w14:schemeClr w14:val="tx1"/>
            </w14:solidFill>
          </w14:textFill>
        </w:rPr>
      </w:pPr>
    </w:p>
    <w:p>
      <w:pPr>
        <w:spacing w:line="380" w:lineRule="exact"/>
        <w:ind w:firstLine="960" w:firstLineChars="400"/>
        <w:rPr>
          <w:rFonts w:hint="eastAsia" w:ascii="宋体" w:hAnsi="宋体" w:cs="宋体"/>
          <w:color w:val="000000" w:themeColor="text1"/>
          <w:sz w:val="24"/>
          <w:szCs w:val="28"/>
          <w14:textFill>
            <w14:solidFill>
              <w14:schemeClr w14:val="tx1"/>
            </w14:solidFill>
          </w14:textFill>
        </w:rPr>
      </w:pPr>
      <w:bookmarkStart w:id="178" w:name="_Hlk132128159"/>
      <w:r>
        <w:rPr>
          <w:rFonts w:hint="eastAsia" w:ascii="宋体" w:hAnsi="宋体" w:cs="宋体"/>
          <w:color w:val="000000" w:themeColor="text1"/>
          <w:sz w:val="24"/>
          <w:szCs w:val="28"/>
          <w14:textFill>
            <w14:solidFill>
              <w14:schemeClr w14:val="tx1"/>
            </w14:solidFill>
          </w14:textFill>
        </w:rPr>
        <w:t>招标项目名称：</w:t>
      </w:r>
    </w:p>
    <w:tbl>
      <w:tblPr>
        <w:tblStyle w:val="23"/>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3211"/>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428"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招标商务需求</w:t>
            </w:r>
          </w:p>
        </w:tc>
        <w:tc>
          <w:tcPr>
            <w:tcW w:w="3211"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投标商务应答</w:t>
            </w:r>
          </w:p>
        </w:tc>
        <w:tc>
          <w:tcPr>
            <w:tcW w:w="1894"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211" w:type="dxa"/>
            <w:vAlign w:val="center"/>
          </w:tcPr>
          <w:p>
            <w:pPr>
              <w:tabs>
                <w:tab w:val="left" w:pos="6300"/>
              </w:tabs>
              <w:snapToGrid w:val="0"/>
              <w:spacing w:line="380" w:lineRule="exact"/>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提醒：投标人应写明具体内容，若要求提供支撑（证明）材料的，投标人应在投标商务应答处标注出支撑（证明）该具体内容的支撑（证明）材料在投标文件中的</w:t>
            </w:r>
          </w:p>
          <w:p>
            <w:pPr>
              <w:tabs>
                <w:tab w:val="left" w:pos="6300"/>
              </w:tabs>
              <w:snapToGrid w:val="0"/>
              <w:spacing w:line="380" w:lineRule="exact"/>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所在位置（页码）。</w:t>
            </w:r>
          </w:p>
        </w:tc>
        <w:tc>
          <w:tcPr>
            <w:tcW w:w="1894"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211"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1894"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211"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1894"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211"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1894"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211"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1894"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211"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1894"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211"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1894"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211"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1894"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3211"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c>
          <w:tcPr>
            <w:tcW w:w="1894" w:type="dxa"/>
            <w:vAlign w:val="center"/>
          </w:tcPr>
          <w:p>
            <w:pPr>
              <w:tabs>
                <w:tab w:val="left" w:pos="6300"/>
              </w:tabs>
              <w:snapToGrid w:val="0"/>
              <w:spacing w:line="380" w:lineRule="exact"/>
              <w:jc w:val="center"/>
              <w:outlineLvl w:val="0"/>
              <w:rPr>
                <w:rFonts w:hint="eastAsia" w:ascii="宋体" w:hAnsi="宋体" w:cs="宋体"/>
                <w:color w:val="000000" w:themeColor="text1"/>
                <w:sz w:val="21"/>
                <w:szCs w:val="21"/>
                <w14:textFill>
                  <w14:solidFill>
                    <w14:schemeClr w14:val="tx1"/>
                  </w14:solidFill>
                </w14:textFill>
              </w:rPr>
            </w:pPr>
          </w:p>
        </w:tc>
      </w:tr>
    </w:tbl>
    <w:p>
      <w:pPr>
        <w:spacing w:line="380" w:lineRule="exact"/>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投标人：                 法定代表人（或法定代表人授权代表）或自然人：</w:t>
      </w:r>
    </w:p>
    <w:p>
      <w:pPr>
        <w:spacing w:line="380" w:lineRule="exact"/>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（投标人公章）                               （签字或盖章）</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宋体" w:hAnsi="宋体" w:cs="宋体"/>
          <w:color w:val="000000" w:themeColor="text1"/>
          <w:sz w:val="24"/>
          <w:szCs w:val="28"/>
          <w14:textFill>
            <w14:solidFill>
              <w14:schemeClr w14:val="tx1"/>
            </w14:solidFill>
          </w14:textFill>
        </w:rPr>
        <w:t>1.本表即为对招标文件“第三篇 项目商务需求”所投分包所列条款进行进行比较和响应，并逐条如实填定，根据“投标商务应答”情况在“差异说明”项填写“正偏离”（指投标响应优于招标文件要求）或“负偏离” （指投标响应不满足招标文件要求），完全符合的填写“无偏离”。</w:t>
      </w:r>
    </w:p>
    <w:p>
      <w:pPr>
        <w:tabs>
          <w:tab w:val="left" w:pos="6300"/>
        </w:tabs>
        <w:spacing w:line="380" w:lineRule="exact"/>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2.招标文件如要求提供相关支撑（证明）材料的，应将材料附在本表后面，并在投标响应处标注出支撑（证明）材料在投标文件中的所在位置（页码）。</w:t>
      </w:r>
    </w:p>
    <w:p>
      <w:pPr>
        <w:tabs>
          <w:tab w:val="left" w:pos="6300"/>
        </w:tabs>
        <w:spacing w:line="380" w:lineRule="exact"/>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3.本表可扩展。</w:t>
      </w:r>
    </w:p>
    <w:p>
      <w:pPr>
        <w:spacing w:line="380" w:lineRule="exact"/>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br w:type="page"/>
      </w:r>
      <w:bookmarkEnd w:id="178"/>
    </w:p>
    <w:p>
      <w:pPr>
        <w:pageBreakBefore/>
        <w:spacing w:line="500" w:lineRule="exact"/>
        <w:rPr>
          <w:rFonts w:hint="eastAsia" w:ascii="宋体" w:hAnsi="宋体" w:cs="宋体"/>
          <w:color w:val="000000" w:themeColor="text1"/>
          <w:sz w:val="24"/>
          <w:szCs w:val="24"/>
          <w14:textFill>
            <w14:solidFill>
              <w14:schemeClr w14:val="tx1"/>
            </w14:solidFill>
          </w14:textFill>
        </w:rPr>
      </w:pPr>
      <w:bookmarkStart w:id="179" w:name="_Toc493178792"/>
      <w:bookmarkStart w:id="180" w:name="_Toc38287887"/>
      <w:bookmarkStart w:id="181" w:name="_Toc492721041"/>
      <w:r>
        <w:rPr>
          <w:rFonts w:hint="eastAsia" w:ascii="宋体" w:hAnsi="宋体" w:cs="宋体"/>
          <w:color w:val="000000" w:themeColor="text1"/>
          <w:sz w:val="24"/>
          <w:szCs w:val="24"/>
          <w14:textFill>
            <w14:solidFill>
              <w14:schemeClr w14:val="tx1"/>
            </w14:solidFill>
          </w14:textFill>
        </w:rPr>
        <w:t>四、其他</w:t>
      </w:r>
      <w:bookmarkEnd w:id="179"/>
      <w:bookmarkEnd w:id="180"/>
      <w:bookmarkEnd w:id="181"/>
      <w:r>
        <w:rPr>
          <w:rFonts w:hint="eastAsia" w:ascii="宋体" w:hAnsi="宋体" w:cs="宋体"/>
          <w:color w:val="000000" w:themeColor="text1"/>
          <w:sz w:val="24"/>
          <w:szCs w:val="24"/>
          <w14:textFill>
            <w14:solidFill>
              <w14:schemeClr w14:val="tx1"/>
            </w14:solidFill>
          </w14:textFill>
        </w:rPr>
        <w:t>（如果有）</w:t>
      </w:r>
    </w:p>
    <w:p>
      <w:pPr>
        <w:tabs>
          <w:tab w:val="left" w:pos="6300"/>
        </w:tabs>
        <w:snapToGrid w:val="0"/>
        <w:spacing w:line="380" w:lineRule="exact"/>
        <w:ind w:firstLine="570"/>
        <w:jc w:val="left"/>
        <w:rPr>
          <w:rFonts w:hint="eastAsia" w:ascii="宋体" w:hAnsi="宋体" w:cs="宋体"/>
          <w:color w:val="000000" w:themeColor="text1"/>
          <w14:textFill>
            <w14:solidFill>
              <w14:schemeClr w14:val="tx1"/>
            </w14:solidFill>
          </w14:textFill>
        </w:rPr>
      </w:pPr>
      <w:bookmarkStart w:id="182" w:name="_Toc492721038"/>
      <w:bookmarkStart w:id="183" w:name="_Toc38287888"/>
      <w:bookmarkStart w:id="184" w:name="_Toc493178793"/>
      <w:r>
        <w:rPr>
          <w:rFonts w:hint="eastAsia" w:ascii="宋体" w:hAnsi="宋体" w:cs="宋体"/>
          <w:color w:val="000000" w:themeColor="text1"/>
          <w:sz w:val="24"/>
          <w:szCs w:val="24"/>
          <w14:textFill>
            <w14:solidFill>
              <w14:schemeClr w14:val="tx1"/>
            </w14:solidFill>
          </w14:textFill>
        </w:rPr>
        <w:t>（一）</w:t>
      </w:r>
      <w:r>
        <w:rPr>
          <w:rFonts w:hint="eastAsia" w:ascii="宋体" w:hAnsi="宋体" w:cs="宋体"/>
          <w:color w:val="000000" w:themeColor="text1"/>
          <w14:textFill>
            <w14:solidFill>
              <w14:schemeClr w14:val="tx1"/>
            </w14:solidFill>
          </w14:textFill>
        </w:rPr>
        <w:t>其他与项目有关的资料（自附）</w:t>
      </w: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rPr>
          <w:rFonts w:hint="eastAsia" w:ascii="宋体" w:hAnsi="宋体" w:cs="宋体"/>
          <w:color w:val="000000" w:themeColor="text1"/>
          <w:szCs w:val="28"/>
          <w14:textFill>
            <w14:solidFill>
              <w14:schemeClr w14:val="tx1"/>
            </w14:solidFill>
          </w14:textFill>
        </w:rPr>
      </w:pPr>
    </w:p>
    <w:p>
      <w:pPr>
        <w:rPr>
          <w:rFonts w:hint="eastAsia" w:ascii="宋体" w:hAnsi="宋体" w:cs="宋体"/>
          <w:color w:val="000000" w:themeColor="text1"/>
          <w:szCs w:val="28"/>
          <w14:textFill>
            <w14:solidFill>
              <w14:schemeClr w14:val="tx1"/>
            </w14:solidFill>
          </w14:textFill>
        </w:rPr>
      </w:pPr>
    </w:p>
    <w:p>
      <w:pPr>
        <w:rPr>
          <w:rFonts w:hint="eastAsia" w:ascii="宋体" w:hAnsi="宋体" w:cs="宋体"/>
          <w:color w:val="000000" w:themeColor="text1"/>
          <w:szCs w:val="28"/>
          <w14:textFill>
            <w14:solidFill>
              <w14:schemeClr w14:val="tx1"/>
            </w14:solidFill>
          </w14:textFill>
        </w:rPr>
      </w:pPr>
    </w:p>
    <w:p>
      <w:pPr>
        <w:pStyle w:val="4"/>
        <w:spacing w:line="380" w:lineRule="exact"/>
        <w:rPr>
          <w:rFonts w:hint="eastAsia" w:cs="宋体"/>
          <w:color w:val="000000" w:themeColor="text1"/>
          <w:szCs w:val="28"/>
          <w14:textFill>
            <w14:solidFill>
              <w14:schemeClr w14:val="tx1"/>
            </w14:solidFill>
          </w14:textFill>
        </w:rPr>
      </w:pPr>
    </w:p>
    <w:p>
      <w:pPr>
        <w:numPr>
          <w:ilvl w:val="0"/>
          <w:numId w:val="3"/>
        </w:numPr>
        <w:spacing w:line="50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资格文件</w:t>
      </w:r>
      <w:bookmarkEnd w:id="182"/>
      <w:bookmarkEnd w:id="183"/>
      <w:bookmarkEnd w:id="184"/>
    </w:p>
    <w:p>
      <w:pPr>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（一）法人营业执照（副本）或事业单位法人证书（副本）或个体工商户营业执照或有效的自然人身份证明或社会团体法人登记证书复印件 </w:t>
      </w: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widowControl/>
        <w:spacing w:line="380" w:lineRule="exact"/>
        <w:ind w:firstLine="56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（二）法定代表人身份证明书（格式）</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bookmarkStart w:id="185" w:name="_Hlk132128196"/>
      <w:r>
        <w:rPr>
          <w:rFonts w:hint="eastAsia" w:ascii="宋体" w:hAnsi="宋体" w:cs="宋体"/>
          <w:color w:val="000000" w:themeColor="text1"/>
          <w:sz w:val="24"/>
          <w14:textFill>
            <w14:solidFill>
              <w14:schemeClr w14:val="tx1"/>
            </w14:solidFill>
          </w14:textFill>
        </w:rPr>
        <w:t>招标项目名称：</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szCs w:val="24"/>
          <w14:textFill>
            <w14:solidFill>
              <w14:schemeClr w14:val="tx1"/>
            </w14:solidFill>
          </w14:textFill>
        </w:rPr>
        <w:t>重庆江峰建设工程咨询有限公司</w:t>
      </w:r>
      <w:r>
        <w:rPr>
          <w:rFonts w:hint="eastAsia" w:ascii="宋体" w:hAnsi="宋体" w:cs="宋体"/>
          <w:color w:val="000000" w:themeColor="text1"/>
          <w:sz w:val="24"/>
          <w14:textFill>
            <w14:solidFill>
              <w14:schemeClr w14:val="tx1"/>
            </w14:solidFill>
          </w14:textFill>
        </w:rPr>
        <w:t>：</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（法定代表人姓名）在 （投标人名称）任（职务名称 ）职务，是（投标人名称） 的法定代表人。</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投标人：</w:t>
      </w:r>
    </w:p>
    <w:p>
      <w:pPr>
        <w:tabs>
          <w:tab w:val="left" w:pos="6300"/>
        </w:tabs>
        <w:snapToGrid w:val="0"/>
        <w:spacing w:line="380" w:lineRule="exact"/>
        <w:ind w:firstLine="5848" w:firstLineChars="2437"/>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（投标人公章）</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（附：法定代表人身份证正反面复印件）</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注：括号内容为填写内容提示，投标人填写后可删除。</w:t>
      </w:r>
      <w:bookmarkEnd w:id="185"/>
      <w:r>
        <w:rPr>
          <w:rFonts w:hint="eastAsia" w:ascii="宋体" w:hAnsi="宋体" w:cs="宋体"/>
          <w:color w:val="000000" w:themeColor="text1"/>
          <w:sz w:val="24"/>
          <w14:textFill>
            <w14:solidFill>
              <w14:schemeClr w14:val="tx1"/>
            </w14:solidFill>
          </w14:textFill>
        </w:rPr>
        <w:br w:type="column"/>
      </w:r>
      <w:r>
        <w:rPr>
          <w:rFonts w:hint="eastAsia" w:ascii="宋体" w:hAnsi="宋体" w:cs="宋体"/>
          <w:color w:val="000000" w:themeColor="text1"/>
          <w14:textFill>
            <w14:solidFill>
              <w14:schemeClr w14:val="tx1"/>
            </w14:solidFill>
          </w14:textFill>
        </w:rPr>
        <w:t>（三）法定代表人授权委托书（格式）</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480" w:firstLineChars="200"/>
        <w:rPr>
          <w:rFonts w:hint="eastAsia" w:ascii="宋体" w:hAnsi="宋体" w:cs="宋体"/>
          <w:color w:val="000000" w:themeColor="text1"/>
          <w:sz w:val="24"/>
          <w14:textFill>
            <w14:solidFill>
              <w14:schemeClr w14:val="tx1"/>
            </w14:solidFill>
          </w14:textFill>
        </w:rPr>
      </w:pPr>
      <w:bookmarkStart w:id="186" w:name="_Hlk132128206"/>
      <w:r>
        <w:rPr>
          <w:rFonts w:hint="eastAsia" w:ascii="宋体" w:hAnsi="宋体" w:cs="宋体"/>
          <w:color w:val="000000" w:themeColor="text1"/>
          <w:sz w:val="24"/>
          <w:szCs w:val="28"/>
          <w14:textFill>
            <w14:solidFill>
              <w14:schemeClr w14:val="tx1"/>
            </w14:solidFill>
          </w14:textFill>
        </w:rPr>
        <w:t>招标项目名称</w:t>
      </w:r>
      <w:r>
        <w:rPr>
          <w:rFonts w:hint="eastAsia" w:ascii="宋体" w:hAnsi="宋体" w:cs="宋体"/>
          <w:color w:val="000000" w:themeColor="text1"/>
          <w:sz w:val="24"/>
          <w14:textFill>
            <w14:solidFill>
              <w14:schemeClr w14:val="tx1"/>
            </w14:solidFill>
          </w14:textFill>
        </w:rPr>
        <w:t>：</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szCs w:val="24"/>
          <w14:textFill>
            <w14:solidFill>
              <w14:schemeClr w14:val="tx1"/>
            </w14:solidFill>
          </w14:textFill>
        </w:rPr>
        <w:t>重庆江峰建设工程咨询有限公司</w:t>
      </w:r>
      <w:r>
        <w:rPr>
          <w:rFonts w:hint="eastAsia" w:ascii="宋体" w:hAnsi="宋体" w:cs="宋体"/>
          <w:color w:val="000000" w:themeColor="text1"/>
          <w:sz w:val="24"/>
          <w14:textFill>
            <w14:solidFill>
              <w14:schemeClr w14:val="tx1"/>
            </w14:solidFill>
          </w14:textFill>
        </w:rPr>
        <w:t>：</w:t>
      </w:r>
    </w:p>
    <w:p>
      <w:pPr>
        <w:tabs>
          <w:tab w:val="left" w:pos="6300"/>
        </w:tabs>
        <w:snapToGrid w:val="0"/>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我单位对被授权人的签字负全部责任。</w:t>
      </w:r>
    </w:p>
    <w:p>
      <w:pPr>
        <w:tabs>
          <w:tab w:val="left" w:pos="6300"/>
        </w:tabs>
        <w:snapToGrid w:val="0"/>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                                 投标人法定代表人：</w:t>
      </w:r>
    </w:p>
    <w:p>
      <w:pPr>
        <w:tabs>
          <w:tab w:val="left" w:pos="6300"/>
        </w:tabs>
        <w:snapToGrid w:val="0"/>
        <w:spacing w:line="380" w:lineRule="exact"/>
        <w:ind w:firstLine="57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（签字或盖章）                                （签字或盖章）</w:t>
      </w:r>
    </w:p>
    <w:p>
      <w:pPr>
        <w:tabs>
          <w:tab w:val="left" w:pos="6300"/>
        </w:tabs>
        <w:snapToGrid w:val="0"/>
        <w:spacing w:line="380" w:lineRule="exact"/>
        <w:ind w:firstLine="570"/>
        <w:rPr>
          <w:rFonts w:hint="eastAsia" w:ascii="宋体" w:hAnsi="宋体" w:cs="宋体"/>
          <w:color w:val="000000" w:themeColor="text1"/>
          <w:sz w:val="24"/>
          <w:szCs w:val="28"/>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（附：被授权人身份证正反面复印件）</w:t>
      </w: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right="480" w:firstLine="57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（投标人公章）</w:t>
      </w:r>
    </w:p>
    <w:p>
      <w:pPr>
        <w:tabs>
          <w:tab w:val="left" w:pos="6300"/>
        </w:tabs>
        <w:snapToGrid w:val="0"/>
        <w:spacing w:line="380" w:lineRule="exact"/>
        <w:ind w:right="480" w:firstLine="57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tabs>
          <w:tab w:val="left" w:pos="6300"/>
        </w:tabs>
        <w:snapToGrid w:val="0"/>
        <w:spacing w:line="380" w:lineRule="exact"/>
        <w:ind w:right="720" w:firstLine="570"/>
        <w:jc w:val="right"/>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right="480" w:firstLine="57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注：1.若为法定代表人办理并签署投标文件的，不提供此文件。</w:t>
      </w:r>
    </w:p>
    <w:p>
      <w:pPr>
        <w:tabs>
          <w:tab w:val="left" w:pos="6300"/>
        </w:tabs>
        <w:snapToGrid w:val="0"/>
        <w:spacing w:line="380" w:lineRule="exact"/>
        <w:ind w:right="480" w:firstLine="960" w:firstLineChars="4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2.括号内容为填写内容提示，投标人填写后可删除。</w:t>
      </w:r>
      <w:bookmarkEnd w:id="186"/>
    </w:p>
    <w:p>
      <w:pPr>
        <w:tabs>
          <w:tab w:val="left" w:pos="6300"/>
        </w:tabs>
        <w:snapToGrid w:val="0"/>
        <w:spacing w:line="380" w:lineRule="exact"/>
        <w:ind w:right="480" w:firstLine="570"/>
        <w:jc w:val="left"/>
        <w:rPr>
          <w:rFonts w:hint="eastAsia" w:ascii="宋体" w:hAnsi="宋体" w:cs="宋体"/>
          <w:color w:val="000000" w:themeColor="text1"/>
          <w:sz w:val="24"/>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tabs>
          <w:tab w:val="left" w:pos="6300"/>
        </w:tabs>
        <w:snapToGrid w:val="0"/>
        <w:spacing w:line="380" w:lineRule="exact"/>
        <w:ind w:firstLine="570"/>
        <w:rPr>
          <w:rFonts w:hint="eastAsia" w:ascii="宋体" w:hAnsi="宋体" w:cs="宋体"/>
          <w:color w:val="000000" w:themeColor="text1"/>
          <w14:textFill>
            <w14:solidFill>
              <w14:schemeClr w14:val="tx1"/>
            </w14:solidFill>
          </w14:textFill>
        </w:rPr>
      </w:pP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（四）基本资格条件承诺函</w:t>
      </w:r>
    </w:p>
    <w:p>
      <w:pPr>
        <w:tabs>
          <w:tab w:val="left" w:pos="6300"/>
        </w:tabs>
        <w:snapToGrid w:val="0"/>
        <w:spacing w:line="530" w:lineRule="exact"/>
        <w:jc w:val="center"/>
        <w:rPr>
          <w:rFonts w:hint="eastAsia" w:ascii="宋体" w:hAnsi="宋体" w:cs="宋体"/>
          <w:color w:val="000000" w:themeColor="text1"/>
          <w:sz w:val="44"/>
          <w14:textFill>
            <w14:solidFill>
              <w14:schemeClr w14:val="tx1"/>
            </w14:solidFill>
          </w14:textFill>
        </w:rPr>
      </w:pPr>
    </w:p>
    <w:p>
      <w:pPr>
        <w:tabs>
          <w:tab w:val="left" w:pos="6300"/>
        </w:tabs>
        <w:snapToGrid w:val="0"/>
        <w:spacing w:line="530" w:lineRule="exact"/>
        <w:jc w:val="center"/>
        <w:rPr>
          <w:rFonts w:hint="eastAsia" w:ascii="宋体" w:hAnsi="宋体" w:cs="宋体"/>
          <w:color w:val="000000" w:themeColor="text1"/>
          <w:sz w:val="30"/>
          <w:szCs w:val="30"/>
          <w14:textFill>
            <w14:solidFill>
              <w14:schemeClr w14:val="tx1"/>
            </w14:solidFill>
          </w14:textFill>
        </w:rPr>
      </w:pPr>
      <w:bookmarkStart w:id="187" w:name="_Hlk132128213"/>
      <w:r>
        <w:rPr>
          <w:rFonts w:hint="eastAsia" w:ascii="宋体" w:hAnsi="宋体" w:cs="宋体"/>
          <w:color w:val="000000" w:themeColor="text1"/>
          <w:sz w:val="30"/>
          <w:szCs w:val="30"/>
          <w14:textFill>
            <w14:solidFill>
              <w14:schemeClr w14:val="tx1"/>
            </w14:solidFill>
          </w14:textFill>
        </w:rPr>
        <w:t>基本资格条件承诺函（格式）</w:t>
      </w: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 （采购代理机构名称）：</w:t>
      </w: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（投标人名称）郑重承诺：</w:t>
      </w: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 w:val="24"/>
          <w:szCs w:val="24"/>
          <w:lang w:val="zh-CN"/>
          <w14:textFill>
            <w14:solidFill>
              <w14:schemeClr w14:val="tx1"/>
            </w14:solidFill>
          </w14:textFill>
        </w:rPr>
        <w:t>有依法缴纳税收和社会保障金的良好记录</w:t>
      </w:r>
      <w:r>
        <w:rPr>
          <w:rFonts w:hint="eastAsia" w:ascii="宋体" w:hAnsi="宋体" w:cs="宋体"/>
          <w:color w:val="000000" w:themeColor="text1"/>
          <w:sz w:val="24"/>
          <w:szCs w:val="24"/>
          <w14:textFill>
            <w14:solidFill>
              <w14:schemeClr w14:val="tx1"/>
            </w14:solidFill>
          </w14:textFill>
        </w:rPr>
        <w:t>，参加本项目采购活动前三年内无重大违法活动记录。</w:t>
      </w: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3.我方在采购项目评审环节结束后，随时接受采购人、采购代理机构的检查验证，配合提供相关证明材料，证明符合《中华人民共和国政府采购法》规定的投标人基本资格条件。</w:t>
      </w: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我方对以上承诺负全部法律责任。</w:t>
      </w: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特此承诺。</w:t>
      </w: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pPr>
        <w:spacing w:line="380" w:lineRule="exact"/>
        <w:ind w:firstLine="5280" w:firstLineChars="2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（投标人公章）</w:t>
      </w:r>
    </w:p>
    <w:p>
      <w:pPr>
        <w:spacing w:line="380" w:lineRule="exact"/>
        <w:ind w:firstLine="5520" w:firstLineChars="23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pPr>
        <w:spacing w:line="3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括号内容为填写内容提示，投标人填写后可删除。</w:t>
      </w:r>
      <w:bookmarkEnd w:id="187"/>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p>
    <w:p>
      <w:pPr>
        <w:snapToGrid w:val="0"/>
        <w:spacing w:line="380" w:lineRule="exact"/>
        <w:ind w:firstLine="480" w:firstLineChars="200"/>
        <w:rPr>
          <w:rFonts w:hint="eastAsia" w:ascii="宋体" w:hAnsi="宋体" w:cs="宋体"/>
          <w:color w:val="000000" w:themeColor="text1"/>
          <w:sz w:val="24"/>
          <w:szCs w:val="24"/>
          <w14:textFill>
            <w14:solidFill>
              <w14:schemeClr w14:val="tx1"/>
            </w14:solidFill>
          </w14:textFill>
        </w:rPr>
      </w:pPr>
    </w:p>
    <w:p>
      <w:pPr>
        <w:widowControl/>
        <w:rPr>
          <w:rFonts w:hint="eastAsia" w:ascii="宋体" w:hAnsi="宋体" w:cs="宋体"/>
          <w:color w:val="000000" w:themeColor="text1"/>
          <w:kern w:val="0"/>
          <w:sz w:val="24"/>
          <w:szCs w:val="24"/>
          <w14:textFill>
            <w14:solidFill>
              <w14:schemeClr w14:val="tx1"/>
            </w14:solidFill>
          </w14:textFill>
        </w:rPr>
      </w:pPr>
    </w:p>
    <w:sectPr>
      <w:headerReference r:id="rId10" w:type="default"/>
      <w:footerReference r:id="rId11" w:type="default"/>
      <w:pgSz w:w="11907" w:h="16840"/>
      <w:pgMar w:top="1134" w:right="1191" w:bottom="1134" w:left="1304" w:header="964"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9D8386F-DC14-4390-8D2D-F1D92A7F6E5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C3311F1-469E-4338-874B-B1378B9B7C95}"/>
  </w:font>
  <w:font w:name="方正仿宋_GBK">
    <w:panose1 w:val="02000000000000000000"/>
    <w:charset w:val="86"/>
    <w:family w:val="script"/>
    <w:pitch w:val="default"/>
    <w:sig w:usb0="A00002BF" w:usb1="38CF7CFA" w:usb2="00082016" w:usb3="00000000" w:csb0="00040001" w:csb1="00000000"/>
    <w:embedRegular r:id="rId3" w:fontKey="{E44AE08C-76FB-451B-982A-B47EBEDD65E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5</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NiEq3gAQAAuwMAAA4AAAAA&#10;AAAAAQAgAAAAHgEAAGRycy9lMm9Eb2MueG1sUEsFBgAAAAAGAAYAWQEAAH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24</w:t>
                          </w:r>
                          <w: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mWScY4QEAALsDAAAOAAAA&#10;AAAAAAEAIAAAAB4BAABkcnMvZTJvRG9jLnhtbFBLBQYAAAAABgAGAFkBAABx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00" w:lineRule="exact"/>
      <w:jc w:val="center"/>
      <w:outlineLvl w:val="0"/>
      <w:rPr>
        <w:rFonts w:hint="eastAsia" w:ascii="方正仿宋_GBK" w:eastAsia="方正仿宋_GBK"/>
        <w:sz w:val="21"/>
        <w:szCs w:val="21"/>
        <w:u w:val="none"/>
      </w:rPr>
    </w:pPr>
    <w:r>
      <w:rPr>
        <w:rFonts w:hint="eastAsia" w:ascii="宋体" w:hAnsi="宋体" w:cs="宋体"/>
        <w:b w:val="0"/>
        <w:bCs w:val="0"/>
        <w:sz w:val="21"/>
        <w:szCs w:val="21"/>
        <w:u w:val="none"/>
        <w:lang w:eastAsia="zh-CN"/>
      </w:rPr>
      <w:t>重庆</w:t>
    </w:r>
    <w:r>
      <w:rPr>
        <w:rFonts w:hint="eastAsia" w:ascii="宋体" w:hAnsi="宋体" w:cs="宋体"/>
        <w:b w:val="0"/>
        <w:bCs w:val="0"/>
        <w:sz w:val="21"/>
        <w:szCs w:val="21"/>
        <w:u w:val="none"/>
        <w:lang w:val="en-US" w:eastAsia="zh-CN"/>
      </w:rPr>
      <w:t>浩讯建设工程咨询</w:t>
    </w:r>
    <w:r>
      <w:rPr>
        <w:rFonts w:hint="eastAsia" w:ascii="宋体" w:hAnsi="宋体" w:cs="宋体"/>
        <w:b w:val="0"/>
        <w:bCs w:val="0"/>
        <w:sz w:val="21"/>
        <w:szCs w:val="21"/>
        <w:u w:val="none"/>
        <w:lang w:eastAsia="zh-CN"/>
      </w:rPr>
      <w:t>有限公司</w:t>
    </w:r>
    <w:r>
      <w:rPr>
        <w:rFonts w:hint="eastAsia" w:ascii="方正仿宋_GBK" w:eastAsia="方正仿宋_GBK"/>
        <w:sz w:val="21"/>
        <w:szCs w:val="21"/>
        <w:u w:val="none"/>
        <w:lang w:val="en-US" w:eastAsia="zh-CN"/>
      </w:rPr>
      <w:t>招</w:t>
    </w:r>
    <w:r>
      <w:rPr>
        <w:rFonts w:hint="eastAsia" w:ascii="方正仿宋_GBK" w:eastAsia="方正仿宋_GBK"/>
        <w:sz w:val="21"/>
        <w:szCs w:val="21"/>
        <w:u w:val="none"/>
        <w:lang w:eastAsia="zh-CN"/>
      </w:rPr>
      <w:t>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00" w:lineRule="exact"/>
      <w:jc w:val="center"/>
      <w:outlineLvl w:val="0"/>
      <w:rPr>
        <w:rFonts w:hint="eastAsia" w:ascii="宋体" w:hAnsi="宋体" w:cs="宋体"/>
        <w:b w:val="0"/>
        <w:bCs w:val="0"/>
        <w:sz w:val="21"/>
        <w:szCs w:val="21"/>
        <w:u w:val="none"/>
        <w:lang w:eastAsia="zh-CN"/>
      </w:rPr>
    </w:pPr>
    <w:r>
      <w:rPr>
        <w:rFonts w:hint="eastAsia" w:ascii="宋体" w:hAnsi="宋体" w:cs="宋体"/>
        <w:b w:val="0"/>
        <w:bCs w:val="0"/>
        <w:sz w:val="21"/>
        <w:szCs w:val="21"/>
        <w:u w:val="none"/>
        <w:lang w:eastAsia="zh-CN"/>
      </w:rPr>
      <w:t>重庆</w:t>
    </w:r>
    <w:r>
      <w:rPr>
        <w:rFonts w:hint="eastAsia" w:ascii="宋体" w:hAnsi="宋体" w:cs="宋体"/>
        <w:b w:val="0"/>
        <w:bCs w:val="0"/>
        <w:sz w:val="21"/>
        <w:szCs w:val="21"/>
        <w:u w:val="none"/>
        <w:lang w:val="en-US" w:eastAsia="zh-CN"/>
      </w:rPr>
      <w:t>浩讯建设工程咨询</w:t>
    </w:r>
    <w:r>
      <w:rPr>
        <w:rFonts w:hint="eastAsia" w:ascii="宋体" w:hAnsi="宋体" w:cs="宋体"/>
        <w:b w:val="0"/>
        <w:bCs w:val="0"/>
        <w:sz w:val="21"/>
        <w:szCs w:val="21"/>
        <w:u w:val="none"/>
        <w:lang w:eastAsia="zh-CN"/>
      </w:rPr>
      <w:t>有限公司</w:t>
    </w:r>
    <w:r>
      <w:rPr>
        <w:rFonts w:hint="eastAsia" w:ascii="宋体" w:hAnsi="宋体" w:cs="宋体"/>
        <w:b w:val="0"/>
        <w:bCs w:val="0"/>
        <w:sz w:val="21"/>
        <w:szCs w:val="21"/>
        <w:u w:val="none"/>
        <w:lang w:val="en-US" w:eastAsia="zh-CN"/>
      </w:rPr>
      <w:t>招</w:t>
    </w:r>
    <w:r>
      <w:rPr>
        <w:rFonts w:hint="eastAsia" w:ascii="宋体" w:hAnsi="宋体" w:cs="宋体"/>
        <w:b w:val="0"/>
        <w:bCs w:val="0"/>
        <w:sz w:val="21"/>
        <w:szCs w:val="21"/>
        <w:u w:val="none"/>
        <w:lang w:eastAsia="zh-CN"/>
      </w:rPr>
      <w:t>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00" w:lineRule="exact"/>
      <w:jc w:val="center"/>
      <w:outlineLvl w:val="0"/>
      <w:rPr>
        <w:rFonts w:hint="eastAsia" w:ascii="方正仿宋_GBK" w:eastAsia="方正仿宋_GBK"/>
        <w:sz w:val="21"/>
        <w:szCs w:val="21"/>
        <w:u w:val="none"/>
      </w:rPr>
    </w:pPr>
    <w:r>
      <w:rPr>
        <w:rFonts w:hint="eastAsia" w:ascii="宋体" w:hAnsi="宋体" w:cs="宋体"/>
        <w:b w:val="0"/>
        <w:bCs w:val="0"/>
        <w:sz w:val="21"/>
        <w:szCs w:val="21"/>
        <w:u w:val="none"/>
        <w:lang w:eastAsia="zh-CN"/>
      </w:rPr>
      <w:t>重庆</w:t>
    </w:r>
    <w:r>
      <w:rPr>
        <w:rFonts w:hint="eastAsia" w:ascii="宋体" w:hAnsi="宋体" w:cs="宋体"/>
        <w:b w:val="0"/>
        <w:bCs w:val="0"/>
        <w:sz w:val="21"/>
        <w:szCs w:val="21"/>
        <w:u w:val="none"/>
        <w:lang w:val="en-US" w:eastAsia="zh-CN"/>
      </w:rPr>
      <w:t>浩讯建设工程咨询</w:t>
    </w:r>
    <w:r>
      <w:rPr>
        <w:rFonts w:hint="eastAsia" w:ascii="宋体" w:hAnsi="宋体" w:cs="宋体"/>
        <w:b w:val="0"/>
        <w:bCs w:val="0"/>
        <w:sz w:val="21"/>
        <w:szCs w:val="21"/>
        <w:u w:val="none"/>
        <w:lang w:eastAsia="zh-CN"/>
      </w:rPr>
      <w:t>有限公司</w:t>
    </w:r>
    <w:r>
      <w:rPr>
        <w:rFonts w:hint="eastAsia" w:ascii="方正仿宋_GBK" w:eastAsia="方正仿宋_GBK"/>
        <w:sz w:val="21"/>
        <w:szCs w:val="21"/>
        <w:u w:val="none"/>
        <w:lang w:val="en-US" w:eastAsia="zh-CN"/>
      </w:rPr>
      <w:t>招</w:t>
    </w:r>
    <w:r>
      <w:rPr>
        <w:rFonts w:hint="eastAsia" w:ascii="方正仿宋_GBK" w:eastAsia="方正仿宋_GBK"/>
        <w:sz w:val="21"/>
        <w:szCs w:val="21"/>
        <w:u w:val="none"/>
        <w:lang w:eastAsia="zh-CN"/>
      </w:rPr>
      <w:t>标文件</w:t>
    </w:r>
  </w:p>
  <w:p>
    <w:pPr>
      <w:pStyle w:val="16"/>
      <w:pBdr>
        <w:bottom w:val="none" w:color="auto" w:sz="0" w:space="1"/>
      </w:pBdr>
      <w:jc w:val="left"/>
      <w:rPr>
        <w:rFonts w:ascii="方正仿宋_GBK" w:eastAsia="方正仿宋_GBK"/>
        <w:sz w:val="21"/>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00" w:lineRule="exact"/>
      <w:jc w:val="center"/>
      <w:outlineLvl w:val="0"/>
      <w:rPr>
        <w:rFonts w:ascii="方正仿宋_GBK" w:eastAsia="方正仿宋_GBK"/>
        <w:sz w:val="21"/>
        <w:szCs w:val="21"/>
      </w:rPr>
    </w:pPr>
    <w:r>
      <w:rPr>
        <w:rFonts w:hint="eastAsia" w:ascii="宋体" w:hAnsi="宋体" w:cs="宋体"/>
        <w:b w:val="0"/>
        <w:bCs w:val="0"/>
        <w:sz w:val="21"/>
        <w:szCs w:val="21"/>
        <w:u w:val="none"/>
        <w:lang w:eastAsia="zh-CN"/>
      </w:rPr>
      <w:t>重庆</w:t>
    </w:r>
    <w:r>
      <w:rPr>
        <w:rFonts w:hint="eastAsia" w:ascii="宋体" w:hAnsi="宋体" w:cs="宋体"/>
        <w:b w:val="0"/>
        <w:bCs w:val="0"/>
        <w:sz w:val="21"/>
        <w:szCs w:val="21"/>
        <w:u w:val="none"/>
        <w:lang w:val="en-US" w:eastAsia="zh-CN"/>
      </w:rPr>
      <w:t>浩讯建设工程咨询</w:t>
    </w:r>
    <w:r>
      <w:rPr>
        <w:rFonts w:hint="eastAsia" w:ascii="宋体" w:hAnsi="宋体" w:cs="宋体"/>
        <w:b w:val="0"/>
        <w:bCs w:val="0"/>
        <w:sz w:val="21"/>
        <w:szCs w:val="21"/>
        <w:u w:val="none"/>
        <w:lang w:eastAsia="zh-CN"/>
      </w:rPr>
      <w:t>有限公司</w:t>
    </w:r>
    <w:r>
      <w:rPr>
        <w:rFonts w:hint="eastAsia" w:ascii="方正仿宋_GBK" w:eastAsia="方正仿宋_GBK"/>
        <w:sz w:val="21"/>
        <w:szCs w:val="21"/>
        <w:u w:val="none"/>
        <w:lang w:val="en-US" w:eastAsia="zh-CN"/>
      </w:rPr>
      <w:t>招</w:t>
    </w:r>
    <w:r>
      <w:rPr>
        <w:rFonts w:hint="eastAsia" w:ascii="方正仿宋_GBK" w:eastAsia="方正仿宋_GBK"/>
        <w:sz w:val="21"/>
        <w:szCs w:val="21"/>
        <w:u w:val="none"/>
        <w:lang w:eastAsia="zh-CN"/>
      </w:rPr>
      <w:t>标文件</w:t>
    </w:r>
    <w:r>
      <w:rPr>
        <w:rFonts w:hint="eastAsia" w:ascii="方正仿宋_GBK" w:eastAsia="方正仿宋_GBK"/>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00" w:lineRule="exact"/>
      <w:jc w:val="center"/>
      <w:outlineLvl w:val="0"/>
      <w:rPr>
        <w:rFonts w:ascii="方正仿宋_GBK" w:eastAsia="方正仿宋_GBK"/>
        <w:sz w:val="21"/>
        <w:szCs w:val="24"/>
      </w:rPr>
    </w:pPr>
    <w:r>
      <w:rPr>
        <w:rFonts w:hint="eastAsia" w:ascii="宋体" w:hAnsi="宋体" w:cs="宋体"/>
        <w:b w:val="0"/>
        <w:bCs w:val="0"/>
        <w:sz w:val="21"/>
        <w:szCs w:val="21"/>
        <w:u w:val="none"/>
        <w:lang w:eastAsia="zh-CN"/>
      </w:rPr>
      <w:t>重庆</w:t>
    </w:r>
    <w:r>
      <w:rPr>
        <w:rFonts w:hint="eastAsia" w:ascii="宋体" w:hAnsi="宋体" w:cs="宋体"/>
        <w:b w:val="0"/>
        <w:bCs w:val="0"/>
        <w:sz w:val="21"/>
        <w:szCs w:val="21"/>
        <w:u w:val="none"/>
        <w:lang w:val="en-US" w:eastAsia="zh-CN"/>
      </w:rPr>
      <w:t>浩讯建设工程咨询</w:t>
    </w:r>
    <w:r>
      <w:rPr>
        <w:rFonts w:hint="eastAsia" w:ascii="宋体" w:hAnsi="宋体" w:cs="宋体"/>
        <w:b w:val="0"/>
        <w:bCs w:val="0"/>
        <w:sz w:val="21"/>
        <w:szCs w:val="21"/>
        <w:u w:val="none"/>
        <w:lang w:eastAsia="zh-CN"/>
      </w:rPr>
      <w:t>有限公司</w:t>
    </w:r>
    <w:r>
      <w:rPr>
        <w:rFonts w:hint="eastAsia" w:ascii="方正仿宋_GBK" w:eastAsia="方正仿宋_GBK"/>
        <w:sz w:val="21"/>
        <w:szCs w:val="21"/>
        <w:u w:val="none"/>
        <w:lang w:val="en-US" w:eastAsia="zh-CN"/>
      </w:rPr>
      <w:t>招</w:t>
    </w:r>
    <w:r>
      <w:rPr>
        <w:rFonts w:hint="eastAsia" w:ascii="方正仿宋_GBK" w:eastAsia="方正仿宋_GBK"/>
        <w:sz w:val="21"/>
        <w:szCs w:val="21"/>
        <w:u w:val="none"/>
        <w:lang w:eastAsia="zh-CN"/>
      </w:rPr>
      <w:t>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3C713"/>
    <w:multiLevelType w:val="singleLevel"/>
    <w:tmpl w:val="B243C713"/>
    <w:lvl w:ilvl="0" w:tentative="0">
      <w:start w:val="5"/>
      <w:numFmt w:val="chineseCounting"/>
      <w:suff w:val="nothing"/>
      <w:lvlText w:val="%1、"/>
      <w:lvlJc w:val="left"/>
      <w:rPr>
        <w:rFonts w:hint="eastAsia"/>
      </w:rPr>
    </w:lvl>
  </w:abstractNum>
  <w:abstractNum w:abstractNumId="1">
    <w:nsid w:val="E9061A59"/>
    <w:multiLevelType w:val="singleLevel"/>
    <w:tmpl w:val="E9061A59"/>
    <w:lvl w:ilvl="0" w:tentative="0">
      <w:start w:val="1"/>
      <w:numFmt w:val="chineseCounting"/>
      <w:suff w:val="space"/>
      <w:lvlText w:val="第%1篇"/>
      <w:lvlJc w:val="left"/>
      <w:rPr>
        <w:rFonts w:hint="eastAsia"/>
      </w:rPr>
    </w:lvl>
  </w:abstractNum>
  <w:abstractNum w:abstractNumId="2">
    <w:nsid w:val="00000008"/>
    <w:multiLevelType w:val="multilevel"/>
    <w:tmpl w:val="00000008"/>
    <w:lvl w:ilvl="0" w:tentative="0">
      <w:start w:val="1"/>
      <w:numFmt w:val="chineseCountingThousand"/>
      <w:pStyle w:val="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OTJlMjk4YWE5Nzk4NjVhNDU2MTg5MjU1ZjU4Y2EifQ=="/>
    <w:docVar w:name="KSO_WPS_MARK_KEY" w:val="77ccf76b-7b9e-4507-986d-101cf99e7b35"/>
  </w:docVars>
  <w:rsids>
    <w:rsidRoot w:val="00172A27"/>
    <w:rsid w:val="00013CF1"/>
    <w:rsid w:val="0003502F"/>
    <w:rsid w:val="00037A34"/>
    <w:rsid w:val="000513A8"/>
    <w:rsid w:val="000838C4"/>
    <w:rsid w:val="00093D69"/>
    <w:rsid w:val="000A78B2"/>
    <w:rsid w:val="000A7EF4"/>
    <w:rsid w:val="000B3077"/>
    <w:rsid w:val="000B3718"/>
    <w:rsid w:val="000C7E32"/>
    <w:rsid w:val="000D090E"/>
    <w:rsid w:val="000F6737"/>
    <w:rsid w:val="00120D9F"/>
    <w:rsid w:val="00144636"/>
    <w:rsid w:val="00147869"/>
    <w:rsid w:val="00155B66"/>
    <w:rsid w:val="00172A27"/>
    <w:rsid w:val="00175D88"/>
    <w:rsid w:val="00176365"/>
    <w:rsid w:val="00196A3F"/>
    <w:rsid w:val="001B68D4"/>
    <w:rsid w:val="001C7593"/>
    <w:rsid w:val="001D12C0"/>
    <w:rsid w:val="001D6233"/>
    <w:rsid w:val="001E3CFA"/>
    <w:rsid w:val="001F2A0B"/>
    <w:rsid w:val="002103CE"/>
    <w:rsid w:val="002168F1"/>
    <w:rsid w:val="0022596A"/>
    <w:rsid w:val="00256D57"/>
    <w:rsid w:val="00267475"/>
    <w:rsid w:val="00277A87"/>
    <w:rsid w:val="002832F2"/>
    <w:rsid w:val="002C4563"/>
    <w:rsid w:val="002D5C47"/>
    <w:rsid w:val="003316FB"/>
    <w:rsid w:val="00370B6F"/>
    <w:rsid w:val="00374CEB"/>
    <w:rsid w:val="00393098"/>
    <w:rsid w:val="0039742C"/>
    <w:rsid w:val="004049FE"/>
    <w:rsid w:val="00411E4D"/>
    <w:rsid w:val="00415B71"/>
    <w:rsid w:val="00421D4A"/>
    <w:rsid w:val="004472AA"/>
    <w:rsid w:val="00455A06"/>
    <w:rsid w:val="0046371D"/>
    <w:rsid w:val="00487AC5"/>
    <w:rsid w:val="00497444"/>
    <w:rsid w:val="004A52C4"/>
    <w:rsid w:val="004A5DCD"/>
    <w:rsid w:val="004B5759"/>
    <w:rsid w:val="004E6E30"/>
    <w:rsid w:val="004F2CF9"/>
    <w:rsid w:val="004F48DD"/>
    <w:rsid w:val="00501299"/>
    <w:rsid w:val="00501F20"/>
    <w:rsid w:val="0051087C"/>
    <w:rsid w:val="00510D9E"/>
    <w:rsid w:val="00535019"/>
    <w:rsid w:val="005371CE"/>
    <w:rsid w:val="00551FEF"/>
    <w:rsid w:val="00554362"/>
    <w:rsid w:val="0056017C"/>
    <w:rsid w:val="0056548C"/>
    <w:rsid w:val="00571D86"/>
    <w:rsid w:val="00575378"/>
    <w:rsid w:val="00596F9F"/>
    <w:rsid w:val="005A2B2C"/>
    <w:rsid w:val="005F6856"/>
    <w:rsid w:val="0062358A"/>
    <w:rsid w:val="006452E7"/>
    <w:rsid w:val="00654226"/>
    <w:rsid w:val="00691DF7"/>
    <w:rsid w:val="00694100"/>
    <w:rsid w:val="00696A69"/>
    <w:rsid w:val="006B151D"/>
    <w:rsid w:val="006B1577"/>
    <w:rsid w:val="006B44A2"/>
    <w:rsid w:val="006B575F"/>
    <w:rsid w:val="006C60A9"/>
    <w:rsid w:val="006D43A5"/>
    <w:rsid w:val="006E18C4"/>
    <w:rsid w:val="006F5BAF"/>
    <w:rsid w:val="00707076"/>
    <w:rsid w:val="0071594C"/>
    <w:rsid w:val="00720DEB"/>
    <w:rsid w:val="00740DE8"/>
    <w:rsid w:val="00753C3F"/>
    <w:rsid w:val="00755E35"/>
    <w:rsid w:val="00761D50"/>
    <w:rsid w:val="0079777D"/>
    <w:rsid w:val="007A60C4"/>
    <w:rsid w:val="007B34DC"/>
    <w:rsid w:val="007C08BB"/>
    <w:rsid w:val="007C241E"/>
    <w:rsid w:val="007D337F"/>
    <w:rsid w:val="007E15A5"/>
    <w:rsid w:val="008045C6"/>
    <w:rsid w:val="0081216D"/>
    <w:rsid w:val="0083556D"/>
    <w:rsid w:val="00860313"/>
    <w:rsid w:val="00881378"/>
    <w:rsid w:val="008827B2"/>
    <w:rsid w:val="00893762"/>
    <w:rsid w:val="00894167"/>
    <w:rsid w:val="008B55D0"/>
    <w:rsid w:val="008D5184"/>
    <w:rsid w:val="008E392E"/>
    <w:rsid w:val="008E4047"/>
    <w:rsid w:val="00901D07"/>
    <w:rsid w:val="00911FCD"/>
    <w:rsid w:val="0092207B"/>
    <w:rsid w:val="009448FF"/>
    <w:rsid w:val="00955F96"/>
    <w:rsid w:val="00980BD7"/>
    <w:rsid w:val="00981EF9"/>
    <w:rsid w:val="00992819"/>
    <w:rsid w:val="00994F47"/>
    <w:rsid w:val="009A06CC"/>
    <w:rsid w:val="009A561C"/>
    <w:rsid w:val="009B1592"/>
    <w:rsid w:val="009D7EC3"/>
    <w:rsid w:val="009E2628"/>
    <w:rsid w:val="00A02AF7"/>
    <w:rsid w:val="00A10F94"/>
    <w:rsid w:val="00A25A2C"/>
    <w:rsid w:val="00A401EB"/>
    <w:rsid w:val="00A54824"/>
    <w:rsid w:val="00A60FCC"/>
    <w:rsid w:val="00A87E09"/>
    <w:rsid w:val="00A9271B"/>
    <w:rsid w:val="00AB3BD0"/>
    <w:rsid w:val="00AF1FDA"/>
    <w:rsid w:val="00AF2D56"/>
    <w:rsid w:val="00AF5E26"/>
    <w:rsid w:val="00AF70E3"/>
    <w:rsid w:val="00B01137"/>
    <w:rsid w:val="00B03F32"/>
    <w:rsid w:val="00B64AF3"/>
    <w:rsid w:val="00B74D84"/>
    <w:rsid w:val="00B91A30"/>
    <w:rsid w:val="00B959DD"/>
    <w:rsid w:val="00BA623C"/>
    <w:rsid w:val="00BB0C8C"/>
    <w:rsid w:val="00BC37CC"/>
    <w:rsid w:val="00BC4570"/>
    <w:rsid w:val="00BE6487"/>
    <w:rsid w:val="00C02C9B"/>
    <w:rsid w:val="00C20001"/>
    <w:rsid w:val="00C332FB"/>
    <w:rsid w:val="00C46E10"/>
    <w:rsid w:val="00C7011A"/>
    <w:rsid w:val="00C775BB"/>
    <w:rsid w:val="00C83BED"/>
    <w:rsid w:val="00C853EF"/>
    <w:rsid w:val="00C87EB2"/>
    <w:rsid w:val="00C9126E"/>
    <w:rsid w:val="00C93A56"/>
    <w:rsid w:val="00C969ED"/>
    <w:rsid w:val="00CD0C51"/>
    <w:rsid w:val="00D023ED"/>
    <w:rsid w:val="00D04D4B"/>
    <w:rsid w:val="00D06EC6"/>
    <w:rsid w:val="00D341ED"/>
    <w:rsid w:val="00D374EF"/>
    <w:rsid w:val="00D41E7B"/>
    <w:rsid w:val="00D45477"/>
    <w:rsid w:val="00D51E77"/>
    <w:rsid w:val="00D77350"/>
    <w:rsid w:val="00D77ADE"/>
    <w:rsid w:val="00D8263F"/>
    <w:rsid w:val="00D9039D"/>
    <w:rsid w:val="00D9286A"/>
    <w:rsid w:val="00D93DC6"/>
    <w:rsid w:val="00D96FC6"/>
    <w:rsid w:val="00DA68E3"/>
    <w:rsid w:val="00DE6CD3"/>
    <w:rsid w:val="00E02D57"/>
    <w:rsid w:val="00E04F7F"/>
    <w:rsid w:val="00E1518B"/>
    <w:rsid w:val="00E203F2"/>
    <w:rsid w:val="00E237D0"/>
    <w:rsid w:val="00E31743"/>
    <w:rsid w:val="00E377EF"/>
    <w:rsid w:val="00E43CD8"/>
    <w:rsid w:val="00E46DFB"/>
    <w:rsid w:val="00E564F2"/>
    <w:rsid w:val="00E65DFE"/>
    <w:rsid w:val="00E72684"/>
    <w:rsid w:val="00EB3BDD"/>
    <w:rsid w:val="00EC00AE"/>
    <w:rsid w:val="00EC7297"/>
    <w:rsid w:val="00EC7766"/>
    <w:rsid w:val="00ED0EE3"/>
    <w:rsid w:val="00EE5713"/>
    <w:rsid w:val="00F0005C"/>
    <w:rsid w:val="00F14019"/>
    <w:rsid w:val="00F222AE"/>
    <w:rsid w:val="00F34FAB"/>
    <w:rsid w:val="00F472AD"/>
    <w:rsid w:val="00F80830"/>
    <w:rsid w:val="00F968BD"/>
    <w:rsid w:val="00FC5950"/>
    <w:rsid w:val="00FD4F6C"/>
    <w:rsid w:val="00FE476F"/>
    <w:rsid w:val="00FE751D"/>
    <w:rsid w:val="00FE7E1A"/>
    <w:rsid w:val="013C107F"/>
    <w:rsid w:val="015A66FF"/>
    <w:rsid w:val="0198440A"/>
    <w:rsid w:val="01B97F5E"/>
    <w:rsid w:val="01DA27B1"/>
    <w:rsid w:val="02895EFE"/>
    <w:rsid w:val="028B08AD"/>
    <w:rsid w:val="02EF41D8"/>
    <w:rsid w:val="03304250"/>
    <w:rsid w:val="03624563"/>
    <w:rsid w:val="036839EA"/>
    <w:rsid w:val="03C449CC"/>
    <w:rsid w:val="03CB0931"/>
    <w:rsid w:val="047A22B8"/>
    <w:rsid w:val="05ED48A1"/>
    <w:rsid w:val="065F3284"/>
    <w:rsid w:val="06873A00"/>
    <w:rsid w:val="06C632EC"/>
    <w:rsid w:val="06F85085"/>
    <w:rsid w:val="07181283"/>
    <w:rsid w:val="076369A2"/>
    <w:rsid w:val="076B253E"/>
    <w:rsid w:val="07B96135"/>
    <w:rsid w:val="07E01DA1"/>
    <w:rsid w:val="082F4EF2"/>
    <w:rsid w:val="0A4E4709"/>
    <w:rsid w:val="0AC716F5"/>
    <w:rsid w:val="0B141FB0"/>
    <w:rsid w:val="0B3C1F41"/>
    <w:rsid w:val="0B8D0492"/>
    <w:rsid w:val="0C360B29"/>
    <w:rsid w:val="0C600C0B"/>
    <w:rsid w:val="0CC24055"/>
    <w:rsid w:val="0CF85DDF"/>
    <w:rsid w:val="0D31309F"/>
    <w:rsid w:val="0D4C7ED9"/>
    <w:rsid w:val="0D5A3F55"/>
    <w:rsid w:val="0DED5218"/>
    <w:rsid w:val="0E0B6B1D"/>
    <w:rsid w:val="0F191947"/>
    <w:rsid w:val="0FD44071"/>
    <w:rsid w:val="0FD52F86"/>
    <w:rsid w:val="0FE74522"/>
    <w:rsid w:val="10A51DDA"/>
    <w:rsid w:val="10BF683D"/>
    <w:rsid w:val="11526A9C"/>
    <w:rsid w:val="115D4D69"/>
    <w:rsid w:val="11C02320"/>
    <w:rsid w:val="11FD7227"/>
    <w:rsid w:val="12135469"/>
    <w:rsid w:val="12AF0CEE"/>
    <w:rsid w:val="13501483"/>
    <w:rsid w:val="13A00279"/>
    <w:rsid w:val="14127986"/>
    <w:rsid w:val="147B7F15"/>
    <w:rsid w:val="14FE7D0A"/>
    <w:rsid w:val="15B06C24"/>
    <w:rsid w:val="16704F1F"/>
    <w:rsid w:val="168F6EE7"/>
    <w:rsid w:val="16CF6590"/>
    <w:rsid w:val="18343A9B"/>
    <w:rsid w:val="19061883"/>
    <w:rsid w:val="194519F1"/>
    <w:rsid w:val="1A4C63EB"/>
    <w:rsid w:val="1A8E275C"/>
    <w:rsid w:val="1ABA71B7"/>
    <w:rsid w:val="1B695D2F"/>
    <w:rsid w:val="1D0E51AB"/>
    <w:rsid w:val="1D742C3D"/>
    <w:rsid w:val="1D772D50"/>
    <w:rsid w:val="1DB775F0"/>
    <w:rsid w:val="1DF93765"/>
    <w:rsid w:val="1E5D07E9"/>
    <w:rsid w:val="1EE90D07"/>
    <w:rsid w:val="1EEF3567"/>
    <w:rsid w:val="1EF75BF3"/>
    <w:rsid w:val="1F0C74C8"/>
    <w:rsid w:val="1F2C36C6"/>
    <w:rsid w:val="1FE944CD"/>
    <w:rsid w:val="203C0953"/>
    <w:rsid w:val="20FF6E87"/>
    <w:rsid w:val="214F270B"/>
    <w:rsid w:val="21EB2F2F"/>
    <w:rsid w:val="223B0DF8"/>
    <w:rsid w:val="22484CBB"/>
    <w:rsid w:val="22C57ACD"/>
    <w:rsid w:val="22F4292E"/>
    <w:rsid w:val="232D46F5"/>
    <w:rsid w:val="23AE7545"/>
    <w:rsid w:val="23F23130"/>
    <w:rsid w:val="246E36A9"/>
    <w:rsid w:val="2474169D"/>
    <w:rsid w:val="24A3442A"/>
    <w:rsid w:val="24B86128"/>
    <w:rsid w:val="24E24F53"/>
    <w:rsid w:val="25BC39F6"/>
    <w:rsid w:val="25E42C02"/>
    <w:rsid w:val="26CB2F2A"/>
    <w:rsid w:val="27240910"/>
    <w:rsid w:val="27DB3A02"/>
    <w:rsid w:val="27E56B08"/>
    <w:rsid w:val="286B2E2D"/>
    <w:rsid w:val="28BD708C"/>
    <w:rsid w:val="28E27151"/>
    <w:rsid w:val="29606D8E"/>
    <w:rsid w:val="29806F03"/>
    <w:rsid w:val="299E4777"/>
    <w:rsid w:val="29F51284"/>
    <w:rsid w:val="2A1D5CC5"/>
    <w:rsid w:val="2A2F5E3A"/>
    <w:rsid w:val="2A6E3327"/>
    <w:rsid w:val="2A8E72F8"/>
    <w:rsid w:val="2AC1385C"/>
    <w:rsid w:val="2ACD1C43"/>
    <w:rsid w:val="2C717D30"/>
    <w:rsid w:val="2C9254B0"/>
    <w:rsid w:val="2CE675AA"/>
    <w:rsid w:val="2CFB2C83"/>
    <w:rsid w:val="2D3E5C56"/>
    <w:rsid w:val="2D4F514F"/>
    <w:rsid w:val="2D762889"/>
    <w:rsid w:val="2D83304B"/>
    <w:rsid w:val="2DB448B6"/>
    <w:rsid w:val="2E723FFC"/>
    <w:rsid w:val="2EC34F01"/>
    <w:rsid w:val="2EDE2C2F"/>
    <w:rsid w:val="2F0E3709"/>
    <w:rsid w:val="2F25082E"/>
    <w:rsid w:val="2F595B55"/>
    <w:rsid w:val="2FD33D3E"/>
    <w:rsid w:val="2FE66ADF"/>
    <w:rsid w:val="30013741"/>
    <w:rsid w:val="30103A20"/>
    <w:rsid w:val="302A5A00"/>
    <w:rsid w:val="31353D02"/>
    <w:rsid w:val="31D54EF7"/>
    <w:rsid w:val="31D772B9"/>
    <w:rsid w:val="31F167D5"/>
    <w:rsid w:val="322C3CB1"/>
    <w:rsid w:val="323C0CD8"/>
    <w:rsid w:val="3323289D"/>
    <w:rsid w:val="33A51B26"/>
    <w:rsid w:val="33C04900"/>
    <w:rsid w:val="344B5948"/>
    <w:rsid w:val="349329D8"/>
    <w:rsid w:val="34FB1589"/>
    <w:rsid w:val="353D7E39"/>
    <w:rsid w:val="356B3715"/>
    <w:rsid w:val="358B6F41"/>
    <w:rsid w:val="362436F2"/>
    <w:rsid w:val="37337890"/>
    <w:rsid w:val="37621DE7"/>
    <w:rsid w:val="37BC0727"/>
    <w:rsid w:val="39551D3F"/>
    <w:rsid w:val="39D862A5"/>
    <w:rsid w:val="3A3365C9"/>
    <w:rsid w:val="3A9F59FC"/>
    <w:rsid w:val="3AAE01FB"/>
    <w:rsid w:val="3B5B273C"/>
    <w:rsid w:val="3BF52EC4"/>
    <w:rsid w:val="3C00221F"/>
    <w:rsid w:val="3C0A7D7F"/>
    <w:rsid w:val="3CA408E8"/>
    <w:rsid w:val="3D332962"/>
    <w:rsid w:val="3D935420"/>
    <w:rsid w:val="3E1570B0"/>
    <w:rsid w:val="3E226883"/>
    <w:rsid w:val="3ECC7B2A"/>
    <w:rsid w:val="3F620D12"/>
    <w:rsid w:val="3F66C278"/>
    <w:rsid w:val="3FBE7446"/>
    <w:rsid w:val="40601842"/>
    <w:rsid w:val="40EC2740"/>
    <w:rsid w:val="41083BDA"/>
    <w:rsid w:val="416F1309"/>
    <w:rsid w:val="41F8770C"/>
    <w:rsid w:val="438C296C"/>
    <w:rsid w:val="44150497"/>
    <w:rsid w:val="445A3F9B"/>
    <w:rsid w:val="446668F1"/>
    <w:rsid w:val="44C622EE"/>
    <w:rsid w:val="44E13C63"/>
    <w:rsid w:val="458A2D71"/>
    <w:rsid w:val="45CA1722"/>
    <w:rsid w:val="46192347"/>
    <w:rsid w:val="475E44B5"/>
    <w:rsid w:val="47602102"/>
    <w:rsid w:val="47B7763A"/>
    <w:rsid w:val="47E0136E"/>
    <w:rsid w:val="47F05A4B"/>
    <w:rsid w:val="482B2A2B"/>
    <w:rsid w:val="48553070"/>
    <w:rsid w:val="485B7DFE"/>
    <w:rsid w:val="48E0692D"/>
    <w:rsid w:val="490E5B40"/>
    <w:rsid w:val="495C0AA0"/>
    <w:rsid w:val="49C23DE4"/>
    <w:rsid w:val="4A5120AF"/>
    <w:rsid w:val="4A881849"/>
    <w:rsid w:val="4AA952DB"/>
    <w:rsid w:val="4ABA5EA6"/>
    <w:rsid w:val="4AC507FB"/>
    <w:rsid w:val="4AF07B1A"/>
    <w:rsid w:val="4B1C5C50"/>
    <w:rsid w:val="4B26353C"/>
    <w:rsid w:val="4B6202EC"/>
    <w:rsid w:val="4B9726A4"/>
    <w:rsid w:val="4B99293D"/>
    <w:rsid w:val="4C6C31D0"/>
    <w:rsid w:val="4C747477"/>
    <w:rsid w:val="4CC0720F"/>
    <w:rsid w:val="4CCB39DA"/>
    <w:rsid w:val="4CFF4101"/>
    <w:rsid w:val="4D7D31BB"/>
    <w:rsid w:val="4DB85AC7"/>
    <w:rsid w:val="4DFC5FAF"/>
    <w:rsid w:val="4E350004"/>
    <w:rsid w:val="4E41243B"/>
    <w:rsid w:val="4E611B8B"/>
    <w:rsid w:val="4EC320CD"/>
    <w:rsid w:val="4FCF5C26"/>
    <w:rsid w:val="4FD62944"/>
    <w:rsid w:val="4FEE4715"/>
    <w:rsid w:val="50F119D7"/>
    <w:rsid w:val="510559A1"/>
    <w:rsid w:val="51096A96"/>
    <w:rsid w:val="51145923"/>
    <w:rsid w:val="511A5E38"/>
    <w:rsid w:val="525F10E1"/>
    <w:rsid w:val="534704F3"/>
    <w:rsid w:val="537312E8"/>
    <w:rsid w:val="53B66BF1"/>
    <w:rsid w:val="544D1C30"/>
    <w:rsid w:val="545D78A2"/>
    <w:rsid w:val="547456E8"/>
    <w:rsid w:val="559C2A71"/>
    <w:rsid w:val="56CB143B"/>
    <w:rsid w:val="57851B5E"/>
    <w:rsid w:val="57996E43"/>
    <w:rsid w:val="57F7741E"/>
    <w:rsid w:val="58113EF3"/>
    <w:rsid w:val="59747B68"/>
    <w:rsid w:val="5A3D43FE"/>
    <w:rsid w:val="5A8E4C59"/>
    <w:rsid w:val="5B70217B"/>
    <w:rsid w:val="5BA47693"/>
    <w:rsid w:val="5C1B719B"/>
    <w:rsid w:val="5CD46A5A"/>
    <w:rsid w:val="5CDC1457"/>
    <w:rsid w:val="5D237008"/>
    <w:rsid w:val="5D437F7D"/>
    <w:rsid w:val="5D9205BD"/>
    <w:rsid w:val="5D967099"/>
    <w:rsid w:val="5DB78DCA"/>
    <w:rsid w:val="5DD61749"/>
    <w:rsid w:val="5E2111AD"/>
    <w:rsid w:val="5F5F0F76"/>
    <w:rsid w:val="5F976D99"/>
    <w:rsid w:val="5F99002B"/>
    <w:rsid w:val="5FA45B10"/>
    <w:rsid w:val="5FDC6F72"/>
    <w:rsid w:val="600C5134"/>
    <w:rsid w:val="60923B0B"/>
    <w:rsid w:val="61060E85"/>
    <w:rsid w:val="61F061FA"/>
    <w:rsid w:val="61FA2ADF"/>
    <w:rsid w:val="624F2A18"/>
    <w:rsid w:val="628E1C9B"/>
    <w:rsid w:val="62F56386"/>
    <w:rsid w:val="636C7B02"/>
    <w:rsid w:val="639C32CC"/>
    <w:rsid w:val="63D556A7"/>
    <w:rsid w:val="641C32D6"/>
    <w:rsid w:val="642D7291"/>
    <w:rsid w:val="643871C6"/>
    <w:rsid w:val="643C1282"/>
    <w:rsid w:val="646C65DF"/>
    <w:rsid w:val="64D735CC"/>
    <w:rsid w:val="64FC1849"/>
    <w:rsid w:val="65510D5D"/>
    <w:rsid w:val="65624D5D"/>
    <w:rsid w:val="65ED6CD8"/>
    <w:rsid w:val="65F70059"/>
    <w:rsid w:val="663C73F1"/>
    <w:rsid w:val="665B4160"/>
    <w:rsid w:val="666A0329"/>
    <w:rsid w:val="6674631F"/>
    <w:rsid w:val="66C33271"/>
    <w:rsid w:val="670450E2"/>
    <w:rsid w:val="674429F7"/>
    <w:rsid w:val="681C4E0F"/>
    <w:rsid w:val="68615334"/>
    <w:rsid w:val="6865123B"/>
    <w:rsid w:val="689B7D85"/>
    <w:rsid w:val="68AB69D7"/>
    <w:rsid w:val="68C41A78"/>
    <w:rsid w:val="690C3A9D"/>
    <w:rsid w:val="697308AB"/>
    <w:rsid w:val="6991699D"/>
    <w:rsid w:val="69BC3A0B"/>
    <w:rsid w:val="69E40C30"/>
    <w:rsid w:val="69F41AE3"/>
    <w:rsid w:val="6A0F4588"/>
    <w:rsid w:val="6A43405B"/>
    <w:rsid w:val="6B6960AC"/>
    <w:rsid w:val="6BA77561"/>
    <w:rsid w:val="6BAB6F3D"/>
    <w:rsid w:val="6BBB3C87"/>
    <w:rsid w:val="6BDA2372"/>
    <w:rsid w:val="6BEC17E0"/>
    <w:rsid w:val="6C0528A2"/>
    <w:rsid w:val="6CBA7B50"/>
    <w:rsid w:val="6CC60283"/>
    <w:rsid w:val="6CD37AE1"/>
    <w:rsid w:val="6CFC6AA8"/>
    <w:rsid w:val="6D463CC6"/>
    <w:rsid w:val="6D563CCD"/>
    <w:rsid w:val="6D741677"/>
    <w:rsid w:val="6DAF0980"/>
    <w:rsid w:val="6E031C30"/>
    <w:rsid w:val="6E1D0376"/>
    <w:rsid w:val="6EBF428B"/>
    <w:rsid w:val="6EEBF032"/>
    <w:rsid w:val="6F63000B"/>
    <w:rsid w:val="6F975F07"/>
    <w:rsid w:val="70883E0D"/>
    <w:rsid w:val="70AA3CDC"/>
    <w:rsid w:val="70E707C8"/>
    <w:rsid w:val="717007BD"/>
    <w:rsid w:val="71D4240C"/>
    <w:rsid w:val="721F4BA5"/>
    <w:rsid w:val="73A62BBC"/>
    <w:rsid w:val="73D76C1F"/>
    <w:rsid w:val="74801A81"/>
    <w:rsid w:val="74C69ACB"/>
    <w:rsid w:val="74C72DEA"/>
    <w:rsid w:val="74F03366"/>
    <w:rsid w:val="76640619"/>
    <w:rsid w:val="76797484"/>
    <w:rsid w:val="77891E2F"/>
    <w:rsid w:val="779D6ABA"/>
    <w:rsid w:val="77E82493"/>
    <w:rsid w:val="77F65E5F"/>
    <w:rsid w:val="781212AE"/>
    <w:rsid w:val="78245241"/>
    <w:rsid w:val="79A31262"/>
    <w:rsid w:val="7A410534"/>
    <w:rsid w:val="7A462A03"/>
    <w:rsid w:val="7A512F1C"/>
    <w:rsid w:val="7A7A7397"/>
    <w:rsid w:val="7A992B33"/>
    <w:rsid w:val="7B1B067C"/>
    <w:rsid w:val="7BC57958"/>
    <w:rsid w:val="7C3D21E0"/>
    <w:rsid w:val="7D1328DD"/>
    <w:rsid w:val="7DA86C83"/>
    <w:rsid w:val="7DBF1924"/>
    <w:rsid w:val="7E1D3A7B"/>
    <w:rsid w:val="7E214ABF"/>
    <w:rsid w:val="7F3AF42A"/>
    <w:rsid w:val="7FD276F6"/>
    <w:rsid w:val="7FED913E"/>
    <w:rsid w:val="7FF352A9"/>
    <w:rsid w:val="C4FEA995"/>
    <w:rsid w:val="FE7B229C"/>
    <w:rsid w:val="FEBFA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43"/>
    <w:autoRedefine/>
    <w:qFormat/>
    <w:uiPriority w:val="99"/>
    <w:pPr>
      <w:keepNext/>
      <w:keepLines/>
      <w:adjustRightInd w:val="0"/>
      <w:snapToGrid w:val="0"/>
      <w:spacing w:line="360" w:lineRule="auto"/>
      <w:outlineLvl w:val="1"/>
    </w:pPr>
    <w:rPr>
      <w:rFonts w:ascii="宋体" w:hAnsi="宋体"/>
    </w:rPr>
  </w:style>
  <w:style w:type="paragraph" w:styleId="5">
    <w:name w:val="heading 3"/>
    <w:basedOn w:val="1"/>
    <w:next w:val="1"/>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keepNext/>
      <w:keepLines/>
      <w:numPr>
        <w:ilvl w:val="0"/>
        <w:numId w:val="1"/>
      </w:numPr>
      <w:spacing w:before="560" w:after="290" w:line="377" w:lineRule="auto"/>
      <w:outlineLvl w:val="3"/>
    </w:pPr>
    <w:rPr>
      <w:rFonts w:ascii="Arial" w:hAnsi="Arial" w:eastAsia="黑体"/>
      <w:b/>
    </w:rPr>
  </w:style>
  <w:style w:type="paragraph" w:styleId="7">
    <w:name w:val="heading 5"/>
    <w:basedOn w:val="1"/>
    <w:next w:val="8"/>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spacing w:before="156" w:after="156"/>
      <w:ind w:firstLine="480"/>
    </w:pPr>
  </w:style>
  <w:style w:type="paragraph" w:styleId="8">
    <w:name w:val="Body Text"/>
    <w:basedOn w:val="1"/>
    <w:next w:val="9"/>
    <w:link w:val="44"/>
    <w:autoRedefine/>
    <w:qFormat/>
    <w:uiPriority w:val="0"/>
    <w:rPr>
      <w:rFonts w:ascii="仿宋_GB2312" w:eastAsia="仿宋_GB2312"/>
      <w:sz w:val="32"/>
    </w:rPr>
  </w:style>
  <w:style w:type="paragraph" w:styleId="9">
    <w:name w:val="Body Text Indent"/>
    <w:basedOn w:val="1"/>
    <w:autoRedefine/>
    <w:qFormat/>
    <w:uiPriority w:val="0"/>
    <w:pPr>
      <w:spacing w:line="700" w:lineRule="exact"/>
      <w:ind w:left="960"/>
    </w:pPr>
    <w:rPr>
      <w:sz w:val="44"/>
    </w:rPr>
  </w:style>
  <w:style w:type="paragraph" w:styleId="10">
    <w:name w:val="Normal Indent"/>
    <w:basedOn w:val="1"/>
    <w:autoRedefine/>
    <w:qFormat/>
    <w:uiPriority w:val="0"/>
    <w:pPr>
      <w:adjustRightInd w:val="0"/>
      <w:snapToGrid w:val="0"/>
      <w:spacing w:line="360" w:lineRule="auto"/>
      <w:ind w:firstLine="420"/>
    </w:pPr>
    <w:rPr>
      <w:sz w:val="24"/>
    </w:rPr>
  </w:style>
  <w:style w:type="paragraph" w:styleId="11">
    <w:name w:val="annotation text"/>
    <w:basedOn w:val="1"/>
    <w:link w:val="41"/>
    <w:autoRedefine/>
    <w:qFormat/>
    <w:uiPriority w:val="0"/>
    <w:pPr>
      <w:jc w:val="left"/>
    </w:pPr>
  </w:style>
  <w:style w:type="paragraph" w:styleId="12">
    <w:name w:val="Plain Text"/>
    <w:basedOn w:val="1"/>
    <w:autoRedefine/>
    <w:qFormat/>
    <w:uiPriority w:val="0"/>
    <w:pPr>
      <w:adjustRightInd w:val="0"/>
      <w:snapToGrid w:val="0"/>
      <w:spacing w:line="360" w:lineRule="auto"/>
    </w:pPr>
    <w:rPr>
      <w:rFonts w:ascii="宋体" w:hAnsi="Courier New"/>
      <w:sz w:val="21"/>
    </w:rPr>
  </w:style>
  <w:style w:type="paragraph" w:styleId="13">
    <w:name w:val="Date"/>
    <w:basedOn w:val="1"/>
    <w:next w:val="1"/>
    <w:autoRedefine/>
    <w:qFormat/>
    <w:uiPriority w:val="0"/>
  </w:style>
  <w:style w:type="paragraph" w:styleId="14">
    <w:name w:val="Balloon Text"/>
    <w:basedOn w:val="1"/>
    <w:link w:val="34"/>
    <w:autoRedefine/>
    <w:qFormat/>
    <w:uiPriority w:val="0"/>
    <w:rPr>
      <w:sz w:val="18"/>
      <w:szCs w:val="18"/>
    </w:rPr>
  </w:style>
  <w:style w:type="paragraph" w:styleId="15">
    <w:name w:val="footer"/>
    <w:basedOn w:val="1"/>
    <w:link w:val="37"/>
    <w:autoRedefine/>
    <w:qFormat/>
    <w:uiPriority w:val="99"/>
    <w:pPr>
      <w:tabs>
        <w:tab w:val="center" w:pos="4153"/>
        <w:tab w:val="right" w:pos="8306"/>
      </w:tabs>
      <w:snapToGrid w:val="0"/>
      <w:jc w:val="left"/>
    </w:pPr>
    <w:rPr>
      <w:sz w:val="18"/>
    </w:rPr>
  </w:style>
  <w:style w:type="paragraph" w:styleId="16">
    <w:name w:val="header"/>
    <w:basedOn w:val="1"/>
    <w:link w:val="38"/>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8">
    <w:name w:val="toc 2"/>
    <w:basedOn w:val="1"/>
    <w:next w:val="1"/>
    <w:autoRedefine/>
    <w:qFormat/>
    <w:uiPriority w:val="39"/>
    <w:pPr>
      <w:tabs>
        <w:tab w:val="right" w:leader="dot" w:pos="8400"/>
      </w:tabs>
      <w:spacing w:line="440" w:lineRule="exact"/>
      <w:ind w:left="280" w:leftChars="100" w:right="-91" w:rightChars="-91"/>
    </w:pPr>
  </w:style>
  <w:style w:type="paragraph" w:styleId="19">
    <w:name w:val="Normal (Web)"/>
    <w:basedOn w:val="1"/>
    <w:autoRedefine/>
    <w:qFormat/>
    <w:uiPriority w:val="0"/>
    <w:rPr>
      <w:sz w:val="24"/>
    </w:rPr>
  </w:style>
  <w:style w:type="paragraph" w:styleId="20">
    <w:name w:val="annotation subject"/>
    <w:basedOn w:val="11"/>
    <w:next w:val="11"/>
    <w:link w:val="42"/>
    <w:autoRedefine/>
    <w:qFormat/>
    <w:uiPriority w:val="0"/>
    <w:rPr>
      <w:b/>
      <w:bCs/>
    </w:rPr>
  </w:style>
  <w:style w:type="paragraph" w:styleId="21">
    <w:name w:val="Body Text First Indent"/>
    <w:basedOn w:val="1"/>
    <w:next w:val="1"/>
    <w:autoRedefine/>
    <w:qFormat/>
    <w:uiPriority w:val="0"/>
    <w:pPr>
      <w:spacing w:line="360" w:lineRule="auto"/>
      <w:ind w:firstLine="420"/>
    </w:pPr>
    <w:rPr>
      <w:rFonts w:ascii="宋体" w:hAnsi="宋体"/>
      <w:sz w:val="24"/>
    </w:rPr>
  </w:style>
  <w:style w:type="paragraph" w:styleId="22">
    <w:name w:val="Body Text First Indent 2"/>
    <w:basedOn w:val="9"/>
    <w:autoRedefine/>
    <w:qFormat/>
    <w:uiPriority w:val="0"/>
    <w:pPr>
      <w:spacing w:after="120" w:afterLines="0" w:line="240" w:lineRule="auto"/>
      <w:ind w:left="420" w:leftChars="200" w:firstLine="420" w:firstLineChars="200"/>
    </w:pPr>
    <w:rPr>
      <w:rFonts w:ascii="Times New Roman" w:hAnsi="Times New Roman" w:eastAsia="宋体" w:cs="Times New Roman"/>
    </w:rPr>
  </w:style>
  <w:style w:type="table" w:styleId="24">
    <w:name w:val="Table Grid"/>
    <w:basedOn w:val="23"/>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qFormat/>
    <w:uiPriority w:val="0"/>
    <w:rPr>
      <w:sz w:val="21"/>
      <w:szCs w:val="21"/>
    </w:rPr>
  </w:style>
  <w:style w:type="paragraph" w:customStyle="1" w:styleId="29">
    <w:name w:val="D标题5"/>
    <w:basedOn w:val="7"/>
    <w:next w:val="30"/>
    <w:autoRedefine/>
    <w:qFormat/>
    <w:uiPriority w:val="0"/>
    <w:pPr>
      <w:spacing w:before="100" w:beforeAutospacing="1" w:after="100" w:afterAutospacing="1"/>
      <w:ind w:hanging="1008"/>
    </w:pPr>
    <w:rPr>
      <w:rFonts w:eastAsia="黑体"/>
      <w:szCs w:val="20"/>
    </w:rPr>
  </w:style>
  <w:style w:type="paragraph" w:customStyle="1" w:styleId="30">
    <w:name w:val="D正文"/>
    <w:basedOn w:val="22"/>
    <w:autoRedefine/>
    <w:qFormat/>
    <w:uiPriority w:val="0"/>
    <w:pPr>
      <w:widowControl/>
      <w:spacing w:before="100" w:beforeAutospacing="1" w:after="100" w:afterAutospacing="1"/>
      <w:ind w:left="0" w:leftChars="0"/>
      <w:jc w:val="left"/>
    </w:pPr>
  </w:style>
  <w:style w:type="paragraph" w:customStyle="1" w:styleId="31">
    <w:name w:val="_Style 6"/>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32">
    <w:name w:val="正文1"/>
    <w:basedOn w:val="1"/>
    <w:next w:val="1"/>
    <w:autoRedefine/>
    <w:qFormat/>
    <w:uiPriority w:val="0"/>
    <w:pPr>
      <w:spacing w:line="300" w:lineRule="auto"/>
      <w:ind w:firstLine="200" w:firstLineChars="200"/>
    </w:pPr>
    <w:rPr>
      <w:sz w:val="24"/>
    </w:rPr>
  </w:style>
  <w:style w:type="paragraph" w:customStyle="1" w:styleId="33">
    <w:name w:val="图例"/>
    <w:basedOn w:val="1"/>
    <w:autoRedefine/>
    <w:qFormat/>
    <w:uiPriority w:val="0"/>
    <w:pPr>
      <w:spacing w:before="120" w:after="120" w:line="360" w:lineRule="auto"/>
      <w:jc w:val="center"/>
    </w:pPr>
    <w:rPr>
      <w:rFonts w:eastAsia="仿宋_GB2312"/>
      <w:b/>
      <w:sz w:val="24"/>
    </w:rPr>
  </w:style>
  <w:style w:type="character" w:customStyle="1" w:styleId="34">
    <w:name w:val="批注框文本 字符"/>
    <w:basedOn w:val="25"/>
    <w:link w:val="14"/>
    <w:autoRedefine/>
    <w:qFormat/>
    <w:uiPriority w:val="0"/>
    <w:rPr>
      <w:rFonts w:ascii="Times New Roman" w:hAnsi="Times New Roman" w:eastAsia="宋体" w:cs="Times New Roman"/>
      <w:kern w:val="2"/>
      <w:sz w:val="18"/>
      <w:szCs w:val="18"/>
    </w:rPr>
  </w:style>
  <w:style w:type="paragraph" w:customStyle="1" w:styleId="35">
    <w:name w:val="列出段落1"/>
    <w:basedOn w:val="1"/>
    <w:autoRedefine/>
    <w:qFormat/>
    <w:uiPriority w:val="99"/>
    <w:pPr>
      <w:ind w:firstLine="420" w:firstLineChars="200"/>
    </w:pPr>
  </w:style>
  <w:style w:type="paragraph" w:customStyle="1" w:styleId="36">
    <w:name w:val="BodyText"/>
    <w:basedOn w:val="1"/>
    <w:next w:val="1"/>
    <w:autoRedefine/>
    <w:qFormat/>
    <w:uiPriority w:val="0"/>
    <w:pPr>
      <w:spacing w:line="500" w:lineRule="exact"/>
      <w:textAlignment w:val="baseline"/>
    </w:pPr>
    <w:rPr>
      <w:rFonts w:ascii="宋体" w:hAnsi="宋体"/>
      <w:kern w:val="0"/>
      <w:sz w:val="21"/>
      <w:szCs w:val="24"/>
    </w:rPr>
  </w:style>
  <w:style w:type="character" w:customStyle="1" w:styleId="37">
    <w:name w:val="页脚 字符"/>
    <w:link w:val="15"/>
    <w:autoRedefine/>
    <w:qFormat/>
    <w:uiPriority w:val="99"/>
    <w:rPr>
      <w:rFonts w:ascii="Times New Roman" w:hAnsi="Times New Roman" w:eastAsia="宋体" w:cs="Times New Roman"/>
      <w:kern w:val="2"/>
      <w:sz w:val="18"/>
    </w:rPr>
  </w:style>
  <w:style w:type="character" w:customStyle="1" w:styleId="38">
    <w:name w:val="页眉 字符"/>
    <w:link w:val="16"/>
    <w:autoRedefine/>
    <w:qFormat/>
    <w:uiPriority w:val="99"/>
    <w:rPr>
      <w:rFonts w:ascii="Times New Roman" w:hAnsi="Times New Roman" w:eastAsia="宋体" w:cs="Times New Roman"/>
      <w:kern w:val="2"/>
      <w:sz w:val="18"/>
    </w:rPr>
  </w:style>
  <w:style w:type="paragraph" w:customStyle="1" w:styleId="39">
    <w:name w:val="List Paragraph1"/>
    <w:basedOn w:val="1"/>
    <w:autoRedefine/>
    <w:qFormat/>
    <w:uiPriority w:val="99"/>
    <w:pPr>
      <w:ind w:firstLine="420" w:firstLineChars="200"/>
    </w:pPr>
    <w:rPr>
      <w:szCs w:val="28"/>
    </w:rPr>
  </w:style>
  <w:style w:type="paragraph" w:customStyle="1" w:styleId="40">
    <w:name w:val="列出段落11"/>
    <w:basedOn w:val="1"/>
    <w:autoRedefine/>
    <w:qFormat/>
    <w:uiPriority w:val="34"/>
    <w:pPr>
      <w:ind w:firstLine="420" w:firstLineChars="200"/>
    </w:pPr>
  </w:style>
  <w:style w:type="character" w:customStyle="1" w:styleId="41">
    <w:name w:val="批注文字 字符"/>
    <w:basedOn w:val="25"/>
    <w:link w:val="11"/>
    <w:autoRedefine/>
    <w:qFormat/>
    <w:uiPriority w:val="0"/>
    <w:rPr>
      <w:kern w:val="2"/>
      <w:sz w:val="28"/>
    </w:rPr>
  </w:style>
  <w:style w:type="character" w:customStyle="1" w:styleId="42">
    <w:name w:val="批注主题 字符"/>
    <w:basedOn w:val="41"/>
    <w:link w:val="20"/>
    <w:autoRedefine/>
    <w:qFormat/>
    <w:uiPriority w:val="0"/>
    <w:rPr>
      <w:b/>
      <w:bCs/>
      <w:kern w:val="2"/>
      <w:sz w:val="28"/>
    </w:rPr>
  </w:style>
  <w:style w:type="character" w:customStyle="1" w:styleId="43">
    <w:name w:val="标题 2 字符"/>
    <w:basedOn w:val="25"/>
    <w:link w:val="4"/>
    <w:autoRedefine/>
    <w:qFormat/>
    <w:uiPriority w:val="0"/>
    <w:rPr>
      <w:rFonts w:hint="eastAsia" w:ascii="宋体" w:hAnsi="宋体" w:eastAsia="仿宋_GB2312" w:cs="宋体"/>
      <w:b/>
      <w:kern w:val="2"/>
      <w:sz w:val="28"/>
    </w:rPr>
  </w:style>
  <w:style w:type="character" w:customStyle="1" w:styleId="44">
    <w:name w:val="正文文本 字符"/>
    <w:basedOn w:val="25"/>
    <w:link w:val="8"/>
    <w:autoRedefine/>
    <w:qFormat/>
    <w:uiPriority w:val="0"/>
    <w:rPr>
      <w:rFonts w:hint="eastAsia" w:ascii="仿宋_GB2312" w:eastAsia="仿宋_GB2312" w:cs="仿宋_GB2312"/>
      <w:kern w:val="2"/>
      <w:sz w:val="32"/>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8383</Words>
  <Characters>8719</Characters>
  <Lines>670</Lines>
  <Paragraphs>633</Paragraphs>
  <TotalTime>2</TotalTime>
  <ScaleCrop>false</ScaleCrop>
  <LinksUpToDate>false</LinksUpToDate>
  <CharactersWithSpaces>16469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2022-09-18T09:10:00Z</dcterms:created>
  <dc:creator>微微</dc:creator>
  <cp:lastModifiedBy>麦兜兜</cp:lastModifiedBy>
  <cp:lastPrinted>2022-08-07T01:22:00Z</cp:lastPrinted>
  <dcterms:modified xsi:type="dcterms:W3CDTF">2025-05-23T06:48:04Z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489698BF5E1A479EA02B9308DAB927BE_13</vt:lpwstr>
  </property>
  <property fmtid="{D5CDD505-2E9C-101B-9397-08002B2CF9AE}" pid="4" name="KSOSaveFontToCloudKey">
    <vt:lpwstr>1104237623_embed</vt:lpwstr>
  </property>
  <property fmtid="{D5CDD505-2E9C-101B-9397-08002B2CF9AE}" pid="5" name="commondata">
    <vt:lpwstr>eyJoZGlkIjoiNTc5NGVjZjA5NjE0ZjQ1NTUzOTYyMDMwZTFmYTU3MzEifQ==</vt:lpwstr>
  </property>
</Properties>
</file>