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CE604">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32"/>
          <w:szCs w:val="32"/>
          <w:highlight w:val="none"/>
        </w:rPr>
      </w:pPr>
    </w:p>
    <w:p w14:paraId="50428ED3">
      <w:pPr>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483A5F6E">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72"/>
          <w:szCs w:val="72"/>
          <w:highlight w:val="none"/>
        </w:rPr>
      </w:pPr>
    </w:p>
    <w:p w14:paraId="7C70280F">
      <w:pPr>
        <w:pStyle w:val="2"/>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64"/>
          <w:szCs w:val="64"/>
          <w:highlight w:val="none"/>
        </w:rPr>
      </w:pPr>
    </w:p>
    <w:p w14:paraId="160FAE39">
      <w:pPr>
        <w:pStyle w:val="2"/>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64"/>
          <w:szCs w:val="64"/>
          <w:highlight w:val="none"/>
        </w:rPr>
      </w:pPr>
    </w:p>
    <w:p w14:paraId="28117D95">
      <w:pPr>
        <w:pStyle w:val="2"/>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64"/>
          <w:szCs w:val="64"/>
          <w:highlight w:val="none"/>
        </w:rPr>
      </w:pPr>
      <w:r>
        <w:rPr>
          <w:rFonts w:hint="eastAsia" w:ascii="仿宋" w:hAnsi="仿宋" w:eastAsia="仿宋" w:cs="仿宋"/>
          <w:b/>
          <w:color w:val="auto"/>
          <w:sz w:val="64"/>
          <w:szCs w:val="64"/>
          <w:highlight w:val="none"/>
        </w:rPr>
        <w:t>采购文件</w:t>
      </w:r>
    </w:p>
    <w:p w14:paraId="3E315D2B">
      <w:pPr>
        <w:pStyle w:val="2"/>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（综 合 评 分 法）</w:t>
      </w:r>
    </w:p>
    <w:p w14:paraId="1F7E9157">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重庆市南坪中学网络媒体宣传服务项目</w:t>
      </w:r>
    </w:p>
    <w:p w14:paraId="6B787F3E">
      <w:pPr>
        <w:pStyle w:val="2"/>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3A13F396">
      <w:pPr>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64FCAFE1">
      <w:pPr>
        <w:pStyle w:val="2"/>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2F55CFD6">
      <w:pPr>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1A990B21">
      <w:pPr>
        <w:pStyle w:val="2"/>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761F4C4C">
      <w:pPr>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79DD2E95">
      <w:pPr>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17A89C1B">
      <w:pPr>
        <w:pageBreakBefore w:val="0"/>
        <w:kinsoku/>
        <w:overflowPunct/>
        <w:topLinePunct w:val="0"/>
        <w:autoSpaceDE/>
        <w:autoSpaceDN/>
        <w:bidi w:val="0"/>
        <w:adjustRightInd/>
        <w:snapToGrid w:val="0"/>
        <w:spacing w:line="312" w:lineRule="auto"/>
        <w:ind w:firstLine="964" w:firstLineChars="300"/>
        <w:jc w:val="center"/>
        <w:rPr>
          <w:rFonts w:hint="eastAsia" w:ascii="仿宋" w:hAnsi="仿宋" w:eastAsia="仿宋" w:cs="仿宋"/>
          <w:b/>
          <w:color w:val="auto"/>
          <w:sz w:val="32"/>
          <w:szCs w:val="32"/>
          <w:highlight w:val="none"/>
        </w:rPr>
      </w:pPr>
    </w:p>
    <w:p w14:paraId="6DB1518F">
      <w:pPr>
        <w:pageBreakBefore w:val="0"/>
        <w:kinsoku/>
        <w:overflowPunct/>
        <w:topLinePunct w:val="0"/>
        <w:autoSpaceDE/>
        <w:autoSpaceDN/>
        <w:bidi w:val="0"/>
        <w:adjustRightInd/>
        <w:snapToGrid w:val="0"/>
        <w:spacing w:line="312" w:lineRule="auto"/>
        <w:ind w:left="0" w:leftChars="0" w:firstLine="0" w:firstLineChars="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 购人：</w:t>
      </w:r>
      <w:r>
        <w:rPr>
          <w:rFonts w:hint="eastAsia" w:ascii="仿宋" w:hAnsi="仿宋" w:eastAsia="仿宋" w:cs="仿宋"/>
          <w:b/>
          <w:color w:val="auto"/>
          <w:sz w:val="32"/>
          <w:szCs w:val="32"/>
          <w:highlight w:val="none"/>
          <w:lang w:eastAsia="zh-CN"/>
        </w:rPr>
        <w:t>重庆市南坪中学校</w:t>
      </w:r>
    </w:p>
    <w:p w14:paraId="2F257FD0">
      <w:pPr>
        <w:pageBreakBefore w:val="0"/>
        <w:kinsoku/>
        <w:overflowPunct/>
        <w:topLinePunct w:val="0"/>
        <w:autoSpaceDE/>
        <w:autoSpaceDN/>
        <w:bidi w:val="0"/>
        <w:adjustRightInd/>
        <w:snapToGrid w:val="0"/>
        <w:spacing w:line="312"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采购代理机构：重庆普聚工程咨询有限公司</w:t>
      </w:r>
    </w:p>
    <w:p w14:paraId="12E2B6B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sectPr>
          <w:headerReference r:id="rId3" w:type="default"/>
          <w:pgSz w:w="11907" w:h="16840"/>
          <w:pgMar w:top="1134" w:right="1247" w:bottom="1134" w:left="1247" w:header="851" w:footer="992" w:gutter="0"/>
          <w:pgNumType w:start="1"/>
          <w:cols w:space="720" w:num="1"/>
          <w:docGrid w:linePitch="381" w:charSpace="-5735"/>
        </w:sect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月</w:t>
      </w:r>
    </w:p>
    <w:p w14:paraId="40337CA0">
      <w:pPr>
        <w:pageBreakBefore w:val="0"/>
        <w:kinsoku/>
        <w:overflowPunct/>
        <w:topLinePunct w:val="0"/>
        <w:autoSpaceDE/>
        <w:autoSpaceDN/>
        <w:bidi w:val="0"/>
        <w:adjustRightInd/>
        <w:snapToGrid w:val="0"/>
        <w:spacing w:line="312" w:lineRule="auto"/>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目  录</w:t>
      </w:r>
    </w:p>
    <w:p w14:paraId="7FF67725">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"_Toc11097"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第一篇  采购公告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_Toc11097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A27F7D">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"_Toc25630"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_Toc25630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32B94E">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"_Toc412"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第三篇  项目商务要求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_Toc412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8020A8">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"_Toc27973"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第四篇  资格审查及评标办法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_Toc27973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AEB0DD1">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"_Toc27619"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第五篇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_Toc27619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0C13B34">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"_Toc26968"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第六篇  合同主要条款和格式合同（样本）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_Toc26968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126A6C">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"_Toc11628"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第七篇  响应文件格式要求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_Toc11628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C0FC97">
      <w:pPr>
        <w:pStyle w:val="12"/>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5680E3">
      <w:pPr>
        <w:pStyle w:val="12"/>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"_Toc24658"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二、技术部分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07E2B87">
      <w:pPr>
        <w:pStyle w:val="12"/>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"_Toc7672"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三、商务部分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_Toc7672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8FE08EB">
      <w:pPr>
        <w:pStyle w:val="12"/>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"_Toc21733"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四、资格条件及其他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_Toc21733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F57D4BD">
      <w:pPr>
        <w:pStyle w:val="12"/>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"_Toc22647"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五、其他应提供的资料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_Toc22647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8549B0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sectPr>
          <w:headerReference r:id="rId5" w:type="first"/>
          <w:footerReference r:id="rId7" w:type="first"/>
          <w:headerReference r:id="rId4" w:type="default"/>
          <w:footerReference r:id="rId6" w:type="default"/>
          <w:pgSz w:w="11907" w:h="16840"/>
          <w:pgMar w:top="1440" w:right="1797" w:bottom="1440" w:left="1797" w:header="851" w:footer="992" w:gutter="0"/>
          <w:pgNumType w:fmt="numberInDash" w:start="1"/>
          <w:cols w:space="720" w:num="1"/>
          <w:titlePg/>
          <w:docGrid w:type="lines" w:linePitch="380" w:charSpace="-5735"/>
        </w:sectPr>
      </w:pPr>
      <w:r>
        <w:rPr>
          <w:rFonts w:hint="eastAsia" w:ascii="仿宋" w:hAnsi="仿宋" w:eastAsia="仿宋" w:cs="仿宋"/>
          <w:bCs/>
          <w:color w:val="auto"/>
          <w:szCs w:val="24"/>
          <w:highlight w:val="none"/>
        </w:rPr>
        <w:fldChar w:fldCharType="end"/>
      </w:r>
    </w:p>
    <w:p w14:paraId="6137C3BA">
      <w:pPr>
        <w:pStyle w:val="4"/>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bookmarkStart w:id="0" w:name="_Toc152480139"/>
      <w:bookmarkStart w:id="1" w:name="_Toc11097"/>
      <w:bookmarkStart w:id="2" w:name="_Toc12789052"/>
      <w:bookmarkStart w:id="3" w:name="_Toc128744981"/>
      <w:bookmarkStart w:id="4" w:name="_Toc11641050"/>
      <w:r>
        <w:rPr>
          <w:rStyle w:val="38"/>
          <w:rFonts w:hint="eastAsia" w:ascii="仿宋" w:hAnsi="仿宋" w:eastAsia="仿宋" w:cs="仿宋"/>
          <w:b/>
          <w:bCs/>
          <w:color w:val="auto"/>
          <w:highlight w:val="none"/>
        </w:rPr>
        <w:t xml:space="preserve">第一篇  </w:t>
      </w:r>
      <w:bookmarkEnd w:id="0"/>
      <w:r>
        <w:rPr>
          <w:rStyle w:val="38"/>
          <w:rFonts w:hint="eastAsia" w:ascii="仿宋" w:hAnsi="仿宋" w:eastAsia="仿宋" w:cs="仿宋"/>
          <w:b/>
          <w:bCs/>
          <w:color w:val="auto"/>
          <w:highlight w:val="none"/>
        </w:rPr>
        <w:t>采购公告</w:t>
      </w:r>
      <w:bookmarkEnd w:id="1"/>
    </w:p>
    <w:p w14:paraId="228B6F1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bookmarkStart w:id="5" w:name="_Toc379619850"/>
      <w:r>
        <w:rPr>
          <w:rFonts w:hint="eastAsia" w:ascii="仿宋" w:hAnsi="仿宋" w:eastAsia="仿宋" w:cs="仿宋"/>
          <w:color w:val="auto"/>
          <w:sz w:val="24"/>
          <w:szCs w:val="24"/>
          <w:highlight w:val="none"/>
          <w:u w:val="single"/>
        </w:rPr>
        <w:t>重庆普聚工程咨询有限公司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lang w:eastAsia="zh-CN"/>
        </w:rPr>
        <w:t>重庆市南坪中学校</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eastAsia="zh-CN"/>
        </w:rPr>
        <w:t>重庆市南坪中学网络媒体宣传服务项目</w:t>
      </w:r>
      <w:r>
        <w:rPr>
          <w:rFonts w:hint="eastAsia" w:ascii="仿宋" w:hAnsi="仿宋" w:eastAsia="仿宋" w:cs="仿宋"/>
          <w:color w:val="auto"/>
          <w:sz w:val="24"/>
          <w:szCs w:val="24"/>
          <w:highlight w:val="none"/>
        </w:rPr>
        <w:t>项目进行采购。欢迎具备相关资质的供应商参加采购。</w:t>
      </w:r>
    </w:p>
    <w:p w14:paraId="1A96D4E2">
      <w:pPr>
        <w:pStyle w:val="5"/>
        <w:pageBreakBefore w:val="0"/>
        <w:numPr>
          <w:ilvl w:val="0"/>
          <w:numId w:val="2"/>
        </w:numPr>
        <w:kinsoku/>
        <w:overflowPunct/>
        <w:topLinePunct w:val="0"/>
        <w:autoSpaceDE/>
        <w:autoSpaceDN/>
        <w:bidi w:val="0"/>
        <w:adjustRightInd/>
        <w:snapToGrid w:val="0"/>
        <w:spacing w:before="0" w:after="0" w:line="312" w:lineRule="auto"/>
        <w:jc w:val="left"/>
        <w:rPr>
          <w:rFonts w:hint="eastAsia" w:ascii="仿宋" w:hAnsi="仿宋" w:eastAsia="仿宋" w:cs="仿宋"/>
          <w:color w:val="auto"/>
          <w:sz w:val="24"/>
          <w:szCs w:val="24"/>
          <w:highlight w:val="none"/>
        </w:rPr>
      </w:pPr>
      <w:bookmarkStart w:id="6" w:name="_Toc24133"/>
      <w:r>
        <w:rPr>
          <w:rFonts w:hint="eastAsia" w:ascii="仿宋" w:hAnsi="仿宋" w:eastAsia="仿宋" w:cs="仿宋"/>
          <w:color w:val="auto"/>
          <w:sz w:val="24"/>
          <w:szCs w:val="24"/>
          <w:highlight w:val="none"/>
        </w:rPr>
        <w:t>采购项目内容</w:t>
      </w:r>
      <w:bookmarkEnd w:id="5"/>
      <w:bookmarkEnd w:id="6"/>
    </w:p>
    <w:tbl>
      <w:tblPr>
        <w:tblStyle w:val="24"/>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1453"/>
        <w:gridCol w:w="2142"/>
      </w:tblGrid>
      <w:tr w14:paraId="5613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772" w:type="dxa"/>
            <w:tcBorders>
              <w:top w:val="single" w:color="auto" w:sz="4" w:space="0"/>
              <w:left w:val="single" w:color="auto" w:sz="4" w:space="0"/>
              <w:right w:val="single" w:color="auto" w:sz="4" w:space="0"/>
            </w:tcBorders>
            <w:noWrap w:val="0"/>
            <w:vAlign w:val="center"/>
          </w:tcPr>
          <w:p w14:paraId="5F33632D">
            <w:pPr>
              <w:widowControl/>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项目名称</w:t>
            </w:r>
          </w:p>
        </w:tc>
        <w:tc>
          <w:tcPr>
            <w:tcW w:w="1453" w:type="dxa"/>
            <w:tcBorders>
              <w:top w:val="single" w:color="auto" w:sz="4" w:space="0"/>
              <w:left w:val="single" w:color="auto" w:sz="4" w:space="0"/>
              <w:right w:val="single" w:color="auto" w:sz="4" w:space="0"/>
            </w:tcBorders>
            <w:noWrap w:val="0"/>
            <w:vAlign w:val="center"/>
          </w:tcPr>
          <w:p w14:paraId="1BE86549">
            <w:pPr>
              <w:widowControl/>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采购预算</w:t>
            </w:r>
          </w:p>
          <w:p w14:paraId="06A23D8F">
            <w:pPr>
              <w:widowControl/>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（万元）</w:t>
            </w:r>
          </w:p>
        </w:tc>
        <w:tc>
          <w:tcPr>
            <w:tcW w:w="2142" w:type="dxa"/>
            <w:tcBorders>
              <w:top w:val="single" w:color="auto" w:sz="4" w:space="0"/>
              <w:left w:val="single" w:color="auto" w:sz="4" w:space="0"/>
              <w:right w:val="single" w:color="auto" w:sz="4" w:space="0"/>
            </w:tcBorders>
            <w:noWrap w:val="0"/>
            <w:vAlign w:val="center"/>
          </w:tcPr>
          <w:p w14:paraId="324A9CCF">
            <w:pPr>
              <w:widowControl/>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成交供应商数量（名）</w:t>
            </w:r>
          </w:p>
        </w:tc>
      </w:tr>
      <w:tr w14:paraId="435E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772" w:type="dxa"/>
            <w:tcBorders>
              <w:top w:val="single" w:color="auto" w:sz="4" w:space="0"/>
              <w:left w:val="single" w:color="auto" w:sz="4" w:space="0"/>
              <w:bottom w:val="single" w:color="auto" w:sz="4" w:space="0"/>
              <w:right w:val="single" w:color="auto" w:sz="4" w:space="0"/>
            </w:tcBorders>
            <w:noWrap w:val="0"/>
            <w:vAlign w:val="center"/>
          </w:tcPr>
          <w:p w14:paraId="5F7A8F8E">
            <w:pPr>
              <w:widowControl/>
              <w:numPr>
                <w:ilvl w:val="0"/>
                <w:numId w:val="0"/>
              </w:numPr>
              <w:jc w:val="center"/>
              <w:rPr>
                <w:rFonts w:hint="eastAsia" w:ascii="仿宋" w:hAnsi="仿宋" w:eastAsia="仿宋" w:cs="仿宋"/>
                <w:b/>
                <w:bCs/>
                <w:color w:val="auto"/>
                <w:kern w:val="0"/>
                <w:sz w:val="21"/>
                <w:szCs w:val="24"/>
                <w:highlight w:val="none"/>
              </w:rPr>
            </w:pPr>
            <w:bookmarkStart w:id="7" w:name="_Hlk344477914"/>
            <w:r>
              <w:rPr>
                <w:rFonts w:hint="eastAsia" w:ascii="仿宋" w:hAnsi="仿宋" w:eastAsia="仿宋" w:cs="仿宋"/>
                <w:b/>
                <w:bCs/>
                <w:color w:val="auto"/>
                <w:kern w:val="0"/>
                <w:sz w:val="21"/>
                <w:szCs w:val="24"/>
                <w:highlight w:val="none"/>
                <w:lang w:eastAsia="zh-CN"/>
              </w:rPr>
              <w:t>重庆市南坪中学网络媒体宣传服务项目</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40B102C">
            <w:pPr>
              <w:widowControl/>
              <w:jc w:val="center"/>
              <w:rPr>
                <w:rFonts w:hint="default" w:ascii="仿宋" w:hAnsi="仿宋" w:eastAsia="仿宋" w:cs="仿宋"/>
                <w:b/>
                <w:bCs/>
                <w:color w:val="auto"/>
                <w:kern w:val="0"/>
                <w:sz w:val="21"/>
                <w:szCs w:val="24"/>
                <w:highlight w:val="none"/>
                <w:lang w:val="en-US" w:eastAsia="zh-CN"/>
              </w:rPr>
            </w:pPr>
            <w:r>
              <w:rPr>
                <w:rFonts w:hint="eastAsia" w:ascii="仿宋" w:hAnsi="仿宋" w:eastAsia="仿宋" w:cs="仿宋"/>
                <w:b/>
                <w:bCs/>
                <w:color w:val="auto"/>
                <w:kern w:val="0"/>
                <w:sz w:val="21"/>
                <w:szCs w:val="24"/>
                <w:highlight w:val="none"/>
                <w:lang w:val="en-US" w:eastAsia="zh-CN"/>
              </w:rPr>
              <w:t>7</w:t>
            </w:r>
          </w:p>
        </w:tc>
        <w:tc>
          <w:tcPr>
            <w:tcW w:w="2142" w:type="dxa"/>
            <w:tcBorders>
              <w:top w:val="single" w:color="auto" w:sz="4" w:space="0"/>
              <w:left w:val="single" w:color="auto" w:sz="4" w:space="0"/>
              <w:bottom w:val="single" w:color="auto" w:sz="4" w:space="0"/>
              <w:right w:val="single" w:color="auto" w:sz="4" w:space="0"/>
            </w:tcBorders>
            <w:noWrap w:val="0"/>
            <w:vAlign w:val="center"/>
          </w:tcPr>
          <w:p w14:paraId="5E5C09A4">
            <w:pPr>
              <w:widowControl/>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1</w:t>
            </w:r>
          </w:p>
        </w:tc>
      </w:tr>
      <w:bookmarkEnd w:id="7"/>
    </w:tbl>
    <w:p w14:paraId="6DCCC534">
      <w:pPr>
        <w:pStyle w:val="5"/>
        <w:pageBreakBefore w:val="0"/>
        <w:numPr>
          <w:ilvl w:val="0"/>
          <w:numId w:val="3"/>
        </w:numPr>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8" w:name="_Toc27485"/>
      <w:bookmarkStart w:id="9" w:name="_Toc152480140"/>
      <w:r>
        <w:rPr>
          <w:rFonts w:hint="eastAsia" w:ascii="仿宋" w:hAnsi="仿宋" w:eastAsia="仿宋" w:cs="仿宋"/>
          <w:color w:val="auto"/>
          <w:sz w:val="24"/>
          <w:szCs w:val="24"/>
          <w:highlight w:val="none"/>
        </w:rPr>
        <w:t>采购预算金额</w:t>
      </w:r>
    </w:p>
    <w:p w14:paraId="657F7AA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预算金额为人民币</w:t>
      </w:r>
      <w:r>
        <w:rPr>
          <w:rFonts w:hint="eastAsia" w:ascii="仿宋" w:hAnsi="仿宋" w:eastAsia="仿宋" w:cs="仿宋"/>
          <w:color w:val="auto"/>
          <w:sz w:val="24"/>
          <w:szCs w:val="24"/>
          <w:highlight w:val="none"/>
          <w:lang w:val="en-US" w:eastAsia="zh-CN"/>
        </w:rPr>
        <w:t>7万</w:t>
      </w:r>
      <w:r>
        <w:rPr>
          <w:rFonts w:hint="eastAsia" w:ascii="仿宋" w:hAnsi="仿宋" w:eastAsia="仿宋" w:cs="仿宋"/>
          <w:color w:val="auto"/>
          <w:sz w:val="24"/>
          <w:szCs w:val="24"/>
          <w:highlight w:val="none"/>
        </w:rPr>
        <w:t>元。</w:t>
      </w:r>
    </w:p>
    <w:p w14:paraId="4E349392">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三、资格要求</w:t>
      </w:r>
      <w:bookmarkEnd w:id="8"/>
    </w:p>
    <w:p w14:paraId="43CE67F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供应商是指向采购人提供服务或者货物的法人、其他组织或者自然人。合格的供应商应符合政府采购法第二十二条规定的基本资格条件和采购方设置的特定资格条件。</w:t>
      </w:r>
    </w:p>
    <w:p w14:paraId="0E24BCA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bookmarkStart w:id="10" w:name="_Toc1359"/>
      <w:bookmarkStart w:id="11" w:name="_Toc487204774"/>
      <w:r>
        <w:rPr>
          <w:rFonts w:hint="eastAsia" w:ascii="仿宋" w:hAnsi="仿宋" w:eastAsia="仿宋" w:cs="仿宋"/>
          <w:color w:val="auto"/>
          <w:sz w:val="24"/>
          <w:szCs w:val="24"/>
          <w:highlight w:val="none"/>
        </w:rPr>
        <w:t>（一）基本资格条件</w:t>
      </w:r>
    </w:p>
    <w:p w14:paraId="3D580CD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9A45BE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0031796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05710C8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67CF4E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4B2271E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399999E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14:paraId="68E45E59">
      <w:pPr>
        <w:pageBreakBefore w:val="0"/>
        <w:kinsoku/>
        <w:overflowPunct/>
        <w:topLinePunct w:val="0"/>
        <w:autoSpaceDE/>
        <w:autoSpaceDN/>
        <w:bidi w:val="0"/>
        <w:adjustRightInd/>
        <w:snapToGrid w:val="0"/>
        <w:spacing w:line="312"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p w14:paraId="464CBEC4">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2" w:name="_Toc7308"/>
      <w:r>
        <w:rPr>
          <w:rFonts w:hint="eastAsia" w:ascii="仿宋" w:hAnsi="仿宋" w:eastAsia="仿宋" w:cs="仿宋"/>
          <w:color w:val="auto"/>
          <w:sz w:val="24"/>
          <w:szCs w:val="24"/>
          <w:highlight w:val="none"/>
        </w:rPr>
        <w:t>四、采购有关说明</w:t>
      </w:r>
      <w:bookmarkEnd w:id="10"/>
      <w:bookmarkEnd w:id="11"/>
      <w:bookmarkEnd w:id="12"/>
    </w:p>
    <w:p w14:paraId="655E900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行采家”（https://www.gec123.com）登记加入供应商库。</w:t>
      </w:r>
    </w:p>
    <w:p w14:paraId="1B6E03B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（二）凡有意参加采购的供应商，请于公告发布之日起至提交首次响应文件截止时间之前，在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”下载本项目采购文件以及补遗等采购前公布的所有项目资料，无论供应商下载与否，均视为已知晓所有采购实质性要求内容。</w:t>
      </w:r>
    </w:p>
    <w:p w14:paraId="4312D93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（三）网上竞采报名</w:t>
      </w:r>
    </w:p>
    <w:p w14:paraId="3C43295F">
      <w:pPr>
        <w:snapToGrid w:val="0"/>
        <w:spacing w:line="440" w:lineRule="exact"/>
        <w:ind w:firstLine="480" w:firstLineChars="200"/>
        <w:rPr>
          <w:rFonts w:hint="eastAsia" w:ascii="仿宋" w:hAnsi="仿宋" w:eastAsia="仿宋" w:cs="仿宋"/>
          <w:color w:val="auto"/>
          <w:sz w:val="24"/>
          <w:szCs w:val="24"/>
          <w:highlight w:val="none"/>
          <w:lang w:val="en-US" w:eastAsia="zh-CN"/>
        </w:rPr>
      </w:pPr>
      <w:bookmarkStart w:id="13" w:name="_Toc487204776"/>
      <w:bookmarkStart w:id="14" w:name="_Toc8911"/>
      <w:bookmarkStart w:id="15" w:name="_Toc24666"/>
      <w:r>
        <w:rPr>
          <w:rFonts w:hint="eastAsia" w:ascii="仿宋" w:hAnsi="仿宋" w:eastAsia="仿宋" w:cs="仿宋"/>
          <w:color w:val="auto"/>
          <w:sz w:val="24"/>
          <w:szCs w:val="24"/>
          <w:highlight w:val="none"/>
          <w:lang w:val="en-US" w:eastAsia="zh-CN"/>
        </w:rPr>
        <w:t>1.采购文件每套售价300元，在报名期内网上上传响应文件的供应商，其响应文件才被接受。采购文件购买费用和响应文件一并递交。</w:t>
      </w:r>
    </w:p>
    <w:p w14:paraId="1DB2AC26">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（四）线上报价</w:t>
      </w:r>
    </w:p>
    <w:p w14:paraId="29277647">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1.线上报价时间：按本项目网上公告规定的报价截止时间为准。</w:t>
      </w:r>
    </w:p>
    <w:p w14:paraId="14D2E277">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线上报价要求：按本项目规定的时间在“重庆市行采家（https://www.gec123.com/）”进行网上报价，并在规定的时间内上传响应文件电子文档。未在规定时间内报价和上传响应文件电子文档的供应商不具备竞标资格。</w:t>
      </w:r>
    </w:p>
    <w:p w14:paraId="28D7C491">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3.供应商制作的响应文件电子文档，须按照要求制作，规定签字、盖章的地方必须按其规定签字、盖章，未按要求制作响应文件的按无效投标处理。</w:t>
      </w:r>
    </w:p>
    <w:p w14:paraId="6D75273F">
      <w:pPr>
        <w:snapToGrid w:val="0"/>
        <w:spacing w:line="440" w:lineRule="exact"/>
        <w:ind w:firstLine="480" w:firstLineChars="200"/>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（五）响应文件现场递交时间：</w:t>
      </w:r>
      <w:r>
        <w:rPr>
          <w:rFonts w:hint="eastAsia" w:ascii="仿宋" w:hAnsi="仿宋" w:eastAsia="仿宋" w:cs="仿宋"/>
          <w:b/>
          <w:bCs/>
          <w:color w:val="FF0000"/>
          <w:sz w:val="24"/>
          <w:szCs w:val="24"/>
          <w:highlight w:val="none"/>
          <w:lang w:val="en-US" w:eastAsia="zh-CN"/>
        </w:rPr>
        <w:t>2025年7月30日北京时间09：30--10:00。</w:t>
      </w:r>
    </w:p>
    <w:p w14:paraId="049E4142">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（六）响应文件现场递交地点：</w:t>
      </w:r>
      <w:r>
        <w:rPr>
          <w:rFonts w:hint="eastAsia" w:ascii="仿宋" w:hAnsi="仿宋" w:eastAsia="仿宋" w:cs="仿宋"/>
          <w:color w:val="auto"/>
          <w:sz w:val="24"/>
          <w:szCs w:val="24"/>
          <w:highlight w:val="none"/>
          <w:lang w:eastAsia="zh-CN"/>
        </w:rPr>
        <w:t>重庆市南坪中学校</w:t>
      </w:r>
      <w:r>
        <w:rPr>
          <w:rFonts w:hint="eastAsia" w:ascii="仿宋" w:hAnsi="仿宋" w:eastAsia="仿宋" w:cs="仿宋"/>
          <w:color w:val="auto"/>
          <w:sz w:val="24"/>
          <w:szCs w:val="24"/>
          <w:highlight w:val="none"/>
          <w:lang w:val="en-US" w:eastAsia="zh-CN"/>
        </w:rPr>
        <w:t>会议室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具体会议室当日询问学校门卫老师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14:paraId="205786A6">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现场递交纸质响应文件一式三份，其中正本一份，副本两份，副本可为正本的复印件。上传的响应文件电子文档内容应与纸质文件正本、副本一致，若供应商的线上报价与纸质响应文件报价函中的报价不一致，按废标处理。</w:t>
      </w:r>
    </w:p>
    <w:p w14:paraId="1A46B4BD">
      <w:pPr>
        <w:snapToGrid w:val="0"/>
        <w:spacing w:line="440" w:lineRule="exact"/>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（八）开标时间：</w:t>
      </w:r>
      <w:r>
        <w:rPr>
          <w:rFonts w:hint="eastAsia" w:ascii="仿宋" w:hAnsi="仿宋" w:eastAsia="仿宋" w:cs="仿宋"/>
          <w:b/>
          <w:bCs/>
          <w:color w:val="FF0000"/>
          <w:sz w:val="24"/>
          <w:szCs w:val="24"/>
          <w:highlight w:val="none"/>
          <w:lang w:val="en-US" w:eastAsia="zh-CN"/>
        </w:rPr>
        <w:t>2025年7月30日10:00</w:t>
      </w:r>
      <w:r>
        <w:rPr>
          <w:rFonts w:hint="eastAsia" w:ascii="仿宋" w:hAnsi="仿宋" w:eastAsia="仿宋" w:cs="仿宋"/>
          <w:b/>
          <w:bCs/>
          <w:color w:val="auto"/>
          <w:sz w:val="24"/>
          <w:szCs w:val="24"/>
          <w:highlight w:val="none"/>
          <w:lang w:val="en-US" w:eastAsia="zh-CN"/>
        </w:rPr>
        <w:t>。</w:t>
      </w:r>
    </w:p>
    <w:p w14:paraId="21539616">
      <w:pPr>
        <w:snapToGrid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（九）已参与线上报价的供应商应在规定的时间内现场递交纸质响应文件，否则按无效投标处理。</w:t>
      </w:r>
    </w:p>
    <w:p w14:paraId="5C22060E">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五、采购有关规定</w:t>
      </w:r>
      <w:bookmarkEnd w:id="13"/>
      <w:bookmarkEnd w:id="14"/>
      <w:bookmarkEnd w:id="15"/>
    </w:p>
    <w:p w14:paraId="35C087A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（一）单位负责人为同一人或者存在直接控股、管理关系的不同供应商，不得参加同一合同项下的政府采购活动，否则均为无效响应。</w:t>
      </w:r>
    </w:p>
    <w:p w14:paraId="3CF0636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（二）为采购项目提供整体设计、规范编制或者项目管理、监理、检测等服务的供应商，不得再参加该采购项目的其他采购活动，否则均为无效响应。</w:t>
      </w:r>
    </w:p>
    <w:p w14:paraId="36EEA8E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上发布，请各供应商注意下载；无论供应商下载与否，均视同供应商已知晓本项目补遗文件（如果有）的内容。</w:t>
      </w:r>
    </w:p>
    <w:p w14:paraId="3A36C1A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（四）供应商未在规定的时间上传响应文件电子文档，视为弃权。</w:t>
      </w:r>
    </w:p>
    <w:p w14:paraId="25987CD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（五）投标费用：无论采购结果如何，供应商参与本项目投标的所有费用均应由供应商自行承担。</w:t>
      </w:r>
    </w:p>
    <w:p w14:paraId="12B01B1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7DFF087D">
      <w:pPr>
        <w:pStyle w:val="2"/>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六、评审信息</w:t>
      </w:r>
    </w:p>
    <w:p w14:paraId="066794C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p>
    <w:p w14:paraId="077D1DA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评审地点</w:t>
      </w:r>
      <w:r>
        <w:rPr>
          <w:rFonts w:hint="eastAsia" w:ascii="仿宋" w:hAnsi="仿宋" w:eastAsia="仿宋" w:cs="仿宋"/>
          <w:color w:val="auto"/>
          <w:sz w:val="24"/>
          <w:szCs w:val="24"/>
          <w:highlight w:val="none"/>
          <w:lang w:eastAsia="zh-CN"/>
        </w:rPr>
        <w:t>重庆市南坪中学校</w:t>
      </w:r>
      <w:r>
        <w:rPr>
          <w:rFonts w:hint="eastAsia" w:ascii="仿宋" w:hAnsi="仿宋" w:eastAsia="仿宋" w:cs="仿宋"/>
          <w:color w:val="auto"/>
          <w:sz w:val="24"/>
          <w:szCs w:val="24"/>
          <w:highlight w:val="none"/>
          <w:lang w:val="en-US" w:eastAsia="zh-CN"/>
        </w:rPr>
        <w:t>会议室</w:t>
      </w:r>
      <w:r>
        <w:rPr>
          <w:rFonts w:hint="eastAsia" w:ascii="仿宋" w:hAnsi="仿宋" w:eastAsia="仿宋" w:cs="仿宋"/>
          <w:color w:val="auto"/>
          <w:sz w:val="24"/>
          <w:szCs w:val="24"/>
          <w:highlight w:val="none"/>
        </w:rPr>
        <w:t>。</w:t>
      </w:r>
    </w:p>
    <w:p w14:paraId="64C18B72">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6" w:name="_Toc6018"/>
      <w:r>
        <w:rPr>
          <w:rFonts w:hint="eastAsia" w:ascii="仿宋" w:hAnsi="仿宋" w:eastAsia="仿宋" w:cs="仿宋"/>
          <w:color w:val="auto"/>
          <w:sz w:val="24"/>
          <w:szCs w:val="24"/>
          <w:highlight w:val="none"/>
        </w:rPr>
        <w:t>七、联系方式</w:t>
      </w:r>
      <w:bookmarkEnd w:id="16"/>
    </w:p>
    <w:p w14:paraId="3BE6266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重庆市南坪中学校</w:t>
      </w:r>
    </w:p>
    <w:p w14:paraId="0D9CBF4E">
      <w:pPr>
        <w:pageBreakBefore w:val="0"/>
        <w:kinsoku/>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w:t>
      </w:r>
      <w:r>
        <w:rPr>
          <w:rFonts w:hint="eastAsia" w:ascii="仿宋" w:hAnsi="仿宋" w:eastAsia="仿宋" w:cs="仿宋"/>
          <w:color w:val="auto"/>
          <w:sz w:val="24"/>
          <w:szCs w:val="24"/>
          <w:highlight w:val="none"/>
          <w:lang w:val="en-US" w:eastAsia="zh-CN"/>
        </w:rPr>
        <w:t>叶老师</w:t>
      </w:r>
    </w:p>
    <w:p w14:paraId="21FB08E1">
      <w:pPr>
        <w:pageBreakBefore w:val="0"/>
        <w:kinsoku/>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w:t>
      </w:r>
      <w:r>
        <w:rPr>
          <w:rFonts w:hint="eastAsia" w:ascii="仿宋" w:hAnsi="仿宋" w:eastAsia="仿宋" w:cs="仿宋"/>
          <w:color w:val="auto"/>
          <w:sz w:val="24"/>
          <w:szCs w:val="24"/>
          <w:highlight w:val="none"/>
          <w:lang w:val="en-US" w:eastAsia="zh-CN"/>
        </w:rPr>
        <w:t xml:space="preserve">023-62773078 </w:t>
      </w:r>
    </w:p>
    <w:p w14:paraId="223B5316">
      <w:pPr>
        <w:pageBreakBefore w:val="0"/>
        <w:kinsoku/>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 </w:t>
      </w:r>
      <w:r>
        <w:rPr>
          <w:rFonts w:hint="eastAsia" w:ascii="仿宋" w:hAnsi="仿宋" w:eastAsia="仿宋" w:cs="仿宋"/>
          <w:color w:val="auto"/>
          <w:sz w:val="24"/>
          <w:szCs w:val="24"/>
          <w:highlight w:val="none"/>
          <w:lang w:val="en-US" w:eastAsia="zh-CN"/>
        </w:rPr>
        <w:t>重庆市南岸区白鹤路138号</w:t>
      </w:r>
    </w:p>
    <w:p w14:paraId="63229BCD">
      <w:pPr>
        <w:pageBreakBefore w:val="0"/>
        <w:kinsoku/>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p>
    <w:p w14:paraId="5B3CC73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p>
    <w:p w14:paraId="12B34FE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（二）采购代理机构：重庆普聚工程咨询有限公司</w:t>
      </w:r>
    </w:p>
    <w:p w14:paraId="57660096">
      <w:pPr>
        <w:pageBreakBefore w:val="0"/>
        <w:kinsoku/>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付老师</w:t>
      </w:r>
    </w:p>
    <w:p w14:paraId="0A85F2D4">
      <w:pPr>
        <w:pageBreakBefore w:val="0"/>
        <w:kinsoku/>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023-62482276</w:t>
      </w:r>
    </w:p>
    <w:p w14:paraId="6CEF5762">
      <w:pPr>
        <w:pageBreakBefore w:val="0"/>
        <w:kinsoku/>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rPr>
        <w:sectPr>
          <w:footerReference r:id="rId8" w:type="default"/>
          <w:pgSz w:w="11907" w:h="16840"/>
          <w:pgMar w:top="1440" w:right="1423" w:bottom="1440" w:left="1423" w:header="964" w:footer="992" w:gutter="0"/>
          <w:pgNumType w:fmt="decimal" w:start="1"/>
          <w:cols w:space="720" w:num="1"/>
          <w:docGrid w:type="linesAndChars" w:linePitch="312" w:charSpace="0"/>
        </w:sectPr>
      </w:pPr>
      <w:r>
        <w:rPr>
          <w:rFonts w:hint="eastAsia" w:ascii="仿宋" w:hAnsi="仿宋" w:eastAsia="仿宋" w:cs="仿宋"/>
          <w:color w:val="auto"/>
          <w:sz w:val="24"/>
          <w:szCs w:val="24"/>
          <w:highlight w:val="none"/>
        </w:rPr>
        <w:t xml:space="preserve">地  址： </w:t>
      </w:r>
      <w:bookmarkEnd w:id="9"/>
      <w:bookmarkStart w:id="17" w:name="_Toc376349875"/>
      <w:bookmarkStart w:id="18" w:name="_Toc152480141"/>
      <w:bookmarkStart w:id="19" w:name="_Toc102227313"/>
      <w:r>
        <w:rPr>
          <w:rFonts w:hint="eastAsia" w:ascii="仿宋" w:hAnsi="仿宋" w:eastAsia="仿宋" w:cs="仿宋"/>
          <w:color w:val="auto"/>
          <w:sz w:val="24"/>
          <w:szCs w:val="24"/>
          <w:highlight w:val="none"/>
        </w:rPr>
        <w:t>重庆市南岸区南城大道199号17-2号</w:t>
      </w:r>
    </w:p>
    <w:bookmarkEnd w:id="2"/>
    <w:bookmarkEnd w:id="3"/>
    <w:bookmarkEnd w:id="4"/>
    <w:bookmarkEnd w:id="17"/>
    <w:bookmarkEnd w:id="18"/>
    <w:bookmarkEnd w:id="19"/>
    <w:p w14:paraId="233385A2">
      <w:pPr>
        <w:pStyle w:val="4"/>
        <w:pageBreakBefore w:val="0"/>
        <w:kinsoku/>
        <w:overflowPunct/>
        <w:topLinePunct w:val="0"/>
        <w:autoSpaceDE/>
        <w:autoSpaceDN/>
        <w:bidi w:val="0"/>
        <w:adjustRightInd/>
        <w:snapToGrid w:val="0"/>
        <w:spacing w:before="0" w:after="0" w:line="312" w:lineRule="auto"/>
        <w:jc w:val="center"/>
        <w:rPr>
          <w:rStyle w:val="38"/>
          <w:rFonts w:hint="eastAsia" w:ascii="仿宋" w:hAnsi="仿宋" w:eastAsia="仿宋" w:cs="仿宋"/>
          <w:b/>
          <w:bCs/>
          <w:color w:val="auto"/>
          <w:highlight w:val="none"/>
        </w:rPr>
      </w:pPr>
      <w:bookmarkStart w:id="20" w:name="_Toc25630"/>
      <w:bookmarkStart w:id="21" w:name="_Toc6453"/>
      <w:bookmarkStart w:id="22" w:name="_Toc487204778"/>
      <w:bookmarkStart w:id="23" w:name="_Toc128744991"/>
      <w:r>
        <w:rPr>
          <w:rStyle w:val="38"/>
          <w:rFonts w:hint="eastAsia" w:ascii="仿宋" w:hAnsi="仿宋" w:eastAsia="仿宋" w:cs="仿宋"/>
          <w:b/>
          <w:bCs/>
          <w:color w:val="auto"/>
          <w:highlight w:val="none"/>
        </w:rPr>
        <w:t>第二篇  项目服务需求</w:t>
      </w:r>
      <w:bookmarkEnd w:id="20"/>
    </w:p>
    <w:p w14:paraId="2AAEF93A">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24" w:name="_Toc472518517"/>
      <w:bookmarkStart w:id="25" w:name="_Toc31391"/>
      <w:bookmarkStart w:id="26" w:name="_Toc513627035"/>
      <w:r>
        <w:rPr>
          <w:rFonts w:hint="eastAsia" w:ascii="仿宋" w:hAnsi="仿宋" w:eastAsia="仿宋" w:cs="仿宋"/>
          <w:color w:val="auto"/>
          <w:sz w:val="24"/>
          <w:szCs w:val="24"/>
          <w:highlight w:val="none"/>
        </w:rPr>
        <w:t>一、采购项目一览表</w:t>
      </w:r>
      <w:bookmarkEnd w:id="24"/>
      <w:bookmarkEnd w:id="25"/>
      <w:bookmarkEnd w:id="26"/>
      <w:bookmarkStart w:id="27" w:name="_Toc513627036"/>
      <w:bookmarkStart w:id="28" w:name="_Toc344475116"/>
      <w:bookmarkStart w:id="29" w:name="_Toc313536013"/>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1"/>
        <w:gridCol w:w="2148"/>
        <w:gridCol w:w="2334"/>
      </w:tblGrid>
      <w:tr w14:paraId="72D6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554" w:type="pct"/>
            <w:noWrap/>
            <w:vAlign w:val="center"/>
          </w:tcPr>
          <w:p w14:paraId="6279FF0B">
            <w:pPr>
              <w:pageBreakBefore w:val="0"/>
              <w:kinsoku/>
              <w:overflowPunct/>
              <w:topLinePunct w:val="0"/>
              <w:autoSpaceDE/>
              <w:autoSpaceDN/>
              <w:bidi w:val="0"/>
              <w:adjustRightInd/>
              <w:snapToGrid w:val="0"/>
              <w:spacing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1172" w:type="pct"/>
            <w:noWrap/>
            <w:vAlign w:val="center"/>
          </w:tcPr>
          <w:p w14:paraId="549B8F7C">
            <w:pPr>
              <w:pageBreakBefore w:val="0"/>
              <w:widowControl/>
              <w:kinsoku/>
              <w:overflowPunct/>
              <w:topLinePunct w:val="0"/>
              <w:autoSpaceDE/>
              <w:autoSpaceDN/>
              <w:bidi w:val="0"/>
              <w:adjustRightInd/>
              <w:snapToGrid w:val="0"/>
              <w:spacing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color w:val="auto"/>
                <w:kern w:val="0"/>
                <w:sz w:val="24"/>
                <w:szCs w:val="24"/>
                <w:highlight w:val="none"/>
              </w:rPr>
              <w:t>采购预算（万元）</w:t>
            </w:r>
          </w:p>
        </w:tc>
        <w:tc>
          <w:tcPr>
            <w:tcW w:w="1273" w:type="pct"/>
            <w:noWrap/>
            <w:vAlign w:val="center"/>
          </w:tcPr>
          <w:p w14:paraId="47BDD23E">
            <w:pPr>
              <w:pageBreakBefore w:val="0"/>
              <w:kinsoku/>
              <w:overflowPunct/>
              <w:topLinePunct w:val="0"/>
              <w:autoSpaceDE/>
              <w:autoSpaceDN/>
              <w:bidi w:val="0"/>
              <w:adjustRightInd/>
              <w:snapToGrid w:val="0"/>
              <w:spacing w:line="312"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kern w:val="0"/>
                <w:sz w:val="24"/>
                <w:szCs w:val="24"/>
                <w:highlight w:val="none"/>
                <w:lang w:val="en-US" w:eastAsia="zh-CN"/>
              </w:rPr>
              <w:t>备注</w:t>
            </w:r>
          </w:p>
        </w:tc>
      </w:tr>
      <w:tr w14:paraId="11C1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554" w:type="pct"/>
            <w:noWrap/>
            <w:vAlign w:val="center"/>
          </w:tcPr>
          <w:p w14:paraId="67FB322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重庆市南坪中学网络媒体宣传服务项目</w:t>
            </w:r>
          </w:p>
        </w:tc>
        <w:tc>
          <w:tcPr>
            <w:tcW w:w="1172" w:type="pct"/>
            <w:noWrap/>
            <w:vAlign w:val="center"/>
          </w:tcPr>
          <w:p w14:paraId="40B724E2">
            <w:pPr>
              <w:pageBreakBefore w:val="0"/>
              <w:widowControl/>
              <w:kinsoku/>
              <w:overflowPunct/>
              <w:topLinePunct w:val="0"/>
              <w:autoSpaceDE/>
              <w:autoSpaceDN/>
              <w:bidi w:val="0"/>
              <w:adjustRightInd/>
              <w:snapToGrid w:val="0"/>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73" w:type="pct"/>
            <w:noWrap/>
            <w:vAlign w:val="center"/>
          </w:tcPr>
          <w:p w14:paraId="11AA0E7A">
            <w:pPr>
              <w:pageBreakBefore w:val="0"/>
              <w:widowControl/>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lang w:val="en-US" w:eastAsia="zh-CN"/>
              </w:rPr>
            </w:pPr>
          </w:p>
        </w:tc>
      </w:tr>
      <w:bookmarkEnd w:id="27"/>
      <w:bookmarkEnd w:id="28"/>
      <w:bookmarkEnd w:id="29"/>
    </w:tbl>
    <w:p w14:paraId="3D9A374D">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30" w:name="_Toc16893"/>
      <w:bookmarkStart w:id="31" w:name="_Toc13570"/>
      <w:r>
        <w:rPr>
          <w:rFonts w:hint="eastAsia" w:ascii="仿宋" w:hAnsi="仿宋" w:eastAsia="仿宋" w:cs="仿宋"/>
          <w:color w:val="auto"/>
          <w:sz w:val="24"/>
          <w:szCs w:val="24"/>
          <w:highlight w:val="none"/>
          <w:lang w:val="en-US" w:eastAsia="zh-CN"/>
        </w:rPr>
        <w:t>二、</w:t>
      </w:r>
      <w:bookmarkEnd w:id="30"/>
      <w:bookmarkEnd w:id="31"/>
      <w:bookmarkStart w:id="32" w:name="_Toc412"/>
      <w:r>
        <w:rPr>
          <w:rFonts w:hint="eastAsia" w:ascii="仿宋" w:hAnsi="仿宋" w:eastAsia="仿宋" w:cs="仿宋"/>
          <w:color w:val="auto"/>
          <w:sz w:val="24"/>
          <w:szCs w:val="24"/>
          <w:highlight w:val="none"/>
        </w:rPr>
        <w:t>项目概况</w:t>
      </w:r>
    </w:p>
    <w:p w14:paraId="5A5C8D65">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为进一步巩固我校“培养幸福的人”的社会形象，提升教育影响力，在区域内起到辐射引领作用。学校决定与媒体合作，通过活动策划、采编播报、专题专栏等一系列宣传产品服务，宣传</w:t>
      </w:r>
      <w:r>
        <w:rPr>
          <w:rFonts w:hint="eastAsia" w:ascii="仿宋" w:hAnsi="仿宋" w:eastAsia="仿宋" w:cs="仿宋"/>
          <w:sz w:val="24"/>
          <w:szCs w:val="24"/>
          <w:highlight w:val="none"/>
          <w:lang w:val="en-US" w:eastAsia="zh-CN"/>
        </w:rPr>
        <w:t>学校</w:t>
      </w:r>
      <w:r>
        <w:rPr>
          <w:rFonts w:hint="eastAsia" w:ascii="仿宋" w:hAnsi="仿宋" w:eastAsia="仿宋" w:cs="仿宋"/>
          <w:sz w:val="24"/>
          <w:szCs w:val="24"/>
          <w:highlight w:val="none"/>
        </w:rPr>
        <w:t>的办学理念、办学特色、师资建设、教学科研、学生培养、社会影响等方面成果，提升</w:t>
      </w:r>
      <w:r>
        <w:rPr>
          <w:rFonts w:hint="eastAsia" w:ascii="仿宋" w:hAnsi="仿宋" w:eastAsia="仿宋" w:cs="仿宋"/>
          <w:sz w:val="24"/>
          <w:szCs w:val="24"/>
          <w:highlight w:val="none"/>
          <w:lang w:val="en-US" w:eastAsia="zh-CN"/>
        </w:rPr>
        <w:t>学校</w:t>
      </w:r>
      <w:r>
        <w:rPr>
          <w:rFonts w:hint="eastAsia" w:ascii="仿宋" w:hAnsi="仿宋" w:eastAsia="仿宋" w:cs="仿宋"/>
          <w:sz w:val="24"/>
          <w:szCs w:val="24"/>
          <w:highlight w:val="none"/>
        </w:rPr>
        <w:t>的品牌关注度和美誉度。</w:t>
      </w:r>
    </w:p>
    <w:p w14:paraId="55439B6F">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en-US" w:eastAsia="zh-CN" w:bidi="ar-SA"/>
        </w:rPr>
        <w:t>三、服务内容</w:t>
      </w:r>
    </w:p>
    <w:p w14:paraId="66BC2799">
      <w:pPr>
        <w:pStyle w:val="18"/>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1</w:t>
      </w:r>
      <w:r>
        <w:rPr>
          <w:rFonts w:hint="eastAsia" w:ascii="仿宋" w:hAnsi="仿宋" w:eastAsia="仿宋" w:cs="仿宋"/>
          <w:b w:val="0"/>
          <w:bCs w:val="0"/>
          <w:kern w:val="2"/>
          <w:sz w:val="24"/>
          <w:szCs w:val="24"/>
          <w:highlight w:val="none"/>
          <w:lang w:val="en-US" w:eastAsia="zh-CN" w:bidi="ar-SA"/>
        </w:rPr>
        <w:t>.合作时间内，为学校量身打造融媒体网络专题3个，为学校发布5条以上资讯稿件，并在具备互联网新闻信息服务许可证的主流网络媒体发布；</w:t>
      </w:r>
    </w:p>
    <w:p w14:paraId="551A45E0">
      <w:pPr>
        <w:pStyle w:val="18"/>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en-US" w:eastAsia="zh-CN" w:bidi="ar-SA"/>
        </w:rPr>
        <w:t>2.针对新春送祝福,为学校拍摄制作一部15秒拜年小视频,播放7天,每天6次，并在具备信息网络传播视听节目许可证的网络媒体平台传播；</w:t>
      </w:r>
    </w:p>
    <w:p w14:paraId="4B53F81F">
      <w:pPr>
        <w:pStyle w:val="18"/>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en-US" w:eastAsia="zh-CN" w:bidi="ar-SA"/>
        </w:rPr>
        <w:t>3.为学校提供全年主题活动策划、常规资讯、舆情引导、品牌建设等一系列嵌入式服务和智力支持。</w:t>
      </w:r>
    </w:p>
    <w:p w14:paraId="078E5786">
      <w:pPr>
        <w:pStyle w:val="18"/>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en-US" w:eastAsia="zh-CN" w:bidi="ar-SA"/>
        </w:rPr>
        <w:t>4.</w:t>
      </w:r>
      <w:r>
        <w:rPr>
          <w:rFonts w:hint="eastAsia" w:ascii="仿宋" w:hAnsi="仿宋" w:eastAsia="仿宋" w:cs="仿宋"/>
          <w:b w:val="0"/>
          <w:bCs w:val="0"/>
          <w:kern w:val="2"/>
          <w:sz w:val="24"/>
          <w:szCs w:val="24"/>
          <w:highlight w:val="none"/>
          <w:lang w:val="zh-CN" w:eastAsia="zh-CN" w:bidi="ar-SA"/>
        </w:rPr>
        <w:t>供应商</w:t>
      </w:r>
      <w:r>
        <w:rPr>
          <w:rFonts w:hint="eastAsia" w:ascii="仿宋" w:hAnsi="仿宋" w:eastAsia="仿宋" w:cs="仿宋"/>
          <w:b w:val="0"/>
          <w:bCs w:val="0"/>
          <w:kern w:val="2"/>
          <w:sz w:val="24"/>
          <w:szCs w:val="24"/>
          <w:highlight w:val="none"/>
          <w:lang w:val="en-US" w:eastAsia="zh-CN" w:bidi="ar-SA"/>
        </w:rPr>
        <w:t>应</w:t>
      </w:r>
      <w:r>
        <w:rPr>
          <w:rFonts w:hint="eastAsia" w:ascii="仿宋" w:hAnsi="仿宋" w:eastAsia="仿宋" w:cs="仿宋"/>
          <w:b w:val="0"/>
          <w:bCs w:val="0"/>
          <w:kern w:val="2"/>
          <w:sz w:val="24"/>
          <w:szCs w:val="24"/>
          <w:highlight w:val="none"/>
          <w:lang w:val="zh-CN" w:eastAsia="zh-CN" w:bidi="ar-SA"/>
        </w:rPr>
        <w:t>围绕“培养幸福的人”主题，为</w:t>
      </w:r>
      <w:r>
        <w:rPr>
          <w:rFonts w:hint="eastAsia" w:ascii="仿宋" w:hAnsi="仿宋" w:eastAsia="仿宋" w:cs="仿宋"/>
          <w:b w:val="0"/>
          <w:bCs w:val="0"/>
          <w:kern w:val="2"/>
          <w:sz w:val="24"/>
          <w:szCs w:val="24"/>
          <w:highlight w:val="none"/>
          <w:lang w:val="en-US" w:eastAsia="zh-CN" w:bidi="ar-SA"/>
        </w:rPr>
        <w:t>学</w:t>
      </w:r>
      <w:r>
        <w:rPr>
          <w:rFonts w:hint="eastAsia" w:ascii="仿宋" w:hAnsi="仿宋" w:eastAsia="仿宋" w:cs="仿宋"/>
          <w:b w:val="0"/>
          <w:bCs w:val="0"/>
          <w:kern w:val="2"/>
          <w:sz w:val="24"/>
          <w:szCs w:val="24"/>
          <w:highlight w:val="none"/>
          <w:lang w:val="zh-CN" w:eastAsia="zh-CN" w:bidi="ar-SA"/>
        </w:rPr>
        <w:t>校量身打造融媒体网络专题，提升教育影响力。通过活动策划、采编播报、专题专栏等一系列宣传产品服务，宣传</w:t>
      </w:r>
      <w:r>
        <w:rPr>
          <w:rFonts w:hint="eastAsia" w:ascii="仿宋" w:hAnsi="仿宋" w:eastAsia="仿宋" w:cs="仿宋"/>
          <w:b w:val="0"/>
          <w:bCs w:val="0"/>
          <w:kern w:val="2"/>
          <w:sz w:val="24"/>
          <w:szCs w:val="24"/>
          <w:highlight w:val="none"/>
          <w:lang w:val="en-US" w:eastAsia="zh-CN" w:bidi="ar-SA"/>
        </w:rPr>
        <w:t>学</w:t>
      </w:r>
      <w:r>
        <w:rPr>
          <w:rFonts w:hint="eastAsia" w:ascii="仿宋" w:hAnsi="仿宋" w:eastAsia="仿宋" w:cs="仿宋"/>
          <w:b w:val="0"/>
          <w:bCs w:val="0"/>
          <w:kern w:val="2"/>
          <w:sz w:val="24"/>
          <w:szCs w:val="24"/>
          <w:highlight w:val="none"/>
          <w:lang w:val="zh-CN" w:eastAsia="zh-CN" w:bidi="ar-SA"/>
        </w:rPr>
        <w:t>的办学理念、办学特色、师资建设、教学科研、学生培养、社会影响等方面成果。</w:t>
      </w:r>
    </w:p>
    <w:p w14:paraId="281F0849">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四、质量要求</w:t>
      </w:r>
      <w:r>
        <w:rPr>
          <w:rFonts w:hint="default" w:ascii="仿宋" w:hAnsi="仿宋" w:eastAsia="仿宋" w:cs="仿宋"/>
          <w:b w:val="0"/>
          <w:bCs w:val="0"/>
          <w:kern w:val="2"/>
          <w:sz w:val="24"/>
          <w:szCs w:val="24"/>
          <w:highlight w:val="none"/>
          <w:lang w:val="en-US" w:eastAsia="zh-CN" w:bidi="ar-SA"/>
        </w:rPr>
        <w:t>​</w:t>
      </w:r>
    </w:p>
    <w:p w14:paraId="17ABE953">
      <w:pPr>
        <w:pStyle w:val="18"/>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en-US" w:eastAsia="zh-CN" w:bidi="ar-SA"/>
        </w:rPr>
        <w:t>1.</w:t>
      </w:r>
      <w:r>
        <w:rPr>
          <w:rFonts w:hint="eastAsia" w:ascii="仿宋" w:hAnsi="仿宋" w:eastAsia="仿宋" w:cs="仿宋"/>
          <w:b w:val="0"/>
          <w:bCs w:val="0"/>
          <w:kern w:val="2"/>
          <w:sz w:val="24"/>
          <w:szCs w:val="24"/>
          <w:highlight w:val="none"/>
          <w:lang w:val="zh-CN" w:eastAsia="zh-CN" w:bidi="ar-SA"/>
        </w:rPr>
        <w:t>根据采购人的要求，供应商安排</w:t>
      </w:r>
      <w:r>
        <w:rPr>
          <w:rFonts w:hint="eastAsia" w:ascii="仿宋" w:hAnsi="仿宋" w:eastAsia="仿宋" w:cs="仿宋"/>
          <w:b w:val="0"/>
          <w:bCs w:val="0"/>
          <w:kern w:val="2"/>
          <w:sz w:val="24"/>
          <w:szCs w:val="24"/>
          <w:highlight w:val="none"/>
          <w:lang w:val="en-US" w:eastAsia="zh-CN" w:bidi="ar-SA"/>
        </w:rPr>
        <w:t>专</w:t>
      </w:r>
      <w:r>
        <w:rPr>
          <w:rFonts w:hint="eastAsia" w:ascii="仿宋" w:hAnsi="仿宋" w:eastAsia="仿宋" w:cs="仿宋"/>
          <w:b w:val="0"/>
          <w:bCs w:val="0"/>
          <w:kern w:val="2"/>
          <w:sz w:val="24"/>
          <w:szCs w:val="24"/>
          <w:highlight w:val="none"/>
          <w:lang w:val="zh-CN" w:eastAsia="zh-CN" w:bidi="ar-SA"/>
        </w:rPr>
        <w:t>员</w:t>
      </w:r>
      <w:r>
        <w:rPr>
          <w:rFonts w:hint="eastAsia" w:ascii="仿宋" w:hAnsi="仿宋" w:eastAsia="仿宋" w:cs="仿宋"/>
          <w:b w:val="0"/>
          <w:bCs w:val="0"/>
          <w:kern w:val="2"/>
          <w:sz w:val="24"/>
          <w:szCs w:val="24"/>
          <w:highlight w:val="none"/>
          <w:lang w:val="en-US" w:eastAsia="zh-CN" w:bidi="ar-SA"/>
        </w:rPr>
        <w:t>编写咨询稿件</w:t>
      </w:r>
      <w:r>
        <w:rPr>
          <w:rFonts w:hint="eastAsia" w:ascii="仿宋" w:hAnsi="仿宋" w:eastAsia="仿宋" w:cs="仿宋"/>
          <w:b w:val="0"/>
          <w:bCs w:val="0"/>
          <w:kern w:val="2"/>
          <w:sz w:val="24"/>
          <w:szCs w:val="24"/>
          <w:highlight w:val="none"/>
          <w:lang w:val="zh-CN" w:eastAsia="zh-CN" w:bidi="ar-SA"/>
        </w:rPr>
        <w:t>、视频拍摄及剪辑、配音、字幕等编辑制作，经采购方审核后通过后发布。</w:t>
      </w:r>
    </w:p>
    <w:p w14:paraId="293F4661">
      <w:pPr>
        <w:pStyle w:val="18"/>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2.供应商选择的主流网络媒体须经采购人认可，若采购人有更换需求，成交供应商需无条件配合。</w:t>
      </w:r>
    </w:p>
    <w:p w14:paraId="510F8425">
      <w:pPr>
        <w:pStyle w:val="18"/>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3.宣传</w:t>
      </w:r>
      <w:r>
        <w:rPr>
          <w:rFonts w:hint="default" w:ascii="仿宋" w:hAnsi="仿宋" w:eastAsia="仿宋" w:cs="仿宋"/>
          <w:b w:val="0"/>
          <w:bCs w:val="0"/>
          <w:kern w:val="2"/>
          <w:sz w:val="24"/>
          <w:szCs w:val="24"/>
          <w:highlight w:val="none"/>
          <w:lang w:val="en-US" w:eastAsia="zh-CN" w:bidi="ar-SA"/>
        </w:rPr>
        <w:t>内容需符合国家法律法规和学校相关规定，不存在侵权、虚假宣传等问题；视觉设计和音视频制作需达到行业较高水平，满足学校的宣传需求和审美标准；推广效果需达到或超过约定的指标要求。如</w:t>
      </w:r>
      <w:r>
        <w:rPr>
          <w:rFonts w:hint="eastAsia" w:ascii="仿宋" w:hAnsi="仿宋" w:eastAsia="仿宋" w:cs="仿宋"/>
          <w:b w:val="0"/>
          <w:bCs w:val="0"/>
          <w:kern w:val="2"/>
          <w:sz w:val="24"/>
          <w:szCs w:val="24"/>
          <w:highlight w:val="none"/>
          <w:lang w:val="en-US" w:eastAsia="zh-CN" w:bidi="ar-SA"/>
        </w:rPr>
        <w:t>宣传</w:t>
      </w:r>
      <w:r>
        <w:rPr>
          <w:rFonts w:hint="default" w:ascii="仿宋" w:hAnsi="仿宋" w:eastAsia="仿宋" w:cs="仿宋"/>
          <w:b w:val="0"/>
          <w:bCs w:val="0"/>
          <w:kern w:val="2"/>
          <w:sz w:val="24"/>
          <w:szCs w:val="24"/>
          <w:highlight w:val="none"/>
          <w:lang w:val="en-US" w:eastAsia="zh-CN" w:bidi="ar-SA"/>
        </w:rPr>
        <w:t>内容出现质量问题，供应商需在</w:t>
      </w:r>
      <w:r>
        <w:rPr>
          <w:rFonts w:hint="eastAsia" w:ascii="仿宋" w:hAnsi="仿宋" w:eastAsia="仿宋" w:cs="仿宋"/>
          <w:b w:val="0"/>
          <w:bCs w:val="0"/>
          <w:kern w:val="2"/>
          <w:sz w:val="24"/>
          <w:szCs w:val="24"/>
          <w:highlight w:val="none"/>
          <w:lang w:val="en-US" w:eastAsia="zh-CN" w:bidi="ar-SA"/>
        </w:rPr>
        <w:t>2</w:t>
      </w:r>
      <w:r>
        <w:rPr>
          <w:rFonts w:hint="default" w:ascii="仿宋" w:hAnsi="仿宋" w:eastAsia="仿宋" w:cs="仿宋"/>
          <w:b w:val="0"/>
          <w:bCs w:val="0"/>
          <w:kern w:val="2"/>
          <w:sz w:val="24"/>
          <w:szCs w:val="24"/>
          <w:highlight w:val="none"/>
          <w:lang w:val="en-US" w:eastAsia="zh-CN" w:bidi="ar-SA"/>
        </w:rPr>
        <w:t>个工作日内免费进行修改和完善；如推广效果未达到约定指标，供应商需采取有效措施进行优化，并承担相应的费用。</w:t>
      </w:r>
    </w:p>
    <w:p w14:paraId="73924B6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保密要求</w:t>
      </w:r>
    </w:p>
    <w:p w14:paraId="21E6EFBC">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highlight w:val="none"/>
          <w:lang w:val="en-US" w:eastAsia="zh-CN"/>
        </w:rPr>
      </w:pPr>
      <w:r>
        <w:rPr>
          <w:rFonts w:hint="eastAsia" w:ascii="仿宋" w:hAnsi="仿宋" w:eastAsia="仿宋" w:cs="仿宋"/>
          <w:sz w:val="24"/>
          <w:szCs w:val="24"/>
          <w:highlight w:val="none"/>
        </w:rPr>
        <w:t>供应商须遵守《中华人民共和国保守国家秘密法》、《计算机信息系统保密管理暂行规定》等保密文件规定，并签订保密协议书。供应商承诺不得向任何第三方透露采购人工作人员的个人信息和监测到的敏感舆情内容；供应商承担的保密责任范围包括但不限于本协议履行过程中的工作文档、供应商因履行本协议而取得的采购人的有关信息、资料或文件等。</w:t>
      </w:r>
    </w:p>
    <w:p w14:paraId="0B0450BB">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33B8E4CF">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58203F95">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37AAF302">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029788FD">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1004FE81">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50253C96">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5F272418">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1CD486FB">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5CA5B449">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5F6F91C5">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7540CFED">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05B7D343">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59D46743">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66CA503A">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7CF4228B">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22D58BA2">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41734C00">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01B060A1">
      <w:pPr>
        <w:pStyle w:val="31"/>
        <w:rPr>
          <w:rStyle w:val="38"/>
          <w:rFonts w:hint="eastAsia" w:ascii="仿宋" w:hAnsi="仿宋" w:eastAsia="仿宋" w:cs="仿宋"/>
          <w:color w:val="auto"/>
          <w:highlight w:val="none"/>
        </w:rPr>
      </w:pPr>
    </w:p>
    <w:p w14:paraId="62217C98">
      <w:pPr>
        <w:pStyle w:val="31"/>
        <w:rPr>
          <w:rStyle w:val="38"/>
          <w:rFonts w:hint="eastAsia" w:ascii="仿宋" w:hAnsi="仿宋" w:eastAsia="仿宋" w:cs="仿宋"/>
          <w:color w:val="auto"/>
          <w:highlight w:val="none"/>
        </w:rPr>
      </w:pPr>
    </w:p>
    <w:p w14:paraId="72140DCC">
      <w:pPr>
        <w:pStyle w:val="31"/>
        <w:rPr>
          <w:rStyle w:val="38"/>
          <w:rFonts w:hint="eastAsia" w:ascii="仿宋" w:hAnsi="仿宋" w:eastAsia="仿宋" w:cs="仿宋"/>
          <w:color w:val="auto"/>
          <w:highlight w:val="none"/>
        </w:rPr>
      </w:pPr>
    </w:p>
    <w:p w14:paraId="65DC4914">
      <w:pPr>
        <w:pStyle w:val="31"/>
        <w:rPr>
          <w:rStyle w:val="38"/>
          <w:rFonts w:hint="eastAsia" w:ascii="仿宋" w:hAnsi="仿宋" w:eastAsia="仿宋" w:cs="仿宋"/>
          <w:color w:val="auto"/>
          <w:highlight w:val="none"/>
        </w:rPr>
      </w:pPr>
    </w:p>
    <w:p w14:paraId="31A3296F">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40B23D3A">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p>
    <w:p w14:paraId="50F3DCB7">
      <w:pPr>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r>
        <w:rPr>
          <w:rStyle w:val="38"/>
          <w:rFonts w:hint="eastAsia" w:ascii="仿宋" w:hAnsi="仿宋" w:eastAsia="仿宋" w:cs="仿宋"/>
          <w:color w:val="auto"/>
          <w:highlight w:val="none"/>
        </w:rPr>
        <w:t>第三篇  项目商务要求</w:t>
      </w:r>
      <w:bookmarkEnd w:id="32"/>
    </w:p>
    <w:p w14:paraId="489BFE27">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33" w:name="_Toc487204789"/>
      <w:bookmarkStart w:id="34" w:name="_Toc29474"/>
      <w:bookmarkStart w:id="35" w:name="_Toc15856"/>
      <w:bookmarkStart w:id="36" w:name="_Toc344475120"/>
      <w:r>
        <w:rPr>
          <w:rFonts w:hint="eastAsia" w:ascii="仿宋" w:hAnsi="仿宋" w:eastAsia="仿宋" w:cs="仿宋"/>
          <w:color w:val="auto"/>
          <w:sz w:val="24"/>
          <w:szCs w:val="24"/>
          <w:highlight w:val="none"/>
        </w:rPr>
        <w:t>一、服务期、服务地点及验收方式</w:t>
      </w:r>
      <w:bookmarkEnd w:id="33"/>
      <w:bookmarkEnd w:id="34"/>
      <w:bookmarkEnd w:id="35"/>
      <w:bookmarkEnd w:id="36"/>
      <w:bookmarkStart w:id="37" w:name="_Toc12056"/>
      <w:bookmarkStart w:id="38" w:name="_Toc16020"/>
    </w:p>
    <w:p w14:paraId="60A420B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rPr>
      </w:pPr>
      <w:bookmarkStart w:id="39" w:name="_Toc31453"/>
      <w:r>
        <w:rPr>
          <w:rFonts w:hint="eastAsia" w:ascii="仿宋" w:hAnsi="仿宋" w:eastAsia="仿宋" w:cs="仿宋"/>
          <w:color w:val="auto"/>
          <w:kern w:val="0"/>
          <w:sz w:val="24"/>
          <w:szCs w:val="24"/>
          <w:highlight w:val="none"/>
        </w:rPr>
        <w:t>（一）服务期：</w:t>
      </w:r>
      <w:bookmarkEnd w:id="39"/>
      <w:r>
        <w:rPr>
          <w:rFonts w:hint="eastAsia" w:ascii="仿宋" w:hAnsi="仿宋" w:eastAsia="仿宋" w:cs="仿宋"/>
          <w:color w:val="auto"/>
          <w:kern w:val="0"/>
          <w:sz w:val="24"/>
          <w:szCs w:val="24"/>
          <w:highlight w:val="none"/>
          <w:lang w:val="en-US" w:eastAsia="zh-CN"/>
        </w:rPr>
        <w:t>自合同签订起一年</w:t>
      </w:r>
      <w:r>
        <w:rPr>
          <w:rFonts w:hint="eastAsia" w:ascii="仿宋" w:hAnsi="仿宋" w:eastAsia="仿宋" w:cs="仿宋"/>
          <w:color w:val="auto"/>
          <w:kern w:val="0"/>
          <w:sz w:val="24"/>
          <w:szCs w:val="24"/>
          <w:highlight w:val="none"/>
        </w:rPr>
        <w:t>。</w:t>
      </w:r>
    </w:p>
    <w:p w14:paraId="2D9BD28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（二）服务地点：</w:t>
      </w:r>
      <w:r>
        <w:rPr>
          <w:rFonts w:hint="eastAsia" w:ascii="仿宋" w:hAnsi="仿宋" w:eastAsia="仿宋" w:cs="仿宋"/>
          <w:color w:val="auto"/>
          <w:sz w:val="24"/>
          <w:szCs w:val="24"/>
          <w:highlight w:val="none"/>
          <w:lang w:val="en-US" w:eastAsia="zh-CN"/>
        </w:rPr>
        <w:t>采购人指定地址</w:t>
      </w:r>
      <w:r>
        <w:rPr>
          <w:rFonts w:hint="eastAsia" w:ascii="仿宋" w:hAnsi="仿宋" w:eastAsia="仿宋" w:cs="仿宋"/>
          <w:color w:val="auto"/>
          <w:kern w:val="0"/>
          <w:sz w:val="24"/>
          <w:szCs w:val="24"/>
          <w:highlight w:val="none"/>
        </w:rPr>
        <w:t>。</w:t>
      </w:r>
    </w:p>
    <w:p w14:paraId="61C25BF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（三）验收方式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由采购人自行组织验收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根据采购文件规定、合同约定及采购人要求进行验收，验收合格并符合国家及行业相关标准规范的要求。如验收达不到规定要求，对采购人造成一定的损失，成交供应商承担一切责任，并赔偿所造成的损失。</w:t>
      </w:r>
    </w:p>
    <w:p w14:paraId="0D3F2511">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40" w:name="_Toc8393"/>
      <w:r>
        <w:rPr>
          <w:rFonts w:hint="eastAsia" w:ascii="仿宋" w:hAnsi="仿宋" w:eastAsia="仿宋" w:cs="仿宋"/>
          <w:color w:val="auto"/>
          <w:sz w:val="24"/>
          <w:szCs w:val="24"/>
          <w:highlight w:val="none"/>
        </w:rPr>
        <w:t>二、报价要求</w:t>
      </w:r>
      <w:bookmarkEnd w:id="37"/>
      <w:bookmarkEnd w:id="38"/>
      <w:bookmarkEnd w:id="40"/>
    </w:p>
    <w:p w14:paraId="2E085F7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bookmarkStart w:id="41" w:name="_Toc32652"/>
      <w:bookmarkStart w:id="42" w:name="_Toc24284"/>
      <w:bookmarkStart w:id="43" w:name="_Toc11730"/>
      <w:bookmarkStart w:id="44" w:name="_Toc4713"/>
      <w:bookmarkStart w:id="45" w:name="_Toc21381"/>
      <w:bookmarkStart w:id="46" w:name="_Toc8070"/>
      <w:bookmarkStart w:id="47" w:name="_Toc535311835"/>
      <w:bookmarkStart w:id="48" w:name="_Toc16767"/>
      <w:bookmarkStart w:id="49" w:name="_Toc16798"/>
      <w:bookmarkStart w:id="50" w:name="_Toc24490"/>
      <w:r>
        <w:rPr>
          <w:rFonts w:hint="eastAsia" w:ascii="仿宋" w:hAnsi="仿宋" w:eastAsia="仿宋" w:cs="仿宋"/>
          <w:color w:val="auto"/>
          <w:sz w:val="24"/>
          <w:szCs w:val="24"/>
          <w:highlight w:val="none"/>
        </w:rPr>
        <w:t>本次报价为人民币报价，</w:t>
      </w:r>
      <w:r>
        <w:rPr>
          <w:rFonts w:hint="eastAsia" w:ascii="仿宋" w:hAnsi="仿宋" w:eastAsia="仿宋" w:cs="仿宋"/>
          <w:color w:val="auto"/>
          <w:sz w:val="24"/>
          <w:szCs w:val="24"/>
          <w:highlight w:val="none"/>
          <w:lang w:val="en-US" w:eastAsia="zh-CN"/>
        </w:rPr>
        <w:t>投标报价包括完成本项目所需的全部费用。</w:t>
      </w:r>
      <w:bookmarkEnd w:id="41"/>
      <w:bookmarkEnd w:id="42"/>
      <w:bookmarkEnd w:id="43"/>
      <w:bookmarkEnd w:id="44"/>
      <w:r>
        <w:rPr>
          <w:rFonts w:hint="eastAsia" w:ascii="仿宋" w:hAnsi="仿宋" w:eastAsia="仿宋" w:cs="仿宋"/>
          <w:color w:val="auto"/>
          <w:sz w:val="24"/>
          <w:szCs w:val="24"/>
          <w:highlight w:val="none"/>
        </w:rPr>
        <w:t>报价包括但不限于完成全部工作所需的安装费、制作费、税费、设计费、人工费、运行维护费、运输费、装卸费、利润及风险费、税费等所有一切费用。</w:t>
      </w:r>
      <w:r>
        <w:rPr>
          <w:rFonts w:hint="eastAsia" w:ascii="仿宋" w:hAnsi="仿宋" w:eastAsia="仿宋" w:cs="仿宋"/>
          <w:color w:val="auto"/>
          <w:sz w:val="24"/>
          <w:szCs w:val="24"/>
          <w:highlight w:val="none"/>
          <w:lang w:val="en-US" w:eastAsia="zh-CN"/>
        </w:rPr>
        <w:t>供应商应</w:t>
      </w:r>
      <w:r>
        <w:rPr>
          <w:rFonts w:hint="eastAsia" w:ascii="仿宋" w:hAnsi="仿宋" w:eastAsia="仿宋" w:cs="仿宋"/>
          <w:color w:val="auto"/>
          <w:sz w:val="24"/>
          <w:szCs w:val="24"/>
          <w:highlight w:val="none"/>
        </w:rPr>
        <w:t>根据自身的经营决策、企业实力和市场行情自主报价</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执行总价包干使用</w:t>
      </w:r>
      <w:r>
        <w:rPr>
          <w:rFonts w:hint="eastAsia" w:ascii="仿宋" w:hAnsi="仿宋" w:eastAsia="仿宋" w:cs="仿宋"/>
          <w:color w:val="auto"/>
          <w:sz w:val="24"/>
          <w:szCs w:val="24"/>
          <w:highlight w:val="none"/>
        </w:rPr>
        <w:t>。超过最高限价按废标处理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因成交供应商自身原因造成漏报、少报皆由其自行承担责任，采购人不再补偿任何费用</w:t>
      </w:r>
      <w:r>
        <w:rPr>
          <w:rFonts w:hint="eastAsia" w:ascii="仿宋" w:hAnsi="仿宋" w:eastAsia="仿宋" w:cs="仿宋"/>
          <w:color w:val="auto"/>
          <w:kern w:val="0"/>
          <w:sz w:val="24"/>
          <w:szCs w:val="24"/>
          <w:highlight w:val="none"/>
        </w:rPr>
        <w:t>。</w:t>
      </w:r>
    </w:p>
    <w:bookmarkEnd w:id="45"/>
    <w:bookmarkEnd w:id="46"/>
    <w:bookmarkEnd w:id="47"/>
    <w:bookmarkEnd w:id="48"/>
    <w:p w14:paraId="747D45C9">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三、付款方式</w:t>
      </w:r>
      <w:bookmarkEnd w:id="49"/>
      <w:bookmarkEnd w:id="50"/>
    </w:p>
    <w:p w14:paraId="5F954008">
      <w:pPr>
        <w:snapToGrid w:val="0"/>
        <w:spacing w:line="312" w:lineRule="auto"/>
        <w:ind w:firstLine="480" w:firstLineChars="200"/>
        <w:rPr>
          <w:rFonts w:hint="default" w:ascii="仿宋" w:hAnsi="仿宋" w:eastAsia="仿宋" w:cs="仿宋"/>
          <w:color w:val="auto"/>
          <w:kern w:val="0"/>
          <w:sz w:val="24"/>
          <w:szCs w:val="24"/>
          <w:highlight w:val="none"/>
          <w:lang w:val="en-US" w:eastAsia="zh-CN"/>
        </w:rPr>
      </w:pPr>
      <w:bookmarkStart w:id="51" w:name="_Toc1416"/>
      <w:bookmarkStart w:id="52" w:name="_Toc25777"/>
      <w:bookmarkStart w:id="53" w:name="_Toc20665"/>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本项目设置预付款，合同签订后7日内，</w:t>
      </w:r>
      <w:r>
        <w:rPr>
          <w:rFonts w:hint="eastAsia" w:ascii="仿宋" w:hAnsi="仿宋" w:eastAsia="仿宋" w:cs="仿宋"/>
          <w:color w:val="auto"/>
          <w:kern w:val="0"/>
          <w:sz w:val="24"/>
          <w:szCs w:val="24"/>
          <w:highlight w:val="none"/>
        </w:rPr>
        <w:t>由成交供应商向采购人提供与预付款同等额度的担保函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采购人支付合同金额的30%。</w:t>
      </w:r>
    </w:p>
    <w:p w14:paraId="2EF930B2">
      <w:pPr>
        <w:pStyle w:val="5"/>
        <w:pageBreakBefore w:val="0"/>
        <w:kinsoku/>
        <w:overflowPunct/>
        <w:topLinePunct w:val="0"/>
        <w:autoSpaceDE/>
        <w:autoSpaceDN/>
        <w:bidi w:val="0"/>
        <w:adjustRightInd/>
        <w:snapToGrid w:val="0"/>
        <w:spacing w:before="0" w:after="0" w:line="312"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二</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成交供应商完成全部工作内容后，由成交供应商向采购人提供等额合法正规发票并提供相关付款资料，经采购人的财务部门审核后， 采购人一次性支付</w:t>
      </w:r>
      <w:r>
        <w:rPr>
          <w:rFonts w:hint="eastAsia" w:ascii="仿宋" w:hAnsi="仿宋" w:eastAsia="仿宋" w:cs="仿宋"/>
          <w:b w:val="0"/>
          <w:bCs w:val="0"/>
          <w:color w:val="auto"/>
          <w:kern w:val="0"/>
          <w:sz w:val="24"/>
          <w:szCs w:val="24"/>
          <w:highlight w:val="none"/>
          <w:lang w:val="en-US" w:eastAsia="zh-CN"/>
        </w:rPr>
        <w:t>剩余</w:t>
      </w:r>
      <w:r>
        <w:rPr>
          <w:rFonts w:hint="eastAsia" w:ascii="仿宋" w:hAnsi="仿宋" w:eastAsia="仿宋" w:cs="仿宋"/>
          <w:b w:val="0"/>
          <w:bCs w:val="0"/>
          <w:color w:val="auto"/>
          <w:kern w:val="0"/>
          <w:sz w:val="24"/>
          <w:szCs w:val="24"/>
          <w:highlight w:val="none"/>
        </w:rPr>
        <w:t>全部服务费。</w:t>
      </w:r>
    </w:p>
    <w:p w14:paraId="079339D8">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履约担保</w:t>
      </w:r>
    </w:p>
    <w:p w14:paraId="67D3241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（一）履约担保的金额：中标合同金额的5%。</w:t>
      </w:r>
    </w:p>
    <w:p w14:paraId="7946B54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（二）履约担保的形式：转账或履约保函，履约保函包括银行保函、保证保险和担保保函。</w:t>
      </w:r>
    </w:p>
    <w:p w14:paraId="41D6194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1、采用转账形式缴纳履约担保的，必须从成交供应商的基本账户通过银行转账方式直接划付到采购人提供的银行账户，其中产生的手续费由成交供应商承担。</w:t>
      </w:r>
    </w:p>
    <w:p w14:paraId="217D838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采用保函形式的，保函必须为不可撤销且见索即付。履约保函必须由合法经营的金融机构、担保机构出具，保函的内容必须符合磋商文件和投标承诺的要求。保函的受益人为采购人，保函原件交采购人保存。成交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45B16AC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（三）履约保证金无息退还时间：</w:t>
      </w:r>
      <w:r>
        <w:rPr>
          <w:rFonts w:hint="eastAsia" w:ascii="仿宋" w:hAnsi="仿宋" w:eastAsia="仿宋" w:cs="仿宋"/>
          <w:color w:val="auto"/>
          <w:kern w:val="2"/>
          <w:sz w:val="24"/>
          <w:szCs w:val="24"/>
          <w:highlight w:val="none"/>
          <w:lang w:val="en-US" w:eastAsia="zh-CN" w:bidi="ar-SA"/>
        </w:rPr>
        <w:t>项目验收合格且双方结算完毕后，在成交供应商不存在任何违约情形，且不存在任何未支付或未退还款项的前提下，采购人应在5个工作日内无息退还履约保证金。</w:t>
      </w:r>
    </w:p>
    <w:p w14:paraId="7BC2C1D3">
      <w:pPr>
        <w:pageBreakBefore w:val="0"/>
        <w:kinsoku/>
        <w:overflowPunct/>
        <w:topLinePunct w:val="0"/>
        <w:bidi w:val="0"/>
        <w:snapToGrid w:val="0"/>
        <w:spacing w:line="312"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成交供应商在履约过程中出现违约行为的，由采购人按合同约定对履约保证金进行处理。</w:t>
      </w:r>
    </w:p>
    <w:p w14:paraId="5C0D23E6">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、转包、分包</w:t>
      </w:r>
      <w:bookmarkEnd w:id="51"/>
    </w:p>
    <w:p w14:paraId="7A1F248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成交供应商未经采购人书面同意，不得将项目转包、分包给第三方，如成交供应商将本项目转包、分包给第三方的，采购人有权解除合同，并不支付任何费用，同时采购人有权要求成交供应商按合同总金额的10 %支付违约金，因此给采购人造成的损失应由成交供应商承担赔偿责任。</w:t>
      </w:r>
    </w:p>
    <w:p w14:paraId="507EB283">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、知识产权</w:t>
      </w:r>
      <w:bookmarkEnd w:id="52"/>
    </w:p>
    <w:p w14:paraId="318A523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采购人在中华人民共和国境内使用成交供应商提供的货物及服务时免受第三方提出的侵犯其专利权或其它知识产权的起诉。如果第三方提出侵权指控，成交竞标人应承担由此而引起的一切法律责任和费用，包括但不限于向第三方支付的赔偿金、和解费、律师费、鉴定费、保全费等一切费用。</w:t>
      </w:r>
    </w:p>
    <w:p w14:paraId="57C600A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（二）涉及软件开发等服务类项目知识产权的，知识产权归采购人所有。</w:t>
      </w:r>
    </w:p>
    <w:p w14:paraId="2056763C">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lang w:val="en-US" w:eastAsia="zh-CN"/>
        </w:rPr>
      </w:pPr>
      <w:bookmarkStart w:id="54" w:name="_Toc1695"/>
      <w:bookmarkStart w:id="55" w:name="_Toc19180"/>
      <w:r>
        <w:rPr>
          <w:rFonts w:hint="eastAsia" w:ascii="仿宋" w:hAnsi="仿宋" w:eastAsia="仿宋" w:cs="仿宋"/>
          <w:color w:val="auto"/>
          <w:sz w:val="24"/>
          <w:szCs w:val="24"/>
          <w:highlight w:val="none"/>
          <w:lang w:val="en-US" w:eastAsia="zh-CN"/>
        </w:rPr>
        <w:t>七、其他商务要求内容</w:t>
      </w:r>
      <w:bookmarkEnd w:id="54"/>
      <w:bookmarkEnd w:id="55"/>
    </w:p>
    <w:p w14:paraId="4BBBBD2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b/>
          <w:bCs/>
          <w:color w:val="auto"/>
          <w:sz w:val="24"/>
          <w:szCs w:val="24"/>
          <w:highlight w:val="none"/>
          <w:lang w:val="en-US" w:eastAsia="zh-CN"/>
        </w:rPr>
      </w:pPr>
      <w:bookmarkStart w:id="56" w:name="_Toc6074"/>
      <w:r>
        <w:rPr>
          <w:rFonts w:hint="eastAsia" w:ascii="仿宋" w:hAnsi="仿宋" w:eastAsia="仿宋" w:cs="仿宋"/>
          <w:color w:val="auto"/>
          <w:kern w:val="0"/>
          <w:sz w:val="24"/>
          <w:szCs w:val="24"/>
          <w:highlight w:val="none"/>
          <w:lang w:val="en-US" w:eastAsia="zh-CN"/>
        </w:rPr>
        <w:t>其他未尽事宜由供需双方在采购合同中详细约定</w:t>
      </w:r>
      <w:bookmarkEnd w:id="56"/>
      <w:r>
        <w:rPr>
          <w:rFonts w:hint="eastAsia" w:ascii="仿宋" w:hAnsi="仿宋" w:eastAsia="仿宋" w:cs="仿宋"/>
          <w:color w:val="auto"/>
          <w:kern w:val="0"/>
          <w:sz w:val="24"/>
          <w:szCs w:val="24"/>
          <w:highlight w:val="none"/>
          <w:lang w:val="en-US" w:eastAsia="zh-CN"/>
        </w:rPr>
        <w:t>，若无实质内容修改，合同主张以采购人意见为主。</w:t>
      </w:r>
    </w:p>
    <w:p w14:paraId="231AF174">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、其他</w:t>
      </w:r>
      <w:bookmarkEnd w:id="53"/>
    </w:p>
    <w:p w14:paraId="76C9C46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（一）供应商必须在响应文件中对以上条款和服务承诺明确列出，承诺内容必须达到本篇及招标文件其他条款的要求。</w:t>
      </w:r>
    </w:p>
    <w:p w14:paraId="7F43C55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（二）其他未尽事宜由供需双方在采购合同中详细约定。</w:t>
      </w:r>
    </w:p>
    <w:p w14:paraId="14E3FCD0">
      <w:pPr>
        <w:pStyle w:val="5"/>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30D0438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3B3AA818">
      <w:pPr>
        <w:pStyle w:val="5"/>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235B859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73BBEAE">
      <w:pPr>
        <w:pStyle w:val="2"/>
        <w:rPr>
          <w:rFonts w:hint="eastAsia" w:ascii="仿宋" w:hAnsi="仿宋" w:eastAsia="仿宋" w:cs="仿宋"/>
          <w:color w:val="auto"/>
          <w:sz w:val="24"/>
          <w:szCs w:val="24"/>
          <w:highlight w:val="none"/>
        </w:rPr>
      </w:pPr>
    </w:p>
    <w:p w14:paraId="6F375BA3">
      <w:pPr>
        <w:rPr>
          <w:rFonts w:hint="eastAsia"/>
          <w:highlight w:val="none"/>
        </w:rPr>
      </w:pPr>
    </w:p>
    <w:p w14:paraId="33E8D947">
      <w:pPr>
        <w:pStyle w:val="4"/>
        <w:pageBreakBefore w:val="0"/>
        <w:numPr>
          <w:ilvl w:val="0"/>
          <w:numId w:val="4"/>
        </w:numPr>
        <w:kinsoku/>
        <w:overflowPunct/>
        <w:topLinePunct w:val="0"/>
        <w:autoSpaceDE/>
        <w:autoSpaceDN/>
        <w:bidi w:val="0"/>
        <w:adjustRightInd/>
        <w:snapToGrid w:val="0"/>
        <w:spacing w:line="312" w:lineRule="auto"/>
        <w:ind w:left="-280" w:leftChars="-100" w:firstLine="560" w:firstLineChars="175"/>
        <w:jc w:val="center"/>
        <w:rPr>
          <w:rStyle w:val="38"/>
          <w:rFonts w:hint="eastAsia" w:ascii="仿宋" w:hAnsi="仿宋" w:eastAsia="仿宋" w:cs="仿宋"/>
          <w:b/>
          <w:bCs/>
          <w:color w:val="auto"/>
          <w:highlight w:val="none"/>
        </w:rPr>
      </w:pPr>
      <w:bookmarkStart w:id="57" w:name="_Toc27973"/>
      <w:r>
        <w:rPr>
          <w:rStyle w:val="38"/>
          <w:rFonts w:hint="eastAsia" w:ascii="仿宋" w:hAnsi="仿宋" w:eastAsia="仿宋" w:cs="仿宋"/>
          <w:b/>
          <w:bCs/>
          <w:color w:val="auto"/>
          <w:highlight w:val="none"/>
        </w:rPr>
        <w:t>资格审查及评标办法</w:t>
      </w:r>
      <w:bookmarkEnd w:id="57"/>
    </w:p>
    <w:p w14:paraId="208D5F3A">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一、资格性符合性检查</w:t>
      </w:r>
    </w:p>
    <w:p w14:paraId="064EA8B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（一）资格性检查。依据法律法规和采购文件的规定，对响应文件中的资格证明等进行审查，以确定供应商是否具备投标资格。资格性检查资料表如下：</w:t>
      </w:r>
    </w:p>
    <w:tbl>
      <w:tblPr>
        <w:tblStyle w:val="24"/>
        <w:tblW w:w="9802"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18"/>
        <w:gridCol w:w="3126"/>
        <w:gridCol w:w="4801"/>
      </w:tblGrid>
      <w:tr w14:paraId="60AE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E69FCC5">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244" w:type="dxa"/>
            <w:gridSpan w:val="2"/>
            <w:vAlign w:val="center"/>
          </w:tcPr>
          <w:p w14:paraId="28760003">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801" w:type="dxa"/>
            <w:vAlign w:val="center"/>
          </w:tcPr>
          <w:p w14:paraId="365E50C7">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650A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5AC940D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18" w:type="dxa"/>
            <w:vMerge w:val="restart"/>
            <w:vAlign w:val="center"/>
          </w:tcPr>
          <w:p w14:paraId="4E8B0B0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3126" w:type="dxa"/>
            <w:vAlign w:val="center"/>
          </w:tcPr>
          <w:p w14:paraId="1F9CD21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801" w:type="dxa"/>
            <w:vAlign w:val="center"/>
          </w:tcPr>
          <w:p w14:paraId="03D439DC">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供应商法人营业执照（副本）或事业单位法人证书（正本）或个体工商户营业执照或有效的自然人身份证明、组织机构代码证复印件（注</w:t>
            </w: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sz w:val="24"/>
                <w:szCs w:val="24"/>
                <w:highlight w:val="none"/>
              </w:rPr>
              <w:t xml:space="preserve">）； </w:t>
            </w:r>
          </w:p>
          <w:p w14:paraId="3260B56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供应商法定代表人身份证明和法定代表人授权代表委托书。</w:t>
            </w:r>
          </w:p>
        </w:tc>
      </w:tr>
      <w:tr w14:paraId="0E2A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57" w:type="dxa"/>
            <w:vMerge w:val="continue"/>
            <w:vAlign w:val="center"/>
          </w:tcPr>
          <w:p w14:paraId="3BB195A1">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635727DE">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5501EAA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801" w:type="dxa"/>
            <w:vMerge w:val="restart"/>
            <w:vAlign w:val="center"/>
          </w:tcPr>
          <w:p w14:paraId="76A559C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供应商提供基本资格条件承诺函（见格式文件）</w:t>
            </w:r>
          </w:p>
          <w:p w14:paraId="6C94875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或采购代理机构将通过 “信用中国”网站(www.creditchina.gov.cn)、"中国政府采购网"(www.ccgp.gov.cn)等渠道查询</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信用记录，对列入失信被执行人、重大税收违法案件当事人名单、政府采购严重违法失信行为记录名单的竞选人将拒绝其参与政府采购活动。</w:t>
            </w:r>
          </w:p>
        </w:tc>
      </w:tr>
      <w:tr w14:paraId="41C1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57" w:type="dxa"/>
            <w:vMerge w:val="continue"/>
            <w:vAlign w:val="center"/>
          </w:tcPr>
          <w:p w14:paraId="3F8E3947">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005FA73D">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76CEC45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801" w:type="dxa"/>
            <w:vMerge w:val="continue"/>
            <w:vAlign w:val="center"/>
          </w:tcPr>
          <w:p w14:paraId="71527918">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tc>
      </w:tr>
      <w:tr w14:paraId="16F6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7" w:type="dxa"/>
            <w:vMerge w:val="continue"/>
            <w:vAlign w:val="center"/>
          </w:tcPr>
          <w:p w14:paraId="18B12031">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2E0B7784">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4BD7A49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801" w:type="dxa"/>
            <w:vMerge w:val="continue"/>
            <w:vAlign w:val="center"/>
          </w:tcPr>
          <w:p w14:paraId="3444A84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tc>
      </w:tr>
      <w:tr w14:paraId="557E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57" w:type="dxa"/>
            <w:vMerge w:val="continue"/>
            <w:vAlign w:val="center"/>
          </w:tcPr>
          <w:p w14:paraId="00B6CA7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p>
        </w:tc>
        <w:tc>
          <w:tcPr>
            <w:tcW w:w="1118" w:type="dxa"/>
            <w:vMerge w:val="continue"/>
            <w:vAlign w:val="center"/>
          </w:tcPr>
          <w:p w14:paraId="3D5E4C0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p>
        </w:tc>
        <w:tc>
          <w:tcPr>
            <w:tcW w:w="3126" w:type="dxa"/>
            <w:vAlign w:val="center"/>
          </w:tcPr>
          <w:p w14:paraId="7E25997B">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（5）参加政府采购活动前三年内，在经营活动中没有重大违法记录（注②）</w:t>
            </w:r>
          </w:p>
        </w:tc>
        <w:tc>
          <w:tcPr>
            <w:tcW w:w="4801" w:type="dxa"/>
            <w:vMerge w:val="continue"/>
            <w:vAlign w:val="center"/>
          </w:tcPr>
          <w:p w14:paraId="21E6A3C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tc>
      </w:tr>
      <w:tr w14:paraId="0FD9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7" w:type="dxa"/>
            <w:vMerge w:val="continue"/>
            <w:vAlign w:val="center"/>
          </w:tcPr>
          <w:p w14:paraId="75CCDACC">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28CD071D">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75DD8B7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801" w:type="dxa"/>
            <w:vAlign w:val="center"/>
          </w:tcPr>
          <w:p w14:paraId="4364EFD9">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1D38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57" w:type="dxa"/>
            <w:vAlign w:val="center"/>
          </w:tcPr>
          <w:p w14:paraId="2AE8FB50">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44" w:type="dxa"/>
            <w:gridSpan w:val="2"/>
            <w:vAlign w:val="center"/>
          </w:tcPr>
          <w:p w14:paraId="40E3101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4801" w:type="dxa"/>
            <w:vAlign w:val="center"/>
          </w:tcPr>
          <w:p w14:paraId="7C291A2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bookmarkStart w:id="58" w:name="_Toc11965"/>
            <w:bookmarkStart w:id="59" w:name="_Toc13413"/>
            <w:r>
              <w:rPr>
                <w:rFonts w:hint="eastAsia" w:ascii="仿宋" w:hAnsi="仿宋" w:eastAsia="仿宋" w:cs="仿宋"/>
                <w:color w:val="auto"/>
                <w:sz w:val="24"/>
                <w:szCs w:val="24"/>
                <w:highlight w:val="none"/>
              </w:rPr>
              <w:t>按第一篇“资格要求（二）特定资格条件”的要求提交证明文件并加盖供应商公章。</w:t>
            </w:r>
            <w:bookmarkEnd w:id="58"/>
            <w:bookmarkEnd w:id="59"/>
          </w:p>
        </w:tc>
      </w:tr>
    </w:tbl>
    <w:p w14:paraId="2A8A09E7">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33569B3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65DFC37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2"/>
      </w:r>
      <w:r>
        <w:rPr>
          <w:rFonts w:hint="eastAsia" w:ascii="仿宋" w:hAnsi="仿宋" w:eastAsia="仿宋" w:cs="仿宋"/>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4727DC9">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（二）符合性检查。依据采购文件的规定，从响应文件的有效性、完整性和对采购文件的响应程度进行审查，以确定是否对采购文件的实质性要求作出响应。符合性检查资料表如下：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7DA8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79D82BA1">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11CE4C6C">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43628586">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01DB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F548FC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49DA47A">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2E40388D">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1F3109BE">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响应文件上法定代表人或其授权代表人的签字齐全。</w:t>
            </w:r>
          </w:p>
        </w:tc>
      </w:tr>
      <w:tr w14:paraId="4F09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964A415">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D9365C3">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7A2146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76CB820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法定代表人身份证明及授权委托书有效，符合采购文件规定的格式，签字或盖章齐全。</w:t>
            </w:r>
          </w:p>
        </w:tc>
      </w:tr>
      <w:tr w14:paraId="32F6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59D82E2">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B9D4E96">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7CA452C0">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13F3A9D4">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每个分包只能有一个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3D93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6BBC544">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9CDE3C7">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3E5CB53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79CD0C50">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47F4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86" w:type="dxa"/>
            <w:tcBorders>
              <w:top w:val="single" w:color="auto" w:sz="4" w:space="0"/>
              <w:left w:val="single" w:color="auto" w:sz="4" w:space="0"/>
              <w:bottom w:val="single" w:color="auto" w:sz="4" w:space="0"/>
              <w:right w:val="single" w:color="auto" w:sz="4" w:space="0"/>
            </w:tcBorders>
            <w:vAlign w:val="center"/>
          </w:tcPr>
          <w:p w14:paraId="2A537CB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090F778E">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334DBDC9">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25804375">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val="zh-CN"/>
              </w:rPr>
              <w:t>要求。</w:t>
            </w:r>
          </w:p>
        </w:tc>
      </w:tr>
      <w:tr w14:paraId="4B90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7583AD2">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2B6FABE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采购文件的响应程度审查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078B0408">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196AA170">
            <w:pPr>
              <w:pStyle w:val="14"/>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t>对采购文件第二篇、第三篇规定的内容作出响应。</w:t>
            </w:r>
          </w:p>
        </w:tc>
      </w:tr>
      <w:tr w14:paraId="3231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23D51A70">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F9229C8">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sz w:val="24"/>
                <w:szCs w:val="24"/>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7078CA52">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w:t>
            </w:r>
          </w:p>
        </w:tc>
        <w:tc>
          <w:tcPr>
            <w:tcW w:w="6043" w:type="dxa"/>
            <w:tcBorders>
              <w:top w:val="single" w:color="auto" w:sz="4" w:space="0"/>
              <w:left w:val="single" w:color="auto" w:sz="4" w:space="0"/>
              <w:bottom w:val="single" w:color="auto" w:sz="4" w:space="0"/>
              <w:right w:val="single" w:color="auto" w:sz="4" w:space="0"/>
            </w:tcBorders>
            <w:vAlign w:val="center"/>
          </w:tcPr>
          <w:p w14:paraId="46FB4D4A">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90日历天</w:t>
            </w:r>
            <w:r>
              <w:rPr>
                <w:rFonts w:hint="eastAsia" w:ascii="仿宋" w:hAnsi="仿宋" w:eastAsia="仿宋" w:cs="仿宋"/>
                <w:color w:val="auto"/>
                <w:sz w:val="24"/>
                <w:szCs w:val="24"/>
                <w:highlight w:val="none"/>
                <w:lang w:val="zh-CN"/>
              </w:rPr>
              <w:t>。</w:t>
            </w:r>
          </w:p>
        </w:tc>
      </w:tr>
    </w:tbl>
    <w:p w14:paraId="7851633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1、在投标过程中的任何一方不得向他人透露与本项目有关的技术资料、价格或其他信息。</w:t>
      </w:r>
    </w:p>
    <w:p w14:paraId="154D59F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对供应商的响应文件和报价进行综合评分。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p>
    <w:p w14:paraId="34708CB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各成员独立对每个有效响应（通过资格性检查、符合性检查的供应商）的文件进行评价、打分，然后汇总每个供应商每项评分因素的得分，并根据综合评分情况按照评审得分由高到低顺序推荐</w:t>
      </w:r>
      <w:r>
        <w:rPr>
          <w:rFonts w:hint="eastAsia" w:ascii="仿宋" w:hAnsi="仿宋" w:eastAsia="仿宋" w:cs="仿宋"/>
          <w:color w:val="auto"/>
          <w:kern w:val="0"/>
          <w:sz w:val="24"/>
          <w:szCs w:val="24"/>
          <w:highlight w:val="none"/>
        </w:rPr>
        <w:t>综合得分排名前三的供应商为本项目成交候选人</w:t>
      </w:r>
      <w:r>
        <w:rPr>
          <w:rFonts w:hint="eastAsia" w:ascii="仿宋" w:hAnsi="仿宋" w:eastAsia="仿宋" w:cs="仿宋"/>
          <w:color w:val="auto"/>
          <w:sz w:val="24"/>
          <w:szCs w:val="24"/>
          <w:highlight w:val="none"/>
        </w:rPr>
        <w:t>，并编写评审报告。若供应商的评审得分相同的，按照投标报价由低到高的顺序排列推荐。评审得分且投标报价相同的，按照服务指标优劣顺序排列推荐。以上都相同的，按商务条款的优劣顺序排列推荐。服务部分得分为0分的供应商，将失去成为成交候选人的资格。</w:t>
      </w:r>
    </w:p>
    <w:p w14:paraId="1AA12B5C">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60" w:name="_Toc11790"/>
      <w:r>
        <w:rPr>
          <w:rFonts w:hint="eastAsia" w:ascii="仿宋" w:hAnsi="仿宋" w:eastAsia="仿宋" w:cs="仿宋"/>
          <w:color w:val="auto"/>
          <w:sz w:val="24"/>
          <w:szCs w:val="24"/>
          <w:highlight w:val="none"/>
        </w:rPr>
        <w:t>二、评审标准</w:t>
      </w:r>
      <w:bookmarkEnd w:id="60"/>
    </w:p>
    <w:tbl>
      <w:tblPr>
        <w:tblStyle w:val="24"/>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90"/>
        <w:gridCol w:w="971"/>
        <w:gridCol w:w="4381"/>
        <w:gridCol w:w="1995"/>
      </w:tblGrid>
      <w:tr w14:paraId="12A8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noWrap w:val="0"/>
            <w:vAlign w:val="center"/>
          </w:tcPr>
          <w:p w14:paraId="0A12FFA4">
            <w:pPr>
              <w:spacing w:line="240" w:lineRule="atLeast"/>
              <w:ind w:firstLine="28"/>
              <w:jc w:val="center"/>
              <w:rPr>
                <w:rFonts w:hint="eastAsia" w:ascii="仿宋" w:hAnsi="仿宋" w:eastAsia="仿宋" w:cs="仿宋"/>
                <w:color w:val="auto"/>
                <w:sz w:val="24"/>
                <w:szCs w:val="24"/>
                <w:highlight w:val="none"/>
              </w:rPr>
            </w:pPr>
            <w:bookmarkStart w:id="61" w:name="_Toc102227320"/>
            <w:bookmarkStart w:id="62" w:name="_Toc487204784"/>
            <w:bookmarkStart w:id="63" w:name="_Toc426965635"/>
            <w:bookmarkStart w:id="64" w:name="_Toc342913394"/>
            <w:r>
              <w:rPr>
                <w:rFonts w:hint="eastAsia" w:ascii="仿宋" w:hAnsi="仿宋" w:eastAsia="仿宋" w:cs="仿宋"/>
                <w:color w:val="auto"/>
                <w:sz w:val="24"/>
                <w:szCs w:val="24"/>
                <w:highlight w:val="none"/>
              </w:rPr>
              <w:t>序号</w:t>
            </w:r>
          </w:p>
        </w:tc>
        <w:tc>
          <w:tcPr>
            <w:tcW w:w="1290" w:type="dxa"/>
            <w:noWrap w:val="0"/>
            <w:vAlign w:val="center"/>
          </w:tcPr>
          <w:p w14:paraId="0569E760">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p w14:paraId="4B5119F9">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及权重</w:t>
            </w:r>
          </w:p>
        </w:tc>
        <w:tc>
          <w:tcPr>
            <w:tcW w:w="971" w:type="dxa"/>
            <w:noWrap w:val="0"/>
            <w:vAlign w:val="center"/>
          </w:tcPr>
          <w:p w14:paraId="7C0B5764">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381" w:type="dxa"/>
            <w:noWrap w:val="0"/>
            <w:vAlign w:val="center"/>
          </w:tcPr>
          <w:p w14:paraId="2277699A">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995" w:type="dxa"/>
            <w:noWrap w:val="0"/>
            <w:vAlign w:val="center"/>
          </w:tcPr>
          <w:p w14:paraId="3AF04D2D">
            <w:pPr>
              <w:pStyle w:val="56"/>
              <w:spacing w:before="0" w:after="0" w:line="240" w:lineRule="atLeast"/>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说明</w:t>
            </w:r>
          </w:p>
        </w:tc>
      </w:tr>
      <w:tr w14:paraId="1B8E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08" w:type="dxa"/>
            <w:noWrap w:val="0"/>
            <w:vAlign w:val="center"/>
          </w:tcPr>
          <w:p w14:paraId="02CCA315">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90" w:type="dxa"/>
            <w:noWrap w:val="0"/>
            <w:vAlign w:val="center"/>
          </w:tcPr>
          <w:p w14:paraId="60DAAE5A">
            <w:pPr>
              <w:spacing w:line="240" w:lineRule="atLeast"/>
              <w:ind w:firstLine="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w:t>
            </w:r>
          </w:p>
          <w:p w14:paraId="510DDA9D">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71" w:type="dxa"/>
            <w:noWrap w:val="0"/>
            <w:vAlign w:val="center"/>
          </w:tcPr>
          <w:p w14:paraId="07C5D9D5">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tc>
        <w:tc>
          <w:tcPr>
            <w:tcW w:w="4381" w:type="dxa"/>
            <w:noWrap w:val="0"/>
            <w:vAlign w:val="center"/>
          </w:tcPr>
          <w:p w14:paraId="7A7186F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有效的竞采报价中的最低价为评标基准价，按照下列公式计算每个竞标人的价格得分。</w:t>
            </w:r>
          </w:p>
          <w:p w14:paraId="0FBC52C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竞采报价得分＝（评标基准价/ 竞采报价）×价格权重×100。</w:t>
            </w:r>
          </w:p>
        </w:tc>
        <w:tc>
          <w:tcPr>
            <w:tcW w:w="1995" w:type="dxa"/>
            <w:noWrap w:val="0"/>
            <w:vAlign w:val="center"/>
          </w:tcPr>
          <w:p w14:paraId="24BBB54C">
            <w:pPr>
              <w:spacing w:line="240" w:lineRule="atLeast"/>
              <w:ind w:left="-38"/>
              <w:rPr>
                <w:rFonts w:hint="eastAsia" w:ascii="仿宋" w:hAnsi="仿宋" w:eastAsia="仿宋" w:cs="仿宋"/>
                <w:color w:val="auto"/>
                <w:sz w:val="24"/>
                <w:szCs w:val="24"/>
                <w:highlight w:val="none"/>
              </w:rPr>
            </w:pPr>
          </w:p>
        </w:tc>
      </w:tr>
      <w:tr w14:paraId="0C3B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08" w:type="dxa"/>
            <w:vMerge w:val="restart"/>
            <w:noWrap w:val="0"/>
            <w:vAlign w:val="center"/>
          </w:tcPr>
          <w:p w14:paraId="0A851305">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90" w:type="dxa"/>
            <w:vMerge w:val="restart"/>
            <w:noWrap w:val="0"/>
            <w:vAlign w:val="center"/>
          </w:tcPr>
          <w:p w14:paraId="47626C8F">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服务部分</w:t>
            </w:r>
          </w:p>
          <w:p w14:paraId="23147D81">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w:t>
            </w:r>
          </w:p>
        </w:tc>
        <w:tc>
          <w:tcPr>
            <w:tcW w:w="971" w:type="dxa"/>
            <w:noWrap w:val="0"/>
            <w:vAlign w:val="center"/>
          </w:tcPr>
          <w:p w14:paraId="73E8783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TW"/>
              </w:rPr>
              <w:t>运营团队人员配置</w:t>
            </w:r>
            <w:r>
              <w:rPr>
                <w:rFonts w:hint="eastAsia" w:ascii="仿宋" w:hAnsi="仿宋" w:eastAsia="仿宋" w:cs="仿宋"/>
                <w:color w:val="auto"/>
                <w:sz w:val="24"/>
                <w:szCs w:val="24"/>
                <w:highlight w:val="none"/>
                <w:lang w:val="zh-TW"/>
              </w:rPr>
              <w:t>方案</w:t>
            </w:r>
          </w:p>
          <w:p w14:paraId="07A62C13">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4381" w:type="dxa"/>
            <w:noWrap w:val="0"/>
            <w:vAlign w:val="center"/>
          </w:tcPr>
          <w:p w14:paraId="0498B8CB">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结合自身优势和特点，根据采购人要求，编制</w:t>
            </w:r>
            <w:r>
              <w:rPr>
                <w:rFonts w:hint="eastAsia" w:ascii="仿宋" w:hAnsi="仿宋" w:eastAsia="仿宋" w:cs="仿宋"/>
                <w:color w:val="auto"/>
                <w:sz w:val="24"/>
                <w:szCs w:val="24"/>
                <w:highlight w:val="none"/>
                <w:lang w:val="zh-TW" w:eastAsia="zh-TW"/>
              </w:rPr>
              <w:t>运营团队人员配置</w:t>
            </w:r>
            <w:r>
              <w:rPr>
                <w:rFonts w:hint="eastAsia" w:ascii="仿宋" w:hAnsi="仿宋" w:eastAsia="仿宋" w:cs="仿宋"/>
                <w:color w:val="auto"/>
                <w:sz w:val="24"/>
                <w:szCs w:val="24"/>
                <w:highlight w:val="none"/>
                <w:lang w:val="zh-TW"/>
              </w:rPr>
              <w:t>方案</w:t>
            </w: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val="en-US" w:eastAsia="zh-CN"/>
              </w:rPr>
              <w:t>包括但不限于人员配置、人员分工、团队能力</w:t>
            </w:r>
            <w:r>
              <w:rPr>
                <w:rFonts w:hint="eastAsia" w:ascii="仿宋" w:hAnsi="仿宋" w:eastAsia="仿宋" w:cs="仿宋"/>
                <w:color w:val="auto"/>
                <w:sz w:val="24"/>
                <w:szCs w:val="24"/>
                <w:highlight w:val="none"/>
                <w:lang w:val="zh-TW" w:eastAsia="zh-TW"/>
              </w:rPr>
              <w:t>。</w:t>
            </w:r>
          </w:p>
          <w:p w14:paraId="25D079DD">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内容不存在瑕疵得20分；</w:t>
            </w:r>
          </w:p>
          <w:p w14:paraId="09D376F6">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内容存在1处瑕疵得14分；</w:t>
            </w:r>
          </w:p>
          <w:p w14:paraId="778A2898">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内容存在2处瑕疵得9分；</w:t>
            </w:r>
          </w:p>
          <w:p w14:paraId="01D48FCE">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内容存在3处瑕疵得5分；</w:t>
            </w:r>
          </w:p>
          <w:p w14:paraId="32380A5A">
            <w:pPr>
              <w:spacing w:line="3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内容存在4处及以上瑕疵或未提供方案得0</w:t>
            </w:r>
          </w:p>
        </w:tc>
        <w:tc>
          <w:tcPr>
            <w:tcW w:w="1995" w:type="dxa"/>
            <w:vMerge w:val="restart"/>
            <w:noWrap w:val="0"/>
            <w:vAlign w:val="center"/>
          </w:tcPr>
          <w:p w14:paraId="1AD08329">
            <w:pPr>
              <w:spacing w:line="380" w:lineRule="atLeast"/>
              <w:ind w:firstLine="480" w:firstLineChars="200"/>
              <w:rPr>
                <w:rFonts w:hint="eastAsia" w:ascii="仿宋" w:hAnsi="仿宋" w:eastAsia="仿宋" w:cs="仿宋"/>
                <w:color w:val="auto"/>
                <w:sz w:val="24"/>
                <w:szCs w:val="24"/>
                <w:highlight w:val="none"/>
                <w:lang w:val="zh-CN"/>
              </w:rPr>
            </w:pPr>
          </w:p>
          <w:p w14:paraId="21134B03">
            <w:pPr>
              <w:pageBreakBefore w:val="0"/>
              <w:kinsoku/>
              <w:overflowPunct/>
              <w:topLinePunct w:val="0"/>
              <w:autoSpaceDE/>
              <w:autoSpaceDN/>
              <w:bidi w:val="0"/>
              <w:adjustRightInd/>
              <w:snapToGrid w:val="0"/>
              <w:spacing w:line="312"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（1）评审委员会按服务部分各评审因素设定的分值评分。</w:t>
            </w:r>
          </w:p>
          <w:p w14:paraId="2D4BAD16">
            <w:pPr>
              <w:pageBreakBefore w:val="0"/>
              <w:kinsoku/>
              <w:overflowPunct/>
              <w:topLinePunct w:val="0"/>
              <w:autoSpaceDE/>
              <w:autoSpaceDN/>
              <w:bidi w:val="0"/>
              <w:adjustRightInd/>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（2）所有评委打分取算术平均值为该供应商服务部分得分。</w:t>
            </w:r>
          </w:p>
          <w:p w14:paraId="12067222">
            <w:pPr>
              <w:pageBreakBefore w:val="0"/>
              <w:kinsoku/>
              <w:overflowPunct/>
              <w:topLinePunct w:val="0"/>
              <w:autoSpaceDE/>
              <w:autoSpaceDN/>
              <w:bidi w:val="0"/>
              <w:adjustRightInd/>
              <w:snapToGrid w:val="0"/>
              <w:spacing w:line="312"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（3）服务部分得分的最终结果取小数点后两位，第三位四舍五入。</w:t>
            </w:r>
          </w:p>
          <w:p w14:paraId="088CA8A4">
            <w:pPr>
              <w:pStyle w:val="57"/>
              <w:spacing w:line="240" w:lineRule="atLeast"/>
              <w:ind w:firstLine="0" w:firstLineChars="0"/>
              <w:jc w:val="left"/>
              <w:rPr>
                <w:rFonts w:ascii="微软雅黑" w:hAnsi="微软雅黑" w:eastAsia="微软雅黑" w:cs="微软雅黑"/>
                <w:color w:val="auto"/>
                <w:sz w:val="21"/>
                <w:szCs w:val="21"/>
                <w:highlight w:val="none"/>
              </w:rPr>
            </w:pPr>
            <w:r>
              <w:rPr>
                <w:rFonts w:hint="eastAsia" w:ascii="仿宋" w:hAnsi="仿宋" w:eastAsia="仿宋" w:cs="仿宋"/>
                <w:color w:val="auto"/>
                <w:sz w:val="24"/>
                <w:szCs w:val="24"/>
                <w:highlight w:val="none"/>
              </w:rPr>
              <w:t>（4）供应商所提供的服务方案原则上不超过</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页。</w:t>
            </w:r>
          </w:p>
          <w:p w14:paraId="649ADEE9">
            <w:pPr>
              <w:spacing w:line="240" w:lineRule="atLeast"/>
              <w:ind w:firstLine="28"/>
              <w:jc w:val="left"/>
              <w:rPr>
                <w:rFonts w:hint="eastAsia" w:ascii="仿宋" w:hAnsi="仿宋" w:eastAsia="仿宋" w:cs="仿宋"/>
                <w:color w:val="auto"/>
                <w:sz w:val="24"/>
                <w:szCs w:val="24"/>
                <w:highlight w:val="none"/>
              </w:rPr>
            </w:pPr>
          </w:p>
        </w:tc>
      </w:tr>
      <w:tr w14:paraId="7F89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08" w:type="dxa"/>
            <w:vMerge w:val="continue"/>
            <w:noWrap w:val="0"/>
            <w:vAlign w:val="center"/>
          </w:tcPr>
          <w:p w14:paraId="0E31D8BC">
            <w:pPr>
              <w:spacing w:line="240" w:lineRule="atLeast"/>
              <w:ind w:firstLine="28"/>
              <w:jc w:val="center"/>
              <w:rPr>
                <w:rFonts w:hint="eastAsia" w:ascii="仿宋" w:hAnsi="仿宋" w:eastAsia="仿宋" w:cs="仿宋"/>
                <w:color w:val="auto"/>
                <w:sz w:val="24"/>
                <w:szCs w:val="24"/>
                <w:highlight w:val="none"/>
              </w:rPr>
            </w:pPr>
          </w:p>
        </w:tc>
        <w:tc>
          <w:tcPr>
            <w:tcW w:w="1290" w:type="dxa"/>
            <w:vMerge w:val="continue"/>
            <w:noWrap w:val="0"/>
            <w:vAlign w:val="center"/>
          </w:tcPr>
          <w:p w14:paraId="2BC3EA45">
            <w:pPr>
              <w:spacing w:line="240" w:lineRule="atLeast"/>
              <w:ind w:firstLine="28"/>
              <w:jc w:val="center"/>
              <w:rPr>
                <w:rFonts w:hint="eastAsia" w:ascii="仿宋" w:hAnsi="仿宋" w:eastAsia="仿宋" w:cs="仿宋"/>
                <w:color w:val="auto"/>
                <w:sz w:val="24"/>
                <w:szCs w:val="24"/>
                <w:highlight w:val="none"/>
              </w:rPr>
            </w:pPr>
          </w:p>
        </w:tc>
        <w:tc>
          <w:tcPr>
            <w:tcW w:w="971" w:type="dxa"/>
            <w:noWrap w:val="0"/>
            <w:vAlign w:val="center"/>
          </w:tcPr>
          <w:p w14:paraId="68D75111">
            <w:pPr>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总体宣传方案20</w:t>
            </w:r>
            <w:r>
              <w:rPr>
                <w:rFonts w:hint="eastAsia" w:ascii="仿宋" w:hAnsi="仿宋" w:eastAsia="仿宋" w:cs="仿宋"/>
                <w:color w:val="auto"/>
                <w:sz w:val="24"/>
                <w:szCs w:val="24"/>
                <w:highlight w:val="none"/>
              </w:rPr>
              <w:t>分</w:t>
            </w:r>
          </w:p>
        </w:tc>
        <w:tc>
          <w:tcPr>
            <w:tcW w:w="4381" w:type="dxa"/>
            <w:noWrap w:val="0"/>
            <w:vAlign w:val="center"/>
          </w:tcPr>
          <w:p w14:paraId="7A32EAEF">
            <w:pPr>
              <w:spacing w:line="380" w:lineRule="atLeas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结合自身优势和特点，根据采购人要求，</w:t>
            </w:r>
            <w:r>
              <w:rPr>
                <w:rFonts w:hint="eastAsia" w:ascii="仿宋" w:hAnsi="仿宋" w:eastAsia="仿宋" w:cs="仿宋"/>
                <w:color w:val="auto"/>
                <w:sz w:val="24"/>
                <w:szCs w:val="24"/>
                <w:highlight w:val="none"/>
                <w:lang w:val="en-US" w:eastAsia="zh-CN"/>
              </w:rPr>
              <w:t>编制总体宣传方案：包括但不限于总体思路、项目定位、媒体平台、宣传形式等。</w:t>
            </w:r>
          </w:p>
          <w:p w14:paraId="46770547">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内容不存在瑕疵得20分；</w:t>
            </w:r>
          </w:p>
          <w:p w14:paraId="6B4C5BBF">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内容存在1处瑕疵得14分；</w:t>
            </w:r>
          </w:p>
          <w:p w14:paraId="5FB3FAA4">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内容存在2处瑕疵得9分；</w:t>
            </w:r>
          </w:p>
          <w:p w14:paraId="4A2F2E64">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内容存在3处瑕疵得5分；</w:t>
            </w:r>
          </w:p>
          <w:p w14:paraId="5A48FE57">
            <w:pPr>
              <w:spacing w:line="3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内容存在4处及以上瑕疵或未提供方案得0</w:t>
            </w:r>
          </w:p>
        </w:tc>
        <w:tc>
          <w:tcPr>
            <w:tcW w:w="1995" w:type="dxa"/>
            <w:vMerge w:val="continue"/>
            <w:noWrap w:val="0"/>
            <w:vAlign w:val="center"/>
          </w:tcPr>
          <w:p w14:paraId="77D0AFCF">
            <w:pPr>
              <w:spacing w:line="240" w:lineRule="atLeast"/>
              <w:ind w:firstLine="28"/>
              <w:jc w:val="left"/>
              <w:rPr>
                <w:rFonts w:hint="eastAsia" w:ascii="仿宋" w:hAnsi="仿宋" w:eastAsia="仿宋" w:cs="仿宋"/>
                <w:color w:val="auto"/>
                <w:sz w:val="24"/>
                <w:szCs w:val="24"/>
                <w:highlight w:val="none"/>
              </w:rPr>
            </w:pPr>
          </w:p>
        </w:tc>
      </w:tr>
      <w:tr w14:paraId="1466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808" w:type="dxa"/>
            <w:vMerge w:val="continue"/>
            <w:noWrap w:val="0"/>
            <w:vAlign w:val="center"/>
          </w:tcPr>
          <w:p w14:paraId="25C5267A">
            <w:pPr>
              <w:spacing w:line="240" w:lineRule="atLeast"/>
              <w:ind w:firstLine="28"/>
              <w:jc w:val="center"/>
              <w:rPr>
                <w:rFonts w:hint="eastAsia" w:ascii="仿宋" w:hAnsi="仿宋" w:eastAsia="仿宋" w:cs="仿宋"/>
                <w:color w:val="auto"/>
                <w:sz w:val="24"/>
                <w:szCs w:val="24"/>
                <w:highlight w:val="none"/>
              </w:rPr>
            </w:pPr>
          </w:p>
        </w:tc>
        <w:tc>
          <w:tcPr>
            <w:tcW w:w="1290" w:type="dxa"/>
            <w:vMerge w:val="continue"/>
            <w:noWrap w:val="0"/>
            <w:vAlign w:val="center"/>
          </w:tcPr>
          <w:p w14:paraId="117F2791">
            <w:pPr>
              <w:spacing w:line="240" w:lineRule="atLeast"/>
              <w:ind w:firstLine="28"/>
              <w:jc w:val="center"/>
              <w:rPr>
                <w:rFonts w:hint="eastAsia" w:ascii="仿宋" w:hAnsi="仿宋" w:eastAsia="仿宋" w:cs="仿宋"/>
                <w:color w:val="auto"/>
                <w:sz w:val="24"/>
                <w:szCs w:val="24"/>
                <w:highlight w:val="none"/>
              </w:rPr>
            </w:pPr>
          </w:p>
        </w:tc>
        <w:tc>
          <w:tcPr>
            <w:tcW w:w="971" w:type="dxa"/>
            <w:noWrap w:val="0"/>
            <w:vAlign w:val="center"/>
          </w:tcPr>
          <w:p w14:paraId="06F504DB">
            <w:pPr>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质量提升和审校把关方案</w:t>
            </w:r>
          </w:p>
          <w:p w14:paraId="72F4D8CC">
            <w:pPr>
              <w:ind w:firstLine="28"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20分</w:t>
            </w:r>
          </w:p>
        </w:tc>
        <w:tc>
          <w:tcPr>
            <w:tcW w:w="4381" w:type="dxa"/>
            <w:noWrap w:val="0"/>
            <w:vAlign w:val="center"/>
          </w:tcPr>
          <w:p w14:paraId="7BDF687A">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结合自身优势和特点，根据采购人要求，编制</w:t>
            </w:r>
            <w:r>
              <w:rPr>
                <w:rFonts w:hint="eastAsia" w:ascii="仿宋" w:hAnsi="仿宋" w:eastAsia="仿宋" w:cs="仿宋"/>
                <w:color w:val="auto"/>
                <w:sz w:val="24"/>
                <w:szCs w:val="24"/>
                <w:highlight w:val="none"/>
                <w:lang w:val="zh-TW" w:eastAsia="zh-TW"/>
              </w:rPr>
              <w:t>质量提升和审校把关方案：</w:t>
            </w:r>
            <w:r>
              <w:rPr>
                <w:rFonts w:hint="eastAsia" w:ascii="仿宋" w:hAnsi="仿宋" w:eastAsia="仿宋" w:cs="仿宋"/>
                <w:color w:val="auto"/>
                <w:sz w:val="24"/>
                <w:szCs w:val="24"/>
                <w:highlight w:val="none"/>
                <w:lang w:val="en-US" w:eastAsia="zh-CN"/>
              </w:rPr>
              <w:t>包括但不限于内容质量提升与审校把关具体措施等</w:t>
            </w:r>
            <w:r>
              <w:rPr>
                <w:rFonts w:hint="eastAsia" w:ascii="仿宋" w:hAnsi="仿宋" w:eastAsia="仿宋" w:cs="仿宋"/>
                <w:color w:val="auto"/>
                <w:sz w:val="24"/>
                <w:szCs w:val="24"/>
                <w:highlight w:val="none"/>
                <w:lang w:val="zh-TW" w:eastAsia="zh-TW"/>
              </w:rPr>
              <w:t>。</w:t>
            </w:r>
          </w:p>
          <w:p w14:paraId="5B30C609">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内容不存在瑕疵得20分；</w:t>
            </w:r>
          </w:p>
          <w:p w14:paraId="6E577E4F">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内容存在1处瑕疵得14分；</w:t>
            </w:r>
          </w:p>
          <w:p w14:paraId="6C9B74CD">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内容存在2处瑕疵得9分；</w:t>
            </w:r>
          </w:p>
          <w:p w14:paraId="3D0E141B">
            <w:pPr>
              <w:pageBreakBefore w:val="0"/>
              <w:widowControl/>
              <w:kinsoku/>
              <w:wordWrap/>
              <w:overflowPunct/>
              <w:topLinePunct w:val="0"/>
              <w:bidi w:val="0"/>
              <w:snapToGrid/>
              <w:spacing w:line="38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内容存在3处瑕疵得5分；</w:t>
            </w:r>
          </w:p>
          <w:p w14:paraId="17DEE1B7">
            <w:pPr>
              <w:spacing w:line="380" w:lineRule="atLeas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内容存在4处及以上瑕疵或未提供方案得0</w:t>
            </w:r>
          </w:p>
        </w:tc>
        <w:tc>
          <w:tcPr>
            <w:tcW w:w="1995" w:type="dxa"/>
            <w:vMerge w:val="continue"/>
            <w:noWrap w:val="0"/>
            <w:vAlign w:val="center"/>
          </w:tcPr>
          <w:p w14:paraId="6A558943">
            <w:pPr>
              <w:spacing w:line="240" w:lineRule="atLeast"/>
              <w:ind w:firstLine="28"/>
              <w:jc w:val="left"/>
              <w:rPr>
                <w:rFonts w:hint="eastAsia" w:ascii="仿宋" w:hAnsi="仿宋" w:eastAsia="仿宋" w:cs="仿宋"/>
                <w:color w:val="auto"/>
                <w:sz w:val="24"/>
                <w:szCs w:val="24"/>
                <w:highlight w:val="none"/>
              </w:rPr>
            </w:pPr>
          </w:p>
        </w:tc>
      </w:tr>
      <w:tr w14:paraId="39E5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445" w:type="dxa"/>
            <w:gridSpan w:val="5"/>
            <w:noWrap w:val="0"/>
            <w:vAlign w:val="center"/>
          </w:tcPr>
          <w:p w14:paraId="3A358A4A">
            <w:pPr>
              <w:pageBreakBefore w:val="0"/>
              <w:kinsoku/>
              <w:overflowPunct/>
              <w:topLinePunct w:val="0"/>
              <w:bidi w:val="0"/>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注：本项内容中所称的“瑕疵”：</w:t>
            </w:r>
          </w:p>
          <w:p w14:paraId="68245D94">
            <w:pPr>
              <w:pageBreakBefore w:val="0"/>
              <w:kinsoku/>
              <w:overflowPunct/>
              <w:topLinePunct w:val="0"/>
              <w:bidi w:val="0"/>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①内容表述不完整或缺少关键分析点；</w:t>
            </w:r>
          </w:p>
          <w:p w14:paraId="413C9070">
            <w:pPr>
              <w:pageBreakBefore w:val="0"/>
              <w:kinsoku/>
              <w:overflowPunct/>
              <w:topLinePunct w:val="0"/>
              <w:bidi w:val="0"/>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②计划及措施不科学合理方案；</w:t>
            </w:r>
          </w:p>
          <w:p w14:paraId="0F6535B6">
            <w:pPr>
              <w:pageBreakBefore w:val="0"/>
              <w:kinsoku/>
              <w:overflowPunct/>
              <w:topLinePunct w:val="0"/>
              <w:bidi w:val="0"/>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③内容表述前后矛盾、无连贯性、内容存在逻辑漏洞；</w:t>
            </w:r>
          </w:p>
          <w:p w14:paraId="267757F7">
            <w:pPr>
              <w:pageBreakBefore w:val="0"/>
              <w:kinsoku/>
              <w:overflowPunct/>
              <w:topLinePunct w:val="0"/>
              <w:bidi w:val="0"/>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④常识性错误；</w:t>
            </w:r>
          </w:p>
          <w:p w14:paraId="78276D5E">
            <w:pPr>
              <w:pageBreakBefore w:val="0"/>
              <w:kinsoku/>
              <w:overflowPunct/>
              <w:topLinePunct w:val="0"/>
              <w:bidi w:val="0"/>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⑤技术措施保障安排并不适用本项目特性或非专门针对本项目制定；</w:t>
            </w:r>
          </w:p>
          <w:p w14:paraId="1ADC2BC8">
            <w:pPr>
              <w:pageBreakBefore w:val="0"/>
              <w:kinsoku/>
              <w:overflowPunct/>
              <w:topLinePunct w:val="0"/>
              <w:bidi w:val="0"/>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⑥方案中提出的措施举措不利于本项目目标的实现；</w:t>
            </w:r>
          </w:p>
          <w:p w14:paraId="0E7B7A40">
            <w:pPr>
              <w:pageBreakBefore w:val="0"/>
              <w:kinsoku/>
              <w:overflowPunct/>
              <w:topLinePunct w:val="0"/>
              <w:bidi w:val="0"/>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⑦现有技术条件下不可能实现采购目标；</w:t>
            </w:r>
          </w:p>
          <w:p w14:paraId="5DC7B799">
            <w:pPr>
              <w:spacing w:line="240" w:lineRule="atLeast"/>
              <w:ind w:firstLine="28"/>
              <w:jc w:val="left"/>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上述任意一种情形为1处瑕疵。</w:t>
            </w:r>
          </w:p>
        </w:tc>
      </w:tr>
      <w:tr w14:paraId="17DE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08" w:type="dxa"/>
            <w:vMerge w:val="restart"/>
            <w:noWrap w:val="0"/>
            <w:vAlign w:val="center"/>
          </w:tcPr>
          <w:p w14:paraId="2D9E35FA">
            <w:pPr>
              <w:spacing w:line="240" w:lineRule="atLeas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90" w:type="dxa"/>
            <w:vMerge w:val="restart"/>
            <w:noWrap w:val="0"/>
            <w:vAlign w:val="center"/>
          </w:tcPr>
          <w:p w14:paraId="085DFCD4">
            <w:pPr>
              <w:spacing w:line="240" w:lineRule="atLeast"/>
              <w:ind w:left="-38"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p>
        </w:tc>
        <w:tc>
          <w:tcPr>
            <w:tcW w:w="971" w:type="dxa"/>
            <w:noWrap w:val="0"/>
            <w:vAlign w:val="center"/>
          </w:tcPr>
          <w:p w14:paraId="72BBF10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0分</w:t>
            </w:r>
          </w:p>
        </w:tc>
        <w:tc>
          <w:tcPr>
            <w:tcW w:w="4381" w:type="dxa"/>
            <w:noWrap w:val="0"/>
            <w:vAlign w:val="center"/>
          </w:tcPr>
          <w:p w14:paraId="02872F74">
            <w:pPr>
              <w:spacing w:line="38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0C8C85A1">
            <w:pPr>
              <w:spacing w:line="38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供应商承办过类似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网络宣传服务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项目业绩的，每提供一个得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分，未提供不得分。</w:t>
            </w:r>
          </w:p>
        </w:tc>
        <w:tc>
          <w:tcPr>
            <w:tcW w:w="1995" w:type="dxa"/>
            <w:noWrap w:val="0"/>
            <w:vAlign w:val="center"/>
          </w:tcPr>
          <w:p w14:paraId="483582BF">
            <w:pPr>
              <w:pStyle w:val="23"/>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提供合同（协议）复印件并加盖公章。</w:t>
            </w:r>
          </w:p>
        </w:tc>
      </w:tr>
      <w:tr w14:paraId="2ED9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08" w:type="dxa"/>
            <w:vMerge w:val="continue"/>
            <w:noWrap w:val="0"/>
            <w:vAlign w:val="center"/>
          </w:tcPr>
          <w:p w14:paraId="224DE2A2">
            <w:pPr>
              <w:spacing w:line="240" w:lineRule="atLeast"/>
              <w:ind w:firstLine="28"/>
              <w:jc w:val="center"/>
              <w:rPr>
                <w:rFonts w:hint="eastAsia" w:ascii="仿宋" w:hAnsi="仿宋" w:eastAsia="仿宋" w:cs="仿宋"/>
                <w:color w:val="auto"/>
                <w:sz w:val="24"/>
                <w:szCs w:val="24"/>
                <w:highlight w:val="none"/>
              </w:rPr>
            </w:pPr>
          </w:p>
        </w:tc>
        <w:tc>
          <w:tcPr>
            <w:tcW w:w="1290" w:type="dxa"/>
            <w:vMerge w:val="continue"/>
            <w:noWrap w:val="0"/>
            <w:vAlign w:val="center"/>
          </w:tcPr>
          <w:p w14:paraId="56C74137">
            <w:pPr>
              <w:spacing w:line="240" w:lineRule="atLeast"/>
              <w:ind w:left="-38" w:firstLine="28"/>
              <w:jc w:val="center"/>
              <w:rPr>
                <w:rFonts w:hint="eastAsia" w:ascii="仿宋" w:hAnsi="仿宋" w:eastAsia="仿宋" w:cs="仿宋"/>
                <w:color w:val="auto"/>
                <w:sz w:val="24"/>
                <w:szCs w:val="24"/>
                <w:highlight w:val="none"/>
              </w:rPr>
            </w:pPr>
          </w:p>
        </w:tc>
        <w:tc>
          <w:tcPr>
            <w:tcW w:w="971" w:type="dxa"/>
            <w:noWrap w:val="0"/>
            <w:vAlign w:val="center"/>
          </w:tcPr>
          <w:p w14:paraId="0D8F1C1A">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10分</w:t>
            </w:r>
          </w:p>
        </w:tc>
        <w:tc>
          <w:tcPr>
            <w:tcW w:w="4381" w:type="dxa"/>
            <w:noWrap w:val="0"/>
            <w:vAlign w:val="center"/>
          </w:tcPr>
          <w:p w14:paraId="771388FF">
            <w:pPr>
              <w:spacing w:line="380" w:lineRule="atLeas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w:t>
            </w:r>
          </w:p>
          <w:p w14:paraId="736BF7F7">
            <w:pPr>
              <w:spacing w:line="38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为本项目组建的服务团队成员中，具有新闻采编资格证（记者证）的，每一个</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最多</w:t>
            </w:r>
            <w:r>
              <w:rPr>
                <w:rFonts w:hint="eastAsia" w:ascii="仿宋" w:hAnsi="仿宋" w:eastAsia="仿宋" w:cs="仿宋"/>
                <w:color w:val="auto"/>
                <w:sz w:val="24"/>
                <w:szCs w:val="24"/>
                <w:highlight w:val="none"/>
                <w:lang w:val="en-US" w:eastAsia="zh-CN"/>
              </w:rPr>
              <w:t>10分，未</w:t>
            </w:r>
            <w:r>
              <w:rPr>
                <w:rFonts w:hint="eastAsia" w:ascii="仿宋" w:hAnsi="仿宋" w:eastAsia="仿宋" w:cs="仿宋"/>
                <w:color w:val="auto"/>
                <w:sz w:val="24"/>
                <w:szCs w:val="24"/>
                <w:highlight w:val="none"/>
              </w:rPr>
              <w:t>提供不得分；</w:t>
            </w:r>
          </w:p>
        </w:tc>
        <w:tc>
          <w:tcPr>
            <w:tcW w:w="1995" w:type="dxa"/>
            <w:noWrap w:val="0"/>
            <w:vAlign w:val="center"/>
          </w:tcPr>
          <w:p w14:paraId="7C06BC94">
            <w:pPr>
              <w:pStyle w:val="23"/>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人员证书</w:t>
            </w:r>
            <w:r>
              <w:rPr>
                <w:rFonts w:hint="eastAsia" w:ascii="仿宋" w:hAnsi="仿宋" w:eastAsia="仿宋" w:cs="仿宋"/>
                <w:color w:val="auto"/>
                <w:sz w:val="24"/>
                <w:szCs w:val="24"/>
                <w:highlight w:val="none"/>
              </w:rPr>
              <w:t>复印件加盖供应商公章</w:t>
            </w:r>
            <w:r>
              <w:rPr>
                <w:rFonts w:hint="eastAsia" w:ascii="仿宋" w:hAnsi="仿宋" w:eastAsia="仿宋" w:cs="仿宋"/>
                <w:color w:val="auto"/>
                <w:sz w:val="24"/>
                <w:szCs w:val="24"/>
                <w:highlight w:val="none"/>
                <w:lang w:eastAsia="zh-CN"/>
              </w:rPr>
              <w:t>，原件备查。</w:t>
            </w:r>
          </w:p>
        </w:tc>
      </w:tr>
    </w:tbl>
    <w:p w14:paraId="1213D9AC">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（二）成交</w:t>
      </w:r>
      <w:bookmarkEnd w:id="61"/>
      <w:r>
        <w:rPr>
          <w:rFonts w:hint="eastAsia" w:ascii="仿宋" w:hAnsi="仿宋" w:eastAsia="仿宋" w:cs="仿宋"/>
          <w:b/>
          <w:bCs/>
          <w:color w:val="auto"/>
          <w:sz w:val="24"/>
          <w:szCs w:val="24"/>
          <w:highlight w:val="none"/>
        </w:rPr>
        <w:t>标准</w:t>
      </w:r>
      <w:bookmarkEnd w:id="62"/>
      <w:bookmarkEnd w:id="63"/>
      <w:bookmarkEnd w:id="64"/>
    </w:p>
    <w:p w14:paraId="70041FD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认为供应商的报价明显低于其他通过符合性审查供应商的报价，有可能影响产品质量或者不能诚信履约的，应当将其作为无效投标处理。</w:t>
      </w:r>
    </w:p>
    <w:p w14:paraId="1206ABA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采购文件实质性响应要求且综合得分最高的供应商确定为成交供应商。采购人逾期未确定成交供应商且不提出异议的，视为确定评审报告提出的排名第一的供应商为成交供应商。</w:t>
      </w:r>
    </w:p>
    <w:p w14:paraId="33FD49FD">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65" w:name="_Toc1719"/>
      <w:bookmarkStart w:id="66" w:name="_Toc5608"/>
      <w:r>
        <w:rPr>
          <w:rFonts w:hint="eastAsia" w:ascii="仿宋" w:hAnsi="仿宋" w:eastAsia="仿宋" w:cs="仿宋"/>
          <w:color w:val="auto"/>
          <w:sz w:val="24"/>
          <w:szCs w:val="24"/>
          <w:highlight w:val="none"/>
        </w:rPr>
        <w:t>三、评审依据</w:t>
      </w:r>
      <w:bookmarkEnd w:id="65"/>
      <w:bookmarkEnd w:id="66"/>
    </w:p>
    <w:p w14:paraId="5F10E3D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评审的依据为采购文件和响应文件（含有效的补充文件）。</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判断响应文件对采购文件的响应，仅基于响应文件本身而不靠外部证据。</w:t>
      </w:r>
    </w:p>
    <w:p w14:paraId="3B1BE2AE">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67" w:name="_Toc492721018"/>
      <w:bookmarkStart w:id="68" w:name="_Toc493506301"/>
      <w:bookmarkStart w:id="69" w:name="_Toc16238"/>
      <w:bookmarkStart w:id="70" w:name="_Toc487204785"/>
      <w:bookmarkStart w:id="71" w:name="_Toc342913395"/>
      <w:bookmarkStart w:id="72" w:name="_Toc102227321"/>
      <w:bookmarkStart w:id="73" w:name="_Toc426965636"/>
      <w:r>
        <w:rPr>
          <w:rFonts w:hint="eastAsia" w:ascii="仿宋" w:hAnsi="仿宋" w:eastAsia="仿宋" w:cs="仿宋"/>
          <w:color w:val="auto"/>
          <w:sz w:val="24"/>
          <w:szCs w:val="24"/>
          <w:highlight w:val="none"/>
        </w:rPr>
        <w:t>四、无效投标条款</w:t>
      </w:r>
      <w:bookmarkEnd w:id="67"/>
      <w:bookmarkEnd w:id="68"/>
      <w:bookmarkEnd w:id="69"/>
    </w:p>
    <w:p w14:paraId="3416F8D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供应商人或其响应文件出现下列情况之一者，应为无效投标：</w:t>
      </w:r>
    </w:p>
    <w:p w14:paraId="0BC8BFE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（一）响应文件未按采购文件要求签署、盖章的；</w:t>
      </w:r>
    </w:p>
    <w:p w14:paraId="5D3FE0E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（二）不具备采购文件中规定的资格要求的；</w:t>
      </w:r>
    </w:p>
    <w:p w14:paraId="22A08BE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（三）报价超过采购文件中规定的预算金额或者最高限价的；</w:t>
      </w:r>
    </w:p>
    <w:p w14:paraId="41892AD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（四）响应文件含有采购人不能接受的附加条件的；</w:t>
      </w:r>
    </w:p>
    <w:p w14:paraId="6F6CE05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（五）供应商串通投标的；</w:t>
      </w:r>
    </w:p>
    <w:p w14:paraId="641A8AD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（六）供应商</w:t>
      </w:r>
      <w:r>
        <w:rPr>
          <w:rStyle w:val="30"/>
          <w:rFonts w:hint="eastAsia" w:ascii="仿宋" w:hAnsi="仿宋" w:eastAsia="仿宋" w:cs="仿宋"/>
          <w:color w:val="auto"/>
          <w:sz w:val="24"/>
          <w:szCs w:val="24"/>
          <w:highlight w:val="none"/>
        </w:rPr>
        <w:t>组成联合体投标的</w:t>
      </w:r>
      <w:r>
        <w:rPr>
          <w:rFonts w:hint="eastAsia" w:ascii="仿宋" w:hAnsi="仿宋" w:eastAsia="仿宋" w:cs="仿宋"/>
          <w:color w:val="auto"/>
          <w:sz w:val="24"/>
          <w:szCs w:val="24"/>
          <w:highlight w:val="none"/>
        </w:rPr>
        <w:t>；</w:t>
      </w:r>
    </w:p>
    <w:p w14:paraId="15F82CA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（七）法律、法规和招标文件规定的其他无效情形。</w:t>
      </w:r>
    </w:p>
    <w:p w14:paraId="6913DB03">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74" w:name="_Toc16529"/>
      <w:r>
        <w:rPr>
          <w:rFonts w:hint="eastAsia" w:ascii="仿宋" w:hAnsi="仿宋" w:eastAsia="仿宋" w:cs="仿宋"/>
          <w:color w:val="auto"/>
          <w:sz w:val="24"/>
          <w:szCs w:val="24"/>
          <w:highlight w:val="none"/>
        </w:rPr>
        <w:t>五、废标条款</w:t>
      </w:r>
      <w:bookmarkEnd w:id="74"/>
    </w:p>
    <w:p w14:paraId="2373F47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评审时出现以下情况之一的，应予废标：</w:t>
      </w:r>
    </w:p>
    <w:p w14:paraId="6EA6844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（一）符合资格条件的供应商或者对采购文件作实质响应的供应商不足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家的；</w:t>
      </w:r>
    </w:p>
    <w:p w14:paraId="0C77BAE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（二）供应商的报价均超过了采购预算，采购人不能支付的；</w:t>
      </w:r>
    </w:p>
    <w:p w14:paraId="3FF3A79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（三）出现影响采购公正的违法、违规行为的；</w:t>
      </w:r>
    </w:p>
    <w:p w14:paraId="041D2A1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4E08A7A3">
      <w:pPr>
        <w:pageBreakBefore w:val="0"/>
        <w:kinsoku/>
        <w:overflowPunct/>
        <w:topLinePunct w:val="0"/>
        <w:autoSpaceDE/>
        <w:autoSpaceDN/>
        <w:bidi w:val="0"/>
        <w:adjustRightInd/>
        <w:snapToGrid w:val="0"/>
        <w:spacing w:line="312"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废标后，除采购任务取消情形外，应当重新组织采购。</w:t>
      </w:r>
    </w:p>
    <w:p w14:paraId="3A6F4BB1">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75" w:name="_Toc8502"/>
      <w:r>
        <w:rPr>
          <w:rFonts w:hint="eastAsia" w:ascii="仿宋" w:hAnsi="仿宋" w:eastAsia="仿宋" w:cs="仿宋"/>
          <w:color w:val="auto"/>
          <w:sz w:val="24"/>
          <w:szCs w:val="24"/>
          <w:highlight w:val="none"/>
        </w:rPr>
        <w:t>六、成交通知</w:t>
      </w:r>
      <w:bookmarkEnd w:id="70"/>
      <w:bookmarkEnd w:id="71"/>
      <w:bookmarkEnd w:id="72"/>
      <w:bookmarkEnd w:id="73"/>
      <w:bookmarkEnd w:id="75"/>
    </w:p>
    <w:p w14:paraId="591739F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"http://www.cqgp.gov.cn）上发布成交结果公示。"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上发布成交结果公告。</w:t>
      </w:r>
      <w:r>
        <w:rPr>
          <w:rFonts w:hint="eastAsia" w:ascii="仿宋" w:hAnsi="仿宋" w:eastAsia="仿宋" w:cs="仿宋"/>
          <w:color w:val="auto"/>
          <w:sz w:val="24"/>
          <w:szCs w:val="24"/>
          <w:highlight w:val="none"/>
        </w:rPr>
        <w:fldChar w:fldCharType="end"/>
      </w:r>
    </w:p>
    <w:p w14:paraId="65FC460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4407ACA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12DAEB0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（四）如有供应商对成交结果提出质疑的，在质疑处理完毕后发出成交通知书。</w:t>
      </w:r>
    </w:p>
    <w:p w14:paraId="396FDF07">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76" w:name="_Toc31626"/>
      <w:bookmarkStart w:id="77" w:name="_Toc426965637"/>
      <w:bookmarkStart w:id="78" w:name="_Toc3695"/>
      <w:bookmarkStart w:id="79" w:name="_Toc487204786"/>
      <w:r>
        <w:rPr>
          <w:rFonts w:hint="eastAsia" w:ascii="仿宋" w:hAnsi="仿宋" w:eastAsia="仿宋" w:cs="仿宋"/>
          <w:color w:val="auto"/>
          <w:sz w:val="24"/>
          <w:szCs w:val="24"/>
          <w:highlight w:val="none"/>
        </w:rPr>
        <w:t>七、关于质疑和投诉</w:t>
      </w:r>
      <w:bookmarkEnd w:id="76"/>
      <w:bookmarkEnd w:id="77"/>
      <w:bookmarkEnd w:id="78"/>
      <w:bookmarkEnd w:id="79"/>
    </w:p>
    <w:p w14:paraId="4C5576D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（一）质疑内容、时限</w:t>
      </w:r>
    </w:p>
    <w:p w14:paraId="2B8EA2D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1、供应商对成交结果有异议的，应当在成交结果公告发布之日起七个工作日内以书面形式向采购人、采购代理机构提出质疑，并附相关证明材料。</w:t>
      </w:r>
    </w:p>
    <w:p w14:paraId="19668CD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2、供应商对采购文件中供应商特定资格条件、技术要求和商务要求、评审标准及评审细则有异议的，应主要向采购人提出质疑，其他问题可向采购代理机构提出质疑。</w:t>
      </w:r>
    </w:p>
    <w:p w14:paraId="2E60884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（二）质疑答复</w:t>
      </w:r>
    </w:p>
    <w:p w14:paraId="399696B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采购人、采购代理机构将参照《重庆市政府采购供应商质疑投诉处理暂行规定》的相关规定对质疑内容作出答复和处理。</w:t>
      </w:r>
    </w:p>
    <w:p w14:paraId="382D0010">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80" w:name="_Toc102227322"/>
      <w:bookmarkStart w:id="81" w:name="_Toc342913396"/>
      <w:bookmarkStart w:id="82" w:name="_Toc23427"/>
      <w:bookmarkStart w:id="83" w:name="_Toc426965638"/>
      <w:bookmarkStart w:id="84" w:name="_Toc15991"/>
      <w:bookmarkStart w:id="85" w:name="_Toc487204787"/>
      <w:r>
        <w:rPr>
          <w:rFonts w:hint="eastAsia" w:ascii="仿宋" w:hAnsi="仿宋" w:eastAsia="仿宋" w:cs="仿宋"/>
          <w:color w:val="auto"/>
          <w:sz w:val="24"/>
          <w:szCs w:val="24"/>
          <w:highlight w:val="none"/>
        </w:rPr>
        <w:t>八、签订</w:t>
      </w:r>
      <w:bookmarkEnd w:id="80"/>
      <w:r>
        <w:rPr>
          <w:rFonts w:hint="eastAsia" w:ascii="仿宋" w:hAnsi="仿宋" w:eastAsia="仿宋" w:cs="仿宋"/>
          <w:color w:val="auto"/>
          <w:sz w:val="24"/>
          <w:szCs w:val="24"/>
          <w:highlight w:val="none"/>
        </w:rPr>
        <w:t>合同</w:t>
      </w:r>
      <w:bookmarkEnd w:id="81"/>
      <w:bookmarkEnd w:id="82"/>
      <w:bookmarkEnd w:id="83"/>
      <w:bookmarkEnd w:id="84"/>
      <w:bookmarkEnd w:id="85"/>
    </w:p>
    <w:p w14:paraId="3B7A66B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（一）采购人应当自成交通知书发出之日起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十日内，按照采购文件和成交供应商响应文件的约定，与成交供应商签订书面合同。所签订的合同不得对采购文件和成交供应商响应文件作实质性修改。</w:t>
      </w:r>
    </w:p>
    <w:p w14:paraId="3942B06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（二）采购文件、成交供应商的响应文件及有效承诺文件等，均为签订合同的依据。</w:t>
      </w:r>
    </w:p>
    <w:p w14:paraId="3A895F8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（三）成交供应商未按照采购文件确定的事项签订合同，或者与采购人另行订立背离合同实质性内容协议的，将承担相关法律责任。</w:t>
      </w:r>
    </w:p>
    <w:p w14:paraId="24C7C03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（四）采购人不得向成交供应商提出超出采购以外的任何要求作为签订合同的条件，不得与成交供应商订立背离采购确定的合同文本以及采购标的、采购金额、采购数量、技术和服务要求等实质性内容的协议。</w:t>
      </w:r>
    </w:p>
    <w:p w14:paraId="57C02E3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（五）除不可抗力等因素外，成交通知书发出后，采购人改变成交结果，或者成交供应商无正当理由拒绝签订采购合同的，应当承担相应的法律责任。</w:t>
      </w:r>
    </w:p>
    <w:p w14:paraId="7D0FE4E6">
      <w:pPr>
        <w:pStyle w:val="36"/>
        <w:pageBreakBefore w:val="0"/>
        <w:kinsoku/>
        <w:overflowPunct/>
        <w:topLinePunct w:val="0"/>
        <w:autoSpaceDE/>
        <w:autoSpaceDN/>
        <w:bidi w:val="0"/>
        <w:adjustRightInd/>
        <w:snapToGrid w:val="0"/>
        <w:spacing w:before="190" w:after="190" w:line="312" w:lineRule="auto"/>
        <w:ind w:left="0" w:leftChars="0" w:firstLine="0" w:firstLineChars="0"/>
        <w:rPr>
          <w:rFonts w:hint="eastAsia" w:ascii="仿宋" w:hAnsi="仿宋" w:eastAsia="仿宋" w:cs="仿宋"/>
          <w:color w:val="auto"/>
          <w:sz w:val="24"/>
          <w:szCs w:val="24"/>
          <w:highlight w:val="none"/>
        </w:rPr>
        <w:sectPr>
          <w:footerReference r:id="rId9" w:type="default"/>
          <w:pgSz w:w="11907" w:h="16840"/>
          <w:pgMar w:top="1440" w:right="1480" w:bottom="1440" w:left="1480" w:header="964" w:footer="992" w:gutter="0"/>
          <w:pgNumType w:fmt="decimal"/>
          <w:cols w:space="720" w:num="1"/>
          <w:docGrid w:type="linesAndChars" w:linePitch="381" w:charSpace="0"/>
        </w:sectPr>
      </w:pPr>
    </w:p>
    <w:p w14:paraId="73703403">
      <w:pPr>
        <w:pStyle w:val="4"/>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bookmarkStart w:id="86" w:name="_Toc27619"/>
      <w:r>
        <w:rPr>
          <w:rStyle w:val="38"/>
          <w:rFonts w:hint="eastAsia" w:ascii="仿宋" w:hAnsi="仿宋" w:eastAsia="仿宋" w:cs="仿宋"/>
          <w:b/>
          <w:bCs/>
          <w:color w:val="auto"/>
          <w:highlight w:val="none"/>
        </w:rPr>
        <w:t>第五篇  供应商须知</w:t>
      </w:r>
      <w:bookmarkEnd w:id="21"/>
      <w:bookmarkEnd w:id="22"/>
      <w:bookmarkEnd w:id="86"/>
    </w:p>
    <w:p w14:paraId="7485F15B">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87" w:name="_Toc20643"/>
      <w:bookmarkStart w:id="88" w:name="_Toc342913389"/>
      <w:bookmarkStart w:id="89" w:name="_Toc426965630"/>
      <w:bookmarkStart w:id="90" w:name="_Toc487204779"/>
      <w:bookmarkStart w:id="91" w:name="_Toc32059"/>
      <w:r>
        <w:rPr>
          <w:rFonts w:hint="eastAsia" w:ascii="仿宋" w:hAnsi="仿宋" w:eastAsia="仿宋" w:cs="仿宋"/>
          <w:color w:val="auto"/>
          <w:sz w:val="24"/>
          <w:szCs w:val="24"/>
          <w:highlight w:val="none"/>
        </w:rPr>
        <w:t>一、采购费用</w:t>
      </w:r>
      <w:bookmarkEnd w:id="87"/>
      <w:bookmarkEnd w:id="88"/>
      <w:bookmarkEnd w:id="89"/>
      <w:bookmarkEnd w:id="90"/>
      <w:bookmarkEnd w:id="91"/>
    </w:p>
    <w:p w14:paraId="2B79293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参与采购的供应商应承担其编制响应文件与递交响应文件所涉及的一切费用，不论采购结果如何，采购人和采购代理机构在任何情况下无义务也无责任承担这些费用。</w:t>
      </w:r>
    </w:p>
    <w:p w14:paraId="3474F66C">
      <w:pPr>
        <w:pStyle w:val="5"/>
        <w:pageBreakBefore w:val="0"/>
        <w:tabs>
          <w:tab w:val="left" w:pos="2640"/>
        </w:tabs>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92" w:name="_Toc7850"/>
      <w:bookmarkStart w:id="93" w:name="_Toc426965631"/>
      <w:bookmarkStart w:id="94" w:name="_Toc487204780"/>
      <w:bookmarkStart w:id="95" w:name="_Toc342913391"/>
      <w:bookmarkStart w:id="96" w:name="_Toc18383"/>
      <w:r>
        <w:rPr>
          <w:rFonts w:hint="eastAsia" w:ascii="仿宋" w:hAnsi="仿宋" w:eastAsia="仿宋" w:cs="仿宋"/>
          <w:color w:val="auto"/>
          <w:sz w:val="24"/>
          <w:szCs w:val="24"/>
          <w:highlight w:val="none"/>
        </w:rPr>
        <w:t>二、</w:t>
      </w:r>
      <w:bookmarkEnd w:id="92"/>
      <w:bookmarkEnd w:id="93"/>
      <w:bookmarkEnd w:id="94"/>
      <w:bookmarkEnd w:id="95"/>
      <w:r>
        <w:rPr>
          <w:rFonts w:hint="eastAsia" w:ascii="仿宋" w:hAnsi="仿宋" w:eastAsia="仿宋" w:cs="仿宋"/>
          <w:color w:val="auto"/>
          <w:sz w:val="24"/>
          <w:szCs w:val="24"/>
          <w:highlight w:val="none"/>
        </w:rPr>
        <w:t>采购文件</w:t>
      </w:r>
      <w:bookmarkEnd w:id="96"/>
      <w:r>
        <w:rPr>
          <w:rFonts w:hint="eastAsia" w:ascii="仿宋" w:hAnsi="仿宋" w:eastAsia="仿宋" w:cs="仿宋"/>
          <w:color w:val="auto"/>
          <w:sz w:val="24"/>
          <w:szCs w:val="24"/>
          <w:highlight w:val="none"/>
        </w:rPr>
        <w:tab/>
      </w:r>
    </w:p>
    <w:p w14:paraId="57DD4D2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（一）采购文件由采购公告、项目服务需求、项目商务要求、资格审查及评标办法、供应商须知、合同主要条款和格式合同（样本）、响应文件格式要求七部分组成。</w:t>
      </w:r>
    </w:p>
    <w:p w14:paraId="61A7D5F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（二）采购人（或采购代理机构）所作的一切有效的书面通知、修改及补充，都是采购文件不可分割的部分。</w:t>
      </w:r>
    </w:p>
    <w:p w14:paraId="4863695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（三）采购文件的解释</w:t>
      </w:r>
    </w:p>
    <w:p w14:paraId="3F2A7EB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采购文件有疑问，必须以书面形式在提交响应文件截止时间1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97" w:name="_Toc318166429"/>
      <w:bookmarkStart w:id="98" w:name="_Toc318159349"/>
      <w:bookmarkStart w:id="99" w:name="_Toc318159780"/>
      <w:bookmarkStart w:id="100" w:name="_Toc318159160"/>
    </w:p>
    <w:bookmarkEnd w:id="97"/>
    <w:bookmarkEnd w:id="98"/>
    <w:bookmarkEnd w:id="99"/>
    <w:bookmarkEnd w:id="100"/>
    <w:p w14:paraId="7C50F9A5">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01" w:name="_Toc426965632"/>
      <w:bookmarkStart w:id="102" w:name="_Toc342913392"/>
      <w:bookmarkStart w:id="103" w:name="_Toc26774"/>
      <w:bookmarkStart w:id="104" w:name="_Toc179714297"/>
      <w:bookmarkStart w:id="105" w:name="_Toc102227318"/>
      <w:bookmarkStart w:id="106" w:name="_Toc487204781"/>
      <w:bookmarkStart w:id="107" w:name="_Toc18927"/>
      <w:r>
        <w:rPr>
          <w:rFonts w:hint="eastAsia" w:ascii="仿宋" w:hAnsi="仿宋" w:eastAsia="仿宋" w:cs="仿宋"/>
          <w:color w:val="auto"/>
          <w:sz w:val="24"/>
          <w:szCs w:val="24"/>
          <w:highlight w:val="none"/>
        </w:rPr>
        <w:t>三、采购要求</w:t>
      </w:r>
      <w:bookmarkEnd w:id="101"/>
      <w:bookmarkEnd w:id="102"/>
      <w:bookmarkEnd w:id="103"/>
      <w:bookmarkEnd w:id="104"/>
      <w:bookmarkEnd w:id="105"/>
      <w:bookmarkEnd w:id="106"/>
      <w:bookmarkEnd w:id="107"/>
    </w:p>
    <w:p w14:paraId="1028117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00C552E8">
      <w:pPr>
        <w:pageBreakBefore w:val="0"/>
        <w:kinsoku/>
        <w:overflowPunct/>
        <w:topLinePunct w:val="0"/>
        <w:autoSpaceDE/>
        <w:autoSpaceDN/>
        <w:bidi w:val="0"/>
        <w:adjustRightInd/>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投标供应商须在规定时间内完成线上平台的响应文件提交，否则视为无效响应。</w:t>
      </w:r>
    </w:p>
    <w:p w14:paraId="4B36AF0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供应商应当按照采购文件的要求编制响应文件，并对采购文件提出的要求和条件作出实质性响应，响应文件应编制完整的页码、目录。</w:t>
      </w:r>
    </w:p>
    <w:p w14:paraId="1DEEB93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1、响应文件组成</w:t>
      </w:r>
    </w:p>
    <w:p w14:paraId="2955D21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格式要求”规定的部分和供应商所作的一切有效补充、修改和承诺等文件组成，供应商应按照第七篇“响应文件格式”规定的目录顺序组织编写和装订，也可在基本格式基础上对表格进行扩展，未规定格式的由供应商自定格式。</w:t>
      </w:r>
    </w:p>
    <w:p w14:paraId="56B078C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w:t>
      </w:r>
    </w:p>
    <w:p w14:paraId="7A7D0FE5">
      <w:pPr>
        <w:pageBreakBefore w:val="0"/>
        <w:kinsoku/>
        <w:overflowPunct/>
        <w:topLinePunct w:val="0"/>
        <w:autoSpaceDE/>
        <w:autoSpaceDN/>
        <w:bidi w:val="0"/>
        <w:adjustRightInd/>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本项目不接受联合体投标。</w:t>
      </w:r>
    </w:p>
    <w:p w14:paraId="5B684CC7">
      <w:pPr>
        <w:pageBreakBefore w:val="0"/>
        <w:numPr>
          <w:ilvl w:val="0"/>
          <w:numId w:val="5"/>
        </w:numPr>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投标有效期：响应文件及有关承诺文件有效期为提交响应文件截止时间起90天。</w:t>
      </w:r>
    </w:p>
    <w:p w14:paraId="7B9E8BB8">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（二）报价要求</w:t>
      </w:r>
    </w:p>
    <w:p w14:paraId="7A1BC1A8">
      <w:pPr>
        <w:pageBreakBefore w:val="0"/>
        <w:kinsoku/>
        <w:overflowPunct/>
        <w:topLinePunct w:val="0"/>
        <w:autoSpaceDE/>
        <w:autoSpaceDN/>
        <w:bidi w:val="0"/>
        <w:adjustRightInd/>
        <w:snapToGrid w:val="0"/>
        <w:spacing w:line="312"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1.供应商应严格按照“</w:t>
      </w:r>
      <w:r>
        <w:rPr>
          <w:rFonts w:hint="eastAsia" w:ascii="仿宋" w:hAnsi="仿宋" w:eastAsia="仿宋" w:cs="仿宋"/>
          <w:bCs/>
          <w:color w:val="auto"/>
          <w:sz w:val="24"/>
          <w:highlight w:val="none"/>
          <w:lang w:val="en-US" w:eastAsia="zh-CN"/>
        </w:rPr>
        <w:t>响应</w:t>
      </w:r>
      <w:r>
        <w:rPr>
          <w:rFonts w:hint="eastAsia" w:ascii="仿宋" w:hAnsi="仿宋" w:eastAsia="仿宋" w:cs="仿宋"/>
          <w:bCs/>
          <w:color w:val="auto"/>
          <w:sz w:val="24"/>
          <w:highlight w:val="none"/>
        </w:rPr>
        <w:t>文件格式”中“开标一览表”和“分项报价明细表”</w:t>
      </w:r>
      <w:r>
        <w:rPr>
          <w:rFonts w:hint="eastAsia" w:ascii="仿宋" w:hAnsi="仿宋" w:eastAsia="仿宋" w:cs="仿宋"/>
          <w:color w:val="auto"/>
          <w:sz w:val="24"/>
          <w:highlight w:val="none"/>
        </w:rPr>
        <w:t>的格式填写报价。</w:t>
      </w:r>
    </w:p>
    <w:p w14:paraId="0F8F2B93">
      <w:pPr>
        <w:pageBreakBefore w:val="0"/>
        <w:kinsoku/>
        <w:overflowPunct/>
        <w:topLinePunct w:val="0"/>
        <w:autoSpaceDE/>
        <w:autoSpaceDN/>
        <w:bidi w:val="0"/>
        <w:adjustRightInd/>
        <w:snapToGrid w:val="0"/>
        <w:spacing w:line="312" w:lineRule="auto"/>
        <w:ind w:left="3"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2.供应商的报价为一次性报价，即在投标有效期内投标价格固定不变。</w:t>
      </w:r>
    </w:p>
    <w:p w14:paraId="704DB369">
      <w:pPr>
        <w:pageBreakBefore w:val="0"/>
        <w:kinsoku/>
        <w:overflowPunct/>
        <w:topLinePunct w:val="0"/>
        <w:autoSpaceDE/>
        <w:autoSpaceDN/>
        <w:bidi w:val="0"/>
        <w:adjustRightInd/>
        <w:snapToGrid w:val="0"/>
        <w:spacing w:line="312" w:lineRule="auto"/>
        <w:ind w:left="3"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3.本项目只接受一个投标报价，有选择的或有条件的报价将不予接受。</w:t>
      </w:r>
    </w:p>
    <w:p w14:paraId="5E487696">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（三）修正错误</w:t>
      </w:r>
    </w:p>
    <w:p w14:paraId="43E01BE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若响应文件出现计算或表达上的错误，修正错误的原则如下：</w:t>
      </w:r>
    </w:p>
    <w:p w14:paraId="6B516C6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1.响应文件中报价函的内容与响应文件中相应内容不一致的，以报价函为准；</w:t>
      </w:r>
    </w:p>
    <w:p w14:paraId="18C853E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77F4626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3.单价金额小数点或者百分比有明显错位的，以报价函总价为准，并修改单价；</w:t>
      </w:r>
    </w:p>
    <w:p w14:paraId="2A9E8EE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7E20DF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5.若供应商所上传的响应文件中报价函价格与</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所填报的价格不一致，以</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为准。</w:t>
      </w:r>
    </w:p>
    <w:p w14:paraId="643024A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5F023E80">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bookmarkStart w:id="108" w:name="_Toc493506302"/>
      <w:bookmarkStart w:id="109" w:name="_Toc492721019"/>
      <w:r>
        <w:rPr>
          <w:rFonts w:hint="eastAsia" w:ascii="仿宋" w:hAnsi="仿宋" w:eastAsia="仿宋" w:cs="仿宋"/>
          <w:color w:val="auto"/>
          <w:sz w:val="24"/>
          <w:szCs w:val="24"/>
          <w:highlight w:val="none"/>
          <w:lang w:val="en-US" w:eastAsia="zh-CN"/>
        </w:rPr>
        <w:t>（四）提交纸质响应文件的份数和签署</w:t>
      </w:r>
    </w:p>
    <w:p w14:paraId="2216C77A">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1.供应商须在线上上传盖章后的响应文件电子文档一份。</w:t>
      </w:r>
    </w:p>
    <w:p w14:paraId="3BE1E5A0">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2.供应商须在现场递交纸质响应文件一式三份，其中正本一份，副本两份，副本可为正本的复印件。响应文件电子文档内容应与纸质文件正本、副本一致。</w:t>
      </w:r>
    </w:p>
    <w:p w14:paraId="3735D62A">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（五）响应文件的递交</w:t>
      </w:r>
    </w:p>
    <w:p w14:paraId="38BBF197">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响应文件的正本、副本均应密封送达投标地点，应在封套上注明项目名称、供应商名称。若正本、副本分别进行密封的，还应在封套上注明“正本”、“副本”字样。</w:t>
      </w:r>
    </w:p>
    <w:p w14:paraId="1C444216">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（六）供应商参与人员</w:t>
      </w:r>
    </w:p>
    <w:p w14:paraId="0751E74F">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各个供应商可派1名代表参与采购，应为法定代表人或具有法定代表人授权委托书的授权代表。</w:t>
      </w:r>
    </w:p>
    <w:p w14:paraId="16476473">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）响应文件语言：简体中文</w:t>
      </w:r>
    </w:p>
    <w:p w14:paraId="61F0246A">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）无效响应</w:t>
      </w:r>
      <w:bookmarkStart w:id="176" w:name="_GoBack"/>
      <w:bookmarkEnd w:id="176"/>
    </w:p>
    <w:p w14:paraId="7C1EBB78">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供应商发生以下条款情况之一者，视为无效响应，其响应文件将被拒绝：</w:t>
      </w:r>
    </w:p>
    <w:p w14:paraId="79E3FE20">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1、供应商不符合资格要求的；</w:t>
      </w:r>
    </w:p>
    <w:p w14:paraId="6D389052">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2、供应商所提交的响应文件不按规定签字、盖章的；</w:t>
      </w:r>
    </w:p>
    <w:p w14:paraId="3CEBDDEC">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3、供应商的报价超过采购预算（若有采购预算单价，则含采购预算单价）的；</w:t>
      </w:r>
    </w:p>
    <w:p w14:paraId="0D48EE15">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4、供应商响应文件附有采购人无法接受的条件的；</w:t>
      </w:r>
    </w:p>
    <w:p w14:paraId="7686BFDF">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5、供应商串通投标的；</w:t>
      </w:r>
    </w:p>
    <w:p w14:paraId="6EC5995A">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6、供应商组成联合体投标的；</w:t>
      </w:r>
    </w:p>
    <w:p w14:paraId="74442F7C">
      <w:pPr>
        <w:pageBreakBefore w:val="0"/>
        <w:kinsoku/>
        <w:overflowPunct/>
        <w:topLinePunct w:val="0"/>
        <w:bidi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7、法律、法规和采购文件规定的其他无效情形。</w:t>
      </w:r>
    </w:p>
    <w:p w14:paraId="30FB0BA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）废标条款</w:t>
      </w:r>
      <w:bookmarkEnd w:id="108"/>
      <w:bookmarkEnd w:id="109"/>
    </w:p>
    <w:p w14:paraId="322783E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537F089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1、因情况变化，不再符合规定的采购方式适用情形的；</w:t>
      </w:r>
    </w:p>
    <w:p w14:paraId="3DF57EA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2、出现影响采购公正的违法、违规行为的；</w:t>
      </w:r>
    </w:p>
    <w:p w14:paraId="0C69EDDB">
      <w:pPr>
        <w:pageBreakBefore w:val="0"/>
        <w:kinsoku/>
        <w:overflowPunct/>
        <w:topLinePunct w:val="0"/>
        <w:autoSpaceDE/>
        <w:autoSpaceDN/>
        <w:bidi w:val="0"/>
        <w:adjustRightInd/>
        <w:snapToGrid w:val="0"/>
        <w:spacing w:line="312"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废标后，除采购任务取消情形外，应当重新组织采购。</w:t>
      </w:r>
    </w:p>
    <w:p w14:paraId="509EAA6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）采购代理服务费</w:t>
      </w:r>
      <w:bookmarkStart w:id="110" w:name="_Toc102227319"/>
      <w:bookmarkStart w:id="111" w:name="_Toc487204782"/>
      <w:bookmarkStart w:id="112" w:name="_Toc31741"/>
      <w:bookmarkStart w:id="113" w:name="_Toc342913393"/>
      <w:bookmarkStart w:id="114" w:name="_Toc426965633"/>
      <w:bookmarkStart w:id="115" w:name="_Toc179714298"/>
    </w:p>
    <w:p w14:paraId="719F801A">
      <w:pPr>
        <w:pageBreakBefore w:val="0"/>
        <w:kinsoku/>
        <w:overflowPunct/>
        <w:topLinePunct w:val="0"/>
        <w:autoSpaceDE/>
        <w:autoSpaceDN/>
        <w:bidi w:val="0"/>
        <w:adjustRightInd/>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本项目采购代理服务费</w:t>
      </w:r>
      <w:r>
        <w:rPr>
          <w:rFonts w:hint="eastAsia" w:ascii="仿宋" w:hAnsi="仿宋" w:eastAsia="仿宋" w:cs="仿宋"/>
          <w:b/>
          <w:bCs/>
          <w:color w:val="auto"/>
          <w:sz w:val="24"/>
          <w:szCs w:val="24"/>
          <w:highlight w:val="none"/>
          <w:lang w:val="en-US" w:eastAsia="zh-CN"/>
        </w:rPr>
        <w:t>由采购人支付</w:t>
      </w:r>
      <w:r>
        <w:rPr>
          <w:rFonts w:hint="eastAsia" w:ascii="仿宋" w:hAnsi="仿宋" w:eastAsia="仿宋" w:cs="仿宋"/>
          <w:b/>
          <w:bCs/>
          <w:color w:val="auto"/>
          <w:sz w:val="24"/>
          <w:szCs w:val="24"/>
          <w:highlight w:val="none"/>
        </w:rPr>
        <w:t>。</w:t>
      </w:r>
    </w:p>
    <w:p w14:paraId="75A10159">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16" w:name="_Toc6943"/>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、评标</w:t>
      </w:r>
      <w:bookmarkEnd w:id="116"/>
    </w:p>
    <w:p w14:paraId="5DFBC10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见“第四篇 资格评审及评标办法”内容。</w:t>
      </w:r>
    </w:p>
    <w:p w14:paraId="793E5B08">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17" w:name="_Toc8575"/>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、定标</w:t>
      </w:r>
      <w:bookmarkEnd w:id="117"/>
    </w:p>
    <w:p w14:paraId="3728812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（一）定标原则</w:t>
      </w:r>
    </w:p>
    <w:p w14:paraId="579A6FE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采购人或其授权的</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应按照评标报告中推荐的成交候选人排名顺序确定1名成交供应商。</w:t>
      </w:r>
    </w:p>
    <w:p w14:paraId="26DCE741">
      <w:pPr>
        <w:pStyle w:val="13"/>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（二）定标程序</w:t>
      </w:r>
    </w:p>
    <w:p w14:paraId="114214D4">
      <w:pPr>
        <w:pStyle w:val="13"/>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1、应当在评标结束后2个工作日内将评标报告送采购人。</w:t>
      </w:r>
    </w:p>
    <w:p w14:paraId="5DCB1943">
      <w:pPr>
        <w:pStyle w:val="13"/>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2、采购人应当自收到评标报告之日起５个工作日内，在评标报告确定的成交候选人名单中按顺序确定1名成交供应商。成交候选人并列的，由采购人或者采购人委托</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按照采购文件规定的方式确定成交供应商；采购文件未规定的，采取随机抽取的方式确定。</w:t>
      </w:r>
    </w:p>
    <w:p w14:paraId="2D393E81">
      <w:pPr>
        <w:pStyle w:val="13"/>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3.采购人应当自成交供应商确定之日起2个工作日内，在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网上公告成交结果。成交结果公告期限为1个工作日。</w:t>
      </w:r>
    </w:p>
    <w:p w14:paraId="5BB618EE">
      <w:pPr>
        <w:pStyle w:val="13"/>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4.成交供应商变更</w:t>
      </w:r>
    </w:p>
    <w:p w14:paraId="16A15EE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成交供应商拒绝与采购人签订合同的，采购人可以按照评标报告推荐的成交候选人顺序，确定排名下一位的候选人为成交供应商，也可以重新开展采购活动。</w:t>
      </w:r>
    </w:p>
    <w:p w14:paraId="6D498B36">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18" w:name="_Toc493506310"/>
      <w:bookmarkStart w:id="119" w:name="_Toc615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、成交通知书</w:t>
      </w:r>
      <w:bookmarkEnd w:id="118"/>
      <w:bookmarkEnd w:id="119"/>
    </w:p>
    <w:p w14:paraId="3F4B2A7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"http://www.cqgp.gov.cn）上发布成交结果公示。"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上发布成交结果公告。</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结果公告发出同时，采购代理机构将以书面形式发出《成交通知书》。《成交通知书》一经发出即发生法律效力。</w:t>
      </w:r>
    </w:p>
    <w:p w14:paraId="300D330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（二）《成交通知书》将作为签订合同的依据。</w:t>
      </w:r>
    </w:p>
    <w:p w14:paraId="36A1D5B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（三）如有供应商对成交结果提出质疑的，在质疑处理完毕后发出成交通知书。</w:t>
      </w:r>
    </w:p>
    <w:p w14:paraId="7F6394E5">
      <w:pPr>
        <w:pageBreakBefore w:val="0"/>
        <w:kinsoku/>
        <w:overflowPunct/>
        <w:topLinePunct w:val="0"/>
        <w:autoSpaceDE/>
        <w:autoSpaceDN/>
        <w:bidi w:val="0"/>
        <w:adjustRightInd/>
        <w:snapToGrid w:val="0"/>
        <w:spacing w:line="312" w:lineRule="auto"/>
        <w:ind w:firstLine="480" w:firstLineChars="200"/>
        <w:rPr>
          <w:rStyle w:val="38"/>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rPr>
        <w:t>（四）成交通知书发出后，采购人改变成交结果，或者成交供应商放弃中标，应当承担相应的法律责任。</w:t>
      </w:r>
      <w:bookmarkEnd w:id="23"/>
      <w:bookmarkEnd w:id="110"/>
      <w:bookmarkEnd w:id="111"/>
      <w:bookmarkEnd w:id="112"/>
      <w:bookmarkEnd w:id="113"/>
      <w:bookmarkEnd w:id="114"/>
      <w:bookmarkEnd w:id="115"/>
      <w:bookmarkStart w:id="120" w:name="_Toc12789058"/>
      <w:bookmarkStart w:id="121" w:name="_Toc128744993"/>
    </w:p>
    <w:bookmarkEnd w:id="120"/>
    <w:bookmarkEnd w:id="121"/>
    <w:p w14:paraId="4D67351C">
      <w:pPr>
        <w:pageBreakBefore w:val="0"/>
        <w:kinsoku/>
        <w:overflowPunct/>
        <w:topLinePunct w:val="0"/>
        <w:autoSpaceDE/>
        <w:autoSpaceDN/>
        <w:bidi w:val="0"/>
        <w:adjustRightInd/>
        <w:snapToGrid w:val="0"/>
        <w:spacing w:line="312" w:lineRule="auto"/>
        <w:rPr>
          <w:rStyle w:val="38"/>
          <w:rFonts w:hint="eastAsia" w:ascii="仿宋" w:hAnsi="仿宋" w:eastAsia="仿宋" w:cs="仿宋"/>
          <w:color w:val="auto"/>
          <w:sz w:val="36"/>
          <w:szCs w:val="36"/>
          <w:highlight w:val="none"/>
        </w:rPr>
      </w:pPr>
      <w:r>
        <w:rPr>
          <w:rStyle w:val="38"/>
          <w:rFonts w:hint="eastAsia" w:ascii="仿宋" w:hAnsi="仿宋" w:eastAsia="仿宋" w:cs="仿宋"/>
          <w:color w:val="auto"/>
          <w:sz w:val="36"/>
          <w:szCs w:val="36"/>
          <w:highlight w:val="none"/>
        </w:rPr>
        <w:br w:type="page"/>
      </w:r>
    </w:p>
    <w:p w14:paraId="7BDC1621">
      <w:pPr>
        <w:pageBreakBefore w:val="0"/>
        <w:widowControl/>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bookmarkStart w:id="122" w:name="_Toc26968"/>
      <w:r>
        <w:rPr>
          <w:rStyle w:val="38"/>
          <w:rFonts w:hint="eastAsia" w:ascii="仿宋" w:hAnsi="仿宋" w:eastAsia="仿宋" w:cs="仿宋"/>
          <w:color w:val="auto"/>
          <w:highlight w:val="none"/>
        </w:rPr>
        <w:t>第六篇 合同主要条款和格式合同</w:t>
      </w:r>
      <w:bookmarkEnd w:id="122"/>
    </w:p>
    <w:p w14:paraId="4326BEE7">
      <w:pPr>
        <w:pStyle w:val="2"/>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669A877D">
      <w:pPr>
        <w:pageBreakBefore w:val="0"/>
        <w:widowControl/>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由成交供应商与采购人自行拟定</w:t>
      </w:r>
    </w:p>
    <w:p w14:paraId="41FB9F53">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采购合同</w:t>
      </w:r>
    </w:p>
    <w:p w14:paraId="16D34D3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（项目执行编号：     ）</w:t>
      </w:r>
    </w:p>
    <w:p w14:paraId="01587A9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14:paraId="504787D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14:paraId="4B523AB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highlight w:val="none"/>
        </w:rPr>
      </w:pPr>
    </w:p>
    <w:p w14:paraId="655441D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2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984"/>
        <w:gridCol w:w="448"/>
        <w:gridCol w:w="1984"/>
        <w:gridCol w:w="1559"/>
        <w:gridCol w:w="1484"/>
      </w:tblGrid>
      <w:tr w14:paraId="130F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7" w:type="dxa"/>
            <w:vAlign w:val="center"/>
          </w:tcPr>
          <w:p w14:paraId="4DD38FA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984" w:type="dxa"/>
            <w:vAlign w:val="center"/>
          </w:tcPr>
          <w:p w14:paraId="55B9784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2432" w:type="dxa"/>
            <w:gridSpan w:val="2"/>
            <w:vAlign w:val="center"/>
          </w:tcPr>
          <w:p w14:paraId="021DA68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1559" w:type="dxa"/>
            <w:vAlign w:val="center"/>
          </w:tcPr>
          <w:p w14:paraId="28820CA4">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服务时间</w:t>
            </w:r>
          </w:p>
        </w:tc>
        <w:tc>
          <w:tcPr>
            <w:tcW w:w="1484" w:type="dxa"/>
            <w:vAlign w:val="center"/>
          </w:tcPr>
          <w:p w14:paraId="15197B0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服务地点</w:t>
            </w:r>
          </w:p>
        </w:tc>
      </w:tr>
      <w:tr w14:paraId="1709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937" w:type="dxa"/>
            <w:vAlign w:val="center"/>
          </w:tcPr>
          <w:p w14:paraId="591B2AE7">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c>
          <w:tcPr>
            <w:tcW w:w="984" w:type="dxa"/>
            <w:vAlign w:val="center"/>
          </w:tcPr>
          <w:p w14:paraId="3C4FDB25">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c>
          <w:tcPr>
            <w:tcW w:w="2432" w:type="dxa"/>
            <w:gridSpan w:val="2"/>
            <w:vAlign w:val="center"/>
          </w:tcPr>
          <w:p w14:paraId="2C73A574">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c>
          <w:tcPr>
            <w:tcW w:w="1559" w:type="dxa"/>
            <w:vAlign w:val="center"/>
          </w:tcPr>
          <w:p w14:paraId="083E9AAE">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c>
          <w:tcPr>
            <w:tcW w:w="1484" w:type="dxa"/>
            <w:vAlign w:val="center"/>
          </w:tcPr>
          <w:p w14:paraId="2D7C460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r>
      <w:tr w14:paraId="5923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396" w:type="dxa"/>
            <w:gridSpan w:val="6"/>
            <w:vAlign w:val="center"/>
          </w:tcPr>
          <w:p w14:paraId="4C52EF0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合计人民币（小写）：</w:t>
            </w:r>
          </w:p>
        </w:tc>
      </w:tr>
      <w:tr w14:paraId="5AFB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396" w:type="dxa"/>
            <w:gridSpan w:val="6"/>
            <w:vAlign w:val="center"/>
          </w:tcPr>
          <w:p w14:paraId="3F0D7AA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合计人民币（大写）：</w:t>
            </w:r>
          </w:p>
        </w:tc>
      </w:tr>
      <w:tr w14:paraId="0E0B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6" w:type="dxa"/>
            <w:gridSpan w:val="6"/>
          </w:tcPr>
          <w:p w14:paraId="53DD60B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一、服务内容</w:t>
            </w:r>
          </w:p>
          <w:p w14:paraId="6AA6B70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1.服务内容包含：</w:t>
            </w:r>
          </w:p>
          <w:p w14:paraId="11F57287">
            <w:pPr>
              <w:pStyle w:val="34"/>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sz w:val="21"/>
                <w:szCs w:val="21"/>
                <w:highlight w:val="none"/>
              </w:rPr>
              <w:t>2.服务费用包含：</w:t>
            </w:r>
          </w:p>
        </w:tc>
      </w:tr>
      <w:tr w14:paraId="17BF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396" w:type="dxa"/>
            <w:gridSpan w:val="6"/>
          </w:tcPr>
          <w:p w14:paraId="1587DAA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二、验收标准、方法：</w:t>
            </w:r>
          </w:p>
          <w:p w14:paraId="6B5914A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如有异议，请于3 日内提出。</w:t>
            </w:r>
          </w:p>
        </w:tc>
      </w:tr>
      <w:tr w14:paraId="6EC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396" w:type="dxa"/>
            <w:gridSpan w:val="6"/>
          </w:tcPr>
          <w:p w14:paraId="42E2375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三、付款方式：</w:t>
            </w:r>
          </w:p>
          <w:p w14:paraId="3D980CA0">
            <w:pPr>
              <w:pStyle w:val="14"/>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p>
        </w:tc>
      </w:tr>
      <w:tr w14:paraId="2007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396" w:type="dxa"/>
            <w:gridSpan w:val="6"/>
          </w:tcPr>
          <w:p w14:paraId="241AD3D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四、违约责任：</w:t>
            </w:r>
          </w:p>
          <w:p w14:paraId="1241182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按《中华人民共和国民法典》、《中华人民共和国政府采购法》执行，或按双方约定。（采购人应按项目实际情况完整填写）</w:t>
            </w:r>
          </w:p>
        </w:tc>
      </w:tr>
      <w:tr w14:paraId="74FE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96" w:type="dxa"/>
            <w:gridSpan w:val="6"/>
          </w:tcPr>
          <w:p w14:paraId="10E94E1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五、其他约定事项：</w:t>
            </w:r>
          </w:p>
          <w:p w14:paraId="3E163D1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1.采购文件及其澄清文件、</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文件和承诺是本合同不可分割的部分。</w:t>
            </w:r>
          </w:p>
          <w:p w14:paraId="5C0AA240">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2.本合同如发生争议由双方协商解决，协商不成向需方所在地仲裁机构提请仲裁。</w:t>
            </w:r>
          </w:p>
          <w:p w14:paraId="4137904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3.本合同一式_4_份， 需方_3_份，供方_1_份，具备同等法律效力。</w:t>
            </w:r>
          </w:p>
          <w:p w14:paraId="3F10170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w:t>
            </w:r>
          </w:p>
        </w:tc>
      </w:tr>
      <w:tr w14:paraId="3D04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9" w:type="dxa"/>
            <w:gridSpan w:val="3"/>
          </w:tcPr>
          <w:p w14:paraId="1E3B090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需方：</w:t>
            </w:r>
          </w:p>
          <w:p w14:paraId="472B32A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3376795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75C1695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tc>
        <w:tc>
          <w:tcPr>
            <w:tcW w:w="5027" w:type="dxa"/>
            <w:gridSpan w:val="3"/>
          </w:tcPr>
          <w:p w14:paraId="7B5AB24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供方：</w:t>
            </w:r>
          </w:p>
          <w:p w14:paraId="25A9922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394A5F1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14:paraId="05502B4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p w14:paraId="5FDB1E98">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42133A88">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p w14:paraId="29FAE43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14:paraId="6769813C">
            <w:pPr>
              <w:pageBreakBefore w:val="0"/>
              <w:widowControl/>
              <w:kinsoku/>
              <w:overflowPunct/>
              <w:topLinePunct w:val="0"/>
              <w:autoSpaceDE/>
              <w:autoSpaceDN/>
              <w:bidi w:val="0"/>
              <w:adjustRightInd/>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（本栏请用计算机打印以便于准确付款）</w:t>
            </w:r>
          </w:p>
        </w:tc>
      </w:tr>
      <w:tr w14:paraId="3228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396" w:type="dxa"/>
            <w:gridSpan w:val="6"/>
          </w:tcPr>
          <w:p w14:paraId="74A774D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4518ADE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p>
          <w:p w14:paraId="2432A40B">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p>
        </w:tc>
      </w:tr>
    </w:tbl>
    <w:p w14:paraId="25B8B83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签约时间：           年   月   日      签约地点：</w:t>
      </w:r>
    </w:p>
    <w:p w14:paraId="1E3E2AFD">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bookmarkStart w:id="123" w:name="_Toc15930"/>
    </w:p>
    <w:p w14:paraId="6AD039C4">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44F8E0AE">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0EF1DA30">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08D2A2FE">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47CC3770">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3D82C8BD">
      <w:pPr>
        <w:pStyle w:val="34"/>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45A7696C">
      <w:pPr>
        <w:pStyle w:val="35"/>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5383DB96">
      <w:pPr>
        <w:pStyle w:val="35"/>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0DE0C545">
      <w:pPr>
        <w:pStyle w:val="35"/>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19724BB9">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37F45680">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09CF4767">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10D1D264">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3F66E43A">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07202452">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4DCAA5B4">
      <w:pPr>
        <w:pageBreakBefore w:val="0"/>
        <w:widowControl/>
        <w:tabs>
          <w:tab w:val="left" w:pos="6300"/>
        </w:tabs>
        <w:kinsoku/>
        <w:overflowPunct/>
        <w:topLinePunct w:val="0"/>
        <w:autoSpaceDE/>
        <w:autoSpaceDN/>
        <w:bidi w:val="0"/>
        <w:adjustRightInd/>
        <w:snapToGrid w:val="0"/>
        <w:spacing w:line="312" w:lineRule="auto"/>
        <w:outlineLvl w:val="0"/>
        <w:rPr>
          <w:rFonts w:hint="eastAsia" w:ascii="仿宋" w:hAnsi="仿宋" w:eastAsia="仿宋" w:cs="仿宋"/>
          <w:color w:val="auto"/>
          <w:highlight w:val="none"/>
        </w:rPr>
      </w:pPr>
      <w:r>
        <w:rPr>
          <w:rFonts w:hint="eastAsia" w:ascii="仿宋" w:hAnsi="仿宋" w:eastAsia="仿宋" w:cs="仿宋"/>
          <w:b/>
          <w:bCs/>
          <w:color w:val="auto"/>
          <w:sz w:val="30"/>
          <w:szCs w:val="30"/>
          <w:highlight w:val="none"/>
        </w:rPr>
        <w:t>项目验收</w:t>
      </w:r>
      <w:bookmarkEnd w:id="123"/>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2015"/>
        <w:gridCol w:w="180"/>
        <w:gridCol w:w="2115"/>
        <w:gridCol w:w="2398"/>
      </w:tblGrid>
      <w:tr w14:paraId="31D8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2F215F13">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4" w:name="_Toc5446"/>
            <w:r>
              <w:rPr>
                <w:rFonts w:hint="eastAsia" w:ascii="仿宋" w:hAnsi="仿宋" w:eastAsia="仿宋" w:cs="仿宋"/>
                <w:b w:val="0"/>
                <w:color w:val="auto"/>
                <w:sz w:val="24"/>
                <w:szCs w:val="24"/>
                <w:highlight w:val="none"/>
              </w:rPr>
              <w:t>项目名称</w:t>
            </w:r>
            <w:bookmarkEnd w:id="124"/>
          </w:p>
        </w:tc>
        <w:tc>
          <w:tcPr>
            <w:tcW w:w="6708" w:type="dxa"/>
            <w:gridSpan w:val="4"/>
          </w:tcPr>
          <w:p w14:paraId="0D22A79D">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6A59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03FFBD87">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5" w:name="_Toc14106"/>
            <w:r>
              <w:rPr>
                <w:rFonts w:hint="eastAsia" w:ascii="仿宋" w:hAnsi="仿宋" w:eastAsia="仿宋" w:cs="仿宋"/>
                <w:b w:val="0"/>
                <w:color w:val="auto"/>
                <w:sz w:val="24"/>
                <w:szCs w:val="24"/>
                <w:highlight w:val="none"/>
              </w:rPr>
              <w:t>项目执行编号</w:t>
            </w:r>
            <w:bookmarkEnd w:id="125"/>
          </w:p>
        </w:tc>
        <w:tc>
          <w:tcPr>
            <w:tcW w:w="6708" w:type="dxa"/>
            <w:gridSpan w:val="4"/>
          </w:tcPr>
          <w:p w14:paraId="530CE1E2">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4382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6C0C1213">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6" w:name="_Toc10212"/>
            <w:r>
              <w:rPr>
                <w:rFonts w:hint="eastAsia" w:ascii="仿宋" w:hAnsi="仿宋" w:eastAsia="仿宋" w:cs="仿宋"/>
                <w:b w:val="0"/>
                <w:color w:val="auto"/>
                <w:sz w:val="24"/>
                <w:szCs w:val="24"/>
                <w:highlight w:val="none"/>
              </w:rPr>
              <w:t>采购人名称</w:t>
            </w:r>
            <w:bookmarkEnd w:id="126"/>
          </w:p>
        </w:tc>
        <w:tc>
          <w:tcPr>
            <w:tcW w:w="6708" w:type="dxa"/>
            <w:gridSpan w:val="4"/>
          </w:tcPr>
          <w:p w14:paraId="64006D60">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08CD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32F8269B">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7" w:name="_Toc12584"/>
            <w:r>
              <w:rPr>
                <w:rFonts w:hint="eastAsia" w:ascii="仿宋" w:hAnsi="仿宋" w:eastAsia="仿宋" w:cs="仿宋"/>
                <w:b w:val="0"/>
                <w:color w:val="auto"/>
                <w:sz w:val="24"/>
                <w:szCs w:val="24"/>
                <w:highlight w:val="none"/>
              </w:rPr>
              <w:t>供应商名称</w:t>
            </w:r>
            <w:bookmarkEnd w:id="127"/>
          </w:p>
        </w:tc>
        <w:tc>
          <w:tcPr>
            <w:tcW w:w="6708" w:type="dxa"/>
            <w:gridSpan w:val="4"/>
          </w:tcPr>
          <w:p w14:paraId="6B7E507D">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5A7C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45950AD5">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8" w:name="_Toc10023"/>
            <w:r>
              <w:rPr>
                <w:rFonts w:hint="eastAsia" w:ascii="仿宋" w:hAnsi="仿宋" w:eastAsia="仿宋" w:cs="仿宋"/>
                <w:b w:val="0"/>
                <w:color w:val="auto"/>
                <w:sz w:val="24"/>
                <w:szCs w:val="24"/>
                <w:highlight w:val="none"/>
              </w:rPr>
              <w:t>合同签订日期</w:t>
            </w:r>
            <w:bookmarkEnd w:id="128"/>
          </w:p>
        </w:tc>
        <w:tc>
          <w:tcPr>
            <w:tcW w:w="2015" w:type="dxa"/>
          </w:tcPr>
          <w:p w14:paraId="34D7D17C">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9" w:name="_Toc25014"/>
            <w:r>
              <w:rPr>
                <w:rFonts w:hint="eastAsia" w:ascii="仿宋" w:hAnsi="仿宋" w:eastAsia="仿宋" w:cs="仿宋"/>
                <w:b w:val="0"/>
                <w:color w:val="auto"/>
                <w:sz w:val="24"/>
                <w:szCs w:val="24"/>
                <w:highlight w:val="none"/>
              </w:rPr>
              <w:t>年  月  日</w:t>
            </w:r>
            <w:bookmarkEnd w:id="129"/>
          </w:p>
        </w:tc>
        <w:tc>
          <w:tcPr>
            <w:tcW w:w="2295" w:type="dxa"/>
            <w:gridSpan w:val="2"/>
          </w:tcPr>
          <w:p w14:paraId="190BE013">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0" w:name="_Toc9875"/>
            <w:r>
              <w:rPr>
                <w:rFonts w:hint="eastAsia" w:ascii="仿宋" w:hAnsi="仿宋" w:eastAsia="仿宋" w:cs="仿宋"/>
                <w:b w:val="0"/>
                <w:color w:val="auto"/>
                <w:sz w:val="24"/>
                <w:szCs w:val="24"/>
                <w:highlight w:val="none"/>
              </w:rPr>
              <w:t>合同总金额</w:t>
            </w:r>
            <w:bookmarkEnd w:id="130"/>
          </w:p>
        </w:tc>
        <w:tc>
          <w:tcPr>
            <w:tcW w:w="2398" w:type="dxa"/>
          </w:tcPr>
          <w:p w14:paraId="7F7DC32A">
            <w:pPr>
              <w:pStyle w:val="4"/>
              <w:pageBreakBefore w:val="0"/>
              <w:kinsoku/>
              <w:overflowPunct/>
              <w:topLinePunct w:val="0"/>
              <w:autoSpaceDE/>
              <w:autoSpaceDN/>
              <w:bidi w:val="0"/>
              <w:adjustRightInd/>
              <w:snapToGrid w:val="0"/>
              <w:spacing w:before="48" w:after="48" w:line="312" w:lineRule="auto"/>
              <w:ind w:left="1200" w:hanging="1200" w:hangingChars="50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     </w:t>
            </w:r>
            <w:bookmarkStart w:id="131" w:name="_Toc23504"/>
            <w:r>
              <w:rPr>
                <w:rFonts w:hint="eastAsia" w:ascii="仿宋" w:hAnsi="仿宋" w:eastAsia="仿宋" w:cs="仿宋"/>
                <w:b w:val="0"/>
                <w:color w:val="auto"/>
                <w:sz w:val="24"/>
                <w:szCs w:val="24"/>
                <w:highlight w:val="none"/>
              </w:rPr>
              <w:t>元</w:t>
            </w:r>
            <w:bookmarkEnd w:id="131"/>
          </w:p>
        </w:tc>
      </w:tr>
      <w:tr w14:paraId="7FA6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5F7615C3">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2" w:name="_Toc19535"/>
            <w:r>
              <w:rPr>
                <w:rFonts w:hint="eastAsia" w:ascii="仿宋" w:hAnsi="仿宋" w:eastAsia="仿宋" w:cs="仿宋"/>
                <w:b w:val="0"/>
                <w:color w:val="auto"/>
                <w:sz w:val="24"/>
                <w:szCs w:val="24"/>
                <w:highlight w:val="none"/>
              </w:rPr>
              <w:t>验收日期</w:t>
            </w:r>
            <w:bookmarkEnd w:id="132"/>
          </w:p>
        </w:tc>
        <w:tc>
          <w:tcPr>
            <w:tcW w:w="2015" w:type="dxa"/>
          </w:tcPr>
          <w:p w14:paraId="109B085B">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3" w:name="_Toc14111"/>
            <w:r>
              <w:rPr>
                <w:rFonts w:hint="eastAsia" w:ascii="仿宋" w:hAnsi="仿宋" w:eastAsia="仿宋" w:cs="仿宋"/>
                <w:b w:val="0"/>
                <w:color w:val="auto"/>
                <w:sz w:val="24"/>
                <w:szCs w:val="24"/>
                <w:highlight w:val="none"/>
              </w:rPr>
              <w:t>年  月  日</w:t>
            </w:r>
            <w:bookmarkEnd w:id="133"/>
          </w:p>
        </w:tc>
        <w:tc>
          <w:tcPr>
            <w:tcW w:w="2295" w:type="dxa"/>
            <w:gridSpan w:val="2"/>
          </w:tcPr>
          <w:p w14:paraId="589EDC69">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4" w:name="_Toc15096"/>
            <w:r>
              <w:rPr>
                <w:rFonts w:hint="eastAsia" w:ascii="仿宋" w:hAnsi="仿宋" w:eastAsia="仿宋" w:cs="仿宋"/>
                <w:b w:val="0"/>
                <w:color w:val="auto"/>
                <w:sz w:val="24"/>
                <w:szCs w:val="24"/>
                <w:highlight w:val="none"/>
              </w:rPr>
              <w:t>验收地点</w:t>
            </w:r>
            <w:bookmarkEnd w:id="134"/>
          </w:p>
        </w:tc>
        <w:tc>
          <w:tcPr>
            <w:tcW w:w="2398" w:type="dxa"/>
          </w:tcPr>
          <w:p w14:paraId="0882A7F1">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7BF0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920" w:type="dxa"/>
            <w:vAlign w:val="center"/>
          </w:tcPr>
          <w:p w14:paraId="2FC33DD2">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5" w:name="_Toc14078"/>
            <w:r>
              <w:rPr>
                <w:rFonts w:hint="eastAsia" w:ascii="仿宋" w:hAnsi="仿宋" w:eastAsia="仿宋" w:cs="仿宋"/>
                <w:b w:val="0"/>
                <w:color w:val="auto"/>
                <w:sz w:val="24"/>
                <w:szCs w:val="24"/>
                <w:highlight w:val="none"/>
              </w:rPr>
              <w:t>验收内容</w:t>
            </w:r>
            <w:bookmarkEnd w:id="135"/>
          </w:p>
        </w:tc>
        <w:tc>
          <w:tcPr>
            <w:tcW w:w="6708" w:type="dxa"/>
            <w:gridSpan w:val="4"/>
          </w:tcPr>
          <w:p w14:paraId="067904F6">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09D7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027376AD">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6" w:name="_Toc28393"/>
            <w:r>
              <w:rPr>
                <w:rFonts w:hint="eastAsia" w:ascii="仿宋" w:hAnsi="仿宋" w:eastAsia="仿宋" w:cs="仿宋"/>
                <w:b w:val="0"/>
                <w:color w:val="auto"/>
                <w:sz w:val="24"/>
                <w:szCs w:val="24"/>
                <w:highlight w:val="none"/>
              </w:rPr>
              <w:t>验收情况记录表</w:t>
            </w:r>
            <w:bookmarkEnd w:id="136"/>
          </w:p>
        </w:tc>
        <w:tc>
          <w:tcPr>
            <w:tcW w:w="6708" w:type="dxa"/>
            <w:gridSpan w:val="4"/>
          </w:tcPr>
          <w:p w14:paraId="61AC3BCF">
            <w:pPr>
              <w:pStyle w:val="4"/>
              <w:pageBreakBefore w:val="0"/>
              <w:kinsoku/>
              <w:overflowPunct/>
              <w:topLinePunct w:val="0"/>
              <w:autoSpaceDE/>
              <w:autoSpaceDN/>
              <w:bidi w:val="0"/>
              <w:adjustRightInd/>
              <w:snapToGrid w:val="0"/>
              <w:spacing w:before="48" w:after="48" w:line="312" w:lineRule="auto"/>
              <w:jc w:val="left"/>
              <w:rPr>
                <w:rFonts w:hint="eastAsia" w:ascii="仿宋" w:hAnsi="仿宋" w:eastAsia="仿宋" w:cs="仿宋"/>
                <w:b w:val="0"/>
                <w:color w:val="auto"/>
                <w:sz w:val="24"/>
                <w:szCs w:val="24"/>
                <w:highlight w:val="none"/>
              </w:rPr>
            </w:pPr>
            <w:bookmarkStart w:id="137" w:name="_Toc15136"/>
            <w:r>
              <w:rPr>
                <w:rFonts w:hint="eastAsia" w:ascii="仿宋" w:hAnsi="仿宋" w:eastAsia="仿宋" w:cs="仿宋"/>
                <w:b w:val="0"/>
                <w:color w:val="auto"/>
                <w:sz w:val="24"/>
                <w:szCs w:val="24"/>
                <w:highlight w:val="none"/>
              </w:rPr>
              <w:t xml:space="preserve">①服务质量情况：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好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一般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差</w:t>
            </w:r>
            <w:bookmarkEnd w:id="137"/>
          </w:p>
          <w:p w14:paraId="568088C0">
            <w:pPr>
              <w:pStyle w:val="4"/>
              <w:pageBreakBefore w:val="0"/>
              <w:kinsoku/>
              <w:overflowPunct/>
              <w:topLinePunct w:val="0"/>
              <w:autoSpaceDE/>
              <w:autoSpaceDN/>
              <w:bidi w:val="0"/>
              <w:adjustRightInd/>
              <w:snapToGrid w:val="0"/>
              <w:spacing w:before="48" w:after="48" w:line="312" w:lineRule="auto"/>
              <w:jc w:val="left"/>
              <w:rPr>
                <w:rFonts w:hint="eastAsia" w:ascii="仿宋" w:hAnsi="仿宋" w:eastAsia="仿宋" w:cs="仿宋"/>
                <w:b w:val="0"/>
                <w:color w:val="auto"/>
                <w:sz w:val="24"/>
                <w:szCs w:val="24"/>
                <w:highlight w:val="none"/>
              </w:rPr>
            </w:pPr>
            <w:bookmarkStart w:id="138" w:name="_Toc21187"/>
            <w:r>
              <w:rPr>
                <w:rFonts w:hint="eastAsia" w:ascii="仿宋" w:hAnsi="仿宋" w:eastAsia="仿宋" w:cs="仿宋"/>
                <w:b w:val="0"/>
                <w:color w:val="auto"/>
                <w:sz w:val="24"/>
                <w:szCs w:val="24"/>
                <w:highlight w:val="none"/>
              </w:rPr>
              <w:t xml:space="preserve">②合同履约情况：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好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一般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差</w:t>
            </w:r>
            <w:bookmarkEnd w:id="138"/>
          </w:p>
          <w:p w14:paraId="234ECBD1">
            <w:pPr>
              <w:pStyle w:val="4"/>
              <w:pageBreakBefore w:val="0"/>
              <w:kinsoku/>
              <w:overflowPunct/>
              <w:topLinePunct w:val="0"/>
              <w:autoSpaceDE/>
              <w:autoSpaceDN/>
              <w:bidi w:val="0"/>
              <w:adjustRightInd/>
              <w:snapToGrid w:val="0"/>
              <w:spacing w:before="48" w:after="48" w:line="312" w:lineRule="auto"/>
              <w:jc w:val="left"/>
              <w:rPr>
                <w:rFonts w:hint="eastAsia" w:ascii="仿宋" w:hAnsi="仿宋" w:eastAsia="仿宋" w:cs="仿宋"/>
                <w:b w:val="0"/>
                <w:color w:val="auto"/>
                <w:sz w:val="24"/>
                <w:szCs w:val="24"/>
                <w:highlight w:val="none"/>
              </w:rPr>
            </w:pPr>
            <w:bookmarkStart w:id="139" w:name="_Toc20085"/>
            <w:r>
              <w:rPr>
                <w:rFonts w:hint="eastAsia" w:ascii="仿宋" w:hAnsi="仿宋" w:eastAsia="仿宋" w:cs="仿宋"/>
                <w:b w:val="0"/>
                <w:color w:val="auto"/>
                <w:sz w:val="24"/>
                <w:szCs w:val="24"/>
                <w:highlight w:val="none"/>
              </w:rPr>
              <w:t>③其他意见或情况：</w:t>
            </w:r>
            <w:bookmarkEnd w:id="139"/>
          </w:p>
        </w:tc>
      </w:tr>
      <w:tr w14:paraId="2AA8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20" w:type="dxa"/>
          </w:tcPr>
          <w:p w14:paraId="38F9A9C9">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40" w:name="_Toc11582"/>
            <w:r>
              <w:rPr>
                <w:rFonts w:hint="eastAsia" w:ascii="仿宋" w:hAnsi="仿宋" w:eastAsia="仿宋" w:cs="仿宋"/>
                <w:b w:val="0"/>
                <w:color w:val="auto"/>
                <w:sz w:val="24"/>
                <w:szCs w:val="24"/>
                <w:highlight w:val="none"/>
              </w:rPr>
              <w:t>验收结论</w:t>
            </w:r>
            <w:bookmarkEnd w:id="140"/>
          </w:p>
        </w:tc>
        <w:tc>
          <w:tcPr>
            <w:tcW w:w="6708" w:type="dxa"/>
            <w:gridSpan w:val="4"/>
          </w:tcPr>
          <w:p w14:paraId="16B43C81">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7580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20" w:type="dxa"/>
          </w:tcPr>
          <w:p w14:paraId="7FB74E5D">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41" w:name="_Toc3637"/>
            <w:r>
              <w:rPr>
                <w:rFonts w:hint="eastAsia" w:ascii="仿宋" w:hAnsi="仿宋" w:eastAsia="仿宋" w:cs="仿宋"/>
                <w:b w:val="0"/>
                <w:color w:val="auto"/>
                <w:sz w:val="24"/>
                <w:szCs w:val="24"/>
                <w:highlight w:val="none"/>
              </w:rPr>
              <w:t>验收人员（签字）</w:t>
            </w:r>
            <w:bookmarkEnd w:id="141"/>
          </w:p>
        </w:tc>
        <w:tc>
          <w:tcPr>
            <w:tcW w:w="6708" w:type="dxa"/>
            <w:gridSpan w:val="4"/>
          </w:tcPr>
          <w:p w14:paraId="47105EF4">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513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115" w:type="dxa"/>
            <w:gridSpan w:val="3"/>
          </w:tcPr>
          <w:p w14:paraId="7E914C5D">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42" w:name="_Toc23182"/>
            <w:r>
              <w:rPr>
                <w:rFonts w:hint="eastAsia" w:ascii="仿宋" w:hAnsi="仿宋" w:eastAsia="仿宋" w:cs="仿宋"/>
                <w:b w:val="0"/>
                <w:color w:val="auto"/>
                <w:sz w:val="24"/>
                <w:szCs w:val="24"/>
                <w:highlight w:val="none"/>
              </w:rPr>
              <w:t>采购人意见</w:t>
            </w:r>
            <w:bookmarkEnd w:id="142"/>
          </w:p>
        </w:tc>
        <w:tc>
          <w:tcPr>
            <w:tcW w:w="4513" w:type="dxa"/>
            <w:gridSpan w:val="2"/>
          </w:tcPr>
          <w:p w14:paraId="3384EA94">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43" w:name="_Toc12852"/>
            <w:r>
              <w:rPr>
                <w:rFonts w:hint="eastAsia" w:ascii="仿宋" w:hAnsi="仿宋" w:eastAsia="仿宋" w:cs="仿宋"/>
                <w:b w:val="0"/>
                <w:color w:val="auto"/>
                <w:sz w:val="24"/>
                <w:szCs w:val="24"/>
                <w:highlight w:val="none"/>
              </w:rPr>
              <w:t>供应商意见</w:t>
            </w:r>
            <w:bookmarkEnd w:id="143"/>
          </w:p>
        </w:tc>
      </w:tr>
      <w:tr w14:paraId="125C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5115" w:type="dxa"/>
            <w:gridSpan w:val="3"/>
          </w:tcPr>
          <w:p w14:paraId="38C7F111">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p w14:paraId="043148F8">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44" w:name="_Toc5600"/>
            <w:r>
              <w:rPr>
                <w:rFonts w:hint="eastAsia" w:ascii="仿宋" w:hAnsi="仿宋" w:eastAsia="仿宋" w:cs="仿宋"/>
                <w:b w:val="0"/>
                <w:color w:val="auto"/>
                <w:sz w:val="24"/>
                <w:szCs w:val="24"/>
                <w:highlight w:val="none"/>
              </w:rPr>
              <w:t>签字：</w:t>
            </w:r>
            <w:bookmarkEnd w:id="144"/>
          </w:p>
          <w:p w14:paraId="600BC81E">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p w14:paraId="24E96101">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45" w:name="_Toc2288"/>
            <w:r>
              <w:rPr>
                <w:rFonts w:hint="eastAsia" w:ascii="仿宋" w:hAnsi="仿宋" w:eastAsia="仿宋" w:cs="仿宋"/>
                <w:b w:val="0"/>
                <w:color w:val="auto"/>
                <w:sz w:val="24"/>
                <w:szCs w:val="24"/>
                <w:highlight w:val="none"/>
              </w:rPr>
              <w:t>（公章）</w:t>
            </w:r>
            <w:bookmarkEnd w:id="145"/>
          </w:p>
        </w:tc>
        <w:tc>
          <w:tcPr>
            <w:tcW w:w="4513" w:type="dxa"/>
            <w:gridSpan w:val="2"/>
          </w:tcPr>
          <w:p w14:paraId="7E66E588">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p w14:paraId="555513EE">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46" w:name="_Toc31669"/>
            <w:r>
              <w:rPr>
                <w:rFonts w:hint="eastAsia" w:ascii="仿宋" w:hAnsi="仿宋" w:eastAsia="仿宋" w:cs="仿宋"/>
                <w:b w:val="0"/>
                <w:color w:val="auto"/>
                <w:sz w:val="24"/>
                <w:szCs w:val="24"/>
                <w:highlight w:val="none"/>
              </w:rPr>
              <w:t>签字：</w:t>
            </w:r>
            <w:bookmarkEnd w:id="146"/>
          </w:p>
          <w:p w14:paraId="265D9850">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p w14:paraId="32F9690D">
            <w:pPr>
              <w:pStyle w:val="4"/>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47" w:name="_Toc3320"/>
            <w:r>
              <w:rPr>
                <w:rFonts w:hint="eastAsia" w:ascii="仿宋" w:hAnsi="仿宋" w:eastAsia="仿宋" w:cs="仿宋"/>
                <w:b w:val="0"/>
                <w:color w:val="auto"/>
                <w:sz w:val="24"/>
                <w:szCs w:val="24"/>
                <w:highlight w:val="none"/>
              </w:rPr>
              <w:t>（公章）</w:t>
            </w:r>
            <w:bookmarkEnd w:id="147"/>
          </w:p>
        </w:tc>
      </w:tr>
    </w:tbl>
    <w:p w14:paraId="61FCF3BB">
      <w:pPr>
        <w:pStyle w:val="35"/>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sectPr>
          <w:headerReference r:id="rId10" w:type="default"/>
          <w:footerReference r:id="rId11" w:type="default"/>
          <w:pgSz w:w="11907" w:h="16840"/>
          <w:pgMar w:top="1134" w:right="1191" w:bottom="1134" w:left="1304" w:header="964" w:footer="992" w:gutter="0"/>
          <w:pgNumType w:fmt="decimal"/>
          <w:cols w:space="720" w:num="1"/>
          <w:docGrid w:linePitch="312" w:charSpace="0"/>
        </w:sectPr>
      </w:pPr>
    </w:p>
    <w:p w14:paraId="00A4C8DD">
      <w:pPr>
        <w:pStyle w:val="4"/>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b/>
          <w:bCs/>
          <w:color w:val="auto"/>
          <w:sz w:val="36"/>
          <w:szCs w:val="36"/>
          <w:highlight w:val="none"/>
        </w:rPr>
      </w:pPr>
      <w:bookmarkStart w:id="148" w:name="_Toc11628"/>
      <w:r>
        <w:rPr>
          <w:rStyle w:val="38"/>
          <w:rFonts w:hint="eastAsia" w:ascii="仿宋" w:hAnsi="仿宋" w:eastAsia="仿宋" w:cs="仿宋"/>
          <w:b/>
          <w:bCs/>
          <w:color w:val="auto"/>
          <w:highlight w:val="none"/>
        </w:rPr>
        <w:t>第七篇  响应文件格式要求</w:t>
      </w:r>
      <w:bookmarkEnd w:id="148"/>
    </w:p>
    <w:p w14:paraId="306863A3">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653BA64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240A797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（二）分项报价明细表</w:t>
      </w:r>
    </w:p>
    <w:p w14:paraId="07E23547">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二、技术部分</w:t>
      </w:r>
    </w:p>
    <w:p w14:paraId="659F68D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11EEF72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（二）技术响应偏离表</w:t>
      </w:r>
    </w:p>
    <w:p w14:paraId="70052842">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1B60117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25F22E3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（二）商务部分相关证明材料</w:t>
      </w:r>
    </w:p>
    <w:p w14:paraId="261484F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（三）其它优惠承诺</w:t>
      </w:r>
    </w:p>
    <w:p w14:paraId="2616CC2E">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4A3EC28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6948A78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07CD510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（三）法定代表人身份证明书（格式）</w:t>
      </w:r>
    </w:p>
    <w:p w14:paraId="331C5A2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（四）法定代表人授权委托书（格式）</w:t>
      </w:r>
    </w:p>
    <w:p w14:paraId="2E70FC5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基本资格条件承诺函</w:t>
      </w:r>
      <w:r>
        <w:rPr>
          <w:rFonts w:hint="eastAsia" w:ascii="仿宋" w:hAnsi="仿宋" w:eastAsia="仿宋" w:cs="仿宋"/>
          <w:color w:val="auto"/>
          <w:sz w:val="24"/>
          <w:szCs w:val="24"/>
          <w:highlight w:val="none"/>
        </w:rPr>
        <w:t>（格式）</w:t>
      </w:r>
    </w:p>
    <w:p w14:paraId="293F352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（六）特定资格条件证明</w:t>
      </w:r>
    </w:p>
    <w:p w14:paraId="5136C650">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6AE7C15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2E8DCAD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（二）中小企业声明函、监狱企业证明文件、残疾人福利性单位声明函</w:t>
      </w:r>
    </w:p>
    <w:p w14:paraId="542B136E">
      <w:pPr>
        <w:pStyle w:val="13"/>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66C33375">
      <w:pPr>
        <w:pStyle w:val="2"/>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04A59038">
      <w:pPr>
        <w:pStyle w:val="42"/>
        <w:pageBreakBefore w:val="0"/>
        <w:kinsoku/>
        <w:overflowPunct/>
        <w:topLinePunct w:val="0"/>
        <w:autoSpaceDE/>
        <w:autoSpaceDN/>
        <w:bidi w:val="0"/>
        <w:adjustRightInd/>
        <w:snapToGrid w:val="0"/>
        <w:spacing w:line="312" w:lineRule="auto"/>
        <w:ind w:left="0"/>
        <w:jc w:val="both"/>
        <w:rPr>
          <w:rFonts w:hint="eastAsia" w:ascii="仿宋" w:hAnsi="仿宋" w:eastAsia="仿宋" w:cs="仿宋"/>
          <w:color w:val="auto"/>
          <w:highlight w:val="none"/>
        </w:rPr>
        <w:sectPr>
          <w:headerReference r:id="rId12" w:type="default"/>
          <w:footerReference r:id="rId13" w:type="default"/>
          <w:pgSz w:w="11907" w:h="16840"/>
          <w:pgMar w:top="1134" w:right="1191" w:bottom="1134" w:left="1304" w:header="851" w:footer="992" w:gutter="0"/>
          <w:pgNumType w:fmt="decimal"/>
          <w:cols w:space="720" w:num="1"/>
        </w:sectPr>
      </w:pPr>
    </w:p>
    <w:p w14:paraId="1C7ED468">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8"/>
          <w:szCs w:val="28"/>
          <w:highlight w:val="none"/>
        </w:rPr>
      </w:pPr>
      <w:bookmarkStart w:id="149" w:name="_Toc486608277"/>
      <w:bookmarkStart w:id="150" w:name="_Toc9358"/>
      <w:bookmarkStart w:id="151" w:name="_Toc487204797"/>
      <w:bookmarkStart w:id="152" w:name="_Toc14854"/>
      <w:bookmarkStart w:id="153" w:name="_Toc486585240"/>
      <w:r>
        <w:rPr>
          <w:rFonts w:hint="eastAsia" w:ascii="仿宋" w:hAnsi="仿宋" w:eastAsia="仿宋" w:cs="仿宋"/>
          <w:color w:val="auto"/>
          <w:sz w:val="28"/>
          <w:szCs w:val="28"/>
          <w:highlight w:val="none"/>
        </w:rPr>
        <w:t>一、经济部分</w:t>
      </w:r>
      <w:bookmarkEnd w:id="149"/>
      <w:bookmarkEnd w:id="150"/>
      <w:bookmarkEnd w:id="151"/>
      <w:bookmarkEnd w:id="152"/>
      <w:bookmarkEnd w:id="153"/>
    </w:p>
    <w:p w14:paraId="71B93364">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CEC3857">
      <w:pPr>
        <w:pageBreakBefore w:val="0"/>
        <w:tabs>
          <w:tab w:val="left" w:pos="6300"/>
        </w:tabs>
        <w:kinsoku/>
        <w:overflowPunct/>
        <w:topLinePunct w:val="0"/>
        <w:autoSpaceDE/>
        <w:autoSpaceDN/>
        <w:bidi w:val="0"/>
        <w:adjustRightInd/>
        <w:snapToGrid w:val="0"/>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报价函</w:t>
      </w:r>
    </w:p>
    <w:p w14:paraId="0A3C7C03">
      <w:pPr>
        <w:pageBreakBefore w:val="0"/>
        <w:tabs>
          <w:tab w:val="left" w:pos="6300"/>
        </w:tabs>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28C5312B">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我方收到____________________________（采购项目名称）的采购文件，经详细研究，决定参加该项目的投标。</w:t>
      </w:r>
    </w:p>
    <w:p w14:paraId="3731F0E4">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1.愿意按照采购文件中的一切要求，提供本项目的交货及技术服务，项目</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35903CF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55BE8A64">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3.我方承诺：本次投标的有效期为90天。</w:t>
      </w:r>
    </w:p>
    <w:p w14:paraId="59CADA6D">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4.我方完全理解和接受贵方采购文件的一切规定和要求及评审办法。</w:t>
      </w:r>
    </w:p>
    <w:p w14:paraId="6BE1E37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5.在整个投标过程中，我方若有违规行为，接受按照《中华人民共和国政府采购法》和《采购文件》之规定给予惩罚。</w:t>
      </w:r>
    </w:p>
    <w:p w14:paraId="4A337C41">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6.我方若成为成交供应商，将按照最终采购结果签订合同，并且严格履行合同义务。本承诺函将成为合同不可分割的一部分，与合同具有同等的法律效力。</w:t>
      </w:r>
    </w:p>
    <w:p w14:paraId="0752CFC1">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7.我方未为采购项目提供整体设计、规范编制或者项目管理、监理、检测等服务。</w:t>
      </w:r>
    </w:p>
    <w:p w14:paraId="4E95C93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7A3BF460">
      <w:pPr>
        <w:pageBreakBefore w:val="0"/>
        <w:tabs>
          <w:tab w:val="left" w:pos="6300"/>
        </w:tabs>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E5A3B98">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1178EC64">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A35019F">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AA85A37">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3BD0E1C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3AAB3E30">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4D480878">
      <w:pPr>
        <w:pageBreakBefore w:val="0"/>
        <w:kinsoku/>
        <w:overflowPunct/>
        <w:topLinePunct w:val="0"/>
        <w:autoSpaceDE/>
        <w:autoSpaceDN/>
        <w:bidi w:val="0"/>
        <w:adjustRightInd/>
        <w:snapToGrid w:val="0"/>
        <w:spacing w:line="312"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43CAF97">
      <w:pPr>
        <w:pageBreakBefore w:val="0"/>
        <w:widowControl/>
        <w:kinsoku/>
        <w:overflowPunct/>
        <w:topLinePunct w:val="0"/>
        <w:autoSpaceDE/>
        <w:autoSpaceDN/>
        <w:bidi w:val="0"/>
        <w:adjustRightInd/>
        <w:snapToGrid w:val="0"/>
        <w:spacing w:line="312" w:lineRule="auto"/>
        <w:jc w:val="left"/>
        <w:rPr>
          <w:rFonts w:hint="eastAsia" w:ascii="仿宋" w:hAnsi="仿宋" w:eastAsia="仿宋" w:cs="仿宋"/>
          <w:color w:val="auto"/>
          <w:sz w:val="24"/>
          <w:szCs w:val="24"/>
          <w:highlight w:val="none"/>
        </w:rPr>
        <w:sectPr>
          <w:pgSz w:w="11907" w:h="16840"/>
          <w:pgMar w:top="1134" w:right="1191" w:bottom="1134" w:left="1304" w:header="851" w:footer="992" w:gutter="0"/>
          <w:pgNumType w:fmt="decimal"/>
          <w:cols w:space="720" w:num="1"/>
        </w:sectPr>
      </w:pPr>
    </w:p>
    <w:p w14:paraId="1B474849">
      <w:pPr>
        <w:pageBreakBefore w:val="0"/>
        <w:kinsoku/>
        <w:overflowPunct/>
        <w:topLinePunct w:val="0"/>
        <w:autoSpaceDE/>
        <w:autoSpaceDN/>
        <w:bidi w:val="0"/>
        <w:adjustRightInd/>
        <w:snapToGrid w:val="0"/>
        <w:spacing w:line="312" w:lineRule="auto"/>
        <w:ind w:firstLine="241" w:firstLineChars="100"/>
        <w:rPr>
          <w:rFonts w:hint="eastAsia" w:ascii="仿宋" w:hAnsi="仿宋" w:eastAsia="仿宋" w:cs="仿宋"/>
          <w:b/>
          <w:color w:val="auto"/>
          <w:sz w:val="24"/>
          <w:szCs w:val="24"/>
          <w:highlight w:val="none"/>
        </w:rPr>
      </w:pPr>
      <w:bookmarkStart w:id="154" w:name="_Toc24658"/>
      <w:bookmarkStart w:id="155" w:name="_Toc486585241"/>
      <w:bookmarkStart w:id="156" w:name="_Toc486608278"/>
      <w:bookmarkStart w:id="157" w:name="_Toc3192"/>
      <w:bookmarkStart w:id="158" w:name="_Toc487204798"/>
      <w:r>
        <w:rPr>
          <w:rFonts w:hint="eastAsia" w:ascii="仿宋" w:hAnsi="仿宋" w:eastAsia="仿宋" w:cs="仿宋"/>
          <w:b/>
          <w:color w:val="auto"/>
          <w:sz w:val="24"/>
          <w:szCs w:val="24"/>
          <w:highlight w:val="none"/>
        </w:rPr>
        <w:t>（二）分项报价明细表</w:t>
      </w:r>
    </w:p>
    <w:p w14:paraId="4EA94187">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采购项目名称：</w:t>
      </w:r>
    </w:p>
    <w:tbl>
      <w:tblPr>
        <w:tblStyle w:val="24"/>
        <w:tblpPr w:leftFromText="180" w:rightFromText="180" w:vertAnchor="text" w:horzAnchor="page" w:tblpX="1915"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694"/>
        <w:gridCol w:w="1306"/>
        <w:gridCol w:w="1267"/>
        <w:gridCol w:w="1827"/>
      </w:tblGrid>
      <w:tr w14:paraId="1488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1295" w:type="dxa"/>
            <w:vAlign w:val="center"/>
          </w:tcPr>
          <w:p w14:paraId="7BBF2FF7">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694" w:type="dxa"/>
            <w:vAlign w:val="center"/>
          </w:tcPr>
          <w:p w14:paraId="64C3D9ED">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tc>
        <w:tc>
          <w:tcPr>
            <w:tcW w:w="1306" w:type="dxa"/>
            <w:vAlign w:val="center"/>
          </w:tcPr>
          <w:p w14:paraId="62258B44">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67" w:type="dxa"/>
            <w:vAlign w:val="center"/>
          </w:tcPr>
          <w:p w14:paraId="36CE2793">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566C4774">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1827" w:type="dxa"/>
            <w:vAlign w:val="center"/>
          </w:tcPr>
          <w:p w14:paraId="7D9FFA31">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p w14:paraId="4FC5B056">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r>
      <w:tr w14:paraId="06D2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0D637BF5">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2694" w:type="dxa"/>
          </w:tcPr>
          <w:p w14:paraId="363BB5EE">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306" w:type="dxa"/>
            <w:vAlign w:val="center"/>
          </w:tcPr>
          <w:p w14:paraId="7D9DE69A">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267" w:type="dxa"/>
          </w:tcPr>
          <w:p w14:paraId="3B01082F">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827" w:type="dxa"/>
          </w:tcPr>
          <w:p w14:paraId="71B3BC7C">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r w14:paraId="0221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79F45B85">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2694" w:type="dxa"/>
          </w:tcPr>
          <w:p w14:paraId="42E5E76F">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306" w:type="dxa"/>
            <w:vAlign w:val="center"/>
          </w:tcPr>
          <w:p w14:paraId="09E6113B">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267" w:type="dxa"/>
          </w:tcPr>
          <w:p w14:paraId="08B8059C">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827" w:type="dxa"/>
          </w:tcPr>
          <w:p w14:paraId="7CC6E03B">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r w14:paraId="131A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193A1E5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2694" w:type="dxa"/>
          </w:tcPr>
          <w:p w14:paraId="26A58E8C">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306" w:type="dxa"/>
            <w:vAlign w:val="center"/>
          </w:tcPr>
          <w:p w14:paraId="1AC5C9D1">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267" w:type="dxa"/>
          </w:tcPr>
          <w:p w14:paraId="0B6D964A">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827" w:type="dxa"/>
          </w:tcPr>
          <w:p w14:paraId="2A8614DA">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r w14:paraId="09CB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576EF1B1">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2694" w:type="dxa"/>
          </w:tcPr>
          <w:p w14:paraId="28A9BE57">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306" w:type="dxa"/>
            <w:vAlign w:val="center"/>
          </w:tcPr>
          <w:p w14:paraId="5D3E0010">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267" w:type="dxa"/>
          </w:tcPr>
          <w:p w14:paraId="6F3A559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827" w:type="dxa"/>
          </w:tcPr>
          <w:p w14:paraId="334EBE8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r w14:paraId="5BB6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04E3B81C">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2694" w:type="dxa"/>
          </w:tcPr>
          <w:p w14:paraId="6F64616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306" w:type="dxa"/>
            <w:vAlign w:val="center"/>
          </w:tcPr>
          <w:p w14:paraId="2C427572">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267" w:type="dxa"/>
          </w:tcPr>
          <w:p w14:paraId="6D5AE6A2">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827" w:type="dxa"/>
          </w:tcPr>
          <w:p w14:paraId="56EAEC0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r w14:paraId="340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596A8D6E">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2694" w:type="dxa"/>
          </w:tcPr>
          <w:p w14:paraId="2343C75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306" w:type="dxa"/>
            <w:vAlign w:val="center"/>
          </w:tcPr>
          <w:p w14:paraId="040BA4AE">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267" w:type="dxa"/>
          </w:tcPr>
          <w:p w14:paraId="797D6417">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827" w:type="dxa"/>
          </w:tcPr>
          <w:p w14:paraId="7307575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r w14:paraId="723A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295" w:type="dxa"/>
            <w:vAlign w:val="center"/>
          </w:tcPr>
          <w:p w14:paraId="3B806B02">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2694" w:type="dxa"/>
          </w:tcPr>
          <w:p w14:paraId="5995C4A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306" w:type="dxa"/>
            <w:vAlign w:val="center"/>
          </w:tcPr>
          <w:p w14:paraId="4C9DEE31">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267" w:type="dxa"/>
          </w:tcPr>
          <w:p w14:paraId="6B66933A">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827" w:type="dxa"/>
          </w:tcPr>
          <w:p w14:paraId="4C9DB8F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r w14:paraId="618B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295" w:type="dxa"/>
            <w:vAlign w:val="center"/>
          </w:tcPr>
          <w:p w14:paraId="2B12391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2694" w:type="dxa"/>
          </w:tcPr>
          <w:p w14:paraId="1D2902B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306" w:type="dxa"/>
            <w:vAlign w:val="center"/>
          </w:tcPr>
          <w:p w14:paraId="690B2ABA">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267" w:type="dxa"/>
          </w:tcPr>
          <w:p w14:paraId="74CFDE64">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827" w:type="dxa"/>
          </w:tcPr>
          <w:p w14:paraId="20F4925C">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r w14:paraId="79CF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295" w:type="dxa"/>
            <w:vAlign w:val="center"/>
          </w:tcPr>
          <w:p w14:paraId="315C6967">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2694" w:type="dxa"/>
          </w:tcPr>
          <w:p w14:paraId="7FBF4E7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06" w:type="dxa"/>
            <w:vAlign w:val="center"/>
          </w:tcPr>
          <w:p w14:paraId="39BE5E2B">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267" w:type="dxa"/>
          </w:tcPr>
          <w:p w14:paraId="5AE65B4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c>
          <w:tcPr>
            <w:tcW w:w="1827" w:type="dxa"/>
          </w:tcPr>
          <w:p w14:paraId="1B5F2281">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r w14:paraId="3D77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3989" w:type="dxa"/>
            <w:gridSpan w:val="2"/>
            <w:vAlign w:val="center"/>
          </w:tcPr>
          <w:p w14:paraId="072530CC">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合计</w:t>
            </w:r>
          </w:p>
        </w:tc>
        <w:tc>
          <w:tcPr>
            <w:tcW w:w="4400" w:type="dxa"/>
            <w:gridSpan w:val="3"/>
            <w:vAlign w:val="center"/>
          </w:tcPr>
          <w:p w14:paraId="5AA819E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tc>
      </w:tr>
    </w:tbl>
    <w:p w14:paraId="581F9BDC">
      <w:pPr>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4FFE986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04E310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1.请供应商完整填写本表；</w:t>
      </w:r>
    </w:p>
    <w:p w14:paraId="1090C39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2.该表可扩展。</w:t>
      </w:r>
    </w:p>
    <w:p w14:paraId="582F1D42">
      <w:pPr>
        <w:pStyle w:val="51"/>
        <w:pageBreakBefore w:val="0"/>
        <w:kinsoku/>
        <w:overflowPunct/>
        <w:topLinePunct w:val="0"/>
        <w:autoSpaceDE/>
        <w:autoSpaceDN/>
        <w:bidi w:val="0"/>
        <w:adjustRightInd/>
        <w:snapToGrid w:val="0"/>
        <w:spacing w:line="312" w:lineRule="auto"/>
        <w:ind w:firstLine="480"/>
        <w:rPr>
          <w:rFonts w:hint="eastAsia" w:ascii="仿宋" w:hAnsi="仿宋" w:eastAsia="仿宋" w:cs="仿宋"/>
          <w:color w:val="auto"/>
          <w:highlight w:val="none"/>
        </w:rPr>
      </w:pPr>
    </w:p>
    <w:p w14:paraId="5F8EC7E5">
      <w:pPr>
        <w:pageBreakBefore w:val="0"/>
        <w:kinsoku/>
        <w:overflowPunct/>
        <w:topLinePunct w:val="0"/>
        <w:autoSpaceDE/>
        <w:autoSpaceDN/>
        <w:bidi w:val="0"/>
        <w:adjustRightInd/>
        <w:snapToGrid w:val="0"/>
        <w:spacing w:line="312" w:lineRule="auto"/>
        <w:ind w:firstLine="960" w:firstLineChars="400"/>
        <w:rPr>
          <w:rFonts w:hint="eastAsia" w:ascii="仿宋" w:hAnsi="仿宋" w:eastAsia="仿宋" w:cs="仿宋"/>
          <w:color w:val="auto"/>
          <w:sz w:val="24"/>
          <w:highlight w:val="none"/>
        </w:rPr>
      </w:pPr>
    </w:p>
    <w:p w14:paraId="64FAD7C0">
      <w:pPr>
        <w:pageBreakBefore w:val="0"/>
        <w:kinsoku/>
        <w:overflowPunct/>
        <w:topLinePunct w:val="0"/>
        <w:autoSpaceDE/>
        <w:autoSpaceDN/>
        <w:bidi w:val="0"/>
        <w:adjustRightInd/>
        <w:snapToGrid w:val="0"/>
        <w:spacing w:line="312" w:lineRule="auto"/>
        <w:ind w:firstLine="960" w:firstLineChars="400"/>
        <w:rPr>
          <w:rFonts w:hint="eastAsia" w:ascii="仿宋" w:hAnsi="仿宋" w:eastAsia="仿宋" w:cs="仿宋"/>
          <w:color w:val="auto"/>
          <w:sz w:val="24"/>
          <w:highlight w:val="none"/>
        </w:rPr>
      </w:pPr>
    </w:p>
    <w:p w14:paraId="6FF0E3C2">
      <w:pPr>
        <w:pageBreakBefore w:val="0"/>
        <w:kinsoku/>
        <w:overflowPunct/>
        <w:topLinePunct w:val="0"/>
        <w:autoSpaceDE/>
        <w:autoSpaceDN/>
        <w:bidi w:val="0"/>
        <w:adjustRightInd/>
        <w:snapToGrid w:val="0"/>
        <w:spacing w:line="312" w:lineRule="auto"/>
        <w:ind w:left="482" w:hanging="482" w:hangingChars="200"/>
        <w:rPr>
          <w:rFonts w:hint="eastAsia" w:ascii="仿宋" w:hAnsi="仿宋" w:eastAsia="仿宋" w:cs="仿宋"/>
          <w:b/>
          <w:bCs/>
          <w:color w:val="auto"/>
          <w:sz w:val="24"/>
          <w:szCs w:val="24"/>
          <w:highlight w:val="none"/>
        </w:rPr>
      </w:pPr>
    </w:p>
    <w:p w14:paraId="2375FDC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法定代表人或法定代表人授权代表：</w:t>
      </w:r>
    </w:p>
    <w:p w14:paraId="5B97A85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（签署或盖章）</w:t>
      </w:r>
    </w:p>
    <w:p w14:paraId="7A183DC3">
      <w:pPr>
        <w:pageBreakBefore w:val="0"/>
        <w:kinsoku/>
        <w:overflowPunct/>
        <w:topLinePunct w:val="0"/>
        <w:autoSpaceDE/>
        <w:autoSpaceDN/>
        <w:bidi w:val="0"/>
        <w:adjustRightInd/>
        <w:snapToGrid w:val="0"/>
        <w:spacing w:line="312"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3E068FA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p>
    <w:p w14:paraId="7F7F8438">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8"/>
          <w:szCs w:val="28"/>
          <w:highlight w:val="none"/>
        </w:rPr>
        <w:sectPr>
          <w:headerReference r:id="rId14" w:type="default"/>
          <w:footerReference r:id="rId15" w:type="default"/>
          <w:pgSz w:w="11907" w:h="16840"/>
          <w:pgMar w:top="1134" w:right="1191" w:bottom="1134" w:left="1304" w:header="851" w:footer="992" w:gutter="0"/>
          <w:pgNumType w:fmt="decimal"/>
          <w:cols w:space="720" w:num="1"/>
          <w:docGrid w:linePitch="380" w:charSpace="-5735"/>
        </w:sectPr>
      </w:pPr>
    </w:p>
    <w:p w14:paraId="30690BDA">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二、技术部分</w:t>
      </w:r>
      <w:bookmarkEnd w:id="154"/>
      <w:bookmarkEnd w:id="155"/>
      <w:bookmarkEnd w:id="156"/>
      <w:bookmarkEnd w:id="157"/>
      <w:bookmarkEnd w:id="158"/>
    </w:p>
    <w:p w14:paraId="1F20081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7063841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供应商根据采购文件“第四篇 资格审查及评标办法”中服务部分的评审标准编制服务方案，格式自拟。</w:t>
      </w:r>
    </w:p>
    <w:p w14:paraId="1026F5AC">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2A827CF">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4FF2994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0FEE703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B5E7DCA">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6306BD5F">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2CE6A95">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045600A4">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13ABD2F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F1C15B4">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0E821DA">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6BAD780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438F84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F4789E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32C084C0">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74A0A2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16A626D7">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3B97C74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225C532">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674B7C9B">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63ADA78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361295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0046EE7E">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1D09890E">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F6DE66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4EE7972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40F9C5AB">
      <w:pPr>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2FE14B2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（二）技术响应偏离表</w:t>
      </w:r>
    </w:p>
    <w:p w14:paraId="599B41A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6CB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72D190A">
            <w:pPr>
              <w:pageBreakBefore w:val="0"/>
              <w:tabs>
                <w:tab w:val="left" w:pos="6300"/>
              </w:tabs>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vAlign w:val="center"/>
          </w:tcPr>
          <w:p w14:paraId="38618574">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vAlign w:val="center"/>
          </w:tcPr>
          <w:p w14:paraId="34B6DE9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vAlign w:val="center"/>
          </w:tcPr>
          <w:p w14:paraId="64E343BC">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7929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45E469">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337EF2F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7B5B7E5B">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417FB34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09A9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67434EE">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377A0FE6">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3F048810">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1D20DCE1">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4CAE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6CDBD3">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44A31189">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10010EDE">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2193DB5A">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72F9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4E83B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36234EA2">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0E4EDA2B">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412D1128">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794D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D7DF3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07FD5DA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1448F1FE">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5B40DD9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522C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3E3BB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46D1924A">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45FC6A45">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4FE63B68">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6059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4D84C2">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6D7EEA6B">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03CAE30F">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36E9FF2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bl>
    <w:p w14:paraId="4450E860">
      <w:pPr>
        <w:pageBreakBefore w:val="0"/>
        <w:kinsoku/>
        <w:overflowPunct/>
        <w:topLinePunct w:val="0"/>
        <w:autoSpaceDE/>
        <w:autoSpaceDN/>
        <w:bidi w:val="0"/>
        <w:adjustRightInd/>
        <w:snapToGrid w:val="0"/>
        <w:spacing w:line="312"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09B1BC1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3AFE878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68D6AB9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388A3D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690718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项目服务需求”中所列技术要求进行比较和响应；</w:t>
      </w:r>
    </w:p>
    <w:p w14:paraId="7AB07A79">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2.该表必须按照采购文件要求逐条如实填写，根据响应情况在“差异说明”项填写正偏离或负偏离及原因，完全符合的填写“无差异”；</w:t>
      </w:r>
    </w:p>
    <w:p w14:paraId="14A81093">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3B49D4DF">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386497EF">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59" w:name="_Toc486608279"/>
      <w:bookmarkStart w:id="160" w:name="_Toc7672"/>
      <w:bookmarkStart w:id="161" w:name="_Toc17029"/>
      <w:bookmarkStart w:id="162" w:name="_Toc486585242"/>
      <w:bookmarkStart w:id="163" w:name="_Toc487204799"/>
      <w:r>
        <w:rPr>
          <w:rFonts w:hint="eastAsia" w:ascii="仿宋" w:hAnsi="仿宋" w:eastAsia="仿宋" w:cs="仿宋"/>
          <w:color w:val="auto"/>
          <w:sz w:val="28"/>
          <w:szCs w:val="28"/>
          <w:highlight w:val="none"/>
        </w:rPr>
        <w:t>三、商务部分</w:t>
      </w:r>
      <w:bookmarkEnd w:id="159"/>
      <w:bookmarkEnd w:id="160"/>
      <w:bookmarkEnd w:id="161"/>
      <w:bookmarkEnd w:id="162"/>
      <w:bookmarkEnd w:id="163"/>
    </w:p>
    <w:p w14:paraId="49FFACE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461C9953">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07B83C9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对于采购文件的商务要求，如有任何偏离请如实填写下表：</w:t>
      </w:r>
    </w:p>
    <w:p w14:paraId="12FD502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项目名称：</w:t>
      </w:r>
    </w:p>
    <w:tbl>
      <w:tblPr>
        <w:tblStyle w:val="24"/>
        <w:tblpPr w:leftFromText="180" w:rightFromText="180" w:vertAnchor="text" w:horzAnchor="page" w:tblpX="1401" w:tblpY="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3FE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1555EA30">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689F7F0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项目商务需求</w:t>
            </w:r>
          </w:p>
        </w:tc>
        <w:tc>
          <w:tcPr>
            <w:tcW w:w="2434" w:type="dxa"/>
            <w:vAlign w:val="center"/>
          </w:tcPr>
          <w:p w14:paraId="6D68DB2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1F5AECB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3000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F3072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3CC3A525">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5006109C">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01A7FFF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3200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57704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0A5FBC6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148588B2">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2239E3AE">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3AF1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926D00">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0C0095B1">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06AA1259">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734CBEB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0747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ED0E18">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74F3EB8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016583E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4FD3E046">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78D0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3088B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2C84EE22">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5706CE29">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51941235">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6BA4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46FF0F">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6AFCBC9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398830C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63CCC7DF">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bl>
    <w:p w14:paraId="433979FB">
      <w:pPr>
        <w:pageBreakBefore w:val="0"/>
        <w:kinsoku/>
        <w:overflowPunct/>
        <w:topLinePunct w:val="0"/>
        <w:autoSpaceDE/>
        <w:autoSpaceDN/>
        <w:bidi w:val="0"/>
        <w:adjustRightInd/>
        <w:snapToGrid w:val="0"/>
        <w:spacing w:line="312"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03E71022">
      <w:pPr>
        <w:pageBreakBefore w:val="0"/>
        <w:kinsoku/>
        <w:overflowPunct/>
        <w:topLinePunct w:val="0"/>
        <w:autoSpaceDE/>
        <w:autoSpaceDN/>
        <w:bidi w:val="0"/>
        <w:adjustRightInd/>
        <w:snapToGrid w:val="0"/>
        <w:spacing w:line="312"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1D122E26">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0F3F52F">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4F155A9">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项目商务要求”中所列服务要求进行比较和响应；</w:t>
      </w:r>
    </w:p>
    <w:p w14:paraId="36A412ED">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2.该表必须按照采购文件要求逐条如实填写，根据响应情况在“差异说明”项填写正偏离或负偏离及原因，完全符合的填写“无差异”；</w:t>
      </w:r>
    </w:p>
    <w:p w14:paraId="6CCBA86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3F42793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（二）商务部分相关证明材料</w:t>
      </w:r>
    </w:p>
    <w:p w14:paraId="10C24D10">
      <w:pPr>
        <w:pStyle w:val="2"/>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供应商根据采购文件“第四篇 资格审查及评标办法”中商务部分的评审标准编制，格式自拟。</w:t>
      </w:r>
    </w:p>
    <w:p w14:paraId="02B968CD">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rPr>
      </w:pPr>
    </w:p>
    <w:p w14:paraId="76252376">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（三）其它优惠承诺（格式自定）</w:t>
      </w:r>
    </w:p>
    <w:p w14:paraId="27CACD78">
      <w:pPr>
        <w:pStyle w:val="5"/>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rPr>
        <w:br w:type="page"/>
      </w:r>
      <w:bookmarkStart w:id="164" w:name="_Toc486585243"/>
      <w:bookmarkStart w:id="165" w:name="_Toc21733"/>
      <w:bookmarkStart w:id="166" w:name="_Toc8290"/>
      <w:bookmarkStart w:id="167" w:name="_Toc487204800"/>
      <w:bookmarkStart w:id="168" w:name="_Toc486608280"/>
      <w:bookmarkStart w:id="169" w:name="_Toc23557"/>
      <w:r>
        <w:rPr>
          <w:rFonts w:hint="eastAsia" w:ascii="仿宋" w:hAnsi="仿宋" w:eastAsia="仿宋" w:cs="仿宋"/>
          <w:color w:val="auto"/>
          <w:sz w:val="28"/>
          <w:szCs w:val="28"/>
          <w:highlight w:val="none"/>
        </w:rPr>
        <w:t>四、资格条件及其他</w:t>
      </w:r>
      <w:bookmarkEnd w:id="164"/>
      <w:bookmarkEnd w:id="165"/>
      <w:bookmarkEnd w:id="166"/>
      <w:bookmarkEnd w:id="167"/>
      <w:bookmarkEnd w:id="168"/>
      <w:bookmarkEnd w:id="169"/>
    </w:p>
    <w:p w14:paraId="47D40DA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4E00BF64">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19751BE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4E2A7CA3">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3FC29399">
      <w:pPr>
        <w:pageBreakBefore w:val="0"/>
        <w:widowControl/>
        <w:kinsoku/>
        <w:overflowPunct/>
        <w:topLinePunct w:val="0"/>
        <w:autoSpaceDE/>
        <w:autoSpaceDN/>
        <w:bidi w:val="0"/>
        <w:adjustRightInd/>
        <w:snapToGrid w:val="0"/>
        <w:spacing w:line="312" w:lineRule="auto"/>
        <w:ind w:firstLine="56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（三）法定代表人身份证明书（格式）</w:t>
      </w:r>
    </w:p>
    <w:p w14:paraId="40AEDF67">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5FE514B8">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605623D">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1BD24E0F">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0F60AF08">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（法定代表人姓名）</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任</w:t>
      </w:r>
      <w:r>
        <w:rPr>
          <w:rFonts w:hint="eastAsia" w:ascii="仿宋" w:hAnsi="仿宋" w:eastAsia="仿宋" w:cs="仿宋"/>
          <w:color w:val="auto"/>
          <w:sz w:val="24"/>
          <w:szCs w:val="24"/>
          <w:highlight w:val="none"/>
          <w:u w:val="single"/>
        </w:rPr>
        <w:t>（职务名称）</w:t>
      </w:r>
      <w:r>
        <w:rPr>
          <w:rFonts w:hint="eastAsia" w:ascii="仿宋" w:hAnsi="仿宋" w:eastAsia="仿宋" w:cs="仿宋"/>
          <w:color w:val="auto"/>
          <w:sz w:val="24"/>
          <w:szCs w:val="24"/>
          <w:highlight w:val="none"/>
        </w:rPr>
        <w:t>职务，是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w:t>
      </w:r>
    </w:p>
    <w:p w14:paraId="20B916A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740BB3A6">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307A06A5">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1038D93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5AA47CA7">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3E8D711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6EBDAAED">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6542228B">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E5E1AF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7DEC470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（附：法定代表人身份证双面复印件）</w:t>
      </w:r>
    </w:p>
    <w:p w14:paraId="160BBCBB">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091421C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03F2B23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1BA239A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21EF832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200825D6">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061F21ED">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（四）法定代表人授权委托书（格式）</w:t>
      </w:r>
    </w:p>
    <w:p w14:paraId="6E347960">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649B61A3">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6EF25B80">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0B47475C">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2503B9AB">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（供应商法定代表人名称）</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的法定代表人，特授权</w:t>
      </w:r>
      <w:r>
        <w:rPr>
          <w:rFonts w:hint="eastAsia" w:ascii="仿宋" w:hAnsi="仿宋" w:eastAsia="仿宋" w:cs="仿宋"/>
          <w:color w:val="auto"/>
          <w:sz w:val="24"/>
          <w:szCs w:val="24"/>
          <w:highlight w:val="none"/>
          <w:u w:val="single"/>
        </w:rPr>
        <w:t>（被授权人姓名及身份证代码）</w:t>
      </w:r>
      <w:r>
        <w:rPr>
          <w:rFonts w:hint="eastAsia" w:ascii="仿宋" w:hAnsi="仿宋" w:eastAsia="仿宋" w:cs="仿宋"/>
          <w:color w:val="auto"/>
          <w:sz w:val="24"/>
          <w:szCs w:val="24"/>
          <w:highlight w:val="none"/>
        </w:rPr>
        <w:t>代表我单位全权办理上述项目的投标、签约等具体工作，并签署全部有关文件、协议及合同。</w:t>
      </w:r>
    </w:p>
    <w:p w14:paraId="7CDA7D51">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11F617B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D73D39E">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77229D64">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74BA439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5336EC6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08EEF1F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18B2782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2C43EFF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（附：被授权人身份证双面复印件）</w:t>
      </w:r>
    </w:p>
    <w:p w14:paraId="2AF997E7">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684D697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6625AE7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3D9CD4EA">
      <w:pPr>
        <w:pageBreakBefore w:val="0"/>
        <w:tabs>
          <w:tab w:val="left" w:pos="6300"/>
        </w:tabs>
        <w:kinsoku/>
        <w:overflowPunct/>
        <w:topLinePunct w:val="0"/>
        <w:autoSpaceDE/>
        <w:autoSpaceDN/>
        <w:bidi w:val="0"/>
        <w:adjustRightInd/>
        <w:snapToGrid w:val="0"/>
        <w:spacing w:line="312"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5943B6BC">
      <w:pPr>
        <w:pageBreakBefore w:val="0"/>
        <w:tabs>
          <w:tab w:val="left" w:pos="6300"/>
        </w:tabs>
        <w:kinsoku/>
        <w:overflowPunct/>
        <w:topLinePunct w:val="0"/>
        <w:autoSpaceDE/>
        <w:autoSpaceDN/>
        <w:bidi w:val="0"/>
        <w:adjustRightInd/>
        <w:snapToGrid w:val="0"/>
        <w:spacing w:line="312"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A9E52A9">
      <w:pPr>
        <w:pStyle w:val="2"/>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376B6D50">
      <w:pPr>
        <w:pStyle w:val="2"/>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30563C63">
      <w:pPr>
        <w:pStyle w:val="2"/>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755A591F">
      <w:pPr>
        <w:pStyle w:val="2"/>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55DDA24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626DC8C5">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0E42194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581CE9C4">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0214FF7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6CC4AF1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6D5C7AF0">
      <w:pPr>
        <w:pStyle w:val="43"/>
        <w:pageBreakBefore w:val="0"/>
        <w:kinsoku/>
        <w:overflowPunct/>
        <w:topLinePunct w:val="0"/>
        <w:autoSpaceDE/>
        <w:autoSpaceDN/>
        <w:bidi w:val="0"/>
        <w:adjustRightInd/>
        <w:snapToGrid w:val="0"/>
        <w:spacing w:line="312"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（五）</w:t>
      </w:r>
      <w:r>
        <w:rPr>
          <w:rFonts w:hint="eastAsia" w:ascii="仿宋" w:hAnsi="仿宋" w:eastAsia="仿宋" w:cs="仿宋"/>
          <w:color w:val="auto"/>
          <w:highlight w:val="none"/>
          <w:lang w:eastAsia="zh-CN"/>
        </w:rPr>
        <w:t>基本资格条件承诺函</w:t>
      </w:r>
    </w:p>
    <w:p w14:paraId="15071C8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32D1E087">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highlight w:val="none"/>
        </w:rPr>
      </w:pPr>
    </w:p>
    <w:p w14:paraId="500B232B">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（采购人名称）</w:t>
      </w:r>
    </w:p>
    <w:p w14:paraId="128C4A6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14:paraId="68DF49D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C85B5C0">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1B1976B8">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highlight w:val="none"/>
        </w:rPr>
      </w:pPr>
    </w:p>
    <w:p w14:paraId="1B8A2630">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highlight w:val="none"/>
        </w:rPr>
      </w:pPr>
    </w:p>
    <w:p w14:paraId="2B2FF4A8">
      <w:pPr>
        <w:pageBreakBefore w:val="0"/>
        <w:tabs>
          <w:tab w:val="left" w:pos="6300"/>
        </w:tabs>
        <w:kinsoku/>
        <w:overflowPunct/>
        <w:topLinePunct w:val="0"/>
        <w:autoSpaceDE/>
        <w:autoSpaceDN/>
        <w:bidi w:val="0"/>
        <w:adjustRightInd/>
        <w:snapToGrid w:val="0"/>
        <w:spacing w:line="312" w:lineRule="auto"/>
        <w:ind w:right="424"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54776A9C">
      <w:pPr>
        <w:pageBreakBefore w:val="0"/>
        <w:tabs>
          <w:tab w:val="left" w:pos="6300"/>
        </w:tabs>
        <w:kinsoku/>
        <w:overflowPunct/>
        <w:topLinePunct w:val="0"/>
        <w:autoSpaceDE/>
        <w:autoSpaceDN/>
        <w:bidi w:val="0"/>
        <w:adjustRightInd/>
        <w:snapToGrid w:val="0"/>
        <w:spacing w:line="312" w:lineRule="auto"/>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08D90C70">
      <w:pPr>
        <w:pageBreakBefore w:val="0"/>
        <w:tabs>
          <w:tab w:val="left" w:pos="6300"/>
        </w:tabs>
        <w:kinsoku/>
        <w:overflowPunct/>
        <w:topLinePunct w:val="0"/>
        <w:autoSpaceDE/>
        <w:autoSpaceDN/>
        <w:bidi w:val="0"/>
        <w:adjustRightInd/>
        <w:snapToGrid w:val="0"/>
        <w:spacing w:line="312" w:lineRule="auto"/>
        <w:rPr>
          <w:rFonts w:hint="eastAsia" w:ascii="仿宋" w:hAnsi="仿宋" w:eastAsia="仿宋" w:cs="仿宋"/>
          <w:b/>
          <w:color w:val="auto"/>
          <w:sz w:val="24"/>
          <w:szCs w:val="24"/>
          <w:highlight w:val="none"/>
        </w:rPr>
      </w:pPr>
      <w:r>
        <w:rPr>
          <w:rFonts w:hint="eastAsia" w:ascii="仿宋" w:hAnsi="仿宋" w:eastAsia="仿宋" w:cs="仿宋"/>
          <w:color w:val="auto"/>
          <w:highlight w:val="none"/>
        </w:rPr>
        <w:br w:type="page"/>
      </w:r>
    </w:p>
    <w:p w14:paraId="4AD537C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（六）特定资格条件证明</w:t>
      </w:r>
    </w:p>
    <w:p w14:paraId="308B7315">
      <w:pPr>
        <w:pStyle w:val="5"/>
        <w:pageBreakBefore w:val="0"/>
        <w:numPr>
          <w:ilvl w:val="0"/>
          <w:numId w:val="6"/>
        </w:numPr>
        <w:kinsoku/>
        <w:overflowPunct/>
        <w:topLinePunct w:val="0"/>
        <w:autoSpaceDE/>
        <w:autoSpaceDN/>
        <w:bidi w:val="0"/>
        <w:adjustRightInd/>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70" w:name="_Toc29032"/>
      <w:bookmarkStart w:id="171" w:name="_Toc22647"/>
      <w:bookmarkStart w:id="172" w:name="_Toc486608281"/>
      <w:bookmarkStart w:id="173" w:name="_Toc487204801"/>
      <w:bookmarkStart w:id="174" w:name="_Toc11824"/>
      <w:bookmarkStart w:id="175" w:name="_Toc486585244"/>
      <w:r>
        <w:rPr>
          <w:rFonts w:hint="eastAsia" w:ascii="仿宋" w:hAnsi="仿宋" w:eastAsia="仿宋" w:cs="仿宋"/>
          <w:color w:val="auto"/>
          <w:sz w:val="28"/>
          <w:szCs w:val="28"/>
          <w:highlight w:val="none"/>
        </w:rPr>
        <w:t>其他应提供的资料</w:t>
      </w:r>
      <w:bookmarkEnd w:id="170"/>
      <w:bookmarkEnd w:id="171"/>
      <w:bookmarkEnd w:id="172"/>
      <w:bookmarkEnd w:id="173"/>
      <w:bookmarkEnd w:id="174"/>
      <w:bookmarkEnd w:id="175"/>
    </w:p>
    <w:p w14:paraId="4289E74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5673C01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其他与项目有关的资料（自附）：其他与本项目有关的资料等。</w:t>
      </w:r>
    </w:p>
    <w:p w14:paraId="36995D6C">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16DCD9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AC0D0AC">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B5EC5A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6C27861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DF814B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C061D2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009FC8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2FEF172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29E1183C">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506ADDD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F64D45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598C8E6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71393A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64D3D69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62B643B">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65D944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C4E967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23F7F14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3A276E2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DD7F6E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1FB8D6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9023E0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eastAsia="zh-CN"/>
        </w:rPr>
      </w:pPr>
    </w:p>
    <w:p w14:paraId="3ED9122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1B30B4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2B70556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2BC5D7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5596B87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1536498">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7EB8DA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70F138FD">
      <w:pPr>
        <w:rPr>
          <w:rFonts w:hint="eastAsia" w:ascii="仿宋" w:hAnsi="仿宋" w:eastAsia="仿宋" w:cs="仿宋"/>
          <w:color w:val="auto"/>
          <w:highlight w:val="none"/>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黑体_GBK">
    <w:panose1 w:val="0201060001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8DE2">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5C1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3221">
    <w:pPr>
      <w:pStyle w:val="1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94B3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294B3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F337">
    <w:pPr>
      <w:pStyle w:val="16"/>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1638F">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71638F">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F084">
    <w:pPr>
      <w:pStyle w:val="16"/>
      <w:ind w:right="360"/>
      <w:jc w:val="center"/>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8F629">
                          <w:pPr>
                            <w:pStyle w:val="1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08F629">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4131">
    <w:pPr>
      <w:pStyle w:val="16"/>
      <w:jc w:val="center"/>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F76DD">
                          <w:pPr>
                            <w:pStyle w:val="1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DF76DD">
                    <w:pPr>
                      <w:pStyle w:val="1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C97D">
    <w:pPr>
      <w:pStyle w:val="16"/>
      <w:jc w:val="center"/>
      <w:rPr>
        <w:rFonts w:asci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EB309">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2EB309">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569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CFC6">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2144">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5C3E">
    <w:pPr>
      <w:pStyle w:val="17"/>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9268">
    <w:pPr>
      <w:pStyle w:val="1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8504">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1D362"/>
    <w:multiLevelType w:val="singleLevel"/>
    <w:tmpl w:val="E791D362"/>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5"/>
      <w:numFmt w:val="chineseCounting"/>
      <w:suff w:val="nothing"/>
      <w:lvlText w:val="%1、"/>
      <w:lvlJc w:val="left"/>
      <w:rPr>
        <w:rFonts w:hint="eastAsia"/>
      </w:rPr>
    </w:lvl>
  </w:abstractNum>
  <w:abstractNum w:abstractNumId="2">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6B382A4"/>
    <w:multiLevelType w:val="singleLevel"/>
    <w:tmpl w:val="16B382A4"/>
    <w:lvl w:ilvl="0" w:tentative="0">
      <w:start w:val="4"/>
      <w:numFmt w:val="chineseCounting"/>
      <w:suff w:val="space"/>
      <w:lvlText w:val="第%1篇"/>
      <w:lvlJc w:val="left"/>
      <w:rPr>
        <w:rFonts w:hint="eastAsia"/>
      </w:rPr>
    </w:lvl>
  </w:abstractNum>
  <w:abstractNum w:abstractNumId="4">
    <w:nsid w:val="247901F2"/>
    <w:multiLevelType w:val="singleLevel"/>
    <w:tmpl w:val="247901F2"/>
    <w:lvl w:ilvl="0" w:tentative="0">
      <w:start w:val="1"/>
      <w:numFmt w:val="chineseCounting"/>
      <w:suff w:val="nothing"/>
      <w:lvlText w:val="%1、"/>
      <w:lvlJc w:val="left"/>
      <w:rPr>
        <w:rFonts w:hint="eastAsia"/>
      </w:rPr>
    </w:lvl>
  </w:abstractNum>
  <w:abstractNum w:abstractNumId="5">
    <w:nsid w:val="768B796A"/>
    <w:multiLevelType w:val="singleLevel"/>
    <w:tmpl w:val="768B796A"/>
    <w:lvl w:ilvl="0" w:tentative="0">
      <w:start w:val="3"/>
      <w:numFmt w:val="decimal"/>
      <w:suff w:val="nothing"/>
      <w:lvlText w:val="%1、"/>
      <w:lvlJc w:val="left"/>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zA3ZDNmMDZkYzU1MWUyYjczZTdhZjcxOWU3MTgifQ=="/>
  </w:docVars>
  <w:rsids>
    <w:rsidRoot w:val="15F27B3D"/>
    <w:rsid w:val="00071165"/>
    <w:rsid w:val="001B050C"/>
    <w:rsid w:val="00436CC2"/>
    <w:rsid w:val="00D34BC6"/>
    <w:rsid w:val="00E0780F"/>
    <w:rsid w:val="0192652E"/>
    <w:rsid w:val="01D20BA7"/>
    <w:rsid w:val="020F0015"/>
    <w:rsid w:val="022644A3"/>
    <w:rsid w:val="02D555FA"/>
    <w:rsid w:val="03547F3F"/>
    <w:rsid w:val="03C11353"/>
    <w:rsid w:val="05800F03"/>
    <w:rsid w:val="058A40EC"/>
    <w:rsid w:val="05C73845"/>
    <w:rsid w:val="05DA55A4"/>
    <w:rsid w:val="060C1BDD"/>
    <w:rsid w:val="063920FF"/>
    <w:rsid w:val="0678777B"/>
    <w:rsid w:val="06B6769A"/>
    <w:rsid w:val="06C62F02"/>
    <w:rsid w:val="07625F7D"/>
    <w:rsid w:val="07C57E8F"/>
    <w:rsid w:val="07D364A5"/>
    <w:rsid w:val="07E4704C"/>
    <w:rsid w:val="08217359"/>
    <w:rsid w:val="08272D5A"/>
    <w:rsid w:val="08957AB3"/>
    <w:rsid w:val="08CA7B35"/>
    <w:rsid w:val="09043DBF"/>
    <w:rsid w:val="09130588"/>
    <w:rsid w:val="09191155"/>
    <w:rsid w:val="09484BB0"/>
    <w:rsid w:val="09DB5391"/>
    <w:rsid w:val="09E50C48"/>
    <w:rsid w:val="09ED0DD1"/>
    <w:rsid w:val="0A055623"/>
    <w:rsid w:val="0A1B5312"/>
    <w:rsid w:val="0AC52CF4"/>
    <w:rsid w:val="0ADF6D37"/>
    <w:rsid w:val="0AE62162"/>
    <w:rsid w:val="0AF618DB"/>
    <w:rsid w:val="0BE831B5"/>
    <w:rsid w:val="0BEC22FC"/>
    <w:rsid w:val="0C347EC5"/>
    <w:rsid w:val="0C4C3EA9"/>
    <w:rsid w:val="0C6216DF"/>
    <w:rsid w:val="0CAB6F2F"/>
    <w:rsid w:val="0CC223BD"/>
    <w:rsid w:val="0CF32BC7"/>
    <w:rsid w:val="0D1F15BD"/>
    <w:rsid w:val="0D9A4CA4"/>
    <w:rsid w:val="0DCD5FA5"/>
    <w:rsid w:val="0E14743B"/>
    <w:rsid w:val="0E3A41D5"/>
    <w:rsid w:val="0E920D39"/>
    <w:rsid w:val="0F0103B1"/>
    <w:rsid w:val="0F097B31"/>
    <w:rsid w:val="0F540685"/>
    <w:rsid w:val="0FB32491"/>
    <w:rsid w:val="0FD37C74"/>
    <w:rsid w:val="0FFE34C4"/>
    <w:rsid w:val="10032A13"/>
    <w:rsid w:val="104355C3"/>
    <w:rsid w:val="10437371"/>
    <w:rsid w:val="110012C0"/>
    <w:rsid w:val="111A06BF"/>
    <w:rsid w:val="114E32D1"/>
    <w:rsid w:val="11D65957"/>
    <w:rsid w:val="11E025C8"/>
    <w:rsid w:val="11E51EB6"/>
    <w:rsid w:val="125F032C"/>
    <w:rsid w:val="129475EE"/>
    <w:rsid w:val="129515B2"/>
    <w:rsid w:val="129E6161"/>
    <w:rsid w:val="12EC0194"/>
    <w:rsid w:val="12FB2A0C"/>
    <w:rsid w:val="14217DBC"/>
    <w:rsid w:val="14526DFF"/>
    <w:rsid w:val="14BB5C5C"/>
    <w:rsid w:val="151C4634"/>
    <w:rsid w:val="152A2022"/>
    <w:rsid w:val="15610531"/>
    <w:rsid w:val="15E16695"/>
    <w:rsid w:val="15E213DA"/>
    <w:rsid w:val="15F27379"/>
    <w:rsid w:val="15F27B3D"/>
    <w:rsid w:val="163D3657"/>
    <w:rsid w:val="16840E60"/>
    <w:rsid w:val="16903DD9"/>
    <w:rsid w:val="16A05B2E"/>
    <w:rsid w:val="16C438DD"/>
    <w:rsid w:val="176B4DD7"/>
    <w:rsid w:val="17800047"/>
    <w:rsid w:val="17BD3500"/>
    <w:rsid w:val="18154664"/>
    <w:rsid w:val="181C187B"/>
    <w:rsid w:val="18E14C1C"/>
    <w:rsid w:val="1958006D"/>
    <w:rsid w:val="19A22A19"/>
    <w:rsid w:val="19B410FC"/>
    <w:rsid w:val="1A1A1D9C"/>
    <w:rsid w:val="1A2405D9"/>
    <w:rsid w:val="1A7D2468"/>
    <w:rsid w:val="1B8B16C6"/>
    <w:rsid w:val="1BA12039"/>
    <w:rsid w:val="1C882EB7"/>
    <w:rsid w:val="1CD33F1C"/>
    <w:rsid w:val="1CF111F1"/>
    <w:rsid w:val="1D9E5E61"/>
    <w:rsid w:val="1E091925"/>
    <w:rsid w:val="1E280430"/>
    <w:rsid w:val="1EA9518B"/>
    <w:rsid w:val="1EB22300"/>
    <w:rsid w:val="1EB4768C"/>
    <w:rsid w:val="1EC807A5"/>
    <w:rsid w:val="1F2F53C7"/>
    <w:rsid w:val="1FC9286B"/>
    <w:rsid w:val="1FF808BA"/>
    <w:rsid w:val="201E1158"/>
    <w:rsid w:val="202B2E42"/>
    <w:rsid w:val="20C04A0E"/>
    <w:rsid w:val="20EE6EC4"/>
    <w:rsid w:val="21297C20"/>
    <w:rsid w:val="212A3FEC"/>
    <w:rsid w:val="222C2718"/>
    <w:rsid w:val="2253287E"/>
    <w:rsid w:val="22C84FC9"/>
    <w:rsid w:val="2394221A"/>
    <w:rsid w:val="24A61AA7"/>
    <w:rsid w:val="24E02810"/>
    <w:rsid w:val="24F904EE"/>
    <w:rsid w:val="24FB0F40"/>
    <w:rsid w:val="25111310"/>
    <w:rsid w:val="25446A2E"/>
    <w:rsid w:val="255E2348"/>
    <w:rsid w:val="2584600A"/>
    <w:rsid w:val="25900E53"/>
    <w:rsid w:val="25BF69ED"/>
    <w:rsid w:val="25FB3039"/>
    <w:rsid w:val="26655168"/>
    <w:rsid w:val="26BC198A"/>
    <w:rsid w:val="27176789"/>
    <w:rsid w:val="273526AC"/>
    <w:rsid w:val="27643FAE"/>
    <w:rsid w:val="27655FFA"/>
    <w:rsid w:val="277D34B8"/>
    <w:rsid w:val="27973ADF"/>
    <w:rsid w:val="283D20F4"/>
    <w:rsid w:val="28A81DDD"/>
    <w:rsid w:val="28AE2D9D"/>
    <w:rsid w:val="28C24091"/>
    <w:rsid w:val="28E4213F"/>
    <w:rsid w:val="291E06B3"/>
    <w:rsid w:val="29205067"/>
    <w:rsid w:val="2935593C"/>
    <w:rsid w:val="29650D2A"/>
    <w:rsid w:val="29E51F34"/>
    <w:rsid w:val="2A1B4394"/>
    <w:rsid w:val="2A331DAD"/>
    <w:rsid w:val="2A533CDF"/>
    <w:rsid w:val="2A685EFA"/>
    <w:rsid w:val="2A952E60"/>
    <w:rsid w:val="2AC90714"/>
    <w:rsid w:val="2D0651E1"/>
    <w:rsid w:val="2D5B6915"/>
    <w:rsid w:val="2DBB500D"/>
    <w:rsid w:val="2F035F6D"/>
    <w:rsid w:val="2FF705EB"/>
    <w:rsid w:val="302F487E"/>
    <w:rsid w:val="307D42C2"/>
    <w:rsid w:val="308A649E"/>
    <w:rsid w:val="3158022B"/>
    <w:rsid w:val="31600614"/>
    <w:rsid w:val="316B29ED"/>
    <w:rsid w:val="31AF0BF7"/>
    <w:rsid w:val="31BE4EFE"/>
    <w:rsid w:val="31C51E84"/>
    <w:rsid w:val="31D10829"/>
    <w:rsid w:val="31DE0EAB"/>
    <w:rsid w:val="329445A5"/>
    <w:rsid w:val="337A3DEA"/>
    <w:rsid w:val="33CD1B54"/>
    <w:rsid w:val="34346E4D"/>
    <w:rsid w:val="34F560B8"/>
    <w:rsid w:val="36B974D5"/>
    <w:rsid w:val="36C721FA"/>
    <w:rsid w:val="36CB5264"/>
    <w:rsid w:val="36F32FEF"/>
    <w:rsid w:val="37021BF9"/>
    <w:rsid w:val="37066233"/>
    <w:rsid w:val="3718648E"/>
    <w:rsid w:val="377F774B"/>
    <w:rsid w:val="38075F7D"/>
    <w:rsid w:val="381D6382"/>
    <w:rsid w:val="382D18F1"/>
    <w:rsid w:val="38634A5C"/>
    <w:rsid w:val="38931692"/>
    <w:rsid w:val="389F6EF9"/>
    <w:rsid w:val="38AE3961"/>
    <w:rsid w:val="38C60D27"/>
    <w:rsid w:val="38E579FC"/>
    <w:rsid w:val="39387606"/>
    <w:rsid w:val="39763819"/>
    <w:rsid w:val="39B625C5"/>
    <w:rsid w:val="39C1487F"/>
    <w:rsid w:val="3A5E4C24"/>
    <w:rsid w:val="3C7668C9"/>
    <w:rsid w:val="3C850B8E"/>
    <w:rsid w:val="3CCD252E"/>
    <w:rsid w:val="3D21011D"/>
    <w:rsid w:val="3DD21629"/>
    <w:rsid w:val="3DD7060B"/>
    <w:rsid w:val="3E1D6235"/>
    <w:rsid w:val="3F0A6FBE"/>
    <w:rsid w:val="3F4F7788"/>
    <w:rsid w:val="3F951006"/>
    <w:rsid w:val="3F9945F7"/>
    <w:rsid w:val="3FBB2467"/>
    <w:rsid w:val="3FDD4184"/>
    <w:rsid w:val="412F7DA3"/>
    <w:rsid w:val="41340231"/>
    <w:rsid w:val="422606A3"/>
    <w:rsid w:val="42784CF1"/>
    <w:rsid w:val="4282478B"/>
    <w:rsid w:val="42B1391B"/>
    <w:rsid w:val="42EA54D2"/>
    <w:rsid w:val="435B1BF9"/>
    <w:rsid w:val="436458AA"/>
    <w:rsid w:val="43F8380F"/>
    <w:rsid w:val="440F2B13"/>
    <w:rsid w:val="441D6FCB"/>
    <w:rsid w:val="45046555"/>
    <w:rsid w:val="4544664D"/>
    <w:rsid w:val="45E300B6"/>
    <w:rsid w:val="46274A64"/>
    <w:rsid w:val="46437B78"/>
    <w:rsid w:val="46EB4A02"/>
    <w:rsid w:val="46F26E20"/>
    <w:rsid w:val="46FD7C6B"/>
    <w:rsid w:val="478379D3"/>
    <w:rsid w:val="47A62E54"/>
    <w:rsid w:val="47FD3CCE"/>
    <w:rsid w:val="4838187B"/>
    <w:rsid w:val="48417B07"/>
    <w:rsid w:val="488F326F"/>
    <w:rsid w:val="49103D93"/>
    <w:rsid w:val="494C0B34"/>
    <w:rsid w:val="49CC3FD2"/>
    <w:rsid w:val="49F936E3"/>
    <w:rsid w:val="4A217ABD"/>
    <w:rsid w:val="4A2E7EC3"/>
    <w:rsid w:val="4A2F1E5B"/>
    <w:rsid w:val="4A626023"/>
    <w:rsid w:val="4A6E65B9"/>
    <w:rsid w:val="4B2A0A53"/>
    <w:rsid w:val="4B9E280F"/>
    <w:rsid w:val="4BD910AC"/>
    <w:rsid w:val="4C477240"/>
    <w:rsid w:val="4C6B09FD"/>
    <w:rsid w:val="4CAE3C21"/>
    <w:rsid w:val="4CB812B3"/>
    <w:rsid w:val="4D0E2CE7"/>
    <w:rsid w:val="4D150723"/>
    <w:rsid w:val="4D2357CD"/>
    <w:rsid w:val="4D8E608C"/>
    <w:rsid w:val="4E903E4A"/>
    <w:rsid w:val="4E9C2FF1"/>
    <w:rsid w:val="4EB21BB0"/>
    <w:rsid w:val="4EC31C76"/>
    <w:rsid w:val="4F356D24"/>
    <w:rsid w:val="4F3E5DD9"/>
    <w:rsid w:val="4F5F0A3F"/>
    <w:rsid w:val="4F813436"/>
    <w:rsid w:val="4FD832A6"/>
    <w:rsid w:val="50574928"/>
    <w:rsid w:val="507A5297"/>
    <w:rsid w:val="50AC40C7"/>
    <w:rsid w:val="50CE220B"/>
    <w:rsid w:val="50DE6667"/>
    <w:rsid w:val="511E4CB5"/>
    <w:rsid w:val="513E2C61"/>
    <w:rsid w:val="51B44E19"/>
    <w:rsid w:val="52457DFE"/>
    <w:rsid w:val="52743631"/>
    <w:rsid w:val="528374C6"/>
    <w:rsid w:val="52E85C8C"/>
    <w:rsid w:val="53A86490"/>
    <w:rsid w:val="53A91F63"/>
    <w:rsid w:val="545E494A"/>
    <w:rsid w:val="54684619"/>
    <w:rsid w:val="54A3057A"/>
    <w:rsid w:val="54DA770D"/>
    <w:rsid w:val="54DB531F"/>
    <w:rsid w:val="55132EBE"/>
    <w:rsid w:val="552A1E7A"/>
    <w:rsid w:val="555710D2"/>
    <w:rsid w:val="57525FCD"/>
    <w:rsid w:val="58507F7C"/>
    <w:rsid w:val="58955E89"/>
    <w:rsid w:val="58AB44A7"/>
    <w:rsid w:val="599D70BF"/>
    <w:rsid w:val="59DC3B9C"/>
    <w:rsid w:val="5ADC263D"/>
    <w:rsid w:val="5B86048A"/>
    <w:rsid w:val="5BA50883"/>
    <w:rsid w:val="5BAA5AC3"/>
    <w:rsid w:val="5BED6D18"/>
    <w:rsid w:val="5C273E95"/>
    <w:rsid w:val="5C54498E"/>
    <w:rsid w:val="5C97125A"/>
    <w:rsid w:val="5CD85D5C"/>
    <w:rsid w:val="5CF40AB4"/>
    <w:rsid w:val="5D9E635D"/>
    <w:rsid w:val="5DAB5B22"/>
    <w:rsid w:val="5E1D50C3"/>
    <w:rsid w:val="5E80564D"/>
    <w:rsid w:val="5EBD78BB"/>
    <w:rsid w:val="5ED16751"/>
    <w:rsid w:val="5ED90A88"/>
    <w:rsid w:val="5F565613"/>
    <w:rsid w:val="5F5B4CF9"/>
    <w:rsid w:val="5F8473CC"/>
    <w:rsid w:val="5FE47C1B"/>
    <w:rsid w:val="6017753B"/>
    <w:rsid w:val="60454CC7"/>
    <w:rsid w:val="60505500"/>
    <w:rsid w:val="607F09AA"/>
    <w:rsid w:val="60CC0D9D"/>
    <w:rsid w:val="60D17842"/>
    <w:rsid w:val="614668E5"/>
    <w:rsid w:val="61A905CB"/>
    <w:rsid w:val="62057D23"/>
    <w:rsid w:val="62265778"/>
    <w:rsid w:val="62325F8B"/>
    <w:rsid w:val="62A14300"/>
    <w:rsid w:val="62B87005"/>
    <w:rsid w:val="62D24148"/>
    <w:rsid w:val="63F45F50"/>
    <w:rsid w:val="647F6F87"/>
    <w:rsid w:val="64C11EB1"/>
    <w:rsid w:val="64C8479F"/>
    <w:rsid w:val="65174A38"/>
    <w:rsid w:val="651C5879"/>
    <w:rsid w:val="65392872"/>
    <w:rsid w:val="65416FD1"/>
    <w:rsid w:val="65562818"/>
    <w:rsid w:val="657243E5"/>
    <w:rsid w:val="65BF56F0"/>
    <w:rsid w:val="66002F82"/>
    <w:rsid w:val="66135A17"/>
    <w:rsid w:val="668B5E5F"/>
    <w:rsid w:val="66E04CB7"/>
    <w:rsid w:val="67226E55"/>
    <w:rsid w:val="673A16C7"/>
    <w:rsid w:val="6764619F"/>
    <w:rsid w:val="6786252D"/>
    <w:rsid w:val="67C42D8A"/>
    <w:rsid w:val="687F79E6"/>
    <w:rsid w:val="68A6030F"/>
    <w:rsid w:val="68B11280"/>
    <w:rsid w:val="68BF7E9D"/>
    <w:rsid w:val="69BB59C2"/>
    <w:rsid w:val="6A405C13"/>
    <w:rsid w:val="6B1B260E"/>
    <w:rsid w:val="6B3756C0"/>
    <w:rsid w:val="6B52083F"/>
    <w:rsid w:val="6BCA420C"/>
    <w:rsid w:val="6BEA22FA"/>
    <w:rsid w:val="6C6A0E12"/>
    <w:rsid w:val="6CDD086B"/>
    <w:rsid w:val="6D380807"/>
    <w:rsid w:val="6D546C01"/>
    <w:rsid w:val="6D95621A"/>
    <w:rsid w:val="6DAC18D3"/>
    <w:rsid w:val="6DCA0C8F"/>
    <w:rsid w:val="6DE62C29"/>
    <w:rsid w:val="6E327302"/>
    <w:rsid w:val="6E500DAD"/>
    <w:rsid w:val="6E7F2DDF"/>
    <w:rsid w:val="6EFF7A7C"/>
    <w:rsid w:val="700E56BD"/>
    <w:rsid w:val="70365F74"/>
    <w:rsid w:val="705A56A8"/>
    <w:rsid w:val="70EB6D3D"/>
    <w:rsid w:val="717C7162"/>
    <w:rsid w:val="71AD79DA"/>
    <w:rsid w:val="72181581"/>
    <w:rsid w:val="723839D1"/>
    <w:rsid w:val="724B3D61"/>
    <w:rsid w:val="725D3437"/>
    <w:rsid w:val="729273D1"/>
    <w:rsid w:val="729D3AAD"/>
    <w:rsid w:val="72B0447B"/>
    <w:rsid w:val="72CD250F"/>
    <w:rsid w:val="730833A3"/>
    <w:rsid w:val="732E0F33"/>
    <w:rsid w:val="73F833B2"/>
    <w:rsid w:val="742415D0"/>
    <w:rsid w:val="743401C8"/>
    <w:rsid w:val="743B379E"/>
    <w:rsid w:val="74A46C6C"/>
    <w:rsid w:val="74C07CAE"/>
    <w:rsid w:val="74E94743"/>
    <w:rsid w:val="75220F16"/>
    <w:rsid w:val="755512CD"/>
    <w:rsid w:val="756D0B18"/>
    <w:rsid w:val="7637083D"/>
    <w:rsid w:val="76481D09"/>
    <w:rsid w:val="772E0EFE"/>
    <w:rsid w:val="77E141C3"/>
    <w:rsid w:val="78EC72C3"/>
    <w:rsid w:val="7919341A"/>
    <w:rsid w:val="79A71E5B"/>
    <w:rsid w:val="79F0205C"/>
    <w:rsid w:val="7A655D7E"/>
    <w:rsid w:val="7AC42AC2"/>
    <w:rsid w:val="7B206311"/>
    <w:rsid w:val="7B944CB6"/>
    <w:rsid w:val="7BAD61AB"/>
    <w:rsid w:val="7BEF7804"/>
    <w:rsid w:val="7C667077"/>
    <w:rsid w:val="7C841D57"/>
    <w:rsid w:val="7CA17CA0"/>
    <w:rsid w:val="7D284F50"/>
    <w:rsid w:val="7E74499D"/>
    <w:rsid w:val="7ECB6BFB"/>
    <w:rsid w:val="7ED207C5"/>
    <w:rsid w:val="7FE5735D"/>
    <w:rsid w:val="7FF9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cs="宋体"/>
    </w:rPr>
  </w:style>
  <w:style w:type="paragraph" w:styleId="4">
    <w:name w:val="heading 2"/>
    <w:basedOn w:val="1"/>
    <w:next w:val="1"/>
    <w:link w:val="3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4"/>
    <w:next w:val="1"/>
    <w:qFormat/>
    <w:uiPriority w:val="0"/>
    <w:pPr>
      <w:spacing w:before="280" w:after="290" w:line="372" w:lineRule="auto"/>
      <w:outlineLvl w:val="3"/>
    </w:pPr>
    <w:rPr>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next w:val="2"/>
    <w:qFormat/>
    <w:uiPriority w:val="0"/>
    <w:pPr>
      <w:adjustRightInd w:val="0"/>
      <w:snapToGrid w:val="0"/>
      <w:spacing w:line="360" w:lineRule="auto"/>
      <w:ind w:firstLine="420"/>
    </w:pPr>
    <w:rPr>
      <w:sz w:val="24"/>
      <w:szCs w:val="20"/>
    </w:rPr>
  </w:style>
  <w:style w:type="paragraph" w:styleId="8">
    <w:name w:val="index 5"/>
    <w:basedOn w:val="1"/>
    <w:next w:val="1"/>
    <w:qFormat/>
    <w:uiPriority w:val="0"/>
    <w:pPr>
      <w:ind w:left="800" w:leftChars="800"/>
    </w:pPr>
    <w:rPr>
      <w:rFonts w:ascii="Calibri" w:hAnsi="Calibri"/>
    </w:rPr>
  </w:style>
  <w:style w:type="paragraph" w:styleId="9">
    <w:name w:val="Document Map"/>
    <w:basedOn w:val="1"/>
    <w:next w:val="1"/>
    <w:qFormat/>
    <w:uiPriority w:val="0"/>
    <w:pPr>
      <w:shd w:val="clear" w:color="auto" w:fill="000080"/>
    </w:pPr>
  </w:style>
  <w:style w:type="paragraph" w:styleId="10">
    <w:name w:val="annotation text"/>
    <w:basedOn w:val="1"/>
    <w:qFormat/>
    <w:uiPriority w:val="0"/>
    <w:pPr>
      <w:jc w:val="left"/>
    </w:pPr>
  </w:style>
  <w:style w:type="paragraph" w:styleId="11">
    <w:name w:val="Body Text Indent"/>
    <w:basedOn w:val="1"/>
    <w:next w:val="1"/>
    <w:qFormat/>
    <w:uiPriority w:val="0"/>
    <w:pPr>
      <w:spacing w:line="700" w:lineRule="exact"/>
      <w:ind w:left="960"/>
    </w:pPr>
    <w:rPr>
      <w:sz w:val="44"/>
      <w:szCs w:val="44"/>
    </w:rPr>
  </w:style>
  <w:style w:type="paragraph" w:styleId="12">
    <w:name w:val="toc 3"/>
    <w:basedOn w:val="1"/>
    <w:next w:val="1"/>
    <w:qFormat/>
    <w:uiPriority w:val="0"/>
    <w:pPr>
      <w:tabs>
        <w:tab w:val="right" w:leader="dot" w:pos="8300"/>
      </w:tabs>
      <w:spacing w:line="540" w:lineRule="atLeast"/>
      <w:ind w:left="1120" w:leftChars="400"/>
    </w:pPr>
    <w:rPr>
      <w:rFonts w:ascii="宋体" w:hAnsi="宋体" w:cs="宋体"/>
    </w:rPr>
  </w:style>
  <w:style w:type="paragraph" w:styleId="13">
    <w:name w:val="Plain Text"/>
    <w:basedOn w:val="1"/>
    <w:next w:val="9"/>
    <w:qFormat/>
    <w:uiPriority w:val="0"/>
    <w:rPr>
      <w:rFonts w:ascii="宋体" w:hAnsi="Courier New" w:cs="宋体"/>
      <w:sz w:val="21"/>
      <w:szCs w:val="21"/>
    </w:rPr>
  </w:style>
  <w:style w:type="paragraph" w:styleId="14">
    <w:name w:val="Date"/>
    <w:basedOn w:val="1"/>
    <w:next w:val="1"/>
    <w:qFormat/>
    <w:uiPriority w:val="0"/>
    <w:rPr>
      <w:sz w:val="24"/>
      <w:szCs w:val="24"/>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tabs>
        <w:tab w:val="right" w:leader="dot" w:pos="8300"/>
      </w:tabs>
      <w:spacing w:line="300" w:lineRule="atLeast"/>
    </w:pPr>
    <w:rPr>
      <w:rFonts w:ascii="仿宋_GB2312" w:hAnsi="华文中宋" w:eastAsia="仿宋_GB2312" w:cs="仿宋_GB2312"/>
      <w:b/>
      <w:bCs/>
    </w:rPr>
  </w:style>
  <w:style w:type="paragraph" w:styleId="19">
    <w:name w:val="List"/>
    <w:basedOn w:val="1"/>
    <w:semiHidden/>
    <w:qFormat/>
    <w:uiPriority w:val="0"/>
    <w:pPr>
      <w:ind w:left="200" w:hanging="200" w:hangingChars="200"/>
    </w:pPr>
  </w:style>
  <w:style w:type="paragraph" w:styleId="20">
    <w:name w:val="toc 2"/>
    <w:basedOn w:val="1"/>
    <w:next w:val="1"/>
    <w:qFormat/>
    <w:uiPriority w:val="0"/>
    <w:pPr>
      <w:tabs>
        <w:tab w:val="right" w:leader="dot" w:pos="8300"/>
      </w:tabs>
      <w:spacing w:line="360" w:lineRule="auto"/>
      <w:ind w:left="278"/>
      <w:jc w:val="left"/>
    </w:pPr>
    <w:rPr>
      <w:rFonts w:ascii="仿宋_GB2312" w:hAnsi="华文中宋" w:eastAsia="仿宋_GB2312" w:cs="仿宋_GB2312"/>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2"/>
    <w:qFormat/>
    <w:uiPriority w:val="0"/>
    <w:pPr>
      <w:spacing w:line="360" w:lineRule="auto"/>
      <w:ind w:firstLine="420"/>
    </w:pPr>
    <w:rPr>
      <w:rFonts w:ascii="宋体" w:hAnsi="宋体"/>
      <w:sz w:val="24"/>
      <w:szCs w:val="20"/>
    </w:rPr>
  </w:style>
  <w:style w:type="paragraph" w:styleId="23">
    <w:name w:val="Body Text First Indent 2"/>
    <w:basedOn w:val="11"/>
    <w:next w:val="1"/>
    <w:qFormat/>
    <w:uiPriority w:val="0"/>
    <w:pPr>
      <w:spacing w:after="120" w:line="240" w:lineRule="auto"/>
      <w:ind w:left="420" w:leftChars="200"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rPr>
      <w:rFonts w:ascii="Times New Roman" w:hAnsi="Times New Roman" w:eastAsia="宋体" w:cs="Times New Roman"/>
    </w:rPr>
  </w:style>
  <w:style w:type="character" w:styleId="29">
    <w:name w:val="Hyperlink"/>
    <w:basedOn w:val="26"/>
    <w:qFormat/>
    <w:uiPriority w:val="0"/>
    <w:rPr>
      <w:color w:val="0000FF"/>
      <w:u w:val="single"/>
    </w:rPr>
  </w:style>
  <w:style w:type="character" w:styleId="30">
    <w:name w:val="annotation reference"/>
    <w:qFormat/>
    <w:uiPriority w:val="0"/>
    <w:rPr>
      <w:sz w:val="21"/>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Default"/>
    <w:next w:val="1"/>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3">
    <w:name w:val="样式 正文首行缩进 + 首行缩进:  2 字符1 Char Char"/>
    <w:basedOn w:val="1"/>
    <w:qFormat/>
    <w:uiPriority w:val="99"/>
    <w:pPr>
      <w:widowControl w:val="0"/>
      <w:adjustRightInd w:val="0"/>
      <w:spacing w:line="400" w:lineRule="exact"/>
      <w:ind w:firstLine="480" w:firstLineChars="200"/>
    </w:pPr>
    <w:rPr>
      <w:rFonts w:ascii="宋体" w:hAnsi="宋体" w:eastAsia="仿宋_GB2312" w:cs="宋体"/>
      <w:color w:val="000000"/>
      <w:sz w:val="26"/>
    </w:rPr>
  </w:style>
  <w:style w:type="paragraph" w:customStyle="1" w:styleId="34">
    <w:name w:val="BodyText"/>
    <w:basedOn w:val="1"/>
    <w:next w:val="35"/>
    <w:qFormat/>
    <w:uiPriority w:val="0"/>
    <w:pPr>
      <w:textAlignment w:val="baseline"/>
    </w:pPr>
    <w:rPr>
      <w:rFonts w:ascii="仿宋_GB2312" w:eastAsia="仿宋_GB2312"/>
      <w:sz w:val="32"/>
    </w:rPr>
  </w:style>
  <w:style w:type="paragraph" w:customStyle="1" w:styleId="35">
    <w:name w:val="BodyTextIndent"/>
    <w:basedOn w:val="1"/>
    <w:qFormat/>
    <w:uiPriority w:val="0"/>
    <w:pPr>
      <w:spacing w:line="700" w:lineRule="exact"/>
      <w:ind w:left="960"/>
      <w:textAlignment w:val="baseline"/>
    </w:pPr>
    <w:rPr>
      <w:sz w:val="44"/>
    </w:rPr>
  </w:style>
  <w:style w:type="paragraph" w:customStyle="1" w:styleId="36">
    <w:name w:val="正文（缩进）"/>
    <w:basedOn w:val="1"/>
    <w:qFormat/>
    <w:uiPriority w:val="0"/>
    <w:pPr>
      <w:spacing w:beforeLines="50" w:afterLines="50"/>
      <w:ind w:firstLine="480" w:firstLineChars="200"/>
    </w:pPr>
    <w:rPr>
      <w:rFonts w:ascii="Calibri" w:hAnsi="Calibri"/>
      <w:sz w:val="21"/>
    </w:rPr>
  </w:style>
  <w:style w:type="paragraph" w:customStyle="1" w:styleId="3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38">
    <w:name w:val="标题 2 字符"/>
    <w:link w:val="4"/>
    <w:qFormat/>
    <w:uiPriority w:val="0"/>
    <w:rPr>
      <w:rFonts w:ascii="Arial" w:hAnsi="Arial" w:eastAsia="黑体" w:cs="Arial"/>
      <w:b/>
      <w:bCs/>
      <w:sz w:val="32"/>
      <w:szCs w:val="32"/>
    </w:rPr>
  </w:style>
  <w:style w:type="paragraph" w:customStyle="1" w:styleId="39">
    <w:name w:val="1"/>
    <w:basedOn w:val="1"/>
    <w:next w:val="13"/>
    <w:qFormat/>
    <w:uiPriority w:val="0"/>
    <w:rPr>
      <w:rFonts w:ascii="宋体" w:hAnsi="Courier New" w:cs="宋体"/>
      <w:sz w:val="21"/>
      <w:szCs w:val="21"/>
    </w:rPr>
  </w:style>
  <w:style w:type="paragraph" w:customStyle="1" w:styleId="40">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3">
    <w:name w:val="样式 (中文) 仿宋_GB2312 小四 行距: 固定值 22 磅"/>
    <w:basedOn w:val="1"/>
    <w:qFormat/>
    <w:uiPriority w:val="0"/>
    <w:pPr>
      <w:spacing w:line="400" w:lineRule="exact"/>
      <w:ind w:firstLine="150" w:firstLineChars="150"/>
    </w:pPr>
    <w:rPr>
      <w:rFonts w:eastAsia="仿宋_GB2312"/>
      <w:sz w:val="24"/>
      <w:szCs w:val="20"/>
    </w:rPr>
  </w:style>
  <w:style w:type="paragraph" w:customStyle="1" w:styleId="4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5">
    <w:name w:val="标书正文1"/>
    <w:basedOn w:val="1"/>
    <w:qFormat/>
    <w:uiPriority w:val="0"/>
    <w:pPr>
      <w:spacing w:line="520" w:lineRule="exact"/>
      <w:ind w:firstLine="640" w:firstLineChars="200"/>
    </w:pPr>
  </w:style>
  <w:style w:type="paragraph" w:customStyle="1" w:styleId="46">
    <w:name w:val="电建正文"/>
    <w:basedOn w:val="47"/>
    <w:qFormat/>
    <w:uiPriority w:val="0"/>
    <w:pPr>
      <w:tabs>
        <w:tab w:val="left" w:pos="720"/>
      </w:tabs>
      <w:spacing w:line="360" w:lineRule="auto"/>
      <w:ind w:firstLine="200" w:firstLineChars="200"/>
    </w:pPr>
    <w:rPr>
      <w:rFonts w:ascii="Tahoma" w:hAnsi="Tahoma"/>
      <w:sz w:val="24"/>
    </w:rPr>
  </w:style>
  <w:style w:type="paragraph" w:customStyle="1" w:styleId="47">
    <w:name w:val="List First"/>
    <w:basedOn w:val="19"/>
    <w:next w:val="19"/>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8">
    <w:name w:val="标题 5（有编号）（绿盟科技）"/>
    <w:basedOn w:val="1"/>
    <w:next w:val="49"/>
    <w:qFormat/>
    <w:uiPriority w:val="0"/>
    <w:pPr>
      <w:keepNext/>
      <w:keepLines/>
      <w:numPr>
        <w:ilvl w:val="4"/>
        <w:numId w:val="1"/>
      </w:numPr>
      <w:spacing w:before="280" w:after="156" w:line="377" w:lineRule="auto"/>
      <w:outlineLvl w:val="4"/>
    </w:pPr>
    <w:rPr>
      <w:rFonts w:ascii="Arial" w:hAnsi="Arial" w:eastAsia="黑体"/>
      <w:b/>
      <w:kern w:val="0"/>
    </w:rPr>
  </w:style>
  <w:style w:type="paragraph" w:customStyle="1" w:styleId="49">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0">
    <w:name w:val="NormalCharacter"/>
    <w:qFormat/>
    <w:uiPriority w:val="0"/>
  </w:style>
  <w:style w:type="paragraph" w:customStyle="1" w:styleId="51">
    <w:name w:val="正文1"/>
    <w:basedOn w:val="1"/>
    <w:next w:val="1"/>
    <w:qFormat/>
    <w:uiPriority w:val="0"/>
    <w:pPr>
      <w:spacing w:line="300" w:lineRule="auto"/>
      <w:ind w:firstLine="200" w:firstLineChars="200"/>
    </w:pPr>
    <w:rPr>
      <w:sz w:val="24"/>
    </w:rPr>
  </w:style>
  <w:style w:type="paragraph" w:styleId="52">
    <w:name w:val="List Paragraph"/>
    <w:basedOn w:val="1"/>
    <w:unhideWhenUsed/>
    <w:qFormat/>
    <w:uiPriority w:val="99"/>
    <w:pPr>
      <w:ind w:firstLine="420" w:firstLineChars="200"/>
    </w:pPr>
  </w:style>
  <w:style w:type="character" w:customStyle="1" w:styleId="53">
    <w:name w:val="font21"/>
    <w:basedOn w:val="26"/>
    <w:autoRedefine/>
    <w:qFormat/>
    <w:uiPriority w:val="0"/>
    <w:rPr>
      <w:rFonts w:ascii="Arial" w:hAnsi="Arial" w:cs="Arial"/>
      <w:color w:val="000000"/>
      <w:sz w:val="18"/>
      <w:szCs w:val="18"/>
      <w:u w:val="none"/>
    </w:rPr>
  </w:style>
  <w:style w:type="character" w:customStyle="1" w:styleId="54">
    <w:name w:val="font31"/>
    <w:basedOn w:val="26"/>
    <w:autoRedefine/>
    <w:qFormat/>
    <w:uiPriority w:val="0"/>
    <w:rPr>
      <w:rFonts w:hint="eastAsia" w:ascii="宋体" w:hAnsi="宋体" w:eastAsia="宋体" w:cs="宋体"/>
      <w:b/>
      <w:color w:val="000000"/>
      <w:sz w:val="20"/>
      <w:szCs w:val="20"/>
      <w:u w:val="none"/>
    </w:rPr>
  </w:style>
  <w:style w:type="character" w:customStyle="1" w:styleId="55">
    <w:name w:val="font41"/>
    <w:basedOn w:val="26"/>
    <w:autoRedefine/>
    <w:qFormat/>
    <w:uiPriority w:val="0"/>
    <w:rPr>
      <w:rFonts w:hint="eastAsia" w:ascii="宋体" w:hAnsi="宋体" w:eastAsia="宋体" w:cs="宋体"/>
      <w:color w:val="000000"/>
      <w:sz w:val="20"/>
      <w:szCs w:val="20"/>
      <w:u w:val="none"/>
    </w:rPr>
  </w:style>
  <w:style w:type="paragraph" w:customStyle="1" w:styleId="56">
    <w:name w:val="图例"/>
    <w:basedOn w:val="1"/>
    <w:qFormat/>
    <w:uiPriority w:val="0"/>
    <w:pPr>
      <w:spacing w:before="120" w:after="120" w:line="360" w:lineRule="auto"/>
      <w:jc w:val="center"/>
    </w:pPr>
    <w:rPr>
      <w:rFonts w:eastAsia="仿宋_GB2312"/>
      <w:b/>
      <w:sz w:val="24"/>
    </w:rPr>
  </w:style>
  <w:style w:type="paragraph" w:customStyle="1" w:styleId="57">
    <w:name w:val="列表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11297</Words>
  <Characters>11774</Characters>
  <Lines>110</Lines>
  <Paragraphs>31</Paragraphs>
  <TotalTime>1</TotalTime>
  <ScaleCrop>false</ScaleCrop>
  <LinksUpToDate>false</LinksUpToDate>
  <CharactersWithSpaces>11971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2022-03-07T07:07:00Z</dcterms:created>
  <dc:creator>小小小朋友o∩_∩o</dc:creator>
  <cp:lastModifiedBy>傅⑨⑨</cp:lastModifiedBy>
  <cp:lastPrinted>2025-03-31T02:23:00Z</cp:lastPrinted>
  <dcterms:modified xsi:type="dcterms:W3CDTF">2025-07-24T09:01:46Z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89005780022D4606AD14BC19DB272BF9_13</vt:lpwstr>
  </property>
  <property fmtid="{D5CDD505-2E9C-101B-9397-08002B2CF9AE}" pid="4" name="KSOTemplateDocerSaveRecord">
    <vt:lpwstr>eyJoZGlkIjoiMTk0ZDJlMjY0MWM3ODY5ODFjNmQ1MWQ3YjM0YTQ5YjEiLCJ1c2VySWQiOiIyODg1MzkxNTgifQ==</vt:lpwstr>
  </property>
</Properties>
</file>