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A82F1">
      <w:pPr>
        <w:keepNext w:val="0"/>
        <w:keepLines w:val="0"/>
        <w:pageBreakBefore w:val="0"/>
        <w:widowControl w:val="0"/>
        <w:kinsoku/>
        <w:topLinePunct w:val="0"/>
        <w:bidi w:val="0"/>
        <w:jc w:val="left"/>
        <w:rPr>
          <w:rFonts w:hint="eastAsia" w:ascii="宋体" w:hAnsi="宋体" w:eastAsia="宋体" w:cs="宋体"/>
          <w:color w:val="auto"/>
          <w:sz w:val="32"/>
          <w:szCs w:val="32"/>
          <w:highlight w:val="none"/>
        </w:rPr>
      </w:pPr>
      <w:r>
        <w:rPr>
          <w:rFonts w:hint="eastAsia" w:ascii="宋体" w:hAnsi="宋体" w:eastAsia="宋体" w:cs="宋体"/>
          <w:b/>
          <w:color w:val="auto"/>
          <w:kern w:val="2"/>
          <w:sz w:val="32"/>
          <w:szCs w:val="32"/>
          <w:highlight w:val="none"/>
          <w:lang w:val="en-US" w:eastAsia="zh-CN" w:bidi="ar-SA"/>
        </w:rPr>
        <w:t>项目名称：</w:t>
      </w:r>
      <w:r>
        <w:rPr>
          <w:rFonts w:hint="eastAsia" w:ascii="宋体" w:hAnsi="宋体" w:cs="宋体"/>
          <w:b/>
          <w:color w:val="auto"/>
          <w:kern w:val="2"/>
          <w:sz w:val="32"/>
          <w:szCs w:val="32"/>
          <w:highlight w:val="none"/>
          <w:lang w:val="en-US" w:eastAsia="zh-CN" w:bidi="ar-SA"/>
        </w:rPr>
        <w:t>北山一碗水边坡安全整治工程</w:t>
      </w:r>
    </w:p>
    <w:p w14:paraId="7E2A8524">
      <w:pPr>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6F53DCD2">
      <w:pPr>
        <w:pStyle w:val="2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4BB4DC09">
      <w:pPr>
        <w:keepNext w:val="0"/>
        <w:keepLines w:val="0"/>
        <w:pageBreakBefore w:val="0"/>
        <w:widowControl w:val="0"/>
        <w:kinsoku/>
        <w:topLinePunct w:val="0"/>
        <w:bidi w:val="0"/>
        <w:rPr>
          <w:rFonts w:hint="eastAsia" w:ascii="宋体" w:hAnsi="宋体" w:eastAsia="宋体" w:cs="宋体"/>
          <w:color w:val="auto"/>
          <w:sz w:val="32"/>
          <w:szCs w:val="32"/>
          <w:highlight w:val="none"/>
        </w:rPr>
      </w:pPr>
      <w:bookmarkStart w:id="0" w:name="_Toc110328768"/>
      <w:bookmarkStart w:id="1" w:name="_Toc110443976"/>
      <w:bookmarkStart w:id="2" w:name="_Toc110000690"/>
      <w:bookmarkStart w:id="3" w:name="_Toc109721475"/>
      <w:bookmarkStart w:id="4" w:name="_Toc17688"/>
    </w:p>
    <w:p w14:paraId="0CF0DF64">
      <w:pPr>
        <w:pStyle w:val="2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0A6EBEA9">
      <w:pPr>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4F8911B4">
      <w:pPr>
        <w:pStyle w:val="2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69ACC744">
      <w:pPr>
        <w:pStyle w:val="76"/>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6EC1E6D8">
      <w:pPr>
        <w:pStyle w:val="23"/>
        <w:keepNext w:val="0"/>
        <w:keepLines w:val="0"/>
        <w:pageBreakBefore w:val="0"/>
        <w:widowControl w:val="0"/>
        <w:kinsoku/>
        <w:topLinePunct w:val="0"/>
        <w:bidi w:val="0"/>
        <w:rPr>
          <w:rFonts w:hint="eastAsia" w:ascii="宋体" w:hAnsi="宋体" w:eastAsia="宋体" w:cs="宋体"/>
          <w:color w:val="auto"/>
          <w:sz w:val="40"/>
          <w:szCs w:val="40"/>
          <w:highlight w:val="none"/>
        </w:rPr>
      </w:pPr>
    </w:p>
    <w:p w14:paraId="1DC7E026">
      <w:pPr>
        <w:keepNext w:val="0"/>
        <w:keepLines w:val="0"/>
        <w:pageBreakBefore w:val="0"/>
        <w:widowControl w:val="0"/>
        <w:kinsoku/>
        <w:topLinePunct w:val="0"/>
        <w:bidi w:val="0"/>
        <w:spacing w:line="240" w:lineRule="auto"/>
        <w:jc w:val="center"/>
        <w:outlineLvl w:val="0"/>
        <w:rPr>
          <w:rFonts w:hint="eastAsia" w:ascii="宋体" w:hAnsi="宋体" w:eastAsia="宋体" w:cs="宋体"/>
          <w:b/>
          <w:bCs/>
          <w:color w:val="auto"/>
          <w:spacing w:val="0"/>
          <w:w w:val="90"/>
          <w:sz w:val="60"/>
          <w:szCs w:val="60"/>
          <w:highlight w:val="none"/>
          <w:lang w:eastAsia="zh-CN"/>
        </w:rPr>
      </w:pPr>
      <w:bookmarkStart w:id="5" w:name="_Toc4287"/>
      <w:bookmarkStart w:id="6" w:name="_Toc2389"/>
      <w:bookmarkStart w:id="7" w:name="_Toc17681"/>
      <w:bookmarkStart w:id="8" w:name="_Toc16443"/>
      <w:bookmarkStart w:id="9" w:name="_Toc18063"/>
      <w:r>
        <w:rPr>
          <w:rFonts w:hint="eastAsia" w:ascii="宋体" w:hAnsi="宋体" w:eastAsia="宋体" w:cs="宋体"/>
          <w:b/>
          <w:bCs/>
          <w:color w:val="auto"/>
          <w:spacing w:val="0"/>
          <w:w w:val="90"/>
          <w:sz w:val="60"/>
          <w:szCs w:val="60"/>
          <w:highlight w:val="none"/>
          <w:lang w:eastAsia="zh-CN"/>
        </w:rPr>
        <w:t>竞</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争</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性</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比</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选</w:t>
      </w:r>
      <w:bookmarkEnd w:id="5"/>
      <w:bookmarkEnd w:id="6"/>
      <w:bookmarkEnd w:id="7"/>
    </w:p>
    <w:p w14:paraId="0052F6A4">
      <w:pPr>
        <w:keepNext w:val="0"/>
        <w:keepLines w:val="0"/>
        <w:pageBreakBefore w:val="0"/>
        <w:widowControl w:val="0"/>
        <w:kinsoku/>
        <w:topLinePunct w:val="0"/>
        <w:bidi w:val="0"/>
        <w:spacing w:line="240" w:lineRule="auto"/>
        <w:jc w:val="center"/>
        <w:outlineLvl w:val="0"/>
        <w:rPr>
          <w:rFonts w:hint="eastAsia" w:ascii="宋体" w:hAnsi="宋体" w:eastAsia="宋体" w:cs="宋体"/>
          <w:b/>
          <w:bCs/>
          <w:color w:val="auto"/>
          <w:spacing w:val="0"/>
          <w:w w:val="90"/>
          <w:sz w:val="60"/>
          <w:szCs w:val="60"/>
          <w:highlight w:val="none"/>
        </w:rPr>
      </w:pPr>
      <w:bookmarkStart w:id="10" w:name="_Toc24743"/>
      <w:bookmarkStart w:id="11" w:name="_Toc8523"/>
      <w:bookmarkStart w:id="12" w:name="_Toc23263"/>
      <w:r>
        <w:rPr>
          <w:rFonts w:hint="eastAsia" w:ascii="宋体" w:hAnsi="宋体" w:eastAsia="宋体" w:cs="宋体"/>
          <w:b/>
          <w:bCs/>
          <w:color w:val="auto"/>
          <w:spacing w:val="0"/>
          <w:w w:val="90"/>
          <w:sz w:val="60"/>
          <w:szCs w:val="60"/>
          <w:highlight w:val="none"/>
        </w:rPr>
        <w:t>采</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rPr>
        <w:t>购</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rPr>
        <w:t>文</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rPr>
        <w:t>件</w:t>
      </w:r>
      <w:bookmarkEnd w:id="0"/>
      <w:bookmarkEnd w:id="1"/>
      <w:bookmarkEnd w:id="2"/>
      <w:bookmarkEnd w:id="3"/>
      <w:bookmarkEnd w:id="4"/>
      <w:bookmarkEnd w:id="8"/>
      <w:bookmarkEnd w:id="9"/>
      <w:bookmarkEnd w:id="10"/>
      <w:bookmarkEnd w:id="11"/>
      <w:bookmarkEnd w:id="12"/>
    </w:p>
    <w:p w14:paraId="672563FD">
      <w:pPr>
        <w:keepNext w:val="0"/>
        <w:keepLines w:val="0"/>
        <w:pageBreakBefore w:val="0"/>
        <w:widowControl w:val="0"/>
        <w:kinsoku/>
        <w:wordWrap w:val="0"/>
        <w:overflowPunct/>
        <w:topLinePunct w:val="0"/>
        <w:autoSpaceDE/>
        <w:autoSpaceDN/>
        <w:bidi w:val="0"/>
        <w:spacing w:line="660" w:lineRule="exact"/>
        <w:jc w:val="both"/>
        <w:textAlignment w:val="auto"/>
        <w:outlineLvl w:val="0"/>
        <w:rPr>
          <w:rFonts w:hint="eastAsia" w:ascii="宋体" w:hAnsi="宋体" w:eastAsia="宋体" w:cs="宋体"/>
          <w:b/>
          <w:color w:val="auto"/>
          <w:kern w:val="2"/>
          <w:sz w:val="32"/>
          <w:szCs w:val="32"/>
          <w:highlight w:val="none"/>
          <w:lang w:val="en-US" w:eastAsia="zh-CN" w:bidi="ar-SA"/>
        </w:rPr>
      </w:pPr>
    </w:p>
    <w:p w14:paraId="2645189E">
      <w:pPr>
        <w:keepNext w:val="0"/>
        <w:keepLines w:val="0"/>
        <w:pageBreakBefore w:val="0"/>
        <w:widowControl w:val="0"/>
        <w:kinsoku/>
        <w:wordWrap w:val="0"/>
        <w:overflowPunct/>
        <w:topLinePunct w:val="0"/>
        <w:autoSpaceDE/>
        <w:autoSpaceDN/>
        <w:bidi w:val="0"/>
        <w:spacing w:line="660" w:lineRule="exact"/>
        <w:jc w:val="center"/>
        <w:textAlignment w:val="auto"/>
        <w:outlineLvl w:val="0"/>
        <w:rPr>
          <w:rFonts w:hint="default" w:ascii="宋体" w:hAnsi="宋体" w:eastAsia="宋体" w:cs="宋体"/>
          <w:b/>
          <w:color w:val="auto"/>
          <w:kern w:val="2"/>
          <w:sz w:val="28"/>
          <w:szCs w:val="28"/>
          <w:highlight w:val="none"/>
          <w:lang w:val="en-US" w:eastAsia="zh-CN" w:bidi="ar-SA"/>
        </w:rPr>
      </w:pPr>
      <w:bookmarkStart w:id="13" w:name="_Toc1829"/>
      <w:bookmarkStart w:id="14" w:name="_Toc22223"/>
      <w:bookmarkStart w:id="15" w:name="_Toc26859"/>
      <w:r>
        <w:rPr>
          <w:rFonts w:hint="eastAsia" w:ascii="宋体" w:hAnsi="宋体" w:eastAsia="宋体" w:cs="宋体"/>
          <w:b/>
          <w:color w:val="auto"/>
          <w:kern w:val="2"/>
          <w:sz w:val="28"/>
          <w:szCs w:val="28"/>
          <w:highlight w:val="none"/>
          <w:lang w:val="en-US" w:eastAsia="zh-CN" w:bidi="ar-SA"/>
        </w:rPr>
        <w:t>项目编号：</w:t>
      </w:r>
      <w:bookmarkEnd w:id="13"/>
      <w:bookmarkEnd w:id="14"/>
      <w:bookmarkEnd w:id="15"/>
      <w:r>
        <w:rPr>
          <w:rFonts w:hint="eastAsia" w:ascii="宋体" w:hAnsi="宋体" w:eastAsia="宋体" w:cs="宋体"/>
          <w:b/>
          <w:color w:val="auto"/>
          <w:kern w:val="2"/>
          <w:sz w:val="28"/>
          <w:szCs w:val="28"/>
          <w:highlight w:val="none"/>
          <w:lang w:val="en-US" w:eastAsia="zh-CN" w:bidi="ar-SA"/>
        </w:rPr>
        <w:t>CQFY-HC-202605</w:t>
      </w:r>
      <w:r>
        <w:rPr>
          <w:rFonts w:hint="eastAsia" w:ascii="宋体" w:hAnsi="宋体" w:cs="宋体"/>
          <w:b/>
          <w:color w:val="auto"/>
          <w:kern w:val="2"/>
          <w:sz w:val="28"/>
          <w:szCs w:val="28"/>
          <w:highlight w:val="none"/>
          <w:lang w:val="en-US" w:eastAsia="zh-CN" w:bidi="ar-SA"/>
        </w:rPr>
        <w:t>22</w:t>
      </w:r>
    </w:p>
    <w:p w14:paraId="4F606B81">
      <w:pPr>
        <w:pStyle w:val="2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1EA4E557">
      <w:pPr>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6F6EA0D8">
      <w:pPr>
        <w:pStyle w:val="2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2E323921">
      <w:pPr>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66DA00C9">
      <w:pPr>
        <w:pStyle w:val="2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01FA80D9">
      <w:pPr>
        <w:pStyle w:val="76"/>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14C6D12C">
      <w:pPr>
        <w:pStyle w:val="2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04483D17">
      <w:pPr>
        <w:pStyle w:val="6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45CC2C90">
      <w:pPr>
        <w:pStyle w:val="6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03A134C8">
      <w:pPr>
        <w:keepNext w:val="0"/>
        <w:keepLines w:val="0"/>
        <w:pageBreakBefore w:val="0"/>
        <w:widowControl w:val="0"/>
        <w:kinsoku/>
        <w:wordWrap w:val="0"/>
        <w:overflowPunct/>
        <w:topLinePunct w:val="0"/>
        <w:autoSpaceDE/>
        <w:autoSpaceDN/>
        <w:bidi w:val="0"/>
        <w:spacing w:line="660" w:lineRule="exact"/>
        <w:ind w:firstLine="1285" w:firstLineChars="400"/>
        <w:jc w:val="both"/>
        <w:textAlignment w:val="auto"/>
        <w:outlineLvl w:val="0"/>
        <w:rPr>
          <w:rFonts w:hint="eastAsia" w:ascii="宋体" w:hAnsi="宋体" w:eastAsia="宋体" w:cs="宋体"/>
          <w:b/>
          <w:color w:val="auto"/>
          <w:kern w:val="2"/>
          <w:sz w:val="32"/>
          <w:szCs w:val="32"/>
          <w:highlight w:val="none"/>
          <w:lang w:val="en-US" w:eastAsia="zh-CN" w:bidi="ar-SA"/>
        </w:rPr>
      </w:pPr>
      <w:bookmarkStart w:id="16" w:name="_Toc30843"/>
      <w:bookmarkStart w:id="17" w:name="_Toc853"/>
      <w:bookmarkStart w:id="18" w:name="_Toc7282"/>
      <w:r>
        <w:rPr>
          <w:rFonts w:hint="eastAsia" w:ascii="宋体" w:hAnsi="宋体" w:eastAsia="宋体" w:cs="宋体"/>
          <w:b/>
          <w:color w:val="auto"/>
          <w:kern w:val="2"/>
          <w:sz w:val="32"/>
          <w:szCs w:val="32"/>
          <w:highlight w:val="none"/>
          <w:lang w:val="en-US" w:eastAsia="zh-CN" w:bidi="ar-SA"/>
        </w:rPr>
        <w:t>采   购  人：重庆大足石刻国际文化旅游集团有限公司</w:t>
      </w:r>
      <w:bookmarkEnd w:id="16"/>
      <w:bookmarkEnd w:id="17"/>
      <w:bookmarkEnd w:id="18"/>
    </w:p>
    <w:p w14:paraId="46AAD709">
      <w:pPr>
        <w:keepNext w:val="0"/>
        <w:keepLines w:val="0"/>
        <w:pageBreakBefore w:val="0"/>
        <w:widowControl w:val="0"/>
        <w:kinsoku/>
        <w:wordWrap w:val="0"/>
        <w:overflowPunct/>
        <w:topLinePunct w:val="0"/>
        <w:autoSpaceDE/>
        <w:autoSpaceDN/>
        <w:bidi w:val="0"/>
        <w:spacing w:line="660" w:lineRule="exact"/>
        <w:ind w:firstLine="1285" w:firstLineChars="400"/>
        <w:jc w:val="both"/>
        <w:textAlignment w:val="auto"/>
        <w:outlineLvl w:val="0"/>
        <w:rPr>
          <w:rFonts w:hint="default" w:ascii="宋体" w:hAnsi="宋体" w:eastAsia="宋体" w:cs="宋体"/>
          <w:b/>
          <w:color w:val="auto"/>
          <w:kern w:val="2"/>
          <w:sz w:val="32"/>
          <w:szCs w:val="32"/>
          <w:highlight w:val="none"/>
          <w:lang w:val="en-US" w:eastAsia="zh-CN" w:bidi="ar-SA"/>
        </w:rPr>
      </w:pPr>
      <w:bookmarkStart w:id="19" w:name="_Toc30580"/>
      <w:bookmarkStart w:id="20" w:name="_Toc14270"/>
      <w:bookmarkStart w:id="21" w:name="_Toc16394"/>
      <w:r>
        <w:rPr>
          <w:rFonts w:hint="eastAsia" w:ascii="宋体" w:hAnsi="宋体" w:eastAsia="宋体" w:cs="宋体"/>
          <w:b/>
          <w:color w:val="auto"/>
          <w:kern w:val="2"/>
          <w:sz w:val="32"/>
          <w:szCs w:val="32"/>
          <w:highlight w:val="none"/>
          <w:lang w:val="en-US" w:eastAsia="zh-CN" w:bidi="ar-SA"/>
        </w:rPr>
        <w:t>代 理 机 构：</w:t>
      </w:r>
      <w:bookmarkEnd w:id="19"/>
      <w:bookmarkEnd w:id="20"/>
      <w:bookmarkEnd w:id="21"/>
      <w:r>
        <w:rPr>
          <w:rFonts w:hint="eastAsia" w:ascii="宋体" w:hAnsi="宋体" w:cs="宋体"/>
          <w:b/>
          <w:color w:val="auto"/>
          <w:kern w:val="2"/>
          <w:sz w:val="32"/>
          <w:szCs w:val="32"/>
          <w:highlight w:val="none"/>
          <w:lang w:val="en-US" w:eastAsia="zh-CN" w:bidi="ar-SA"/>
        </w:rPr>
        <w:t>重庆福源工程管理有限公司</w:t>
      </w:r>
    </w:p>
    <w:p w14:paraId="78FAB187">
      <w:pPr>
        <w:keepNext w:val="0"/>
        <w:keepLines w:val="0"/>
        <w:pageBreakBefore w:val="0"/>
        <w:widowControl w:val="0"/>
        <w:kinsoku/>
        <w:wordWrap w:val="0"/>
        <w:overflowPunct/>
        <w:topLinePunct w:val="0"/>
        <w:autoSpaceDE/>
        <w:autoSpaceDN/>
        <w:bidi w:val="0"/>
        <w:spacing w:line="660" w:lineRule="exact"/>
        <w:ind w:firstLine="3855" w:firstLineChars="1200"/>
        <w:jc w:val="left"/>
        <w:textAlignment w:val="auto"/>
        <w:rPr>
          <w:rFonts w:hint="default"/>
          <w:color w:val="auto"/>
          <w:highlight w:val="none"/>
          <w:lang w:val="en-US"/>
        </w:rPr>
        <w:sectPr>
          <w:headerReference r:id="rId4" w:type="first"/>
          <w:headerReference r:id="rId3" w:type="default"/>
          <w:pgSz w:w="11907" w:h="16840"/>
          <w:pgMar w:top="1440" w:right="1080" w:bottom="1440" w:left="1080" w:header="851" w:footer="992" w:gutter="0"/>
          <w:pgNumType w:fmt="decimal" w:start="1"/>
          <w:cols w:space="720" w:num="1"/>
          <w:titlePg/>
          <w:docGrid w:linePitch="381" w:charSpace="-5735"/>
        </w:sectPr>
      </w:pPr>
      <w:r>
        <w:rPr>
          <w:rFonts w:hint="eastAsia" w:ascii="宋体" w:hAnsi="宋体" w:eastAsia="宋体" w:cs="宋体"/>
          <w:b/>
          <w:color w:val="auto"/>
          <w:kern w:val="2"/>
          <w:sz w:val="32"/>
          <w:szCs w:val="32"/>
          <w:highlight w:val="none"/>
          <w:lang w:val="en-US" w:eastAsia="zh-CN" w:bidi="ar-SA"/>
        </w:rPr>
        <w:t>202</w:t>
      </w:r>
      <w:r>
        <w:rPr>
          <w:rFonts w:hint="eastAsia" w:ascii="宋体" w:hAnsi="宋体" w:cs="宋体"/>
          <w:b/>
          <w:color w:val="auto"/>
          <w:kern w:val="2"/>
          <w:sz w:val="32"/>
          <w:szCs w:val="32"/>
          <w:highlight w:val="none"/>
          <w:lang w:val="en-US" w:eastAsia="zh-CN" w:bidi="ar-SA"/>
        </w:rPr>
        <w:t>6</w:t>
      </w:r>
      <w:r>
        <w:rPr>
          <w:rFonts w:hint="eastAsia" w:ascii="宋体" w:hAnsi="宋体" w:eastAsia="宋体" w:cs="宋体"/>
          <w:b/>
          <w:color w:val="auto"/>
          <w:kern w:val="2"/>
          <w:sz w:val="32"/>
          <w:szCs w:val="32"/>
          <w:highlight w:val="none"/>
          <w:lang w:val="en-US" w:eastAsia="zh-CN" w:bidi="ar-SA"/>
        </w:rPr>
        <w:t>年</w:t>
      </w:r>
      <w:r>
        <w:rPr>
          <w:rFonts w:hint="eastAsia" w:ascii="宋体" w:hAnsi="宋体" w:cs="宋体"/>
          <w:b/>
          <w:color w:val="auto"/>
          <w:kern w:val="2"/>
          <w:sz w:val="32"/>
          <w:szCs w:val="32"/>
          <w:highlight w:val="none"/>
          <w:lang w:val="en-US" w:eastAsia="zh-CN" w:bidi="ar-SA"/>
        </w:rPr>
        <w:t>5月</w:t>
      </w:r>
    </w:p>
    <w:sdt>
      <w:sdtPr>
        <w:rPr>
          <w:rFonts w:ascii="宋体" w:hAnsi="宋体" w:eastAsia="宋体" w:cs="Times New Roman"/>
          <w:color w:val="auto"/>
          <w:kern w:val="2"/>
          <w:sz w:val="21"/>
          <w:highlight w:val="none"/>
          <w:lang w:val="en-US" w:eastAsia="zh-CN" w:bidi="ar-SA"/>
        </w:rPr>
        <w:id w:val="147473279"/>
        <w15:color w:val="DBDBDB"/>
        <w:docPartObj>
          <w:docPartGallery w:val="Table of Contents"/>
          <w:docPartUnique/>
        </w:docPartObj>
      </w:sdtPr>
      <w:sdtEndPr>
        <w:rPr>
          <w:rFonts w:hint="eastAsia" w:ascii="Times New Roman" w:hAnsi="Times New Roman" w:eastAsia="宋体" w:cs="Times New Roman"/>
          <w:color w:val="auto"/>
          <w:kern w:val="2"/>
          <w:sz w:val="28"/>
          <w:highlight w:val="none"/>
          <w:lang w:val="en-US" w:eastAsia="zh-CN" w:bidi="ar-SA"/>
        </w:rPr>
      </w:sdtEndPr>
      <w:sdtContent>
        <w:p w14:paraId="2C1C0006">
          <w:pPr>
            <w:keepNext w:val="0"/>
            <w:keepLines w:val="0"/>
            <w:pageBreakBefore w:val="0"/>
            <w:widowControl w:val="0"/>
            <w:kinsoku/>
            <w:topLinePunct w:val="0"/>
            <w:bidi w:val="0"/>
            <w:spacing w:before="0" w:beforeLines="0" w:after="0" w:afterLines="0" w:line="240" w:lineRule="auto"/>
            <w:ind w:left="0" w:leftChars="0" w:right="0" w:rightChars="0" w:firstLine="0" w:firstLineChars="0"/>
            <w:jc w:val="center"/>
            <w:rPr>
              <w:color w:val="auto"/>
              <w:highlight w:val="none"/>
            </w:rPr>
          </w:pPr>
          <w:r>
            <w:rPr>
              <w:rFonts w:ascii="宋体" w:hAnsi="宋体" w:eastAsia="宋体"/>
              <w:color w:val="auto"/>
              <w:sz w:val="21"/>
              <w:highlight w:val="none"/>
            </w:rPr>
            <w:t>目录</w:t>
          </w:r>
          <w:r>
            <w:rPr>
              <w:rFonts w:hint="eastAsia"/>
              <w:color w:val="auto"/>
              <w:highlight w:val="none"/>
            </w:rPr>
            <w:fldChar w:fldCharType="begin"/>
          </w:r>
          <w:r>
            <w:rPr>
              <w:rFonts w:hint="eastAsia"/>
              <w:color w:val="auto"/>
              <w:highlight w:val="none"/>
            </w:rPr>
            <w:instrText xml:space="preserve">TOC \o "1-3" \h \u </w:instrText>
          </w:r>
          <w:r>
            <w:rPr>
              <w:rFonts w:hint="eastAsia"/>
              <w:color w:val="auto"/>
              <w:highlight w:val="none"/>
            </w:rPr>
            <w:fldChar w:fldCharType="separate"/>
          </w:r>
        </w:p>
        <w:p w14:paraId="79C63F06">
          <w:pPr>
            <w:pStyle w:val="4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_Toc15689 </w:instrText>
          </w:r>
          <w:r>
            <w:rPr>
              <w:rFonts w:hint="eastAsia"/>
              <w:color w:val="auto"/>
              <w:highlight w:val="none"/>
            </w:rPr>
            <w:fldChar w:fldCharType="separate"/>
          </w:r>
          <w:r>
            <w:rPr>
              <w:rFonts w:hint="eastAsia" w:eastAsia="宋体" w:cs="宋体"/>
              <w:bCs w:val="0"/>
              <w:color w:val="auto"/>
              <w:szCs w:val="36"/>
              <w:highlight w:val="none"/>
              <w:lang w:val="en-US" w:eastAsia="zh-CN"/>
            </w:rPr>
            <w:t>第一篇 比选公告</w:t>
          </w:r>
          <w:r>
            <w:rPr>
              <w:color w:val="auto"/>
              <w:highlight w:val="none"/>
            </w:rPr>
            <w:tab/>
          </w:r>
          <w:r>
            <w:rPr>
              <w:color w:val="auto"/>
              <w:highlight w:val="none"/>
            </w:rPr>
            <w:fldChar w:fldCharType="begin"/>
          </w:r>
          <w:r>
            <w:rPr>
              <w:color w:val="auto"/>
              <w:highlight w:val="none"/>
            </w:rPr>
            <w:instrText xml:space="preserve"> PAGEREF _Toc15689 \h </w:instrText>
          </w:r>
          <w:r>
            <w:rPr>
              <w:color w:val="auto"/>
              <w:highlight w:val="none"/>
            </w:rPr>
            <w:fldChar w:fldCharType="separate"/>
          </w:r>
          <w:r>
            <w:rPr>
              <w:color w:val="auto"/>
              <w:highlight w:val="none"/>
            </w:rPr>
            <w:t>- 1 -</w:t>
          </w:r>
          <w:r>
            <w:rPr>
              <w:color w:val="auto"/>
              <w:highlight w:val="none"/>
            </w:rPr>
            <w:fldChar w:fldCharType="end"/>
          </w:r>
          <w:r>
            <w:rPr>
              <w:rFonts w:hint="eastAsia"/>
              <w:color w:val="auto"/>
              <w:highlight w:val="none"/>
            </w:rPr>
            <w:fldChar w:fldCharType="end"/>
          </w:r>
        </w:p>
        <w:p w14:paraId="7871FD8E">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_Toc12413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一、比选内容</w:t>
          </w:r>
          <w:r>
            <w:rPr>
              <w:color w:val="auto"/>
              <w:highlight w:val="none"/>
            </w:rPr>
            <w:tab/>
          </w:r>
          <w:r>
            <w:rPr>
              <w:color w:val="auto"/>
              <w:highlight w:val="none"/>
            </w:rPr>
            <w:fldChar w:fldCharType="begin"/>
          </w:r>
          <w:r>
            <w:rPr>
              <w:color w:val="auto"/>
              <w:highlight w:val="none"/>
            </w:rPr>
            <w:instrText xml:space="preserve"> PAGEREF _Toc12413 \h </w:instrText>
          </w:r>
          <w:r>
            <w:rPr>
              <w:color w:val="auto"/>
              <w:highlight w:val="none"/>
            </w:rPr>
            <w:fldChar w:fldCharType="separate"/>
          </w:r>
          <w:r>
            <w:rPr>
              <w:color w:val="auto"/>
              <w:highlight w:val="none"/>
            </w:rPr>
            <w:t>- 1 -</w:t>
          </w:r>
          <w:r>
            <w:rPr>
              <w:color w:val="auto"/>
              <w:highlight w:val="none"/>
            </w:rPr>
            <w:fldChar w:fldCharType="end"/>
          </w:r>
          <w:r>
            <w:rPr>
              <w:rFonts w:hint="eastAsia"/>
              <w:color w:val="auto"/>
              <w:highlight w:val="none"/>
            </w:rPr>
            <w:fldChar w:fldCharType="end"/>
          </w:r>
        </w:p>
        <w:p w14:paraId="3C8CFB37">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_Toc8693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二、供应商的资格条件</w:t>
          </w:r>
          <w:r>
            <w:rPr>
              <w:color w:val="auto"/>
              <w:highlight w:val="none"/>
            </w:rPr>
            <w:tab/>
          </w:r>
          <w:r>
            <w:rPr>
              <w:color w:val="auto"/>
              <w:highlight w:val="none"/>
            </w:rPr>
            <w:fldChar w:fldCharType="begin"/>
          </w:r>
          <w:r>
            <w:rPr>
              <w:color w:val="auto"/>
              <w:highlight w:val="none"/>
            </w:rPr>
            <w:instrText xml:space="preserve"> PAGEREF _Toc8693 \h </w:instrText>
          </w:r>
          <w:r>
            <w:rPr>
              <w:color w:val="auto"/>
              <w:highlight w:val="none"/>
            </w:rPr>
            <w:fldChar w:fldCharType="separate"/>
          </w:r>
          <w:r>
            <w:rPr>
              <w:color w:val="auto"/>
              <w:highlight w:val="none"/>
            </w:rPr>
            <w:t>- 1 -</w:t>
          </w:r>
          <w:r>
            <w:rPr>
              <w:color w:val="auto"/>
              <w:highlight w:val="none"/>
            </w:rPr>
            <w:fldChar w:fldCharType="end"/>
          </w:r>
          <w:r>
            <w:rPr>
              <w:rFonts w:hint="eastAsia"/>
              <w:color w:val="auto"/>
              <w:highlight w:val="none"/>
            </w:rPr>
            <w:fldChar w:fldCharType="end"/>
          </w:r>
        </w:p>
        <w:p w14:paraId="7237927A">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_Toc24774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三、比选的有关说明</w:t>
          </w:r>
          <w:r>
            <w:rPr>
              <w:color w:val="auto"/>
              <w:highlight w:val="none"/>
            </w:rPr>
            <w:tab/>
          </w:r>
          <w:r>
            <w:rPr>
              <w:color w:val="auto"/>
              <w:highlight w:val="none"/>
            </w:rPr>
            <w:fldChar w:fldCharType="begin"/>
          </w:r>
          <w:r>
            <w:rPr>
              <w:color w:val="auto"/>
              <w:highlight w:val="none"/>
            </w:rPr>
            <w:instrText xml:space="preserve"> PAGEREF _Toc24774 \h </w:instrText>
          </w:r>
          <w:r>
            <w:rPr>
              <w:color w:val="auto"/>
              <w:highlight w:val="none"/>
            </w:rPr>
            <w:fldChar w:fldCharType="separate"/>
          </w:r>
          <w:r>
            <w:rPr>
              <w:color w:val="auto"/>
              <w:highlight w:val="none"/>
            </w:rPr>
            <w:t>- 1 -</w:t>
          </w:r>
          <w:r>
            <w:rPr>
              <w:color w:val="auto"/>
              <w:highlight w:val="none"/>
            </w:rPr>
            <w:fldChar w:fldCharType="end"/>
          </w:r>
          <w:r>
            <w:rPr>
              <w:rFonts w:hint="eastAsia"/>
              <w:color w:val="auto"/>
              <w:highlight w:val="none"/>
            </w:rPr>
            <w:fldChar w:fldCharType="end"/>
          </w:r>
        </w:p>
        <w:p w14:paraId="3DBC0951">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_Toc19799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四、报名方式及投标程序</w:t>
          </w:r>
          <w:r>
            <w:rPr>
              <w:color w:val="auto"/>
              <w:highlight w:val="none"/>
            </w:rPr>
            <w:tab/>
          </w:r>
          <w:r>
            <w:rPr>
              <w:color w:val="auto"/>
              <w:highlight w:val="none"/>
            </w:rPr>
            <w:fldChar w:fldCharType="begin"/>
          </w:r>
          <w:r>
            <w:rPr>
              <w:color w:val="auto"/>
              <w:highlight w:val="none"/>
            </w:rPr>
            <w:instrText xml:space="preserve"> PAGEREF _Toc19799 \h </w:instrText>
          </w:r>
          <w:r>
            <w:rPr>
              <w:color w:val="auto"/>
              <w:highlight w:val="none"/>
            </w:rPr>
            <w:fldChar w:fldCharType="separate"/>
          </w:r>
          <w:r>
            <w:rPr>
              <w:color w:val="auto"/>
              <w:highlight w:val="none"/>
            </w:rPr>
            <w:t>- 2 -</w:t>
          </w:r>
          <w:r>
            <w:rPr>
              <w:color w:val="auto"/>
              <w:highlight w:val="none"/>
            </w:rPr>
            <w:fldChar w:fldCharType="end"/>
          </w:r>
          <w:r>
            <w:rPr>
              <w:rFonts w:hint="eastAsia"/>
              <w:color w:val="auto"/>
              <w:highlight w:val="none"/>
            </w:rPr>
            <w:fldChar w:fldCharType="end"/>
          </w:r>
        </w:p>
        <w:p w14:paraId="56EE3C2A">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_Toc9350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五、投标保证金</w:t>
          </w:r>
          <w:r>
            <w:rPr>
              <w:color w:val="auto"/>
              <w:highlight w:val="none"/>
            </w:rPr>
            <w:tab/>
          </w:r>
          <w:r>
            <w:rPr>
              <w:color w:val="auto"/>
              <w:highlight w:val="none"/>
            </w:rPr>
            <w:fldChar w:fldCharType="begin"/>
          </w:r>
          <w:r>
            <w:rPr>
              <w:color w:val="auto"/>
              <w:highlight w:val="none"/>
            </w:rPr>
            <w:instrText xml:space="preserve"> PAGEREF _Toc9350 \h </w:instrText>
          </w:r>
          <w:r>
            <w:rPr>
              <w:color w:val="auto"/>
              <w:highlight w:val="none"/>
            </w:rPr>
            <w:fldChar w:fldCharType="separate"/>
          </w:r>
          <w:r>
            <w:rPr>
              <w:color w:val="auto"/>
              <w:highlight w:val="none"/>
            </w:rPr>
            <w:t>- 2 -</w:t>
          </w:r>
          <w:r>
            <w:rPr>
              <w:color w:val="auto"/>
              <w:highlight w:val="none"/>
            </w:rPr>
            <w:fldChar w:fldCharType="end"/>
          </w:r>
          <w:r>
            <w:rPr>
              <w:rFonts w:hint="eastAsia"/>
              <w:color w:val="auto"/>
              <w:highlight w:val="none"/>
            </w:rPr>
            <w:fldChar w:fldCharType="end"/>
          </w:r>
        </w:p>
        <w:p w14:paraId="778F7A09">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_Toc16519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六、其它有关规定</w:t>
          </w:r>
          <w:r>
            <w:rPr>
              <w:color w:val="auto"/>
              <w:highlight w:val="none"/>
            </w:rPr>
            <w:tab/>
          </w:r>
          <w:r>
            <w:rPr>
              <w:color w:val="auto"/>
              <w:highlight w:val="none"/>
            </w:rPr>
            <w:fldChar w:fldCharType="begin"/>
          </w:r>
          <w:r>
            <w:rPr>
              <w:color w:val="auto"/>
              <w:highlight w:val="none"/>
            </w:rPr>
            <w:instrText xml:space="preserve"> PAGEREF _Toc16519 \h </w:instrText>
          </w:r>
          <w:r>
            <w:rPr>
              <w:color w:val="auto"/>
              <w:highlight w:val="none"/>
            </w:rPr>
            <w:fldChar w:fldCharType="separate"/>
          </w:r>
          <w:r>
            <w:rPr>
              <w:color w:val="auto"/>
              <w:highlight w:val="none"/>
            </w:rPr>
            <w:t>- 3 -</w:t>
          </w:r>
          <w:r>
            <w:rPr>
              <w:color w:val="auto"/>
              <w:highlight w:val="none"/>
            </w:rPr>
            <w:fldChar w:fldCharType="end"/>
          </w:r>
          <w:r>
            <w:rPr>
              <w:rFonts w:hint="eastAsia"/>
              <w:color w:val="auto"/>
              <w:highlight w:val="none"/>
            </w:rPr>
            <w:fldChar w:fldCharType="end"/>
          </w:r>
        </w:p>
        <w:p w14:paraId="4DDFED44">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_Toc24392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七、联系方式</w:t>
          </w:r>
          <w:r>
            <w:rPr>
              <w:color w:val="auto"/>
              <w:highlight w:val="none"/>
            </w:rPr>
            <w:tab/>
          </w:r>
          <w:r>
            <w:rPr>
              <w:color w:val="auto"/>
              <w:highlight w:val="none"/>
            </w:rPr>
            <w:fldChar w:fldCharType="begin"/>
          </w:r>
          <w:r>
            <w:rPr>
              <w:color w:val="auto"/>
              <w:highlight w:val="none"/>
            </w:rPr>
            <w:instrText xml:space="preserve"> PAGEREF _Toc24392 \h </w:instrText>
          </w:r>
          <w:r>
            <w:rPr>
              <w:color w:val="auto"/>
              <w:highlight w:val="none"/>
            </w:rPr>
            <w:fldChar w:fldCharType="separate"/>
          </w:r>
          <w:r>
            <w:rPr>
              <w:color w:val="auto"/>
              <w:highlight w:val="none"/>
            </w:rPr>
            <w:t>- 4 -</w:t>
          </w:r>
          <w:r>
            <w:rPr>
              <w:color w:val="auto"/>
              <w:highlight w:val="none"/>
            </w:rPr>
            <w:fldChar w:fldCharType="end"/>
          </w:r>
          <w:r>
            <w:rPr>
              <w:rFonts w:hint="eastAsia"/>
              <w:color w:val="auto"/>
              <w:highlight w:val="none"/>
            </w:rPr>
            <w:fldChar w:fldCharType="end"/>
          </w:r>
        </w:p>
        <w:p w14:paraId="5D484E56">
          <w:pPr>
            <w:pStyle w:val="4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_Toc25709 </w:instrText>
          </w:r>
          <w:r>
            <w:rPr>
              <w:rFonts w:hint="eastAsia"/>
              <w:color w:val="auto"/>
              <w:highlight w:val="none"/>
            </w:rPr>
            <w:fldChar w:fldCharType="separate"/>
          </w:r>
          <w:r>
            <w:rPr>
              <w:rFonts w:hint="eastAsia" w:eastAsia="宋体" w:cs="宋体"/>
              <w:bCs w:val="0"/>
              <w:color w:val="auto"/>
              <w:szCs w:val="36"/>
              <w:highlight w:val="none"/>
              <w:lang w:val="en-US" w:eastAsia="zh-CN"/>
            </w:rPr>
            <w:t xml:space="preserve">第二篇  </w:t>
          </w:r>
          <w:r>
            <w:rPr>
              <w:rFonts w:hint="eastAsia" w:cs="宋体"/>
              <w:bCs w:val="0"/>
              <w:color w:val="auto"/>
              <w:szCs w:val="36"/>
              <w:highlight w:val="none"/>
              <w:lang w:val="en-US" w:eastAsia="zh-CN"/>
            </w:rPr>
            <w:t>项目技术需求</w:t>
          </w:r>
          <w:r>
            <w:rPr>
              <w:color w:val="auto"/>
              <w:highlight w:val="none"/>
            </w:rPr>
            <w:tab/>
          </w:r>
          <w:r>
            <w:rPr>
              <w:color w:val="auto"/>
              <w:highlight w:val="none"/>
            </w:rPr>
            <w:fldChar w:fldCharType="begin"/>
          </w:r>
          <w:r>
            <w:rPr>
              <w:color w:val="auto"/>
              <w:highlight w:val="none"/>
            </w:rPr>
            <w:instrText xml:space="preserve"> PAGEREF _Toc25709 \h </w:instrText>
          </w:r>
          <w:r>
            <w:rPr>
              <w:color w:val="auto"/>
              <w:highlight w:val="none"/>
            </w:rPr>
            <w:fldChar w:fldCharType="separate"/>
          </w:r>
          <w:r>
            <w:rPr>
              <w:color w:val="auto"/>
              <w:highlight w:val="none"/>
            </w:rPr>
            <w:t>- 5 -</w:t>
          </w:r>
          <w:r>
            <w:rPr>
              <w:color w:val="auto"/>
              <w:highlight w:val="none"/>
            </w:rPr>
            <w:fldChar w:fldCharType="end"/>
          </w:r>
          <w:r>
            <w:rPr>
              <w:rFonts w:hint="eastAsia"/>
              <w:color w:val="auto"/>
              <w:highlight w:val="none"/>
            </w:rPr>
            <w:fldChar w:fldCharType="end"/>
          </w:r>
        </w:p>
        <w:p w14:paraId="376A9FEF">
          <w:pPr>
            <w:pStyle w:val="33"/>
            <w:keepNext w:val="0"/>
            <w:keepLines w:val="0"/>
            <w:pageBreakBefore w:val="0"/>
            <w:widowControl w:val="0"/>
            <w:tabs>
              <w:tab w:val="right" w:leader="dot" w:pos="9071"/>
            </w:tabs>
            <w:kinsoku/>
            <w:topLinePunct w:val="0"/>
            <w:bidi w:val="0"/>
            <w:spacing w:line="240" w:lineRule="auto"/>
            <w:rPr>
              <w:rFonts w:hint="eastAsia"/>
              <w:color w:val="auto"/>
              <w:highlight w:val="none"/>
            </w:rPr>
          </w:pPr>
          <w:r>
            <w:rPr>
              <w:rFonts w:hint="eastAsia"/>
              <w:color w:val="auto"/>
              <w:highlight w:val="none"/>
            </w:rPr>
            <w:fldChar w:fldCharType="begin"/>
          </w:r>
          <w:r>
            <w:rPr>
              <w:rFonts w:hint="eastAsia"/>
              <w:color w:val="auto"/>
              <w:highlight w:val="none"/>
            </w:rPr>
            <w:instrText xml:space="preserve"> HYPERLINK \l _Toc17333 </w:instrText>
          </w:r>
          <w:r>
            <w:rPr>
              <w:rFonts w:hint="eastAsia"/>
              <w:color w:val="auto"/>
              <w:highlight w:val="none"/>
            </w:rPr>
            <w:fldChar w:fldCharType="separate"/>
          </w:r>
          <w:r>
            <w:rPr>
              <w:rFonts w:hint="eastAsia" w:ascii="宋体" w:hAnsi="宋体" w:eastAsia="宋体" w:cs="宋体"/>
              <w:color w:val="auto"/>
              <w:szCs w:val="24"/>
              <w:highlight w:val="none"/>
              <w:lang w:eastAsia="zh-CN"/>
            </w:rPr>
            <w:t>一、项目一览表</w:t>
          </w:r>
          <w:r>
            <w:rPr>
              <w:color w:val="auto"/>
              <w:highlight w:val="none"/>
            </w:rPr>
            <w:tab/>
          </w:r>
          <w:r>
            <w:rPr>
              <w:color w:val="auto"/>
              <w:highlight w:val="none"/>
            </w:rPr>
            <w:fldChar w:fldCharType="begin"/>
          </w:r>
          <w:r>
            <w:rPr>
              <w:color w:val="auto"/>
              <w:highlight w:val="none"/>
            </w:rPr>
            <w:instrText xml:space="preserve"> PAGEREF _Toc17333 \h </w:instrText>
          </w:r>
          <w:r>
            <w:rPr>
              <w:color w:val="auto"/>
              <w:highlight w:val="none"/>
            </w:rPr>
            <w:fldChar w:fldCharType="separate"/>
          </w:r>
          <w:r>
            <w:rPr>
              <w:color w:val="auto"/>
              <w:highlight w:val="none"/>
            </w:rPr>
            <w:t>- 5 -</w:t>
          </w:r>
          <w:r>
            <w:rPr>
              <w:color w:val="auto"/>
              <w:highlight w:val="none"/>
            </w:rPr>
            <w:fldChar w:fldCharType="end"/>
          </w:r>
          <w:r>
            <w:rPr>
              <w:rFonts w:hint="eastAsia"/>
              <w:color w:val="auto"/>
              <w:highlight w:val="none"/>
            </w:rPr>
            <w:fldChar w:fldCharType="end"/>
          </w:r>
        </w:p>
        <w:p w14:paraId="7B11C399">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_Toc17333 </w:instrText>
          </w:r>
          <w:r>
            <w:rPr>
              <w:rFonts w:hint="eastAsia"/>
              <w:color w:val="auto"/>
              <w:highlight w:val="none"/>
            </w:rPr>
            <w:fldChar w:fldCharType="separate"/>
          </w:r>
          <w:r>
            <w:rPr>
              <w:rFonts w:hint="eastAsia"/>
              <w:color w:val="auto"/>
              <w:highlight w:val="none"/>
              <w:lang w:val="en-US" w:eastAsia="zh-CN"/>
            </w:rPr>
            <w:t>二</w:t>
          </w:r>
          <w:r>
            <w:rPr>
              <w:rFonts w:hint="eastAsia" w:ascii="宋体" w:hAnsi="宋体" w:eastAsia="宋体" w:cs="宋体"/>
              <w:color w:val="auto"/>
              <w:szCs w:val="24"/>
              <w:highlight w:val="none"/>
              <w:lang w:eastAsia="zh-CN"/>
            </w:rPr>
            <w:t>、比选</w:t>
          </w:r>
          <w:r>
            <w:rPr>
              <w:rFonts w:hint="eastAsia" w:ascii="宋体" w:hAnsi="宋体" w:eastAsia="宋体" w:cs="宋体"/>
              <w:color w:val="auto"/>
              <w:szCs w:val="24"/>
              <w:highlight w:val="none"/>
            </w:rPr>
            <w:t>内容</w:t>
          </w:r>
          <w:r>
            <w:rPr>
              <w:color w:val="auto"/>
              <w:highlight w:val="none"/>
            </w:rPr>
            <w:tab/>
          </w:r>
          <w:r>
            <w:rPr>
              <w:color w:val="auto"/>
              <w:highlight w:val="none"/>
            </w:rPr>
            <w:fldChar w:fldCharType="begin"/>
          </w:r>
          <w:r>
            <w:rPr>
              <w:color w:val="auto"/>
              <w:highlight w:val="none"/>
            </w:rPr>
            <w:instrText xml:space="preserve"> PAGEREF _Toc17333 \h </w:instrText>
          </w:r>
          <w:r>
            <w:rPr>
              <w:color w:val="auto"/>
              <w:highlight w:val="none"/>
            </w:rPr>
            <w:fldChar w:fldCharType="separate"/>
          </w:r>
          <w:r>
            <w:rPr>
              <w:color w:val="auto"/>
              <w:highlight w:val="none"/>
            </w:rPr>
            <w:t>- 5 -</w:t>
          </w:r>
          <w:r>
            <w:rPr>
              <w:color w:val="auto"/>
              <w:highlight w:val="none"/>
            </w:rPr>
            <w:fldChar w:fldCharType="end"/>
          </w:r>
          <w:r>
            <w:rPr>
              <w:rFonts w:hint="eastAsia"/>
              <w:color w:val="auto"/>
              <w:highlight w:val="none"/>
            </w:rPr>
            <w:fldChar w:fldCharType="end"/>
          </w:r>
        </w:p>
        <w:p w14:paraId="1CE185F7">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_Toc24805 </w:instrText>
          </w:r>
          <w:r>
            <w:rPr>
              <w:rFonts w:hint="eastAsia"/>
              <w:color w:val="auto"/>
              <w:highlight w:val="none"/>
            </w:rPr>
            <w:fldChar w:fldCharType="separate"/>
          </w:r>
          <w:r>
            <w:rPr>
              <w:rFonts w:hint="eastAsia"/>
              <w:color w:val="auto"/>
              <w:highlight w:val="none"/>
              <w:lang w:val="en-US" w:eastAsia="zh-CN"/>
            </w:rPr>
            <w:t>三</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安全要求</w:t>
          </w:r>
          <w:r>
            <w:rPr>
              <w:color w:val="auto"/>
              <w:highlight w:val="none"/>
            </w:rPr>
            <w:tab/>
          </w:r>
          <w:r>
            <w:rPr>
              <w:color w:val="auto"/>
              <w:highlight w:val="none"/>
            </w:rPr>
            <w:fldChar w:fldCharType="begin"/>
          </w:r>
          <w:r>
            <w:rPr>
              <w:color w:val="auto"/>
              <w:highlight w:val="none"/>
            </w:rPr>
            <w:instrText xml:space="preserve"> PAGEREF _Toc24805 \h </w:instrText>
          </w:r>
          <w:r>
            <w:rPr>
              <w:color w:val="auto"/>
              <w:highlight w:val="none"/>
            </w:rPr>
            <w:fldChar w:fldCharType="separate"/>
          </w:r>
          <w:r>
            <w:rPr>
              <w:color w:val="auto"/>
              <w:highlight w:val="none"/>
            </w:rPr>
            <w:t>- 5 -</w:t>
          </w:r>
          <w:r>
            <w:rPr>
              <w:color w:val="auto"/>
              <w:highlight w:val="none"/>
            </w:rPr>
            <w:fldChar w:fldCharType="end"/>
          </w:r>
          <w:r>
            <w:rPr>
              <w:rFonts w:hint="eastAsia"/>
              <w:color w:val="auto"/>
              <w:highlight w:val="none"/>
            </w:rPr>
            <w:fldChar w:fldCharType="end"/>
          </w:r>
        </w:p>
        <w:p w14:paraId="5A878894">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_Toc686 </w:instrText>
          </w:r>
          <w:r>
            <w:rPr>
              <w:rFonts w:hint="eastAsia"/>
              <w:color w:val="auto"/>
              <w:highlight w:val="none"/>
            </w:rPr>
            <w:fldChar w:fldCharType="separate"/>
          </w:r>
          <w:r>
            <w:rPr>
              <w:rFonts w:hint="eastAsia"/>
              <w:color w:val="auto"/>
              <w:highlight w:val="none"/>
              <w:lang w:val="en-US" w:eastAsia="zh-CN"/>
            </w:rPr>
            <w:t>四</w:t>
          </w:r>
          <w:r>
            <w:rPr>
              <w:rFonts w:hint="eastAsia" w:ascii="宋体" w:hAnsi="宋体" w:eastAsia="宋体" w:cs="宋体"/>
              <w:color w:val="auto"/>
              <w:szCs w:val="24"/>
              <w:highlight w:val="none"/>
              <w:lang w:val="en-US" w:eastAsia="zh-CN"/>
            </w:rPr>
            <w:t>、质量要求</w:t>
          </w:r>
          <w:r>
            <w:rPr>
              <w:color w:val="auto"/>
              <w:highlight w:val="none"/>
            </w:rPr>
            <w:tab/>
          </w:r>
          <w:r>
            <w:rPr>
              <w:color w:val="auto"/>
              <w:highlight w:val="none"/>
            </w:rPr>
            <w:fldChar w:fldCharType="begin"/>
          </w:r>
          <w:r>
            <w:rPr>
              <w:color w:val="auto"/>
              <w:highlight w:val="none"/>
            </w:rPr>
            <w:instrText xml:space="preserve"> PAGEREF _Toc686 \h </w:instrText>
          </w:r>
          <w:r>
            <w:rPr>
              <w:color w:val="auto"/>
              <w:highlight w:val="none"/>
            </w:rPr>
            <w:fldChar w:fldCharType="separate"/>
          </w:r>
          <w:r>
            <w:rPr>
              <w:color w:val="auto"/>
              <w:highlight w:val="none"/>
            </w:rPr>
            <w:t>- 5 -</w:t>
          </w:r>
          <w:r>
            <w:rPr>
              <w:color w:val="auto"/>
              <w:highlight w:val="none"/>
            </w:rPr>
            <w:fldChar w:fldCharType="end"/>
          </w:r>
          <w:r>
            <w:rPr>
              <w:rFonts w:hint="eastAsia"/>
              <w:color w:val="auto"/>
              <w:highlight w:val="none"/>
            </w:rPr>
            <w:fldChar w:fldCharType="end"/>
          </w:r>
        </w:p>
        <w:p w14:paraId="6C12E1B4">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_Toc29177 </w:instrText>
          </w:r>
          <w:r>
            <w:rPr>
              <w:rFonts w:hint="eastAsia"/>
              <w:color w:val="auto"/>
              <w:highlight w:val="none"/>
            </w:rPr>
            <w:fldChar w:fldCharType="separate"/>
          </w:r>
          <w:r>
            <w:rPr>
              <w:rFonts w:hint="eastAsia"/>
              <w:color w:val="auto"/>
              <w:highlight w:val="none"/>
              <w:lang w:val="en-US" w:eastAsia="zh-CN"/>
            </w:rPr>
            <w:t>五</w:t>
          </w:r>
          <w:r>
            <w:rPr>
              <w:rFonts w:hint="eastAsia" w:ascii="宋体" w:hAnsi="宋体" w:eastAsia="宋体" w:cs="宋体"/>
              <w:color w:val="auto"/>
              <w:szCs w:val="24"/>
              <w:highlight w:val="none"/>
              <w:lang w:val="en-US" w:eastAsia="zh-CN"/>
            </w:rPr>
            <w:t>、现场踏勘</w:t>
          </w:r>
          <w:r>
            <w:rPr>
              <w:color w:val="auto"/>
              <w:highlight w:val="none"/>
            </w:rPr>
            <w:tab/>
          </w:r>
          <w:r>
            <w:rPr>
              <w:color w:val="auto"/>
              <w:highlight w:val="none"/>
            </w:rPr>
            <w:fldChar w:fldCharType="begin"/>
          </w:r>
          <w:r>
            <w:rPr>
              <w:color w:val="auto"/>
              <w:highlight w:val="none"/>
            </w:rPr>
            <w:instrText xml:space="preserve"> PAGEREF _Toc29177 \h </w:instrText>
          </w:r>
          <w:r>
            <w:rPr>
              <w:color w:val="auto"/>
              <w:highlight w:val="none"/>
            </w:rPr>
            <w:fldChar w:fldCharType="separate"/>
          </w:r>
          <w:r>
            <w:rPr>
              <w:color w:val="auto"/>
              <w:highlight w:val="none"/>
            </w:rPr>
            <w:t>- 5 -</w:t>
          </w:r>
          <w:r>
            <w:rPr>
              <w:color w:val="auto"/>
              <w:highlight w:val="none"/>
            </w:rPr>
            <w:fldChar w:fldCharType="end"/>
          </w:r>
          <w:r>
            <w:rPr>
              <w:rFonts w:hint="eastAsia"/>
              <w:color w:val="auto"/>
              <w:highlight w:val="none"/>
            </w:rPr>
            <w:fldChar w:fldCharType="end"/>
          </w:r>
        </w:p>
        <w:p w14:paraId="1C1A6174">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_Toc9235 </w:instrText>
          </w:r>
          <w:r>
            <w:rPr>
              <w:rFonts w:hint="eastAsia"/>
              <w:color w:val="auto"/>
              <w:highlight w:val="none"/>
            </w:rPr>
            <w:fldChar w:fldCharType="separate"/>
          </w:r>
          <w:r>
            <w:rPr>
              <w:rFonts w:hint="eastAsia"/>
              <w:color w:val="auto"/>
              <w:highlight w:val="none"/>
              <w:lang w:val="en-US" w:eastAsia="zh-CN"/>
            </w:rPr>
            <w:t>六</w:t>
          </w:r>
          <w:r>
            <w:rPr>
              <w:rFonts w:hint="eastAsia" w:ascii="宋体" w:hAnsi="宋体" w:eastAsia="宋体" w:cs="宋体"/>
              <w:color w:val="auto"/>
              <w:szCs w:val="24"/>
              <w:highlight w:val="none"/>
              <w:lang w:val="en-US" w:eastAsia="zh-CN"/>
            </w:rPr>
            <w:t>、结合本工程特点提出切实可行的服务方案</w:t>
          </w:r>
          <w:r>
            <w:rPr>
              <w:color w:val="auto"/>
              <w:highlight w:val="none"/>
            </w:rPr>
            <w:tab/>
          </w:r>
          <w:r>
            <w:rPr>
              <w:color w:val="auto"/>
              <w:highlight w:val="none"/>
            </w:rPr>
            <w:fldChar w:fldCharType="begin"/>
          </w:r>
          <w:r>
            <w:rPr>
              <w:color w:val="auto"/>
              <w:highlight w:val="none"/>
            </w:rPr>
            <w:instrText xml:space="preserve"> PAGEREF _Toc9235 \h </w:instrText>
          </w:r>
          <w:r>
            <w:rPr>
              <w:color w:val="auto"/>
              <w:highlight w:val="none"/>
            </w:rPr>
            <w:fldChar w:fldCharType="separate"/>
          </w:r>
          <w:r>
            <w:rPr>
              <w:color w:val="auto"/>
              <w:highlight w:val="none"/>
            </w:rPr>
            <w:t>- 5 -</w:t>
          </w:r>
          <w:r>
            <w:rPr>
              <w:color w:val="auto"/>
              <w:highlight w:val="none"/>
            </w:rPr>
            <w:fldChar w:fldCharType="end"/>
          </w:r>
          <w:r>
            <w:rPr>
              <w:rFonts w:hint="eastAsia"/>
              <w:color w:val="auto"/>
              <w:highlight w:val="none"/>
            </w:rPr>
            <w:fldChar w:fldCharType="end"/>
          </w:r>
        </w:p>
        <w:p w14:paraId="6BBE0DC4">
          <w:pPr>
            <w:pStyle w:val="4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_Toc21506 </w:instrText>
          </w:r>
          <w:r>
            <w:rPr>
              <w:rFonts w:hint="eastAsia"/>
              <w:color w:val="auto"/>
              <w:highlight w:val="none"/>
            </w:rPr>
            <w:fldChar w:fldCharType="separate"/>
          </w:r>
          <w:r>
            <w:rPr>
              <w:rFonts w:hint="eastAsia" w:ascii="Times New Roman" w:hAnsi="Times New Roman" w:eastAsia="宋体" w:cs="宋体"/>
              <w:bCs w:val="0"/>
              <w:color w:val="auto"/>
              <w:kern w:val="2"/>
              <w:szCs w:val="36"/>
              <w:highlight w:val="none"/>
              <w:lang w:val="en-US" w:eastAsia="zh-CN" w:bidi="ar-SA"/>
            </w:rPr>
            <w:t>第三篇  项目商务需求</w:t>
          </w:r>
          <w:r>
            <w:rPr>
              <w:color w:val="auto"/>
              <w:highlight w:val="none"/>
            </w:rPr>
            <w:tab/>
          </w:r>
          <w:r>
            <w:rPr>
              <w:color w:val="auto"/>
              <w:highlight w:val="none"/>
            </w:rPr>
            <w:fldChar w:fldCharType="begin"/>
          </w:r>
          <w:r>
            <w:rPr>
              <w:color w:val="auto"/>
              <w:highlight w:val="none"/>
            </w:rPr>
            <w:instrText xml:space="preserve"> PAGEREF _Toc21506 \h </w:instrText>
          </w:r>
          <w:r>
            <w:rPr>
              <w:color w:val="auto"/>
              <w:highlight w:val="none"/>
            </w:rPr>
            <w:fldChar w:fldCharType="separate"/>
          </w:r>
          <w:r>
            <w:rPr>
              <w:color w:val="auto"/>
              <w:highlight w:val="none"/>
            </w:rPr>
            <w:t>- 7 -</w:t>
          </w:r>
          <w:r>
            <w:rPr>
              <w:color w:val="auto"/>
              <w:highlight w:val="none"/>
            </w:rPr>
            <w:fldChar w:fldCharType="end"/>
          </w:r>
          <w:r>
            <w:rPr>
              <w:rFonts w:hint="eastAsia"/>
              <w:color w:val="auto"/>
              <w:highlight w:val="none"/>
            </w:rPr>
            <w:fldChar w:fldCharType="end"/>
          </w:r>
        </w:p>
        <w:p w14:paraId="4735F5B5">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_Toc26026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一、工期、建设地点、验收方式及安全目标</w:t>
          </w:r>
          <w:r>
            <w:rPr>
              <w:color w:val="auto"/>
              <w:highlight w:val="none"/>
            </w:rPr>
            <w:tab/>
          </w:r>
          <w:r>
            <w:rPr>
              <w:color w:val="auto"/>
              <w:highlight w:val="none"/>
            </w:rPr>
            <w:fldChar w:fldCharType="begin"/>
          </w:r>
          <w:r>
            <w:rPr>
              <w:color w:val="auto"/>
              <w:highlight w:val="none"/>
            </w:rPr>
            <w:instrText xml:space="preserve"> PAGEREF _Toc26026 \h </w:instrText>
          </w:r>
          <w:r>
            <w:rPr>
              <w:color w:val="auto"/>
              <w:highlight w:val="none"/>
            </w:rPr>
            <w:fldChar w:fldCharType="separate"/>
          </w:r>
          <w:r>
            <w:rPr>
              <w:color w:val="auto"/>
              <w:highlight w:val="none"/>
            </w:rPr>
            <w:t>- 7 -</w:t>
          </w:r>
          <w:r>
            <w:rPr>
              <w:color w:val="auto"/>
              <w:highlight w:val="none"/>
            </w:rPr>
            <w:fldChar w:fldCharType="end"/>
          </w:r>
          <w:r>
            <w:rPr>
              <w:rFonts w:hint="eastAsia"/>
              <w:color w:val="auto"/>
              <w:highlight w:val="none"/>
            </w:rPr>
            <w:fldChar w:fldCharType="end"/>
          </w:r>
        </w:p>
        <w:p w14:paraId="25A80C54">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_Toc13283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二、</w:t>
          </w:r>
          <w:r>
            <w:rPr>
              <w:rFonts w:hint="eastAsia" w:ascii="宋体" w:hAnsi="宋体" w:cs="宋体"/>
              <w:color w:val="auto"/>
              <w:szCs w:val="24"/>
              <w:highlight w:val="none"/>
              <w:lang w:val="en-US" w:eastAsia="zh-CN"/>
            </w:rPr>
            <w:t>人员</w:t>
          </w:r>
          <w:r>
            <w:rPr>
              <w:rFonts w:hint="eastAsia" w:ascii="宋体" w:hAnsi="宋体" w:eastAsia="宋体" w:cs="宋体"/>
              <w:color w:val="auto"/>
              <w:szCs w:val="24"/>
              <w:highlight w:val="none"/>
              <w:lang w:val="en-US" w:eastAsia="zh-CN"/>
            </w:rPr>
            <w:t>要求</w:t>
          </w:r>
          <w:r>
            <w:rPr>
              <w:color w:val="auto"/>
              <w:highlight w:val="none"/>
            </w:rPr>
            <w:tab/>
          </w:r>
          <w:r>
            <w:rPr>
              <w:color w:val="auto"/>
              <w:highlight w:val="none"/>
            </w:rPr>
            <w:fldChar w:fldCharType="begin"/>
          </w:r>
          <w:r>
            <w:rPr>
              <w:color w:val="auto"/>
              <w:highlight w:val="none"/>
            </w:rPr>
            <w:instrText xml:space="preserve"> PAGEREF _Toc13283 \h </w:instrText>
          </w:r>
          <w:r>
            <w:rPr>
              <w:color w:val="auto"/>
              <w:highlight w:val="none"/>
            </w:rPr>
            <w:fldChar w:fldCharType="separate"/>
          </w:r>
          <w:r>
            <w:rPr>
              <w:color w:val="auto"/>
              <w:highlight w:val="none"/>
            </w:rPr>
            <w:t>- 7 -</w:t>
          </w:r>
          <w:r>
            <w:rPr>
              <w:color w:val="auto"/>
              <w:highlight w:val="none"/>
            </w:rPr>
            <w:fldChar w:fldCharType="end"/>
          </w:r>
          <w:r>
            <w:rPr>
              <w:rFonts w:hint="eastAsia"/>
              <w:color w:val="auto"/>
              <w:highlight w:val="none"/>
            </w:rPr>
            <w:fldChar w:fldCharType="end"/>
          </w:r>
        </w:p>
        <w:p w14:paraId="4C04190D">
          <w:pPr>
            <w:pStyle w:val="33"/>
            <w:keepNext w:val="0"/>
            <w:keepLines w:val="0"/>
            <w:pageBreakBefore w:val="0"/>
            <w:widowControl w:val="0"/>
            <w:tabs>
              <w:tab w:val="right" w:leader="dot" w:pos="9071"/>
            </w:tabs>
            <w:kinsoku/>
            <w:topLinePunct w:val="0"/>
            <w:bidi w:val="0"/>
            <w:spacing w:line="240" w:lineRule="auto"/>
            <w:rPr>
              <w:rFonts w:hint="eastAsia"/>
              <w:color w:val="auto"/>
              <w:highlight w:val="none"/>
            </w:rPr>
          </w:pPr>
          <w:r>
            <w:rPr>
              <w:rFonts w:hint="eastAsia"/>
              <w:color w:val="auto"/>
              <w:highlight w:val="none"/>
            </w:rPr>
            <w:fldChar w:fldCharType="begin"/>
          </w:r>
          <w:r>
            <w:rPr>
              <w:rFonts w:hint="eastAsia"/>
              <w:color w:val="auto"/>
              <w:highlight w:val="none"/>
            </w:rPr>
            <w:instrText xml:space="preserve"> HYPERLINK \l _Toc13283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三、报价要求</w:t>
          </w:r>
          <w:r>
            <w:rPr>
              <w:color w:val="auto"/>
              <w:highlight w:val="none"/>
            </w:rPr>
            <w:tab/>
          </w:r>
          <w:r>
            <w:rPr>
              <w:color w:val="auto"/>
              <w:highlight w:val="none"/>
            </w:rPr>
            <w:fldChar w:fldCharType="begin"/>
          </w:r>
          <w:r>
            <w:rPr>
              <w:color w:val="auto"/>
              <w:highlight w:val="none"/>
            </w:rPr>
            <w:instrText xml:space="preserve"> PAGEREF _Toc13283 \h </w:instrText>
          </w:r>
          <w:r>
            <w:rPr>
              <w:color w:val="auto"/>
              <w:highlight w:val="none"/>
            </w:rPr>
            <w:fldChar w:fldCharType="separate"/>
          </w:r>
          <w:r>
            <w:rPr>
              <w:color w:val="auto"/>
              <w:highlight w:val="none"/>
            </w:rPr>
            <w:t>- 7 -</w:t>
          </w:r>
          <w:r>
            <w:rPr>
              <w:color w:val="auto"/>
              <w:highlight w:val="none"/>
            </w:rPr>
            <w:fldChar w:fldCharType="end"/>
          </w:r>
          <w:r>
            <w:rPr>
              <w:rFonts w:hint="eastAsia"/>
              <w:color w:val="auto"/>
              <w:highlight w:val="none"/>
            </w:rPr>
            <w:fldChar w:fldCharType="end"/>
          </w:r>
        </w:p>
        <w:p w14:paraId="116DE0B1">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_Toc25603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四、付款方式</w:t>
          </w:r>
          <w:r>
            <w:rPr>
              <w:color w:val="auto"/>
              <w:highlight w:val="none"/>
            </w:rPr>
            <w:tab/>
          </w:r>
          <w:r>
            <w:rPr>
              <w:color w:val="auto"/>
              <w:highlight w:val="none"/>
            </w:rPr>
            <w:fldChar w:fldCharType="begin"/>
          </w:r>
          <w:r>
            <w:rPr>
              <w:color w:val="auto"/>
              <w:highlight w:val="none"/>
            </w:rPr>
            <w:instrText xml:space="preserve"> PAGEREF _Toc25603 \h </w:instrText>
          </w:r>
          <w:r>
            <w:rPr>
              <w:color w:val="auto"/>
              <w:highlight w:val="none"/>
            </w:rPr>
            <w:fldChar w:fldCharType="separate"/>
          </w:r>
          <w:r>
            <w:rPr>
              <w:color w:val="auto"/>
              <w:highlight w:val="none"/>
            </w:rPr>
            <w:t>- 9 -</w:t>
          </w:r>
          <w:r>
            <w:rPr>
              <w:color w:val="auto"/>
              <w:highlight w:val="none"/>
            </w:rPr>
            <w:fldChar w:fldCharType="end"/>
          </w:r>
          <w:r>
            <w:rPr>
              <w:rFonts w:hint="eastAsia"/>
              <w:color w:val="auto"/>
              <w:highlight w:val="none"/>
            </w:rPr>
            <w:fldChar w:fldCharType="end"/>
          </w:r>
        </w:p>
        <w:p w14:paraId="74E508D1">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_Toc14374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五、</w:t>
          </w:r>
          <w:r>
            <w:rPr>
              <w:rFonts w:hint="eastAsia" w:ascii="宋体" w:hAnsi="宋体" w:eastAsia="宋体" w:cs="宋体"/>
              <w:color w:val="auto"/>
              <w:szCs w:val="24"/>
              <w:highlight w:val="none"/>
            </w:rPr>
            <w:t>结算原则</w:t>
          </w:r>
          <w:r>
            <w:rPr>
              <w:color w:val="auto"/>
              <w:highlight w:val="none"/>
            </w:rPr>
            <w:tab/>
          </w:r>
          <w:r>
            <w:rPr>
              <w:color w:val="auto"/>
              <w:highlight w:val="none"/>
            </w:rPr>
            <w:fldChar w:fldCharType="begin"/>
          </w:r>
          <w:r>
            <w:rPr>
              <w:color w:val="auto"/>
              <w:highlight w:val="none"/>
            </w:rPr>
            <w:instrText xml:space="preserve"> PAGEREF _Toc14374 \h </w:instrText>
          </w:r>
          <w:r>
            <w:rPr>
              <w:color w:val="auto"/>
              <w:highlight w:val="none"/>
            </w:rPr>
            <w:fldChar w:fldCharType="separate"/>
          </w:r>
          <w:r>
            <w:rPr>
              <w:color w:val="auto"/>
              <w:highlight w:val="none"/>
            </w:rPr>
            <w:t>- 9 -</w:t>
          </w:r>
          <w:r>
            <w:rPr>
              <w:color w:val="auto"/>
              <w:highlight w:val="none"/>
            </w:rPr>
            <w:fldChar w:fldCharType="end"/>
          </w:r>
          <w:r>
            <w:rPr>
              <w:rFonts w:hint="eastAsia"/>
              <w:color w:val="auto"/>
              <w:highlight w:val="none"/>
            </w:rPr>
            <w:fldChar w:fldCharType="end"/>
          </w:r>
        </w:p>
        <w:p w14:paraId="24D08894">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_Toc28549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六、履约担保</w:t>
          </w:r>
          <w:r>
            <w:rPr>
              <w:rFonts w:hint="eastAsia" w:ascii="宋体" w:hAnsi="宋体" w:cs="宋体"/>
              <w:color w:val="auto"/>
              <w:szCs w:val="24"/>
              <w:highlight w:val="none"/>
              <w:lang w:val="en-US" w:eastAsia="zh-CN"/>
            </w:rPr>
            <w:t>及农民工工资保证金</w:t>
          </w:r>
          <w:r>
            <w:rPr>
              <w:color w:val="auto"/>
              <w:highlight w:val="none"/>
            </w:rPr>
            <w:tab/>
          </w:r>
          <w:r>
            <w:rPr>
              <w:color w:val="auto"/>
              <w:highlight w:val="none"/>
            </w:rPr>
            <w:fldChar w:fldCharType="begin"/>
          </w:r>
          <w:r>
            <w:rPr>
              <w:color w:val="auto"/>
              <w:highlight w:val="none"/>
            </w:rPr>
            <w:instrText xml:space="preserve"> PAGEREF _Toc28549 \h </w:instrText>
          </w:r>
          <w:r>
            <w:rPr>
              <w:color w:val="auto"/>
              <w:highlight w:val="none"/>
            </w:rPr>
            <w:fldChar w:fldCharType="separate"/>
          </w:r>
          <w:r>
            <w:rPr>
              <w:color w:val="auto"/>
              <w:highlight w:val="none"/>
            </w:rPr>
            <w:t>- 10 -</w:t>
          </w:r>
          <w:r>
            <w:rPr>
              <w:color w:val="auto"/>
              <w:highlight w:val="none"/>
            </w:rPr>
            <w:fldChar w:fldCharType="end"/>
          </w:r>
          <w:r>
            <w:rPr>
              <w:rFonts w:hint="eastAsia"/>
              <w:color w:val="auto"/>
              <w:highlight w:val="none"/>
            </w:rPr>
            <w:fldChar w:fldCharType="end"/>
          </w:r>
        </w:p>
        <w:p w14:paraId="7169EAEA">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_Toc579 </w:instrText>
          </w:r>
          <w:r>
            <w:rPr>
              <w:rFonts w:hint="eastAsia"/>
              <w:color w:val="auto"/>
              <w:highlight w:val="none"/>
            </w:rPr>
            <w:fldChar w:fldCharType="separate"/>
          </w:r>
          <w:r>
            <w:rPr>
              <w:rFonts w:hint="eastAsia" w:ascii="宋体" w:hAnsi="宋体" w:eastAsia="宋体" w:cs="宋体"/>
              <w:color w:val="auto"/>
              <w:kern w:val="2"/>
              <w:szCs w:val="24"/>
              <w:highlight w:val="none"/>
              <w:lang w:val="en-US" w:eastAsia="zh-CN" w:bidi="ar-SA"/>
            </w:rPr>
            <w:t>七、知识产权</w:t>
          </w:r>
          <w:r>
            <w:rPr>
              <w:color w:val="auto"/>
              <w:highlight w:val="none"/>
            </w:rPr>
            <w:tab/>
          </w:r>
          <w:r>
            <w:rPr>
              <w:color w:val="auto"/>
              <w:highlight w:val="none"/>
            </w:rPr>
            <w:fldChar w:fldCharType="begin"/>
          </w:r>
          <w:r>
            <w:rPr>
              <w:color w:val="auto"/>
              <w:highlight w:val="none"/>
            </w:rPr>
            <w:instrText xml:space="preserve"> PAGEREF _Toc579 \h </w:instrText>
          </w:r>
          <w:r>
            <w:rPr>
              <w:color w:val="auto"/>
              <w:highlight w:val="none"/>
            </w:rPr>
            <w:fldChar w:fldCharType="separate"/>
          </w:r>
          <w:r>
            <w:rPr>
              <w:color w:val="auto"/>
              <w:highlight w:val="none"/>
            </w:rPr>
            <w:t>- 12 -</w:t>
          </w:r>
          <w:r>
            <w:rPr>
              <w:color w:val="auto"/>
              <w:highlight w:val="none"/>
            </w:rPr>
            <w:fldChar w:fldCharType="end"/>
          </w:r>
          <w:r>
            <w:rPr>
              <w:rFonts w:hint="eastAsia"/>
              <w:color w:val="auto"/>
              <w:highlight w:val="none"/>
            </w:rPr>
            <w:fldChar w:fldCharType="end"/>
          </w:r>
        </w:p>
        <w:p w14:paraId="5CC0824F">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_Toc25323 </w:instrText>
          </w:r>
          <w:r>
            <w:rPr>
              <w:rFonts w:hint="eastAsia"/>
              <w:color w:val="auto"/>
              <w:highlight w:val="none"/>
            </w:rPr>
            <w:fldChar w:fldCharType="separate"/>
          </w:r>
          <w:r>
            <w:rPr>
              <w:rFonts w:hint="eastAsia" w:ascii="宋体" w:hAnsi="宋体" w:cs="宋体"/>
              <w:color w:val="auto"/>
              <w:szCs w:val="24"/>
              <w:highlight w:val="none"/>
              <w:lang w:val="en-US" w:eastAsia="zh-CN"/>
            </w:rPr>
            <w:t>八</w:t>
          </w:r>
          <w:r>
            <w:rPr>
              <w:rFonts w:hint="eastAsia" w:ascii="宋体" w:hAnsi="宋体" w:eastAsia="宋体" w:cs="宋体"/>
              <w:color w:val="auto"/>
              <w:szCs w:val="24"/>
              <w:highlight w:val="none"/>
              <w:lang w:val="en-US" w:eastAsia="zh-CN"/>
            </w:rPr>
            <w:t>、其他</w:t>
          </w:r>
          <w:r>
            <w:rPr>
              <w:color w:val="auto"/>
              <w:highlight w:val="none"/>
            </w:rPr>
            <w:tab/>
          </w:r>
          <w:r>
            <w:rPr>
              <w:color w:val="auto"/>
              <w:highlight w:val="none"/>
            </w:rPr>
            <w:fldChar w:fldCharType="begin"/>
          </w:r>
          <w:r>
            <w:rPr>
              <w:color w:val="auto"/>
              <w:highlight w:val="none"/>
            </w:rPr>
            <w:instrText xml:space="preserve"> PAGEREF _Toc25323 \h </w:instrText>
          </w:r>
          <w:r>
            <w:rPr>
              <w:color w:val="auto"/>
              <w:highlight w:val="none"/>
            </w:rPr>
            <w:fldChar w:fldCharType="separate"/>
          </w:r>
          <w:r>
            <w:rPr>
              <w:color w:val="auto"/>
              <w:highlight w:val="none"/>
            </w:rPr>
            <w:t>- 13 -</w:t>
          </w:r>
          <w:r>
            <w:rPr>
              <w:color w:val="auto"/>
              <w:highlight w:val="none"/>
            </w:rPr>
            <w:fldChar w:fldCharType="end"/>
          </w:r>
          <w:r>
            <w:rPr>
              <w:rFonts w:hint="eastAsia"/>
              <w:color w:val="auto"/>
              <w:highlight w:val="none"/>
            </w:rPr>
            <w:fldChar w:fldCharType="end"/>
          </w:r>
        </w:p>
        <w:p w14:paraId="529D0492">
          <w:pPr>
            <w:pStyle w:val="4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_Toc27644 </w:instrText>
          </w:r>
          <w:r>
            <w:rPr>
              <w:rFonts w:hint="eastAsia"/>
              <w:color w:val="auto"/>
              <w:highlight w:val="none"/>
            </w:rPr>
            <w:fldChar w:fldCharType="separate"/>
          </w:r>
          <w:r>
            <w:rPr>
              <w:rFonts w:hint="eastAsia" w:ascii="Times New Roman" w:hAnsi="Times New Roman" w:eastAsia="宋体" w:cs="宋体"/>
              <w:bCs w:val="0"/>
              <w:color w:val="auto"/>
              <w:kern w:val="2"/>
              <w:szCs w:val="36"/>
              <w:highlight w:val="none"/>
              <w:lang w:val="en-US" w:eastAsia="zh-CN" w:bidi="ar-SA"/>
            </w:rPr>
            <w:t>第四篇  比选程序及方法、评审标准、无效比选及采购终止</w:t>
          </w:r>
          <w:r>
            <w:rPr>
              <w:color w:val="auto"/>
              <w:highlight w:val="none"/>
            </w:rPr>
            <w:tab/>
          </w:r>
          <w:r>
            <w:rPr>
              <w:color w:val="auto"/>
              <w:highlight w:val="none"/>
            </w:rPr>
            <w:fldChar w:fldCharType="begin"/>
          </w:r>
          <w:r>
            <w:rPr>
              <w:color w:val="auto"/>
              <w:highlight w:val="none"/>
            </w:rPr>
            <w:instrText xml:space="preserve"> PAGEREF _Toc27644 \h </w:instrText>
          </w:r>
          <w:r>
            <w:rPr>
              <w:color w:val="auto"/>
              <w:highlight w:val="none"/>
            </w:rPr>
            <w:fldChar w:fldCharType="separate"/>
          </w:r>
          <w:r>
            <w:rPr>
              <w:color w:val="auto"/>
              <w:highlight w:val="none"/>
            </w:rPr>
            <w:t>- 14 -</w:t>
          </w:r>
          <w:r>
            <w:rPr>
              <w:color w:val="auto"/>
              <w:highlight w:val="none"/>
            </w:rPr>
            <w:fldChar w:fldCharType="end"/>
          </w:r>
          <w:r>
            <w:rPr>
              <w:rFonts w:hint="eastAsia"/>
              <w:color w:val="auto"/>
              <w:highlight w:val="none"/>
            </w:rPr>
            <w:fldChar w:fldCharType="end"/>
          </w:r>
        </w:p>
        <w:p w14:paraId="09A4D543">
          <w:pPr>
            <w:pStyle w:val="5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_Toc11930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一、比选程序</w:t>
          </w:r>
          <w:r>
            <w:rPr>
              <w:color w:val="auto"/>
              <w:highlight w:val="none"/>
            </w:rPr>
            <w:tab/>
          </w:r>
          <w:r>
            <w:rPr>
              <w:color w:val="auto"/>
              <w:highlight w:val="none"/>
            </w:rPr>
            <w:fldChar w:fldCharType="begin"/>
          </w:r>
          <w:r>
            <w:rPr>
              <w:color w:val="auto"/>
              <w:highlight w:val="none"/>
            </w:rPr>
            <w:instrText xml:space="preserve"> PAGEREF _Toc11930 \h </w:instrText>
          </w:r>
          <w:r>
            <w:rPr>
              <w:color w:val="auto"/>
              <w:highlight w:val="none"/>
            </w:rPr>
            <w:fldChar w:fldCharType="separate"/>
          </w:r>
          <w:r>
            <w:rPr>
              <w:color w:val="auto"/>
              <w:highlight w:val="none"/>
            </w:rPr>
            <w:t>- 14 -</w:t>
          </w:r>
          <w:r>
            <w:rPr>
              <w:color w:val="auto"/>
              <w:highlight w:val="none"/>
            </w:rPr>
            <w:fldChar w:fldCharType="end"/>
          </w:r>
          <w:r>
            <w:rPr>
              <w:rFonts w:hint="eastAsia"/>
              <w:color w:val="auto"/>
              <w:highlight w:val="none"/>
            </w:rPr>
            <w:fldChar w:fldCharType="end"/>
          </w:r>
        </w:p>
        <w:p w14:paraId="28CE3C52">
          <w:pPr>
            <w:pStyle w:val="5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_Toc28802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二、</w:t>
          </w:r>
          <w:r>
            <w:rPr>
              <w:rFonts w:hint="eastAsia" w:ascii="宋体" w:hAnsi="宋体" w:cs="宋体"/>
              <w:color w:val="auto"/>
              <w:szCs w:val="24"/>
              <w:highlight w:val="none"/>
              <w:lang w:val="en-US" w:eastAsia="zh-CN"/>
            </w:rPr>
            <w:t>评标方法</w:t>
          </w:r>
          <w:r>
            <w:rPr>
              <w:color w:val="auto"/>
              <w:highlight w:val="none"/>
            </w:rPr>
            <w:tab/>
          </w:r>
          <w:r>
            <w:rPr>
              <w:color w:val="auto"/>
              <w:highlight w:val="none"/>
            </w:rPr>
            <w:fldChar w:fldCharType="begin"/>
          </w:r>
          <w:r>
            <w:rPr>
              <w:color w:val="auto"/>
              <w:highlight w:val="none"/>
            </w:rPr>
            <w:instrText xml:space="preserve"> PAGEREF _Toc28802 \h </w:instrText>
          </w:r>
          <w:r>
            <w:rPr>
              <w:color w:val="auto"/>
              <w:highlight w:val="none"/>
            </w:rPr>
            <w:fldChar w:fldCharType="separate"/>
          </w:r>
          <w:r>
            <w:rPr>
              <w:color w:val="auto"/>
              <w:highlight w:val="none"/>
            </w:rPr>
            <w:t>- 15 -</w:t>
          </w:r>
          <w:r>
            <w:rPr>
              <w:color w:val="auto"/>
              <w:highlight w:val="none"/>
            </w:rPr>
            <w:fldChar w:fldCharType="end"/>
          </w:r>
          <w:r>
            <w:rPr>
              <w:rFonts w:hint="eastAsia"/>
              <w:color w:val="auto"/>
              <w:highlight w:val="none"/>
            </w:rPr>
            <w:fldChar w:fldCharType="end"/>
          </w:r>
        </w:p>
        <w:p w14:paraId="546D6341">
          <w:pPr>
            <w:pStyle w:val="5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_Toc25587 </w:instrText>
          </w:r>
          <w:r>
            <w:rPr>
              <w:rFonts w:hint="eastAsia"/>
              <w:color w:val="auto"/>
              <w:highlight w:val="none"/>
            </w:rPr>
            <w:fldChar w:fldCharType="separate"/>
          </w:r>
          <w:r>
            <w:rPr>
              <w:rFonts w:hint="eastAsia" w:ascii="宋体" w:hAnsi="宋体" w:cs="宋体"/>
              <w:bCs/>
              <w:smallCaps w:val="0"/>
              <w:color w:val="auto"/>
              <w:kern w:val="2"/>
              <w:szCs w:val="24"/>
              <w:highlight w:val="none"/>
              <w:lang w:val="en-US" w:eastAsia="zh-CN" w:bidi="ar-SA"/>
            </w:rPr>
            <w:t>三、 评审标准</w:t>
          </w:r>
          <w:r>
            <w:rPr>
              <w:color w:val="auto"/>
              <w:highlight w:val="none"/>
            </w:rPr>
            <w:tab/>
          </w:r>
          <w:r>
            <w:rPr>
              <w:color w:val="auto"/>
              <w:highlight w:val="none"/>
            </w:rPr>
            <w:fldChar w:fldCharType="begin"/>
          </w:r>
          <w:r>
            <w:rPr>
              <w:color w:val="auto"/>
              <w:highlight w:val="none"/>
            </w:rPr>
            <w:instrText xml:space="preserve"> PAGEREF _Toc25587 \h </w:instrText>
          </w:r>
          <w:r>
            <w:rPr>
              <w:color w:val="auto"/>
              <w:highlight w:val="none"/>
            </w:rPr>
            <w:fldChar w:fldCharType="separate"/>
          </w:r>
          <w:r>
            <w:rPr>
              <w:color w:val="auto"/>
              <w:highlight w:val="none"/>
            </w:rPr>
            <w:t>- 16 -</w:t>
          </w:r>
          <w:r>
            <w:rPr>
              <w:color w:val="auto"/>
              <w:highlight w:val="none"/>
            </w:rPr>
            <w:fldChar w:fldCharType="end"/>
          </w:r>
          <w:r>
            <w:rPr>
              <w:rFonts w:hint="eastAsia"/>
              <w:color w:val="auto"/>
              <w:highlight w:val="none"/>
            </w:rPr>
            <w:fldChar w:fldCharType="end"/>
          </w:r>
        </w:p>
        <w:p w14:paraId="776FB77D">
          <w:pPr>
            <w:pStyle w:val="5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_Toc6873 </w:instrText>
          </w:r>
          <w:r>
            <w:rPr>
              <w:rFonts w:hint="eastAsia"/>
              <w:color w:val="auto"/>
              <w:highlight w:val="none"/>
            </w:rPr>
            <w:fldChar w:fldCharType="separate"/>
          </w:r>
          <w:r>
            <w:rPr>
              <w:rFonts w:hint="eastAsia" w:ascii="宋体" w:hAnsi="宋体" w:eastAsia="宋体" w:cs="宋体"/>
              <w:bCs/>
              <w:color w:val="auto"/>
              <w:szCs w:val="24"/>
              <w:highlight w:val="none"/>
              <w:lang w:val="en-US" w:eastAsia="zh-CN"/>
            </w:rPr>
            <w:t>四、无效响应</w:t>
          </w:r>
          <w:r>
            <w:rPr>
              <w:color w:val="auto"/>
              <w:highlight w:val="none"/>
            </w:rPr>
            <w:tab/>
          </w:r>
          <w:r>
            <w:rPr>
              <w:color w:val="auto"/>
              <w:highlight w:val="none"/>
            </w:rPr>
            <w:fldChar w:fldCharType="begin"/>
          </w:r>
          <w:r>
            <w:rPr>
              <w:color w:val="auto"/>
              <w:highlight w:val="none"/>
            </w:rPr>
            <w:instrText xml:space="preserve"> PAGEREF _Toc6873 \h </w:instrText>
          </w:r>
          <w:r>
            <w:rPr>
              <w:color w:val="auto"/>
              <w:highlight w:val="none"/>
            </w:rPr>
            <w:fldChar w:fldCharType="separate"/>
          </w:r>
          <w:r>
            <w:rPr>
              <w:color w:val="auto"/>
              <w:highlight w:val="none"/>
            </w:rPr>
            <w:t>- 16 -</w:t>
          </w:r>
          <w:r>
            <w:rPr>
              <w:color w:val="auto"/>
              <w:highlight w:val="none"/>
            </w:rPr>
            <w:fldChar w:fldCharType="end"/>
          </w:r>
          <w:r>
            <w:rPr>
              <w:rFonts w:hint="eastAsia"/>
              <w:color w:val="auto"/>
              <w:highlight w:val="none"/>
            </w:rPr>
            <w:fldChar w:fldCharType="end"/>
          </w:r>
        </w:p>
        <w:p w14:paraId="35A8A3AD">
          <w:pPr>
            <w:pStyle w:val="5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_Toc19561 </w:instrText>
          </w:r>
          <w:r>
            <w:rPr>
              <w:rFonts w:hint="eastAsia"/>
              <w:color w:val="auto"/>
              <w:highlight w:val="none"/>
            </w:rPr>
            <w:fldChar w:fldCharType="separate"/>
          </w: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、采购终止</w:t>
          </w:r>
          <w:r>
            <w:rPr>
              <w:color w:val="auto"/>
              <w:highlight w:val="none"/>
            </w:rPr>
            <w:tab/>
          </w:r>
          <w:r>
            <w:rPr>
              <w:color w:val="auto"/>
              <w:highlight w:val="none"/>
            </w:rPr>
            <w:fldChar w:fldCharType="begin"/>
          </w:r>
          <w:r>
            <w:rPr>
              <w:color w:val="auto"/>
              <w:highlight w:val="none"/>
            </w:rPr>
            <w:instrText xml:space="preserve"> PAGEREF _Toc19561 \h </w:instrText>
          </w:r>
          <w:r>
            <w:rPr>
              <w:color w:val="auto"/>
              <w:highlight w:val="none"/>
            </w:rPr>
            <w:fldChar w:fldCharType="separate"/>
          </w:r>
          <w:r>
            <w:rPr>
              <w:color w:val="auto"/>
              <w:highlight w:val="none"/>
            </w:rPr>
            <w:t>- 16 -</w:t>
          </w:r>
          <w:r>
            <w:rPr>
              <w:color w:val="auto"/>
              <w:highlight w:val="none"/>
            </w:rPr>
            <w:fldChar w:fldCharType="end"/>
          </w:r>
          <w:r>
            <w:rPr>
              <w:rFonts w:hint="eastAsia"/>
              <w:color w:val="auto"/>
              <w:highlight w:val="none"/>
            </w:rPr>
            <w:fldChar w:fldCharType="end"/>
          </w:r>
        </w:p>
        <w:p w14:paraId="1F032336">
          <w:pPr>
            <w:pStyle w:val="4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_Toc22304 </w:instrText>
          </w:r>
          <w:r>
            <w:rPr>
              <w:rFonts w:hint="eastAsia"/>
              <w:color w:val="auto"/>
              <w:highlight w:val="none"/>
            </w:rPr>
            <w:fldChar w:fldCharType="separate"/>
          </w:r>
          <w:r>
            <w:rPr>
              <w:rFonts w:hint="eastAsia" w:cs="宋体"/>
              <w:bCs w:val="0"/>
              <w:color w:val="auto"/>
              <w:szCs w:val="36"/>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_Toc22304 \h </w:instrText>
          </w:r>
          <w:r>
            <w:rPr>
              <w:color w:val="auto"/>
              <w:highlight w:val="none"/>
            </w:rPr>
            <w:fldChar w:fldCharType="separate"/>
          </w:r>
          <w:r>
            <w:rPr>
              <w:color w:val="auto"/>
              <w:highlight w:val="none"/>
            </w:rPr>
            <w:t>- 17 -</w:t>
          </w:r>
          <w:r>
            <w:rPr>
              <w:color w:val="auto"/>
              <w:highlight w:val="none"/>
            </w:rPr>
            <w:fldChar w:fldCharType="end"/>
          </w:r>
          <w:r>
            <w:rPr>
              <w:rFonts w:hint="eastAsia"/>
              <w:color w:val="auto"/>
              <w:highlight w:val="none"/>
            </w:rPr>
            <w:fldChar w:fldCharType="end"/>
          </w:r>
        </w:p>
        <w:p w14:paraId="260B8541">
          <w:pPr>
            <w:pStyle w:val="4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_Toc22304 </w:instrText>
          </w:r>
          <w:r>
            <w:rPr>
              <w:rFonts w:hint="eastAsia"/>
              <w:color w:val="auto"/>
              <w:highlight w:val="none"/>
            </w:rPr>
            <w:fldChar w:fldCharType="separate"/>
          </w:r>
          <w:r>
            <w:rPr>
              <w:rFonts w:hint="eastAsia" w:cs="宋体"/>
              <w:bCs w:val="0"/>
              <w:color w:val="auto"/>
              <w:szCs w:val="36"/>
              <w:highlight w:val="none"/>
            </w:rPr>
            <w:t>第</w:t>
          </w:r>
          <w:r>
            <w:rPr>
              <w:rFonts w:hint="eastAsia" w:cs="宋体"/>
              <w:bCs w:val="0"/>
              <w:color w:val="auto"/>
              <w:szCs w:val="36"/>
              <w:highlight w:val="none"/>
              <w:lang w:val="en-US" w:eastAsia="zh-CN"/>
            </w:rPr>
            <w:t>六</w:t>
          </w:r>
          <w:r>
            <w:rPr>
              <w:rFonts w:hint="eastAsia" w:cs="宋体"/>
              <w:bCs w:val="0"/>
              <w:color w:val="auto"/>
              <w:szCs w:val="36"/>
              <w:highlight w:val="none"/>
            </w:rPr>
            <w:t xml:space="preserve">篇  </w:t>
          </w:r>
          <w:r>
            <w:rPr>
              <w:rFonts w:hint="eastAsia" w:cs="宋体"/>
              <w:bCs w:val="0"/>
              <w:color w:val="auto"/>
              <w:szCs w:val="36"/>
              <w:highlight w:val="none"/>
              <w:lang w:val="en-US" w:eastAsia="zh-CN"/>
            </w:rPr>
            <w:t>采购合同</w:t>
          </w:r>
          <w:r>
            <w:rPr>
              <w:color w:val="auto"/>
              <w:highlight w:val="none"/>
            </w:rPr>
            <w:tab/>
          </w:r>
          <w:r>
            <w:rPr>
              <w:color w:val="auto"/>
              <w:highlight w:val="none"/>
            </w:rPr>
            <w:fldChar w:fldCharType="begin"/>
          </w:r>
          <w:r>
            <w:rPr>
              <w:color w:val="auto"/>
              <w:highlight w:val="none"/>
            </w:rPr>
            <w:instrText xml:space="preserve"> PAGEREF _Toc22304 \h </w:instrText>
          </w:r>
          <w:r>
            <w:rPr>
              <w:color w:val="auto"/>
              <w:highlight w:val="none"/>
            </w:rPr>
            <w:fldChar w:fldCharType="separate"/>
          </w:r>
          <w:r>
            <w:rPr>
              <w:color w:val="auto"/>
              <w:highlight w:val="none"/>
            </w:rPr>
            <w:t>- 17 -</w:t>
          </w:r>
          <w:r>
            <w:rPr>
              <w:color w:val="auto"/>
              <w:highlight w:val="none"/>
            </w:rPr>
            <w:fldChar w:fldCharType="end"/>
          </w:r>
          <w:r>
            <w:rPr>
              <w:rFonts w:hint="eastAsia"/>
              <w:color w:val="auto"/>
              <w:highlight w:val="none"/>
            </w:rPr>
            <w:fldChar w:fldCharType="end"/>
          </w:r>
        </w:p>
        <w:p w14:paraId="7112E741">
          <w:pPr>
            <w:pStyle w:val="52"/>
            <w:keepNext w:val="0"/>
            <w:keepLines w:val="0"/>
            <w:pageBreakBefore w:val="0"/>
            <w:widowControl w:val="0"/>
            <w:tabs>
              <w:tab w:val="right" w:leader="dot" w:pos="9071"/>
            </w:tabs>
            <w:kinsoku/>
            <w:topLinePunct w:val="0"/>
            <w:bidi w:val="0"/>
            <w:spacing w:line="240" w:lineRule="auto"/>
            <w:rPr>
              <w:rFonts w:hint="eastAsia" w:eastAsia="宋体"/>
              <w:color w:val="auto"/>
              <w:highlight w:val="none"/>
              <w:lang w:val="en-US" w:eastAsia="zh-CN"/>
            </w:rPr>
          </w:pPr>
          <w:r>
            <w:rPr>
              <w:rFonts w:hint="eastAsia"/>
              <w:color w:val="auto"/>
              <w:highlight w:val="none"/>
            </w:rPr>
            <w:fldChar w:fldCharType="begin"/>
          </w:r>
          <w:r>
            <w:rPr>
              <w:rFonts w:hint="eastAsia"/>
              <w:color w:val="auto"/>
              <w:highlight w:val="none"/>
            </w:rPr>
            <w:instrText xml:space="preserve"> HYPERLINK \l _Toc25342 </w:instrText>
          </w:r>
          <w:r>
            <w:rPr>
              <w:rFonts w:hint="eastAsia"/>
              <w:color w:val="auto"/>
              <w:highlight w:val="none"/>
            </w:rPr>
            <w:fldChar w:fldCharType="separate"/>
          </w:r>
          <w:r>
            <w:rPr>
              <w:rFonts w:hint="eastAsia" w:ascii="宋体" w:hAnsi="宋体" w:eastAsia="宋体" w:cs="宋体"/>
              <w:color w:val="auto"/>
              <w:szCs w:val="44"/>
              <w:highlight w:val="none"/>
            </w:rPr>
            <w:t>第一部分 合同协议书</w:t>
          </w:r>
          <w:r>
            <w:rPr>
              <w:color w:val="auto"/>
              <w:highlight w:val="none"/>
            </w:rPr>
            <w:tab/>
          </w:r>
          <w:r>
            <w:rPr>
              <w:rFonts w:hint="eastAsia"/>
              <w:color w:val="auto"/>
              <w:highlight w:val="none"/>
            </w:rPr>
            <w:fldChar w:fldCharType="end"/>
          </w:r>
          <w:r>
            <w:rPr>
              <w:color w:val="auto"/>
              <w:highlight w:val="none"/>
            </w:rPr>
            <w:fldChar w:fldCharType="begin"/>
          </w:r>
          <w:r>
            <w:rPr>
              <w:color w:val="auto"/>
              <w:highlight w:val="none"/>
            </w:rPr>
            <w:instrText xml:space="preserve"> PAGEREF _Toc22304 \h </w:instrText>
          </w:r>
          <w:r>
            <w:rPr>
              <w:color w:val="auto"/>
              <w:highlight w:val="none"/>
            </w:rPr>
            <w:fldChar w:fldCharType="separate"/>
          </w:r>
          <w:r>
            <w:rPr>
              <w:color w:val="auto"/>
              <w:highlight w:val="none"/>
            </w:rPr>
            <w:t>- 17 -</w:t>
          </w:r>
          <w:r>
            <w:rPr>
              <w:color w:val="auto"/>
              <w:highlight w:val="none"/>
            </w:rPr>
            <w:fldChar w:fldCharType="end"/>
          </w:r>
        </w:p>
        <w:p w14:paraId="7A43ACC8">
          <w:pPr>
            <w:pStyle w:val="5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_Toc12162 </w:instrText>
          </w:r>
          <w:r>
            <w:rPr>
              <w:rFonts w:hint="eastAsia"/>
              <w:color w:val="auto"/>
              <w:highlight w:val="none"/>
            </w:rPr>
            <w:fldChar w:fldCharType="separate"/>
          </w:r>
          <w:r>
            <w:rPr>
              <w:rFonts w:hint="eastAsia" w:ascii="宋体" w:hAnsi="宋体" w:eastAsia="宋体" w:cs="宋体"/>
              <w:bCs w:val="0"/>
              <w:color w:val="auto"/>
              <w:szCs w:val="28"/>
              <w:highlight w:val="none"/>
              <w:lang w:val="en-US" w:eastAsia="zh-CN"/>
            </w:rPr>
            <w:t>第二部分</w:t>
          </w:r>
          <w:r>
            <w:rPr>
              <w:rFonts w:hint="eastAsia" w:ascii="宋体" w:hAnsi="宋体" w:eastAsia="宋体" w:cs="宋体"/>
              <w:bCs w:val="0"/>
              <w:color w:val="auto"/>
              <w:szCs w:val="28"/>
              <w:highlight w:val="none"/>
            </w:rPr>
            <w:t>通用合同条款</w:t>
          </w:r>
          <w:r>
            <w:rPr>
              <w:color w:val="auto"/>
              <w:highlight w:val="none"/>
            </w:rPr>
            <w:tab/>
          </w:r>
          <w:r>
            <w:rPr>
              <w:color w:val="auto"/>
              <w:highlight w:val="none"/>
            </w:rPr>
            <w:fldChar w:fldCharType="begin"/>
          </w:r>
          <w:r>
            <w:rPr>
              <w:color w:val="auto"/>
              <w:highlight w:val="none"/>
            </w:rPr>
            <w:instrText xml:space="preserve"> PAGEREF _Toc22304 \h </w:instrText>
          </w:r>
          <w:r>
            <w:rPr>
              <w:color w:val="auto"/>
              <w:highlight w:val="none"/>
            </w:rPr>
            <w:fldChar w:fldCharType="separate"/>
          </w:r>
          <w:r>
            <w:rPr>
              <w:color w:val="auto"/>
              <w:highlight w:val="none"/>
            </w:rPr>
            <w:t xml:space="preserve">- </w:t>
          </w:r>
          <w:r>
            <w:rPr>
              <w:rFonts w:hint="eastAsia"/>
              <w:color w:val="auto"/>
              <w:highlight w:val="none"/>
              <w:lang w:val="en-US" w:eastAsia="zh-CN"/>
            </w:rPr>
            <w:t>22</w:t>
          </w:r>
          <w:r>
            <w:rPr>
              <w:color w:val="auto"/>
              <w:highlight w:val="none"/>
            </w:rPr>
            <w:t xml:space="preserve"> -</w:t>
          </w:r>
          <w:r>
            <w:rPr>
              <w:color w:val="auto"/>
              <w:highlight w:val="none"/>
            </w:rPr>
            <w:fldChar w:fldCharType="end"/>
          </w:r>
          <w:r>
            <w:rPr>
              <w:rFonts w:hint="eastAsia"/>
              <w:color w:val="auto"/>
              <w:highlight w:val="none"/>
            </w:rPr>
            <w:fldChar w:fldCharType="end"/>
          </w:r>
        </w:p>
        <w:p w14:paraId="1AC1000E">
          <w:pPr>
            <w:pStyle w:val="5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_Toc32384 </w:instrText>
          </w:r>
          <w:r>
            <w:rPr>
              <w:rFonts w:hint="eastAsia"/>
              <w:color w:val="auto"/>
              <w:highlight w:val="none"/>
            </w:rPr>
            <w:fldChar w:fldCharType="separate"/>
          </w:r>
          <w:r>
            <w:rPr>
              <w:rFonts w:hint="eastAsia" w:ascii="宋体" w:hAnsi="宋体" w:eastAsia="宋体" w:cs="宋体"/>
              <w:color w:val="auto"/>
              <w:szCs w:val="28"/>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_Toc22304 \h </w:instrText>
          </w:r>
          <w:r>
            <w:rPr>
              <w:color w:val="auto"/>
              <w:highlight w:val="none"/>
            </w:rPr>
            <w:fldChar w:fldCharType="separate"/>
          </w:r>
          <w:r>
            <w:rPr>
              <w:color w:val="auto"/>
              <w:highlight w:val="none"/>
            </w:rPr>
            <w:t xml:space="preserve">- </w:t>
          </w:r>
          <w:r>
            <w:rPr>
              <w:rFonts w:hint="eastAsia"/>
              <w:color w:val="auto"/>
              <w:highlight w:val="none"/>
              <w:lang w:val="en-US" w:eastAsia="zh-CN"/>
            </w:rPr>
            <w:t>23</w:t>
          </w:r>
          <w:r>
            <w:rPr>
              <w:color w:val="auto"/>
              <w:highlight w:val="none"/>
            </w:rPr>
            <w:t xml:space="preserve"> -</w:t>
          </w:r>
          <w:r>
            <w:rPr>
              <w:color w:val="auto"/>
              <w:highlight w:val="none"/>
            </w:rPr>
            <w:fldChar w:fldCharType="end"/>
          </w:r>
          <w:r>
            <w:rPr>
              <w:rFonts w:hint="eastAsia"/>
              <w:color w:val="auto"/>
              <w:highlight w:val="none"/>
            </w:rPr>
            <w:fldChar w:fldCharType="end"/>
          </w:r>
        </w:p>
        <w:p w14:paraId="082A248F">
          <w:pPr>
            <w:pStyle w:val="4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_Toc16476 </w:instrText>
          </w:r>
          <w:r>
            <w:rPr>
              <w:rFonts w:hint="eastAsia"/>
              <w:color w:val="auto"/>
              <w:highlight w:val="none"/>
            </w:rPr>
            <w:fldChar w:fldCharType="separate"/>
          </w:r>
          <w:r>
            <w:rPr>
              <w:rFonts w:hint="eastAsia" w:ascii="Times New Roman" w:hAnsi="Times New Roman" w:eastAsia="宋体" w:cs="宋体"/>
              <w:bCs w:val="0"/>
              <w:color w:val="auto"/>
              <w:kern w:val="2"/>
              <w:szCs w:val="36"/>
              <w:highlight w:val="none"/>
              <w:lang w:val="en-US" w:eastAsia="zh-CN" w:bidi="ar-SA"/>
            </w:rPr>
            <w:t>第七篇  响应文件编制要求</w:t>
          </w:r>
          <w:r>
            <w:rPr>
              <w:color w:val="auto"/>
              <w:highlight w:val="none"/>
            </w:rPr>
            <w:tab/>
          </w:r>
          <w:r>
            <w:rPr>
              <w:color w:val="auto"/>
              <w:highlight w:val="none"/>
            </w:rPr>
            <w:fldChar w:fldCharType="begin"/>
          </w:r>
          <w:r>
            <w:rPr>
              <w:color w:val="auto"/>
              <w:highlight w:val="none"/>
            </w:rPr>
            <w:instrText xml:space="preserve"> PAGEREF _Toc16476 \h </w:instrText>
          </w:r>
          <w:r>
            <w:rPr>
              <w:color w:val="auto"/>
              <w:highlight w:val="none"/>
            </w:rPr>
            <w:fldChar w:fldCharType="separate"/>
          </w:r>
          <w:r>
            <w:rPr>
              <w:color w:val="auto"/>
              <w:highlight w:val="none"/>
            </w:rPr>
            <w:t>- 85 -</w:t>
          </w:r>
          <w:r>
            <w:rPr>
              <w:color w:val="auto"/>
              <w:highlight w:val="none"/>
            </w:rPr>
            <w:fldChar w:fldCharType="end"/>
          </w:r>
          <w:r>
            <w:rPr>
              <w:rFonts w:hint="eastAsia"/>
              <w:color w:val="auto"/>
              <w:highlight w:val="none"/>
            </w:rPr>
            <w:fldChar w:fldCharType="end"/>
          </w:r>
        </w:p>
        <w:p w14:paraId="7FC5E346">
          <w:pPr>
            <w:keepNext w:val="0"/>
            <w:keepLines w:val="0"/>
            <w:pageBreakBefore w:val="0"/>
            <w:widowControl w:val="0"/>
            <w:kinsoku/>
            <w:topLinePunct w:val="0"/>
            <w:bidi w:val="0"/>
            <w:rPr>
              <w:rFonts w:hint="eastAsia" w:ascii="Times New Roman" w:hAnsi="Times New Roman" w:eastAsia="宋体" w:cs="Times New Roman"/>
              <w:color w:val="auto"/>
              <w:kern w:val="2"/>
              <w:sz w:val="28"/>
              <w:highlight w:val="none"/>
              <w:lang w:val="en-US" w:eastAsia="zh-CN" w:bidi="ar-SA"/>
            </w:rPr>
          </w:pPr>
          <w:r>
            <w:rPr>
              <w:rFonts w:hint="eastAsia"/>
              <w:color w:val="auto"/>
              <w:highlight w:val="none"/>
            </w:rPr>
            <w:fldChar w:fldCharType="end"/>
          </w:r>
        </w:p>
      </w:sdtContent>
    </w:sdt>
    <w:p w14:paraId="16015719">
      <w:pPr>
        <w:pStyle w:val="23"/>
        <w:keepNext w:val="0"/>
        <w:keepLines w:val="0"/>
        <w:pageBreakBefore w:val="0"/>
        <w:widowControl w:val="0"/>
        <w:kinsoku/>
        <w:topLinePunct w:val="0"/>
        <w:bidi w:val="0"/>
        <w:rPr>
          <w:rFonts w:hint="eastAsia"/>
          <w:color w:val="auto"/>
          <w:highlight w:val="none"/>
        </w:rPr>
        <w:sectPr>
          <w:footerReference r:id="rId6" w:type="first"/>
          <w:footerReference r:id="rId5" w:type="default"/>
          <w:pgSz w:w="11907" w:h="16840"/>
          <w:pgMar w:top="1440" w:right="1080" w:bottom="1440" w:left="1080" w:header="851" w:footer="992" w:gutter="0"/>
          <w:pgNumType w:fmt="decimal" w:start="1"/>
          <w:cols w:space="720" w:num="1"/>
          <w:titlePg/>
          <w:docGrid w:linePitch="381" w:charSpace="-5735"/>
        </w:sectPr>
      </w:pPr>
    </w:p>
    <w:p w14:paraId="45068F41">
      <w:pPr>
        <w:keepNext w:val="0"/>
        <w:keepLines w:val="0"/>
        <w:pageBreakBefore w:val="0"/>
        <w:widowControl w:val="0"/>
        <w:numPr>
          <w:ilvl w:val="0"/>
          <w:numId w:val="14"/>
        </w:numPr>
        <w:kinsoku/>
        <w:wordWrap/>
        <w:topLinePunct w:val="0"/>
        <w:bidi w:val="0"/>
        <w:spacing w:line="400" w:lineRule="exact"/>
        <w:jc w:val="center"/>
        <w:textAlignment w:val="auto"/>
        <w:outlineLvl w:val="0"/>
        <w:rPr>
          <w:rFonts w:hint="eastAsia" w:eastAsia="宋体" w:cs="宋体"/>
          <w:b/>
          <w:bCs w:val="0"/>
          <w:color w:val="auto"/>
          <w:sz w:val="36"/>
          <w:szCs w:val="36"/>
          <w:highlight w:val="none"/>
          <w:lang w:val="en-US" w:eastAsia="zh-CN"/>
        </w:rPr>
      </w:pPr>
      <w:bookmarkStart w:id="22" w:name="_Toc11641050"/>
      <w:bookmarkStart w:id="23" w:name="_Toc12789052"/>
      <w:r>
        <w:rPr>
          <w:rFonts w:hint="eastAsia" w:eastAsia="宋体" w:cs="宋体"/>
          <w:b/>
          <w:bCs w:val="0"/>
          <w:color w:val="auto"/>
          <w:sz w:val="36"/>
          <w:szCs w:val="36"/>
          <w:highlight w:val="none"/>
          <w:lang w:val="en-US" w:eastAsia="zh-CN"/>
        </w:rPr>
        <w:t xml:space="preserve"> </w:t>
      </w:r>
      <w:bookmarkEnd w:id="22"/>
      <w:bookmarkEnd w:id="23"/>
      <w:bookmarkStart w:id="24" w:name="_Toc28152"/>
      <w:bookmarkStart w:id="25" w:name="_Toc15689"/>
      <w:bookmarkStart w:id="26" w:name="_Toc21805"/>
      <w:r>
        <w:rPr>
          <w:rFonts w:hint="eastAsia" w:eastAsia="宋体" w:cs="宋体"/>
          <w:b/>
          <w:bCs w:val="0"/>
          <w:color w:val="auto"/>
          <w:sz w:val="36"/>
          <w:szCs w:val="36"/>
          <w:highlight w:val="none"/>
          <w:lang w:val="en-US" w:eastAsia="zh-CN"/>
        </w:rPr>
        <w:t>比选公告</w:t>
      </w:r>
      <w:bookmarkEnd w:id="24"/>
      <w:bookmarkEnd w:id="25"/>
      <w:bookmarkEnd w:id="26"/>
    </w:p>
    <w:p w14:paraId="0ABA1D11">
      <w:pPr>
        <w:pStyle w:val="23"/>
        <w:keepNext w:val="0"/>
        <w:keepLines w:val="0"/>
        <w:pageBreakBefore w:val="0"/>
        <w:widowControl w:val="0"/>
        <w:numPr>
          <w:ilvl w:val="0"/>
          <w:numId w:val="0"/>
        </w:numPr>
        <w:kinsoku/>
        <w:topLinePunct w:val="0"/>
        <w:bidi w:val="0"/>
        <w:rPr>
          <w:rFonts w:hint="eastAsia"/>
          <w:color w:val="auto"/>
          <w:highlight w:val="none"/>
          <w:lang w:val="en-US" w:eastAsia="zh-CN"/>
        </w:rPr>
      </w:pPr>
    </w:p>
    <w:p w14:paraId="0E3E5F4E">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重庆福源工程管理有限公司</w:t>
      </w:r>
      <w:r>
        <w:rPr>
          <w:rFonts w:hint="eastAsia" w:ascii="宋体" w:hAnsi="宋体" w:eastAsia="宋体" w:cs="宋体"/>
          <w:color w:val="auto"/>
          <w:sz w:val="24"/>
          <w:szCs w:val="24"/>
          <w:highlight w:val="none"/>
        </w:rPr>
        <w:t>（以下简称：采购代理机构）受</w:t>
      </w:r>
      <w:r>
        <w:rPr>
          <w:rFonts w:hint="eastAsia" w:ascii="宋体" w:hAnsi="宋体" w:eastAsia="宋体" w:cs="宋体"/>
          <w:color w:val="auto"/>
          <w:sz w:val="24"/>
          <w:szCs w:val="24"/>
          <w:highlight w:val="none"/>
          <w:u w:val="single"/>
          <w:lang w:eastAsia="zh-CN"/>
        </w:rPr>
        <w:t>重庆大足石刻国际文化旅游集团有限公司</w:t>
      </w:r>
      <w:r>
        <w:rPr>
          <w:rFonts w:hint="eastAsia" w:ascii="宋体" w:hAnsi="宋体" w:eastAsia="宋体" w:cs="宋体"/>
          <w:color w:val="auto"/>
          <w:sz w:val="24"/>
          <w:szCs w:val="24"/>
          <w:highlight w:val="none"/>
        </w:rPr>
        <w:t>（以下简称：采购人）的委托，对</w:t>
      </w:r>
      <w:r>
        <w:rPr>
          <w:rFonts w:hint="eastAsia" w:ascii="宋体" w:hAnsi="宋体" w:cs="宋体"/>
          <w:color w:val="auto"/>
          <w:sz w:val="24"/>
          <w:szCs w:val="24"/>
          <w:highlight w:val="none"/>
          <w:u w:val="single"/>
          <w:lang w:val="en-US" w:eastAsia="zh-CN"/>
        </w:rPr>
        <w:t>北山一碗水边坡安全整治工程</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。欢迎有资格的供应商前来参加。</w:t>
      </w:r>
    </w:p>
    <w:p w14:paraId="43B1E485">
      <w:pPr>
        <w:pStyle w:val="4"/>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bookmarkStart w:id="27" w:name="_Toc313893526"/>
      <w:bookmarkStart w:id="28" w:name="_Toc12413"/>
      <w:bookmarkStart w:id="29" w:name="_Toc51660705"/>
      <w:bookmarkStart w:id="30" w:name="_Toc28440"/>
      <w:bookmarkStart w:id="31" w:name="_Toc317775175"/>
      <w:r>
        <w:rPr>
          <w:rFonts w:hint="eastAsia" w:ascii="宋体" w:hAnsi="宋体" w:eastAsia="宋体" w:cs="宋体"/>
          <w:color w:val="auto"/>
          <w:sz w:val="24"/>
          <w:szCs w:val="24"/>
          <w:highlight w:val="none"/>
          <w:lang w:val="en-US" w:eastAsia="zh-CN"/>
        </w:rPr>
        <w:t>一、比选内容</w:t>
      </w:r>
      <w:bookmarkEnd w:id="27"/>
      <w:bookmarkEnd w:id="28"/>
      <w:bookmarkEnd w:id="29"/>
      <w:bookmarkEnd w:id="30"/>
      <w:bookmarkEnd w:id="31"/>
    </w:p>
    <w:tbl>
      <w:tblPr>
        <w:tblStyle w:val="65"/>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459"/>
        <w:gridCol w:w="1537"/>
        <w:gridCol w:w="1243"/>
        <w:gridCol w:w="1293"/>
        <w:gridCol w:w="742"/>
      </w:tblGrid>
      <w:tr w14:paraId="0E99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35" w:type="dxa"/>
            <w:tcBorders>
              <w:top w:val="single" w:color="auto" w:sz="4" w:space="0"/>
              <w:left w:val="single" w:color="auto" w:sz="4" w:space="0"/>
              <w:right w:val="single" w:color="auto" w:sz="4" w:space="0"/>
            </w:tcBorders>
            <w:vAlign w:val="center"/>
          </w:tcPr>
          <w:p w14:paraId="697F954E">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459" w:type="dxa"/>
            <w:tcBorders>
              <w:top w:val="single" w:color="auto" w:sz="4" w:space="0"/>
              <w:left w:val="single" w:color="auto" w:sz="4" w:space="0"/>
              <w:right w:val="single" w:color="auto" w:sz="4" w:space="0"/>
            </w:tcBorders>
            <w:vAlign w:val="center"/>
          </w:tcPr>
          <w:p w14:paraId="43538311">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比选</w:t>
            </w:r>
            <w:r>
              <w:rPr>
                <w:rFonts w:hint="eastAsia" w:ascii="宋体" w:hAnsi="宋体" w:eastAsia="宋体" w:cs="宋体"/>
                <w:b/>
                <w:color w:val="auto"/>
                <w:kern w:val="0"/>
                <w:sz w:val="24"/>
                <w:szCs w:val="24"/>
                <w:highlight w:val="none"/>
              </w:rPr>
              <w:t>内容</w:t>
            </w:r>
          </w:p>
        </w:tc>
        <w:tc>
          <w:tcPr>
            <w:tcW w:w="1537" w:type="dxa"/>
            <w:tcBorders>
              <w:top w:val="single" w:color="auto" w:sz="4" w:space="0"/>
              <w:left w:val="single" w:color="auto" w:sz="4" w:space="0"/>
              <w:right w:val="single" w:color="auto" w:sz="4" w:space="0"/>
            </w:tcBorders>
            <w:vAlign w:val="center"/>
          </w:tcPr>
          <w:p w14:paraId="03569807">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最高限价</w:t>
            </w:r>
          </w:p>
          <w:p w14:paraId="4126D2E7">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（元）</w:t>
            </w:r>
          </w:p>
        </w:tc>
        <w:tc>
          <w:tcPr>
            <w:tcW w:w="1243" w:type="dxa"/>
            <w:tcBorders>
              <w:top w:val="single" w:color="auto" w:sz="4" w:space="0"/>
              <w:left w:val="single" w:color="auto" w:sz="4" w:space="0"/>
              <w:right w:val="single" w:color="auto" w:sz="4" w:space="0"/>
            </w:tcBorders>
            <w:shd w:val="clear" w:color="auto" w:fill="auto"/>
            <w:vAlign w:val="center"/>
          </w:tcPr>
          <w:p w14:paraId="6662F574">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宋体" w:hAnsi="宋体" w:eastAsia="宋体" w:cs="宋体"/>
                <w:b/>
                <w:color w:val="auto"/>
                <w:kern w:val="0"/>
                <w:sz w:val="24"/>
                <w:szCs w:val="24"/>
                <w:highlight w:val="none"/>
                <w:lang w:val="en-US" w:eastAsia="zh-CN" w:bidi="ar-SA"/>
              </w:rPr>
            </w:pPr>
            <w:r>
              <w:rPr>
                <w:rFonts w:hint="eastAsia" w:ascii="宋体" w:hAnsi="宋体" w:cs="宋体"/>
                <w:b/>
                <w:color w:val="auto"/>
                <w:kern w:val="0"/>
                <w:sz w:val="24"/>
                <w:szCs w:val="24"/>
                <w:highlight w:val="none"/>
                <w:lang w:val="en-US" w:eastAsia="zh-CN" w:bidi="ar-SA"/>
              </w:rPr>
              <w:t>投标保证金（元）</w:t>
            </w:r>
          </w:p>
        </w:tc>
        <w:tc>
          <w:tcPr>
            <w:tcW w:w="1293" w:type="dxa"/>
            <w:tcBorders>
              <w:top w:val="single" w:color="auto" w:sz="4" w:space="0"/>
              <w:left w:val="single" w:color="auto" w:sz="4" w:space="0"/>
              <w:right w:val="single" w:color="auto" w:sz="4" w:space="0"/>
            </w:tcBorders>
            <w:shd w:val="clear" w:color="auto" w:fill="auto"/>
            <w:vAlign w:val="center"/>
          </w:tcPr>
          <w:p w14:paraId="5DED7285">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rPr>
              <w:t>资金来源</w:t>
            </w:r>
          </w:p>
        </w:tc>
        <w:tc>
          <w:tcPr>
            <w:tcW w:w="742" w:type="dxa"/>
            <w:tcBorders>
              <w:top w:val="single" w:color="auto" w:sz="4" w:space="0"/>
              <w:left w:val="single" w:color="auto" w:sz="4" w:space="0"/>
              <w:right w:val="single" w:color="auto" w:sz="4" w:space="0"/>
            </w:tcBorders>
            <w:vAlign w:val="center"/>
          </w:tcPr>
          <w:p w14:paraId="6522B649">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备注</w:t>
            </w:r>
          </w:p>
        </w:tc>
      </w:tr>
      <w:tr w14:paraId="7FB1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7A9B0E78">
            <w:pPr>
              <w:keepNext w:val="0"/>
              <w:keepLines w:val="0"/>
              <w:pageBreakBefore w:val="0"/>
              <w:widowControl w:val="0"/>
              <w:kinsoku/>
              <w:wordWrap/>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459" w:type="dxa"/>
            <w:tcBorders>
              <w:top w:val="single" w:color="auto" w:sz="4" w:space="0"/>
              <w:left w:val="single" w:color="auto" w:sz="4" w:space="0"/>
              <w:bottom w:val="single" w:color="auto" w:sz="4" w:space="0"/>
              <w:right w:val="single" w:color="auto" w:sz="4" w:space="0"/>
            </w:tcBorders>
            <w:vAlign w:val="center"/>
          </w:tcPr>
          <w:p w14:paraId="740F2A42">
            <w:pPr>
              <w:keepNext w:val="0"/>
              <w:keepLines w:val="0"/>
              <w:pageBreakBefore w:val="0"/>
              <w:widowControl w:val="0"/>
              <w:kinsoku/>
              <w:wordWrap/>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北山一碗水边坡安全整治工程</w:t>
            </w:r>
          </w:p>
        </w:tc>
        <w:tc>
          <w:tcPr>
            <w:tcW w:w="1537" w:type="dxa"/>
            <w:tcBorders>
              <w:top w:val="single" w:color="auto" w:sz="4" w:space="0"/>
              <w:left w:val="single" w:color="auto" w:sz="4" w:space="0"/>
              <w:bottom w:val="single" w:color="auto" w:sz="4" w:space="0"/>
              <w:right w:val="single" w:color="auto" w:sz="4" w:space="0"/>
            </w:tcBorders>
            <w:vAlign w:val="center"/>
          </w:tcPr>
          <w:p w14:paraId="51BDE3C3">
            <w:pPr>
              <w:keepNext w:val="0"/>
              <w:keepLines w:val="0"/>
              <w:pageBreakBefore w:val="0"/>
              <w:widowControl w:val="0"/>
              <w:kinsoku/>
              <w:wordWrap/>
              <w:overflowPunct/>
              <w:topLinePunct w:val="0"/>
              <w:autoSpaceDE/>
              <w:autoSpaceDN/>
              <w:bidi w:val="0"/>
              <w:adjustRightInd/>
              <w:spacing w:line="440" w:lineRule="exact"/>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600000</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14:paraId="1321A8C8">
            <w:pPr>
              <w:keepNext w:val="0"/>
              <w:keepLines w:val="0"/>
              <w:pageBreakBefore w:val="0"/>
              <w:widowControl w:val="0"/>
              <w:kinsoku/>
              <w:wordWrap/>
              <w:overflowPunct/>
              <w:topLinePunct w:val="0"/>
              <w:autoSpaceDE/>
              <w:autoSpaceDN/>
              <w:bidi w:val="0"/>
              <w:adjustRightInd/>
              <w:spacing w:line="440" w:lineRule="exact"/>
              <w:ind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5000</w:t>
            </w: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14:paraId="0647E97D">
            <w:pPr>
              <w:keepNext w:val="0"/>
              <w:keepLines w:val="0"/>
              <w:pageBreakBefore w:val="0"/>
              <w:widowControl w:val="0"/>
              <w:kinsoku/>
              <w:wordWrap/>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业主自筹</w:t>
            </w:r>
          </w:p>
        </w:tc>
        <w:tc>
          <w:tcPr>
            <w:tcW w:w="742" w:type="dxa"/>
            <w:tcBorders>
              <w:top w:val="single" w:color="auto" w:sz="4" w:space="0"/>
              <w:left w:val="single" w:color="auto" w:sz="4" w:space="0"/>
              <w:bottom w:val="single" w:color="auto" w:sz="4" w:space="0"/>
              <w:right w:val="single" w:color="auto" w:sz="4" w:space="0"/>
            </w:tcBorders>
            <w:vAlign w:val="center"/>
          </w:tcPr>
          <w:p w14:paraId="7D669990">
            <w:pPr>
              <w:keepNext w:val="0"/>
              <w:keepLines w:val="0"/>
              <w:pageBreakBefore w:val="0"/>
              <w:widowControl w:val="0"/>
              <w:kinsoku/>
              <w:wordWrap/>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kern w:val="0"/>
                <w:sz w:val="24"/>
                <w:szCs w:val="24"/>
                <w:highlight w:val="none"/>
              </w:rPr>
            </w:pPr>
          </w:p>
        </w:tc>
      </w:tr>
    </w:tbl>
    <w:p w14:paraId="6D50646E">
      <w:pPr>
        <w:pStyle w:val="4"/>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bookmarkStart w:id="32" w:name="_Toc51660707"/>
      <w:bookmarkStart w:id="33" w:name="_Toc8693"/>
      <w:bookmarkStart w:id="34" w:name="_Toc14041"/>
      <w:bookmarkStart w:id="35" w:name="_Toc373860293"/>
      <w:bookmarkStart w:id="36" w:name="_Toc317775178"/>
      <w:r>
        <w:rPr>
          <w:rFonts w:hint="eastAsia" w:ascii="宋体" w:hAnsi="宋体" w:eastAsia="宋体" w:cs="宋体"/>
          <w:color w:val="auto"/>
          <w:sz w:val="24"/>
          <w:szCs w:val="24"/>
          <w:highlight w:val="none"/>
          <w:lang w:val="en-US" w:eastAsia="zh-CN"/>
        </w:rPr>
        <w:t>二、供应商的资格条件</w:t>
      </w:r>
      <w:bookmarkEnd w:id="32"/>
      <w:bookmarkEnd w:id="33"/>
      <w:bookmarkEnd w:id="34"/>
    </w:p>
    <w:p w14:paraId="38B117ED">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val="en-US" w:eastAsia="zh-CN"/>
        </w:rPr>
        <w:t>基本资格</w:t>
      </w:r>
      <w:r>
        <w:rPr>
          <w:rFonts w:hint="eastAsia" w:ascii="宋体" w:hAnsi="宋体" w:eastAsia="宋体" w:cs="宋体"/>
          <w:b/>
          <w:color w:val="auto"/>
          <w:sz w:val="24"/>
          <w:szCs w:val="24"/>
          <w:highlight w:val="none"/>
        </w:rPr>
        <w:t>条件</w:t>
      </w:r>
    </w:p>
    <w:p w14:paraId="497D412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2E15DCF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2033C88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697A3E7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47360044">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活动前三年内，在经营活动中没有重大违法记录；</w:t>
      </w:r>
    </w:p>
    <w:p w14:paraId="00413E0A">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41DA1897">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（二）特定资格条件</w:t>
      </w:r>
    </w:p>
    <w:p w14:paraId="7BA5F7DD">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1、资质条件：</w:t>
      </w:r>
      <w:r>
        <w:rPr>
          <w:rFonts w:hint="eastAsia" w:ascii="宋体" w:hAnsi="宋体" w:cs="宋体"/>
          <w:color w:val="auto"/>
          <w:sz w:val="24"/>
          <w:szCs w:val="24"/>
          <w:highlight w:val="none"/>
          <w:u w:val="single"/>
          <w:lang w:val="en-US" w:eastAsia="zh-CN"/>
        </w:rPr>
        <w:t>具备建设行政主管部门颁发的有效的</w:t>
      </w:r>
      <w:r>
        <w:rPr>
          <w:rFonts w:hint="eastAsia" w:ascii="宋体" w:hAnsi="宋体" w:eastAsia="宋体" w:cs="宋体"/>
          <w:color w:val="333333"/>
          <w:spacing w:val="2"/>
          <w:kern w:val="0"/>
          <w:sz w:val="24"/>
          <w:szCs w:val="24"/>
          <w:u w:val="single"/>
          <w:shd w:val="clear" w:color="auto" w:fill="FFFFFF"/>
          <w:lang w:val="en-US" w:eastAsia="zh-CN" w:bidi="ar"/>
        </w:rPr>
        <w:t>市政</w:t>
      </w:r>
      <w:r>
        <w:rPr>
          <w:rFonts w:hint="eastAsia" w:ascii="宋体" w:hAnsi="宋体" w:eastAsia="宋体" w:cs="宋体"/>
          <w:color w:val="333333"/>
          <w:kern w:val="0"/>
          <w:sz w:val="24"/>
          <w:szCs w:val="24"/>
          <w:u w:val="single"/>
          <w:shd w:val="clear" w:color="auto" w:fill="FFFFFF"/>
          <w:lang w:val="en-US" w:eastAsia="zh-CN" w:bidi="ar"/>
        </w:rPr>
        <w:t>公用工程</w:t>
      </w:r>
      <w:r>
        <w:rPr>
          <w:rFonts w:hint="eastAsia" w:ascii="宋体" w:hAnsi="宋体" w:eastAsia="宋体" w:cs="宋体"/>
          <w:b w:val="0"/>
          <w:bCs w:val="0"/>
          <w:snapToGrid w:val="0"/>
          <w:color w:val="auto"/>
          <w:sz w:val="24"/>
          <w:szCs w:val="24"/>
          <w:highlight w:val="none"/>
          <w:u w:val="single"/>
          <w:lang w:eastAsia="zh-CN"/>
        </w:rPr>
        <w:t>施工总承包</w:t>
      </w:r>
      <w:r>
        <w:rPr>
          <w:rFonts w:hint="eastAsia" w:ascii="宋体" w:hAnsi="宋体" w:cs="宋体"/>
          <w:color w:val="auto"/>
          <w:sz w:val="24"/>
          <w:szCs w:val="24"/>
          <w:highlight w:val="none"/>
          <w:u w:val="single"/>
          <w:lang w:val="en-US" w:eastAsia="zh-CN"/>
        </w:rPr>
        <w:t>三级及以上资质</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提供有效的资质证书复印件加盖供应商公章</w:t>
      </w:r>
      <w:r>
        <w:rPr>
          <w:rFonts w:hint="eastAsia" w:ascii="宋体" w:hAnsi="宋体" w:cs="宋体"/>
          <w:color w:val="auto"/>
          <w:sz w:val="24"/>
          <w:szCs w:val="24"/>
          <w:highlight w:val="none"/>
          <w:u w:val="none"/>
          <w:lang w:val="en-US" w:eastAsia="zh-CN"/>
        </w:rPr>
        <w:t>。）</w:t>
      </w:r>
    </w:p>
    <w:p w14:paraId="1EA9EFCD">
      <w:pPr>
        <w:keepNext w:val="0"/>
        <w:keepLines w:val="0"/>
        <w:pageBreakBefore w:val="0"/>
        <w:widowControl w:val="0"/>
        <w:numPr>
          <w:ilvl w:val="0"/>
          <w:numId w:val="15"/>
        </w:numPr>
        <w:kinsoku/>
        <w:wordWrap/>
        <w:overflowPunct/>
        <w:topLinePunct w:val="0"/>
        <w:autoSpaceDE/>
        <w:autoSpaceDN/>
        <w:bidi w:val="0"/>
        <w:adjustRightInd/>
        <w:spacing w:line="440" w:lineRule="exact"/>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营业执照</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具备有效的企业法人营业执照。</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提供有效的营业执照副本复印件并加盖供应商公章。</w:t>
      </w:r>
      <w:r>
        <w:rPr>
          <w:rFonts w:hint="eastAsia" w:ascii="宋体" w:hAnsi="宋体" w:cs="宋体"/>
          <w:color w:val="auto"/>
          <w:sz w:val="24"/>
          <w:szCs w:val="24"/>
          <w:highlight w:val="none"/>
          <w:u w:val="none"/>
          <w:lang w:val="en-US" w:eastAsia="zh-CN"/>
        </w:rPr>
        <w:t>）</w:t>
      </w:r>
    </w:p>
    <w:p w14:paraId="3EF0E054">
      <w:pPr>
        <w:keepNext w:val="0"/>
        <w:keepLines w:val="0"/>
        <w:pageBreakBefore w:val="0"/>
        <w:widowControl w:val="0"/>
        <w:numPr>
          <w:ilvl w:val="0"/>
          <w:numId w:val="0"/>
        </w:numPr>
        <w:kinsoku/>
        <w:wordWrap/>
        <w:overflowPunct/>
        <w:topLinePunct w:val="0"/>
        <w:autoSpaceDE/>
        <w:autoSpaceDN/>
        <w:bidi w:val="0"/>
        <w:adjustRightInd/>
        <w:spacing w:line="440" w:lineRule="exact"/>
        <w:ind w:firstLine="480" w:firstLineChars="200"/>
        <w:textAlignment w:val="auto"/>
        <w:rPr>
          <w:rFonts w:hint="eastAsia"/>
          <w:color w:val="auto"/>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安全生产条件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具备有效的安全生产许可证。</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提供有效的安全生产许可证复印件并加盖供应商公章</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p w14:paraId="6B4BC2B8">
      <w:pPr>
        <w:pStyle w:val="4"/>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bookmarkStart w:id="37" w:name="_Toc24774"/>
      <w:bookmarkStart w:id="38" w:name="_Toc14073"/>
      <w:bookmarkStart w:id="39" w:name="_Toc51660708"/>
      <w:r>
        <w:rPr>
          <w:rFonts w:hint="eastAsia" w:ascii="宋体" w:hAnsi="宋体" w:eastAsia="宋体" w:cs="宋体"/>
          <w:color w:val="auto"/>
          <w:sz w:val="24"/>
          <w:szCs w:val="24"/>
          <w:highlight w:val="none"/>
          <w:lang w:val="en-US" w:eastAsia="zh-CN"/>
        </w:rPr>
        <w:t>三、比选的有关说明</w:t>
      </w:r>
      <w:bookmarkEnd w:id="35"/>
      <w:bookmarkEnd w:id="37"/>
      <w:bookmarkEnd w:id="38"/>
      <w:bookmarkEnd w:id="39"/>
    </w:p>
    <w:p w14:paraId="3164AF9F">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（一）供应商应通过行采家平台登记加入“行采家供应商库”。</w:t>
      </w:r>
    </w:p>
    <w:p w14:paraId="46FDCF34">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（二）凡有意参加比选的供应商，请自行在行采家（https：//www.gec123.com/）上下载本项目采购文件及补遗等比选前公布的所有项目资料，无论供应商下载与否，均视为已知晓所有实质性要求内容。</w:t>
      </w:r>
    </w:p>
    <w:p w14:paraId="2C07AF1B">
      <w:pPr>
        <w:pStyle w:val="4"/>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bookmarkStart w:id="40" w:name="_Toc19799"/>
      <w:bookmarkStart w:id="41" w:name="_Toc30500"/>
      <w:r>
        <w:rPr>
          <w:rFonts w:hint="eastAsia" w:ascii="宋体" w:hAnsi="宋体" w:eastAsia="宋体" w:cs="宋体"/>
          <w:color w:val="auto"/>
          <w:sz w:val="24"/>
          <w:szCs w:val="24"/>
          <w:highlight w:val="none"/>
          <w:lang w:val="en-US" w:eastAsia="zh-CN"/>
        </w:rPr>
        <w:t>四、报名方式及投标程序</w:t>
      </w:r>
      <w:bookmarkEnd w:id="40"/>
      <w:bookmarkEnd w:id="41"/>
    </w:p>
    <w:p w14:paraId="4402AA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（一）报名方式</w:t>
      </w:r>
    </w:p>
    <w:p w14:paraId="2B8EE27D">
      <w:pPr>
        <w:pStyle w:val="2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1.报名和采购文件发售期：2026年5月22日至2026年5月26日17：00（工作时间）。</w:t>
      </w:r>
    </w:p>
    <w:p w14:paraId="1AE46534">
      <w:pPr>
        <w:pStyle w:val="2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2.采购文件售价：人民币500元/份（售后不退）。</w:t>
      </w:r>
    </w:p>
    <w:p w14:paraId="74AF1A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3.报名方式：在规定的报名和采购文件发售期内，供应商将本项目报名表（格式详见附件）填写完整加盖供应商公章扫描后同文件购买费转账截图一起发送至指定邮箱</w:t>
      </w:r>
      <w:r>
        <w:rPr>
          <w:rFonts w:hint="eastAsia" w:ascii="宋体" w:hAnsi="宋体" w:cs="宋体"/>
          <w:color w:val="auto"/>
          <w:kern w:val="2"/>
          <w:sz w:val="24"/>
          <w:szCs w:val="24"/>
          <w:highlight w:val="none"/>
          <w:lang w:val="en-US" w:eastAsia="zh-CN" w:bidi="ar-SA"/>
        </w:rPr>
        <w:t>3809723776@qq.com</w:t>
      </w:r>
      <w:r>
        <w:rPr>
          <w:rFonts w:hint="eastAsia" w:ascii="宋体" w:hAnsi="宋体" w:eastAsia="宋体" w:cs="宋体"/>
          <w:color w:val="auto"/>
          <w:kern w:val="2"/>
          <w:sz w:val="24"/>
          <w:szCs w:val="24"/>
          <w:highlight w:val="none"/>
          <w:lang w:val="en-US" w:eastAsia="zh-CN" w:bidi="ar-SA"/>
        </w:rPr>
        <w:t>，按要求发送邮箱后方才报名成功。</w:t>
      </w:r>
    </w:p>
    <w:p w14:paraId="670F46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投标程序</w:t>
      </w:r>
    </w:p>
    <w:p w14:paraId="7176CD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线上报价：公告发布之日起即可</w:t>
      </w:r>
      <w:r>
        <w:rPr>
          <w:rFonts w:hint="eastAsia" w:ascii="宋体" w:hAnsi="宋体" w:eastAsia="宋体" w:cs="宋体"/>
          <w:color w:val="auto"/>
          <w:sz w:val="24"/>
          <w:szCs w:val="24"/>
          <w:highlight w:val="none"/>
          <w:lang w:val="en-US" w:eastAsia="zh-CN"/>
        </w:rPr>
        <w:t>在行采家平台</w:t>
      </w:r>
      <w:r>
        <w:rPr>
          <w:rFonts w:hint="eastAsia" w:ascii="宋体" w:hAnsi="宋体" w:eastAsia="宋体" w:cs="宋体"/>
          <w:color w:val="auto"/>
          <w:sz w:val="24"/>
          <w:szCs w:val="24"/>
          <w:highlight w:val="none"/>
          <w:lang w:eastAsia="zh-CN"/>
        </w:rPr>
        <w:t>报价，报价截止时间为：</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27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15:30 </w:t>
      </w:r>
      <w:r>
        <w:rPr>
          <w:rFonts w:hint="eastAsia" w:ascii="宋体" w:hAnsi="宋体" w:eastAsia="宋体" w:cs="宋体"/>
          <w:color w:val="auto"/>
          <w:sz w:val="24"/>
          <w:szCs w:val="24"/>
          <w:highlight w:val="none"/>
          <w:lang w:val="en-US" w:eastAsia="zh-CN"/>
        </w:rPr>
        <w:t>（报价时需</w:t>
      </w:r>
      <w:r>
        <w:rPr>
          <w:rFonts w:hint="eastAsia" w:ascii="宋体" w:hAnsi="宋体" w:eastAsia="宋体" w:cs="宋体"/>
          <w:color w:val="auto"/>
          <w:sz w:val="24"/>
          <w:szCs w:val="24"/>
          <w:highlight w:val="none"/>
          <w:lang w:eastAsia="zh-CN"/>
        </w:rPr>
        <w:t>上传签字盖章完整的PDF格式的</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eastAsia="zh-CN"/>
        </w:rPr>
        <w:t>响应文件，电子文档内容应与纸质文件正本一致，</w:t>
      </w:r>
      <w:r>
        <w:rPr>
          <w:rFonts w:hint="eastAsia" w:ascii="宋体" w:hAnsi="宋体" w:eastAsia="宋体" w:cs="宋体"/>
          <w:color w:val="auto"/>
          <w:sz w:val="24"/>
          <w:szCs w:val="24"/>
          <w:highlight w:val="none"/>
          <w:lang w:val="en-US" w:eastAsia="zh-CN"/>
        </w:rPr>
        <w:t>如</w:t>
      </w:r>
      <w:r>
        <w:rPr>
          <w:rFonts w:hint="eastAsia" w:ascii="宋体" w:hAnsi="宋体" w:eastAsia="宋体" w:cs="宋体"/>
          <w:color w:val="auto"/>
          <w:sz w:val="24"/>
          <w:szCs w:val="24"/>
          <w:highlight w:val="none"/>
          <w:lang w:eastAsia="zh-CN"/>
        </w:rPr>
        <w:t>不一致以纸质文件正本为准，未在规定时间内报价并上传响应文件的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将视为无效投标）。</w:t>
      </w:r>
    </w:p>
    <w:p w14:paraId="2A6667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线下递交响应文件时间：</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5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27</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15:00  </w:t>
      </w:r>
      <w:r>
        <w:rPr>
          <w:rFonts w:hint="eastAsia" w:ascii="宋体" w:hAnsi="宋体" w:eastAsia="宋体" w:cs="宋体"/>
          <w:color w:val="auto"/>
          <w:sz w:val="24"/>
          <w:szCs w:val="24"/>
          <w:highlight w:val="none"/>
          <w:lang w:val="en-US" w:eastAsia="zh-CN"/>
        </w:rPr>
        <w:t>至</w:t>
      </w:r>
      <w:r>
        <w:rPr>
          <w:rFonts w:hint="eastAsia" w:ascii="宋体" w:hAnsi="宋体" w:cs="宋体"/>
          <w:color w:val="auto"/>
          <w:sz w:val="24"/>
          <w:szCs w:val="24"/>
          <w:highlight w:val="none"/>
          <w:u w:val="single"/>
          <w:lang w:val="en-US" w:eastAsia="zh-CN"/>
        </w:rPr>
        <w:t xml:space="preserve">  15:30 </w:t>
      </w:r>
      <w:r>
        <w:rPr>
          <w:rFonts w:hint="eastAsia" w:ascii="宋体" w:hAnsi="宋体" w:eastAsia="宋体" w:cs="宋体"/>
          <w:color w:val="auto"/>
          <w:sz w:val="24"/>
          <w:szCs w:val="24"/>
          <w:highlight w:val="none"/>
          <w:lang w:val="en-US" w:eastAsia="zh-CN"/>
        </w:rPr>
        <w:t>（以北京时间为准，逾期不予受理）。</w:t>
      </w:r>
    </w:p>
    <w:p w14:paraId="406E6B3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线下开标时间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27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15:30 </w:t>
      </w:r>
      <w:r>
        <w:rPr>
          <w:rFonts w:hint="eastAsia" w:ascii="宋体" w:hAnsi="宋体" w:eastAsia="宋体" w:cs="宋体"/>
          <w:color w:val="auto"/>
          <w:sz w:val="24"/>
          <w:szCs w:val="24"/>
          <w:highlight w:val="none"/>
          <w:u w:val="none"/>
          <w:lang w:val="en-US" w:eastAsia="zh-CN"/>
        </w:rPr>
        <w:t>(北京时间）。</w:t>
      </w:r>
    </w:p>
    <w:p w14:paraId="2CE4A8FC">
      <w:pPr>
        <w:pStyle w:val="2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4.比选地点</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lang w:val="en-US" w:eastAsia="zh-CN" w:bidi="ar-SA"/>
        </w:rPr>
        <w:t>重庆福源工程管理有限公司开标室（</w:t>
      </w:r>
      <w:r>
        <w:rPr>
          <w:rFonts w:hint="eastAsia" w:ascii="宋体" w:hAnsi="宋体" w:eastAsia="宋体" w:cs="宋体"/>
          <w:color w:val="auto"/>
          <w:sz w:val="24"/>
          <w:szCs w:val="24"/>
          <w:highlight w:val="none"/>
          <w:lang w:val="en-US" w:eastAsia="zh-CN"/>
        </w:rPr>
        <w:t>重庆市大足区海棠路65号</w:t>
      </w:r>
      <w:r>
        <w:rPr>
          <w:rFonts w:hint="eastAsia" w:ascii="宋体" w:hAnsi="宋体" w:eastAsia="宋体" w:cs="宋体"/>
          <w:color w:val="auto"/>
          <w:kern w:val="2"/>
          <w:sz w:val="24"/>
          <w:szCs w:val="24"/>
          <w:highlight w:val="none"/>
          <w:lang w:val="en-US" w:eastAsia="zh-CN" w:bidi="ar-SA"/>
        </w:rPr>
        <w:t>）。</w:t>
      </w:r>
    </w:p>
    <w:p w14:paraId="733C4E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（三）供应商须满足以下要件，其响应文件才被接受：</w:t>
      </w:r>
    </w:p>
    <w:p w14:paraId="6C975D1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1.按时在行采家-电子比选中心报名，并上传了响应文件电子档；</w:t>
      </w:r>
    </w:p>
    <w:p w14:paraId="27A9BB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2.在采购文件发售期内，按时间要求报名；</w:t>
      </w:r>
    </w:p>
    <w:p w14:paraId="26042B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3.按时在线下比选地点递交了纸质版响应文件。</w:t>
      </w:r>
    </w:p>
    <w:p w14:paraId="70CE0F7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4.提交投标保证金银行转账凭据，加盖供应商公章；</w:t>
      </w:r>
    </w:p>
    <w:p w14:paraId="24CB36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6.递交“供应商信息卡”（格式详见附件），内容填写完整，加盖供应商公章；</w:t>
      </w:r>
    </w:p>
    <w:p w14:paraId="45505F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7.递交供应商银行“基本账户信息”或“开户许可证”复印件，加盖供应商公章；</w:t>
      </w:r>
    </w:p>
    <w:p w14:paraId="4367F4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说明：相关原件递交起止时间：如果采购文件要求必须提交的相关原件，其递交时间与投标文件递交时间一致（逾期不予受理）。</w:t>
      </w:r>
    </w:p>
    <w:p w14:paraId="3695FC60">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bookmarkStart w:id="42" w:name="_Toc24820"/>
      <w:bookmarkStart w:id="43" w:name="_Toc373860294"/>
      <w:bookmarkStart w:id="44" w:name="_Toc9350"/>
      <w:bookmarkStart w:id="45" w:name="_Toc51660709"/>
      <w:r>
        <w:rPr>
          <w:rFonts w:hint="eastAsia" w:ascii="宋体" w:hAnsi="宋体" w:eastAsia="宋体" w:cs="宋体"/>
          <w:color w:val="auto"/>
          <w:sz w:val="24"/>
          <w:szCs w:val="24"/>
          <w:highlight w:val="none"/>
          <w:lang w:val="en-US" w:eastAsia="zh-CN"/>
        </w:rPr>
        <w:t>五、投标保证金</w:t>
      </w:r>
      <w:bookmarkEnd w:id="42"/>
      <w:bookmarkEnd w:id="43"/>
      <w:bookmarkEnd w:id="44"/>
      <w:bookmarkEnd w:id="45"/>
    </w:p>
    <w:p w14:paraId="3AFD1E4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bookmarkStart w:id="46" w:name="_Toc8383"/>
      <w:bookmarkStart w:id="47" w:name="_Toc51660711"/>
      <w:bookmarkStart w:id="48" w:name="_Toc16519"/>
      <w:r>
        <w:rPr>
          <w:rFonts w:hint="eastAsia" w:ascii="宋体" w:hAnsi="宋体" w:eastAsia="宋体" w:cs="宋体"/>
          <w:color w:val="auto"/>
          <w:sz w:val="24"/>
          <w:szCs w:val="24"/>
          <w:highlight w:val="none"/>
          <w:lang w:eastAsia="zh-CN"/>
        </w:rPr>
        <w:t>1.缴纳金额：</w:t>
      </w:r>
      <w:r>
        <w:rPr>
          <w:rFonts w:hint="eastAsia" w:ascii="宋体" w:hAnsi="宋体" w:cs="宋体"/>
          <w:color w:val="auto"/>
          <w:sz w:val="24"/>
          <w:szCs w:val="24"/>
          <w:highlight w:val="none"/>
          <w:lang w:val="en-US" w:eastAsia="zh-CN"/>
        </w:rPr>
        <w:t>5000</w:t>
      </w:r>
      <w:r>
        <w:rPr>
          <w:rFonts w:hint="eastAsia" w:ascii="宋体" w:hAnsi="宋体" w:eastAsia="宋体" w:cs="宋体"/>
          <w:color w:val="auto"/>
          <w:sz w:val="24"/>
          <w:szCs w:val="24"/>
          <w:highlight w:val="none"/>
          <w:lang w:eastAsia="zh-CN"/>
        </w:rPr>
        <w:t>元。</w:t>
      </w:r>
    </w:p>
    <w:p w14:paraId="1CEC6A5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2.缴纳方式：由供应商从其账户将投标保证金汇至以下指定账户：</w:t>
      </w:r>
    </w:p>
    <w:p w14:paraId="4FBF4FB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户  名：</w:t>
      </w:r>
      <w:r>
        <w:rPr>
          <w:rFonts w:hint="eastAsia" w:ascii="宋体" w:hAnsi="宋体" w:cs="宋体"/>
          <w:color w:val="000000"/>
          <w:sz w:val="24"/>
          <w:szCs w:val="24"/>
          <w:lang w:val="en-US" w:eastAsia="zh-CN"/>
        </w:rPr>
        <w:t>重庆福源工程管理有限公司</w:t>
      </w:r>
    </w:p>
    <w:p w14:paraId="2105D15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开户行：</w:t>
      </w:r>
      <w:r>
        <w:rPr>
          <w:rFonts w:hint="eastAsia" w:ascii="宋体" w:hAnsi="宋体" w:cs="宋体"/>
          <w:color w:val="000000"/>
          <w:sz w:val="24"/>
          <w:szCs w:val="24"/>
          <w:lang w:val="en-US" w:eastAsia="zh-CN"/>
        </w:rPr>
        <w:t>中国工商银行股份有限公司重庆大足东城新区支行</w:t>
      </w:r>
    </w:p>
    <w:p w14:paraId="227881B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账  号：</w:t>
      </w:r>
      <w:r>
        <w:rPr>
          <w:rFonts w:hint="eastAsia" w:ascii="宋体" w:hAnsi="宋体" w:cs="宋体"/>
          <w:color w:val="000000"/>
          <w:sz w:val="24"/>
          <w:szCs w:val="24"/>
          <w:lang w:val="en-US" w:eastAsia="zh-CN"/>
        </w:rPr>
        <w:t>3100096309100180262</w:t>
      </w:r>
    </w:p>
    <w:p w14:paraId="64FB313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3.保证金到账时间及备注填写要求</w:t>
      </w:r>
    </w:p>
    <w:p w14:paraId="49B4147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（1）到账时间要求</w:t>
      </w:r>
    </w:p>
    <w:p w14:paraId="7D1DCB9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本项目投标保证金的到账截止时间同提交响应文件截止时间（供应商在银行转账汇款时，须充分考虑转账汇款的时间差风险，如同城转账、异地转账或汇款、跨行转账或电汇的时间要求）。</w:t>
      </w:r>
    </w:p>
    <w:p w14:paraId="0295DC6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（2）备注填写要求</w:t>
      </w:r>
    </w:p>
    <w:p w14:paraId="3DAA0DD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供应商应在银行转账（汇款）凭证备注栏中注明“投标保证金—</w:t>
      </w:r>
      <w:r>
        <w:rPr>
          <w:rFonts w:hint="eastAsia" w:ascii="宋体" w:hAnsi="宋体" w:cs="宋体"/>
          <w:color w:val="auto"/>
          <w:sz w:val="24"/>
          <w:szCs w:val="24"/>
          <w:highlight w:val="none"/>
          <w:lang w:val="en-US" w:eastAsia="zh-CN"/>
        </w:rPr>
        <w:t>CQFY-HC-20260522</w:t>
      </w:r>
      <w:r>
        <w:rPr>
          <w:rFonts w:hint="eastAsia" w:ascii="宋体" w:hAnsi="宋体" w:eastAsia="宋体" w:cs="宋体"/>
          <w:color w:val="auto"/>
          <w:sz w:val="24"/>
          <w:szCs w:val="24"/>
          <w:highlight w:val="none"/>
          <w:lang w:eastAsia="zh-CN"/>
        </w:rPr>
        <w:t>”，不按要求填写备注和缴纳保证金入指定账户的，投标现场不予接收投标文件，由供应商自行承担后果。</w:t>
      </w:r>
    </w:p>
    <w:p w14:paraId="57454AF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4.保证金退还方式</w:t>
      </w:r>
    </w:p>
    <w:p w14:paraId="4E2173E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（1）未成交供应商的投标保证金，在中标通知书发出后，</w:t>
      </w:r>
      <w:r>
        <w:rPr>
          <w:rFonts w:hint="eastAsia" w:ascii="宋体" w:hAnsi="宋体" w:cs="宋体"/>
          <w:color w:val="000000"/>
          <w:sz w:val="24"/>
          <w:szCs w:val="24"/>
          <w:lang w:val="en-US" w:eastAsia="zh-CN"/>
        </w:rPr>
        <w:t>重庆福源工程管理有限公司</w:t>
      </w:r>
      <w:r>
        <w:rPr>
          <w:rFonts w:hint="eastAsia" w:ascii="宋体" w:hAnsi="宋体" w:eastAsia="宋体" w:cs="宋体"/>
          <w:color w:val="auto"/>
          <w:sz w:val="24"/>
          <w:szCs w:val="24"/>
          <w:highlight w:val="none"/>
          <w:lang w:eastAsia="zh-CN"/>
        </w:rPr>
        <w:t>在五个工作日内按来款渠道直接退还。</w:t>
      </w:r>
    </w:p>
    <w:p w14:paraId="1CDEC42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（2）成交供应商的投标保证金，在成交供应商将与采购人签订合同</w:t>
      </w:r>
      <w:r>
        <w:rPr>
          <w:rFonts w:hint="eastAsia" w:ascii="宋体" w:hAnsi="宋体" w:cs="宋体"/>
          <w:color w:val="auto"/>
          <w:sz w:val="24"/>
          <w:szCs w:val="24"/>
          <w:highlight w:val="none"/>
          <w:lang w:val="en-US" w:eastAsia="zh-CN"/>
        </w:rPr>
        <w:t>后，由</w:t>
      </w:r>
      <w:r>
        <w:rPr>
          <w:rFonts w:hint="eastAsia" w:ascii="宋体" w:hAnsi="宋体" w:cs="宋体"/>
          <w:color w:val="000000"/>
          <w:sz w:val="24"/>
          <w:szCs w:val="24"/>
          <w:lang w:val="en-US" w:eastAsia="zh-CN"/>
        </w:rPr>
        <w:t>重庆福源工程管理有限公司</w:t>
      </w:r>
      <w:r>
        <w:rPr>
          <w:rFonts w:hint="eastAsia" w:ascii="宋体" w:hAnsi="宋体" w:eastAsia="宋体" w:cs="宋体"/>
          <w:color w:val="000000"/>
          <w:sz w:val="24"/>
          <w:szCs w:val="24"/>
          <w:lang w:val="en-US" w:eastAsia="zh-CN"/>
        </w:rPr>
        <w:t>在</w:t>
      </w:r>
      <w:r>
        <w:rPr>
          <w:rFonts w:hint="eastAsia" w:ascii="宋体" w:hAnsi="宋体" w:eastAsia="宋体" w:cs="宋体"/>
          <w:color w:val="auto"/>
          <w:sz w:val="24"/>
          <w:szCs w:val="24"/>
          <w:highlight w:val="none"/>
          <w:lang w:eastAsia="zh-CN"/>
        </w:rPr>
        <w:t>五个工作日内按资金来款渠道直接退还。</w:t>
      </w:r>
    </w:p>
    <w:p w14:paraId="6439DB4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保证金咨询电话：</w:t>
      </w:r>
      <w:r>
        <w:rPr>
          <w:rFonts w:hint="eastAsia" w:ascii="宋体" w:hAnsi="宋体" w:cs="宋体"/>
          <w:color w:val="auto"/>
          <w:sz w:val="24"/>
          <w:szCs w:val="24"/>
          <w:highlight w:val="none"/>
          <w:lang w:val="en-US" w:eastAsia="zh-CN"/>
        </w:rPr>
        <w:t>19886428550</w:t>
      </w:r>
    </w:p>
    <w:p w14:paraId="0C8DB7FB">
      <w:pPr>
        <w:pStyle w:val="4"/>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w:t>
      </w:r>
      <w:bookmarkEnd w:id="36"/>
      <w:r>
        <w:rPr>
          <w:rFonts w:hint="eastAsia" w:ascii="宋体" w:hAnsi="宋体" w:eastAsia="宋体" w:cs="宋体"/>
          <w:color w:val="auto"/>
          <w:sz w:val="24"/>
          <w:szCs w:val="24"/>
          <w:highlight w:val="none"/>
          <w:lang w:val="en-US" w:eastAsia="zh-CN"/>
        </w:rPr>
        <w:t>其它有关规定</w:t>
      </w:r>
      <w:bookmarkEnd w:id="46"/>
      <w:bookmarkEnd w:id="47"/>
      <w:bookmarkEnd w:id="48"/>
    </w:p>
    <w:p w14:paraId="08169B7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（一）单位负责人为同一人或者存在直接控股、管理关系的不同供应商，不得参加同一合同项（分包）下的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活动，否则均为无效响应。</w:t>
      </w:r>
    </w:p>
    <w:p w14:paraId="684495B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（二）为采购项目提供整体设计、规范编制或者项目管理、监理、检测等服务的供应商，不得再参加本项目的采购活动，否则均为无效响应。</w:t>
      </w:r>
    </w:p>
    <w:p w14:paraId="1038A36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（三）本项目在响应文件提交截止时间前发布的</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及补遗文件（如果有）一律在</w:t>
      </w:r>
      <w:r>
        <w:rPr>
          <w:rFonts w:hint="eastAsia" w:ascii="宋体" w:hAnsi="宋体" w:eastAsia="宋体" w:cs="宋体"/>
          <w:color w:val="auto"/>
          <w:sz w:val="24"/>
          <w:szCs w:val="24"/>
          <w:highlight w:val="none"/>
          <w:lang w:val="en-US" w:eastAsia="zh-CN"/>
        </w:rPr>
        <w:t>行采家（</w:t>
      </w:r>
      <w:r>
        <w:rPr>
          <w:rFonts w:hint="eastAsia" w:ascii="宋体" w:hAnsi="宋体" w:eastAsia="宋体" w:cs="宋体"/>
          <w:color w:val="auto"/>
          <w:sz w:val="24"/>
          <w:szCs w:val="24"/>
          <w:highlight w:val="none"/>
        </w:rPr>
        <w:t>https://www.gec123.com/</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上发布，请各供应商注意下载；无论供应商下载与否，均视同供应商已知晓本项目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、补遗文件（如果有）的内容。</w:t>
      </w:r>
    </w:p>
    <w:p w14:paraId="306AF80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（四）超过响应文件截止时间递交的响应文件，恕不接收</w:t>
      </w:r>
      <w:r>
        <w:rPr>
          <w:rFonts w:hint="eastAsia" w:ascii="宋体" w:hAnsi="宋体" w:cs="宋体"/>
          <w:color w:val="auto"/>
          <w:sz w:val="24"/>
          <w:szCs w:val="24"/>
          <w:highlight w:val="none"/>
          <w:lang w:eastAsia="zh-CN"/>
        </w:rPr>
        <w:t>。</w:t>
      </w:r>
    </w:p>
    <w:p w14:paraId="31166D7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费用：无论</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结果如何，供应商参与本项目</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的所有费用均应由供应商自行承担。</w:t>
      </w:r>
    </w:p>
    <w:p w14:paraId="254F2CF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（六）本项目不接受联合体参与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w:t>
      </w:r>
    </w:p>
    <w:p w14:paraId="05BA46A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Style w:val="78"/>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（七）按照《财政部关于在</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活动中查询及使用信用记录有关问题的通知》财库〔2016〕125号，供应商列入失信被执行人、重大税收违法案件当事人名单、</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严重违法失信行为记录名单及其他不符合《中华人民共和国</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法》第二十二条规定条件的供应商，将拒绝其参与</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w:t>
      </w:r>
      <w:bookmarkStart w:id="49" w:name="_Toc51660712"/>
    </w:p>
    <w:p w14:paraId="696197D5">
      <w:pPr>
        <w:pStyle w:val="4"/>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bookmarkStart w:id="50" w:name="_Toc24392"/>
      <w:bookmarkStart w:id="51" w:name="_Toc13595"/>
      <w:r>
        <w:rPr>
          <w:rFonts w:hint="eastAsia" w:ascii="宋体" w:hAnsi="宋体" w:eastAsia="宋体" w:cs="宋体"/>
          <w:color w:val="auto"/>
          <w:sz w:val="24"/>
          <w:szCs w:val="24"/>
          <w:highlight w:val="none"/>
          <w:lang w:val="en-US" w:eastAsia="zh-CN"/>
        </w:rPr>
        <w:t>七、联系方式</w:t>
      </w:r>
      <w:bookmarkEnd w:id="49"/>
      <w:bookmarkEnd w:id="50"/>
      <w:bookmarkEnd w:id="51"/>
    </w:p>
    <w:p w14:paraId="1AD3FC92">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（一）采购人：</w:t>
      </w:r>
      <w:r>
        <w:rPr>
          <w:rFonts w:hint="eastAsia" w:ascii="宋体" w:hAnsi="宋体" w:eastAsia="宋体" w:cs="宋体"/>
          <w:color w:val="auto"/>
          <w:kern w:val="2"/>
          <w:sz w:val="24"/>
          <w:szCs w:val="24"/>
          <w:highlight w:val="none"/>
          <w:lang w:val="en-US" w:eastAsia="zh-CN" w:bidi="ar-SA"/>
        </w:rPr>
        <w:t>重庆大足石刻国际文化旅游集团有限公司</w:t>
      </w:r>
    </w:p>
    <w:p w14:paraId="6C175608">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址：重庆市大足区棠香街道大铜路污水处理厂内</w:t>
      </w:r>
    </w:p>
    <w:p w14:paraId="69E8BD10">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联系人：</w:t>
      </w:r>
      <w:r>
        <w:rPr>
          <w:rFonts w:hint="eastAsia" w:eastAsia="宋体" w:cs="宋体"/>
          <w:color w:val="auto"/>
          <w:kern w:val="2"/>
          <w:sz w:val="24"/>
          <w:szCs w:val="24"/>
          <w:highlight w:val="none"/>
          <w:lang w:val="en-US" w:eastAsia="zh-CN" w:bidi="ar-SA"/>
        </w:rPr>
        <w:t>张老师</w:t>
      </w:r>
    </w:p>
    <w:p w14:paraId="6775F5AD">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  话：</w:t>
      </w:r>
      <w:bookmarkStart w:id="52" w:name="_Toc102227313"/>
      <w:r>
        <w:rPr>
          <w:rFonts w:hint="eastAsia" w:ascii="宋体" w:hAnsi="宋体" w:eastAsia="宋体" w:cs="宋体"/>
          <w:color w:val="auto"/>
          <w:kern w:val="2"/>
          <w:sz w:val="24"/>
          <w:szCs w:val="24"/>
          <w:highlight w:val="none"/>
          <w:lang w:val="en-US" w:eastAsia="zh-CN" w:bidi="ar-SA"/>
        </w:rPr>
        <w:t>17623606033</w:t>
      </w:r>
    </w:p>
    <w:p w14:paraId="484FE8CC">
      <w:pPr>
        <w:pStyle w:val="63"/>
        <w:keepNext w:val="0"/>
        <w:keepLines w:val="0"/>
        <w:pageBreakBefore w:val="0"/>
        <w:widowControl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p>
    <w:p w14:paraId="495A181D">
      <w:pPr>
        <w:pStyle w:val="63"/>
        <w:keepNext w:val="0"/>
        <w:keepLines w:val="0"/>
        <w:pageBreakBefore w:val="0"/>
        <w:widowControl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（二）采购代理机构：</w:t>
      </w:r>
      <w:r>
        <w:rPr>
          <w:rFonts w:hint="eastAsia" w:eastAsia="宋体" w:cs="宋体"/>
          <w:color w:val="auto"/>
          <w:sz w:val="24"/>
          <w:szCs w:val="24"/>
          <w:highlight w:val="none"/>
          <w:lang w:val="en-US" w:eastAsia="zh-CN"/>
        </w:rPr>
        <w:t>重庆福源工程管理有限公司</w:t>
      </w:r>
    </w:p>
    <w:p w14:paraId="156EDF6C">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w:t>
      </w:r>
      <w:r>
        <w:rPr>
          <w:rFonts w:hint="eastAsia" w:eastAsia="宋体" w:cs="宋体"/>
          <w:color w:val="auto"/>
          <w:sz w:val="24"/>
          <w:szCs w:val="24"/>
          <w:highlight w:val="none"/>
          <w:lang w:val="en-US" w:eastAsia="zh-CN"/>
        </w:rPr>
        <w:t>重庆市大足区海棠路65号</w:t>
      </w:r>
    </w:p>
    <w:p w14:paraId="6D5D849A">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联系人：</w:t>
      </w:r>
      <w:r>
        <w:rPr>
          <w:rFonts w:hint="eastAsia" w:eastAsia="宋体" w:cs="宋体"/>
          <w:color w:val="auto"/>
          <w:kern w:val="2"/>
          <w:sz w:val="24"/>
          <w:szCs w:val="24"/>
          <w:highlight w:val="none"/>
          <w:lang w:val="en-US" w:eastAsia="zh-CN" w:bidi="ar-SA"/>
        </w:rPr>
        <w:t>李老师</w:t>
      </w:r>
    </w:p>
    <w:p w14:paraId="666295E1">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2"/>
          <w:sz w:val="24"/>
          <w:szCs w:val="24"/>
          <w:highlight w:val="none"/>
          <w:lang w:val="en-US" w:eastAsia="zh-CN" w:bidi="ar-SA"/>
        </w:rPr>
        <w:t>电  话：</w:t>
      </w:r>
      <w:r>
        <w:rPr>
          <w:rFonts w:hint="eastAsia" w:eastAsia="宋体" w:cs="宋体"/>
          <w:color w:val="auto"/>
          <w:kern w:val="2"/>
          <w:sz w:val="24"/>
          <w:szCs w:val="24"/>
          <w:highlight w:val="none"/>
          <w:lang w:val="en-US" w:eastAsia="zh-CN" w:bidi="ar-SA"/>
        </w:rPr>
        <w:t>19886428550</w:t>
      </w:r>
      <w:r>
        <w:rPr>
          <w:rFonts w:hint="eastAsia" w:ascii="宋体" w:hAnsi="宋体" w:eastAsia="宋体" w:cs="宋体"/>
          <w:color w:val="auto"/>
          <w:sz w:val="24"/>
          <w:szCs w:val="24"/>
          <w:highlight w:val="none"/>
        </w:rPr>
        <w:br w:type="page"/>
      </w:r>
    </w:p>
    <w:p w14:paraId="2BEF2B1D">
      <w:pPr>
        <w:keepNext w:val="0"/>
        <w:keepLines w:val="0"/>
        <w:pageBreakBefore w:val="0"/>
        <w:widowControl w:val="0"/>
        <w:kinsoku/>
        <w:wordWrap/>
        <w:topLinePunct w:val="0"/>
        <w:bidi w:val="0"/>
        <w:spacing w:line="400" w:lineRule="exact"/>
        <w:jc w:val="center"/>
        <w:textAlignment w:val="auto"/>
        <w:outlineLvl w:val="0"/>
        <w:rPr>
          <w:rFonts w:hint="eastAsia" w:eastAsia="宋体" w:cs="宋体"/>
          <w:b/>
          <w:bCs w:val="0"/>
          <w:color w:val="auto"/>
          <w:sz w:val="36"/>
          <w:szCs w:val="36"/>
          <w:highlight w:val="none"/>
          <w:lang w:val="en-US" w:eastAsia="zh-CN"/>
        </w:rPr>
      </w:pPr>
      <w:bookmarkStart w:id="53" w:name="_Toc9902"/>
      <w:bookmarkStart w:id="54" w:name="_Toc25709"/>
      <w:bookmarkStart w:id="55" w:name="_Toc19860"/>
      <w:r>
        <w:rPr>
          <w:rFonts w:hint="eastAsia" w:eastAsia="宋体" w:cs="宋体"/>
          <w:b/>
          <w:bCs w:val="0"/>
          <w:color w:val="auto"/>
          <w:sz w:val="36"/>
          <w:szCs w:val="36"/>
          <w:highlight w:val="none"/>
          <w:lang w:val="en-US" w:eastAsia="zh-CN"/>
        </w:rPr>
        <w:t xml:space="preserve">第二篇 </w:t>
      </w:r>
      <w:bookmarkEnd w:id="52"/>
      <w:r>
        <w:rPr>
          <w:rFonts w:hint="eastAsia" w:eastAsia="宋体" w:cs="宋体"/>
          <w:b/>
          <w:bCs w:val="0"/>
          <w:color w:val="auto"/>
          <w:sz w:val="36"/>
          <w:szCs w:val="36"/>
          <w:highlight w:val="none"/>
          <w:lang w:val="en-US" w:eastAsia="zh-CN"/>
        </w:rPr>
        <w:t xml:space="preserve"> </w:t>
      </w:r>
      <w:bookmarkEnd w:id="53"/>
      <w:bookmarkEnd w:id="54"/>
      <w:bookmarkEnd w:id="55"/>
      <w:r>
        <w:rPr>
          <w:rFonts w:hint="eastAsia" w:cs="宋体"/>
          <w:b/>
          <w:bCs w:val="0"/>
          <w:color w:val="auto"/>
          <w:sz w:val="36"/>
          <w:szCs w:val="36"/>
          <w:highlight w:val="none"/>
          <w:lang w:val="en-US" w:eastAsia="zh-CN"/>
        </w:rPr>
        <w:t>项目技术需求</w:t>
      </w:r>
    </w:p>
    <w:p w14:paraId="39825C4F">
      <w:pPr>
        <w:pStyle w:val="4"/>
        <w:pageBreakBefore w:val="0"/>
        <w:kinsoku/>
        <w:wordWrap/>
        <w:topLinePunct w:val="0"/>
        <w:bidi w:val="0"/>
        <w:spacing w:line="400" w:lineRule="exact"/>
        <w:textAlignment w:val="auto"/>
        <w:rPr>
          <w:rFonts w:hint="eastAsia" w:ascii="宋体" w:hAnsi="宋体" w:eastAsia="宋体" w:cs="宋体"/>
          <w:color w:val="auto"/>
          <w:sz w:val="24"/>
          <w:szCs w:val="24"/>
          <w:highlight w:val="none"/>
          <w:lang w:eastAsia="zh-CN"/>
        </w:rPr>
      </w:pPr>
      <w:bookmarkStart w:id="56" w:name="_Toc17333"/>
      <w:bookmarkStart w:id="57" w:name="_Toc23171"/>
      <w:bookmarkStart w:id="58" w:name="_Toc27075"/>
      <w:bookmarkStart w:id="59" w:name="_Toc24805"/>
      <w:bookmarkStart w:id="60" w:name="_Toc345321101"/>
      <w:bookmarkStart w:id="61" w:name="_Toc427852462"/>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一览表</w:t>
      </w:r>
      <w:bookmarkEnd w:id="56"/>
      <w:bookmarkEnd w:id="57"/>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2"/>
        <w:gridCol w:w="3012"/>
        <w:gridCol w:w="3013"/>
      </w:tblGrid>
      <w:tr w14:paraId="408AE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3209" w:type="dxa"/>
            <w:vAlign w:val="center"/>
          </w:tcPr>
          <w:p w14:paraId="357B1EB2">
            <w:pPr>
              <w:pStyle w:val="23"/>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项目内容</w:t>
            </w:r>
          </w:p>
        </w:tc>
        <w:tc>
          <w:tcPr>
            <w:tcW w:w="3209" w:type="dxa"/>
            <w:vAlign w:val="center"/>
          </w:tcPr>
          <w:p w14:paraId="1D963563">
            <w:pPr>
              <w:pStyle w:val="23"/>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数量/单位</w:t>
            </w:r>
          </w:p>
        </w:tc>
        <w:tc>
          <w:tcPr>
            <w:tcW w:w="3210" w:type="dxa"/>
            <w:vAlign w:val="center"/>
          </w:tcPr>
          <w:p w14:paraId="52C5B0C8">
            <w:pPr>
              <w:pStyle w:val="23"/>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w:t>
            </w:r>
          </w:p>
        </w:tc>
      </w:tr>
      <w:tr w14:paraId="3F1D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209" w:type="dxa"/>
            <w:vAlign w:val="center"/>
          </w:tcPr>
          <w:p w14:paraId="0998B978">
            <w:pPr>
              <w:pStyle w:val="23"/>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北山一碗水边坡安全整治工程</w:t>
            </w:r>
          </w:p>
        </w:tc>
        <w:tc>
          <w:tcPr>
            <w:tcW w:w="3209" w:type="dxa"/>
            <w:vAlign w:val="center"/>
          </w:tcPr>
          <w:p w14:paraId="6F43D497">
            <w:pPr>
              <w:pStyle w:val="23"/>
              <w:jc w:val="center"/>
              <w:rPr>
                <w:rFonts w:hint="eastAsia" w:ascii="宋体" w:hAnsi="宋体" w:eastAsia="宋体" w:cs="宋体"/>
                <w:color w:val="auto"/>
                <w:kern w:val="2"/>
                <w:sz w:val="24"/>
                <w:szCs w:val="24"/>
                <w:highlight w:val="none"/>
                <w:lang w:val="en-US" w:eastAsia="zh-CN" w:bidi="ar-SA"/>
              </w:rPr>
            </w:pPr>
          </w:p>
          <w:p w14:paraId="1614DA17">
            <w:pPr>
              <w:pStyle w:val="23"/>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w:t>
            </w:r>
          </w:p>
        </w:tc>
        <w:tc>
          <w:tcPr>
            <w:tcW w:w="3210" w:type="dxa"/>
            <w:vAlign w:val="center"/>
          </w:tcPr>
          <w:p w14:paraId="0566ED1E">
            <w:pPr>
              <w:pStyle w:val="23"/>
              <w:jc w:val="center"/>
              <w:rPr>
                <w:rFonts w:hint="eastAsia" w:ascii="宋体" w:hAnsi="宋体" w:eastAsia="宋体" w:cs="宋体"/>
                <w:color w:val="auto"/>
                <w:kern w:val="2"/>
                <w:sz w:val="24"/>
                <w:szCs w:val="24"/>
                <w:highlight w:val="none"/>
                <w:lang w:val="en-US" w:eastAsia="zh-CN" w:bidi="ar-SA"/>
              </w:rPr>
            </w:pPr>
          </w:p>
          <w:p w14:paraId="35DA4D79">
            <w:pPr>
              <w:pStyle w:val="23"/>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详见下文</w:t>
            </w:r>
          </w:p>
        </w:tc>
      </w:tr>
    </w:tbl>
    <w:p w14:paraId="5F892482">
      <w:pPr>
        <w:pStyle w:val="4"/>
        <w:keepNext w:val="0"/>
        <w:keepLines w:val="0"/>
        <w:pageBreakBefore w:val="0"/>
        <w:widowControl w:val="0"/>
        <w:kinsoku/>
        <w:wordWrap/>
        <w:topLinePunct w:val="0"/>
        <w:bidi w:val="0"/>
        <w:adjustRightIn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、比选内容</w:t>
      </w:r>
      <w:bookmarkEnd w:id="58"/>
      <w:bookmarkEnd w:id="59"/>
    </w:p>
    <w:p w14:paraId="44AE0D20">
      <w:pPr>
        <w:pStyle w:val="79"/>
        <w:keepNext w:val="0"/>
        <w:keepLines w:val="0"/>
        <w:pageBreakBefore w:val="0"/>
        <w:widowControl w:val="0"/>
        <w:kinsoku/>
        <w:wordWrap/>
        <w:topLinePunct w:val="0"/>
        <w:bidi w:val="0"/>
        <w:adjustRightInd/>
        <w:snapToGrid/>
        <w:spacing w:before="0"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1.项目名称：</w:t>
      </w:r>
      <w:r>
        <w:rPr>
          <w:rFonts w:hint="eastAsia" w:ascii="宋体" w:hAnsi="宋体" w:cs="宋体"/>
          <w:color w:val="auto"/>
          <w:sz w:val="24"/>
          <w:szCs w:val="24"/>
          <w:highlight w:val="none"/>
          <w:lang w:val="en-US" w:eastAsia="zh-CN"/>
        </w:rPr>
        <w:t>北山一碗水边坡安全整治工程</w:t>
      </w:r>
      <w:r>
        <w:rPr>
          <w:rFonts w:hint="eastAsia" w:ascii="宋体" w:hAnsi="宋体" w:eastAsia="宋体" w:cs="宋体"/>
          <w:color w:val="auto"/>
          <w:kern w:val="2"/>
          <w:sz w:val="24"/>
          <w:szCs w:val="24"/>
          <w:highlight w:val="none"/>
          <w:lang w:val="en-US" w:eastAsia="zh-CN" w:bidi="ar-SA"/>
        </w:rPr>
        <w:t>2.建设地点：采购人指定地点。</w:t>
      </w:r>
    </w:p>
    <w:p w14:paraId="45BBB1C2">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3.工程概况：</w:t>
      </w:r>
      <w:r>
        <w:rPr>
          <w:rFonts w:hint="eastAsia" w:ascii="宋体" w:hAnsi="宋体" w:eastAsia="宋体" w:cs="宋体"/>
          <w:color w:val="auto"/>
          <w:kern w:val="0"/>
          <w:sz w:val="24"/>
          <w:szCs w:val="24"/>
          <w:highlight w:val="none"/>
          <w:lang w:val="en-US" w:eastAsia="zh-CN" w:bidi="ar-SA"/>
        </w:rPr>
        <w:t>边坡崖壁安全整治修复和覆绿约650㎡（投影面积），新建登山步道32米及挡墙等</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具体内容详见施工图及工程量清单。</w:t>
      </w:r>
    </w:p>
    <w:p w14:paraId="48308948">
      <w:pPr>
        <w:pStyle w:val="79"/>
        <w:keepNext w:val="0"/>
        <w:keepLines w:val="0"/>
        <w:pageBreakBefore w:val="0"/>
        <w:widowControl w:val="0"/>
        <w:kinsoku/>
        <w:wordWrap/>
        <w:topLinePunct w:val="0"/>
        <w:bidi w:val="0"/>
        <w:adjustRightInd/>
        <w:snapToGrid/>
        <w:spacing w:before="0"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4.招标范围：</w:t>
      </w:r>
      <w:r>
        <w:rPr>
          <w:rFonts w:hint="eastAsia" w:ascii="宋体" w:hAnsi="宋体" w:cs="宋体"/>
          <w:color w:val="auto"/>
          <w:sz w:val="24"/>
          <w:szCs w:val="24"/>
          <w:highlight w:val="none"/>
          <w:lang w:val="en-US" w:eastAsia="zh-CN"/>
        </w:rPr>
        <w:t>北山一碗水边坡安全整治工程</w:t>
      </w:r>
      <w:r>
        <w:rPr>
          <w:rFonts w:hint="eastAsia" w:ascii="宋体" w:hAnsi="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lang w:val="en-US" w:eastAsia="zh-CN" w:bidi="ar-SA"/>
        </w:rPr>
        <w:t>相关资料所包括的建设内容，具体内容详见采购人发布的施工图纸及工程量清单,以及采购人提供的采购文件、答疑资料、澄清资料、其他补遗资料等包含的其他相关内容。</w:t>
      </w:r>
    </w:p>
    <w:bookmarkEnd w:id="60"/>
    <w:bookmarkEnd w:id="61"/>
    <w:p w14:paraId="786CEDD0">
      <w:pPr>
        <w:pStyle w:val="4"/>
        <w:keepNext w:val="0"/>
        <w:keepLines w:val="0"/>
        <w:pageBreakBefore w:val="0"/>
        <w:widowControl w:val="0"/>
        <w:kinsoku/>
        <w:wordWrap/>
        <w:topLinePunct w:val="0"/>
        <w:bidi w:val="0"/>
        <w:adjustRightInd/>
        <w:spacing w:line="240" w:lineRule="auto"/>
        <w:textAlignment w:val="auto"/>
        <w:rPr>
          <w:rFonts w:hint="eastAsia" w:ascii="宋体" w:hAnsi="宋体" w:eastAsia="宋体" w:cs="宋体"/>
          <w:color w:val="auto"/>
          <w:sz w:val="24"/>
          <w:szCs w:val="24"/>
          <w:highlight w:val="none"/>
          <w:lang w:val="en-US" w:eastAsia="zh-CN"/>
        </w:rPr>
      </w:pPr>
      <w:bookmarkStart w:id="62" w:name="_Toc9174"/>
      <w:bookmarkStart w:id="63" w:name="_Toc29177"/>
      <w:bookmarkStart w:id="64" w:name="_Toc11993"/>
      <w:bookmarkStart w:id="65" w:name="_Toc12789058"/>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、安全要求</w:t>
      </w:r>
      <w:bookmarkEnd w:id="62"/>
      <w:bookmarkEnd w:id="63"/>
      <w:bookmarkEnd w:id="64"/>
    </w:p>
    <w:p w14:paraId="0D59964C">
      <w:pPr>
        <w:keepNext w:val="0"/>
        <w:keepLines w:val="0"/>
        <w:pageBreakBefore w:val="0"/>
        <w:widowControl w:val="0"/>
        <w:kinsoku/>
        <w:wordWrap/>
        <w:topLinePunct w:val="0"/>
        <w:bidi w:val="0"/>
        <w:adjustRightInd/>
        <w:snapToGrid/>
        <w:spacing w:line="37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成交供应商承担相关的赔偿责任。</w:t>
      </w:r>
    </w:p>
    <w:p w14:paraId="78467599">
      <w:pPr>
        <w:pStyle w:val="4"/>
        <w:keepNext w:val="0"/>
        <w:keepLines w:val="0"/>
        <w:pageBreakBefore w:val="0"/>
        <w:widowControl w:val="0"/>
        <w:kinsoku/>
        <w:wordWrap/>
        <w:topLinePunct w:val="0"/>
        <w:bidi w:val="0"/>
        <w:adjustRightInd/>
        <w:spacing w:line="240" w:lineRule="auto"/>
        <w:textAlignment w:val="auto"/>
        <w:rPr>
          <w:rFonts w:hint="eastAsia" w:ascii="宋体" w:hAnsi="宋体" w:eastAsia="宋体" w:cs="宋体"/>
          <w:color w:val="auto"/>
          <w:sz w:val="24"/>
          <w:szCs w:val="24"/>
          <w:highlight w:val="none"/>
          <w:lang w:val="en-US" w:eastAsia="zh-CN"/>
        </w:rPr>
      </w:pPr>
      <w:bookmarkStart w:id="66" w:name="_Toc3836"/>
      <w:bookmarkStart w:id="67" w:name="_Toc9235"/>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、质量要求</w:t>
      </w:r>
      <w:bookmarkEnd w:id="66"/>
      <w:bookmarkEnd w:id="67"/>
    </w:p>
    <w:p w14:paraId="04365CEC">
      <w:pPr>
        <w:keepNext w:val="0"/>
        <w:keepLines w:val="0"/>
        <w:pageBreakBefore w:val="0"/>
        <w:widowControl w:val="0"/>
        <w:kinsoku/>
        <w:wordWrap/>
        <w:topLinePunct w:val="0"/>
        <w:bidi w:val="0"/>
        <w:adjustRightInd/>
        <w:snapToGrid/>
        <w:spacing w:line="37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工程质量符合强制性质量标准，符合国家和重庆市现行有关施工质量验收规范要求，并达到合格标准。</w:t>
      </w:r>
    </w:p>
    <w:p w14:paraId="428EF555">
      <w:pPr>
        <w:pStyle w:val="4"/>
        <w:keepNext w:val="0"/>
        <w:keepLines w:val="0"/>
        <w:pageBreakBefore w:val="0"/>
        <w:widowControl w:val="0"/>
        <w:kinsoku/>
        <w:wordWrap/>
        <w:topLinePunct w:val="0"/>
        <w:bidi w:val="0"/>
        <w:adjustRightInd/>
        <w:spacing w:line="240" w:lineRule="auto"/>
        <w:textAlignment w:val="auto"/>
        <w:rPr>
          <w:rFonts w:hint="eastAsia" w:ascii="宋体" w:hAnsi="宋体" w:eastAsia="宋体" w:cs="宋体"/>
          <w:color w:val="auto"/>
          <w:sz w:val="24"/>
          <w:szCs w:val="24"/>
          <w:highlight w:val="none"/>
          <w:lang w:val="en-US" w:eastAsia="zh-CN"/>
        </w:rPr>
      </w:pPr>
      <w:bookmarkStart w:id="68" w:name="_Toc686"/>
      <w:bookmarkStart w:id="69" w:name="_Toc2250"/>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w:t>
      </w:r>
      <w:bookmarkStart w:id="70" w:name="_Toc80863889"/>
      <w:r>
        <w:rPr>
          <w:rFonts w:hint="eastAsia" w:ascii="宋体" w:hAnsi="宋体" w:eastAsia="宋体" w:cs="宋体"/>
          <w:color w:val="auto"/>
          <w:sz w:val="24"/>
          <w:szCs w:val="24"/>
          <w:highlight w:val="none"/>
          <w:lang w:val="en-US" w:eastAsia="zh-CN"/>
        </w:rPr>
        <w:t>现场踏勘</w:t>
      </w:r>
      <w:bookmarkEnd w:id="68"/>
      <w:bookmarkEnd w:id="69"/>
      <w:bookmarkEnd w:id="70"/>
    </w:p>
    <w:p w14:paraId="0255A760">
      <w:pPr>
        <w:keepNext w:val="0"/>
        <w:keepLines w:val="0"/>
        <w:pageBreakBefore w:val="0"/>
        <w:widowControl w:val="0"/>
        <w:kinsoku/>
        <w:wordWrap/>
        <w:topLinePunct w:val="0"/>
        <w:bidi w:val="0"/>
        <w:adjustRightInd/>
        <w:snapToGrid/>
        <w:spacing w:line="37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（一）采购人不组织现场踏勘，由各供应商在比选开始前自行到现场进行踏勘了解实际情况，根据实际踏勘情况做服务方案。踏勘产生的费用和风险等均由供应商自行承担。</w:t>
      </w:r>
    </w:p>
    <w:p w14:paraId="238FDCC7">
      <w:pPr>
        <w:keepNext w:val="0"/>
        <w:keepLines w:val="0"/>
        <w:pageBreakBefore w:val="0"/>
        <w:widowControl w:val="0"/>
        <w:kinsoku/>
        <w:wordWrap/>
        <w:topLinePunct w:val="0"/>
        <w:bidi w:val="0"/>
        <w:adjustRightInd/>
        <w:snapToGrid/>
        <w:spacing w:line="370" w:lineRule="exact"/>
        <w:ind w:firstLine="480" w:firstLineChars="200"/>
        <w:textAlignment w:val="auto"/>
        <w:rPr>
          <w:rStyle w:val="78"/>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二）无论供应商是否踏勘过现场，均视为在响应截止时间之前踏勘过现场且对本项目潜在的风险和义务已完全了解，已充分考虑了本项目可能面临的不确定因素可能导致的风险，成交供应商不得以不完全了解现场情况为借口而提出延长服务期限或提出额外赔偿等要求。</w:t>
      </w:r>
    </w:p>
    <w:p w14:paraId="3C5CB884">
      <w:pPr>
        <w:pStyle w:val="4"/>
        <w:keepNext w:val="0"/>
        <w:keepLines w:val="0"/>
        <w:pageBreakBefore w:val="0"/>
        <w:widowControl w:val="0"/>
        <w:kinsoku/>
        <w:wordWrap/>
        <w:topLinePunct w:val="0"/>
        <w:bidi w:val="0"/>
        <w:adjustRightIn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、结合本工程特点提出切实可行的服务方案</w:t>
      </w:r>
    </w:p>
    <w:p w14:paraId="5A8BA888">
      <w:pPr>
        <w:pStyle w:val="4"/>
        <w:keepNext w:val="0"/>
        <w:keepLines w:val="0"/>
        <w:pageBreakBefore w:val="0"/>
        <w:widowControl w:val="0"/>
        <w:kinsoku/>
        <w:wordWrap/>
        <w:topLinePunct w:val="0"/>
        <w:bidi w:val="0"/>
        <w:adjustRightInd/>
        <w:spacing w:line="240" w:lineRule="auto"/>
        <w:ind w:firstLine="480" w:firstLineChars="200"/>
        <w:textAlignment w:val="auto"/>
        <w:rPr>
          <w:rFonts w:hint="eastAsia" w:ascii="宋体" w:hAnsi="宋体" w:eastAsia="宋体" w:cs="宋体"/>
          <w:b w:val="0"/>
          <w:bCs/>
          <w:color w:val="auto"/>
          <w:sz w:val="24"/>
          <w:szCs w:val="24"/>
          <w:highlight w:val="none"/>
          <w:lang w:val="en-US" w:eastAsia="zh-CN"/>
        </w:rPr>
      </w:pPr>
      <w:bookmarkStart w:id="71" w:name="_Toc27288"/>
      <w:bookmarkStart w:id="72" w:name="_Toc3420"/>
      <w:bookmarkStart w:id="73" w:name="_Toc21506"/>
      <w:bookmarkStart w:id="74" w:name="_Toc29141"/>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安全管理体系与措施：编制要点：针对本项目安全控制有透彻的认识，明确施工现场管理人员安全生产职责、达到施工安全目标，针对工程特点、确定危险源并制定具体的保护措施。对施工过程中可能发生的各种安全问题有合理的预见，并提出相应的应对措施，从安全体系建设、安全预案可靠性、安全经费保障、安全措施保障计划、安全管理机构设置科学、充分、有效并符合本项目实际需要。</w:t>
      </w:r>
      <w:r>
        <w:rPr>
          <w:rFonts w:hint="eastAsia" w:ascii="宋体" w:hAnsi="宋体" w:cs="宋体"/>
          <w:b w:val="0"/>
          <w:bCs/>
          <w:color w:val="auto"/>
          <w:sz w:val="24"/>
          <w:szCs w:val="24"/>
          <w:highlight w:val="none"/>
          <w:lang w:val="en-US" w:eastAsia="zh-CN"/>
        </w:rPr>
        <w:t>（评标委员会对投标人递交的技术方案进行综合性评审，</w:t>
      </w:r>
      <w:r>
        <w:rPr>
          <w:rFonts w:hint="eastAsia" w:ascii="宋体" w:hAnsi="宋体" w:eastAsia="宋体" w:cs="宋体"/>
          <w:b w:val="0"/>
          <w:bCs/>
          <w:color w:val="auto"/>
          <w:sz w:val="24"/>
          <w:szCs w:val="24"/>
          <w:highlight w:val="none"/>
          <w:lang w:val="en-US" w:eastAsia="zh-CN"/>
        </w:rPr>
        <w:t>综合评判是否满足本工程需求：满足/不满足</w:t>
      </w:r>
      <w:r>
        <w:rPr>
          <w:rFonts w:hint="eastAsia" w:ascii="宋体" w:hAnsi="宋体" w:cs="宋体"/>
          <w:b w:val="0"/>
          <w:bCs/>
          <w:color w:val="auto"/>
          <w:sz w:val="24"/>
          <w:szCs w:val="24"/>
          <w:highlight w:val="none"/>
          <w:lang w:val="en-US" w:eastAsia="zh-CN"/>
        </w:rPr>
        <w:t>）</w:t>
      </w:r>
    </w:p>
    <w:p w14:paraId="3833E190">
      <w:pPr>
        <w:pStyle w:val="4"/>
        <w:keepNext w:val="0"/>
        <w:keepLines w:val="0"/>
        <w:pageBreakBefore w:val="0"/>
        <w:widowControl w:val="0"/>
        <w:kinsoku/>
        <w:wordWrap/>
        <w:topLinePunct w:val="0"/>
        <w:bidi w:val="0"/>
        <w:adjustRightInd/>
        <w:spacing w:line="24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环境保护管理体系措施：编制要点：编制相应的环境保护组织机构，根据项目特征，识别评价环境影响因素，制定相应预防控制措施，切合实际，采取有效的措施防止扬尘、噪音等物质对大气的污染，施工产生的废渣有合理的处理方案，设有专人负责协调处理施工过程中产生的环境保护、水土保持相关问题及应急处置方案和措施，环境保护、水土保持体系健全有效，环境保护、水土保持保证措施得当具有针对性，与本项目周边环境情况相符合。</w:t>
      </w:r>
      <w:r>
        <w:rPr>
          <w:rFonts w:hint="eastAsia" w:ascii="宋体" w:hAnsi="宋体" w:cs="宋体"/>
          <w:b w:val="0"/>
          <w:bCs/>
          <w:color w:val="auto"/>
          <w:sz w:val="24"/>
          <w:szCs w:val="24"/>
          <w:highlight w:val="none"/>
          <w:lang w:val="en-US" w:eastAsia="zh-CN"/>
        </w:rPr>
        <w:t>（（评标委员会对投标人递交的技术方案进行综合性评审，</w:t>
      </w:r>
      <w:r>
        <w:rPr>
          <w:rFonts w:hint="eastAsia" w:ascii="宋体" w:hAnsi="宋体" w:eastAsia="宋体" w:cs="宋体"/>
          <w:b w:val="0"/>
          <w:bCs/>
          <w:color w:val="auto"/>
          <w:sz w:val="24"/>
          <w:szCs w:val="24"/>
          <w:highlight w:val="none"/>
          <w:lang w:val="en-US" w:eastAsia="zh-CN"/>
        </w:rPr>
        <w:t>综合评判是否满足本工程需求：满足/不满足</w:t>
      </w:r>
      <w:r>
        <w:rPr>
          <w:rFonts w:hint="eastAsia" w:ascii="宋体" w:hAnsi="宋体" w:cs="宋体"/>
          <w:b w:val="0"/>
          <w:bCs/>
          <w:color w:val="auto"/>
          <w:sz w:val="24"/>
          <w:szCs w:val="24"/>
          <w:highlight w:val="none"/>
          <w:lang w:val="en-US" w:eastAsia="zh-CN"/>
        </w:rPr>
        <w:t>）</w:t>
      </w:r>
    </w:p>
    <w:p w14:paraId="546F1190">
      <w:pPr>
        <w:pStyle w:val="4"/>
        <w:keepNext w:val="0"/>
        <w:keepLines w:val="0"/>
        <w:pageBreakBefore w:val="0"/>
        <w:widowControl w:val="0"/>
        <w:kinsoku/>
        <w:wordWrap/>
        <w:topLinePunct w:val="0"/>
        <w:bidi w:val="0"/>
        <w:adjustRightInd/>
        <w:spacing w:line="24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工程进度计划与措施：编制要点：合理规划施工总体进度计划、控制性项目安排得当，工程进度补救措施可行，进度管理有提前预想方案以及补救措施，有理想可靠的提前工期方案。针对本项目</w:t>
      </w:r>
      <w:r>
        <w:rPr>
          <w:rFonts w:hint="eastAsia" w:ascii="宋体" w:hAnsi="宋体" w:cs="宋体"/>
          <w:b w:val="0"/>
          <w:bCs/>
          <w:color w:val="auto"/>
          <w:sz w:val="24"/>
          <w:szCs w:val="24"/>
          <w:highlight w:val="none"/>
          <w:lang w:val="en-US" w:eastAsia="zh-CN"/>
        </w:rPr>
        <w:t>施工内容</w:t>
      </w:r>
      <w:r>
        <w:rPr>
          <w:rFonts w:hint="eastAsia" w:ascii="宋体" w:hAnsi="宋体" w:eastAsia="宋体" w:cs="宋体"/>
          <w:b w:val="0"/>
          <w:bCs/>
          <w:color w:val="auto"/>
          <w:sz w:val="24"/>
          <w:szCs w:val="24"/>
          <w:highlight w:val="none"/>
          <w:lang w:val="en-US" w:eastAsia="zh-CN"/>
        </w:rPr>
        <w:t>制定保证工期专项措施。总计划满足</w:t>
      </w:r>
      <w:r>
        <w:rPr>
          <w:rFonts w:hint="eastAsia" w:ascii="宋体" w:hAnsi="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lang w:val="en-US" w:eastAsia="zh-CN"/>
        </w:rPr>
        <w:t>文件要求，逻辑关系正确，可操作行强，关键线路节点清晰准确完整，并绘制出双代号网络图。施工总体进度计划是否合理（附网络图），控制性项目是否安排得当，工程进度补救措施是否可行。提供工程进度计划表，明确开、竣工日期，各工作的自由时差及总时差，六个时间参数及相关措施。</w:t>
      </w:r>
      <w:r>
        <w:rPr>
          <w:rFonts w:hint="eastAsia" w:ascii="宋体" w:hAnsi="宋体" w:cs="宋体"/>
          <w:b w:val="0"/>
          <w:bCs/>
          <w:color w:val="auto"/>
          <w:sz w:val="24"/>
          <w:szCs w:val="24"/>
          <w:highlight w:val="none"/>
          <w:lang w:val="en-US" w:eastAsia="zh-CN"/>
        </w:rPr>
        <w:t>（（评标委员会对投标人递交的技术方案进行综合性评审，</w:t>
      </w:r>
      <w:r>
        <w:rPr>
          <w:rFonts w:hint="eastAsia" w:ascii="宋体" w:hAnsi="宋体" w:eastAsia="宋体" w:cs="宋体"/>
          <w:b w:val="0"/>
          <w:bCs/>
          <w:color w:val="auto"/>
          <w:sz w:val="24"/>
          <w:szCs w:val="24"/>
          <w:highlight w:val="none"/>
          <w:lang w:val="en-US" w:eastAsia="zh-CN"/>
        </w:rPr>
        <w:t>综合评判是否满足本工程需求：满足/不满足</w:t>
      </w:r>
      <w:r>
        <w:rPr>
          <w:rFonts w:hint="eastAsia" w:ascii="宋体" w:hAnsi="宋体" w:cs="宋体"/>
          <w:b w:val="0"/>
          <w:bCs/>
          <w:color w:val="auto"/>
          <w:sz w:val="24"/>
          <w:szCs w:val="24"/>
          <w:highlight w:val="none"/>
          <w:lang w:val="en-US" w:eastAsia="zh-CN"/>
        </w:rPr>
        <w:t>）</w:t>
      </w:r>
    </w:p>
    <w:p w14:paraId="313CAB60">
      <w:pPr>
        <w:pStyle w:val="4"/>
        <w:keepNext w:val="0"/>
        <w:keepLines w:val="0"/>
        <w:pageBreakBefore w:val="0"/>
        <w:widowControl w:val="0"/>
        <w:kinsoku/>
        <w:wordWrap/>
        <w:topLinePunct w:val="0"/>
        <w:bidi w:val="0"/>
        <w:adjustRightInd/>
        <w:spacing w:line="24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资源配备计划：编制要点：审查投入本工程施工的机具和设备是否符合本项目要求，以表格形式明确施工设备的名称、型号、数量、功率、施工部位、归属、已使用年限等方面充分满足施工需要；试验设备结合本项目明确用途；提供劳动力计划、主要机具设备配置计划，满足本项目需要的主要材料供应计划。</w:t>
      </w:r>
      <w:r>
        <w:rPr>
          <w:rFonts w:hint="eastAsia" w:ascii="宋体" w:hAnsi="宋体" w:cs="宋体"/>
          <w:b w:val="0"/>
          <w:bCs/>
          <w:color w:val="auto"/>
          <w:sz w:val="24"/>
          <w:szCs w:val="24"/>
          <w:highlight w:val="none"/>
          <w:lang w:val="en-US" w:eastAsia="zh-CN"/>
        </w:rPr>
        <w:t>（（评标委员会对投标人递交的技术方案进行综合性评审，</w:t>
      </w:r>
      <w:r>
        <w:rPr>
          <w:rFonts w:hint="eastAsia" w:ascii="宋体" w:hAnsi="宋体" w:eastAsia="宋体" w:cs="宋体"/>
          <w:b w:val="0"/>
          <w:bCs/>
          <w:color w:val="auto"/>
          <w:sz w:val="24"/>
          <w:szCs w:val="24"/>
          <w:highlight w:val="none"/>
          <w:lang w:val="en-US" w:eastAsia="zh-CN"/>
        </w:rPr>
        <w:t>综合评判是否满足本工程需求：满足/不满足</w:t>
      </w:r>
      <w:r>
        <w:rPr>
          <w:rFonts w:hint="eastAsia" w:ascii="宋体" w:hAnsi="宋体" w:cs="宋体"/>
          <w:b w:val="0"/>
          <w:bCs/>
          <w:color w:val="auto"/>
          <w:sz w:val="24"/>
          <w:szCs w:val="24"/>
          <w:highlight w:val="none"/>
          <w:lang w:val="en-US" w:eastAsia="zh-CN"/>
        </w:rPr>
        <w:t>）</w:t>
      </w:r>
    </w:p>
    <w:p w14:paraId="4BAE6C3A">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73BEDE1C">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3237AAB8">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63D8844A">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2DA99369">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3160CFF9">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3F917BB0">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342C3C1B">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79BFF375">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708275FD">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4C36C5E1">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7C73DBC4">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0729A0A8">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r>
        <w:rPr>
          <w:rFonts w:hint="eastAsia" w:ascii="Times New Roman" w:hAnsi="Times New Roman" w:eastAsia="宋体" w:cs="宋体"/>
          <w:b/>
          <w:bCs w:val="0"/>
          <w:color w:val="auto"/>
          <w:kern w:val="2"/>
          <w:sz w:val="36"/>
          <w:szCs w:val="36"/>
          <w:highlight w:val="none"/>
          <w:lang w:val="en-US" w:eastAsia="zh-CN" w:bidi="ar-SA"/>
        </w:rPr>
        <w:t>第三篇  项目商务需求</w:t>
      </w:r>
      <w:bookmarkEnd w:id="65"/>
      <w:bookmarkEnd w:id="71"/>
      <w:bookmarkEnd w:id="72"/>
      <w:bookmarkEnd w:id="73"/>
      <w:bookmarkEnd w:id="74"/>
    </w:p>
    <w:p w14:paraId="147BAFDB">
      <w:pPr>
        <w:pStyle w:val="4"/>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lang w:val="en-US" w:eastAsia="zh-CN"/>
        </w:rPr>
      </w:pPr>
      <w:bookmarkStart w:id="75" w:name="_Toc15498"/>
      <w:bookmarkStart w:id="76" w:name="_Toc51655840"/>
      <w:bookmarkStart w:id="77" w:name="_Toc26026"/>
      <w:bookmarkStart w:id="78" w:name="_Toc19148"/>
      <w:bookmarkStart w:id="79" w:name="_Toc486325801"/>
      <w:bookmarkStart w:id="80" w:name="_Toc525909820"/>
      <w:bookmarkStart w:id="81" w:name="_Toc344475123"/>
      <w:bookmarkStart w:id="82" w:name="_Toc267320049"/>
      <w:bookmarkStart w:id="83" w:name="_Toc344475120"/>
      <w:bookmarkStart w:id="84" w:name="_Toc12789059"/>
      <w:bookmarkStart w:id="85" w:name="_Toc11641055"/>
      <w:r>
        <w:rPr>
          <w:rFonts w:hint="eastAsia" w:ascii="宋体" w:hAnsi="宋体" w:eastAsia="宋体" w:cs="宋体"/>
          <w:color w:val="auto"/>
          <w:sz w:val="24"/>
          <w:szCs w:val="24"/>
          <w:highlight w:val="none"/>
          <w:lang w:val="en-US" w:eastAsia="zh-CN"/>
        </w:rPr>
        <w:t>一、工期、建设地点、验收方式</w:t>
      </w:r>
      <w:bookmarkEnd w:id="75"/>
      <w:bookmarkEnd w:id="76"/>
      <w:r>
        <w:rPr>
          <w:rFonts w:hint="eastAsia" w:ascii="宋体" w:hAnsi="宋体" w:eastAsia="宋体" w:cs="宋体"/>
          <w:color w:val="auto"/>
          <w:sz w:val="24"/>
          <w:szCs w:val="24"/>
          <w:highlight w:val="none"/>
          <w:lang w:val="en-US" w:eastAsia="zh-CN"/>
        </w:rPr>
        <w:t>及安全目标</w:t>
      </w:r>
      <w:bookmarkEnd w:id="77"/>
      <w:bookmarkEnd w:id="78"/>
    </w:p>
    <w:p w14:paraId="1B4F3923">
      <w:pPr>
        <w:keepNext w:val="0"/>
        <w:keepLines w:val="0"/>
        <w:pageBreakBefore w:val="0"/>
        <w:widowControl w:val="0"/>
        <w:numPr>
          <w:ilvl w:val="0"/>
          <w:numId w:val="0"/>
        </w:numPr>
        <w:kinsoku/>
        <w:wordWrap/>
        <w:overflowPunct/>
        <w:topLinePunct w:val="0"/>
        <w:autoSpaceDE/>
        <w:autoSpaceDN/>
        <w:bidi w:val="0"/>
        <w:snapToGrid w:val="0"/>
        <w:spacing w:line="400" w:lineRule="exact"/>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w:t>
      </w:r>
      <w:r>
        <w:rPr>
          <w:rFonts w:hint="eastAsia" w:ascii="宋体" w:hAnsi="宋体" w:eastAsia="宋体" w:cs="宋体"/>
          <w:color w:val="auto"/>
          <w:sz w:val="24"/>
          <w:szCs w:val="24"/>
          <w:highlight w:val="none"/>
          <w:lang w:val="en-US" w:eastAsia="zh-CN"/>
        </w:rPr>
        <w:t>工期</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60日历天</w:t>
      </w:r>
      <w:r>
        <w:rPr>
          <w:rFonts w:hint="eastAsia" w:ascii="宋体" w:hAnsi="宋体" w:eastAsia="宋体" w:cs="宋体"/>
          <w:color w:val="auto"/>
          <w:kern w:val="2"/>
          <w:sz w:val="24"/>
          <w:szCs w:val="24"/>
          <w:highlight w:val="none"/>
          <w:lang w:val="en-US" w:eastAsia="zh-CN" w:bidi="ar-SA"/>
        </w:rPr>
        <w:t>。</w:t>
      </w:r>
    </w:p>
    <w:p w14:paraId="7BFB4D94">
      <w:pPr>
        <w:keepNext w:val="0"/>
        <w:keepLines w:val="0"/>
        <w:pageBreakBefore w:val="0"/>
        <w:widowControl w:val="0"/>
        <w:numPr>
          <w:ilvl w:val="0"/>
          <w:numId w:val="0"/>
        </w:numPr>
        <w:kinsoku/>
        <w:wordWrap/>
        <w:overflowPunct/>
        <w:topLinePunct w:val="0"/>
        <w:autoSpaceDE/>
        <w:autoSpaceDN/>
        <w:bidi w:val="0"/>
        <w:snapToGrid w:val="0"/>
        <w:spacing w:line="40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（二）建设</w:t>
      </w:r>
      <w:r>
        <w:rPr>
          <w:rFonts w:hint="eastAsia" w:ascii="宋体" w:hAnsi="宋体" w:eastAsia="宋体" w:cs="宋体"/>
          <w:color w:val="auto"/>
          <w:sz w:val="24"/>
          <w:szCs w:val="24"/>
          <w:highlight w:val="none"/>
        </w:rPr>
        <w:t>地点：</w:t>
      </w:r>
      <w:r>
        <w:rPr>
          <w:rFonts w:hint="eastAsia" w:ascii="宋体" w:hAnsi="宋体" w:eastAsia="宋体" w:cs="宋体"/>
          <w:color w:val="auto"/>
          <w:kern w:val="2"/>
          <w:sz w:val="24"/>
          <w:szCs w:val="24"/>
          <w:highlight w:val="none"/>
          <w:lang w:val="en-US" w:eastAsia="zh-CN" w:bidi="ar-SA"/>
        </w:rPr>
        <w:t>采购人指定地点。</w:t>
      </w:r>
    </w:p>
    <w:p w14:paraId="262EA922">
      <w:pPr>
        <w:keepNext w:val="0"/>
        <w:keepLines w:val="0"/>
        <w:pageBreakBefore w:val="0"/>
        <w:widowControl w:val="0"/>
        <w:numPr>
          <w:ilvl w:val="0"/>
          <w:numId w:val="0"/>
        </w:numPr>
        <w:kinsoku/>
        <w:wordWrap/>
        <w:overflowPunct/>
        <w:topLinePunct w:val="0"/>
        <w:autoSpaceDE/>
        <w:autoSpaceDN/>
        <w:bidi w:val="0"/>
        <w:snapToGrid w:val="0"/>
        <w:spacing w:line="40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验收方式</w:t>
      </w:r>
    </w:p>
    <w:p w14:paraId="0EA85BD0">
      <w:pPr>
        <w:keepNext w:val="0"/>
        <w:keepLines w:val="0"/>
        <w:pageBreakBefore w:val="0"/>
        <w:widowControl w:val="0"/>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施工过程应遵照现行国家有关规范进行，按照图级进行及有关要求进行检查验收。成交供应商应保证工程质量，工程用建筑材料须符合国家及行业标准，项目工程达到国家现行有关施工质量验收规范要求，并达到合格标准。</w:t>
      </w:r>
    </w:p>
    <w:p w14:paraId="04B00CC0">
      <w:pPr>
        <w:keepNext w:val="0"/>
        <w:keepLines w:val="0"/>
        <w:pageBreakBefore w:val="0"/>
        <w:widowControl w:val="0"/>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2.工程完工后，按国家相关标准验收程序和规程进行验收。验收的相关费用由成交供应商承担。</w:t>
      </w:r>
    </w:p>
    <w:p w14:paraId="565932EF">
      <w:pPr>
        <w:keepNext w:val="0"/>
        <w:keepLines w:val="0"/>
        <w:pageBreakBefore w:val="0"/>
        <w:widowControl w:val="0"/>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3.成交供应商未达到采购文件的要求，且对采购人造成损失的，由成交供应商承担一切责任，并赔偿所造成的损失。</w:t>
      </w:r>
    </w:p>
    <w:p w14:paraId="37F48780">
      <w:pPr>
        <w:pStyle w:val="23"/>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（四）安全目标</w:t>
      </w:r>
    </w:p>
    <w:p w14:paraId="7963AB27">
      <w:pPr>
        <w:keepNext w:val="0"/>
        <w:keepLines w:val="0"/>
        <w:pageBreakBefore w:val="0"/>
        <w:widowControl w:val="0"/>
        <w:suppressLineNumbers w:val="0"/>
        <w:kinsoku/>
        <w:wordWrap/>
        <w:overflowPunct/>
        <w:topLinePunct w:val="0"/>
        <w:autoSpaceDE/>
        <w:autoSpaceDN/>
        <w:bidi w:val="0"/>
        <w:spacing w:line="400" w:lineRule="exact"/>
        <w:ind w:left="0" w:firstLine="480" w:firstLineChars="200"/>
        <w:jc w:val="left"/>
        <w:textAlignment w:val="auto"/>
        <w:rPr>
          <w:rFonts w:hint="eastAsia"/>
          <w:color w:val="auto"/>
          <w:highlight w:val="none"/>
          <w:lang w:val="en-US" w:eastAsia="zh-CN"/>
        </w:rPr>
      </w:pPr>
      <w:r>
        <w:rPr>
          <w:rFonts w:hint="eastAsia" w:ascii="宋体" w:hAnsi="宋体" w:eastAsia="宋体" w:cs="宋体"/>
          <w:color w:val="auto"/>
          <w:kern w:val="2"/>
          <w:sz w:val="24"/>
          <w:szCs w:val="24"/>
          <w:highlight w:val="none"/>
          <w:lang w:val="en-US" w:eastAsia="zh-CN" w:bidi="ar-SA"/>
        </w:rPr>
        <w:t>达到国家安全技术规范和标准的要求，无大小安全责任事故。</w:t>
      </w:r>
    </w:p>
    <w:p w14:paraId="05C211B7">
      <w:pPr>
        <w:pStyle w:val="4"/>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lang w:val="en-US" w:eastAsia="zh-CN"/>
        </w:rPr>
      </w:pPr>
      <w:bookmarkStart w:id="86" w:name="_Toc2507"/>
      <w:r>
        <w:rPr>
          <w:rFonts w:hint="eastAsia" w:ascii="宋体" w:hAnsi="宋体" w:eastAsia="宋体" w:cs="宋体"/>
          <w:color w:val="auto"/>
          <w:sz w:val="24"/>
          <w:szCs w:val="24"/>
          <w:highlight w:val="none"/>
          <w:lang w:val="en-US" w:eastAsia="zh-CN"/>
        </w:rPr>
        <w:t>二、人员要求</w:t>
      </w:r>
    </w:p>
    <w:bookmarkEnd w:id="86"/>
    <w:p w14:paraId="6E4C6214">
      <w:pPr>
        <w:pStyle w:val="63"/>
        <w:keepNext w:val="0"/>
        <w:keepLines w:val="0"/>
        <w:pageBreakBefore w:val="0"/>
        <w:widowControl w:val="0"/>
        <w:kinsoku/>
        <w:topLinePunct w:val="0"/>
        <w:bidi w:val="0"/>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bookmarkStart w:id="87" w:name="_Toc267320050"/>
      <w:r>
        <w:rPr>
          <w:rFonts w:hint="eastAsia" w:asciiTheme="minorEastAsia" w:hAnsiTheme="minorEastAsia" w:eastAsiaTheme="minorEastAsia" w:cstheme="minorEastAsia"/>
          <w:color w:val="auto"/>
          <w:kern w:val="2"/>
          <w:sz w:val="24"/>
          <w:szCs w:val="24"/>
          <w:highlight w:val="none"/>
          <w:lang w:val="en-US" w:eastAsia="zh-CN" w:bidi="ar-SA"/>
        </w:rPr>
        <w:t>1.项目经理：拟派的项目经理须在供应商单位注册，并应具有</w:t>
      </w:r>
      <w:r>
        <w:rPr>
          <w:rFonts w:hint="eastAsia" w:asciiTheme="minorEastAsia" w:hAnsiTheme="minorEastAsia" w:eastAsiaTheme="minorEastAsia" w:cstheme="minorEastAsia"/>
          <w:color w:val="auto"/>
          <w:kern w:val="2"/>
          <w:sz w:val="24"/>
          <w:szCs w:val="24"/>
          <w:highlight w:val="none"/>
          <w:u w:val="single"/>
          <w:lang w:val="en-US" w:eastAsia="zh-CN" w:bidi="ar-SA"/>
        </w:rPr>
        <w:t>市政公用工程</w:t>
      </w:r>
      <w:r>
        <w:rPr>
          <w:rFonts w:hint="eastAsia" w:asciiTheme="minorEastAsia" w:hAnsiTheme="minorEastAsia" w:eastAsiaTheme="minorEastAsia" w:cstheme="minorEastAsia"/>
          <w:color w:val="auto"/>
          <w:kern w:val="2"/>
          <w:sz w:val="24"/>
          <w:szCs w:val="24"/>
          <w:highlight w:val="none"/>
          <w:lang w:val="en-US" w:eastAsia="zh-CN" w:bidi="ar-SA"/>
        </w:rPr>
        <w:t>专业</w:t>
      </w:r>
      <w:r>
        <w:rPr>
          <w:rFonts w:hint="eastAsia" w:asciiTheme="minorEastAsia" w:hAnsiTheme="minorEastAsia" w:eastAsiaTheme="minorEastAsia" w:cstheme="minorEastAsia"/>
          <w:color w:val="auto"/>
          <w:kern w:val="2"/>
          <w:sz w:val="24"/>
          <w:szCs w:val="24"/>
          <w:highlight w:val="none"/>
          <w:u w:val="single"/>
          <w:lang w:val="en-US" w:eastAsia="zh-CN" w:bidi="ar-SA"/>
        </w:rPr>
        <w:t>二级</w:t>
      </w:r>
      <w:r>
        <w:rPr>
          <w:rFonts w:hint="eastAsia" w:asciiTheme="minorEastAsia" w:hAnsiTheme="minorEastAsia" w:eastAsiaTheme="minorEastAsia" w:cstheme="minorEastAsia"/>
          <w:color w:val="auto"/>
          <w:kern w:val="2"/>
          <w:sz w:val="24"/>
          <w:szCs w:val="24"/>
          <w:highlight w:val="none"/>
          <w:lang w:val="en-US" w:eastAsia="zh-CN" w:bidi="ar-SA"/>
        </w:rPr>
        <w:t>及以上注册建造师执业资格（提供拟派项目经理身份证、建造师注册证、安全生产考核合格证书（B类）复印件）。</w:t>
      </w:r>
    </w:p>
    <w:p w14:paraId="46B6C35A">
      <w:pPr>
        <w:pStyle w:val="63"/>
        <w:keepNext w:val="0"/>
        <w:keepLines w:val="0"/>
        <w:pageBreakBefore w:val="0"/>
        <w:widowControl w:val="0"/>
        <w:kinsoku/>
        <w:topLinePunct w:val="0"/>
        <w:bidi w:val="0"/>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2.项目技术负责人：应具有</w:t>
      </w:r>
      <w:r>
        <w:rPr>
          <w:rFonts w:hint="eastAsia" w:asciiTheme="minorEastAsia" w:hAnsiTheme="minorEastAsia" w:eastAsiaTheme="minorEastAsia" w:cstheme="minorEastAsia"/>
          <w:color w:val="auto"/>
          <w:kern w:val="2"/>
          <w:sz w:val="24"/>
          <w:szCs w:val="24"/>
          <w:highlight w:val="none"/>
          <w:u w:val="single"/>
          <w:lang w:val="en-US" w:eastAsia="zh-CN" w:bidi="ar-SA"/>
        </w:rPr>
        <w:t>工程类中级</w:t>
      </w:r>
      <w:r>
        <w:rPr>
          <w:rFonts w:hint="eastAsia" w:asciiTheme="minorEastAsia" w:hAnsiTheme="minorEastAsia" w:eastAsiaTheme="minorEastAsia" w:cstheme="minorEastAsia"/>
          <w:color w:val="auto"/>
          <w:kern w:val="2"/>
          <w:sz w:val="24"/>
          <w:szCs w:val="24"/>
          <w:highlight w:val="none"/>
          <w:lang w:val="en-US" w:eastAsia="zh-CN" w:bidi="ar-SA"/>
        </w:rPr>
        <w:t>及以上职称（提供身份证、职称证复印件）。</w:t>
      </w:r>
    </w:p>
    <w:p w14:paraId="2B145F50">
      <w:pPr>
        <w:pStyle w:val="63"/>
        <w:keepNext w:val="0"/>
        <w:keepLines w:val="0"/>
        <w:pageBreakBefore w:val="0"/>
        <w:widowControl w:val="0"/>
        <w:kinsoku/>
        <w:topLinePunct w:val="0"/>
        <w:bidi w:val="0"/>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主要管理人员：供应商自行承诺（格式自拟）成交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供应商为其缴纳的养老保险证明材料。成交后不能满足该要求的，取消其成交资格，给采购人造成损失的，供应商依法承担违约赔偿责任。</w:t>
      </w:r>
    </w:p>
    <w:p w14:paraId="66C63423">
      <w:pPr>
        <w:pStyle w:val="63"/>
        <w:keepNext w:val="0"/>
        <w:keepLines w:val="0"/>
        <w:pageBreakBefore w:val="0"/>
        <w:widowControl w:val="0"/>
        <w:kinsoku/>
        <w:topLinePunct w:val="0"/>
        <w:bidi w:val="0"/>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4.委托代理人：委托代理人必须为供应商本单位人员。</w:t>
      </w:r>
    </w:p>
    <w:p w14:paraId="610A241E">
      <w:pPr>
        <w:pStyle w:val="63"/>
        <w:keepNext w:val="0"/>
        <w:keepLines w:val="0"/>
        <w:pageBreakBefore w:val="0"/>
        <w:widowControl w:val="0"/>
        <w:kinsoku/>
        <w:topLinePunct w:val="0"/>
        <w:bidi w:val="0"/>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注：项目经理、项目技术负责人及委托代理人须提供本单位为其缴纳的2025年11月至2026年4月连续养老保险证明（提供养老保险证明复印件）。</w:t>
      </w:r>
    </w:p>
    <w:bookmarkEnd w:id="79"/>
    <w:bookmarkEnd w:id="80"/>
    <w:bookmarkEnd w:id="81"/>
    <w:bookmarkEnd w:id="82"/>
    <w:bookmarkEnd w:id="87"/>
    <w:p w14:paraId="3FB2211F">
      <w:pPr>
        <w:pStyle w:val="4"/>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lang w:val="en-US" w:eastAsia="zh-CN"/>
        </w:rPr>
      </w:pPr>
      <w:bookmarkStart w:id="88" w:name="_Toc12932"/>
      <w:bookmarkStart w:id="89" w:name="_Toc13283"/>
      <w:bookmarkStart w:id="90" w:name="_Toc17129"/>
      <w:bookmarkStart w:id="91" w:name="_Toc51655843"/>
      <w:bookmarkStart w:id="92" w:name="_Toc376184485"/>
      <w:bookmarkStart w:id="93" w:name="_Toc267320051"/>
      <w:r>
        <w:rPr>
          <w:rFonts w:hint="eastAsia" w:ascii="宋体" w:hAnsi="宋体" w:eastAsia="宋体" w:cs="宋体"/>
          <w:color w:val="auto"/>
          <w:sz w:val="24"/>
          <w:szCs w:val="24"/>
          <w:highlight w:val="none"/>
          <w:lang w:val="en-US" w:eastAsia="zh-CN"/>
        </w:rPr>
        <w:t>三、报价要求</w:t>
      </w:r>
      <w:bookmarkEnd w:id="88"/>
      <w:bookmarkEnd w:id="89"/>
    </w:p>
    <w:p w14:paraId="73949D06">
      <w:pPr>
        <w:keepNext w:val="0"/>
        <w:keepLines w:val="0"/>
        <w:pageBreakBefore w:val="0"/>
        <w:widowControl w:val="0"/>
        <w:kinsoku/>
        <w:wordWrap/>
        <w:overflowPunct/>
        <w:topLinePunct w:val="0"/>
        <w:autoSpaceDE/>
        <w:autoSpaceDN/>
        <w:bidi w:val="0"/>
        <w:spacing w:line="400" w:lineRule="exact"/>
        <w:ind w:firstLine="280" w:firstLineChars="100"/>
        <w:textAlignment w:val="auto"/>
        <w:rPr>
          <w:rFonts w:hint="eastAsia" w:ascii="宋体" w:hAnsi="宋体" w:eastAsia="宋体" w:cs="宋体"/>
          <w:color w:val="auto"/>
          <w:sz w:val="24"/>
          <w:szCs w:val="24"/>
          <w:highlight w:val="none"/>
        </w:rPr>
      </w:pPr>
      <w:r>
        <w:rPr>
          <w:rFonts w:hint="eastAsia"/>
          <w:color w:val="auto"/>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报价</w:t>
      </w:r>
      <w:r>
        <w:rPr>
          <w:rFonts w:hint="eastAsia" w:ascii="宋体" w:hAnsi="宋体" w:eastAsia="宋体" w:cs="宋体"/>
          <w:color w:val="auto"/>
          <w:kern w:val="0"/>
          <w:sz w:val="24"/>
          <w:szCs w:val="24"/>
          <w:highlight w:val="none"/>
        </w:rPr>
        <w:t>须为人民币报价</w:t>
      </w:r>
      <w:r>
        <w:rPr>
          <w:rFonts w:hint="eastAsia" w:ascii="宋体" w:hAnsi="宋体" w:eastAsia="宋体" w:cs="宋体"/>
          <w:color w:val="auto"/>
          <w:sz w:val="24"/>
          <w:szCs w:val="24"/>
          <w:highlight w:val="none"/>
        </w:rPr>
        <w:t>，包含完成该项目的全部工作内容，亦包含建设工程一般风险费、安全生产费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管理费、利润、税金、采购代理服务费等所有费用。因成交供应商自身原因造成漏报、少报皆由其自行承担责任，采购人不再补偿。</w:t>
      </w:r>
    </w:p>
    <w:p w14:paraId="7E25C587">
      <w:pPr>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、本项目必须采用工程量清单计价。工程量清单应采用综合单价计价。</w:t>
      </w:r>
    </w:p>
    <w:p w14:paraId="2EE7FE91">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rPr>
        <w:t>供应商应按相应的配套定额和文件，结合自身实力、市场行情自主合理报价。</w:t>
      </w:r>
    </w:p>
    <w:p w14:paraId="0BBFEA05">
      <w:pPr>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应认真填写工程量清单中所列的本合同各工程子目的单价或总价。供应商没有填入单价或总价的工程子目，采购人将认为该子目的价款已包括在工程量清单其他子目的单价和总价中。供应商必须按招标工程量清单填报价格。</w:t>
      </w:r>
      <w:r>
        <w:rPr>
          <w:rFonts w:hint="eastAsia" w:ascii="宋体" w:hAnsi="宋体" w:cs="宋体"/>
          <w:color w:val="auto"/>
          <w:sz w:val="24"/>
          <w:szCs w:val="24"/>
          <w:highlight w:val="none"/>
          <w:lang w:val="en-US" w:eastAsia="zh-CN"/>
        </w:rPr>
        <w:t>序号</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工程项目及名称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单位、数量</w:t>
      </w:r>
      <w:r>
        <w:rPr>
          <w:rFonts w:hint="eastAsia" w:ascii="宋体" w:hAnsi="宋体" w:eastAsia="宋体" w:cs="宋体"/>
          <w:color w:val="auto"/>
          <w:sz w:val="24"/>
          <w:szCs w:val="24"/>
          <w:highlight w:val="none"/>
        </w:rPr>
        <w:t>必须与招标工程量清单一致。</w:t>
      </w:r>
    </w:p>
    <w:p w14:paraId="1974F40D">
      <w:pPr>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、报价函中的总报价必须与已标价工程量清单总报价一致。否则由评审小组作无效报价处理。</w:t>
      </w:r>
    </w:p>
    <w:p w14:paraId="73660296">
      <w:pPr>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、采购人在工程量清单中所列出的暂列金额、暂估价</w:t>
      </w:r>
      <w:r>
        <w:rPr>
          <w:rFonts w:hint="eastAsia" w:ascii="宋体" w:hAnsi="宋体" w:cs="宋体"/>
          <w:color w:val="auto"/>
          <w:sz w:val="24"/>
          <w:szCs w:val="24"/>
          <w:highlight w:val="none"/>
          <w:lang w:val="en-US" w:eastAsia="zh-CN"/>
        </w:rPr>
        <w:t>等暂定金额</w:t>
      </w:r>
      <w:r>
        <w:rPr>
          <w:rFonts w:hint="eastAsia" w:ascii="宋体" w:hAnsi="宋体" w:eastAsia="宋体" w:cs="宋体"/>
          <w:color w:val="auto"/>
          <w:sz w:val="24"/>
          <w:szCs w:val="24"/>
          <w:highlight w:val="none"/>
        </w:rPr>
        <w:t>，供应商不得修改。否则由评审小组作无效报价处理。</w:t>
      </w:r>
    </w:p>
    <w:p w14:paraId="2C348DC5">
      <w:pPr>
        <w:keepNext w:val="0"/>
        <w:keepLines w:val="0"/>
        <w:pageBreakBefore w:val="0"/>
        <w:widowControl w:val="0"/>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、本工程投标总报价</w:t>
      </w:r>
      <w:r>
        <w:rPr>
          <w:rFonts w:hint="eastAsia" w:ascii="宋体" w:hAnsi="宋体" w:eastAsia="宋体" w:cs="宋体"/>
          <w:b/>
          <w:bCs/>
          <w:color w:val="auto"/>
          <w:sz w:val="24"/>
          <w:szCs w:val="24"/>
          <w:highlight w:val="none"/>
        </w:rPr>
        <w:t>最高限价为：</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元（大写：</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其中安全生产费：</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元（大写：</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供应商的投标总报价不得超过投标总报价最高限价，否则由评审小组作无效报价处理。</w:t>
      </w:r>
    </w:p>
    <w:p w14:paraId="7CBAE662">
      <w:pPr>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本工程招标将设置全部工程量清单</w:t>
      </w:r>
      <w:r>
        <w:rPr>
          <w:rFonts w:hint="eastAsia" w:ascii="宋体" w:hAnsi="宋体" w:eastAsia="宋体" w:cs="宋体"/>
          <w:b/>
          <w:bCs/>
          <w:color w:val="auto"/>
          <w:sz w:val="24"/>
          <w:szCs w:val="24"/>
          <w:highlight w:val="none"/>
        </w:rPr>
        <w:t>综合单价最高限价，</w:t>
      </w:r>
      <w:r>
        <w:rPr>
          <w:rFonts w:hint="eastAsia" w:ascii="宋体" w:hAnsi="宋体" w:eastAsia="宋体" w:cs="宋体"/>
          <w:color w:val="auto"/>
          <w:sz w:val="24"/>
          <w:szCs w:val="24"/>
          <w:highlight w:val="none"/>
        </w:rPr>
        <w:t>供应商的每项清单综合单价报价不得超过每项清单综合单价最高限价，否则由评审小组作无效处理。</w:t>
      </w:r>
    </w:p>
    <w:p w14:paraId="0790641E">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lang w:val="en-US" w:eastAsia="zh-CN"/>
        </w:rPr>
        <w:t>）、关于不平衡报价：在本项目投标工程量清单中，实行分部分项报价按最高限价均衡下浮，任意分部分项单价下浮率不得超过投标总报价下浮率【（最高限价-投标总报价）/最高限价】的±5%。采购人在发出结果公告前将对拟成交供应商的分部分项工程量清单综合单价报价进行复核，若发现拟成交供应商的分部分项工程量清单综合单价报价存在不平衡报价的情形，采购人有权要求进行修正，若不按采购人要求修正，取消其中标资格，拟成交供应商承担因此造成的相关责任并赔偿相应损失，采购人可以按照评审小组提出的成交候选供应商名单排序依次确定其他候选人为成交供应商，也可以重新招标。</w:t>
      </w:r>
    </w:p>
    <w:p w14:paraId="07380CD3">
      <w:pPr>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lang w:val="en-US" w:eastAsia="zh-CN"/>
        </w:rPr>
        <w:t>）、异常低价警戒线要求：</w:t>
      </w:r>
      <w:r>
        <w:rPr>
          <w:rFonts w:hint="eastAsia" w:ascii="宋体" w:hAnsi="宋体" w:eastAsia="宋体" w:cs="宋体"/>
          <w:b/>
          <w:bCs/>
          <w:color w:val="auto"/>
          <w:sz w:val="24"/>
          <w:szCs w:val="24"/>
          <w:highlight w:val="none"/>
          <w:lang w:val="en-US" w:eastAsia="zh-CN"/>
        </w:rPr>
        <w:t>最高限价的85%</w:t>
      </w:r>
      <w:r>
        <w:rPr>
          <w:rFonts w:hint="eastAsia" w:ascii="宋体" w:hAnsi="宋体" w:eastAsia="宋体" w:cs="宋体"/>
          <w:color w:val="auto"/>
          <w:sz w:val="24"/>
          <w:szCs w:val="24"/>
          <w:highlight w:val="none"/>
          <w:lang w:val="en-US" w:eastAsia="zh-CN"/>
        </w:rPr>
        <w:t>。</w:t>
      </w:r>
    </w:p>
    <w:p w14:paraId="733EF61A">
      <w:pPr>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投标总报价或者部分单项报价低于采购文件规定的对应的异常低价警戒线的，应提供报价合理性说明，并提供必要的证明材料。供应商提供的说明不得降低或者改变原设计方案、技术工艺、施工标准，不得影响项目的质量、安全、工期、结算等正常履约。</w:t>
      </w:r>
    </w:p>
    <w:p w14:paraId="1E6540B4">
      <w:pPr>
        <w:keepNext w:val="0"/>
        <w:keepLines w:val="0"/>
        <w:pageBreakBefore w:val="0"/>
        <w:widowControl w:val="0"/>
        <w:numPr>
          <w:ilvl w:val="0"/>
          <w:numId w:val="0"/>
        </w:numPr>
        <w:kinsoku/>
        <w:wordWrap/>
        <w:topLinePunct w:val="0"/>
        <w:bidi w:val="0"/>
        <w:spacing w:line="40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供应商投标总报价或者部分单项报价低于采购文件规定的对应的异常低价警戒线的，供应商未提供报价合理性说明或者提供的说明不能证明其报价合理性的，由评审小组作否决投标处理。</w:t>
      </w:r>
    </w:p>
    <w:bookmarkEnd w:id="90"/>
    <w:p w14:paraId="11E013FA">
      <w:pPr>
        <w:pStyle w:val="4"/>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lang w:val="en-US" w:eastAsia="zh-CN"/>
        </w:rPr>
      </w:pPr>
      <w:bookmarkStart w:id="94" w:name="_Toc25603"/>
      <w:bookmarkStart w:id="95" w:name="_Toc32275"/>
      <w:r>
        <w:rPr>
          <w:rFonts w:hint="eastAsia" w:ascii="宋体" w:hAnsi="宋体" w:eastAsia="宋体" w:cs="宋体"/>
          <w:color w:val="auto"/>
          <w:sz w:val="24"/>
          <w:szCs w:val="24"/>
          <w:highlight w:val="none"/>
          <w:lang w:val="en-US" w:eastAsia="zh-CN"/>
        </w:rPr>
        <w:t>四、付款方式</w:t>
      </w:r>
      <w:bookmarkEnd w:id="91"/>
      <w:bookmarkEnd w:id="92"/>
      <w:bookmarkEnd w:id="93"/>
      <w:bookmarkEnd w:id="94"/>
      <w:bookmarkEnd w:id="95"/>
    </w:p>
    <w:p w14:paraId="571771E1">
      <w:pPr>
        <w:pStyle w:val="4"/>
        <w:keepNext w:val="0"/>
        <w:keepLines w:val="0"/>
        <w:pageBreakBefore w:val="0"/>
        <w:widowControl w:val="0"/>
        <w:numPr>
          <w:ilvl w:val="0"/>
          <w:numId w:val="0"/>
        </w:numPr>
        <w:kinsoku/>
        <w:wordWrap/>
        <w:topLinePunct w:val="0"/>
        <w:bidi w:val="0"/>
        <w:spacing w:line="400" w:lineRule="exact"/>
        <w:ind w:firstLine="480" w:firstLineChars="200"/>
        <w:textAlignment w:val="auto"/>
        <w:rPr>
          <w:rFonts w:hint="eastAsia" w:ascii="宋体" w:hAnsi="宋体" w:cs="宋体"/>
          <w:color w:val="auto"/>
          <w:sz w:val="24"/>
          <w:szCs w:val="24"/>
          <w:highlight w:val="none"/>
          <w:lang w:val="en-US" w:eastAsia="zh-CN"/>
        </w:rPr>
      </w:pPr>
      <w:bookmarkStart w:id="96" w:name="_Toc51655845"/>
      <w:bookmarkStart w:id="97" w:name="_Toc376184487"/>
      <w:bookmarkStart w:id="98" w:name="_Toc51"/>
      <w:bookmarkStart w:id="99" w:name="_Toc14374"/>
      <w:bookmarkStart w:id="100" w:name="_Toc267320053"/>
      <w:bookmarkStart w:id="101" w:name="_Toc27504"/>
      <w:bookmarkStart w:id="102" w:name="_Toc28549"/>
      <w:bookmarkStart w:id="103" w:name="_Toc267320054"/>
      <w:r>
        <w:rPr>
          <w:rFonts w:hint="eastAsia" w:ascii="宋体" w:hAnsi="宋体" w:eastAsia="宋体" w:cs="Times New Roman"/>
          <w:b w:val="0"/>
          <w:bCs/>
          <w:szCs w:val="21"/>
        </w:rPr>
        <w:t>工程竣工验收合格且完成发包人（业主单位）聘请的跟审或内审结算审核后支付至审核金额的85%，完成区审计局审计或区财政局审核后支付至审定金额的97%（超出合同部分的新增工程量需根据大足发改〔2025〕9号履行相关程序审批后再支付），剩余3%留作质量保证金，缺陷责任期满后发包人向承包人无息支付剩余工程款。</w:t>
      </w:r>
      <w:bookmarkEnd w:id="96"/>
      <w:bookmarkEnd w:id="97"/>
      <w:bookmarkEnd w:id="98"/>
      <w:bookmarkEnd w:id="99"/>
      <w:bookmarkEnd w:id="100"/>
    </w:p>
    <w:p w14:paraId="38B16B08">
      <w:pPr>
        <w:pStyle w:val="4"/>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五、结算原则</w:t>
      </w:r>
    </w:p>
    <w:p w14:paraId="1B433C3C">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1、结算总价=中标单价*实际完成工程量±增减（变更）工程造价±合同约定的其他费用，以审核审定的金额为准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施工单位提供的工程结算价款，审减率超过5%以上的，超过部分的审减效益费用由施工单位承担，由建设单位从工程结算价中扣除。</w:t>
      </w:r>
    </w:p>
    <w:p w14:paraId="51010FDA">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2、增减（变更）工程结算： </w:t>
      </w:r>
    </w:p>
    <w:p w14:paraId="686A7694">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（1）已标价工程量清单中有相同项目的，按照相同项目单价计算；</w:t>
      </w:r>
    </w:p>
    <w:p w14:paraId="6DBCDB7E">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已标价工程量清单中有类似项目的，参考类似项目单价计算</w:t>
      </w:r>
    </w:p>
    <w:p w14:paraId="1ED5A1FC">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工程内容与</w:t>
      </w:r>
      <w:r>
        <w:rPr>
          <w:rFonts w:hint="eastAsia" w:ascii="宋体" w:hAnsi="宋体" w:eastAsia="宋体" w:cs="宋体"/>
          <w:color w:val="auto"/>
          <w:sz w:val="24"/>
          <w:szCs w:val="24"/>
          <w:highlight w:val="none"/>
        </w:rPr>
        <w:t>已标价工程量清单中无相同项目亦无类似项目的，按照以下原则执行；《重庆市建设工程费用定额》（CQFYDE-2018）、《重庆市市政工程计价定额》（CQSZDE-2018）、《重庆市房屋建筑与装饰工程计价定额》（CQJZZSDE-2018）、《重庆市通用安装工程计价定额》（CQAZDE-2018）、《重庆市园林绿化工程计价定额》（CQYLLHDE-2018）、《重庆市绿色建筑工程计价定额》（CQLSJZDE-2018）、《重庆市装配式建筑工程计价定额》（CQZPDE-2022）、《重庆市爆破工程计价定额》（CQBPDE-2018）、《重庆市构筑物工程计价定额》（CQGZWDE-2018）、《重庆市房屋修缮工程计价定额》（CQXSDE-2018）、《重庆市建设工程施工机械台班定额》（CQJXDE-2018）、《重庆市建设工程混凝土及砂浆配合比表》（CQPHBB-2018）、《重庆市建设工程施工仪器仪表台班定额》（CQYQYBDE-2018）及配套文件进行组价并按承包人报价浮动率下浮(认质核价的设备和材料不参与浮动)，承包人报价浮动率按下列公式计算：承包人报价浮动率=(1-中标价/最高限价)</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100%。</w:t>
      </w:r>
    </w:p>
    <w:p w14:paraId="78906364">
      <w:pPr>
        <w:pStyle w:val="4"/>
        <w:keepNext w:val="0"/>
        <w:keepLines w:val="0"/>
        <w:pageBreakBefore w:val="0"/>
        <w:widowControl w:val="0"/>
        <w:kinsoku/>
        <w:wordWrap/>
        <w:topLinePunct w:val="0"/>
        <w:bidi w:val="0"/>
        <w:spacing w:line="40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、履约担保</w:t>
      </w:r>
      <w:bookmarkEnd w:id="101"/>
      <w:r>
        <w:rPr>
          <w:rFonts w:hint="eastAsia" w:ascii="宋体" w:hAnsi="宋体" w:cs="宋体"/>
          <w:color w:val="auto"/>
          <w:sz w:val="24"/>
          <w:szCs w:val="24"/>
          <w:highlight w:val="none"/>
          <w:lang w:val="en-US" w:eastAsia="zh-CN"/>
        </w:rPr>
        <w:t>及农民工工资保证金</w:t>
      </w:r>
      <w:bookmarkEnd w:id="102"/>
    </w:p>
    <w:p w14:paraId="63B2E169">
      <w:pPr>
        <w:pStyle w:val="23"/>
        <w:keepNext w:val="0"/>
        <w:keepLines w:val="0"/>
        <w:pageBreakBefore w:val="0"/>
        <w:widowControl w:val="0"/>
        <w:numPr>
          <w:ilvl w:val="0"/>
          <w:numId w:val="0"/>
        </w:numPr>
        <w:kinsoku/>
        <w:topLinePunct w:val="0"/>
        <w:bidi w:val="0"/>
        <w:ind w:firstLine="480" w:firstLineChars="200"/>
        <w:rPr>
          <w:rFonts w:hint="eastAsia" w:ascii="宋体" w:hAnsi="宋体" w:eastAsia="宋体" w:cs="宋体"/>
          <w:color w:val="auto"/>
          <w:kern w:val="2"/>
          <w:sz w:val="24"/>
          <w:szCs w:val="24"/>
          <w:highlight w:val="none"/>
          <w:lang w:val="en-US" w:eastAsia="zh-CN" w:bidi="ar-SA"/>
        </w:rPr>
      </w:pPr>
      <w:bookmarkStart w:id="104" w:name="_Toc19421"/>
      <w:r>
        <w:rPr>
          <w:rFonts w:hint="eastAsia" w:ascii="宋体" w:hAnsi="宋体" w:eastAsia="宋体" w:cs="宋体"/>
          <w:color w:val="auto"/>
          <w:kern w:val="2"/>
          <w:sz w:val="24"/>
          <w:szCs w:val="24"/>
          <w:highlight w:val="none"/>
          <w:lang w:val="en-US" w:eastAsia="zh-CN" w:bidi="ar-SA"/>
        </w:rPr>
        <w:t>1、履约担保</w:t>
      </w:r>
    </w:p>
    <w:p w14:paraId="08BBE9AB">
      <w:pPr>
        <w:keepNext w:val="0"/>
        <w:keepLines w:val="0"/>
        <w:pageBreakBefore w:val="0"/>
        <w:widowControl w:val="0"/>
        <w:kinsoku/>
        <w:wordWrap/>
        <w:overflowPunct/>
        <w:topLinePunct w:val="0"/>
        <w:bidi w:val="0"/>
        <w:spacing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履约担保的形式：现金或现金+履约保函的组合（采用现金+履约保函的组合提交的，现金比例不低于应缴纳金额的50%），履约保函包括银行保函、保证保险和担保保函。</w:t>
      </w:r>
    </w:p>
    <w:p w14:paraId="34EFFE9A">
      <w:pPr>
        <w:keepNext w:val="0"/>
        <w:keepLines w:val="0"/>
        <w:pageBreakBefore w:val="0"/>
        <w:widowControl w:val="0"/>
        <w:kinsoku/>
        <w:wordWrap/>
        <w:overflowPunct/>
        <w:topLinePunct w:val="0"/>
        <w:bidi w:val="0"/>
        <w:spacing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根据《关于印发重庆市融资担保公司监管评级及分类监管办法的通知》(渝金发(2021)5号)文件，担保公司须在《重庆市地方金融监督管理局关于开展2022年度监管评级有关工作的通知》《重庆市地方金融监督管理局关于开展2023年度监管评级有关工作的通知》中监管评级等级在B级及以上。</w:t>
      </w:r>
    </w:p>
    <w:p w14:paraId="7E2BB243">
      <w:pPr>
        <w:keepNext w:val="0"/>
        <w:keepLines w:val="0"/>
        <w:pageBreakBefore w:val="0"/>
        <w:widowControl w:val="0"/>
        <w:kinsoku/>
        <w:topLinePunct w:val="0"/>
        <w:bidi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中标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中标人对所提交的履约保函的真实性、合法性、有效性负责。</w:t>
      </w:r>
    </w:p>
    <w:p w14:paraId="7DAF8DC8">
      <w:pPr>
        <w:keepNext w:val="0"/>
        <w:keepLines w:val="0"/>
        <w:pageBreakBefore w:val="0"/>
        <w:widowControl w:val="0"/>
        <w:kinsoku/>
        <w:topLinePunct w:val="0"/>
        <w:bidi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3、履约担保的金额：中选合同金额的10%（不包含农民工工资保证金）；</w:t>
      </w:r>
    </w:p>
    <w:p w14:paraId="12237102">
      <w:pPr>
        <w:keepNext w:val="0"/>
        <w:keepLines w:val="0"/>
        <w:pageBreakBefore w:val="0"/>
        <w:widowControl w:val="0"/>
        <w:kinsoku/>
        <w:topLinePunct w:val="0"/>
        <w:bidi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4、提交时间：中选承包商领取中选通知书之日起10个工作日内，并作为签订施工合同的必备条件。</w:t>
      </w:r>
    </w:p>
    <w:p w14:paraId="4B49FF37">
      <w:pPr>
        <w:keepNext w:val="0"/>
        <w:keepLines w:val="0"/>
        <w:pageBreakBefore w:val="0"/>
        <w:widowControl w:val="0"/>
        <w:kinsoku/>
        <w:topLinePunct w:val="0"/>
        <w:bidi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5、退还时间：采用现金担保的，工程</w:t>
      </w:r>
      <w:r>
        <w:rPr>
          <w:rFonts w:hint="eastAsia" w:ascii="宋体" w:hAnsi="宋体" w:cs="宋体"/>
          <w:color w:val="auto"/>
          <w:kern w:val="2"/>
          <w:sz w:val="24"/>
          <w:szCs w:val="24"/>
          <w:highlight w:val="none"/>
          <w:lang w:val="en-US" w:eastAsia="zh-CN" w:bidi="ar-SA"/>
        </w:rPr>
        <w:t>完工</w:t>
      </w:r>
      <w:r>
        <w:rPr>
          <w:rFonts w:hint="eastAsia" w:ascii="宋体" w:hAnsi="宋体" w:eastAsia="宋体" w:cs="宋体"/>
          <w:color w:val="auto"/>
          <w:kern w:val="2"/>
          <w:sz w:val="24"/>
          <w:szCs w:val="24"/>
          <w:highlight w:val="none"/>
          <w:lang w:val="en-US" w:eastAsia="zh-CN" w:bidi="ar-SA"/>
        </w:rPr>
        <w:t>验收合格后14天内退还；采用银行保函的，工程</w:t>
      </w:r>
      <w:r>
        <w:rPr>
          <w:rFonts w:hint="eastAsia" w:ascii="宋体" w:hAnsi="宋体" w:cs="宋体"/>
          <w:color w:val="auto"/>
          <w:kern w:val="2"/>
          <w:sz w:val="24"/>
          <w:szCs w:val="24"/>
          <w:highlight w:val="none"/>
          <w:lang w:val="en-US" w:eastAsia="zh-CN" w:bidi="ar-SA"/>
        </w:rPr>
        <w:t>完工</w:t>
      </w:r>
      <w:r>
        <w:rPr>
          <w:rFonts w:hint="eastAsia" w:ascii="宋体" w:hAnsi="宋体" w:eastAsia="宋体" w:cs="宋体"/>
          <w:color w:val="auto"/>
          <w:kern w:val="2"/>
          <w:sz w:val="24"/>
          <w:szCs w:val="24"/>
          <w:highlight w:val="none"/>
          <w:lang w:val="en-US" w:eastAsia="zh-CN" w:bidi="ar-SA"/>
        </w:rPr>
        <w:t>验收合格后14天内退还。</w:t>
      </w:r>
    </w:p>
    <w:p w14:paraId="1406EE5E">
      <w:pPr>
        <w:pStyle w:val="23"/>
        <w:keepNext w:val="0"/>
        <w:keepLines w:val="0"/>
        <w:pageBreakBefore w:val="0"/>
        <w:widowControl w:val="0"/>
        <w:numPr>
          <w:ilvl w:val="0"/>
          <w:numId w:val="0"/>
        </w:numPr>
        <w:kinsoku/>
        <w:topLinePunct w:val="0"/>
        <w:bidi w:val="0"/>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6、农民工工资保证金</w:t>
      </w:r>
    </w:p>
    <w:p w14:paraId="1BDDBFB3">
      <w:pPr>
        <w:keepNext w:val="0"/>
        <w:keepLines w:val="0"/>
        <w:pageBreakBefore w:val="0"/>
        <w:widowControl w:val="0"/>
        <w:kinsoku/>
        <w:topLinePunct w:val="0"/>
        <w:bidi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为确保施工过程中农民工工资实时、足额发放到位，承包人应按照下列条款约定的时间和金额缴存农民工工资保证金。</w:t>
      </w:r>
    </w:p>
    <w:p w14:paraId="648F06A5">
      <w:pPr>
        <w:keepNext w:val="0"/>
        <w:keepLines w:val="0"/>
        <w:pageBreakBefore w:val="0"/>
        <w:widowControl w:val="0"/>
        <w:kinsoku/>
        <w:topLinePunct w:val="0"/>
        <w:bidi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农民工工资保证金的缴存时间</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发出中选通知书之日起7个工作日内，并作为签订施工合同的必备条件。</w:t>
      </w:r>
    </w:p>
    <w:p w14:paraId="51FADC2A">
      <w:pPr>
        <w:keepNext w:val="0"/>
        <w:keepLines w:val="0"/>
        <w:pageBreakBefore w:val="0"/>
        <w:widowControl w:val="0"/>
        <w:kinsoku/>
        <w:topLinePunct w:val="0"/>
        <w:bidi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农民工工资保证金的缴存金额：</w:t>
      </w:r>
      <w:bookmarkStart w:id="105" w:name="OLE_LINK2"/>
      <w:r>
        <w:rPr>
          <w:rFonts w:hint="eastAsia" w:ascii="宋体" w:hAnsi="宋体" w:eastAsia="宋体" w:cs="宋体"/>
          <w:color w:val="auto"/>
          <w:kern w:val="2"/>
          <w:sz w:val="24"/>
          <w:szCs w:val="24"/>
          <w:highlight w:val="none"/>
          <w:lang w:val="en-US" w:eastAsia="zh-CN" w:bidi="ar-SA"/>
        </w:rPr>
        <w:t>按照渝人社规[2025]18号、渝人社规[2025]16号文件</w:t>
      </w:r>
      <w:r>
        <w:rPr>
          <w:rFonts w:hint="eastAsia" w:ascii="宋体" w:hAnsi="宋体" w:cs="宋体"/>
          <w:color w:val="auto"/>
          <w:kern w:val="2"/>
          <w:sz w:val="24"/>
          <w:szCs w:val="24"/>
          <w:highlight w:val="none"/>
          <w:lang w:val="en-US" w:eastAsia="zh-CN" w:bidi="ar-SA"/>
        </w:rPr>
        <w:t>等相关文件</w:t>
      </w:r>
      <w:r>
        <w:rPr>
          <w:rFonts w:hint="eastAsia" w:ascii="宋体" w:hAnsi="宋体" w:eastAsia="宋体" w:cs="宋体"/>
          <w:color w:val="auto"/>
          <w:kern w:val="2"/>
          <w:sz w:val="24"/>
          <w:szCs w:val="24"/>
          <w:highlight w:val="none"/>
          <w:lang w:val="en-US" w:eastAsia="zh-CN" w:bidi="ar-SA"/>
        </w:rPr>
        <w:t xml:space="preserve">执行 </w:t>
      </w:r>
      <w:bookmarkEnd w:id="105"/>
      <w:r>
        <w:rPr>
          <w:rFonts w:hint="eastAsia" w:ascii="宋体" w:hAnsi="宋体" w:eastAsia="宋体" w:cs="宋体"/>
          <w:color w:val="auto"/>
          <w:kern w:val="2"/>
          <w:sz w:val="24"/>
          <w:szCs w:val="24"/>
          <w:highlight w:val="none"/>
          <w:lang w:val="en-US" w:eastAsia="zh-CN" w:bidi="ar-SA"/>
        </w:rPr>
        <w:t>。</w:t>
      </w:r>
    </w:p>
    <w:p w14:paraId="3B91E2C8">
      <w:pPr>
        <w:keepNext w:val="0"/>
        <w:keepLines w:val="0"/>
        <w:pageBreakBefore w:val="0"/>
        <w:widowControl w:val="0"/>
        <w:kinsoku/>
        <w:topLinePunct w:val="0"/>
        <w:bidi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7、农民工工资保证金可采用银行保函或现金、支票形式。采用银行保函时，出具保函的银行须具有相应担保能力，且按照发包人批准的格式出具，所需费用由承包人承担。</w:t>
      </w:r>
    </w:p>
    <w:p w14:paraId="096B63DB">
      <w:pPr>
        <w:keepNext w:val="0"/>
        <w:keepLines w:val="0"/>
        <w:pageBreakBefore w:val="0"/>
        <w:widowControl w:val="0"/>
        <w:kinsoku/>
        <w:topLinePunct w:val="0"/>
        <w:bidi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8、农民工工资保证金的扣留条件、返还时间按照下列条款的约定执行。</w:t>
      </w:r>
    </w:p>
    <w:p w14:paraId="0BEBD7AE">
      <w:pPr>
        <w:keepNext w:val="0"/>
        <w:keepLines w:val="0"/>
        <w:pageBreakBefore w:val="0"/>
        <w:widowControl w:val="0"/>
        <w:kinsoku/>
        <w:topLinePunct w:val="0"/>
        <w:bidi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农民工工资保证金的扣留条件：经重庆市大足区人力资源和社会保障行政部门及以上劳动保障行政主管部门查证属实、或经施工企业（含授权项目负责人）确认拖欠属实，并取得相关书面凭证的，建设单位可以启用农民工工资保证金。特殊应急状态下，一时无法查证、且农民工能出具有效的拖欠工资证明材料的，建设单位也可启用农民工工资保证金应急。</w:t>
      </w:r>
    </w:p>
    <w:p w14:paraId="2223BBCB">
      <w:pPr>
        <w:keepNext w:val="0"/>
        <w:keepLines w:val="0"/>
        <w:pageBreakBefore w:val="0"/>
        <w:widowControl w:val="0"/>
        <w:kinsoku/>
        <w:topLinePunct w:val="0"/>
        <w:bidi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农民工工资保证金的返还时间： 农民工工资保证金的返还时间：竣工验收合格后，建设单位应在工地现场和网站进行不少于 10 日的公告，对在规定时限内未接到拖欠投诉或有投诉已及时足额支付的，按相关规定程序返还。</w:t>
      </w:r>
    </w:p>
    <w:p w14:paraId="53307D49">
      <w:pPr>
        <w:pStyle w:val="23"/>
        <w:keepNext w:val="0"/>
        <w:keepLines w:val="0"/>
        <w:pageBreakBefore w:val="0"/>
        <w:widowControl w:val="0"/>
        <w:kinsoku/>
        <w:topLinePunct w:val="0"/>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发包人应按行业主管部门的相关规定将合同价款支付至承包人指定的开户银行及银行账户。</w:t>
      </w:r>
    </w:p>
    <w:p w14:paraId="077E8A29">
      <w:pPr>
        <w:pStyle w:val="4"/>
        <w:keepNext w:val="0"/>
        <w:keepLines w:val="0"/>
        <w:pageBreakBefore w:val="0"/>
        <w:widowControl w:val="0"/>
        <w:numPr>
          <w:ilvl w:val="0"/>
          <w:numId w:val="0"/>
        </w:numPr>
        <w:kinsoku/>
        <w:wordWrap/>
        <w:topLinePunct w:val="0"/>
        <w:bidi w:val="0"/>
        <w:spacing w:line="400" w:lineRule="exact"/>
        <w:textAlignment w:val="auto"/>
        <w:rPr>
          <w:rFonts w:hint="eastAsia" w:ascii="宋体" w:hAnsi="宋体" w:eastAsia="宋体" w:cs="宋体"/>
          <w:color w:val="auto"/>
          <w:kern w:val="2"/>
          <w:sz w:val="24"/>
          <w:szCs w:val="24"/>
          <w:highlight w:val="none"/>
          <w:lang w:val="en-US" w:eastAsia="zh-CN" w:bidi="ar-SA"/>
        </w:rPr>
      </w:pPr>
      <w:bookmarkStart w:id="106" w:name="_Toc579"/>
      <w:r>
        <w:rPr>
          <w:rFonts w:hint="eastAsia" w:ascii="宋体" w:hAnsi="宋体" w:cs="宋体"/>
          <w:color w:val="auto"/>
          <w:kern w:val="2"/>
          <w:sz w:val="24"/>
          <w:szCs w:val="24"/>
          <w:highlight w:val="none"/>
          <w:lang w:val="en-US" w:eastAsia="zh-CN" w:bidi="ar-SA"/>
        </w:rPr>
        <w:t xml:space="preserve">七 </w:t>
      </w:r>
      <w:r>
        <w:rPr>
          <w:rFonts w:hint="eastAsia" w:ascii="宋体" w:hAnsi="宋体" w:eastAsia="宋体" w:cs="宋体"/>
          <w:color w:val="auto"/>
          <w:kern w:val="2"/>
          <w:sz w:val="24"/>
          <w:szCs w:val="24"/>
          <w:highlight w:val="none"/>
          <w:lang w:val="en-US" w:eastAsia="zh-CN" w:bidi="ar-SA"/>
        </w:rPr>
        <w:t>、知识产权</w:t>
      </w:r>
      <w:bookmarkEnd w:id="104"/>
      <w:bookmarkEnd w:id="106"/>
    </w:p>
    <w:p w14:paraId="45C1815F">
      <w:pPr>
        <w:keepNext w:val="0"/>
        <w:keepLines w:val="0"/>
        <w:pageBreakBefore w:val="0"/>
        <w:widowControl w:val="0"/>
        <w:kinsoku/>
        <w:wordWrap/>
        <w:overflowPunct/>
        <w:topLinePunct w:val="0"/>
        <w:autoSpaceDE/>
        <w:autoSpaceDN/>
        <w:bidi w:val="0"/>
        <w:snapToGrid w:val="0"/>
        <w:spacing w:line="400" w:lineRule="exact"/>
        <w:ind w:lef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4FAF9FFA">
      <w:pPr>
        <w:pStyle w:val="4"/>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rPr>
      </w:pPr>
      <w:bookmarkStart w:id="107" w:name="_Toc2923"/>
      <w:bookmarkStart w:id="108" w:name="_Toc51655846"/>
      <w:bookmarkStart w:id="109" w:name="_Toc376184488"/>
      <w:bookmarkStart w:id="110" w:name="_Toc25323"/>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lang w:val="en-US" w:eastAsia="zh-CN"/>
        </w:rPr>
        <w:t>、其他</w:t>
      </w:r>
      <w:bookmarkEnd w:id="103"/>
      <w:bookmarkEnd w:id="107"/>
      <w:bookmarkEnd w:id="108"/>
      <w:bookmarkEnd w:id="109"/>
      <w:bookmarkEnd w:id="110"/>
    </w:p>
    <w:p w14:paraId="7F268637">
      <w:pPr>
        <w:keepNext w:val="0"/>
        <w:keepLines w:val="0"/>
        <w:pageBreakBefore w:val="0"/>
        <w:widowControl w:val="0"/>
        <w:kinsoku/>
        <w:wordWrap/>
        <w:overflowPunct/>
        <w:topLinePunct w:val="0"/>
        <w:autoSpaceDE/>
        <w:autoSpaceDN/>
        <w:bidi w:val="0"/>
        <w:snapToGrid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其他未尽事宜由供需双方在采购合同中详细约定。</w:t>
      </w:r>
      <w:bookmarkEnd w:id="83"/>
    </w:p>
    <w:p w14:paraId="55C448E1">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C2760EF">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bookmarkStart w:id="111" w:name="_Toc27644"/>
      <w:bookmarkStart w:id="112" w:name="_Toc24050"/>
      <w:bookmarkStart w:id="113" w:name="_Toc25564"/>
      <w:bookmarkStart w:id="114" w:name="_Toc7689"/>
      <w:r>
        <w:rPr>
          <w:rFonts w:hint="eastAsia" w:ascii="Times New Roman" w:hAnsi="Times New Roman" w:eastAsia="宋体" w:cs="宋体"/>
          <w:b/>
          <w:bCs w:val="0"/>
          <w:color w:val="auto"/>
          <w:kern w:val="2"/>
          <w:sz w:val="36"/>
          <w:szCs w:val="36"/>
          <w:highlight w:val="none"/>
          <w:lang w:val="en-US" w:eastAsia="zh-CN" w:bidi="ar-SA"/>
        </w:rPr>
        <w:t xml:space="preserve">第四篇  </w:t>
      </w:r>
      <w:bookmarkEnd w:id="84"/>
      <w:bookmarkEnd w:id="85"/>
      <w:r>
        <w:rPr>
          <w:rFonts w:hint="eastAsia" w:ascii="Times New Roman" w:hAnsi="Times New Roman" w:eastAsia="宋体" w:cs="宋体"/>
          <w:b/>
          <w:bCs w:val="0"/>
          <w:color w:val="auto"/>
          <w:kern w:val="2"/>
          <w:sz w:val="36"/>
          <w:szCs w:val="36"/>
          <w:highlight w:val="none"/>
          <w:lang w:val="en-US" w:eastAsia="zh-CN" w:bidi="ar-SA"/>
        </w:rPr>
        <w:t>比选程序及方法、评审标准、无效比选及采购终止</w:t>
      </w:r>
      <w:bookmarkEnd w:id="111"/>
      <w:bookmarkEnd w:id="112"/>
      <w:bookmarkEnd w:id="113"/>
      <w:bookmarkEnd w:id="114"/>
    </w:p>
    <w:p w14:paraId="4C1F9252">
      <w:pPr>
        <w:pStyle w:val="3"/>
        <w:keepNext w:val="0"/>
        <w:keepLines w:val="0"/>
        <w:pageBreakBefore w:val="0"/>
        <w:widowControl w:val="0"/>
        <w:kinsoku/>
        <w:wordWrap/>
        <w:topLinePunct w:val="0"/>
        <w:bidi w:val="0"/>
        <w:spacing w:line="400" w:lineRule="exact"/>
        <w:textAlignment w:val="auto"/>
        <w:outlineLvl w:val="1"/>
        <w:rPr>
          <w:rFonts w:hint="eastAsia" w:ascii="宋体" w:hAnsi="宋体" w:eastAsia="宋体" w:cs="宋体"/>
          <w:color w:val="auto"/>
          <w:sz w:val="24"/>
          <w:szCs w:val="24"/>
          <w:highlight w:val="none"/>
          <w:lang w:val="en-US" w:eastAsia="zh-CN"/>
        </w:rPr>
      </w:pPr>
      <w:bookmarkStart w:id="115" w:name="_Toc12009"/>
      <w:bookmarkStart w:id="116" w:name="_Toc26614"/>
      <w:bookmarkStart w:id="117" w:name="_Toc11930"/>
      <w:bookmarkStart w:id="118" w:name="_Toc23485"/>
      <w:r>
        <w:rPr>
          <w:rFonts w:hint="eastAsia" w:ascii="宋体" w:hAnsi="宋体" w:eastAsia="宋体" w:cs="宋体"/>
          <w:color w:val="auto"/>
          <w:sz w:val="24"/>
          <w:szCs w:val="24"/>
          <w:highlight w:val="none"/>
          <w:lang w:val="en-US" w:eastAsia="zh-CN"/>
        </w:rPr>
        <w:t>一、比选程序</w:t>
      </w:r>
      <w:bookmarkEnd w:id="115"/>
      <w:bookmarkEnd w:id="116"/>
      <w:bookmarkEnd w:id="117"/>
      <w:bookmarkEnd w:id="118"/>
    </w:p>
    <w:p w14:paraId="2D5BCE6A">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kern w:val="0"/>
          <w:sz w:val="24"/>
          <w:szCs w:val="24"/>
          <w:highlight w:val="none"/>
        </w:rPr>
        <w:t>按采购文件规定的时间和地点进行，供应商须有法定代表人或授权代表参加并签到</w:t>
      </w:r>
      <w:r>
        <w:rPr>
          <w:rFonts w:hint="eastAsia" w:ascii="宋体" w:hAnsi="宋体" w:eastAsia="宋体" w:cs="宋体"/>
          <w:color w:val="auto"/>
          <w:sz w:val="24"/>
          <w:szCs w:val="24"/>
          <w:highlight w:val="none"/>
        </w:rPr>
        <w:t>。</w:t>
      </w:r>
    </w:p>
    <w:p w14:paraId="7B53CB29">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lang w:val="en-US" w:eastAsia="zh-CN"/>
        </w:rPr>
        <w:t>评审小组对各供应商的资格条件、响应文件的有效性、完整性和响应程度进行审查。评审小组由采购人按规定组建。各供应商只有在完全符合要求的前提下，才能参与正式评审。</w:t>
      </w:r>
    </w:p>
    <w:p w14:paraId="76D113C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1.资格性检查。依据法律法规和</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的规定，对响应文件中的资格证明等进行审查，以确定供应商是否具备</w:t>
      </w:r>
      <w:r>
        <w:rPr>
          <w:rFonts w:hint="eastAsia" w:ascii="宋体" w:hAnsi="宋体" w:eastAsia="宋体" w:cs="宋体"/>
          <w:color w:val="auto"/>
          <w:kern w:val="0"/>
          <w:sz w:val="24"/>
          <w:szCs w:val="24"/>
          <w:highlight w:val="none"/>
          <w:lang w:eastAsia="zh-CN"/>
        </w:rPr>
        <w:t>比选</w:t>
      </w:r>
      <w:r>
        <w:rPr>
          <w:rFonts w:hint="eastAsia" w:ascii="宋体" w:hAnsi="宋体" w:eastAsia="宋体" w:cs="宋体"/>
          <w:color w:val="auto"/>
          <w:kern w:val="0"/>
          <w:sz w:val="24"/>
          <w:szCs w:val="24"/>
          <w:highlight w:val="none"/>
        </w:rPr>
        <w:t>资格。资格性检查资料表如下：</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980"/>
        <w:gridCol w:w="4241"/>
      </w:tblGrid>
      <w:tr w14:paraId="46CF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76" w:type="dxa"/>
            <w:noWrap w:val="0"/>
            <w:vAlign w:val="center"/>
          </w:tcPr>
          <w:p w14:paraId="7142DA1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4689" w:type="dxa"/>
            <w:gridSpan w:val="2"/>
            <w:noWrap w:val="0"/>
            <w:vAlign w:val="center"/>
          </w:tcPr>
          <w:p w14:paraId="7F6B182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检查因素</w:t>
            </w:r>
          </w:p>
        </w:tc>
        <w:tc>
          <w:tcPr>
            <w:tcW w:w="4241" w:type="dxa"/>
            <w:noWrap w:val="0"/>
            <w:vAlign w:val="center"/>
          </w:tcPr>
          <w:p w14:paraId="049F1AD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检查内容</w:t>
            </w:r>
          </w:p>
        </w:tc>
      </w:tr>
      <w:tr w14:paraId="0328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2" w:hRule="atLeast"/>
        </w:trPr>
        <w:tc>
          <w:tcPr>
            <w:tcW w:w="676" w:type="dxa"/>
            <w:vMerge w:val="restart"/>
            <w:noWrap w:val="0"/>
            <w:vAlign w:val="center"/>
          </w:tcPr>
          <w:p w14:paraId="69288C8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09" w:type="dxa"/>
            <w:vMerge w:val="restart"/>
            <w:noWrap w:val="0"/>
            <w:vAlign w:val="center"/>
          </w:tcPr>
          <w:p w14:paraId="5BAD760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应符合的基本资格条件</w:t>
            </w:r>
          </w:p>
        </w:tc>
        <w:tc>
          <w:tcPr>
            <w:tcW w:w="3980" w:type="dxa"/>
            <w:noWrap w:val="0"/>
            <w:vAlign w:val="center"/>
          </w:tcPr>
          <w:p w14:paraId="7D4C787F">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4241" w:type="dxa"/>
            <w:noWrap w:val="0"/>
            <w:vAlign w:val="center"/>
          </w:tcPr>
          <w:p w14:paraId="5A7E9C2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供应商法人营业执照（副本）或事业单位法人证书（副本）或个体工商户营业执照或有效的自然人身份证明或社会团体法人登记证书复印件（注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,1)</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 </w:t>
            </w:r>
          </w:p>
          <w:p w14:paraId="7F9567A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供应商法定代表人身份证明和法定代表人授权代表委托书。</w:t>
            </w:r>
          </w:p>
          <w:p w14:paraId="65D1D7A9">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不具有独立法人的分公司、办事处等分支机构不能参加</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w:t>
            </w:r>
          </w:p>
        </w:tc>
      </w:tr>
      <w:tr w14:paraId="5216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trPr>
        <w:tc>
          <w:tcPr>
            <w:tcW w:w="676" w:type="dxa"/>
            <w:vMerge w:val="continue"/>
            <w:noWrap w:val="0"/>
            <w:vAlign w:val="center"/>
          </w:tcPr>
          <w:p w14:paraId="41C1611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63F2159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409030C9">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具有良好的商业信誉和健全的财务会计制度</w:t>
            </w:r>
          </w:p>
        </w:tc>
        <w:tc>
          <w:tcPr>
            <w:tcW w:w="4241" w:type="dxa"/>
            <w:vMerge w:val="restart"/>
            <w:noWrap w:val="0"/>
            <w:vAlign w:val="center"/>
          </w:tcPr>
          <w:p w14:paraId="68588E7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提供“基本资格条件承诺函”（格式详见</w:t>
            </w:r>
            <w:r>
              <w:rPr>
                <w:rFonts w:hint="eastAsia" w:ascii="宋体" w:hAnsi="宋体" w:cs="宋体"/>
                <w:color w:val="auto"/>
                <w:sz w:val="24"/>
                <w:szCs w:val="24"/>
                <w:highlight w:val="none"/>
                <w:lang w:val="en-US" w:eastAsia="zh-CN"/>
              </w:rPr>
              <w:t>第七篇</w:t>
            </w:r>
            <w:r>
              <w:rPr>
                <w:rFonts w:hint="eastAsia" w:ascii="宋体" w:hAnsi="宋体" w:eastAsia="宋体" w:cs="宋体"/>
                <w:color w:val="auto"/>
                <w:sz w:val="24"/>
                <w:szCs w:val="24"/>
                <w:highlight w:val="none"/>
              </w:rPr>
              <w:t>）。</w:t>
            </w:r>
          </w:p>
        </w:tc>
      </w:tr>
      <w:tr w14:paraId="314C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676" w:type="dxa"/>
            <w:vMerge w:val="continue"/>
            <w:noWrap w:val="0"/>
            <w:vAlign w:val="center"/>
          </w:tcPr>
          <w:p w14:paraId="351D3FC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37D8625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1FD315B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（3）具有履行合同所必需的设备和专业技术能力</w:t>
            </w:r>
          </w:p>
        </w:tc>
        <w:tc>
          <w:tcPr>
            <w:tcW w:w="4241" w:type="dxa"/>
            <w:vMerge w:val="continue"/>
            <w:noWrap w:val="0"/>
            <w:vAlign w:val="center"/>
          </w:tcPr>
          <w:p w14:paraId="553CC1C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r>
      <w:tr w14:paraId="5042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676" w:type="dxa"/>
            <w:vMerge w:val="continue"/>
            <w:noWrap w:val="0"/>
            <w:vAlign w:val="center"/>
          </w:tcPr>
          <w:p w14:paraId="0942977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35BCA068">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3C7A12D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（4）有依法缴纳税收和社会保障金的良好记录</w:t>
            </w:r>
          </w:p>
        </w:tc>
        <w:tc>
          <w:tcPr>
            <w:tcW w:w="4241" w:type="dxa"/>
            <w:vMerge w:val="continue"/>
            <w:noWrap w:val="0"/>
            <w:vAlign w:val="center"/>
          </w:tcPr>
          <w:p w14:paraId="1066290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r>
      <w:tr w14:paraId="1EE5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6" w:type="dxa"/>
            <w:vMerge w:val="continue"/>
            <w:noWrap w:val="0"/>
            <w:vAlign w:val="center"/>
          </w:tcPr>
          <w:p w14:paraId="3AB2CDE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65B9BF5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1FF8CAA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（5）参加</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活动前三年内，在经营活动中没有重大违法记录</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,2)</w:instrText>
            </w:r>
            <w:r>
              <w:rPr>
                <w:rFonts w:hint="eastAsia" w:ascii="宋体" w:hAnsi="宋体" w:eastAsia="宋体" w:cs="宋体"/>
                <w:color w:val="auto"/>
                <w:sz w:val="24"/>
                <w:szCs w:val="24"/>
                <w:highlight w:val="none"/>
              </w:rPr>
              <w:fldChar w:fldCharType="end"/>
            </w:r>
          </w:p>
        </w:tc>
        <w:tc>
          <w:tcPr>
            <w:tcW w:w="4241" w:type="dxa"/>
            <w:vMerge w:val="continue"/>
            <w:noWrap w:val="0"/>
            <w:vAlign w:val="center"/>
          </w:tcPr>
          <w:p w14:paraId="461E5F8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p>
        </w:tc>
      </w:tr>
      <w:tr w14:paraId="4887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vMerge w:val="continue"/>
            <w:noWrap w:val="0"/>
            <w:vAlign w:val="center"/>
          </w:tcPr>
          <w:p w14:paraId="21CEB0D1">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67E31C0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2E071F8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tc>
        <w:tc>
          <w:tcPr>
            <w:tcW w:w="4241" w:type="dxa"/>
            <w:noWrap w:val="0"/>
            <w:vAlign w:val="center"/>
          </w:tcPr>
          <w:p w14:paraId="00C40EC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en-US" w:eastAsia="zh-CN"/>
              </w:rPr>
            </w:pPr>
          </w:p>
        </w:tc>
      </w:tr>
      <w:tr w14:paraId="2BA5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noWrap w:val="0"/>
            <w:vAlign w:val="center"/>
          </w:tcPr>
          <w:p w14:paraId="7E30CFF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689" w:type="dxa"/>
            <w:gridSpan w:val="2"/>
            <w:noWrap w:val="0"/>
            <w:vAlign w:val="center"/>
          </w:tcPr>
          <w:p w14:paraId="6DF4895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特定资格条件</w:t>
            </w:r>
          </w:p>
        </w:tc>
        <w:tc>
          <w:tcPr>
            <w:tcW w:w="4241" w:type="dxa"/>
            <w:noWrap w:val="0"/>
            <w:vAlign w:val="center"/>
          </w:tcPr>
          <w:p w14:paraId="1112430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按第一篇“（二）特定资格条件”的要求提交</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如果有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tc>
      </w:tr>
    </w:tbl>
    <w:p w14:paraId="7157A99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①</w:t>
      </w:r>
      <w:r>
        <w:rPr>
          <w:rFonts w:hint="eastAsia" w:ascii="宋体" w:hAnsi="宋体" w:eastAsia="宋体" w:cs="宋体"/>
          <w:color w:val="auto"/>
          <w:kern w:val="0"/>
          <w:sz w:val="24"/>
          <w:szCs w:val="24"/>
          <w:highlight w:val="none"/>
        </w:rPr>
        <w:t>供应商按“多证合一”登记制度办理营业执照的，组织机构代码证、税务登记证（副本）和社会保险登记证以供应商所提供的营业执照（副本）复印件为准。</w:t>
      </w:r>
    </w:p>
    <w:p w14:paraId="773CBC7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②</w:t>
      </w:r>
      <w:r>
        <w:rPr>
          <w:rFonts w:hint="eastAsia" w:ascii="宋体" w:hAnsi="宋体" w:eastAsia="宋体" w:cs="宋体"/>
          <w:color w:val="auto"/>
          <w:kern w:val="0"/>
          <w:sz w:val="24"/>
          <w:szCs w:val="24"/>
          <w:highlight w:val="none"/>
        </w:rPr>
        <w:t>根据《中华人民共和国</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法实施条例》第十九条“参加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活动前三年内，在经营活动中没有重大违法记录”中“重大违法记录”，是指供应商因违法经营受到刑事处罚或者责令停产停业、吊销许可证或者执照、较大数额罚款等行政处罚。</w:t>
      </w:r>
    </w:p>
    <w:p w14:paraId="7AC70C3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2.符合性检查。依据</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的规定，</w:t>
      </w:r>
      <w:r>
        <w:rPr>
          <w:rFonts w:hint="eastAsia" w:ascii="宋体" w:hAnsi="宋体" w:eastAsia="宋体" w:cs="宋体"/>
          <w:color w:val="auto"/>
          <w:kern w:val="0"/>
          <w:sz w:val="24"/>
          <w:szCs w:val="24"/>
          <w:highlight w:val="none"/>
          <w:lang w:eastAsia="zh-CN"/>
        </w:rPr>
        <w:t>评审小组</w:t>
      </w:r>
      <w:r>
        <w:rPr>
          <w:rFonts w:hint="eastAsia" w:ascii="宋体" w:hAnsi="宋体" w:eastAsia="宋体" w:cs="宋体"/>
          <w:color w:val="auto"/>
          <w:kern w:val="0"/>
          <w:sz w:val="24"/>
          <w:szCs w:val="24"/>
          <w:highlight w:val="none"/>
        </w:rPr>
        <w:t>从响应文件的有效性、完整性和对</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的响应程度进行审查，以确定是否对</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的实质性要求作出响应。符合性检查资料表如下：</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97"/>
        <w:gridCol w:w="2237"/>
        <w:gridCol w:w="5156"/>
      </w:tblGrid>
      <w:tr w14:paraId="4545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38" w:type="dxa"/>
            <w:noWrap w:val="0"/>
            <w:vAlign w:val="center"/>
          </w:tcPr>
          <w:p w14:paraId="19CC189F">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734" w:type="dxa"/>
            <w:gridSpan w:val="2"/>
            <w:noWrap w:val="0"/>
            <w:vAlign w:val="center"/>
          </w:tcPr>
          <w:p w14:paraId="6674F77E">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评审因素</w:t>
            </w:r>
          </w:p>
        </w:tc>
        <w:tc>
          <w:tcPr>
            <w:tcW w:w="5156" w:type="dxa"/>
            <w:noWrap w:val="0"/>
            <w:vAlign w:val="center"/>
          </w:tcPr>
          <w:p w14:paraId="5AE8928D">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评审标准</w:t>
            </w:r>
          </w:p>
        </w:tc>
      </w:tr>
      <w:tr w14:paraId="3B3F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38" w:type="dxa"/>
            <w:vMerge w:val="restart"/>
            <w:noWrap w:val="0"/>
            <w:vAlign w:val="center"/>
          </w:tcPr>
          <w:p w14:paraId="003EEBF5">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97" w:type="dxa"/>
            <w:vMerge w:val="restart"/>
            <w:noWrap w:val="0"/>
            <w:vAlign w:val="center"/>
          </w:tcPr>
          <w:p w14:paraId="3A404903">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有效性审查</w:t>
            </w:r>
          </w:p>
        </w:tc>
        <w:tc>
          <w:tcPr>
            <w:tcW w:w="2237" w:type="dxa"/>
            <w:noWrap w:val="0"/>
            <w:vAlign w:val="center"/>
          </w:tcPr>
          <w:p w14:paraId="3ADC78A2">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sz w:val="24"/>
                <w:szCs w:val="24"/>
                <w:highlight w:val="none"/>
              </w:rPr>
              <w:t>签署或盖章</w:t>
            </w:r>
          </w:p>
        </w:tc>
        <w:tc>
          <w:tcPr>
            <w:tcW w:w="5156" w:type="dxa"/>
            <w:noWrap w:val="0"/>
            <w:vAlign w:val="center"/>
          </w:tcPr>
          <w:p w14:paraId="2C2162B2">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按照采购文件</w:t>
            </w:r>
            <w:r>
              <w:rPr>
                <w:rFonts w:hint="eastAsia" w:ascii="宋体" w:hAnsi="宋体" w:eastAsia="宋体" w:cs="宋体"/>
                <w:color w:val="auto"/>
                <w:sz w:val="24"/>
                <w:szCs w:val="24"/>
                <w:highlight w:val="none"/>
              </w:rPr>
              <w:t>“第七篇 响应文件格式要求”要求签署或盖章。</w:t>
            </w:r>
          </w:p>
        </w:tc>
      </w:tr>
      <w:tr w14:paraId="0BC2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38" w:type="dxa"/>
            <w:vMerge w:val="continue"/>
            <w:noWrap w:val="0"/>
            <w:vAlign w:val="center"/>
          </w:tcPr>
          <w:p w14:paraId="23161EAE">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1497" w:type="dxa"/>
            <w:vMerge w:val="continue"/>
            <w:noWrap w:val="0"/>
            <w:vAlign w:val="center"/>
          </w:tcPr>
          <w:p w14:paraId="39C96F9E">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p>
        </w:tc>
        <w:tc>
          <w:tcPr>
            <w:tcW w:w="2237" w:type="dxa"/>
            <w:noWrap w:val="0"/>
            <w:vAlign w:val="center"/>
          </w:tcPr>
          <w:p w14:paraId="04D22B37">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w:t>
            </w:r>
          </w:p>
        </w:tc>
        <w:tc>
          <w:tcPr>
            <w:tcW w:w="5156" w:type="dxa"/>
            <w:noWrap w:val="0"/>
            <w:vAlign w:val="center"/>
          </w:tcPr>
          <w:p w14:paraId="33A73395">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法定代表人身份证明及授权委托书有效，符合比选采购文件规定的格式，签署或盖章齐全。</w:t>
            </w:r>
          </w:p>
        </w:tc>
      </w:tr>
      <w:tr w14:paraId="759B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38" w:type="dxa"/>
            <w:vMerge w:val="continue"/>
            <w:noWrap w:val="0"/>
            <w:vAlign w:val="center"/>
          </w:tcPr>
          <w:p w14:paraId="11191F4D">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1497" w:type="dxa"/>
            <w:vMerge w:val="continue"/>
            <w:noWrap w:val="0"/>
            <w:vAlign w:val="center"/>
          </w:tcPr>
          <w:p w14:paraId="4280F2D2">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p>
        </w:tc>
        <w:tc>
          <w:tcPr>
            <w:tcW w:w="2237" w:type="dxa"/>
            <w:noWrap w:val="0"/>
            <w:vAlign w:val="center"/>
          </w:tcPr>
          <w:p w14:paraId="13AFC1F7">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c>
          <w:tcPr>
            <w:tcW w:w="5156" w:type="dxa"/>
            <w:noWrap w:val="0"/>
            <w:vAlign w:val="center"/>
          </w:tcPr>
          <w:p w14:paraId="1137F833">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只能有一个</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r>
      <w:tr w14:paraId="65D1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vMerge w:val="continue"/>
            <w:noWrap w:val="0"/>
            <w:vAlign w:val="center"/>
          </w:tcPr>
          <w:p w14:paraId="14919234">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1497" w:type="dxa"/>
            <w:vMerge w:val="continue"/>
            <w:noWrap w:val="0"/>
            <w:vAlign w:val="center"/>
          </w:tcPr>
          <w:p w14:paraId="3F33E0F0">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p>
        </w:tc>
        <w:tc>
          <w:tcPr>
            <w:tcW w:w="2237" w:type="dxa"/>
            <w:noWrap w:val="0"/>
            <w:vAlign w:val="center"/>
          </w:tcPr>
          <w:p w14:paraId="049BA104">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报价唯一</w:t>
            </w:r>
          </w:p>
        </w:tc>
        <w:tc>
          <w:tcPr>
            <w:tcW w:w="5156" w:type="dxa"/>
            <w:noWrap w:val="0"/>
            <w:vAlign w:val="center"/>
          </w:tcPr>
          <w:p w14:paraId="7B970BF2">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只能在采购预算范围</w:t>
            </w:r>
            <w:r>
              <w:rPr>
                <w:rFonts w:hint="eastAsia" w:ascii="宋体" w:hAnsi="宋体" w:eastAsia="宋体" w:cs="宋体"/>
                <w:color w:val="auto"/>
                <w:sz w:val="24"/>
                <w:szCs w:val="24"/>
                <w:highlight w:val="none"/>
              </w:rPr>
              <w:t>或限价内</w:t>
            </w:r>
            <w:r>
              <w:rPr>
                <w:rFonts w:hint="eastAsia" w:ascii="宋体" w:hAnsi="宋体" w:eastAsia="宋体" w:cs="宋体"/>
                <w:color w:val="auto"/>
                <w:sz w:val="24"/>
                <w:szCs w:val="24"/>
                <w:highlight w:val="none"/>
                <w:lang w:val="zh-CN"/>
              </w:rPr>
              <w:t>报价，</w:t>
            </w:r>
            <w:r>
              <w:rPr>
                <w:rFonts w:hint="eastAsia" w:ascii="宋体" w:hAnsi="宋体" w:eastAsia="宋体" w:cs="宋体"/>
                <w:color w:val="auto"/>
                <w:sz w:val="24"/>
                <w:szCs w:val="24"/>
                <w:highlight w:val="none"/>
              </w:rPr>
              <w:t>只能有一个有效报价，不得提交选择性报价。</w:t>
            </w:r>
          </w:p>
        </w:tc>
      </w:tr>
      <w:tr w14:paraId="38B0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noWrap w:val="0"/>
            <w:vAlign w:val="center"/>
          </w:tcPr>
          <w:p w14:paraId="0B68BFC3">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97" w:type="dxa"/>
            <w:noWrap w:val="0"/>
            <w:vAlign w:val="center"/>
          </w:tcPr>
          <w:p w14:paraId="412343F0">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完整性审查</w:t>
            </w:r>
          </w:p>
        </w:tc>
        <w:tc>
          <w:tcPr>
            <w:tcW w:w="2237" w:type="dxa"/>
            <w:noWrap w:val="0"/>
            <w:vAlign w:val="center"/>
          </w:tcPr>
          <w:p w14:paraId="57659B29">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kern w:val="0"/>
                <w:sz w:val="24"/>
                <w:szCs w:val="24"/>
                <w:highlight w:val="none"/>
                <w:lang w:val="zh-CN"/>
              </w:rPr>
              <w:t>份数</w:t>
            </w:r>
          </w:p>
        </w:tc>
        <w:tc>
          <w:tcPr>
            <w:tcW w:w="5156" w:type="dxa"/>
            <w:noWrap w:val="0"/>
            <w:vAlign w:val="center"/>
          </w:tcPr>
          <w:p w14:paraId="42686293">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kern w:val="0"/>
                <w:sz w:val="24"/>
                <w:szCs w:val="24"/>
                <w:highlight w:val="none"/>
                <w:lang w:val="zh-CN"/>
              </w:rPr>
              <w:t>正、副本数量符合</w:t>
            </w:r>
            <w:r>
              <w:rPr>
                <w:rFonts w:hint="eastAsia" w:ascii="宋体" w:hAnsi="宋体" w:eastAsia="宋体" w:cs="宋体"/>
                <w:color w:val="auto"/>
                <w:kern w:val="0"/>
                <w:sz w:val="24"/>
                <w:szCs w:val="24"/>
                <w:highlight w:val="none"/>
              </w:rPr>
              <w:t>采购文件</w:t>
            </w:r>
            <w:r>
              <w:rPr>
                <w:rFonts w:hint="eastAsia" w:ascii="宋体" w:hAnsi="宋体" w:eastAsia="宋体" w:cs="宋体"/>
                <w:color w:val="auto"/>
                <w:kern w:val="0"/>
                <w:sz w:val="24"/>
                <w:szCs w:val="24"/>
                <w:highlight w:val="none"/>
                <w:lang w:val="zh-CN"/>
              </w:rPr>
              <w:t>要求。</w:t>
            </w:r>
          </w:p>
        </w:tc>
      </w:tr>
      <w:tr w14:paraId="3DD8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8" w:type="dxa"/>
            <w:vMerge w:val="restart"/>
            <w:noWrap w:val="0"/>
            <w:vAlign w:val="center"/>
          </w:tcPr>
          <w:p w14:paraId="68E9A4A9">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497" w:type="dxa"/>
            <w:vMerge w:val="restart"/>
            <w:noWrap w:val="0"/>
            <w:vAlign w:val="center"/>
          </w:tcPr>
          <w:p w14:paraId="66085775">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rPr>
              <w:t>采购文件的响应程度审查</w:t>
            </w:r>
          </w:p>
        </w:tc>
        <w:tc>
          <w:tcPr>
            <w:tcW w:w="2237" w:type="dxa"/>
            <w:noWrap w:val="0"/>
            <w:vAlign w:val="center"/>
          </w:tcPr>
          <w:p w14:paraId="163A4C9C">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kern w:val="0"/>
                <w:sz w:val="24"/>
                <w:szCs w:val="24"/>
                <w:highlight w:val="none"/>
              </w:rPr>
              <w:t>内容</w:t>
            </w:r>
          </w:p>
        </w:tc>
        <w:tc>
          <w:tcPr>
            <w:tcW w:w="5156" w:type="dxa"/>
            <w:noWrap w:val="0"/>
            <w:vAlign w:val="center"/>
          </w:tcPr>
          <w:p w14:paraId="5225F333">
            <w:pPr>
              <w:pStyle w:val="36"/>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对采购文件内容进行响应。</w:t>
            </w:r>
          </w:p>
        </w:tc>
      </w:tr>
      <w:tr w14:paraId="2554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38" w:type="dxa"/>
            <w:vMerge w:val="continue"/>
            <w:noWrap w:val="0"/>
            <w:vAlign w:val="center"/>
          </w:tcPr>
          <w:p w14:paraId="48E84CD3">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1497" w:type="dxa"/>
            <w:vMerge w:val="continue"/>
            <w:noWrap w:val="0"/>
            <w:vAlign w:val="center"/>
          </w:tcPr>
          <w:p w14:paraId="67DB2F19">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lang w:val="zh-CN"/>
              </w:rPr>
            </w:pPr>
          </w:p>
        </w:tc>
        <w:tc>
          <w:tcPr>
            <w:tcW w:w="2237" w:type="dxa"/>
            <w:noWrap w:val="0"/>
            <w:vAlign w:val="center"/>
          </w:tcPr>
          <w:p w14:paraId="2A02D07F">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采购有效期</w:t>
            </w:r>
          </w:p>
        </w:tc>
        <w:tc>
          <w:tcPr>
            <w:tcW w:w="5156" w:type="dxa"/>
            <w:noWrap w:val="0"/>
            <w:vAlign w:val="center"/>
          </w:tcPr>
          <w:p w14:paraId="20C35469">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响应文件及有关承诺文件有效期为提交响应文件截止时间起90天。</w:t>
            </w:r>
          </w:p>
        </w:tc>
      </w:tr>
    </w:tbl>
    <w:p w14:paraId="47D49B76">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8C1782B">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F4C904D">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Style w:val="78"/>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（五）在</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过程中</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的任何一方不得向他人透露与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有关的技术资料、价格或其他信息。</w:t>
      </w:r>
      <w:bookmarkStart w:id="119" w:name="_Toc453076389"/>
    </w:p>
    <w:p w14:paraId="581EC44C">
      <w:pPr>
        <w:pStyle w:val="3"/>
        <w:keepNext w:val="0"/>
        <w:keepLines w:val="0"/>
        <w:pageBreakBefore w:val="0"/>
        <w:widowControl w:val="0"/>
        <w:kinsoku/>
        <w:wordWrap/>
        <w:overflowPunct/>
        <w:topLinePunct w:val="0"/>
        <w:autoSpaceDE/>
        <w:autoSpaceDN/>
        <w:bidi w:val="0"/>
        <w:adjustRightInd/>
        <w:spacing w:line="400" w:lineRule="exact"/>
        <w:textAlignment w:val="auto"/>
        <w:outlineLvl w:val="1"/>
        <w:rPr>
          <w:rFonts w:hint="default" w:ascii="宋体" w:hAnsi="宋体" w:eastAsia="宋体" w:cs="宋体"/>
          <w:color w:val="auto"/>
          <w:sz w:val="24"/>
          <w:szCs w:val="24"/>
          <w:highlight w:val="none"/>
          <w:lang w:val="en-US" w:eastAsia="zh-CN"/>
        </w:rPr>
      </w:pPr>
      <w:bookmarkStart w:id="120" w:name="_Toc23393"/>
      <w:bookmarkStart w:id="121" w:name="_Toc28802"/>
      <w:bookmarkStart w:id="122" w:name="_Toc4674"/>
      <w:bookmarkStart w:id="123" w:name="_Toc17300"/>
      <w:r>
        <w:rPr>
          <w:rFonts w:hint="eastAsia" w:ascii="宋体" w:hAnsi="宋体" w:eastAsia="宋体" w:cs="宋体"/>
          <w:color w:val="auto"/>
          <w:sz w:val="24"/>
          <w:szCs w:val="24"/>
          <w:highlight w:val="none"/>
          <w:lang w:val="en-US" w:eastAsia="zh-CN"/>
        </w:rPr>
        <w:t>二、</w:t>
      </w:r>
      <w:bookmarkEnd w:id="119"/>
      <w:r>
        <w:rPr>
          <w:rFonts w:hint="eastAsia" w:ascii="宋体" w:hAnsi="宋体" w:cs="宋体"/>
          <w:color w:val="auto"/>
          <w:sz w:val="24"/>
          <w:szCs w:val="24"/>
          <w:highlight w:val="none"/>
          <w:lang w:val="en-US" w:eastAsia="zh-CN"/>
        </w:rPr>
        <w:t>评标方法</w:t>
      </w:r>
      <w:bookmarkEnd w:id="120"/>
      <w:bookmarkEnd w:id="121"/>
      <w:bookmarkEnd w:id="122"/>
      <w:bookmarkEnd w:id="123"/>
    </w:p>
    <w:p w14:paraId="4564BFC9">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（一）本项目采用最低评标价法进行评标。</w:t>
      </w:r>
    </w:p>
    <w:p w14:paraId="3B21AB77">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bookmarkStart w:id="124" w:name="_Toc24888"/>
      <w:bookmarkStart w:id="125" w:name="_Toc8748"/>
      <w:r>
        <w:rPr>
          <w:rFonts w:hint="eastAsia" w:ascii="宋体" w:hAnsi="宋体" w:eastAsia="宋体" w:cs="宋体"/>
          <w:color w:val="auto"/>
          <w:sz w:val="24"/>
          <w:szCs w:val="24"/>
          <w:highlight w:val="none"/>
        </w:rPr>
        <w:t>最低评标价法，是指响应文件满足</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文件全部实质性要求且投标报价最低的投标供应商为中标候选人的评标方法。</w:t>
      </w:r>
    </w:p>
    <w:p w14:paraId="14975218">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（二）推荐中标候选人名单。</w:t>
      </w:r>
      <w:bookmarkEnd w:id="124"/>
      <w:bookmarkEnd w:id="125"/>
    </w:p>
    <w:p w14:paraId="497BF74F">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推荐投标文件满足</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文件全部实质性要求，并依据价格按照由低到高的顺序排名前三的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为成交候选人，其中排名第一的投标供应商为第一成交候选人。</w:t>
      </w:r>
    </w:p>
    <w:p w14:paraId="0C0D34C8">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评标结果按投标报价由低到高顺序排列；若投标报价相同的，</w:t>
      </w:r>
      <w:r>
        <w:rPr>
          <w:rFonts w:hint="eastAsia" w:ascii="宋体" w:hAnsi="宋体" w:cs="宋体"/>
          <w:color w:val="auto"/>
          <w:sz w:val="24"/>
          <w:szCs w:val="24"/>
          <w:highlight w:val="none"/>
          <w:lang w:val="en-US" w:eastAsia="zh-CN"/>
        </w:rPr>
        <w:t>评审小组</w:t>
      </w:r>
      <w:r>
        <w:rPr>
          <w:rFonts w:hint="eastAsia" w:ascii="宋体" w:hAnsi="宋体" w:eastAsia="宋体" w:cs="宋体"/>
          <w:color w:val="auto"/>
          <w:sz w:val="24"/>
          <w:szCs w:val="24"/>
          <w:highlight w:val="none"/>
        </w:rPr>
        <w:t>按照项目</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rPr>
        <w:t>需求的优劣顺序排列；以上都相同的，按项目商务需求的优劣顺序排列；以上所有都相同的，由</w:t>
      </w:r>
      <w:r>
        <w:rPr>
          <w:rFonts w:hint="eastAsia" w:ascii="宋体" w:hAnsi="宋体" w:cs="宋体"/>
          <w:color w:val="auto"/>
          <w:sz w:val="24"/>
          <w:szCs w:val="24"/>
          <w:highlight w:val="none"/>
          <w:lang w:val="en-US" w:eastAsia="zh-CN"/>
        </w:rPr>
        <w:t>评审小组投票决</w:t>
      </w:r>
      <w:r>
        <w:rPr>
          <w:rFonts w:hint="eastAsia" w:ascii="宋体" w:hAnsi="宋体" w:eastAsia="宋体" w:cs="宋体"/>
          <w:color w:val="auto"/>
          <w:sz w:val="24"/>
          <w:szCs w:val="24"/>
          <w:highlight w:val="none"/>
        </w:rPr>
        <w:t>定。</w:t>
      </w:r>
    </w:p>
    <w:p w14:paraId="189CDF52">
      <w:pPr>
        <w:keepNext w:val="0"/>
        <w:keepLines w:val="0"/>
        <w:pageBreakBefore w:val="0"/>
        <w:widowControl w:val="0"/>
        <w:numPr>
          <w:ilvl w:val="0"/>
          <w:numId w:val="0"/>
        </w:numPr>
        <w:kinsoku/>
        <w:wordWrap/>
        <w:topLinePunct w:val="0"/>
        <w:bidi w:val="0"/>
        <w:spacing w:line="400" w:lineRule="exact"/>
        <w:ind w:leftChars="0"/>
        <w:jc w:val="both"/>
        <w:textAlignment w:val="auto"/>
        <w:outlineLvl w:val="1"/>
        <w:rPr>
          <w:rFonts w:hint="eastAsia" w:ascii="宋体" w:hAnsi="宋体" w:cs="宋体"/>
          <w:b/>
          <w:bCs/>
          <w:smallCaps w:val="0"/>
          <w:color w:val="auto"/>
          <w:kern w:val="2"/>
          <w:sz w:val="24"/>
          <w:szCs w:val="24"/>
          <w:highlight w:val="none"/>
          <w:lang w:val="en-US" w:eastAsia="zh-CN" w:bidi="ar-SA"/>
        </w:rPr>
      </w:pPr>
      <w:bookmarkStart w:id="126" w:name="_Toc24594"/>
      <w:bookmarkStart w:id="127" w:name="_Toc23125"/>
      <w:bookmarkStart w:id="128" w:name="_Toc25587"/>
      <w:r>
        <w:rPr>
          <w:rFonts w:hint="eastAsia" w:ascii="宋体" w:hAnsi="宋体" w:cs="宋体"/>
          <w:b/>
          <w:bCs/>
          <w:smallCaps w:val="0"/>
          <w:color w:val="auto"/>
          <w:kern w:val="2"/>
          <w:sz w:val="24"/>
          <w:szCs w:val="24"/>
          <w:highlight w:val="none"/>
          <w:lang w:val="en-US" w:eastAsia="zh-CN" w:bidi="ar-SA"/>
        </w:rPr>
        <w:t>三、评审标准</w:t>
      </w:r>
      <w:bookmarkEnd w:id="126"/>
      <w:bookmarkEnd w:id="127"/>
      <w:bookmarkEnd w:id="128"/>
    </w:p>
    <w:p w14:paraId="44F2CE93">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129" w:name="_Toc17751"/>
      <w:r>
        <w:rPr>
          <w:rFonts w:hint="eastAsia" w:ascii="宋体" w:hAnsi="宋体" w:eastAsia="宋体" w:cs="宋体"/>
          <w:color w:val="auto"/>
          <w:sz w:val="24"/>
          <w:szCs w:val="24"/>
          <w:highlight w:val="none"/>
        </w:rPr>
        <w:t>（一）响应文件投标应答有一条及以上不满足</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文件“第二篇 项目</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rPr>
        <w:t>需求”要求的，投标供应商将失去成为成交候选人的资格；</w:t>
      </w:r>
    </w:p>
    <w:p w14:paraId="0A6ED441">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（二）响应投标文件投标应答有一条及以上不满足</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文件“第三篇 项目商务需求”要求的，投标供应商将失去成为成交候选人的资格；</w:t>
      </w:r>
      <w:bookmarkEnd w:id="129"/>
    </w:p>
    <w:p w14:paraId="505832E8">
      <w:pPr>
        <w:pStyle w:val="23"/>
        <w:keepNext w:val="0"/>
        <w:keepLines w:val="0"/>
        <w:pageBreakBefore w:val="0"/>
        <w:widowControl w:val="0"/>
        <w:kinsoku/>
        <w:wordWrap/>
        <w:topLinePunct w:val="0"/>
        <w:bidi w:val="0"/>
        <w:spacing w:line="400" w:lineRule="exact"/>
        <w:textAlignment w:val="auto"/>
        <w:outlineLvl w:val="1"/>
        <w:rPr>
          <w:rFonts w:hint="default" w:eastAsia="宋体"/>
          <w:b/>
          <w:bCs/>
          <w:color w:val="auto"/>
          <w:highlight w:val="none"/>
          <w:lang w:val="en-US" w:eastAsia="zh-CN"/>
        </w:rPr>
      </w:pPr>
      <w:bookmarkStart w:id="130" w:name="_Toc6873"/>
      <w:bookmarkStart w:id="131" w:name="_Toc26892"/>
      <w:bookmarkStart w:id="132" w:name="_Toc8635"/>
      <w:r>
        <w:rPr>
          <w:rFonts w:hint="eastAsia" w:ascii="宋体" w:hAnsi="宋体" w:eastAsia="宋体" w:cs="宋体"/>
          <w:b/>
          <w:bCs/>
          <w:color w:val="auto"/>
          <w:sz w:val="24"/>
          <w:szCs w:val="24"/>
          <w:highlight w:val="none"/>
          <w:lang w:val="en-US" w:eastAsia="zh-CN"/>
        </w:rPr>
        <w:t>四、无效响应</w:t>
      </w:r>
      <w:bookmarkEnd w:id="130"/>
      <w:bookmarkEnd w:id="131"/>
      <w:bookmarkEnd w:id="132"/>
    </w:p>
    <w:p w14:paraId="5B2711D4">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133" w:name="_Toc10254"/>
      <w:bookmarkStart w:id="134" w:name="_Toc18459"/>
      <w:bookmarkStart w:id="135" w:name="_Toc25586"/>
      <w:bookmarkStart w:id="136" w:name="_Toc31623"/>
      <w:bookmarkStart w:id="137" w:name="_Toc23959"/>
      <w:bookmarkStart w:id="138" w:name="_Toc22944"/>
      <w:bookmarkStart w:id="139" w:name="_Toc28982"/>
      <w:bookmarkStart w:id="140" w:name="_Toc11456"/>
      <w:bookmarkStart w:id="141" w:name="_Toc31634"/>
      <w:bookmarkStart w:id="142" w:name="_Toc12510"/>
      <w:bookmarkStart w:id="143" w:name="_Toc3990"/>
      <w:bookmarkStart w:id="144" w:name="_Toc2583"/>
      <w:bookmarkStart w:id="145" w:name="_Toc7641"/>
      <w:bookmarkStart w:id="146" w:name="_Toc19865"/>
      <w:bookmarkStart w:id="147" w:name="_Toc2027"/>
      <w:bookmarkStart w:id="148" w:name="_Toc10466"/>
      <w:bookmarkStart w:id="149" w:name="_Toc12197"/>
      <w:bookmarkStart w:id="150" w:name="_Toc76462336"/>
      <w:bookmarkStart w:id="151" w:name="_Toc4767"/>
      <w:bookmarkStart w:id="152" w:name="_Toc1791"/>
      <w:bookmarkStart w:id="153" w:name="_Toc18545"/>
      <w:bookmarkStart w:id="154" w:name="_Toc27420"/>
      <w:bookmarkStart w:id="155" w:name="_Toc14566"/>
      <w:bookmarkStart w:id="156" w:name="_Toc292"/>
      <w:bookmarkStart w:id="157" w:name="_Toc16039"/>
      <w:bookmarkStart w:id="158" w:name="_Toc9827"/>
      <w:bookmarkStart w:id="159" w:name="_Toc31151"/>
      <w:r>
        <w:rPr>
          <w:rFonts w:hint="eastAsia" w:ascii="宋体" w:hAnsi="宋体" w:eastAsia="宋体" w:cs="宋体"/>
          <w:color w:val="auto"/>
          <w:sz w:val="24"/>
          <w:szCs w:val="24"/>
          <w:highlight w:val="none"/>
        </w:rPr>
        <w:t>供应商发生以下条款情况之一者，视为无效报价：</w:t>
      </w:r>
    </w:p>
    <w:p w14:paraId="41706623">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（一）供应商不符合规定的资格条件的；</w:t>
      </w:r>
    </w:p>
    <w:p w14:paraId="1199769E">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（二）供应商未通过实质性响应审查的；</w:t>
      </w:r>
    </w:p>
    <w:p w14:paraId="66D22532">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（三）供应商所提交的响应文件未按“第七篇响应文件格式要求”要求签署或盖章的；</w:t>
      </w:r>
    </w:p>
    <w:p w14:paraId="3D360064">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（四）供应商的报价超过采购预算或最高限价的；</w:t>
      </w:r>
    </w:p>
    <w:p w14:paraId="03BE20ED">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（五）单位负责人为同一人或者存在直接控股、管理关系的不同供应商，参加同一合同项（包）报价的；</w:t>
      </w:r>
    </w:p>
    <w:p w14:paraId="75170678">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（六）为采购项目提供整体设计、规范编制或者项目管理、监理、检测等服务的供应商再参加该采购项目的其他采购活动的；</w:t>
      </w:r>
    </w:p>
    <w:p w14:paraId="33606E7F">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（七）法律、法规和</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邀请书规定的其他无效情形。</w:t>
      </w:r>
    </w:p>
    <w:p w14:paraId="64BAFE3D">
      <w:pPr>
        <w:pStyle w:val="3"/>
        <w:keepNext w:val="0"/>
        <w:keepLines w:val="0"/>
        <w:pageBreakBefore w:val="0"/>
        <w:widowControl w:val="0"/>
        <w:kinsoku/>
        <w:wordWrap/>
        <w:topLinePunct w:val="0"/>
        <w:bidi w:val="0"/>
        <w:adjustRightInd w:val="0"/>
        <w:snapToGrid w:val="0"/>
        <w:spacing w:before="0" w:after="0" w:line="400" w:lineRule="exact"/>
        <w:jc w:val="left"/>
        <w:textAlignment w:val="auto"/>
        <w:outlineLvl w:val="1"/>
        <w:rPr>
          <w:rFonts w:hint="eastAsia" w:ascii="宋体" w:hAnsi="宋体" w:eastAsia="宋体" w:cs="宋体"/>
          <w:color w:val="auto"/>
          <w:sz w:val="24"/>
          <w:highlight w:val="none"/>
        </w:rPr>
      </w:pPr>
      <w:bookmarkStart w:id="160" w:name="_Toc19108"/>
      <w:bookmarkStart w:id="161" w:name="_Toc2898"/>
      <w:bookmarkStart w:id="162" w:name="_Toc19561"/>
      <w:bookmarkStart w:id="163" w:name="_Toc26599"/>
      <w:bookmarkStart w:id="164" w:name="_Toc5163"/>
      <w:bookmarkStart w:id="165" w:name="_Toc4324"/>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、采购终止</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730D0B4F">
      <w:pPr>
        <w:keepNext w:val="0"/>
        <w:keepLines w:val="0"/>
        <w:pageBreakBefore w:val="0"/>
        <w:widowControl w:val="0"/>
        <w:kinsoku/>
        <w:wordWrap/>
        <w:topLinePunct w:val="0"/>
        <w:bidi w:val="0"/>
        <w:snapToGrid w:val="0"/>
        <w:spacing w:line="400" w:lineRule="exact"/>
        <w:ind w:firstLine="46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出现下列情形之一的，采购人或者采购代理机构应当终止</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采购活动，发布项目终止公告并说明原因，重新开展采购活动：</w:t>
      </w:r>
    </w:p>
    <w:p w14:paraId="60D837E5">
      <w:pPr>
        <w:keepNext w:val="0"/>
        <w:keepLines w:val="0"/>
        <w:pageBreakBefore w:val="0"/>
        <w:widowControl w:val="0"/>
        <w:kinsoku/>
        <w:wordWrap/>
        <w:topLinePunct w:val="0"/>
        <w:bidi w:val="0"/>
        <w:snapToGrid w:val="0"/>
        <w:spacing w:line="400" w:lineRule="exact"/>
        <w:ind w:firstLine="46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（一）因情况变化，不再符合规定的采购方式适用情形的；</w:t>
      </w:r>
    </w:p>
    <w:p w14:paraId="48563F01">
      <w:pPr>
        <w:keepNext w:val="0"/>
        <w:keepLines w:val="0"/>
        <w:pageBreakBefore w:val="0"/>
        <w:widowControl w:val="0"/>
        <w:kinsoku/>
        <w:wordWrap/>
        <w:topLinePunct w:val="0"/>
        <w:bidi w:val="0"/>
        <w:snapToGrid w:val="0"/>
        <w:spacing w:line="400" w:lineRule="exact"/>
        <w:ind w:firstLine="465"/>
        <w:textAlignment w:val="auto"/>
        <w:rPr>
          <w:rFonts w:hint="eastAsia" w:ascii="宋体" w:hAnsi="宋体" w:cs="宋体"/>
          <w:color w:val="auto"/>
          <w:sz w:val="24"/>
          <w:szCs w:val="24"/>
          <w:highlight w:val="none"/>
        </w:rPr>
      </w:pPr>
      <w:bookmarkStart w:id="166" w:name="_Toc25919"/>
      <w:r>
        <w:rPr>
          <w:rFonts w:hint="eastAsia" w:ascii="宋体" w:hAnsi="宋体" w:cs="宋体"/>
          <w:color w:val="auto"/>
          <w:sz w:val="24"/>
          <w:szCs w:val="24"/>
          <w:highlight w:val="none"/>
        </w:rPr>
        <w:t>（二）出现影响采购公正的违法、违规行为的；</w:t>
      </w:r>
      <w:bookmarkEnd w:id="166"/>
    </w:p>
    <w:p w14:paraId="5F7CBAF2">
      <w:pPr>
        <w:keepNext w:val="0"/>
        <w:keepLines w:val="0"/>
        <w:pageBreakBefore w:val="0"/>
        <w:widowControl w:val="0"/>
        <w:kinsoku/>
        <w:wordWrap/>
        <w:topLinePunct w:val="0"/>
        <w:bidi w:val="0"/>
        <w:snapToGrid w:val="0"/>
        <w:spacing w:line="400" w:lineRule="exact"/>
        <w:ind w:firstLine="465"/>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（三）在采购过程中符合要求的供应商或者报价未超过采购预算的供应商不足3家的</w:t>
      </w:r>
      <w:r>
        <w:rPr>
          <w:rFonts w:hint="eastAsia" w:ascii="宋体" w:hAnsi="宋体" w:cs="宋体"/>
          <w:color w:val="auto"/>
          <w:sz w:val="24"/>
          <w:szCs w:val="24"/>
          <w:highlight w:val="none"/>
          <w:lang w:eastAsia="zh-CN"/>
        </w:rPr>
        <w:t>。</w:t>
      </w:r>
    </w:p>
    <w:p w14:paraId="587ADBDB">
      <w:pPr>
        <w:pStyle w:val="14"/>
        <w:keepNext w:val="0"/>
        <w:keepLines w:val="0"/>
        <w:pageBreakBefore w:val="0"/>
        <w:widowControl w:val="0"/>
        <w:kinsoku/>
        <w:wordWrap/>
        <w:topLinePunct w:val="0"/>
        <w:bidi w:val="0"/>
        <w:spacing w:line="40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（四）项目出现其他实质性影响，可能导致项目无法正常开展的情形。</w:t>
      </w:r>
    </w:p>
    <w:p w14:paraId="2B173003">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1B33865D">
      <w:pPr>
        <w:keepNext w:val="0"/>
        <w:keepLines w:val="0"/>
        <w:pageBreakBefore w:val="0"/>
        <w:widowControl w:val="0"/>
        <w:kinsoku/>
        <w:wordWrap/>
        <w:topLinePunct w:val="0"/>
        <w:bidi w:val="0"/>
        <w:spacing w:line="400" w:lineRule="exact"/>
        <w:jc w:val="center"/>
        <w:textAlignment w:val="auto"/>
        <w:outlineLvl w:val="0"/>
        <w:rPr>
          <w:rFonts w:hint="eastAsia" w:cs="宋体"/>
          <w:b/>
          <w:bCs w:val="0"/>
          <w:color w:val="auto"/>
          <w:sz w:val="36"/>
          <w:szCs w:val="36"/>
          <w:highlight w:val="none"/>
        </w:rPr>
      </w:pPr>
      <w:bookmarkStart w:id="167" w:name="_Toc15885"/>
      <w:bookmarkStart w:id="168" w:name="_Toc11095"/>
      <w:bookmarkStart w:id="169" w:name="_Toc32541"/>
      <w:bookmarkStart w:id="170" w:name="_Toc28660"/>
      <w:bookmarkStart w:id="171" w:name="_Toc8009"/>
      <w:bookmarkStart w:id="172" w:name="_Toc706"/>
      <w:bookmarkStart w:id="173" w:name="_Toc27032"/>
      <w:bookmarkStart w:id="174" w:name="_Toc8251"/>
      <w:bookmarkStart w:id="175" w:name="_Toc14313"/>
      <w:bookmarkStart w:id="176" w:name="_Toc21246"/>
      <w:bookmarkStart w:id="177" w:name="_Toc16742"/>
      <w:bookmarkStart w:id="178" w:name="_Toc26130"/>
      <w:bookmarkStart w:id="179" w:name="_Toc20096"/>
      <w:bookmarkStart w:id="180" w:name="_Toc22304"/>
      <w:bookmarkStart w:id="181" w:name="_Toc6272"/>
      <w:bookmarkStart w:id="182" w:name="_Toc18985"/>
      <w:bookmarkStart w:id="183" w:name="_Toc20039"/>
      <w:bookmarkStart w:id="184" w:name="_Toc21331"/>
      <w:bookmarkStart w:id="185" w:name="_Toc1279"/>
      <w:bookmarkStart w:id="186" w:name="_Toc10699"/>
      <w:bookmarkStart w:id="187" w:name="_Toc76462337"/>
      <w:bookmarkStart w:id="188" w:name="_Toc15373"/>
      <w:bookmarkStart w:id="189" w:name="_Toc10078"/>
      <w:bookmarkStart w:id="190" w:name="_Toc20264"/>
      <w:bookmarkStart w:id="191" w:name="_Toc3741"/>
      <w:bookmarkStart w:id="192" w:name="_Toc28618"/>
      <w:bookmarkStart w:id="193" w:name="_Toc13956"/>
      <w:bookmarkStart w:id="194" w:name="_Toc21867"/>
      <w:bookmarkStart w:id="195" w:name="_Toc16632"/>
      <w:bookmarkStart w:id="196" w:name="_Toc8196"/>
      <w:bookmarkStart w:id="197" w:name="_Toc23618"/>
      <w:bookmarkStart w:id="198" w:name="_Toc1938"/>
    </w:p>
    <w:p w14:paraId="63DA48E1">
      <w:pPr>
        <w:keepNext w:val="0"/>
        <w:keepLines w:val="0"/>
        <w:pageBreakBefore w:val="0"/>
        <w:widowControl w:val="0"/>
        <w:kinsoku/>
        <w:wordWrap/>
        <w:topLinePunct w:val="0"/>
        <w:bidi w:val="0"/>
        <w:spacing w:line="400" w:lineRule="exact"/>
        <w:jc w:val="center"/>
        <w:textAlignment w:val="auto"/>
        <w:outlineLvl w:val="0"/>
        <w:rPr>
          <w:rFonts w:hint="eastAsia" w:cs="宋体"/>
          <w:bCs/>
          <w:color w:val="auto"/>
          <w:highlight w:val="none"/>
        </w:rPr>
      </w:pPr>
      <w:r>
        <w:rPr>
          <w:rFonts w:hint="eastAsia" w:cs="宋体"/>
          <w:b/>
          <w:bCs w:val="0"/>
          <w:color w:val="auto"/>
          <w:sz w:val="36"/>
          <w:szCs w:val="36"/>
          <w:highlight w:val="none"/>
        </w:rPr>
        <w:t>第五篇  供应商须知</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74C4F00">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b/>
          <w:bCs/>
          <w:color w:val="auto"/>
          <w:sz w:val="24"/>
          <w:highlight w:val="none"/>
        </w:rPr>
      </w:pPr>
      <w:bookmarkStart w:id="199" w:name="_Toc16292"/>
      <w:bookmarkStart w:id="200" w:name="_Toc76462338"/>
      <w:bookmarkStart w:id="201" w:name="_Toc19632"/>
      <w:bookmarkStart w:id="202" w:name="_Toc7999"/>
      <w:bookmarkStart w:id="203" w:name="_Toc16478"/>
      <w:bookmarkStart w:id="204" w:name="_Toc23240"/>
      <w:bookmarkStart w:id="205" w:name="_Toc11819"/>
      <w:bookmarkStart w:id="206" w:name="_Toc5692"/>
      <w:bookmarkStart w:id="207" w:name="_Toc793"/>
      <w:bookmarkStart w:id="208" w:name="_Toc27450"/>
      <w:bookmarkStart w:id="209" w:name="_Toc21252"/>
      <w:bookmarkStart w:id="210" w:name="_Toc17232"/>
      <w:bookmarkStart w:id="211" w:name="_Toc25138"/>
      <w:bookmarkStart w:id="212" w:name="_Toc7713"/>
      <w:bookmarkStart w:id="213" w:name="_Toc17186"/>
      <w:bookmarkStart w:id="214" w:name="_Toc21556"/>
      <w:bookmarkStart w:id="215" w:name="_Toc24846"/>
      <w:bookmarkStart w:id="216" w:name="_Toc14616"/>
      <w:bookmarkStart w:id="217" w:name="_Toc12390"/>
      <w:bookmarkStart w:id="218" w:name="_Toc27580"/>
      <w:bookmarkStart w:id="219" w:name="_Toc342913389"/>
      <w:bookmarkStart w:id="220" w:name="_Toc19124"/>
      <w:bookmarkStart w:id="221" w:name="_Toc13127"/>
      <w:r>
        <w:rPr>
          <w:rFonts w:hint="eastAsia" w:ascii="宋体" w:hAnsi="宋体" w:cs="宋体"/>
          <w:b/>
          <w:bCs/>
          <w:color w:val="auto"/>
          <w:sz w:val="24"/>
          <w:highlight w:val="none"/>
        </w:rPr>
        <w:t>一、</w:t>
      </w:r>
      <w:r>
        <w:rPr>
          <w:rFonts w:hint="eastAsia" w:ascii="宋体" w:hAnsi="宋体" w:cs="宋体"/>
          <w:b/>
          <w:bCs/>
          <w:color w:val="auto"/>
          <w:sz w:val="24"/>
          <w:highlight w:val="none"/>
          <w:lang w:eastAsia="zh-CN"/>
        </w:rPr>
        <w:t>比选</w:t>
      </w:r>
      <w:r>
        <w:rPr>
          <w:rFonts w:hint="eastAsia" w:ascii="宋体" w:hAnsi="宋体" w:cs="宋体"/>
          <w:b/>
          <w:bCs/>
          <w:color w:val="auto"/>
          <w:sz w:val="24"/>
          <w:highlight w:val="none"/>
        </w:rPr>
        <w:t>费用</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7899CB5F">
      <w:pPr>
        <w:pStyle w:val="147"/>
        <w:keepNext w:val="0"/>
        <w:keepLines w:val="0"/>
        <w:pageBreakBefore w:val="0"/>
        <w:widowControl w:val="0"/>
        <w:kinsoku/>
        <w:wordWrap/>
        <w:topLinePunct w:val="0"/>
        <w:bidi w:val="0"/>
        <w:spacing w:line="400" w:lineRule="exact"/>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参与</w:t>
      </w:r>
      <w:r>
        <w:rPr>
          <w:rFonts w:hint="eastAsia" w:hAnsi="宋体" w:cs="宋体"/>
          <w:color w:val="auto"/>
          <w:sz w:val="24"/>
          <w:szCs w:val="24"/>
          <w:highlight w:val="none"/>
          <w:lang w:val="en-US" w:eastAsia="zh-CN"/>
        </w:rPr>
        <w:t>比选</w:t>
      </w:r>
      <w:r>
        <w:rPr>
          <w:rFonts w:hint="eastAsia" w:hAnsi="宋体" w:cs="宋体"/>
          <w:color w:val="auto"/>
          <w:sz w:val="24"/>
          <w:szCs w:val="24"/>
          <w:highlight w:val="none"/>
        </w:rPr>
        <w:t>的供应商应承担其编制响应文件与递交响应文件所涉及的一切费用，不论</w:t>
      </w:r>
      <w:r>
        <w:rPr>
          <w:rFonts w:hint="eastAsia" w:hAnsi="宋体" w:cs="宋体"/>
          <w:color w:val="auto"/>
          <w:sz w:val="24"/>
          <w:szCs w:val="24"/>
          <w:highlight w:val="none"/>
          <w:lang w:val="en-US" w:eastAsia="zh-CN"/>
        </w:rPr>
        <w:t>比选</w:t>
      </w:r>
      <w:r>
        <w:rPr>
          <w:rFonts w:hint="eastAsia" w:hAnsi="宋体" w:cs="宋体"/>
          <w:color w:val="auto"/>
          <w:sz w:val="24"/>
          <w:szCs w:val="24"/>
          <w:highlight w:val="none"/>
        </w:rPr>
        <w:t>结果如何，采购人和采购代理机构在任何情况下无义务也无责任承担这些费用。</w:t>
      </w:r>
    </w:p>
    <w:p w14:paraId="09488D6A">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b/>
          <w:bCs/>
          <w:color w:val="auto"/>
          <w:sz w:val="24"/>
          <w:highlight w:val="none"/>
        </w:rPr>
      </w:pPr>
      <w:bookmarkStart w:id="222" w:name="_Toc29521"/>
      <w:bookmarkStart w:id="223" w:name="_Toc9497"/>
      <w:bookmarkStart w:id="224" w:name="_Toc8698"/>
      <w:bookmarkStart w:id="225" w:name="_Toc16337"/>
      <w:bookmarkStart w:id="226" w:name="_Toc7754"/>
      <w:bookmarkStart w:id="227" w:name="_Toc18232"/>
      <w:bookmarkStart w:id="228" w:name="_Toc76462339"/>
      <w:bookmarkStart w:id="229" w:name="_Toc4418"/>
      <w:bookmarkStart w:id="230" w:name="_Toc4199"/>
      <w:bookmarkStart w:id="231" w:name="_Toc20922"/>
      <w:bookmarkStart w:id="232" w:name="_Toc342913391"/>
      <w:bookmarkStart w:id="233" w:name="_Toc22221"/>
      <w:bookmarkStart w:id="234" w:name="_Toc8461"/>
      <w:bookmarkStart w:id="235" w:name="_Toc15704"/>
      <w:bookmarkStart w:id="236" w:name="_Toc12006"/>
      <w:bookmarkStart w:id="237" w:name="_Toc30080"/>
      <w:bookmarkStart w:id="238" w:name="_Toc8038"/>
      <w:bookmarkStart w:id="239" w:name="_Toc18508"/>
      <w:bookmarkStart w:id="240" w:name="_Toc26606"/>
      <w:bookmarkStart w:id="241" w:name="_Toc16008"/>
      <w:bookmarkStart w:id="242" w:name="_Toc9045"/>
      <w:bookmarkStart w:id="243" w:name="_Toc4573"/>
      <w:bookmarkStart w:id="244" w:name="_Toc18966"/>
      <w:r>
        <w:rPr>
          <w:rFonts w:hint="eastAsia" w:ascii="宋体" w:hAnsi="宋体" w:cs="宋体"/>
          <w:b/>
          <w:bCs/>
          <w:color w:val="auto"/>
          <w:sz w:val="24"/>
          <w:highlight w:val="none"/>
        </w:rPr>
        <w:t>二、</w:t>
      </w:r>
      <w:r>
        <w:rPr>
          <w:rFonts w:hint="eastAsia" w:ascii="宋体" w:hAnsi="宋体" w:cs="宋体"/>
          <w:b/>
          <w:bCs/>
          <w:color w:val="auto"/>
          <w:sz w:val="24"/>
          <w:highlight w:val="none"/>
          <w:lang w:eastAsia="zh-CN"/>
        </w:rPr>
        <w:t>比选</w:t>
      </w:r>
      <w:r>
        <w:rPr>
          <w:rFonts w:hint="eastAsia" w:ascii="宋体" w:hAnsi="宋体" w:cs="宋体"/>
          <w:b/>
          <w:bCs/>
          <w:color w:val="auto"/>
          <w:sz w:val="24"/>
          <w:highlight w:val="none"/>
        </w:rPr>
        <w:t>文件</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1674E62F">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（一）竞争性</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文件由采购邀请书、项目</w:t>
      </w:r>
      <w:r>
        <w:rPr>
          <w:rFonts w:hint="eastAsia" w:ascii="宋体" w:hAnsi="宋体" w:cs="宋体"/>
          <w:color w:val="auto"/>
          <w:sz w:val="24"/>
          <w:szCs w:val="24"/>
          <w:highlight w:val="none"/>
          <w:lang w:val="en-US" w:eastAsia="zh-CN"/>
        </w:rPr>
        <w:t>技术</w:t>
      </w:r>
      <w:r>
        <w:rPr>
          <w:rFonts w:hint="eastAsia" w:ascii="宋体" w:hAnsi="宋体" w:cs="宋体"/>
          <w:color w:val="auto"/>
          <w:sz w:val="24"/>
          <w:szCs w:val="24"/>
          <w:highlight w:val="none"/>
        </w:rPr>
        <w:t>需求、项目商务需求、</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程序及方法、评审标准、无效响应和采购终止、供应商须知</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政府采购合同</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响应文件编制要求七部分组成。</w:t>
      </w:r>
    </w:p>
    <w:p w14:paraId="4A37C7CD">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（二）采购人（或采购代理机构）所作的一切有效的书面通知、修改及补充，都是</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文件不可分割的部分。</w:t>
      </w:r>
    </w:p>
    <w:p w14:paraId="49AAE9A4">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bookmarkStart w:id="245" w:name="_Toc13149"/>
      <w:r>
        <w:rPr>
          <w:rFonts w:hint="eastAsia" w:ascii="宋体" w:hAnsi="宋体" w:cs="宋体"/>
          <w:color w:val="auto"/>
          <w:sz w:val="24"/>
          <w:szCs w:val="24"/>
          <w:highlight w:val="none"/>
        </w:rPr>
        <w:t>（三）</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文件的解释</w:t>
      </w:r>
      <w:bookmarkEnd w:id="245"/>
    </w:p>
    <w:p w14:paraId="3243F13A">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供应商如对</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文件有疑问，必须以书面形式在提交响应文件截止时间</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个工作日前向采购人（或采购代理机构）要求澄清，采购人（或采购代理机构）可视具体情况做出处理或答复。如供应商未提出疑问，视为完全理解并同意本</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文件。一经进入</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程序，即视为供应商已详细阅读全部文件资料，完全理解</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文件所有条款内容并同意放弃对这方面有不明白及误解的权利。</w:t>
      </w:r>
      <w:bookmarkStart w:id="246" w:name="_Toc318159160"/>
      <w:bookmarkStart w:id="247" w:name="_Toc318159349"/>
      <w:bookmarkStart w:id="248" w:name="_Toc318166429"/>
      <w:bookmarkStart w:id="249" w:name="_Toc318159780"/>
    </w:p>
    <w:p w14:paraId="59666B6C">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（四）</w:t>
      </w:r>
      <w:r>
        <w:rPr>
          <w:rFonts w:hint="eastAsia" w:ascii="宋体" w:hAnsi="宋体" w:cs="宋体"/>
          <w:color w:val="auto"/>
          <w:sz w:val="24"/>
          <w:szCs w:val="24"/>
          <w:highlight w:val="none"/>
          <w:lang w:val="en-US" w:eastAsia="zh-CN"/>
        </w:rPr>
        <w:t>本</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文件中，</w:t>
      </w:r>
      <w:r>
        <w:rPr>
          <w:rFonts w:hint="eastAsia" w:ascii="宋体" w:hAnsi="宋体" w:cs="宋体"/>
          <w:color w:val="auto"/>
          <w:sz w:val="24"/>
          <w:szCs w:val="24"/>
          <w:highlight w:val="none"/>
          <w:lang w:val="en-US" w:eastAsia="zh-CN"/>
        </w:rPr>
        <w:t>评审</w:t>
      </w:r>
      <w:r>
        <w:rPr>
          <w:rFonts w:hint="eastAsia" w:ascii="宋体" w:hAnsi="宋体" w:cs="宋体"/>
          <w:color w:val="auto"/>
          <w:sz w:val="24"/>
          <w:szCs w:val="24"/>
          <w:highlight w:val="none"/>
        </w:rPr>
        <w:t>小组根据与供应商进行</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可能实质性变动的内容为竞争性</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文件第二、三、六篇全部内容。</w:t>
      </w:r>
    </w:p>
    <w:p w14:paraId="477ACBE8">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（五）评审的依据为</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文件和响应文件（含有效的书面承诺）。</w:t>
      </w:r>
      <w:r>
        <w:rPr>
          <w:rFonts w:hint="eastAsia" w:ascii="宋体" w:hAnsi="宋体" w:cs="宋体"/>
          <w:color w:val="auto"/>
          <w:sz w:val="24"/>
          <w:szCs w:val="24"/>
          <w:highlight w:val="none"/>
          <w:lang w:val="en-US" w:eastAsia="zh-CN"/>
        </w:rPr>
        <w:t>评审</w:t>
      </w:r>
      <w:r>
        <w:rPr>
          <w:rFonts w:hint="eastAsia" w:ascii="宋体" w:hAnsi="宋体" w:cs="宋体"/>
          <w:color w:val="auto"/>
          <w:sz w:val="24"/>
          <w:szCs w:val="24"/>
          <w:highlight w:val="none"/>
        </w:rPr>
        <w:t>小组判断响应文件对</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文件的响应，仅基于响应文件本身而不靠外部证据。</w:t>
      </w:r>
    </w:p>
    <w:bookmarkEnd w:id="246"/>
    <w:bookmarkEnd w:id="247"/>
    <w:bookmarkEnd w:id="248"/>
    <w:bookmarkEnd w:id="249"/>
    <w:p w14:paraId="74C50DED">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b/>
          <w:bCs/>
          <w:color w:val="auto"/>
          <w:sz w:val="24"/>
          <w:highlight w:val="none"/>
        </w:rPr>
      </w:pPr>
      <w:bookmarkStart w:id="250" w:name="_Toc21811"/>
      <w:bookmarkStart w:id="251" w:name="_Toc179714297"/>
      <w:bookmarkStart w:id="252" w:name="_Toc20791"/>
      <w:bookmarkStart w:id="253" w:name="_Toc14191"/>
      <w:bookmarkStart w:id="254" w:name="_Toc102227318"/>
      <w:bookmarkStart w:id="255" w:name="_Toc11304"/>
      <w:bookmarkStart w:id="256" w:name="_Toc23552"/>
      <w:bookmarkStart w:id="257" w:name="_Toc342913392"/>
      <w:bookmarkStart w:id="258" w:name="_Toc31661"/>
      <w:bookmarkStart w:id="259" w:name="_Toc2735"/>
      <w:bookmarkStart w:id="260" w:name="_Toc29340"/>
      <w:bookmarkStart w:id="261" w:name="_Toc6100"/>
      <w:bookmarkStart w:id="262" w:name="_Toc11189"/>
      <w:bookmarkStart w:id="263" w:name="_Toc9407"/>
      <w:bookmarkStart w:id="264" w:name="_Toc22657"/>
      <w:bookmarkStart w:id="265" w:name="_Toc632"/>
      <w:bookmarkStart w:id="266" w:name="_Toc76462340"/>
      <w:bookmarkStart w:id="267" w:name="_Toc25054"/>
      <w:bookmarkStart w:id="268" w:name="_Toc20247"/>
      <w:bookmarkStart w:id="269" w:name="_Toc28415"/>
      <w:bookmarkStart w:id="270" w:name="_Toc28796"/>
      <w:bookmarkStart w:id="271" w:name="_Toc19500"/>
      <w:bookmarkStart w:id="272" w:name="_Toc13838"/>
      <w:bookmarkStart w:id="273" w:name="_Toc8303"/>
      <w:bookmarkStart w:id="274" w:name="_Toc5232"/>
      <w:r>
        <w:rPr>
          <w:rFonts w:hint="eastAsia" w:ascii="宋体" w:hAnsi="宋体" w:cs="宋体"/>
          <w:b/>
          <w:bCs/>
          <w:color w:val="auto"/>
          <w:sz w:val="24"/>
          <w:highlight w:val="none"/>
        </w:rPr>
        <w:t>三、</w:t>
      </w:r>
      <w:r>
        <w:rPr>
          <w:rFonts w:hint="eastAsia" w:ascii="宋体" w:hAnsi="宋体" w:cs="宋体"/>
          <w:b/>
          <w:bCs/>
          <w:color w:val="auto"/>
          <w:sz w:val="24"/>
          <w:highlight w:val="none"/>
          <w:lang w:eastAsia="zh-CN"/>
        </w:rPr>
        <w:t>比选</w:t>
      </w:r>
      <w:r>
        <w:rPr>
          <w:rFonts w:hint="eastAsia" w:ascii="宋体" w:hAnsi="宋体" w:cs="宋体"/>
          <w:b/>
          <w:bCs/>
          <w:color w:val="auto"/>
          <w:sz w:val="24"/>
          <w:highlight w:val="none"/>
        </w:rPr>
        <w:t>要求</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622C4B7E">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bookmarkStart w:id="275" w:name="_Toc23693"/>
      <w:r>
        <w:rPr>
          <w:rFonts w:hint="eastAsia" w:ascii="宋体" w:hAnsi="宋体" w:cs="宋体"/>
          <w:color w:val="auto"/>
          <w:sz w:val="24"/>
          <w:szCs w:val="24"/>
          <w:highlight w:val="none"/>
        </w:rPr>
        <w:t>（一）响应文件</w:t>
      </w:r>
      <w:bookmarkEnd w:id="275"/>
    </w:p>
    <w:p w14:paraId="636443DD">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1.供应商应当按照</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文件的要求编制响应文件，并对竞争性</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文件提出的要求和条件作出实质性响应，响应文件原则上采用软面订本，同时应编制完整的页码、目录。</w:t>
      </w:r>
    </w:p>
    <w:p w14:paraId="75ABE73A">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2.响应文件组成</w:t>
      </w:r>
    </w:p>
    <w:p w14:paraId="0433E868">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2976F9F">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bookmarkStart w:id="276" w:name="_Toc20197"/>
      <w:r>
        <w:rPr>
          <w:rFonts w:hint="eastAsia" w:ascii="宋体" w:hAnsi="宋体" w:cs="宋体"/>
          <w:color w:val="auto"/>
          <w:sz w:val="24"/>
          <w:szCs w:val="24"/>
          <w:highlight w:val="none"/>
        </w:rPr>
        <w:t>（二）联合体</w:t>
      </w:r>
      <w:bookmarkEnd w:id="276"/>
    </w:p>
    <w:p w14:paraId="6882CF35">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本项目不接受联合体。</w:t>
      </w:r>
    </w:p>
    <w:p w14:paraId="0A540EC7">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有效期：响应文件及有关承诺文件有效期为提交响应文件截止时间起90天。</w:t>
      </w:r>
    </w:p>
    <w:p w14:paraId="0BC89931">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bookmarkStart w:id="277" w:name="_Toc12725"/>
      <w:r>
        <w:rPr>
          <w:rFonts w:hint="eastAsia" w:ascii="宋体" w:hAnsi="宋体" w:cs="宋体"/>
          <w:color w:val="auto"/>
          <w:sz w:val="24"/>
          <w:szCs w:val="24"/>
          <w:highlight w:val="none"/>
        </w:rPr>
        <w:t>（四）修正错误</w:t>
      </w:r>
      <w:bookmarkEnd w:id="277"/>
    </w:p>
    <w:p w14:paraId="1FAE82C1">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1.若供应商所递交的响应文件或最后报价中的价格出现大写金额和小写金额不一致的错误，以大写金额修正为准。</w:t>
      </w:r>
    </w:p>
    <w:p w14:paraId="5F80D91C">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评审</w:t>
      </w:r>
      <w:r>
        <w:rPr>
          <w:rFonts w:hint="eastAsia" w:ascii="宋体" w:hAnsi="宋体" w:cs="宋体"/>
          <w:color w:val="auto"/>
          <w:sz w:val="24"/>
          <w:szCs w:val="24"/>
          <w:highlight w:val="none"/>
        </w:rPr>
        <w:t>小组按上述修正错误的原则及方法修正供应商的报价，供应商同意并签署确认后，修正后的报价对供应商具有约束作用。如果供应商不接受修正后的价格，将失去成为成交供应商的资格。</w:t>
      </w:r>
    </w:p>
    <w:p w14:paraId="30570CB1">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bookmarkStart w:id="278" w:name="_Toc4591"/>
      <w:r>
        <w:rPr>
          <w:rFonts w:hint="eastAsia" w:ascii="宋体" w:hAnsi="宋体" w:cs="宋体"/>
          <w:color w:val="auto"/>
          <w:sz w:val="24"/>
          <w:szCs w:val="24"/>
          <w:highlight w:val="none"/>
        </w:rPr>
        <w:t>（五）提交响应文件的份数和签署</w:t>
      </w:r>
      <w:bookmarkEnd w:id="278"/>
    </w:p>
    <w:p w14:paraId="508FEAB8">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30A2A51D">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highlight w:val="none"/>
        </w:rPr>
        <w:t>响应文件按</w:t>
      </w:r>
      <w:r>
        <w:rPr>
          <w:rFonts w:hint="eastAsia" w:ascii="宋体" w:hAnsi="宋体" w:cs="宋体"/>
          <w:color w:val="auto"/>
          <w:sz w:val="24"/>
          <w:highlight w:val="none"/>
          <w:lang w:eastAsia="zh-CN"/>
        </w:rPr>
        <w:t>比选</w:t>
      </w:r>
      <w:r>
        <w:rPr>
          <w:rFonts w:hint="eastAsia" w:ascii="宋体" w:hAnsi="宋体" w:cs="宋体"/>
          <w:color w:val="auto"/>
          <w:sz w:val="24"/>
          <w:highlight w:val="none"/>
        </w:rPr>
        <w:t>文件“第七篇响应文件编制要求”要求签署或盖章。</w:t>
      </w:r>
    </w:p>
    <w:p w14:paraId="10FF0D22">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bookmarkStart w:id="279" w:name="_Toc29878"/>
      <w:r>
        <w:rPr>
          <w:rFonts w:hint="eastAsia" w:ascii="宋体" w:hAnsi="宋体" w:cs="宋体"/>
          <w:color w:val="auto"/>
          <w:sz w:val="24"/>
          <w:szCs w:val="24"/>
          <w:highlight w:val="none"/>
        </w:rPr>
        <w:t>（六）响应文件的递交</w:t>
      </w:r>
      <w:bookmarkEnd w:id="279"/>
    </w:p>
    <w:p w14:paraId="40B1BBF7">
      <w:pPr>
        <w:pStyle w:val="34"/>
        <w:keepNext w:val="0"/>
        <w:keepLines w:val="0"/>
        <w:pageBreakBefore w:val="0"/>
        <w:widowControl w:val="0"/>
        <w:kinsoku/>
        <w:wordWrap/>
        <w:topLinePunct w:val="0"/>
        <w:bidi w:val="0"/>
        <w:spacing w:line="400" w:lineRule="exact"/>
        <w:ind w:firstLine="480" w:firstLineChars="200"/>
        <w:textAlignment w:val="auto"/>
        <w:rPr>
          <w:rFonts w:hint="eastAsia" w:hAnsi="宋体" w:cs="宋体"/>
          <w:color w:val="auto"/>
          <w:sz w:val="24"/>
          <w:highlight w:val="none"/>
        </w:rPr>
      </w:pPr>
      <w:r>
        <w:rPr>
          <w:rFonts w:hint="eastAsia" w:hAnsi="宋体" w:cs="宋体"/>
          <w:color w:val="auto"/>
          <w:sz w:val="24"/>
          <w:highlight w:val="none"/>
        </w:rPr>
        <w:t>响应文件的正本、副本以及电子文档均应密封送达</w:t>
      </w:r>
      <w:r>
        <w:rPr>
          <w:rFonts w:hint="eastAsia" w:hAnsi="宋体" w:cs="宋体"/>
          <w:color w:val="auto"/>
          <w:sz w:val="24"/>
          <w:highlight w:val="none"/>
          <w:lang w:eastAsia="zh-CN"/>
        </w:rPr>
        <w:t>比选</w:t>
      </w:r>
      <w:r>
        <w:rPr>
          <w:rFonts w:hint="eastAsia" w:hAnsi="宋体" w:cs="宋体"/>
          <w:color w:val="auto"/>
          <w:sz w:val="24"/>
          <w:highlight w:val="none"/>
        </w:rPr>
        <w:t>地点，应在封套上注明</w:t>
      </w:r>
      <w:r>
        <w:rPr>
          <w:rFonts w:hint="eastAsia" w:hAnsi="宋体" w:cs="宋体"/>
          <w:color w:val="auto"/>
          <w:sz w:val="24"/>
          <w:highlight w:val="none"/>
          <w:lang w:eastAsia="zh-CN"/>
        </w:rPr>
        <w:t>比选</w:t>
      </w:r>
      <w:r>
        <w:rPr>
          <w:rFonts w:hint="eastAsia" w:hAnsi="宋体" w:cs="宋体"/>
          <w:color w:val="auto"/>
          <w:sz w:val="24"/>
          <w:highlight w:val="none"/>
        </w:rPr>
        <w:t>项目名称、供应商名称。若正本、副本以及电子文档分别进行密封的，还应在封套上注明“正本”、“副本”、“电子文档”字样。</w:t>
      </w:r>
    </w:p>
    <w:p w14:paraId="2B224C88">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bookmarkStart w:id="280" w:name="_Toc10669"/>
      <w:r>
        <w:rPr>
          <w:rFonts w:hint="eastAsia" w:ascii="宋体" w:hAnsi="宋体" w:cs="宋体"/>
          <w:color w:val="auto"/>
          <w:sz w:val="24"/>
          <w:szCs w:val="24"/>
          <w:highlight w:val="none"/>
        </w:rPr>
        <w:t>（七）供应商参与人员</w:t>
      </w:r>
      <w:bookmarkEnd w:id="280"/>
    </w:p>
    <w:p w14:paraId="6402A23E">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各个供应商应当派1-2名代表参与</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，至少1人应为法定代表人（或其授权代表）或自然人（供应商为自然人）。</w:t>
      </w:r>
    </w:p>
    <w:p w14:paraId="0CB567F4">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b/>
          <w:bCs/>
          <w:color w:val="auto"/>
          <w:sz w:val="24"/>
          <w:highlight w:val="none"/>
        </w:rPr>
      </w:pPr>
      <w:bookmarkStart w:id="281" w:name="_Toc26891"/>
      <w:bookmarkStart w:id="282" w:name="_Toc6975"/>
      <w:bookmarkStart w:id="283" w:name="_Toc4255"/>
      <w:bookmarkStart w:id="284" w:name="_Toc13618"/>
      <w:bookmarkStart w:id="285" w:name="_Toc16815"/>
      <w:bookmarkStart w:id="286" w:name="_Toc3211"/>
      <w:bookmarkStart w:id="287" w:name="_Toc10146"/>
      <w:bookmarkStart w:id="288" w:name="_Toc1654"/>
      <w:bookmarkStart w:id="289" w:name="_Toc31697"/>
      <w:bookmarkStart w:id="290" w:name="_Toc8867"/>
      <w:bookmarkStart w:id="291" w:name="_Toc3816"/>
      <w:bookmarkStart w:id="292" w:name="_Toc11240"/>
      <w:bookmarkStart w:id="293" w:name="_Toc29902"/>
      <w:bookmarkStart w:id="294" w:name="_Toc76462341"/>
      <w:bookmarkStart w:id="295" w:name="_Toc28339"/>
      <w:bookmarkStart w:id="296" w:name="_Toc10675"/>
      <w:bookmarkStart w:id="297" w:name="_Toc4358"/>
      <w:bookmarkStart w:id="298" w:name="_Toc8819"/>
      <w:bookmarkStart w:id="299" w:name="_Toc2807"/>
      <w:bookmarkStart w:id="300" w:name="_Toc21037"/>
      <w:bookmarkStart w:id="301" w:name="_Toc6872"/>
      <w:bookmarkStart w:id="302" w:name="_Toc27253"/>
      <w:r>
        <w:rPr>
          <w:rFonts w:hint="eastAsia" w:ascii="宋体" w:hAnsi="宋体" w:cs="宋体"/>
          <w:b/>
          <w:bCs/>
          <w:color w:val="auto"/>
          <w:sz w:val="24"/>
          <w:highlight w:val="none"/>
        </w:rPr>
        <w:t>四、成交供应商的确认和变更</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4648C5DA">
      <w:pPr>
        <w:keepNext w:val="0"/>
        <w:keepLines w:val="0"/>
        <w:pageBreakBefore w:val="0"/>
        <w:widowControl w:val="0"/>
        <w:kinsoku/>
        <w:wordWrap/>
        <w:topLinePunct w:val="0"/>
        <w:bidi w:val="0"/>
        <w:snapToGrid w:val="0"/>
        <w:spacing w:line="400" w:lineRule="exact"/>
        <w:ind w:firstLine="480" w:firstLineChars="200"/>
        <w:textAlignment w:val="auto"/>
        <w:outlineLvl w:val="9"/>
        <w:rPr>
          <w:rFonts w:hint="eastAsia" w:ascii="宋体" w:hAnsi="宋体" w:cs="宋体"/>
          <w:color w:val="auto"/>
          <w:sz w:val="24"/>
          <w:szCs w:val="24"/>
          <w:highlight w:val="none"/>
        </w:rPr>
      </w:pPr>
      <w:bookmarkStart w:id="303" w:name="_Toc22399"/>
      <w:r>
        <w:rPr>
          <w:rFonts w:hint="eastAsia" w:ascii="宋体" w:hAnsi="宋体" w:cs="宋体"/>
          <w:color w:val="auto"/>
          <w:sz w:val="24"/>
          <w:szCs w:val="24"/>
          <w:highlight w:val="none"/>
        </w:rPr>
        <w:t>（一）成交供应商的确认</w:t>
      </w:r>
      <w:bookmarkEnd w:id="303"/>
    </w:p>
    <w:p w14:paraId="534778A3">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小组直接确定成交供应商。采购人逾期未确定成交供应商且不提出异议的，视为确定评审报告提出的排序第一的供应商为成交供应商。</w:t>
      </w:r>
    </w:p>
    <w:p w14:paraId="54E14440">
      <w:pPr>
        <w:keepNext w:val="0"/>
        <w:keepLines w:val="0"/>
        <w:pageBreakBefore w:val="0"/>
        <w:widowControl w:val="0"/>
        <w:kinsoku/>
        <w:wordWrap/>
        <w:topLinePunct w:val="0"/>
        <w:bidi w:val="0"/>
        <w:snapToGrid w:val="0"/>
        <w:spacing w:line="400" w:lineRule="exact"/>
        <w:ind w:firstLine="480" w:firstLineChars="200"/>
        <w:textAlignment w:val="auto"/>
        <w:outlineLvl w:val="9"/>
        <w:rPr>
          <w:rFonts w:hint="eastAsia" w:ascii="宋体" w:hAnsi="宋体" w:cs="宋体"/>
          <w:color w:val="auto"/>
          <w:sz w:val="24"/>
          <w:szCs w:val="24"/>
          <w:highlight w:val="none"/>
        </w:rPr>
      </w:pPr>
      <w:bookmarkStart w:id="304" w:name="_Toc7832"/>
      <w:r>
        <w:rPr>
          <w:rFonts w:hint="eastAsia" w:ascii="宋体" w:hAnsi="宋体" w:cs="宋体"/>
          <w:color w:val="auto"/>
          <w:sz w:val="24"/>
          <w:szCs w:val="24"/>
          <w:highlight w:val="none"/>
        </w:rPr>
        <w:t>（二）成交供应商的变更</w:t>
      </w:r>
      <w:bookmarkEnd w:id="304"/>
    </w:p>
    <w:p w14:paraId="61142828">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highlight w:val="none"/>
        </w:rPr>
        <w:t>成交供应商拒绝与采购人签订合同的，采购人可以按照评标报告推荐的成交候选供应商顺序，确定排名下一位的候选人为成交供应商，也可以重新开展政府采购活动。</w:t>
      </w:r>
    </w:p>
    <w:p w14:paraId="091E36F5">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b/>
          <w:bCs/>
          <w:color w:val="auto"/>
          <w:sz w:val="24"/>
          <w:highlight w:val="none"/>
        </w:rPr>
      </w:pPr>
      <w:bookmarkStart w:id="305" w:name="_Toc2450"/>
      <w:bookmarkStart w:id="306" w:name="_Toc5669"/>
      <w:bookmarkStart w:id="307" w:name="_Toc15326"/>
      <w:bookmarkStart w:id="308" w:name="_Toc3600"/>
      <w:bookmarkStart w:id="309" w:name="_Toc342913395"/>
      <w:bookmarkStart w:id="310" w:name="_Toc76462342"/>
      <w:bookmarkStart w:id="311" w:name="_Toc1176"/>
      <w:bookmarkStart w:id="312" w:name="_Toc11566"/>
      <w:bookmarkStart w:id="313" w:name="_Toc21638"/>
      <w:bookmarkStart w:id="314" w:name="_Toc16227"/>
      <w:bookmarkStart w:id="315" w:name="_Toc9305"/>
      <w:bookmarkStart w:id="316" w:name="_Toc9729"/>
      <w:bookmarkStart w:id="317" w:name="_Toc1942"/>
      <w:bookmarkStart w:id="318" w:name="_Toc102227321"/>
      <w:bookmarkStart w:id="319" w:name="_Toc17733"/>
      <w:bookmarkStart w:id="320" w:name="_Toc21706"/>
      <w:bookmarkStart w:id="321" w:name="_Toc4036"/>
      <w:bookmarkStart w:id="322" w:name="_Toc7139"/>
      <w:bookmarkStart w:id="323" w:name="_Toc1927"/>
      <w:bookmarkStart w:id="324" w:name="_Toc20539"/>
      <w:bookmarkStart w:id="325" w:name="_Toc7024"/>
      <w:bookmarkStart w:id="326" w:name="_Toc17789"/>
      <w:bookmarkStart w:id="327" w:name="_Toc13900"/>
      <w:bookmarkStart w:id="328" w:name="_Toc27893"/>
      <w:r>
        <w:rPr>
          <w:rFonts w:hint="eastAsia" w:ascii="宋体" w:hAnsi="宋体" w:cs="宋体"/>
          <w:b/>
          <w:bCs/>
          <w:color w:val="auto"/>
          <w:sz w:val="24"/>
          <w:highlight w:val="none"/>
        </w:rPr>
        <w:t>五、成交通知</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4A36BB9E">
      <w:pPr>
        <w:keepNext w:val="0"/>
        <w:keepLines w:val="0"/>
        <w:pageBreakBefore w:val="0"/>
        <w:widowControl w:val="0"/>
        <w:kinsoku/>
        <w:wordWrap/>
        <w:topLinePunct w:val="0"/>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成交供应商确定后，采购代理机构将在行采家（</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"https://www.gec123.com/"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https://www.gec123.com/</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）上发布成交结果公告。</w:t>
      </w:r>
    </w:p>
    <w:p w14:paraId="21A85156">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（二）结果公告发出同时，采购代理机构将以书面形式发出《成交通知书》。《成交通知书》一经发出即发生法律效力。</w:t>
      </w:r>
    </w:p>
    <w:p w14:paraId="49892CF8">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bookmarkStart w:id="329" w:name="_Toc23493"/>
      <w:r>
        <w:rPr>
          <w:rFonts w:hint="eastAsia" w:ascii="宋体" w:hAnsi="宋体" w:cs="宋体"/>
          <w:color w:val="auto"/>
          <w:sz w:val="24"/>
          <w:szCs w:val="24"/>
          <w:highlight w:val="none"/>
        </w:rPr>
        <w:t>（三）《成交通知书》将作为签订合同的依据。</w:t>
      </w:r>
      <w:bookmarkEnd w:id="329"/>
    </w:p>
    <w:p w14:paraId="741CBDF7">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b/>
          <w:bCs/>
          <w:color w:val="auto"/>
          <w:sz w:val="24"/>
          <w:highlight w:val="none"/>
        </w:rPr>
      </w:pPr>
      <w:bookmarkStart w:id="330" w:name="_Toc102227322"/>
      <w:bookmarkStart w:id="331" w:name="_Toc31502"/>
      <w:bookmarkStart w:id="332" w:name="_Toc16077"/>
      <w:bookmarkStart w:id="333" w:name="_Toc8595"/>
      <w:bookmarkStart w:id="334" w:name="_Toc26372"/>
      <w:bookmarkStart w:id="335" w:name="_Toc8704"/>
      <w:bookmarkStart w:id="336" w:name="_Toc14130"/>
      <w:bookmarkStart w:id="337" w:name="_Toc11278"/>
      <w:bookmarkStart w:id="338" w:name="_Toc17565"/>
      <w:bookmarkStart w:id="339" w:name="_Toc28716"/>
      <w:bookmarkStart w:id="340" w:name="_Toc7501"/>
      <w:bookmarkStart w:id="341" w:name="_Toc27598"/>
      <w:bookmarkStart w:id="342" w:name="_Toc17728"/>
      <w:bookmarkStart w:id="343" w:name="_Toc17651"/>
      <w:bookmarkStart w:id="344" w:name="_Toc2209"/>
      <w:bookmarkStart w:id="345" w:name="_Toc76462346"/>
      <w:bookmarkStart w:id="346" w:name="_Toc26629"/>
      <w:bookmarkStart w:id="347" w:name="_Toc20308"/>
      <w:bookmarkStart w:id="348" w:name="_Toc9122"/>
      <w:bookmarkStart w:id="349" w:name="_Toc3327"/>
      <w:bookmarkStart w:id="350" w:name="_Toc24713"/>
      <w:bookmarkStart w:id="351" w:name="_Toc18211"/>
      <w:bookmarkStart w:id="352" w:name="_Toc24303"/>
      <w:bookmarkStart w:id="353" w:name="_Toc342913396"/>
      <w:r>
        <w:rPr>
          <w:rFonts w:hint="eastAsia" w:ascii="宋体" w:hAnsi="宋体" w:cs="宋体"/>
          <w:b/>
          <w:bCs/>
          <w:color w:val="auto"/>
          <w:sz w:val="24"/>
          <w:highlight w:val="none"/>
          <w:lang w:val="en-US" w:eastAsia="zh-CN"/>
        </w:rPr>
        <w:t>六</w:t>
      </w:r>
      <w:r>
        <w:rPr>
          <w:rFonts w:hint="eastAsia" w:ascii="宋体" w:hAnsi="宋体" w:cs="宋体"/>
          <w:b/>
          <w:bCs/>
          <w:color w:val="auto"/>
          <w:sz w:val="24"/>
          <w:highlight w:val="none"/>
        </w:rPr>
        <w:t>、签订</w:t>
      </w:r>
      <w:bookmarkEnd w:id="330"/>
      <w:r>
        <w:rPr>
          <w:rFonts w:hint="eastAsia" w:ascii="宋体" w:hAnsi="宋体" w:cs="宋体"/>
          <w:b/>
          <w:bCs/>
          <w:color w:val="auto"/>
          <w:sz w:val="24"/>
          <w:highlight w:val="none"/>
        </w:rPr>
        <w:t>合同</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6C88C9F7">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（一）采购人原则上应在成交通知书发出之日起二十日内和成交供应商签订采购合同，无正当理由不得拒绝或拖延合同签订。所签订的合同不得对性</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文件和供应商的响应文件作实质性修改。其他未尽事宜由采购人和成交供应商在采购合同中详细约定。</w:t>
      </w:r>
    </w:p>
    <w:p w14:paraId="12EAADF0">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文件、供应商的响应文件及澄清文件等，均为签订合同的依据。</w:t>
      </w:r>
    </w:p>
    <w:p w14:paraId="7D1EE5C2">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）合同生效条款由供需双方约定，法律、行政法规规定应当办理批准、登记等手续后生效的合同，依照其规定。</w:t>
      </w:r>
    </w:p>
    <w:p w14:paraId="5C9E7D39">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）采购人要求成交供应商提供履约保证金的，应当在</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文件中予以约定。成交供应商履约完毕后，采购人根据采购文件规定无息退还其履约保证金。</w:t>
      </w:r>
    </w:p>
    <w:p w14:paraId="17540F45">
      <w:pPr>
        <w:keepNext w:val="0"/>
        <w:keepLines w:val="0"/>
        <w:pageBreakBefore w:val="0"/>
        <w:widowControl w:val="0"/>
        <w:kinsoku/>
        <w:wordWrap/>
        <w:topLinePunct w:val="0"/>
        <w:bidi w:val="0"/>
        <w:adjustRightInd w:val="0"/>
        <w:snapToGrid w:val="0"/>
        <w:spacing w:line="400" w:lineRule="exact"/>
        <w:textAlignment w:val="auto"/>
        <w:outlineLvl w:val="9"/>
        <w:rPr>
          <w:rFonts w:hint="eastAsia" w:ascii="宋体" w:hAnsi="宋体" w:cs="宋体"/>
          <w:b/>
          <w:bCs/>
          <w:color w:val="auto"/>
          <w:sz w:val="24"/>
          <w:highlight w:val="none"/>
        </w:rPr>
      </w:pPr>
      <w:bookmarkStart w:id="354" w:name="_Toc1244"/>
      <w:bookmarkStart w:id="355" w:name="_Toc24806"/>
      <w:bookmarkStart w:id="356" w:name="_Toc1663"/>
      <w:bookmarkStart w:id="357" w:name="_Toc2536"/>
      <w:bookmarkStart w:id="358" w:name="_Toc106030899"/>
      <w:bookmarkStart w:id="359" w:name="_Toc23347"/>
      <w:bookmarkStart w:id="360" w:name="_Toc3479"/>
      <w:bookmarkStart w:id="361" w:name="_Toc76462344"/>
      <w:bookmarkStart w:id="362" w:name="_Toc15781"/>
      <w:bookmarkStart w:id="363" w:name="_Toc14780"/>
      <w:bookmarkStart w:id="364" w:name="_Toc11071"/>
      <w:bookmarkStart w:id="365" w:name="_Toc76462347"/>
      <w:bookmarkStart w:id="366" w:name="_Toc28018"/>
      <w:bookmarkStart w:id="367" w:name="_Toc10155"/>
      <w:bookmarkStart w:id="368" w:name="_Toc29361"/>
      <w:bookmarkStart w:id="369" w:name="_Toc1276"/>
      <w:bookmarkStart w:id="370" w:name="_Toc21537"/>
      <w:bookmarkStart w:id="371" w:name="_Toc32592"/>
      <w:bookmarkStart w:id="372" w:name="_Toc22843"/>
      <w:bookmarkStart w:id="373" w:name="_Toc16513"/>
      <w:bookmarkStart w:id="374" w:name="_Toc24073"/>
      <w:bookmarkStart w:id="375" w:name="_Toc23925"/>
      <w:bookmarkStart w:id="376" w:name="_Toc18676"/>
      <w:bookmarkStart w:id="377" w:name="_Toc23133"/>
      <w:bookmarkStart w:id="378" w:name="_Toc2355"/>
      <w:bookmarkStart w:id="379" w:name="_Toc27572"/>
      <w:bookmarkStart w:id="380" w:name="_Toc22910"/>
      <w:bookmarkStart w:id="381" w:name="_Toc1728"/>
      <w:r>
        <w:rPr>
          <w:rFonts w:hint="eastAsia" w:ascii="宋体" w:hAnsi="宋体" w:cs="宋体"/>
          <w:b/>
          <w:bCs/>
          <w:color w:val="auto"/>
          <w:sz w:val="24"/>
          <w:highlight w:val="none"/>
          <w:lang w:eastAsia="zh-CN"/>
        </w:rPr>
        <w:t>七</w:t>
      </w:r>
      <w:r>
        <w:rPr>
          <w:rFonts w:hint="eastAsia" w:ascii="宋体" w:hAnsi="宋体" w:cs="宋体"/>
          <w:b/>
          <w:bCs/>
          <w:color w:val="auto"/>
          <w:sz w:val="24"/>
          <w:highlight w:val="none"/>
        </w:rPr>
        <w:t>、采购代理服务费</w:t>
      </w:r>
      <w:bookmarkEnd w:id="354"/>
      <w:bookmarkEnd w:id="355"/>
      <w:bookmarkEnd w:id="356"/>
      <w:bookmarkEnd w:id="357"/>
      <w:bookmarkEnd w:id="358"/>
      <w:bookmarkEnd w:id="359"/>
      <w:bookmarkEnd w:id="360"/>
      <w:bookmarkEnd w:id="361"/>
    </w:p>
    <w:p w14:paraId="77720485">
      <w:pPr>
        <w:keepNext w:val="0"/>
        <w:keepLines w:val="0"/>
        <w:pageBreakBefore w:val="0"/>
        <w:widowControl w:val="0"/>
        <w:kinsoku/>
        <w:wordWrap/>
        <w:topLinePunct w:val="0"/>
        <w:bidi w:val="0"/>
        <w:spacing w:line="400" w:lineRule="exact"/>
        <w:ind w:firstLine="480" w:firstLineChars="200"/>
        <w:textAlignment w:val="auto"/>
        <w:rPr>
          <w:rFonts w:hint="default" w:ascii="宋体" w:hAnsi="宋体" w:cs="宋体"/>
          <w:b/>
          <w:color w:val="auto"/>
          <w:sz w:val="24"/>
          <w:highlight w:val="none"/>
          <w:lang w:val="en-US"/>
        </w:rPr>
      </w:pPr>
      <w:bookmarkStart w:id="382" w:name="_Toc25784"/>
      <w:bookmarkStart w:id="383" w:name="_Toc106030902"/>
      <w:bookmarkStart w:id="384" w:name="_Toc15872"/>
      <w:bookmarkStart w:id="385" w:name="_Toc7792"/>
      <w:r>
        <w:rPr>
          <w:rFonts w:hint="eastAsia" w:ascii="宋体" w:hAnsi="宋体" w:cs="宋体"/>
          <w:color w:val="auto"/>
          <w:sz w:val="24"/>
          <w:highlight w:val="none"/>
        </w:rPr>
        <w:t>（一）本</w:t>
      </w:r>
      <w:r>
        <w:rPr>
          <w:rFonts w:hint="eastAsia" w:ascii="宋体" w:hAnsi="宋体" w:cs="宋体"/>
          <w:color w:val="auto"/>
          <w:sz w:val="24"/>
          <w:highlight w:val="none"/>
          <w:lang w:val="en-US" w:eastAsia="zh-CN"/>
        </w:rPr>
        <w:t>项目</w:t>
      </w:r>
      <w:r>
        <w:rPr>
          <w:rFonts w:hint="eastAsia" w:ascii="宋体" w:hAnsi="宋体" w:cs="宋体"/>
          <w:color w:val="auto"/>
          <w:sz w:val="24"/>
          <w:highlight w:val="none"/>
        </w:rPr>
        <w:t>代理服务费由中标单位支付，</w:t>
      </w:r>
      <w:r>
        <w:rPr>
          <w:rFonts w:hint="eastAsia" w:ascii="宋体" w:hAnsi="宋体" w:cs="宋体"/>
          <w:color w:val="auto"/>
          <w:sz w:val="24"/>
          <w:highlight w:val="none"/>
          <w:lang w:val="en-US" w:eastAsia="zh-CN"/>
        </w:rPr>
        <w:t>代理服务费</w:t>
      </w:r>
      <w:r>
        <w:rPr>
          <w:rFonts w:hint="eastAsia" w:ascii="宋体" w:hAnsi="宋体" w:cs="宋体"/>
          <w:color w:val="auto"/>
          <w:sz w:val="24"/>
          <w:highlight w:val="none"/>
        </w:rPr>
        <w:t>参照计价格〔2002〕1980号文件规定标准计取</w:t>
      </w:r>
      <w:r>
        <w:rPr>
          <w:rFonts w:hint="eastAsia" w:ascii="宋体" w:hAnsi="宋体" w:eastAsia="宋体" w:cs="宋体"/>
          <w:color w:val="auto"/>
          <w:kern w:val="2"/>
          <w:sz w:val="24"/>
          <w:szCs w:val="20"/>
          <w:highlight w:val="none"/>
          <w:lang w:val="en-US" w:eastAsia="zh-CN" w:bidi="ar"/>
        </w:rPr>
        <w:t>。</w:t>
      </w:r>
      <w:r>
        <w:rPr>
          <w:rFonts w:hint="eastAsia" w:ascii="宋体" w:hAnsi="宋体" w:cs="宋体"/>
          <w:color w:val="auto"/>
          <w:kern w:val="2"/>
          <w:sz w:val="24"/>
          <w:szCs w:val="20"/>
          <w:highlight w:val="none"/>
          <w:lang w:val="en-US" w:eastAsia="zh-CN" w:bidi="ar"/>
        </w:rPr>
        <w:t>由成交供应商在领取成交通知书时一次性向代理机构缴纳。</w:t>
      </w:r>
    </w:p>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14:paraId="71132E78">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41CAA011">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58391F4F">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6224F4AC">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22970143">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18D3D89D">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2FB4B718">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76B4FD56">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5228CD5A">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74CE2C01">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206E575F">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16502E70">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625B61F6">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79FF40F2">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bookmarkStart w:id="386" w:name="_Toc28948"/>
      <w:bookmarkStart w:id="387" w:name="_Toc3221"/>
      <w:bookmarkStart w:id="388" w:name="_Toc14340"/>
      <w:bookmarkStart w:id="389" w:name="_Toc20965"/>
      <w:bookmarkStart w:id="390" w:name="_Toc21896"/>
      <w:bookmarkStart w:id="391" w:name="_Toc6204"/>
      <w:bookmarkStart w:id="392" w:name="_Toc84"/>
      <w:bookmarkStart w:id="393" w:name="_Toc1411"/>
      <w:bookmarkStart w:id="394" w:name="_Toc6442"/>
      <w:bookmarkStart w:id="395" w:name="_Toc20413"/>
      <w:bookmarkStart w:id="396" w:name="_Toc229"/>
      <w:bookmarkStart w:id="397" w:name="_Toc32599"/>
      <w:bookmarkStart w:id="398" w:name="_Toc16313"/>
      <w:bookmarkStart w:id="399" w:name="_Toc23229"/>
      <w:bookmarkStart w:id="400" w:name="_Toc18306"/>
      <w:bookmarkStart w:id="401" w:name="_Toc6967"/>
      <w:bookmarkStart w:id="402" w:name="_Toc18101"/>
      <w:bookmarkStart w:id="403" w:name="_Toc18910"/>
      <w:bookmarkStart w:id="404" w:name="_Toc17453"/>
      <w:bookmarkStart w:id="405" w:name="_Toc19076"/>
      <w:bookmarkStart w:id="406" w:name="_Toc424"/>
      <w:bookmarkStart w:id="407" w:name="_Toc18187"/>
      <w:bookmarkStart w:id="408" w:name="_Toc32562"/>
      <w:bookmarkStart w:id="409" w:name="_Toc1505"/>
      <w:bookmarkStart w:id="410" w:name="_Toc130"/>
      <w:bookmarkStart w:id="411" w:name="_Toc76462348"/>
      <w:bookmarkStart w:id="412" w:name="_Toc27280"/>
      <w:bookmarkStart w:id="413" w:name="_Toc7864"/>
      <w:bookmarkStart w:id="414" w:name="_Toc29988"/>
      <w:bookmarkStart w:id="415" w:name="_Toc11449"/>
      <w:bookmarkStart w:id="416" w:name="_Toc14964"/>
      <w:bookmarkStart w:id="417" w:name="_Toc11593"/>
      <w:bookmarkStart w:id="418" w:name="_Toc20244"/>
      <w:bookmarkStart w:id="419" w:name="_Toc19622"/>
    </w:p>
    <w:p w14:paraId="1DF2602D">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43B2F13A">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43B5E7CC">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67E3640C">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7120F795">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25862613">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6C413C20">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4A26F6A1">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7338D3BC">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7A83662F">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宋体" w:hAnsi="宋体" w:cs="宋体"/>
          <w:color w:val="auto"/>
          <w:highlight w:val="none"/>
        </w:rPr>
      </w:pPr>
      <w:r>
        <w:rPr>
          <w:rFonts w:hint="eastAsia" w:ascii="Times New Roman" w:hAnsi="Times New Roman" w:eastAsia="宋体" w:cs="宋体"/>
          <w:b/>
          <w:bCs w:val="0"/>
          <w:color w:val="auto"/>
          <w:kern w:val="2"/>
          <w:sz w:val="36"/>
          <w:szCs w:val="36"/>
          <w:highlight w:val="none"/>
          <w:lang w:val="en-US" w:eastAsia="zh-CN" w:bidi="ar-SA"/>
        </w:rPr>
        <w:t>第六篇  采购合同</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ascii="Times New Roman" w:hAnsi="Times New Roman" w:eastAsia="宋体" w:cs="宋体"/>
          <w:b/>
          <w:bCs w:val="0"/>
          <w:color w:val="auto"/>
          <w:kern w:val="2"/>
          <w:sz w:val="36"/>
          <w:szCs w:val="36"/>
          <w:highlight w:val="none"/>
          <w:lang w:val="en-US" w:eastAsia="zh-CN" w:bidi="ar-SA"/>
        </w:rPr>
        <w:t>（样本）</w:t>
      </w:r>
      <w:bookmarkEnd w:id="413"/>
      <w:bookmarkEnd w:id="414"/>
      <w:bookmarkEnd w:id="415"/>
      <w:bookmarkEnd w:id="416"/>
      <w:bookmarkEnd w:id="417"/>
      <w:bookmarkEnd w:id="418"/>
      <w:bookmarkEnd w:id="419"/>
      <w:bookmarkStart w:id="420" w:name="_Toc330980512"/>
      <w:bookmarkStart w:id="421" w:name="_Toc298010387"/>
      <w:bookmarkStart w:id="422" w:name="_Toc325910652"/>
      <w:bookmarkStart w:id="423" w:name="_Toc26878"/>
      <w:bookmarkStart w:id="424" w:name="_Toc322559720"/>
      <w:bookmarkStart w:id="425" w:name="_Toc27521"/>
      <w:bookmarkStart w:id="426" w:name="_Toc12180"/>
      <w:bookmarkStart w:id="427" w:name="_Toc13040"/>
      <w:bookmarkStart w:id="428" w:name="_Toc16351"/>
      <w:bookmarkStart w:id="429" w:name="_Toc11195"/>
      <w:bookmarkStart w:id="430" w:name="_Toc23433"/>
      <w:bookmarkStart w:id="431" w:name="_Toc22311"/>
      <w:bookmarkStart w:id="432" w:name="_Toc17879"/>
      <w:bookmarkStart w:id="433" w:name="_Toc6342"/>
      <w:bookmarkStart w:id="434" w:name="_Toc8650"/>
      <w:bookmarkStart w:id="435" w:name="_Toc15809"/>
      <w:bookmarkStart w:id="436" w:name="_Toc26077"/>
      <w:bookmarkStart w:id="437" w:name="_Toc30260"/>
      <w:bookmarkStart w:id="438" w:name="_Toc30441"/>
      <w:bookmarkStart w:id="439" w:name="_Toc19195"/>
      <w:bookmarkStart w:id="440" w:name="_Toc9338"/>
      <w:bookmarkStart w:id="441" w:name="_Toc23212"/>
      <w:bookmarkStart w:id="442" w:name="_Toc2705"/>
      <w:bookmarkStart w:id="443" w:name="_Toc2393"/>
      <w:bookmarkStart w:id="444" w:name="_Toc5150"/>
      <w:bookmarkStart w:id="445" w:name="_Toc29379"/>
      <w:bookmarkStart w:id="446" w:name="_Toc31068"/>
      <w:bookmarkStart w:id="447" w:name="_Toc24148"/>
      <w:bookmarkStart w:id="448" w:name="_Toc5872"/>
      <w:bookmarkStart w:id="449" w:name="_Toc76462349"/>
      <w:bookmarkStart w:id="450" w:name="_Toc429"/>
      <w:bookmarkStart w:id="451" w:name="_Toc7605"/>
    </w:p>
    <w:p w14:paraId="4BAD4AEB">
      <w:pPr>
        <w:rPr>
          <w:rFonts w:hint="eastAsia" w:ascii="宋体" w:hAnsi="宋体" w:cs="宋体"/>
          <w:color w:val="auto"/>
          <w:highlight w:val="none"/>
        </w:rPr>
      </w:pPr>
    </w:p>
    <w:bookmarkEnd w:id="420"/>
    <w:bookmarkEnd w:id="421"/>
    <w:bookmarkEnd w:id="422"/>
    <w:bookmarkEnd w:id="423"/>
    <w:bookmarkEnd w:id="424"/>
    <w:p w14:paraId="55C8C67C">
      <w:pPr>
        <w:rPr>
          <w:rFonts w:ascii="宋体" w:hAnsi="宋体" w:cs="宋体"/>
          <w:sz w:val="21"/>
          <w:szCs w:val="21"/>
        </w:rPr>
      </w:pPr>
      <w:bookmarkStart w:id="452" w:name="_Toc11406"/>
      <w:bookmarkEnd w:id="452"/>
      <w:bookmarkStart w:id="453" w:name="_Toc9194"/>
      <w:bookmarkEnd w:id="453"/>
      <w:bookmarkStart w:id="454" w:name="_Toc5965"/>
      <w:bookmarkEnd w:id="454"/>
      <w:bookmarkStart w:id="455" w:name="_Toc534185765"/>
      <w:bookmarkEnd w:id="455"/>
      <w:bookmarkStart w:id="456" w:name="_Toc351203494"/>
      <w:bookmarkEnd w:id="456"/>
      <w:bookmarkStart w:id="457" w:name="_Toc509218786"/>
      <w:bookmarkEnd w:id="457"/>
      <w:bookmarkStart w:id="458" w:name="_Toc351203632"/>
      <w:r>
        <w:rPr>
          <w:rFonts w:hint="eastAsia" w:ascii="宋体" w:hAnsi="宋体" w:cs="宋体"/>
          <w:sz w:val="21"/>
          <w:szCs w:val="21"/>
        </w:rPr>
        <w:t>合同编号：</w:t>
      </w:r>
    </w:p>
    <w:p w14:paraId="784D0D08">
      <w:pPr>
        <w:rPr>
          <w:rFonts w:ascii="宋体" w:hAnsi="宋体" w:cs="宋体"/>
          <w:sz w:val="21"/>
          <w:szCs w:val="21"/>
        </w:rPr>
      </w:pPr>
    </w:p>
    <w:p w14:paraId="79F18BA9">
      <w:pPr>
        <w:rPr>
          <w:rFonts w:ascii="宋体" w:hAnsi="宋体" w:cs="宋体"/>
          <w:sz w:val="21"/>
          <w:szCs w:val="21"/>
        </w:rPr>
      </w:pPr>
    </w:p>
    <w:p w14:paraId="23FAE7BC">
      <w:pPr>
        <w:pStyle w:val="2"/>
        <w:jc w:val="center"/>
        <w:rPr>
          <w:rFonts w:hint="eastAsia" w:hAnsi="宋体" w:cs="宋体"/>
          <w:sz w:val="21"/>
          <w:szCs w:val="21"/>
        </w:rPr>
      </w:pPr>
      <w:bookmarkStart w:id="459" w:name="_Toc25848"/>
      <w:bookmarkStart w:id="460" w:name="_Toc487025778"/>
      <w:bookmarkStart w:id="461" w:name="_Toc536106521"/>
    </w:p>
    <w:p w14:paraId="08C13A7B">
      <w:pPr>
        <w:rPr>
          <w:rFonts w:hint="eastAsia" w:hAnsi="宋体" w:cs="宋体"/>
          <w:sz w:val="21"/>
          <w:szCs w:val="21"/>
        </w:rPr>
      </w:pPr>
    </w:p>
    <w:p w14:paraId="4708C706">
      <w:pPr>
        <w:rPr>
          <w:rFonts w:hint="eastAsia" w:hAnsi="宋体" w:cs="宋体"/>
          <w:sz w:val="21"/>
          <w:szCs w:val="21"/>
        </w:rPr>
      </w:pPr>
    </w:p>
    <w:p w14:paraId="31B20787">
      <w:pPr>
        <w:pStyle w:val="2"/>
        <w:jc w:val="center"/>
        <w:rPr>
          <w:rFonts w:hint="eastAsia" w:hAnsi="宋体" w:cs="宋体"/>
          <w:sz w:val="21"/>
          <w:szCs w:val="21"/>
        </w:rPr>
      </w:pPr>
    </w:p>
    <w:p w14:paraId="513E3F49">
      <w:pPr>
        <w:pStyle w:val="2"/>
        <w:jc w:val="center"/>
        <w:rPr>
          <w:rFonts w:hint="eastAsia" w:hAnsi="宋体" w:cs="宋体"/>
          <w:sz w:val="52"/>
          <w:szCs w:val="52"/>
        </w:rPr>
      </w:pPr>
    </w:p>
    <w:p w14:paraId="78158A91">
      <w:pPr>
        <w:rPr>
          <w:rFonts w:hint="eastAsia"/>
        </w:rPr>
      </w:pPr>
    </w:p>
    <w:p w14:paraId="652D46B4">
      <w:pPr>
        <w:pStyle w:val="2"/>
        <w:jc w:val="center"/>
        <w:rPr>
          <w:rFonts w:hAnsi="宋体" w:cs="宋体"/>
          <w:sz w:val="52"/>
          <w:szCs w:val="52"/>
        </w:rPr>
      </w:pPr>
      <w:r>
        <w:rPr>
          <w:rFonts w:hint="eastAsia" w:hAnsi="宋体" w:cs="宋体"/>
          <w:sz w:val="52"/>
          <w:szCs w:val="52"/>
        </w:rPr>
        <w:t>建设工程项目施工合同</w:t>
      </w:r>
      <w:bookmarkEnd w:id="459"/>
      <w:bookmarkEnd w:id="460"/>
      <w:bookmarkEnd w:id="461"/>
    </w:p>
    <w:p w14:paraId="3B1E3CB3">
      <w:pPr>
        <w:jc w:val="center"/>
        <w:rPr>
          <w:rFonts w:ascii="宋体" w:hAnsi="宋体" w:cs="宋体"/>
          <w:b/>
          <w:sz w:val="21"/>
          <w:szCs w:val="21"/>
        </w:rPr>
      </w:pPr>
    </w:p>
    <w:p w14:paraId="49C10ED5">
      <w:pPr>
        <w:jc w:val="center"/>
        <w:rPr>
          <w:rFonts w:ascii="宋体" w:hAnsi="宋体" w:cs="宋体"/>
          <w:b/>
          <w:sz w:val="21"/>
          <w:szCs w:val="21"/>
        </w:rPr>
      </w:pPr>
    </w:p>
    <w:p w14:paraId="5C04C418">
      <w:pPr>
        <w:jc w:val="center"/>
        <w:rPr>
          <w:rFonts w:ascii="宋体" w:hAnsi="宋体" w:cs="宋体"/>
          <w:b/>
          <w:sz w:val="21"/>
          <w:szCs w:val="21"/>
        </w:rPr>
      </w:pPr>
    </w:p>
    <w:p w14:paraId="547580F9">
      <w:pPr>
        <w:jc w:val="center"/>
        <w:rPr>
          <w:rFonts w:ascii="宋体" w:hAnsi="宋体" w:cs="宋体"/>
          <w:b/>
          <w:sz w:val="21"/>
          <w:szCs w:val="21"/>
        </w:rPr>
      </w:pPr>
    </w:p>
    <w:p w14:paraId="3E1B2E8D">
      <w:pPr>
        <w:rPr>
          <w:rFonts w:ascii="宋体" w:hAnsi="宋体" w:cs="宋体"/>
          <w:b/>
          <w:sz w:val="21"/>
          <w:szCs w:val="21"/>
        </w:rPr>
      </w:pPr>
    </w:p>
    <w:p w14:paraId="28B293CC">
      <w:pPr>
        <w:pStyle w:val="23"/>
        <w:rPr>
          <w:rFonts w:ascii="宋体" w:hAnsi="宋体"/>
          <w:b/>
          <w:sz w:val="21"/>
          <w:szCs w:val="21"/>
        </w:rPr>
      </w:pPr>
    </w:p>
    <w:p w14:paraId="2315399B">
      <w:pPr>
        <w:rPr>
          <w:rFonts w:ascii="宋体" w:hAnsi="宋体" w:cs="宋体"/>
          <w:sz w:val="21"/>
          <w:szCs w:val="21"/>
        </w:rPr>
      </w:pPr>
    </w:p>
    <w:p w14:paraId="3965D07A">
      <w:pPr>
        <w:pStyle w:val="63"/>
        <w:ind w:firstLine="210"/>
        <w:rPr>
          <w:sz w:val="21"/>
          <w:szCs w:val="21"/>
        </w:rPr>
      </w:pPr>
    </w:p>
    <w:p w14:paraId="16FFF937">
      <w:pPr>
        <w:rPr>
          <w:rFonts w:ascii="宋体" w:hAnsi="宋体" w:cs="宋体"/>
          <w:sz w:val="21"/>
          <w:szCs w:val="21"/>
        </w:rPr>
      </w:pPr>
    </w:p>
    <w:p w14:paraId="53E3C02C">
      <w:pPr>
        <w:pStyle w:val="63"/>
        <w:ind w:firstLine="210"/>
        <w:rPr>
          <w:sz w:val="21"/>
          <w:szCs w:val="21"/>
        </w:rPr>
      </w:pPr>
    </w:p>
    <w:p w14:paraId="03D3EEE9">
      <w:pPr>
        <w:rPr>
          <w:rFonts w:ascii="宋体" w:hAnsi="宋体" w:cs="宋体"/>
          <w:sz w:val="21"/>
          <w:szCs w:val="21"/>
        </w:rPr>
      </w:pPr>
    </w:p>
    <w:p w14:paraId="6CB50F13">
      <w:pPr>
        <w:pStyle w:val="63"/>
        <w:ind w:firstLine="210"/>
        <w:rPr>
          <w:sz w:val="21"/>
          <w:szCs w:val="21"/>
        </w:rPr>
      </w:pPr>
    </w:p>
    <w:p w14:paraId="5BDE6550">
      <w:pPr>
        <w:jc w:val="center"/>
        <w:rPr>
          <w:rFonts w:ascii="宋体" w:hAnsi="宋体" w:cs="宋体"/>
          <w:b/>
          <w:sz w:val="21"/>
          <w:szCs w:val="21"/>
        </w:rPr>
      </w:pPr>
    </w:p>
    <w:p w14:paraId="31D768D5">
      <w:pPr>
        <w:jc w:val="center"/>
        <w:rPr>
          <w:rFonts w:ascii="宋体" w:hAnsi="宋体" w:cs="宋体"/>
          <w:b/>
          <w:sz w:val="21"/>
          <w:szCs w:val="21"/>
        </w:rPr>
      </w:pPr>
    </w:p>
    <w:p w14:paraId="2D49B276">
      <w:pPr>
        <w:pStyle w:val="63"/>
        <w:ind w:firstLine="211"/>
        <w:rPr>
          <w:b/>
          <w:sz w:val="21"/>
          <w:szCs w:val="21"/>
        </w:rPr>
      </w:pPr>
    </w:p>
    <w:p w14:paraId="0D29AC9C">
      <w:pPr>
        <w:rPr>
          <w:rFonts w:ascii="宋体" w:hAnsi="宋体" w:cs="宋体"/>
          <w:b/>
          <w:sz w:val="21"/>
          <w:szCs w:val="21"/>
        </w:rPr>
      </w:pPr>
    </w:p>
    <w:p w14:paraId="1EE920DA">
      <w:pPr>
        <w:pStyle w:val="63"/>
        <w:ind w:left="0" w:leftChars="0" w:firstLine="0" w:firstLineChars="0"/>
        <w:rPr>
          <w:sz w:val="21"/>
          <w:szCs w:val="21"/>
        </w:rPr>
      </w:pPr>
    </w:p>
    <w:p w14:paraId="7452B30D">
      <w:pPr>
        <w:spacing w:line="320" w:lineRule="atLeast"/>
        <w:textAlignment w:val="center"/>
        <w:rPr>
          <w:rFonts w:ascii="宋体" w:hAnsi="宋体" w:cs="宋体"/>
          <w:spacing w:val="-20"/>
          <w:kern w:val="10"/>
          <w:sz w:val="21"/>
          <w:szCs w:val="21"/>
        </w:rPr>
      </w:pPr>
    </w:p>
    <w:p w14:paraId="00CACEB3">
      <w:pPr>
        <w:spacing w:line="320" w:lineRule="atLeast"/>
        <w:textAlignment w:val="center"/>
        <w:rPr>
          <w:rFonts w:ascii="宋体" w:hAnsi="宋体" w:cs="宋体"/>
          <w:spacing w:val="-20"/>
          <w:kern w:val="10"/>
          <w:sz w:val="21"/>
          <w:szCs w:val="21"/>
        </w:rPr>
      </w:pPr>
    </w:p>
    <w:p w14:paraId="1D5AADEC">
      <w:pPr>
        <w:spacing w:line="320" w:lineRule="atLeast"/>
        <w:textAlignment w:val="center"/>
        <w:rPr>
          <w:rFonts w:ascii="宋体" w:hAnsi="宋体" w:cs="宋体"/>
          <w:spacing w:val="-20"/>
          <w:kern w:val="10"/>
          <w:sz w:val="21"/>
          <w:szCs w:val="21"/>
        </w:rPr>
      </w:pPr>
    </w:p>
    <w:p w14:paraId="2A426754">
      <w:pPr>
        <w:spacing w:line="320" w:lineRule="atLeast"/>
        <w:textAlignment w:val="center"/>
        <w:rPr>
          <w:rFonts w:ascii="宋体" w:hAnsi="宋体" w:cs="宋体"/>
          <w:b/>
          <w:spacing w:val="-20"/>
          <w:kern w:val="10"/>
          <w:sz w:val="21"/>
          <w:szCs w:val="21"/>
        </w:rPr>
      </w:pPr>
      <w:r>
        <w:rPr>
          <w:rFonts w:hint="eastAsia" w:ascii="宋体" w:hAnsi="宋体" w:cs="宋体"/>
          <w:b/>
          <w:spacing w:val="-20"/>
          <w:kern w:val="10"/>
          <w:sz w:val="21"/>
          <w:szCs w:val="21"/>
        </w:rPr>
        <w:t xml:space="preserve">                         中华人民共和国建设部　　</w:t>
      </w:r>
    </w:p>
    <w:p w14:paraId="70DA7CF2">
      <w:pPr>
        <w:spacing w:line="320" w:lineRule="atLeast"/>
        <w:jc w:val="center"/>
        <w:textAlignment w:val="center"/>
        <w:rPr>
          <w:rFonts w:ascii="宋体" w:hAnsi="宋体" w:cs="宋体"/>
          <w:b/>
          <w:spacing w:val="-20"/>
          <w:kern w:val="10"/>
          <w:sz w:val="21"/>
          <w:szCs w:val="21"/>
        </w:rPr>
      </w:pPr>
      <w:r>
        <w:rPr>
          <w:rFonts w:hint="eastAsia" w:ascii="宋体" w:hAnsi="宋体" w:cs="宋体"/>
          <w:b/>
          <w:spacing w:val="-20"/>
          <w:kern w:val="10"/>
          <w:sz w:val="21"/>
          <w:szCs w:val="21"/>
        </w:rPr>
        <w:t xml:space="preserve">                                    制定</w:t>
      </w:r>
    </w:p>
    <w:p w14:paraId="57E62FAE">
      <w:pPr>
        <w:spacing w:line="320" w:lineRule="atLeast"/>
        <w:textAlignment w:val="center"/>
        <w:rPr>
          <w:rFonts w:ascii="宋体" w:hAnsi="宋体" w:cs="宋体"/>
          <w:b/>
          <w:spacing w:val="-20"/>
          <w:kern w:val="10"/>
          <w:sz w:val="21"/>
          <w:szCs w:val="21"/>
        </w:rPr>
      </w:pPr>
      <w:r>
        <w:rPr>
          <w:rFonts w:hint="eastAsia" w:ascii="宋体" w:hAnsi="宋体" w:cs="宋体"/>
          <w:b/>
          <w:spacing w:val="-20"/>
          <w:kern w:val="10"/>
          <w:sz w:val="21"/>
          <w:szCs w:val="21"/>
        </w:rPr>
        <w:t xml:space="preserve">                         国家工商行政管理总局 </w:t>
      </w:r>
    </w:p>
    <w:p w14:paraId="4D019B0D">
      <w:pPr>
        <w:keepNext/>
        <w:keepLines/>
        <w:spacing w:before="260" w:after="260" w:line="415" w:lineRule="auto"/>
        <w:jc w:val="center"/>
        <w:outlineLvl w:val="2"/>
        <w:rPr>
          <w:rFonts w:ascii="宋体" w:hAnsi="宋体" w:eastAsia="宋体" w:cs="Times New Roman"/>
          <w:bCs/>
          <w:sz w:val="21"/>
          <w:szCs w:val="21"/>
        </w:rPr>
      </w:pPr>
      <w:r>
        <w:rPr>
          <w:rFonts w:hint="eastAsia" w:ascii="宋体" w:hAnsi="宋体" w:eastAsia="宋体" w:cs="Times New Roman"/>
          <w:b/>
          <w:bCs/>
          <w:sz w:val="21"/>
          <w:szCs w:val="21"/>
        </w:rPr>
        <w:t>第一部分 合同协议书</w:t>
      </w:r>
      <w:bookmarkEnd w:id="458"/>
    </w:p>
    <w:p w14:paraId="5796429D">
      <w:pPr>
        <w:autoSpaceDE w:val="0"/>
        <w:snapToGrid w:val="0"/>
        <w:spacing w:line="360" w:lineRule="auto"/>
        <w:rPr>
          <w:rFonts w:ascii="宋体" w:hAnsi="宋体" w:eastAsia="宋体" w:cs="Times New Roman"/>
          <w:b/>
          <w:sz w:val="21"/>
          <w:szCs w:val="21"/>
          <w:u w:val="single"/>
        </w:rPr>
      </w:pPr>
      <w:r>
        <w:rPr>
          <w:rFonts w:hint="eastAsia" w:ascii="宋体" w:hAnsi="宋体" w:eastAsia="宋体" w:cs="Times New Roman"/>
          <w:b/>
          <w:sz w:val="21"/>
          <w:szCs w:val="21"/>
        </w:rPr>
        <w:t>发包人（全称）：</w:t>
      </w:r>
      <w:r>
        <w:rPr>
          <w:rFonts w:hint="eastAsia" w:ascii="宋体" w:hAnsi="宋体" w:eastAsia="宋体" w:cs="Times New Roman"/>
          <w:sz w:val="21"/>
          <w:szCs w:val="21"/>
          <w:u w:val="single"/>
        </w:rPr>
        <w:t xml:space="preserve">                             </w:t>
      </w:r>
    </w:p>
    <w:p w14:paraId="50DD28EE">
      <w:pPr>
        <w:autoSpaceDE w:val="0"/>
        <w:snapToGrid w:val="0"/>
        <w:spacing w:line="360" w:lineRule="auto"/>
        <w:rPr>
          <w:rFonts w:ascii="宋体" w:hAnsi="宋体" w:eastAsia="宋体" w:cs="Times New Roman"/>
          <w:b/>
          <w:sz w:val="21"/>
          <w:szCs w:val="21"/>
          <w:u w:val="single"/>
        </w:rPr>
      </w:pPr>
      <w:r>
        <w:rPr>
          <w:rFonts w:hint="eastAsia" w:ascii="宋体" w:hAnsi="宋体" w:eastAsia="宋体" w:cs="Times New Roman"/>
          <w:b/>
          <w:sz w:val="21"/>
          <w:szCs w:val="21"/>
        </w:rPr>
        <w:t>承包人（全称）：</w:t>
      </w:r>
      <w:r>
        <w:rPr>
          <w:rFonts w:hint="eastAsia" w:ascii="宋体" w:hAnsi="宋体" w:eastAsia="宋体" w:cs="Times New Roman"/>
          <w:sz w:val="21"/>
          <w:szCs w:val="21"/>
          <w:u w:val="single"/>
        </w:rPr>
        <w:t xml:space="preserve">                                 </w:t>
      </w:r>
    </w:p>
    <w:p w14:paraId="4250DF54">
      <w:pPr>
        <w:autoSpaceDE w:val="0"/>
        <w:spacing w:line="360" w:lineRule="auto"/>
        <w:rPr>
          <w:rFonts w:ascii="宋体" w:hAnsi="宋体" w:eastAsia="宋体" w:cs="Times New Roman"/>
          <w:b/>
          <w:sz w:val="21"/>
          <w:szCs w:val="21"/>
          <w:u w:val="single"/>
        </w:rPr>
      </w:pPr>
      <w:r>
        <w:rPr>
          <w:rFonts w:hint="eastAsia" w:ascii="宋体" w:hAnsi="宋体" w:eastAsia="宋体" w:cs="Times New Roman"/>
          <w:sz w:val="21"/>
          <w:szCs w:val="21"/>
        </w:rPr>
        <w:t>根据《中华人民共和国民法典》、《中华人民共和国建筑法》及有关法律、法规规定，遵循平等、自愿、公平和诚实信用的原则，双方就</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工程施工及有关事项协商一致，共同达成如下协议：</w:t>
      </w:r>
    </w:p>
    <w:p w14:paraId="01E19193">
      <w:pPr>
        <w:keepNext/>
        <w:keepLines/>
        <w:autoSpaceDE w:val="0"/>
        <w:spacing w:line="360" w:lineRule="auto"/>
        <w:outlineLvl w:val="3"/>
        <w:rPr>
          <w:rFonts w:ascii="宋体" w:hAnsi="宋体" w:eastAsia="宋体" w:cs="宋体"/>
          <w:b/>
          <w:bCs/>
          <w:sz w:val="21"/>
          <w:szCs w:val="21"/>
        </w:rPr>
      </w:pPr>
      <w:bookmarkStart w:id="462" w:name="_Toc532375573"/>
      <w:bookmarkEnd w:id="462"/>
      <w:bookmarkStart w:id="463" w:name="_Toc532377166"/>
      <w:bookmarkEnd w:id="463"/>
      <w:bookmarkStart w:id="464" w:name="_Toc351203481"/>
      <w:r>
        <w:rPr>
          <w:rFonts w:hint="eastAsia" w:ascii="宋体" w:hAnsi="宋体" w:eastAsia="宋体" w:cs="宋体"/>
          <w:b/>
          <w:bCs/>
          <w:sz w:val="21"/>
          <w:szCs w:val="21"/>
        </w:rPr>
        <w:t>一、工程概况</w:t>
      </w:r>
      <w:bookmarkEnd w:id="464"/>
    </w:p>
    <w:p w14:paraId="65B1967E">
      <w:pPr>
        <w:autoSpaceDE w:val="0"/>
        <w:snapToGrid w:val="0"/>
        <w:spacing w:line="360" w:lineRule="auto"/>
        <w:rPr>
          <w:rFonts w:ascii="宋体" w:hAnsi="宋体" w:eastAsia="宋体" w:cs="Times New Roman"/>
          <w:sz w:val="21"/>
          <w:szCs w:val="21"/>
          <w:u w:val="single"/>
        </w:rPr>
      </w:pPr>
      <w:r>
        <w:rPr>
          <w:rFonts w:hint="eastAsia" w:ascii="宋体" w:hAnsi="宋体" w:eastAsia="宋体" w:cs="Times New Roman"/>
          <w:bCs/>
          <w:sz w:val="21"/>
          <w:szCs w:val="21"/>
        </w:rPr>
        <w:t>1.工程名称</w:t>
      </w:r>
      <w:r>
        <w:rPr>
          <w:rFonts w:hint="eastAsia" w:ascii="宋体" w:hAnsi="宋体" w:eastAsia="宋体" w:cs="Times New Roman"/>
          <w:sz w:val="21"/>
          <w:szCs w:val="21"/>
        </w:rPr>
        <w:t>：</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416F00B9">
      <w:pPr>
        <w:autoSpaceDE w:val="0"/>
        <w:snapToGrid w:val="0"/>
        <w:spacing w:line="360" w:lineRule="auto"/>
        <w:rPr>
          <w:rFonts w:ascii="宋体" w:hAnsi="宋体" w:eastAsia="宋体" w:cs="Times New Roman"/>
          <w:bCs/>
          <w:sz w:val="21"/>
          <w:szCs w:val="21"/>
        </w:rPr>
      </w:pPr>
      <w:r>
        <w:rPr>
          <w:rFonts w:hint="eastAsia" w:ascii="宋体" w:hAnsi="宋体" w:eastAsia="宋体" w:cs="Times New Roman"/>
          <w:bCs/>
          <w:sz w:val="21"/>
          <w:szCs w:val="21"/>
        </w:rPr>
        <w:t>2.工程地点：</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06B55509">
      <w:pPr>
        <w:autoSpaceDE w:val="0"/>
        <w:snapToGrid w:val="0"/>
        <w:spacing w:line="360" w:lineRule="auto"/>
        <w:rPr>
          <w:rFonts w:ascii="宋体" w:hAnsi="宋体" w:eastAsia="宋体" w:cs="Times New Roman"/>
          <w:bCs/>
          <w:sz w:val="21"/>
          <w:szCs w:val="21"/>
        </w:rPr>
      </w:pPr>
      <w:r>
        <w:rPr>
          <w:rFonts w:hint="eastAsia" w:ascii="宋体" w:hAnsi="宋体" w:eastAsia="宋体" w:cs="Times New Roman"/>
          <w:bCs/>
          <w:sz w:val="21"/>
          <w:szCs w:val="21"/>
        </w:rPr>
        <w:t>3.工程立项批准文号：</w:t>
      </w:r>
      <w:r>
        <w:rPr>
          <w:rFonts w:hint="eastAsia" w:ascii="宋体" w:hAnsi="宋体" w:eastAsia="宋体" w:cs="Times New Roman"/>
          <w:sz w:val="21"/>
          <w:szCs w:val="21"/>
          <w:u w:val="single"/>
        </w:rPr>
        <w:t xml:space="preserve">                        </w:t>
      </w:r>
      <w:r>
        <w:rPr>
          <w:rFonts w:hint="eastAsia" w:ascii="宋体" w:hAnsi="宋体" w:eastAsia="宋体" w:cs="Times New Roman"/>
          <w:bCs/>
          <w:sz w:val="21"/>
          <w:szCs w:val="21"/>
        </w:rPr>
        <w:t>。</w:t>
      </w:r>
    </w:p>
    <w:p w14:paraId="3FC96D25">
      <w:pPr>
        <w:autoSpaceDE w:val="0"/>
        <w:snapToGrid w:val="0"/>
        <w:spacing w:line="360" w:lineRule="auto"/>
        <w:rPr>
          <w:rFonts w:ascii="宋体" w:hAnsi="宋体" w:eastAsia="宋体" w:cs="Times New Roman"/>
          <w:bCs/>
          <w:sz w:val="21"/>
          <w:szCs w:val="21"/>
        </w:rPr>
      </w:pPr>
      <w:r>
        <w:rPr>
          <w:rFonts w:hint="eastAsia" w:ascii="宋体" w:hAnsi="宋体" w:eastAsia="宋体" w:cs="Times New Roman"/>
          <w:bCs/>
          <w:sz w:val="21"/>
          <w:szCs w:val="21"/>
        </w:rPr>
        <w:t>4.资金来源：</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1B73DDC7">
      <w:pPr>
        <w:autoSpaceDE w:val="0"/>
        <w:snapToGrid w:val="0"/>
        <w:spacing w:line="360" w:lineRule="auto"/>
        <w:rPr>
          <w:rFonts w:ascii="宋体" w:hAnsi="宋体" w:eastAsia="宋体" w:cs="Times New Roman"/>
          <w:sz w:val="21"/>
          <w:szCs w:val="21"/>
        </w:rPr>
      </w:pPr>
      <w:r>
        <w:rPr>
          <w:rFonts w:hint="eastAsia" w:ascii="宋体" w:hAnsi="宋体" w:eastAsia="宋体" w:cs="Times New Roman"/>
          <w:bCs/>
          <w:sz w:val="21"/>
          <w:szCs w:val="21"/>
        </w:rPr>
        <w:t>5.工程内容：</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BD4F05E">
      <w:pPr>
        <w:autoSpaceDE w:val="0"/>
        <w:snapToGrid w:val="0"/>
        <w:spacing w:line="360" w:lineRule="auto"/>
        <w:rPr>
          <w:rFonts w:ascii="宋体" w:hAnsi="宋体" w:eastAsia="宋体" w:cs="Times New Roman"/>
          <w:bCs/>
          <w:sz w:val="21"/>
          <w:szCs w:val="21"/>
        </w:rPr>
      </w:pPr>
      <w:r>
        <w:rPr>
          <w:rFonts w:hint="eastAsia" w:ascii="宋体" w:hAnsi="宋体" w:eastAsia="宋体" w:cs="Times New Roman"/>
          <w:sz w:val="21"/>
          <w:szCs w:val="21"/>
        </w:rPr>
        <w:t>群体工程应附《承包人承揽工程项目一览表》（附件1）。</w:t>
      </w:r>
    </w:p>
    <w:p w14:paraId="25D7D5D6">
      <w:pPr>
        <w:autoSpaceDE w:val="0"/>
        <w:snapToGrid w:val="0"/>
        <w:spacing w:line="360" w:lineRule="auto"/>
        <w:jc w:val="left"/>
        <w:rPr>
          <w:rFonts w:ascii="宋体" w:hAnsi="宋体" w:eastAsia="宋体" w:cs="Times New Roman"/>
          <w:bCs/>
          <w:sz w:val="21"/>
          <w:szCs w:val="21"/>
        </w:rPr>
      </w:pPr>
      <w:r>
        <w:rPr>
          <w:rFonts w:hint="eastAsia" w:ascii="宋体" w:hAnsi="宋体" w:eastAsia="宋体" w:cs="Times New Roman"/>
          <w:bCs/>
          <w:sz w:val="21"/>
          <w:szCs w:val="21"/>
        </w:rPr>
        <w:t>6.工程承包范围：</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A07CE5D">
      <w:pPr>
        <w:keepNext/>
        <w:keepLines/>
        <w:autoSpaceDE w:val="0"/>
        <w:spacing w:line="360" w:lineRule="auto"/>
        <w:outlineLvl w:val="3"/>
        <w:rPr>
          <w:rFonts w:ascii="宋体" w:hAnsi="宋体" w:eastAsia="宋体" w:cs="宋体"/>
          <w:b/>
          <w:bCs/>
          <w:sz w:val="21"/>
          <w:szCs w:val="21"/>
        </w:rPr>
      </w:pPr>
      <w:bookmarkStart w:id="465" w:name="_Toc351203482"/>
      <w:bookmarkEnd w:id="465"/>
      <w:bookmarkStart w:id="466" w:name="_Toc532377167"/>
      <w:bookmarkEnd w:id="466"/>
      <w:bookmarkStart w:id="467" w:name="_Toc532375574"/>
      <w:r>
        <w:rPr>
          <w:rFonts w:hint="eastAsia" w:ascii="宋体" w:hAnsi="宋体" w:eastAsia="宋体" w:cs="宋体"/>
          <w:b/>
          <w:bCs/>
          <w:sz w:val="21"/>
          <w:szCs w:val="21"/>
        </w:rPr>
        <w:t>二、合同工期</w:t>
      </w:r>
      <w:bookmarkEnd w:id="467"/>
    </w:p>
    <w:p w14:paraId="5D695A29">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计划开工日期：</w:t>
      </w:r>
      <w:r>
        <w:rPr>
          <w:rFonts w:hint="eastAsia" w:ascii="宋体" w:hAnsi="宋体" w:eastAsia="宋体" w:cs="Times New Roman"/>
          <w:bCs/>
          <w:sz w:val="21"/>
          <w:szCs w:val="21"/>
          <w:u w:val="single"/>
        </w:rPr>
        <w:t></w:t>
      </w:r>
      <w:r>
        <w:rPr>
          <w:rFonts w:hint="eastAsia" w:ascii="宋体" w:hAnsi="宋体" w:eastAsia="宋体" w:cs="Times New Roman"/>
          <w:bCs/>
          <w:sz w:val="21"/>
          <w:szCs w:val="21"/>
        </w:rPr>
        <w:t>年</w:t>
      </w:r>
      <w:r>
        <w:rPr>
          <w:rFonts w:hint="eastAsia" w:ascii="宋体" w:hAnsi="宋体" w:eastAsia="宋体" w:cs="Times New Roman"/>
          <w:bCs/>
          <w:sz w:val="21"/>
          <w:szCs w:val="21"/>
          <w:u w:val="single"/>
        </w:rPr>
        <w:t></w:t>
      </w:r>
      <w:r>
        <w:rPr>
          <w:rFonts w:hint="eastAsia" w:ascii="宋体" w:hAnsi="宋体" w:eastAsia="宋体" w:cs="Times New Roman"/>
          <w:bCs/>
          <w:sz w:val="21"/>
          <w:szCs w:val="21"/>
        </w:rPr>
        <w:t>月</w:t>
      </w:r>
      <w:r>
        <w:rPr>
          <w:rFonts w:hint="eastAsia" w:ascii="宋体" w:hAnsi="宋体" w:eastAsia="宋体" w:cs="Times New Roman"/>
          <w:bCs/>
          <w:sz w:val="21"/>
          <w:szCs w:val="21"/>
          <w:u w:val="single"/>
        </w:rPr>
        <w:t></w:t>
      </w:r>
      <w:r>
        <w:rPr>
          <w:rFonts w:hint="eastAsia" w:ascii="宋体" w:hAnsi="宋体" w:eastAsia="宋体" w:cs="Times New Roman"/>
          <w:bCs/>
          <w:sz w:val="21"/>
          <w:szCs w:val="21"/>
        </w:rPr>
        <w:t>日。</w:t>
      </w:r>
    </w:p>
    <w:p w14:paraId="069F6FD3">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计划竣工日期：</w:t>
      </w:r>
      <w:r>
        <w:rPr>
          <w:rFonts w:hint="eastAsia" w:ascii="宋体" w:hAnsi="宋体" w:eastAsia="宋体" w:cs="Times New Roman"/>
          <w:bCs/>
          <w:sz w:val="21"/>
          <w:szCs w:val="21"/>
          <w:u w:val="single"/>
        </w:rPr>
        <w:t></w:t>
      </w:r>
      <w:r>
        <w:rPr>
          <w:rFonts w:hint="eastAsia" w:ascii="宋体" w:hAnsi="宋体" w:eastAsia="宋体" w:cs="Times New Roman"/>
          <w:bCs/>
          <w:sz w:val="21"/>
          <w:szCs w:val="21"/>
        </w:rPr>
        <w:t>年</w:t>
      </w:r>
      <w:r>
        <w:rPr>
          <w:rFonts w:hint="eastAsia" w:ascii="宋体" w:hAnsi="宋体" w:eastAsia="宋体" w:cs="Times New Roman"/>
          <w:bCs/>
          <w:sz w:val="21"/>
          <w:szCs w:val="21"/>
          <w:u w:val="single"/>
        </w:rPr>
        <w:t></w:t>
      </w:r>
      <w:r>
        <w:rPr>
          <w:rFonts w:hint="eastAsia" w:ascii="宋体" w:hAnsi="宋体" w:eastAsia="宋体" w:cs="Times New Roman"/>
          <w:bCs/>
          <w:sz w:val="21"/>
          <w:szCs w:val="21"/>
        </w:rPr>
        <w:t>月</w:t>
      </w:r>
      <w:r>
        <w:rPr>
          <w:rFonts w:hint="eastAsia" w:ascii="宋体" w:hAnsi="宋体" w:eastAsia="宋体" w:cs="Times New Roman"/>
          <w:bCs/>
          <w:sz w:val="21"/>
          <w:szCs w:val="21"/>
          <w:u w:val="single"/>
        </w:rPr>
        <w:t></w:t>
      </w:r>
      <w:r>
        <w:rPr>
          <w:rFonts w:hint="eastAsia" w:ascii="宋体" w:hAnsi="宋体" w:eastAsia="宋体" w:cs="Times New Roman"/>
          <w:bCs/>
          <w:sz w:val="21"/>
          <w:szCs w:val="21"/>
        </w:rPr>
        <w:t>日。</w:t>
      </w:r>
    </w:p>
    <w:p w14:paraId="3CF8CBA9">
      <w:pPr>
        <w:autoSpaceDE w:val="0"/>
        <w:spacing w:line="360" w:lineRule="auto"/>
        <w:rPr>
          <w:rFonts w:ascii="宋体" w:hAnsi="宋体" w:eastAsia="宋体" w:cs="Times New Roman"/>
          <w:sz w:val="21"/>
          <w:szCs w:val="21"/>
        </w:rPr>
      </w:pPr>
      <w:r>
        <w:rPr>
          <w:rFonts w:hint="eastAsia" w:ascii="宋体" w:hAnsi="宋体" w:eastAsia="宋体" w:cs="Times New Roman"/>
          <w:bCs/>
          <w:sz w:val="21"/>
          <w:szCs w:val="21"/>
        </w:rPr>
        <w:t>工期总日历天数</w:t>
      </w:r>
      <w:r>
        <w:rPr>
          <w:rFonts w:hint="eastAsia" w:ascii="宋体" w:hAnsi="宋体" w:eastAsia="宋体" w:cs="Times New Roman"/>
          <w:bCs/>
          <w:sz w:val="21"/>
          <w:szCs w:val="21"/>
          <w:u w:val="single"/>
        </w:rPr>
        <w:t></w:t>
      </w:r>
      <w:r>
        <w:rPr>
          <w:rFonts w:hint="eastAsia" w:ascii="宋体" w:hAnsi="宋体" w:eastAsia="宋体" w:cs="Times New Roman"/>
          <w:bCs/>
          <w:sz w:val="21"/>
          <w:szCs w:val="21"/>
        </w:rPr>
        <w:t>天。工期总日历天数与根据前述计划开竣工日期计算的工期天数不一</w:t>
      </w:r>
      <w:r>
        <w:rPr>
          <w:rFonts w:hint="eastAsia" w:ascii="宋体" w:hAnsi="宋体" w:eastAsia="宋体" w:cs="Times New Roman"/>
          <w:sz w:val="21"/>
          <w:szCs w:val="21"/>
        </w:rPr>
        <w:t>致的，以工期总日历天数为准。</w:t>
      </w:r>
    </w:p>
    <w:p w14:paraId="710B0701">
      <w:pPr>
        <w:keepNext/>
        <w:keepLines/>
        <w:autoSpaceDE w:val="0"/>
        <w:spacing w:line="360" w:lineRule="auto"/>
        <w:outlineLvl w:val="3"/>
        <w:rPr>
          <w:rFonts w:ascii="宋体" w:hAnsi="宋体" w:eastAsia="宋体" w:cs="宋体"/>
          <w:b/>
          <w:bCs/>
          <w:sz w:val="21"/>
          <w:szCs w:val="21"/>
        </w:rPr>
      </w:pPr>
      <w:bookmarkStart w:id="468" w:name="_Toc532377168"/>
      <w:bookmarkEnd w:id="468"/>
      <w:bookmarkStart w:id="469" w:name="_Toc532375575"/>
      <w:bookmarkEnd w:id="469"/>
      <w:bookmarkStart w:id="470" w:name="_Toc351203483"/>
      <w:r>
        <w:rPr>
          <w:rFonts w:hint="eastAsia" w:ascii="宋体" w:hAnsi="宋体" w:eastAsia="宋体" w:cs="宋体"/>
          <w:b/>
          <w:bCs/>
          <w:sz w:val="21"/>
          <w:szCs w:val="21"/>
        </w:rPr>
        <w:t>三、质量标准</w:t>
      </w:r>
      <w:bookmarkEnd w:id="470"/>
    </w:p>
    <w:p w14:paraId="6BFB9A6C">
      <w:pPr>
        <w:autoSpaceDE w:val="0"/>
        <w:snapToGrid w:val="0"/>
        <w:spacing w:line="360" w:lineRule="auto"/>
        <w:rPr>
          <w:rFonts w:ascii="宋体" w:hAnsi="宋体" w:eastAsia="宋体" w:cs="Times New Roman"/>
          <w:sz w:val="21"/>
          <w:szCs w:val="21"/>
        </w:rPr>
      </w:pPr>
      <w:r>
        <w:rPr>
          <w:rFonts w:hint="eastAsia" w:ascii="宋体" w:hAnsi="宋体" w:eastAsia="宋体" w:cs="Times New Roman"/>
          <w:sz w:val="21"/>
          <w:szCs w:val="21"/>
        </w:rPr>
        <w:t>工程质量符合</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标准。</w:t>
      </w:r>
    </w:p>
    <w:p w14:paraId="60420641">
      <w:pPr>
        <w:keepNext/>
        <w:keepLines/>
        <w:autoSpaceDE w:val="0"/>
        <w:spacing w:line="360" w:lineRule="auto"/>
        <w:outlineLvl w:val="3"/>
        <w:rPr>
          <w:rFonts w:ascii="宋体" w:hAnsi="宋体" w:eastAsia="宋体" w:cs="宋体"/>
          <w:b/>
          <w:bCs/>
          <w:sz w:val="21"/>
          <w:szCs w:val="21"/>
        </w:rPr>
      </w:pPr>
      <w:bookmarkStart w:id="471" w:name="_Toc532377169"/>
      <w:bookmarkEnd w:id="471"/>
      <w:bookmarkStart w:id="472" w:name="_Toc351203484"/>
      <w:bookmarkEnd w:id="472"/>
      <w:bookmarkStart w:id="473" w:name="_Toc532375576"/>
      <w:r>
        <w:rPr>
          <w:rFonts w:hint="eastAsia" w:ascii="宋体" w:hAnsi="宋体" w:eastAsia="宋体" w:cs="宋体"/>
          <w:b/>
          <w:bCs/>
          <w:sz w:val="21"/>
          <w:szCs w:val="21"/>
        </w:rPr>
        <w:t>四、签约合同价与合同价格形式</w:t>
      </w:r>
      <w:bookmarkEnd w:id="473"/>
      <w:r>
        <w:rPr>
          <w:rFonts w:hint="eastAsia" w:ascii="宋体" w:hAnsi="宋体" w:eastAsia="宋体" w:cs="宋体"/>
          <w:b/>
          <w:bCs/>
          <w:sz w:val="21"/>
          <w:szCs w:val="21"/>
        </w:rPr>
        <w:tab/>
      </w:r>
    </w:p>
    <w:p w14:paraId="5B3EF5E9">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1.签约合同价为：</w:t>
      </w:r>
    </w:p>
    <w:p w14:paraId="69829AD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人民币（大写）</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元）；</w:t>
      </w:r>
    </w:p>
    <w:p w14:paraId="7E7ECA32">
      <w:pPr>
        <w:autoSpaceDE w:val="0"/>
        <w:snapToGrid w:val="0"/>
        <w:spacing w:line="360" w:lineRule="auto"/>
        <w:rPr>
          <w:rFonts w:ascii="宋体" w:hAnsi="宋体" w:eastAsia="宋体" w:cs="Times New Roman"/>
          <w:sz w:val="21"/>
          <w:szCs w:val="21"/>
        </w:rPr>
      </w:pPr>
      <w:r>
        <w:rPr>
          <w:rFonts w:hint="eastAsia" w:ascii="宋体" w:hAnsi="宋体" w:eastAsia="宋体" w:cs="Times New Roman"/>
          <w:sz w:val="21"/>
          <w:szCs w:val="21"/>
        </w:rPr>
        <w:t>其中：</w:t>
      </w:r>
    </w:p>
    <w:p w14:paraId="4155099F">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（1）安全文明施工费：</w:t>
      </w:r>
    </w:p>
    <w:p w14:paraId="63E532A9">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人民币（大写）</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元）；</w:t>
      </w:r>
    </w:p>
    <w:p w14:paraId="1CE43788">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（2）材料和工程设备暂估价金额：</w:t>
      </w:r>
    </w:p>
    <w:p w14:paraId="0B2DD02B">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人民币（大写）</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元）；</w:t>
      </w:r>
    </w:p>
    <w:p w14:paraId="0611C52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（3）专业工程暂估价金额：</w:t>
      </w:r>
    </w:p>
    <w:p w14:paraId="3A640DBB">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人民币（大写）</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元）；</w:t>
      </w:r>
    </w:p>
    <w:p w14:paraId="23F0896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（4）暂列金额：</w:t>
      </w:r>
    </w:p>
    <w:p w14:paraId="0D15B89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人民币（大写）</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元）。</w:t>
      </w:r>
    </w:p>
    <w:p w14:paraId="5D367DF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2.合同价格形式：</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4C53E85B">
      <w:pPr>
        <w:keepNext/>
        <w:keepLines/>
        <w:autoSpaceDE w:val="0"/>
        <w:spacing w:line="360" w:lineRule="auto"/>
        <w:outlineLvl w:val="3"/>
        <w:rPr>
          <w:rFonts w:ascii="宋体" w:hAnsi="宋体" w:eastAsia="宋体" w:cs="宋体"/>
          <w:b/>
          <w:bCs/>
          <w:sz w:val="21"/>
          <w:szCs w:val="21"/>
        </w:rPr>
      </w:pPr>
      <w:bookmarkStart w:id="474" w:name="_Toc532377170"/>
      <w:bookmarkEnd w:id="474"/>
      <w:bookmarkStart w:id="475" w:name="_Toc351203485"/>
      <w:bookmarkEnd w:id="475"/>
      <w:bookmarkStart w:id="476" w:name="_Toc532375577"/>
      <w:r>
        <w:rPr>
          <w:rFonts w:hint="eastAsia" w:ascii="宋体" w:hAnsi="宋体" w:eastAsia="宋体" w:cs="宋体"/>
          <w:b/>
          <w:bCs/>
          <w:sz w:val="21"/>
          <w:szCs w:val="21"/>
        </w:rPr>
        <w:t>五、</w:t>
      </w:r>
      <w:bookmarkEnd w:id="476"/>
      <w:r>
        <w:rPr>
          <w:rFonts w:hint="eastAsia" w:ascii="宋体" w:hAnsi="宋体" w:eastAsia="宋体" w:cs="宋体"/>
          <w:b/>
          <w:bCs/>
          <w:sz w:val="21"/>
          <w:szCs w:val="21"/>
        </w:rPr>
        <w:t>项目经理</w:t>
      </w:r>
    </w:p>
    <w:p w14:paraId="0685B418">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承包人项目经理：</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67185BF3">
      <w:pPr>
        <w:keepNext/>
        <w:keepLines/>
        <w:autoSpaceDE w:val="0"/>
        <w:spacing w:line="360" w:lineRule="auto"/>
        <w:outlineLvl w:val="3"/>
        <w:rPr>
          <w:rFonts w:ascii="宋体" w:hAnsi="宋体" w:eastAsia="宋体" w:cs="宋体"/>
          <w:b/>
          <w:bCs/>
          <w:sz w:val="21"/>
          <w:szCs w:val="21"/>
        </w:rPr>
      </w:pPr>
      <w:bookmarkStart w:id="477" w:name="_Toc532377171"/>
      <w:bookmarkEnd w:id="477"/>
      <w:bookmarkStart w:id="478" w:name="_Toc351203486"/>
      <w:bookmarkEnd w:id="478"/>
      <w:bookmarkStart w:id="479" w:name="_Toc532375578"/>
      <w:r>
        <w:rPr>
          <w:rFonts w:hint="eastAsia" w:ascii="宋体" w:hAnsi="宋体" w:eastAsia="宋体" w:cs="宋体"/>
          <w:b/>
          <w:bCs/>
          <w:sz w:val="21"/>
          <w:szCs w:val="21"/>
        </w:rPr>
        <w:t>六、合同文件构成</w:t>
      </w:r>
      <w:bookmarkEnd w:id="479"/>
    </w:p>
    <w:p w14:paraId="5252A4CB">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本协议书与下列文件一起构成合同文件：</w:t>
      </w:r>
    </w:p>
    <w:p w14:paraId="419D5302">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（1）中标通知书（如果有）；</w:t>
      </w:r>
    </w:p>
    <w:p w14:paraId="570A3D5D">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 xml:space="preserve">（2）投标函及其附录（如果有）； </w:t>
      </w:r>
    </w:p>
    <w:p w14:paraId="53CF11D8">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（3）专用合同条款及其附件；</w:t>
      </w:r>
    </w:p>
    <w:p w14:paraId="6D6A7ABE">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（4）通用合同条款；</w:t>
      </w:r>
    </w:p>
    <w:p w14:paraId="6E2B8EB2">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（5）技术标准和要求；</w:t>
      </w:r>
    </w:p>
    <w:p w14:paraId="0128946A">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（6）图纸；</w:t>
      </w:r>
    </w:p>
    <w:p w14:paraId="4F7315BD">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（7）已标价工程量清单或预算书；</w:t>
      </w:r>
    </w:p>
    <w:p w14:paraId="49FAA7EB">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（8）其他合同文件。</w:t>
      </w:r>
    </w:p>
    <w:p w14:paraId="6CEF96F1">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在合同订立及履行过程中形成的与合同有关的文件均构成合同文件组成部分。</w:t>
      </w:r>
    </w:p>
    <w:p w14:paraId="67443EE0">
      <w:pPr>
        <w:autoSpaceDE w:val="0"/>
        <w:spacing w:line="360" w:lineRule="auto"/>
        <w:rPr>
          <w:rFonts w:ascii="宋体" w:hAnsi="宋体" w:eastAsia="宋体" w:cs="Times New Roman"/>
          <w:sz w:val="21"/>
          <w:szCs w:val="21"/>
        </w:rPr>
      </w:pPr>
      <w:r>
        <w:rPr>
          <w:rFonts w:hint="eastAsia" w:ascii="宋体" w:hAnsi="宋体" w:eastAsia="宋体" w:cs="Times New Roman"/>
          <w:bCs/>
          <w:sz w:val="21"/>
          <w:szCs w:val="21"/>
        </w:rPr>
        <w:t>上述各项合同文件包括合同当事人就该项合同文件所作出的补充和修改，属于同一类内容的文件，应以最新签署的为准。专用合同条款及其附件须经合同当事人签名或盖章。</w:t>
      </w:r>
    </w:p>
    <w:p w14:paraId="1CA458D0">
      <w:pPr>
        <w:keepNext/>
        <w:keepLines/>
        <w:autoSpaceDE w:val="0"/>
        <w:spacing w:line="360" w:lineRule="auto"/>
        <w:outlineLvl w:val="3"/>
        <w:rPr>
          <w:rFonts w:ascii="宋体" w:hAnsi="宋体" w:eastAsia="宋体" w:cs="宋体"/>
          <w:b/>
          <w:bCs/>
          <w:sz w:val="21"/>
          <w:szCs w:val="21"/>
        </w:rPr>
      </w:pPr>
      <w:bookmarkStart w:id="480" w:name="_Toc532377172"/>
      <w:bookmarkEnd w:id="480"/>
      <w:bookmarkStart w:id="481" w:name="_Toc351203487"/>
      <w:bookmarkEnd w:id="481"/>
      <w:bookmarkStart w:id="482" w:name="_Toc532375579"/>
      <w:r>
        <w:rPr>
          <w:rFonts w:hint="eastAsia" w:ascii="宋体" w:hAnsi="宋体" w:eastAsia="宋体" w:cs="宋体"/>
          <w:b/>
          <w:bCs/>
          <w:sz w:val="21"/>
          <w:szCs w:val="21"/>
        </w:rPr>
        <w:t>七、承诺</w:t>
      </w:r>
      <w:bookmarkEnd w:id="482"/>
    </w:p>
    <w:p w14:paraId="0567350E">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1.发包人承诺按照法律规定履行项目审批手续、筹集工程建设资金并按照合同约定的期限和方式支付合同价款。</w:t>
      </w:r>
    </w:p>
    <w:p w14:paraId="3A8AD840">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2.承包人承诺按照法律规定及合同约定组织完成工程施工，确保工程质量和安全，不进行转包及违法分包，并在缺陷责任期及保修期内承担相应的工程维修责任。</w:t>
      </w:r>
    </w:p>
    <w:p w14:paraId="308E1211">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3.发包人和承包人通过招投标形式签订合同的，双方理解并承诺不再就同一工程另行签订与合同实质性内容相背离的协议。</w:t>
      </w:r>
    </w:p>
    <w:p w14:paraId="71611C27">
      <w:pPr>
        <w:keepNext/>
        <w:keepLines/>
        <w:autoSpaceDE w:val="0"/>
        <w:spacing w:line="360" w:lineRule="auto"/>
        <w:outlineLvl w:val="3"/>
        <w:rPr>
          <w:rFonts w:ascii="宋体" w:hAnsi="宋体" w:eastAsia="宋体" w:cs="宋体"/>
          <w:b/>
          <w:bCs/>
          <w:sz w:val="21"/>
          <w:szCs w:val="21"/>
        </w:rPr>
      </w:pPr>
      <w:bookmarkStart w:id="483" w:name="_Toc351203488"/>
      <w:bookmarkEnd w:id="483"/>
      <w:bookmarkStart w:id="484" w:name="_Toc532377173"/>
      <w:bookmarkEnd w:id="484"/>
      <w:bookmarkStart w:id="485" w:name="_Toc532375580"/>
      <w:r>
        <w:rPr>
          <w:rFonts w:hint="eastAsia" w:ascii="宋体" w:hAnsi="宋体" w:eastAsia="宋体" w:cs="宋体"/>
          <w:b/>
          <w:bCs/>
          <w:sz w:val="21"/>
          <w:szCs w:val="21"/>
        </w:rPr>
        <w:t>八、词语含义</w:t>
      </w:r>
      <w:bookmarkEnd w:id="485"/>
    </w:p>
    <w:p w14:paraId="3493ADC4">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本协议书中词语含义与第二部分通用合同条款中赋予的含义相同。</w:t>
      </w:r>
    </w:p>
    <w:p w14:paraId="2186AFA1">
      <w:pPr>
        <w:keepNext/>
        <w:keepLines/>
        <w:autoSpaceDE w:val="0"/>
        <w:spacing w:line="360" w:lineRule="auto"/>
        <w:outlineLvl w:val="3"/>
        <w:rPr>
          <w:rFonts w:ascii="宋体" w:hAnsi="宋体" w:eastAsia="宋体" w:cs="宋体"/>
          <w:b/>
          <w:bCs/>
          <w:sz w:val="21"/>
          <w:szCs w:val="21"/>
        </w:rPr>
      </w:pPr>
      <w:bookmarkStart w:id="486" w:name="_Toc532377174"/>
      <w:bookmarkEnd w:id="486"/>
      <w:bookmarkStart w:id="487" w:name="_Toc532375581"/>
      <w:r>
        <w:rPr>
          <w:rFonts w:hint="eastAsia" w:ascii="宋体" w:hAnsi="宋体" w:eastAsia="宋体" w:cs="宋体"/>
          <w:b/>
          <w:bCs/>
          <w:sz w:val="21"/>
          <w:szCs w:val="21"/>
        </w:rPr>
        <w:t>九、签订时间</w:t>
      </w:r>
      <w:bookmarkEnd w:id="487"/>
    </w:p>
    <w:p w14:paraId="70BBB1D5">
      <w:pPr>
        <w:autoSpaceDE w:val="0"/>
        <w:spacing w:line="360" w:lineRule="auto"/>
        <w:rPr>
          <w:rFonts w:ascii="宋体" w:hAnsi="宋体" w:eastAsia="宋体" w:cs="Times New Roman"/>
          <w:sz w:val="21"/>
          <w:szCs w:val="21"/>
        </w:rPr>
      </w:pPr>
      <w:r>
        <w:rPr>
          <w:rFonts w:hint="eastAsia" w:ascii="宋体" w:hAnsi="宋体" w:eastAsia="宋体" w:cs="Times New Roman"/>
          <w:bCs/>
          <w:sz w:val="21"/>
          <w:szCs w:val="21"/>
        </w:rPr>
        <w:t>本合同于</w:t>
      </w:r>
      <w:r>
        <w:rPr>
          <w:rFonts w:hint="eastAsia" w:ascii="宋体" w:hAnsi="宋体" w:eastAsia="宋体" w:cs="Times New Roman"/>
          <w:bCs/>
          <w:sz w:val="21"/>
          <w:szCs w:val="21"/>
          <w:u w:val="single"/>
        </w:rPr>
        <w:t xml:space="preserve">    </w:t>
      </w:r>
      <w:r>
        <w:rPr>
          <w:rFonts w:hint="eastAsia" w:ascii="宋体" w:hAnsi="宋体" w:eastAsia="宋体" w:cs="Times New Roman"/>
          <w:bCs/>
          <w:sz w:val="21"/>
          <w:szCs w:val="21"/>
        </w:rPr>
        <w:t>年</w:t>
      </w:r>
      <w:r>
        <w:rPr>
          <w:rFonts w:hint="eastAsia" w:ascii="宋体" w:hAnsi="宋体" w:eastAsia="宋体" w:cs="Times New Roman"/>
          <w:bCs/>
          <w:sz w:val="21"/>
          <w:szCs w:val="21"/>
          <w:u w:val="single"/>
        </w:rPr>
        <w:t xml:space="preserve">    </w:t>
      </w:r>
      <w:r>
        <w:rPr>
          <w:rFonts w:hint="eastAsia" w:ascii="宋体" w:hAnsi="宋体" w:eastAsia="宋体" w:cs="Times New Roman"/>
          <w:bCs/>
          <w:sz w:val="21"/>
          <w:szCs w:val="21"/>
        </w:rPr>
        <w:t>月</w:t>
      </w:r>
      <w:r>
        <w:rPr>
          <w:rFonts w:hint="eastAsia" w:ascii="宋体" w:hAnsi="宋体" w:eastAsia="宋体" w:cs="Times New Roman"/>
          <w:bCs/>
          <w:sz w:val="21"/>
          <w:szCs w:val="21"/>
          <w:u w:val="single"/>
        </w:rPr>
        <w:t xml:space="preserve">    </w:t>
      </w:r>
      <w:r>
        <w:rPr>
          <w:rFonts w:hint="eastAsia" w:ascii="宋体" w:hAnsi="宋体" w:eastAsia="宋体" w:cs="Times New Roman"/>
          <w:bCs/>
          <w:sz w:val="21"/>
          <w:szCs w:val="21"/>
        </w:rPr>
        <w:t>日签订</w:t>
      </w:r>
    </w:p>
    <w:p w14:paraId="4A0F6D22">
      <w:pPr>
        <w:keepNext/>
        <w:keepLines/>
        <w:autoSpaceDE w:val="0"/>
        <w:spacing w:line="360" w:lineRule="auto"/>
        <w:outlineLvl w:val="3"/>
        <w:rPr>
          <w:rFonts w:ascii="宋体" w:hAnsi="宋体" w:eastAsia="宋体" w:cs="宋体"/>
          <w:b/>
          <w:bCs/>
          <w:sz w:val="21"/>
          <w:szCs w:val="21"/>
        </w:rPr>
      </w:pPr>
      <w:bookmarkStart w:id="488" w:name="_Toc532377175"/>
      <w:bookmarkEnd w:id="488"/>
      <w:bookmarkStart w:id="489" w:name="_Toc532375582"/>
      <w:bookmarkEnd w:id="489"/>
      <w:bookmarkStart w:id="490" w:name="_Toc351203489"/>
      <w:r>
        <w:rPr>
          <w:rFonts w:hint="eastAsia" w:ascii="宋体" w:hAnsi="宋体" w:eastAsia="宋体" w:cs="宋体"/>
          <w:b/>
          <w:bCs/>
          <w:sz w:val="21"/>
          <w:szCs w:val="21"/>
        </w:rPr>
        <w:t>十、</w:t>
      </w:r>
      <w:bookmarkEnd w:id="490"/>
      <w:bookmarkStart w:id="491" w:name="_Toc351203490"/>
      <w:bookmarkEnd w:id="491"/>
      <w:r>
        <w:rPr>
          <w:rFonts w:hint="eastAsia" w:ascii="宋体" w:hAnsi="宋体" w:eastAsia="宋体" w:cs="宋体"/>
          <w:b/>
          <w:bCs/>
          <w:sz w:val="21"/>
          <w:szCs w:val="21"/>
        </w:rPr>
        <w:t>签订地点</w:t>
      </w:r>
    </w:p>
    <w:p w14:paraId="67BDEB0A">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本合同在</w:t>
      </w:r>
      <w:r>
        <w:rPr>
          <w:rFonts w:hint="eastAsia" w:ascii="宋体" w:hAnsi="宋体" w:eastAsia="宋体" w:cs="Times New Roman"/>
          <w:bCs/>
          <w:sz w:val="21"/>
          <w:szCs w:val="21"/>
          <w:u w:val="single"/>
        </w:rPr>
        <w:t xml:space="preserve">            </w:t>
      </w:r>
      <w:r>
        <w:rPr>
          <w:rFonts w:hint="eastAsia" w:ascii="宋体" w:hAnsi="宋体" w:eastAsia="宋体" w:cs="Times New Roman"/>
          <w:bCs/>
          <w:sz w:val="21"/>
          <w:szCs w:val="21"/>
        </w:rPr>
        <w:t>签订。</w:t>
      </w:r>
    </w:p>
    <w:p w14:paraId="1DFFE265">
      <w:pPr>
        <w:keepNext/>
        <w:keepLines/>
        <w:autoSpaceDE w:val="0"/>
        <w:spacing w:line="360" w:lineRule="auto"/>
        <w:outlineLvl w:val="3"/>
        <w:rPr>
          <w:rFonts w:ascii="宋体" w:hAnsi="宋体" w:eastAsia="宋体" w:cs="宋体"/>
          <w:b/>
          <w:bCs/>
          <w:sz w:val="21"/>
          <w:szCs w:val="21"/>
        </w:rPr>
      </w:pPr>
      <w:bookmarkStart w:id="492" w:name="_Toc532377176"/>
      <w:bookmarkEnd w:id="492"/>
      <w:bookmarkStart w:id="493" w:name="_Toc351203491"/>
      <w:bookmarkEnd w:id="493"/>
      <w:bookmarkStart w:id="494" w:name="_Toc532375583"/>
      <w:r>
        <w:rPr>
          <w:rFonts w:hint="eastAsia" w:ascii="宋体" w:hAnsi="宋体" w:eastAsia="宋体" w:cs="宋体"/>
          <w:b/>
          <w:bCs/>
          <w:sz w:val="21"/>
          <w:szCs w:val="21"/>
        </w:rPr>
        <w:t>十一、补充协议</w:t>
      </w:r>
      <w:bookmarkEnd w:id="494"/>
    </w:p>
    <w:p w14:paraId="197611B4">
      <w:pPr>
        <w:autoSpaceDE w:val="0"/>
        <w:spacing w:line="360" w:lineRule="auto"/>
        <w:rPr>
          <w:rFonts w:ascii="宋体" w:hAnsi="宋体" w:eastAsia="宋体" w:cs="Times New Roman"/>
          <w:b/>
          <w:bCs/>
          <w:sz w:val="21"/>
          <w:szCs w:val="21"/>
        </w:rPr>
      </w:pPr>
      <w:r>
        <w:rPr>
          <w:rFonts w:hint="eastAsia" w:ascii="宋体" w:hAnsi="宋体" w:eastAsia="宋体" w:cs="Times New Roman"/>
          <w:bCs/>
          <w:sz w:val="21"/>
          <w:szCs w:val="21"/>
        </w:rPr>
        <w:t>合同未尽事宜，合同当事人另行签订补充协议，补充协议是合同的组成部分。</w:t>
      </w:r>
    </w:p>
    <w:p w14:paraId="7A09D3B0">
      <w:pPr>
        <w:keepNext/>
        <w:keepLines/>
        <w:autoSpaceDE w:val="0"/>
        <w:spacing w:line="360" w:lineRule="auto"/>
        <w:outlineLvl w:val="3"/>
        <w:rPr>
          <w:rFonts w:ascii="宋体" w:hAnsi="宋体" w:eastAsia="宋体" w:cs="宋体"/>
          <w:b/>
          <w:bCs/>
          <w:sz w:val="21"/>
          <w:szCs w:val="21"/>
        </w:rPr>
      </w:pPr>
      <w:bookmarkStart w:id="495" w:name="_Toc532375584"/>
      <w:bookmarkEnd w:id="495"/>
      <w:bookmarkStart w:id="496" w:name="_Toc351203492"/>
      <w:bookmarkEnd w:id="496"/>
      <w:bookmarkStart w:id="497" w:name="_Toc532377177"/>
      <w:r>
        <w:rPr>
          <w:rFonts w:hint="eastAsia" w:ascii="宋体" w:hAnsi="宋体" w:eastAsia="宋体" w:cs="宋体"/>
          <w:b/>
          <w:bCs/>
          <w:sz w:val="21"/>
          <w:szCs w:val="21"/>
        </w:rPr>
        <w:t>十二、合同生效</w:t>
      </w:r>
      <w:bookmarkEnd w:id="497"/>
    </w:p>
    <w:p w14:paraId="60B5F5ED">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本合同自</w:t>
      </w:r>
      <w:r>
        <w:rPr>
          <w:rFonts w:hint="eastAsia" w:ascii="宋体" w:hAnsi="宋体" w:eastAsia="宋体" w:cs="Times New Roman"/>
          <w:bCs/>
          <w:sz w:val="21"/>
          <w:szCs w:val="21"/>
          <w:u w:val="single"/>
        </w:rPr>
        <w:t xml:space="preserve">            </w:t>
      </w:r>
      <w:r>
        <w:rPr>
          <w:rFonts w:hint="eastAsia" w:ascii="宋体" w:hAnsi="宋体" w:eastAsia="宋体" w:cs="Times New Roman"/>
          <w:bCs/>
          <w:sz w:val="21"/>
          <w:szCs w:val="21"/>
        </w:rPr>
        <w:t>生效</w:t>
      </w:r>
      <w:r>
        <w:rPr>
          <w:rFonts w:hint="eastAsia" w:ascii="宋体" w:hAnsi="宋体" w:eastAsia="宋体" w:cs="Times New Roman"/>
          <w:sz w:val="21"/>
          <w:szCs w:val="21"/>
        </w:rPr>
        <w:t>。</w:t>
      </w:r>
    </w:p>
    <w:p w14:paraId="5E00A721">
      <w:pPr>
        <w:keepNext/>
        <w:keepLines/>
        <w:autoSpaceDE w:val="0"/>
        <w:spacing w:line="360" w:lineRule="auto"/>
        <w:outlineLvl w:val="3"/>
        <w:rPr>
          <w:rFonts w:ascii="宋体" w:hAnsi="宋体" w:eastAsia="宋体" w:cs="宋体"/>
          <w:b/>
          <w:bCs/>
          <w:sz w:val="21"/>
          <w:szCs w:val="21"/>
        </w:rPr>
      </w:pPr>
      <w:bookmarkStart w:id="498" w:name="_Toc532377178"/>
      <w:bookmarkEnd w:id="498"/>
      <w:bookmarkStart w:id="499" w:name="_Toc351203493"/>
      <w:bookmarkEnd w:id="499"/>
      <w:bookmarkStart w:id="500" w:name="_Toc532375585"/>
      <w:r>
        <w:rPr>
          <w:rFonts w:hint="eastAsia" w:ascii="宋体" w:hAnsi="宋体" w:eastAsia="宋体" w:cs="宋体"/>
          <w:b/>
          <w:bCs/>
          <w:sz w:val="21"/>
          <w:szCs w:val="21"/>
        </w:rPr>
        <w:t>十三、合同份数</w:t>
      </w:r>
      <w:bookmarkEnd w:id="500"/>
    </w:p>
    <w:p w14:paraId="0C13343B">
      <w:pPr>
        <w:autoSpaceDE w:val="0"/>
        <w:spacing w:line="360" w:lineRule="auto"/>
        <w:rPr>
          <w:rFonts w:ascii="宋体" w:hAnsi="宋体" w:eastAsia="宋体" w:cs="Times New Roman"/>
          <w:bCs/>
          <w:sz w:val="21"/>
          <w:szCs w:val="21"/>
        </w:rPr>
      </w:pPr>
      <w:r>
        <w:rPr>
          <w:rFonts w:hint="eastAsia" w:ascii="宋体" w:hAnsi="宋体" w:eastAsia="宋体" w:cs="Microsoft Sans Serif"/>
          <w:bCs/>
          <w:sz w:val="21"/>
          <w:szCs w:val="21"/>
        </w:rPr>
        <w:t>本合同一式</w:t>
      </w:r>
      <w:r>
        <w:rPr>
          <w:rFonts w:hint="eastAsia" w:ascii="宋体" w:hAnsi="宋体" w:eastAsia="宋体" w:cs="Microsoft Sans Serif"/>
          <w:bCs/>
          <w:sz w:val="21"/>
          <w:szCs w:val="21"/>
          <w:u w:val="single"/>
        </w:rPr>
        <w:t xml:space="preserve">    </w:t>
      </w:r>
      <w:r>
        <w:rPr>
          <w:rFonts w:hint="eastAsia" w:ascii="宋体" w:hAnsi="宋体" w:eastAsia="宋体" w:cs="Microsoft Sans Serif"/>
          <w:bCs/>
          <w:sz w:val="21"/>
          <w:szCs w:val="21"/>
        </w:rPr>
        <w:t>份，均具有同等法律效力，发包人执</w:t>
      </w:r>
      <w:r>
        <w:rPr>
          <w:rFonts w:hint="eastAsia" w:ascii="宋体" w:hAnsi="宋体" w:eastAsia="宋体" w:cs="Microsoft Sans Serif"/>
          <w:bCs/>
          <w:sz w:val="21"/>
          <w:szCs w:val="21"/>
          <w:u w:val="single"/>
        </w:rPr>
        <w:t xml:space="preserve">    </w:t>
      </w:r>
      <w:r>
        <w:rPr>
          <w:rFonts w:hint="eastAsia" w:ascii="宋体" w:hAnsi="宋体" w:eastAsia="宋体" w:cs="Microsoft Sans Serif"/>
          <w:bCs/>
          <w:sz w:val="21"/>
          <w:szCs w:val="21"/>
        </w:rPr>
        <w:t>份，承包人执</w:t>
      </w:r>
      <w:r>
        <w:rPr>
          <w:rFonts w:hint="eastAsia" w:ascii="宋体" w:hAnsi="宋体" w:eastAsia="宋体" w:cs="Microsoft Sans Serif"/>
          <w:bCs/>
          <w:sz w:val="21"/>
          <w:szCs w:val="21"/>
          <w:u w:val="single"/>
        </w:rPr>
        <w:t xml:space="preserve">    </w:t>
      </w:r>
      <w:r>
        <w:rPr>
          <w:rFonts w:hint="eastAsia" w:ascii="宋体" w:hAnsi="宋体" w:eastAsia="宋体" w:cs="Microsoft Sans Serif"/>
          <w:bCs/>
          <w:sz w:val="21"/>
          <w:szCs w:val="21"/>
        </w:rPr>
        <w:t>份</w:t>
      </w:r>
      <w:r>
        <w:rPr>
          <w:rFonts w:hint="eastAsia" w:ascii="宋体" w:hAnsi="宋体" w:eastAsia="宋体" w:cs="Times New Roman"/>
          <w:bCs/>
          <w:sz w:val="21"/>
          <w:szCs w:val="21"/>
        </w:rPr>
        <w:t>。</w:t>
      </w:r>
    </w:p>
    <w:p w14:paraId="0F603C98">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 xml:space="preserve"> </w:t>
      </w:r>
    </w:p>
    <w:p w14:paraId="43D27BFA">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 xml:space="preserve"> </w:t>
      </w:r>
    </w:p>
    <w:p w14:paraId="4DB00E8B">
      <w:pPr>
        <w:autoSpaceDE w:val="0"/>
        <w:spacing w:before="100" w:beforeAutospacing="1"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2D2E770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发包人：  (公章)             承包人：  (公章)</w:t>
      </w:r>
    </w:p>
    <w:p w14:paraId="4CA2A1B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2324EA08">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法定代表人或其委托代理人：   法定代表人或其委托代理人：</w:t>
      </w:r>
    </w:p>
    <w:p w14:paraId="343653B3">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（签名）                    （签名）</w:t>
      </w:r>
    </w:p>
    <w:p w14:paraId="08CC17F3">
      <w:pPr>
        <w:autoSpaceDE w:val="0"/>
        <w:spacing w:line="360" w:lineRule="auto"/>
        <w:jc w:val="right"/>
        <w:rPr>
          <w:rFonts w:ascii="宋体" w:hAnsi="宋体" w:eastAsia="宋体" w:cs="Times New Roman"/>
          <w:sz w:val="21"/>
          <w:szCs w:val="21"/>
        </w:rPr>
      </w:pPr>
      <w:r>
        <w:rPr>
          <w:rFonts w:hint="eastAsia" w:ascii="宋体" w:hAnsi="宋体" w:eastAsia="宋体" w:cs="Times New Roman"/>
          <w:sz w:val="21"/>
          <w:szCs w:val="21"/>
        </w:rPr>
        <w:t xml:space="preserve"> </w:t>
      </w:r>
    </w:p>
    <w:p w14:paraId="37B98D47">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组织机构代码：         组织机构代码：           </w:t>
      </w:r>
    </w:p>
    <w:p w14:paraId="531DD15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地  址：       地  址：        </w:t>
      </w:r>
    </w:p>
    <w:p w14:paraId="74BC19CE">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邮政编码：       邮政编码：   </w:t>
      </w:r>
    </w:p>
    <w:p w14:paraId="474EA9E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法定代表人：             法定代表人：             </w:t>
      </w:r>
    </w:p>
    <w:p w14:paraId="0CD84C1D">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委托代理人：             委托代理人：             </w:t>
      </w:r>
    </w:p>
    <w:p w14:paraId="7CA5E7B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电  话：     电  话：     </w:t>
      </w:r>
    </w:p>
    <w:p w14:paraId="5A854982">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传  真：     传  真：     </w:t>
      </w:r>
    </w:p>
    <w:p w14:paraId="34B9EA81">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电子信箱：                   电子信箱：   </w:t>
      </w:r>
    </w:p>
    <w:p w14:paraId="6AE8BF80">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开户银行：     开户银行：   </w:t>
      </w:r>
    </w:p>
    <w:p w14:paraId="0B8DFC3E">
      <w:pPr>
        <w:autoSpaceDE w:val="0"/>
        <w:spacing w:line="360" w:lineRule="auto"/>
        <w:rPr>
          <w:rFonts w:ascii="宋体" w:hAnsi="宋体" w:eastAsia="宋体" w:cs="Times New Roman"/>
          <w:kern w:val="0"/>
          <w:sz w:val="21"/>
          <w:szCs w:val="21"/>
        </w:rPr>
      </w:pPr>
      <w:r>
        <w:rPr>
          <w:rFonts w:hint="eastAsia" w:ascii="宋体" w:hAnsi="宋体" w:eastAsia="宋体" w:cs="Times New Roman"/>
          <w:sz w:val="21"/>
          <w:szCs w:val="21"/>
        </w:rPr>
        <w:t xml:space="preserve">账  号：          账  号：     </w:t>
      </w:r>
    </w:p>
    <w:p w14:paraId="7F3127C8">
      <w:pPr>
        <w:keepNext/>
        <w:keepLines/>
        <w:spacing w:before="260" w:after="260" w:line="415" w:lineRule="auto"/>
        <w:jc w:val="center"/>
        <w:outlineLvl w:val="2"/>
        <w:rPr>
          <w:rFonts w:ascii="宋体" w:hAnsi="宋体" w:eastAsia="宋体" w:cs="Times New Roman"/>
          <w:b/>
          <w:sz w:val="21"/>
          <w:szCs w:val="21"/>
        </w:rPr>
      </w:pPr>
      <w:r>
        <w:rPr>
          <w:rFonts w:hint="eastAsia" w:ascii="宋体" w:hAnsi="宋体" w:eastAsia="宋体" w:cs="Times New Roman"/>
          <w:bCs/>
          <w:sz w:val="21"/>
          <w:szCs w:val="21"/>
        </w:rPr>
        <w:br w:type="page"/>
      </w:r>
      <w:bookmarkStart w:id="501" w:name="_Toc532377179"/>
      <w:bookmarkEnd w:id="501"/>
      <w:bookmarkStart w:id="502" w:name="_Toc6949"/>
      <w:bookmarkEnd w:id="502"/>
      <w:bookmarkStart w:id="503" w:name="_Toc16411"/>
      <w:bookmarkEnd w:id="503"/>
      <w:bookmarkStart w:id="504" w:name="_Toc532375586"/>
      <w:bookmarkEnd w:id="504"/>
      <w:bookmarkStart w:id="505" w:name="_Toc17274"/>
      <w:bookmarkEnd w:id="505"/>
      <w:bookmarkStart w:id="506" w:name="_Toc529388289"/>
      <w:r>
        <w:rPr>
          <w:rFonts w:hint="eastAsia" w:ascii="宋体" w:hAnsi="宋体" w:eastAsia="宋体" w:cs="Times New Roman"/>
          <w:b/>
          <w:bCs/>
          <w:sz w:val="21"/>
          <w:szCs w:val="21"/>
        </w:rPr>
        <w:t>第二部分 通用合同条款</w:t>
      </w:r>
      <w:bookmarkEnd w:id="506"/>
    </w:p>
    <w:p w14:paraId="78E50403">
      <w:pPr>
        <w:keepNext/>
        <w:keepLines/>
        <w:spacing w:before="156" w:beforeLines="50" w:after="156" w:afterLines="50" w:line="360" w:lineRule="auto"/>
        <w:outlineLvl w:val="3"/>
        <w:rPr>
          <w:rFonts w:ascii="宋体" w:hAnsi="宋体" w:eastAsia="宋体" w:cs="宋体"/>
          <w:b/>
          <w:bCs/>
          <w:sz w:val="21"/>
          <w:szCs w:val="21"/>
        </w:rPr>
      </w:pPr>
      <w:bookmarkStart w:id="507" w:name="_Toc532375587"/>
      <w:bookmarkEnd w:id="507"/>
      <w:bookmarkStart w:id="508" w:name="_Toc532377180"/>
      <w:bookmarkEnd w:id="508"/>
      <w:bookmarkStart w:id="509" w:name="_Toc351203495"/>
      <w:r>
        <w:rPr>
          <w:rFonts w:hint="eastAsia" w:ascii="宋体" w:hAnsi="宋体" w:eastAsia="宋体" w:cs="宋体"/>
          <w:b/>
          <w:bCs/>
          <w:sz w:val="21"/>
          <w:szCs w:val="21"/>
        </w:rPr>
        <w:t>1.</w:t>
      </w:r>
      <w:bookmarkEnd w:id="509"/>
      <w:bookmarkStart w:id="510" w:name="_Toc303538972"/>
      <w:bookmarkEnd w:id="510"/>
      <w:bookmarkStart w:id="511" w:name="_Toc303538975"/>
      <w:bookmarkEnd w:id="511"/>
      <w:bookmarkStart w:id="512" w:name="_Toc303538973"/>
      <w:bookmarkEnd w:id="512"/>
      <w:bookmarkStart w:id="513" w:name="_Toc303538976"/>
      <w:bookmarkEnd w:id="513"/>
      <w:bookmarkStart w:id="514" w:name="_Toc303538974"/>
      <w:bookmarkEnd w:id="514"/>
      <w:bookmarkStart w:id="515" w:name="_Toc296503027"/>
      <w:bookmarkEnd w:id="515"/>
      <w:bookmarkStart w:id="516" w:name="_Toc296346528"/>
      <w:r>
        <w:rPr>
          <w:rFonts w:hint="eastAsia" w:ascii="宋体" w:hAnsi="宋体" w:eastAsia="宋体" w:cs="宋体"/>
          <w:b/>
          <w:bCs/>
          <w:sz w:val="21"/>
          <w:szCs w:val="21"/>
        </w:rPr>
        <w:t>一般约定</w:t>
      </w:r>
      <w:bookmarkEnd w:id="516"/>
    </w:p>
    <w:p w14:paraId="3BE7444A">
      <w:pPr>
        <w:widowControl/>
        <w:spacing w:line="360" w:lineRule="auto"/>
        <w:jc w:val="left"/>
        <w:outlineLvl w:val="4"/>
        <w:rPr>
          <w:rFonts w:ascii="宋体" w:hAnsi="宋体" w:eastAsia="宋体" w:cs="宋体"/>
          <w:b/>
          <w:bCs/>
          <w:kern w:val="0"/>
          <w:sz w:val="21"/>
          <w:szCs w:val="21"/>
        </w:rPr>
      </w:pPr>
      <w:bookmarkStart w:id="517" w:name="_Toc296503028"/>
      <w:bookmarkEnd w:id="517"/>
      <w:bookmarkStart w:id="518" w:name="_Toc296346529"/>
      <w:bookmarkEnd w:id="518"/>
      <w:bookmarkStart w:id="519" w:name="_Toc351203496"/>
      <w:bookmarkEnd w:id="519"/>
      <w:bookmarkStart w:id="520" w:name="_Toc337558728"/>
      <w:bookmarkEnd w:id="520"/>
      <w:bookmarkStart w:id="521" w:name="_Toc532377181"/>
      <w:r>
        <w:rPr>
          <w:rFonts w:hint="eastAsia" w:ascii="宋体" w:hAnsi="宋体" w:eastAsia="宋体" w:cs="宋体"/>
          <w:b/>
          <w:bCs/>
          <w:kern w:val="0"/>
          <w:sz w:val="21"/>
          <w:szCs w:val="21"/>
        </w:rPr>
        <w:t>1.1词语定义</w:t>
      </w:r>
      <w:bookmarkEnd w:id="521"/>
      <w:r>
        <w:rPr>
          <w:rFonts w:hint="eastAsia" w:ascii="宋体" w:hAnsi="宋体" w:eastAsia="宋体" w:cs="宋体"/>
          <w:b/>
          <w:bCs/>
          <w:kern w:val="0"/>
          <w:sz w:val="21"/>
          <w:szCs w:val="21"/>
        </w:rPr>
        <w:t>与解释</w:t>
      </w:r>
    </w:p>
    <w:p w14:paraId="4E5CEFC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合同协议书、通用合同条款、专用合同条款中的下列词语具有本款所赋予的含义：</w:t>
      </w:r>
    </w:p>
    <w:p w14:paraId="45FE3879">
      <w:pPr>
        <w:widowControl/>
        <w:spacing w:line="360" w:lineRule="auto"/>
        <w:jc w:val="left"/>
        <w:outlineLvl w:val="4"/>
        <w:rPr>
          <w:rFonts w:ascii="宋体" w:hAnsi="宋体" w:eastAsia="宋体" w:cs="宋体"/>
          <w:kern w:val="0"/>
          <w:sz w:val="21"/>
          <w:szCs w:val="21"/>
        </w:rPr>
      </w:pPr>
      <w:bookmarkStart w:id="522" w:name="_Toc532377182"/>
      <w:bookmarkEnd w:id="522"/>
      <w:r>
        <w:rPr>
          <w:rFonts w:hint="eastAsia" w:ascii="宋体" w:hAnsi="宋体" w:eastAsia="宋体" w:cs="宋体"/>
          <w:kern w:val="0"/>
          <w:sz w:val="21"/>
          <w:szCs w:val="21"/>
        </w:rPr>
        <w:t>1.1.1 合同</w:t>
      </w:r>
    </w:p>
    <w:p w14:paraId="733D241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1.1.1.1 合同：是指根据法律规定和合同当事人约定具有约束力的文件，构成合同的文件包括合同协议书、中标通知书（如有）、投标函及其附录（如有）、专用合同条款</w:t>
      </w:r>
      <w:r>
        <w:rPr>
          <w:rFonts w:hint="eastAsia" w:ascii="宋体" w:hAnsi="宋体" w:eastAsia="宋体" w:cs="Times New Roman"/>
          <w:sz w:val="21"/>
          <w:szCs w:val="21"/>
        </w:rPr>
        <w:t>及其附件</w:t>
      </w:r>
      <w:r>
        <w:rPr>
          <w:rFonts w:hint="eastAsia" w:ascii="宋体" w:hAnsi="宋体" w:eastAsia="宋体" w:cs="Times New Roman"/>
          <w:kern w:val="0"/>
          <w:sz w:val="21"/>
          <w:szCs w:val="21"/>
        </w:rPr>
        <w:t>、通用合同条款、技术标准和要求、图纸、已标价工程量清单或预算书以及其他合同文件。</w:t>
      </w:r>
    </w:p>
    <w:p w14:paraId="25935DD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1.1.1.2 合同协议书：是指构成合同的由发包人和承包人共同签署的称为“合同协议书”的书面文件。</w:t>
      </w:r>
    </w:p>
    <w:p w14:paraId="7419BD0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1.1.1.3 中标通知书：是指构成合同的由发包人通知承包人中标的书面文件。</w:t>
      </w:r>
    </w:p>
    <w:p w14:paraId="6C73619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1.1.1.4 投标函：是指构成合同的由承包人填写并签署的用于投标的称为“投标函”的文件。</w:t>
      </w:r>
    </w:p>
    <w:p w14:paraId="56F4CEA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1.1.1.5 投标函附录：是指构成合同的附在投标函后的称为“投标函附录”的文件。</w:t>
      </w:r>
    </w:p>
    <w:p w14:paraId="3352F3C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1.1.1.6 技术标准和要求：是指构成合同的施工应当遵守的或指导施工的国家、行业或地方的技术标准和要求，以及合同约定的技术标准和要求。</w:t>
      </w:r>
    </w:p>
    <w:p w14:paraId="4CF132D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1.1.1.7 图纸：是指构成合同的图纸，包括由发包人按照合同约定提供或经发包人批准的设计文件、施工图、鸟瞰图及模型等，以及在合同履行过程中形成的图纸文件。图纸应当按照法律规定审查合格。</w:t>
      </w:r>
    </w:p>
    <w:p w14:paraId="4058394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1.1.1.8 已标价工程量清单：是指构成合同的由承包人按照规定的格式和要求填写并标明价格的工程量清单，包括说明和表格。</w:t>
      </w:r>
    </w:p>
    <w:p w14:paraId="48D8CDF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1.1.1.9 预算书：是指构成合同的由承包人按照发包人规定的格式和要求编制的工程预算文件。</w:t>
      </w:r>
    </w:p>
    <w:p w14:paraId="030922E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1.1.1.10 其他合同文件：是指经合同当事人约定的与工程施工有关的具有合同约束力的文件或书面协议。合同当事人可以在专用合同条款中进行约定。</w:t>
      </w:r>
    </w:p>
    <w:p w14:paraId="3EBC639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 合同当事人及其他相关方</w:t>
      </w:r>
    </w:p>
    <w:p w14:paraId="605EAB0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1.1.2.1 合同当事人：是指发包人和（或）承包人。</w:t>
      </w:r>
    </w:p>
    <w:p w14:paraId="7248A23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1.1.2.2 发包人：是指与承包人签订合同协议书的当事人及取得该当事人资格的合法继承人。</w:t>
      </w:r>
    </w:p>
    <w:p w14:paraId="5558344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1.1.2.3 承包人：是指与发包人签订合同协议书的，具有相应工程施工承包资质的当事人及取得该当事人资格的合法继承人。</w:t>
      </w:r>
    </w:p>
    <w:p w14:paraId="27E4B47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1.1.2.4 监理人：是指在专用合同条款中指明的，受发包人委托按照法律规定进行工程监督管理的法人或其他组织。</w:t>
      </w:r>
    </w:p>
    <w:p w14:paraId="5CE4A22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1.1.2.5 设计人：是指在专用合同条款中指明的，受发包人委托负责工程设计并具备相应工程设计资质的法人或其他组织。</w:t>
      </w:r>
    </w:p>
    <w:p w14:paraId="0DF8FDA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1.1.2.6 分包人：</w:t>
      </w:r>
      <w:bookmarkStart w:id="523" w:name="#go5"/>
      <w:bookmarkEnd w:id="523"/>
      <w:r>
        <w:rPr>
          <w:rFonts w:hint="eastAsia" w:ascii="宋体" w:hAnsi="宋体" w:eastAsia="宋体" w:cs="Times New Roman"/>
          <w:kern w:val="0"/>
          <w:sz w:val="21"/>
          <w:szCs w:val="21"/>
        </w:rPr>
        <w:t>是指按照法律规定和合同约定，分包部分工程或工作，并与承包人签订分包合同的具有相应资质的法人。</w:t>
      </w:r>
    </w:p>
    <w:p w14:paraId="49EFE98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1.1.2.7 发包人代表：是指由发包人任命并派驻施工现场在发包人授权范围内行使发包人权利的人。</w:t>
      </w:r>
    </w:p>
    <w:p w14:paraId="797CC38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1.1.2.8 项目经理：是指由承包人任命并派驻施工现场，在承包人授权范围内负责合同履行，且按照法律规定具有相应资格的项目负责人。</w:t>
      </w:r>
    </w:p>
    <w:p w14:paraId="3675751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1.1.2.9 总监理工程师：是指由监理人任命并派驻施工现场进行工程监理的总负责人。</w:t>
      </w:r>
    </w:p>
    <w:p w14:paraId="1165404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 工程和设备</w:t>
      </w:r>
    </w:p>
    <w:p w14:paraId="23EFD79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1.1.3.1 工程：是指与合同协议书中工程承包范围对应的永久工程和（或）临时工程。</w:t>
      </w:r>
    </w:p>
    <w:p w14:paraId="57392A6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1.1.3.2 永久工程：是指按合同约定建造并移交给发包人的工程，包括工程设备。</w:t>
      </w:r>
    </w:p>
    <w:p w14:paraId="76BD400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1.1.3.3 临时工程：是指为完成合同约定的永久工程所修建的各类临时性工程，不包括施工设备。</w:t>
      </w:r>
    </w:p>
    <w:p w14:paraId="24116DD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1.1.3.4 单位工程：是指在合同协议书中指明的，具备独立施工条件并能形成独立使用功能的永久工程。</w:t>
      </w:r>
    </w:p>
    <w:p w14:paraId="43F3353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1.1.3.5 工程设备：是指构成永久工程的机电设备、金属结构设备、仪器及其他类似的设备和装置。</w:t>
      </w:r>
    </w:p>
    <w:p w14:paraId="7859461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1.1.3.6 施工设备：是指为完成合同约定的各项工作所需的设备、器具和其他物品，但不包括工程设备、临时工程和材料。</w:t>
      </w:r>
    </w:p>
    <w:p w14:paraId="7AF4D82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1.1.3.7 施工现场：是指用于工程施工的场所，以及在专用合同条款中指明作为施工场所组成部分的其他场所，包括永久占地和临时占地。</w:t>
      </w:r>
    </w:p>
    <w:p w14:paraId="71078B7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1.1.3.8临时设施：是指为完成合同约定的各项工作所服务的临时性生产和生活设施。</w:t>
      </w:r>
    </w:p>
    <w:p w14:paraId="52BEC76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1.1.3.9 永久占地：是指专用合同条款中指明为实施工程需永久占用的土地。</w:t>
      </w:r>
    </w:p>
    <w:p w14:paraId="4B05350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1.1.3.10 临时占地：是指专用合同条款中指明为实施工程需要临时占用的土地。</w:t>
      </w:r>
    </w:p>
    <w:p w14:paraId="1F8BFE3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1.1.4 日期和期限</w:t>
      </w:r>
    </w:p>
    <w:p w14:paraId="3FB1C6D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443DC99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1.1.4.2 竣工日期：包括计划竣工日期和实际竣工日期。计划竣工日期是指合同协议书约定的竣工日期；实际竣工日期按照第13.2.3项〔竣工日期〕的约定确定。 </w:t>
      </w:r>
    </w:p>
    <w:p w14:paraId="2E961ACC">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1.1.4.3 工期：是指在合同协议书约定的承包人完成工程所需的期限，包括按照合同约定所作的期限变更。</w:t>
      </w:r>
    </w:p>
    <w:p w14:paraId="1B7FD2E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1.1.4.4 缺陷责任期：是指承包人按照合同约定承担缺陷修复义务，且发包人预留质量保证金（已缴纳履约保证金的除外）的期限，自工程实际竣工日期起计算。</w:t>
      </w:r>
    </w:p>
    <w:p w14:paraId="56A7D12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1.1.4.5 保修期：是指承包人按照合同约定对工程承担保修责任的期限，从工程竣工验收合格之日起计算。</w:t>
      </w:r>
    </w:p>
    <w:p w14:paraId="4A3A1A8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1.1.4.6 基准日期：招标发包的工程以投标截止日前28天的日期为基准日期，直接发包的工程以合同签订日前28天的日期为基准日期。</w:t>
      </w:r>
    </w:p>
    <w:p w14:paraId="6A92235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1.1.4.7 天：除特别指明外，均指日历天。合同中按天计算时间的，开始当天不计入，从次日开始计算，期限最后一天的截止时间为当天24：00时。</w:t>
      </w:r>
    </w:p>
    <w:p w14:paraId="7BE4857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1.1.5 合同价格和费用</w:t>
      </w:r>
    </w:p>
    <w:p w14:paraId="46441A77">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1.1.5.1 签约合同价：是指</w:t>
      </w:r>
      <w:r>
        <w:rPr>
          <w:rFonts w:hint="eastAsia" w:ascii="宋体" w:hAnsi="宋体" w:eastAsia="宋体" w:cs="Times New Roman"/>
          <w:sz w:val="21"/>
          <w:szCs w:val="21"/>
        </w:rPr>
        <w:t>发包人和承包人在合同协议书中确定的总金额，包括安全文明施工费、暂估价及暂列金额等。</w:t>
      </w:r>
    </w:p>
    <w:p w14:paraId="1B2CDC5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1.1.5.2 合同价格：是指发包人用于支付承包人按照合同约定完成承包范围内全部工作的金额，包括合同履行过程中按合同约定发生的价格变化。</w:t>
      </w:r>
    </w:p>
    <w:p w14:paraId="3622A1B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1.1.5.3 费用：是指为履行合同所发生的或将要发生的所有必需的开支，包括管理费和应分摊的其他费用，但不包括利润。</w:t>
      </w:r>
    </w:p>
    <w:p w14:paraId="721CDC5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1.1.5.4 暂估价：是指发包人在工程量清单或预算书中提供的用于支付必然发生但暂时不能确定价格的材料、工程设备的单价、专业工程以及服务工作的金额。</w:t>
      </w:r>
    </w:p>
    <w:p w14:paraId="20DAF46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776C2F3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1.1.5.6 计日工：是指合同履行过程中，承包人完成发包人提出的零星工作或需要采用计日工计价的变更工作时，按合同中约定的单价计价的一种方式。</w:t>
      </w:r>
    </w:p>
    <w:p w14:paraId="49011EC9">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1.1.5.7 质量保证金</w:t>
      </w:r>
      <w:bookmarkStart w:id="524" w:name="#go2"/>
      <w:bookmarkEnd w:id="524"/>
      <w:r>
        <w:rPr>
          <w:rFonts w:hint="eastAsia" w:ascii="宋体" w:hAnsi="宋体" w:eastAsia="宋体" w:cs="Times New Roman"/>
          <w:kern w:val="0"/>
          <w:sz w:val="21"/>
          <w:szCs w:val="21"/>
        </w:rPr>
        <w:t>：是指按照第15.3款〔质量保证金〕约定承包人用于保证其在缺陷责任期内履行缺陷修补义务的担保</w:t>
      </w:r>
      <w:r>
        <w:rPr>
          <w:rFonts w:hint="eastAsia" w:ascii="宋体" w:hAnsi="宋体" w:eastAsia="宋体" w:cs="Times New Roman"/>
          <w:sz w:val="21"/>
          <w:szCs w:val="21"/>
        </w:rPr>
        <w:t>。</w:t>
      </w:r>
    </w:p>
    <w:p w14:paraId="3C1CA89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1.1.5.8 总价项目：是指在现行国家、行业以及地方的计量规则中无工程量计算规则，在已标价工程量清单或预算书中以总价或以费率形式计算的项目。</w:t>
      </w:r>
    </w:p>
    <w:p w14:paraId="1DF433B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1.1.6 其他</w:t>
      </w:r>
    </w:p>
    <w:p w14:paraId="4E61EBA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1.1.6.1 书面形式：是指合同文件、信函、电报、传真等可以有形地表现所载内容的形式。</w:t>
      </w:r>
    </w:p>
    <w:p w14:paraId="7DAB5BDD">
      <w:pPr>
        <w:widowControl/>
        <w:spacing w:line="360" w:lineRule="auto"/>
        <w:jc w:val="left"/>
        <w:outlineLvl w:val="4"/>
        <w:rPr>
          <w:rFonts w:ascii="宋体" w:hAnsi="宋体" w:eastAsia="宋体" w:cs="宋体"/>
          <w:b/>
          <w:bCs/>
          <w:kern w:val="0"/>
          <w:sz w:val="21"/>
          <w:szCs w:val="21"/>
        </w:rPr>
      </w:pPr>
      <w:bookmarkStart w:id="525" w:name="_Toc532377183"/>
      <w:bookmarkEnd w:id="525"/>
      <w:r>
        <w:rPr>
          <w:rFonts w:hint="eastAsia" w:ascii="宋体" w:hAnsi="宋体" w:eastAsia="宋体" w:cs="宋体"/>
          <w:b/>
          <w:bCs/>
          <w:kern w:val="0"/>
          <w:sz w:val="21"/>
          <w:szCs w:val="21"/>
        </w:rPr>
        <w:t>1.2 语言文字</w:t>
      </w:r>
    </w:p>
    <w:p w14:paraId="70743A7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合同以中国的汉语简体文字编写、解释和说明。合同当事人在专用合同条款中约定使用两种以上语言时，汉语为优先解释和说明合同的语言。</w:t>
      </w:r>
    </w:p>
    <w:p w14:paraId="24BBF1AF">
      <w:pPr>
        <w:widowControl/>
        <w:spacing w:line="360" w:lineRule="auto"/>
        <w:jc w:val="left"/>
        <w:outlineLvl w:val="4"/>
        <w:rPr>
          <w:rFonts w:ascii="宋体" w:hAnsi="宋体" w:eastAsia="宋体" w:cs="宋体"/>
          <w:b/>
          <w:bCs/>
          <w:kern w:val="0"/>
          <w:sz w:val="21"/>
          <w:szCs w:val="21"/>
        </w:rPr>
      </w:pPr>
      <w:bookmarkStart w:id="526" w:name="_Toc351203498"/>
      <w:bookmarkEnd w:id="526"/>
      <w:bookmarkStart w:id="527" w:name="_Toc337558730"/>
      <w:bookmarkEnd w:id="527"/>
      <w:bookmarkStart w:id="528" w:name="_Toc532377184"/>
      <w:bookmarkEnd w:id="528"/>
      <w:bookmarkStart w:id="529" w:name="_Toc296503030"/>
      <w:bookmarkEnd w:id="529"/>
      <w:bookmarkStart w:id="530" w:name="_Toc296346531"/>
      <w:r>
        <w:rPr>
          <w:rFonts w:hint="eastAsia" w:ascii="宋体" w:hAnsi="宋体" w:eastAsia="宋体" w:cs="宋体"/>
          <w:b/>
          <w:bCs/>
          <w:kern w:val="0"/>
          <w:sz w:val="21"/>
          <w:szCs w:val="21"/>
        </w:rPr>
        <w:t>1.3法律</w:t>
      </w:r>
      <w:bookmarkEnd w:id="530"/>
    </w:p>
    <w:p w14:paraId="5543AEB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合同所称法律是指中华人民共和国法律、行政法规、部门规章，以及工程所在地的地方性法规、自治条例、单行条例和地方政府规章等。</w:t>
      </w:r>
    </w:p>
    <w:p w14:paraId="1BD6B02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合同当事人可以在专用合同条款中约定合同适用的其他规范性文件。</w:t>
      </w:r>
    </w:p>
    <w:p w14:paraId="45D0DF1C">
      <w:pPr>
        <w:widowControl/>
        <w:spacing w:line="360" w:lineRule="auto"/>
        <w:jc w:val="left"/>
        <w:outlineLvl w:val="4"/>
        <w:rPr>
          <w:rFonts w:ascii="宋体" w:hAnsi="宋体" w:eastAsia="宋体" w:cs="宋体"/>
          <w:b/>
          <w:bCs/>
          <w:kern w:val="0"/>
          <w:sz w:val="21"/>
          <w:szCs w:val="21"/>
        </w:rPr>
      </w:pPr>
      <w:bookmarkStart w:id="531" w:name="_Toc351203499"/>
      <w:bookmarkEnd w:id="531"/>
      <w:bookmarkStart w:id="532" w:name="_Toc532377185"/>
      <w:r>
        <w:rPr>
          <w:rFonts w:hint="eastAsia" w:ascii="宋体" w:hAnsi="宋体" w:eastAsia="宋体" w:cs="宋体"/>
          <w:b/>
          <w:bCs/>
          <w:kern w:val="0"/>
          <w:sz w:val="21"/>
          <w:szCs w:val="21"/>
        </w:rPr>
        <w:t>1.4 标准和规范</w:t>
      </w:r>
      <w:bookmarkEnd w:id="532"/>
    </w:p>
    <w:p w14:paraId="67C7AB7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1.4.1 适用于工程的国家标准、行业标准、工程所在地的地方性标准，以及相应的规范、规程等，合同当事人有特别要求的，应在专用合同条款中约定。</w:t>
      </w:r>
    </w:p>
    <w:p w14:paraId="761DE53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1.4.2 发包人要求使用国外标准、规范的，发包人负责提供原文版本和中文译本，并在专用合同条款中约定提供标准规范的名称、份数和时间。</w:t>
      </w:r>
    </w:p>
    <w:p w14:paraId="7B02F90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243F3E9A">
      <w:pPr>
        <w:widowControl/>
        <w:spacing w:line="360" w:lineRule="auto"/>
        <w:jc w:val="left"/>
        <w:outlineLvl w:val="4"/>
        <w:rPr>
          <w:rFonts w:ascii="宋体" w:hAnsi="宋体" w:eastAsia="宋体" w:cs="宋体"/>
          <w:b/>
          <w:bCs/>
          <w:kern w:val="0"/>
          <w:sz w:val="21"/>
          <w:szCs w:val="21"/>
        </w:rPr>
      </w:pPr>
      <w:bookmarkStart w:id="533" w:name="_Toc351203500"/>
      <w:bookmarkEnd w:id="533"/>
      <w:bookmarkStart w:id="534" w:name="_Toc532377186"/>
      <w:r>
        <w:rPr>
          <w:rFonts w:hint="eastAsia" w:ascii="宋体" w:hAnsi="宋体" w:eastAsia="宋体" w:cs="宋体"/>
          <w:b/>
          <w:bCs/>
          <w:kern w:val="0"/>
          <w:sz w:val="21"/>
          <w:szCs w:val="21"/>
        </w:rPr>
        <w:t>1</w:t>
      </w:r>
      <w:bookmarkEnd w:id="534"/>
      <w:bookmarkStart w:id="535" w:name="_Toc337558731"/>
      <w:bookmarkEnd w:id="535"/>
      <w:bookmarkStart w:id="536" w:name="_Toc296346532"/>
      <w:bookmarkEnd w:id="536"/>
      <w:bookmarkStart w:id="537" w:name="_Toc296503031"/>
      <w:r>
        <w:rPr>
          <w:rFonts w:hint="eastAsia" w:ascii="宋体" w:hAnsi="宋体" w:eastAsia="宋体" w:cs="宋体"/>
          <w:b/>
          <w:bCs/>
          <w:kern w:val="0"/>
          <w:sz w:val="21"/>
          <w:szCs w:val="21"/>
        </w:rPr>
        <w:t>.5 合同文件的优先顺序</w:t>
      </w:r>
      <w:bookmarkEnd w:id="537"/>
    </w:p>
    <w:p w14:paraId="0F028E9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组成合同的各项文件应互相解释，互为说明。除专用合同条款另有约定外，解释合同文件的优先顺序如下：</w:t>
      </w:r>
    </w:p>
    <w:p w14:paraId="1A1121B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（1）合同协议书；</w:t>
      </w:r>
    </w:p>
    <w:p w14:paraId="4BBF78C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（2）中标通知书（如有）；</w:t>
      </w:r>
    </w:p>
    <w:p w14:paraId="2CF87EF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（3）投标函及其附录（如有）；</w:t>
      </w:r>
    </w:p>
    <w:p w14:paraId="6B5542E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（4）专用合同条款及其附件；</w:t>
      </w:r>
    </w:p>
    <w:p w14:paraId="6304566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（5）通用合同条款；</w:t>
      </w:r>
    </w:p>
    <w:p w14:paraId="2894686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（6）技术标准和要求；</w:t>
      </w:r>
    </w:p>
    <w:p w14:paraId="5A7A68E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（7）图纸；</w:t>
      </w:r>
    </w:p>
    <w:p w14:paraId="715D276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（8）已标价工程量清单或预算书；</w:t>
      </w:r>
    </w:p>
    <w:p w14:paraId="6B0DB47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（9）其他合同文件。</w:t>
      </w:r>
    </w:p>
    <w:p w14:paraId="53FA131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上述各项合同文件包括合同当事人就该项合同文件所作出的补充和修改，属于同一类内容的文件，应以最新签署的为准。</w:t>
      </w:r>
    </w:p>
    <w:p w14:paraId="24033AD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在合同订立及履行过程中形成的与合同有关的文件均构成合同文件组成部分，并根据其性质确定优先解释顺序。</w:t>
      </w:r>
    </w:p>
    <w:p w14:paraId="36732E84">
      <w:pPr>
        <w:widowControl/>
        <w:spacing w:line="360" w:lineRule="auto"/>
        <w:jc w:val="left"/>
        <w:outlineLvl w:val="4"/>
        <w:rPr>
          <w:rFonts w:ascii="宋体" w:hAnsi="宋体" w:eastAsia="宋体" w:cs="宋体"/>
          <w:b/>
          <w:bCs/>
          <w:kern w:val="0"/>
          <w:sz w:val="21"/>
          <w:szCs w:val="21"/>
        </w:rPr>
      </w:pPr>
      <w:bookmarkStart w:id="538" w:name="_Toc351203501"/>
      <w:bookmarkEnd w:id="538"/>
      <w:bookmarkStart w:id="539" w:name="_Toc532377187"/>
      <w:r>
        <w:rPr>
          <w:rFonts w:hint="eastAsia" w:ascii="宋体" w:hAnsi="宋体" w:eastAsia="宋体" w:cs="宋体"/>
          <w:b/>
          <w:bCs/>
          <w:kern w:val="0"/>
          <w:sz w:val="21"/>
          <w:szCs w:val="21"/>
        </w:rPr>
        <w:t>1</w:t>
      </w:r>
      <w:bookmarkEnd w:id="539"/>
      <w:bookmarkStart w:id="540" w:name="_Toc296503032"/>
      <w:bookmarkEnd w:id="540"/>
      <w:bookmarkStart w:id="541" w:name="_Toc296346533"/>
      <w:bookmarkEnd w:id="541"/>
      <w:bookmarkStart w:id="542" w:name="_Toc337558732"/>
      <w:r>
        <w:rPr>
          <w:rFonts w:hint="eastAsia" w:ascii="宋体" w:hAnsi="宋体" w:eastAsia="宋体" w:cs="宋体"/>
          <w:b/>
          <w:bCs/>
          <w:kern w:val="0"/>
          <w:sz w:val="21"/>
          <w:szCs w:val="21"/>
        </w:rPr>
        <w:t>.6图纸和承包人文件</w:t>
      </w:r>
      <w:bookmarkEnd w:id="542"/>
    </w:p>
    <w:p w14:paraId="40793DA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1.6.1 图纸的提供和交底</w:t>
      </w:r>
    </w:p>
    <w:p w14:paraId="0521A26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1C96520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因发包人未按合同约定提供图纸导致承包人费用增加和（或）工期延误的，按照第7.5.1项〔因发包人原因导致工期延误〕约定办理。</w:t>
      </w:r>
    </w:p>
    <w:p w14:paraId="274EBE3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1.6.2 图纸的错误</w:t>
      </w:r>
    </w:p>
    <w:p w14:paraId="1599840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5163580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1.6.3 图纸的修改和补充</w:t>
      </w:r>
    </w:p>
    <w:p w14:paraId="1E4C22A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图纸需要修改和补充的，应经图纸原设计人及审批部门同意，并由监理人在工程或工程相应部位施工前将修改后的图纸或补充图纸提交给承包人，承包人应按修改或补充后的图纸施工。</w:t>
      </w:r>
    </w:p>
    <w:p w14:paraId="122F6F0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1.6.4 承包人文件</w:t>
      </w:r>
    </w:p>
    <w:p w14:paraId="773F2C7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承包人应按照专用合同条款的约定提供应当由其编制的与工程施工有关的文件，并按照专用合同条款约定的期限、数量和形式提交监理人，并由监理人报送发包人。</w:t>
      </w:r>
    </w:p>
    <w:p w14:paraId="3A0C8CF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3D876BF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1.6.5 图纸和承包人文件的保管</w:t>
      </w:r>
    </w:p>
    <w:p w14:paraId="607CA1A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除专用合同条款另有约定外，承包人应在施工现场另外保存一套完整的图纸和承包人文件，供发包人、监理人及有关人员进行工程检查时使用。</w:t>
      </w:r>
    </w:p>
    <w:p w14:paraId="6EF7CA36">
      <w:pPr>
        <w:widowControl/>
        <w:spacing w:line="360" w:lineRule="auto"/>
        <w:jc w:val="left"/>
        <w:outlineLvl w:val="4"/>
        <w:rPr>
          <w:rFonts w:ascii="宋体" w:hAnsi="宋体" w:eastAsia="宋体" w:cs="宋体"/>
          <w:b/>
          <w:bCs/>
          <w:kern w:val="0"/>
          <w:sz w:val="21"/>
          <w:szCs w:val="21"/>
        </w:rPr>
      </w:pPr>
      <w:bookmarkStart w:id="543" w:name="_Toc351203502"/>
      <w:bookmarkEnd w:id="543"/>
      <w:bookmarkStart w:id="544" w:name="_Toc532377188"/>
      <w:r>
        <w:rPr>
          <w:rFonts w:hint="eastAsia" w:ascii="宋体" w:hAnsi="宋体" w:eastAsia="宋体" w:cs="宋体"/>
          <w:b/>
          <w:bCs/>
          <w:kern w:val="0"/>
          <w:sz w:val="21"/>
          <w:szCs w:val="21"/>
        </w:rPr>
        <w:t>1</w:t>
      </w:r>
      <w:bookmarkEnd w:id="544"/>
      <w:bookmarkStart w:id="545" w:name="_Toc296346534"/>
      <w:bookmarkEnd w:id="545"/>
      <w:bookmarkStart w:id="546" w:name="_Toc337558733"/>
      <w:bookmarkEnd w:id="546"/>
      <w:bookmarkStart w:id="547" w:name="_Toc296503033"/>
      <w:r>
        <w:rPr>
          <w:rFonts w:hint="eastAsia" w:ascii="宋体" w:hAnsi="宋体" w:eastAsia="宋体" w:cs="宋体"/>
          <w:b/>
          <w:bCs/>
          <w:kern w:val="0"/>
          <w:sz w:val="21"/>
          <w:szCs w:val="21"/>
        </w:rPr>
        <w:t>.7联络</w:t>
      </w:r>
      <w:bookmarkEnd w:id="547"/>
    </w:p>
    <w:p w14:paraId="1D3F7E7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1.7.1 与合同有关的通知、批准、证明、证书、指示、指令、要求、请求、同意、意见、确定和决定等，均应采用书面形式，并应在合同约定的期限内送达接收人和送达地点。</w:t>
      </w:r>
    </w:p>
    <w:p w14:paraId="316868A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1.7.2 发包人和承包人应在专用合同条款中约定各自的送达接收人和送达地点。任何一方合同当事人指定的接收人或送达地点发生变动的，应提前3天以书面形式通知对方。</w:t>
      </w:r>
    </w:p>
    <w:p w14:paraId="3525AC5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1.7.3 发包人和承包人应当及时签收另一方送达至送达地点和指定接收人的来往信函。拒不签收的，由此增加的费用和（或）延误的工期由拒绝接收一方承担。</w:t>
      </w:r>
    </w:p>
    <w:p w14:paraId="5CB8A64C">
      <w:pPr>
        <w:widowControl/>
        <w:spacing w:line="360" w:lineRule="auto"/>
        <w:jc w:val="left"/>
        <w:outlineLvl w:val="4"/>
        <w:rPr>
          <w:rFonts w:ascii="宋体" w:hAnsi="宋体" w:eastAsia="宋体" w:cs="宋体"/>
          <w:b/>
          <w:bCs/>
          <w:kern w:val="0"/>
          <w:sz w:val="21"/>
          <w:szCs w:val="21"/>
        </w:rPr>
      </w:pPr>
      <w:bookmarkStart w:id="548" w:name="_Toc532377189"/>
      <w:bookmarkEnd w:id="548"/>
      <w:bookmarkStart w:id="549" w:name="_Toc351203503"/>
      <w:r>
        <w:rPr>
          <w:rFonts w:hint="eastAsia" w:ascii="宋体" w:hAnsi="宋体" w:eastAsia="宋体" w:cs="宋体"/>
          <w:b/>
          <w:bCs/>
          <w:kern w:val="0"/>
          <w:sz w:val="21"/>
          <w:szCs w:val="21"/>
        </w:rPr>
        <w:t>1</w:t>
      </w:r>
      <w:bookmarkEnd w:id="549"/>
      <w:bookmarkStart w:id="550" w:name="_Toc296346536"/>
      <w:bookmarkEnd w:id="550"/>
      <w:bookmarkStart w:id="551" w:name="_Toc337558734"/>
      <w:bookmarkEnd w:id="551"/>
      <w:bookmarkStart w:id="552" w:name="_Toc296503035"/>
      <w:r>
        <w:rPr>
          <w:rFonts w:hint="eastAsia" w:ascii="宋体" w:hAnsi="宋体" w:eastAsia="宋体" w:cs="宋体"/>
          <w:b/>
          <w:bCs/>
          <w:kern w:val="0"/>
          <w:sz w:val="21"/>
          <w:szCs w:val="21"/>
        </w:rPr>
        <w:t>.8严禁贿赂</w:t>
      </w:r>
      <w:bookmarkEnd w:id="552"/>
    </w:p>
    <w:p w14:paraId="4D69568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合同当事人不得以贿赂或变相贿赂的方式，谋取非法利益或损害对方权益。因一方合同当事人的贿赂造成对方损失的，应赔偿损失，并承担相应的法律责任。</w:t>
      </w:r>
    </w:p>
    <w:p w14:paraId="1F48437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42C6CEA7">
      <w:pPr>
        <w:widowControl/>
        <w:spacing w:line="360" w:lineRule="auto"/>
        <w:jc w:val="left"/>
        <w:outlineLvl w:val="4"/>
        <w:rPr>
          <w:rFonts w:ascii="宋体" w:hAnsi="宋体" w:eastAsia="宋体" w:cs="宋体"/>
          <w:b/>
          <w:bCs/>
          <w:kern w:val="0"/>
          <w:sz w:val="21"/>
          <w:szCs w:val="21"/>
        </w:rPr>
      </w:pPr>
      <w:bookmarkStart w:id="553" w:name="_Toc532377190"/>
      <w:bookmarkEnd w:id="553"/>
      <w:bookmarkStart w:id="554" w:name="_Toc351203504"/>
      <w:r>
        <w:rPr>
          <w:rFonts w:hint="eastAsia" w:ascii="宋体" w:hAnsi="宋体" w:eastAsia="宋体" w:cs="宋体"/>
          <w:b/>
          <w:bCs/>
          <w:kern w:val="0"/>
          <w:sz w:val="21"/>
          <w:szCs w:val="21"/>
        </w:rPr>
        <w:t>1</w:t>
      </w:r>
      <w:bookmarkEnd w:id="554"/>
      <w:bookmarkStart w:id="555" w:name="_Toc296503036"/>
      <w:bookmarkEnd w:id="555"/>
      <w:bookmarkStart w:id="556" w:name="_Toc337558735"/>
      <w:bookmarkEnd w:id="556"/>
      <w:bookmarkStart w:id="557" w:name="_Toc296346537"/>
      <w:r>
        <w:rPr>
          <w:rFonts w:hint="eastAsia" w:ascii="宋体" w:hAnsi="宋体" w:eastAsia="宋体" w:cs="宋体"/>
          <w:b/>
          <w:bCs/>
          <w:kern w:val="0"/>
          <w:sz w:val="21"/>
          <w:szCs w:val="21"/>
        </w:rPr>
        <w:t>.9化石、文物</w:t>
      </w:r>
      <w:bookmarkEnd w:id="557"/>
    </w:p>
    <w:p w14:paraId="638A3BE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6C5801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发包人、监理人和承包人应按有关政府行政管理部门要求采取妥善的保护措施，由此增加的费用和（或）延误的工期由发包人承担。</w:t>
      </w:r>
    </w:p>
    <w:p w14:paraId="5CAA00A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承包人发现文物后不及时报告或隐瞒不报，致使文物丢失或损坏的，应赔偿损失，并承担相应的法律责任。</w:t>
      </w:r>
    </w:p>
    <w:p w14:paraId="46C6DD6D">
      <w:pPr>
        <w:widowControl/>
        <w:spacing w:line="360" w:lineRule="auto"/>
        <w:jc w:val="left"/>
        <w:outlineLvl w:val="4"/>
        <w:rPr>
          <w:rFonts w:ascii="宋体" w:hAnsi="宋体" w:eastAsia="宋体" w:cs="宋体"/>
          <w:b/>
          <w:bCs/>
          <w:kern w:val="0"/>
          <w:sz w:val="21"/>
          <w:szCs w:val="21"/>
        </w:rPr>
      </w:pPr>
      <w:bookmarkStart w:id="558" w:name="_Toc351203505"/>
      <w:bookmarkEnd w:id="558"/>
      <w:bookmarkStart w:id="559" w:name="_Toc532377191"/>
      <w:r>
        <w:rPr>
          <w:rFonts w:hint="eastAsia" w:ascii="宋体" w:hAnsi="宋体" w:eastAsia="宋体" w:cs="宋体"/>
          <w:b/>
          <w:bCs/>
          <w:kern w:val="0"/>
          <w:sz w:val="21"/>
          <w:szCs w:val="21"/>
        </w:rPr>
        <w:t>1</w:t>
      </w:r>
      <w:bookmarkEnd w:id="559"/>
      <w:bookmarkStart w:id="560" w:name="_Toc337558736"/>
      <w:r>
        <w:rPr>
          <w:rFonts w:hint="eastAsia" w:ascii="宋体" w:hAnsi="宋体" w:eastAsia="宋体" w:cs="宋体"/>
          <w:b/>
          <w:bCs/>
          <w:kern w:val="0"/>
          <w:sz w:val="21"/>
          <w:szCs w:val="21"/>
        </w:rPr>
        <w:t>.10交通运输</w:t>
      </w:r>
      <w:bookmarkEnd w:id="560"/>
    </w:p>
    <w:p w14:paraId="459B8D5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1.10.1 出入现场的权利</w:t>
      </w:r>
    </w:p>
    <w:p w14:paraId="1C76EBA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33835B6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4C8620F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1.10.2 场外交通</w:t>
      </w:r>
    </w:p>
    <w:p w14:paraId="13329BE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11FCFB0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1.10.3场内交通</w:t>
      </w:r>
    </w:p>
    <w:p w14:paraId="4B7A24C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236E505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7646758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场外交通和场内交通的边界由合同当事人在专用合同条款中约定。</w:t>
      </w:r>
    </w:p>
    <w:p w14:paraId="5E19A5C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1.10.4 超大件和超重件的运输</w:t>
      </w:r>
    </w:p>
    <w:p w14:paraId="14369E8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63BB2C5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1.10.5 道路和桥梁的损坏责任</w:t>
      </w:r>
    </w:p>
    <w:p w14:paraId="3F478A8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因承包人运输造成施工场地内外公共道路和桥梁损坏的，由承包人承担修复损坏的全部费用和可能引起的赔偿。</w:t>
      </w:r>
    </w:p>
    <w:p w14:paraId="6813B1D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1.10.6 水路和航空运输</w:t>
      </w:r>
    </w:p>
    <w:p w14:paraId="276C49A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本款前述各项的内容适用于水路运输和航空运输，其中“道路”一词的涵义包括河道、航线、船闸、机场、码头、堤防以及水路或航空运输中其他相似结构物；“车辆”一词的涵义包括船舶和飞机等。</w:t>
      </w:r>
    </w:p>
    <w:p w14:paraId="237DDC71">
      <w:pPr>
        <w:widowControl/>
        <w:spacing w:line="360" w:lineRule="auto"/>
        <w:jc w:val="left"/>
        <w:outlineLvl w:val="4"/>
        <w:rPr>
          <w:rFonts w:ascii="宋体" w:hAnsi="宋体" w:eastAsia="宋体" w:cs="宋体"/>
          <w:b/>
          <w:bCs/>
          <w:kern w:val="0"/>
          <w:sz w:val="21"/>
          <w:szCs w:val="21"/>
        </w:rPr>
      </w:pPr>
      <w:bookmarkStart w:id="561" w:name="_Toc532377192"/>
      <w:bookmarkEnd w:id="561"/>
      <w:bookmarkStart w:id="562" w:name="_Toc351203506"/>
      <w:r>
        <w:rPr>
          <w:rFonts w:hint="eastAsia" w:ascii="宋体" w:hAnsi="宋体" w:eastAsia="宋体" w:cs="宋体"/>
          <w:b/>
          <w:bCs/>
          <w:kern w:val="0"/>
          <w:sz w:val="21"/>
          <w:szCs w:val="21"/>
        </w:rPr>
        <w:t>1</w:t>
      </w:r>
      <w:bookmarkEnd w:id="562"/>
      <w:bookmarkStart w:id="563" w:name="_Toc296503037"/>
      <w:bookmarkEnd w:id="563"/>
      <w:bookmarkStart w:id="564" w:name="_Toc296346538"/>
      <w:bookmarkEnd w:id="564"/>
      <w:bookmarkStart w:id="565" w:name="_Toc337558737"/>
      <w:r>
        <w:rPr>
          <w:rFonts w:hint="eastAsia" w:ascii="宋体" w:hAnsi="宋体" w:eastAsia="宋体" w:cs="宋体"/>
          <w:b/>
          <w:bCs/>
          <w:kern w:val="0"/>
          <w:sz w:val="21"/>
          <w:szCs w:val="21"/>
        </w:rPr>
        <w:t>.11知识产权</w:t>
      </w:r>
      <w:bookmarkEnd w:id="565"/>
    </w:p>
    <w:p w14:paraId="2DA31F2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53DC2EB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2A6F806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61CADA7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1.11.4 除专用合同条款另有约定外，承包人在合同签订前和签订时已确定采用的专利、专有技术、技术秘密的使用费已包含在签约合同价中。</w:t>
      </w:r>
    </w:p>
    <w:p w14:paraId="018157C9">
      <w:pPr>
        <w:widowControl/>
        <w:spacing w:line="360" w:lineRule="auto"/>
        <w:jc w:val="left"/>
        <w:outlineLvl w:val="4"/>
        <w:rPr>
          <w:rFonts w:ascii="宋体" w:hAnsi="宋体" w:eastAsia="宋体" w:cs="宋体"/>
          <w:b/>
          <w:bCs/>
          <w:kern w:val="0"/>
          <w:sz w:val="21"/>
          <w:szCs w:val="21"/>
        </w:rPr>
      </w:pPr>
      <w:bookmarkStart w:id="566" w:name="_Toc351203507"/>
      <w:bookmarkEnd w:id="566"/>
      <w:bookmarkStart w:id="567" w:name="_Toc532377193"/>
      <w:r>
        <w:rPr>
          <w:rFonts w:hint="eastAsia" w:ascii="宋体" w:hAnsi="宋体" w:eastAsia="宋体" w:cs="宋体"/>
          <w:b/>
          <w:bCs/>
          <w:kern w:val="0"/>
          <w:sz w:val="21"/>
          <w:szCs w:val="21"/>
        </w:rPr>
        <w:t>1</w:t>
      </w:r>
      <w:bookmarkEnd w:id="567"/>
      <w:bookmarkStart w:id="568" w:name="_Toc337558738"/>
      <w:r>
        <w:rPr>
          <w:rFonts w:hint="eastAsia" w:ascii="宋体" w:hAnsi="宋体" w:eastAsia="宋体" w:cs="宋体"/>
          <w:b/>
          <w:bCs/>
          <w:kern w:val="0"/>
          <w:sz w:val="21"/>
          <w:szCs w:val="21"/>
        </w:rPr>
        <w:t>.12保密</w:t>
      </w:r>
      <w:bookmarkEnd w:id="568"/>
    </w:p>
    <w:p w14:paraId="6A68AA0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除法律规定或合同另有约定外，未经发包人同意，承包人不得将发包人提供的图纸、文件以及声明需要保密的资料信息等商业秘密泄露给第三方。</w:t>
      </w:r>
    </w:p>
    <w:p w14:paraId="1033A7E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除法律规定或合同另有约定外，未经承包人同意，发包人不得将承包人提供的技术秘密及声明需要保密的资料信息等商业秘密泄露给第三方。</w:t>
      </w:r>
    </w:p>
    <w:p w14:paraId="74395DE4">
      <w:pPr>
        <w:widowControl/>
        <w:spacing w:line="360" w:lineRule="auto"/>
        <w:jc w:val="left"/>
        <w:outlineLvl w:val="4"/>
        <w:rPr>
          <w:rFonts w:ascii="宋体" w:hAnsi="宋体" w:eastAsia="宋体" w:cs="宋体"/>
          <w:b/>
          <w:bCs/>
          <w:kern w:val="0"/>
          <w:sz w:val="21"/>
          <w:szCs w:val="21"/>
        </w:rPr>
      </w:pPr>
      <w:bookmarkStart w:id="569" w:name="_Toc351203508"/>
      <w:bookmarkEnd w:id="569"/>
      <w:bookmarkStart w:id="570" w:name="_Toc532377194"/>
      <w:r>
        <w:rPr>
          <w:rFonts w:hint="eastAsia" w:ascii="宋体" w:hAnsi="宋体" w:eastAsia="宋体" w:cs="宋体"/>
          <w:b/>
          <w:bCs/>
          <w:kern w:val="0"/>
          <w:sz w:val="21"/>
          <w:szCs w:val="21"/>
        </w:rPr>
        <w:t>1.13工程量清单错误的修正</w:t>
      </w:r>
      <w:bookmarkEnd w:id="570"/>
    </w:p>
    <w:p w14:paraId="7D7292A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除专用合同条款另有约定外，发包人提供的工程量清单，应被认为是准确的和完整的。出现下列情形之一时，发包人应予以修正，并相应调整合同价格：</w:t>
      </w:r>
    </w:p>
    <w:p w14:paraId="779371A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（1）工程量清单存在缺项、漏项的；</w:t>
      </w:r>
    </w:p>
    <w:p w14:paraId="1D8F50F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（2）工程量清单偏差超出专用合同条款约定的工程量偏差范围的；</w:t>
      </w:r>
    </w:p>
    <w:p w14:paraId="7DDB61E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（3）未按照国家现行计量规范强制性规定计量的。</w:t>
      </w:r>
    </w:p>
    <w:p w14:paraId="1F4A018F">
      <w:pPr>
        <w:keepNext/>
        <w:keepLines/>
        <w:spacing w:before="156" w:beforeLines="50" w:after="156" w:afterLines="50" w:line="360" w:lineRule="auto"/>
        <w:outlineLvl w:val="3"/>
        <w:rPr>
          <w:rFonts w:ascii="宋体" w:hAnsi="宋体" w:eastAsia="宋体" w:cs="宋体"/>
          <w:b/>
          <w:bCs/>
          <w:sz w:val="21"/>
          <w:szCs w:val="21"/>
        </w:rPr>
      </w:pPr>
      <w:bookmarkStart w:id="571" w:name="_Toc532375588"/>
      <w:bookmarkEnd w:id="571"/>
      <w:bookmarkStart w:id="572" w:name="_Toc351203509"/>
      <w:bookmarkEnd w:id="572"/>
      <w:bookmarkStart w:id="573" w:name="_Toc532377195"/>
      <w:r>
        <w:rPr>
          <w:rFonts w:hint="eastAsia" w:ascii="宋体" w:hAnsi="宋体" w:eastAsia="宋体" w:cs="宋体"/>
          <w:b/>
          <w:bCs/>
          <w:sz w:val="21"/>
          <w:szCs w:val="21"/>
        </w:rPr>
        <w:t>2</w:t>
      </w:r>
      <w:bookmarkEnd w:id="573"/>
      <w:bookmarkStart w:id="574" w:name="_Toc296503038"/>
      <w:bookmarkEnd w:id="574"/>
      <w:bookmarkStart w:id="575" w:name="_Toc337558739"/>
      <w:bookmarkEnd w:id="575"/>
      <w:bookmarkStart w:id="576" w:name="_Toc296346539"/>
      <w:bookmarkEnd w:id="576"/>
      <w:r>
        <w:rPr>
          <w:rFonts w:hint="eastAsia" w:ascii="宋体" w:hAnsi="宋体" w:eastAsia="宋体" w:cs="宋体"/>
          <w:b/>
          <w:bCs/>
          <w:sz w:val="21"/>
          <w:szCs w:val="21"/>
        </w:rPr>
        <w:t>. 发包人</w:t>
      </w:r>
    </w:p>
    <w:p w14:paraId="4151B711">
      <w:pPr>
        <w:widowControl/>
        <w:spacing w:line="360" w:lineRule="auto"/>
        <w:jc w:val="left"/>
        <w:outlineLvl w:val="4"/>
        <w:rPr>
          <w:rFonts w:ascii="宋体" w:hAnsi="宋体" w:eastAsia="宋体" w:cs="宋体"/>
          <w:b/>
          <w:bCs/>
          <w:kern w:val="0"/>
          <w:sz w:val="21"/>
          <w:szCs w:val="21"/>
        </w:rPr>
      </w:pPr>
      <w:bookmarkStart w:id="577" w:name="_Toc532377196"/>
      <w:bookmarkEnd w:id="577"/>
      <w:bookmarkStart w:id="578" w:name="_Toc351203510"/>
      <w:bookmarkEnd w:id="578"/>
      <w:r>
        <w:rPr>
          <w:rFonts w:hint="eastAsia" w:ascii="宋体" w:hAnsi="宋体" w:eastAsia="宋体" w:cs="宋体"/>
          <w:b/>
          <w:bCs/>
          <w:kern w:val="0"/>
          <w:sz w:val="21"/>
          <w:szCs w:val="21"/>
        </w:rPr>
        <w:t>2</w:t>
      </w:r>
      <w:bookmarkStart w:id="579" w:name="_Toc296346540"/>
      <w:bookmarkEnd w:id="579"/>
      <w:bookmarkStart w:id="580" w:name="_Toc337558740"/>
      <w:bookmarkEnd w:id="580"/>
      <w:bookmarkStart w:id="581" w:name="_Toc296503039"/>
      <w:r>
        <w:rPr>
          <w:rFonts w:hint="eastAsia" w:ascii="宋体" w:hAnsi="宋体" w:eastAsia="宋体" w:cs="宋体"/>
          <w:b/>
          <w:bCs/>
          <w:kern w:val="0"/>
          <w:sz w:val="21"/>
          <w:szCs w:val="21"/>
        </w:rPr>
        <w:t>.1 许可或批准</w:t>
      </w:r>
      <w:bookmarkEnd w:id="581"/>
    </w:p>
    <w:p w14:paraId="3A8FFEC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430E142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因发包人原因未能及时办理完毕前述许可、批准或备案，由发包人承担由此增加的费用和（或）延误的工期，并支付承包人合理的利润。</w:t>
      </w:r>
    </w:p>
    <w:p w14:paraId="3F556A1F">
      <w:pPr>
        <w:widowControl/>
        <w:spacing w:line="360" w:lineRule="auto"/>
        <w:jc w:val="left"/>
        <w:outlineLvl w:val="4"/>
        <w:rPr>
          <w:rFonts w:ascii="宋体" w:hAnsi="宋体" w:eastAsia="宋体" w:cs="宋体"/>
          <w:b/>
          <w:bCs/>
          <w:kern w:val="0"/>
          <w:sz w:val="21"/>
          <w:szCs w:val="21"/>
        </w:rPr>
      </w:pPr>
      <w:bookmarkStart w:id="582" w:name="_Toc351203511"/>
      <w:bookmarkEnd w:id="582"/>
      <w:bookmarkStart w:id="583" w:name="_Toc532377197"/>
      <w:r>
        <w:rPr>
          <w:rFonts w:hint="eastAsia" w:ascii="宋体" w:hAnsi="宋体" w:eastAsia="宋体" w:cs="宋体"/>
          <w:b/>
          <w:bCs/>
          <w:kern w:val="0"/>
          <w:sz w:val="21"/>
          <w:szCs w:val="21"/>
        </w:rPr>
        <w:t>2.2 发包人代表</w:t>
      </w:r>
      <w:bookmarkEnd w:id="583"/>
    </w:p>
    <w:p w14:paraId="71DAC1E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34D0D0A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发包人代表不能按照合同约定履行其职责及义务，并导致合同无法继续正常履行的，承包人可以要求发包人撤换发包人代表。</w:t>
      </w:r>
    </w:p>
    <w:p w14:paraId="05A0AE3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不属于法定必须监理的工程，监理人的职权可以由发包人代表或发包人指定的其他人员行使。</w:t>
      </w:r>
    </w:p>
    <w:p w14:paraId="01828C41">
      <w:pPr>
        <w:widowControl/>
        <w:spacing w:line="360" w:lineRule="auto"/>
        <w:jc w:val="left"/>
        <w:outlineLvl w:val="4"/>
        <w:rPr>
          <w:rFonts w:ascii="宋体" w:hAnsi="宋体" w:eastAsia="宋体" w:cs="宋体"/>
          <w:b/>
          <w:bCs/>
          <w:kern w:val="0"/>
          <w:sz w:val="21"/>
          <w:szCs w:val="21"/>
        </w:rPr>
      </w:pPr>
      <w:bookmarkStart w:id="584" w:name="_Toc532377198"/>
      <w:bookmarkEnd w:id="584"/>
      <w:bookmarkStart w:id="585" w:name="_Toc351203512"/>
      <w:r>
        <w:rPr>
          <w:rFonts w:hint="eastAsia" w:ascii="宋体" w:hAnsi="宋体" w:eastAsia="宋体" w:cs="宋体"/>
          <w:b/>
          <w:bCs/>
          <w:kern w:val="0"/>
          <w:sz w:val="21"/>
          <w:szCs w:val="21"/>
        </w:rPr>
        <w:t>2.3 发包人人员</w:t>
      </w:r>
      <w:bookmarkEnd w:id="585"/>
    </w:p>
    <w:p w14:paraId="56602A7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发包人应要求在施工现场的发包人人员遵守法律及有关安全、质量、环境保护、文明施工等规定，并保障承包人免于承受因发包人人员未遵守上述要求给承包人造成的损失和责任。</w:t>
      </w:r>
    </w:p>
    <w:p w14:paraId="62503DE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发包人人员包括发包人代表及其他由发包人派驻施工现场的人员。</w:t>
      </w:r>
    </w:p>
    <w:p w14:paraId="6AED3978">
      <w:pPr>
        <w:widowControl/>
        <w:spacing w:line="360" w:lineRule="auto"/>
        <w:jc w:val="left"/>
        <w:outlineLvl w:val="4"/>
        <w:rPr>
          <w:rFonts w:ascii="宋体" w:hAnsi="宋体" w:eastAsia="宋体" w:cs="宋体"/>
          <w:b/>
          <w:bCs/>
          <w:kern w:val="0"/>
          <w:sz w:val="21"/>
          <w:szCs w:val="21"/>
        </w:rPr>
      </w:pPr>
      <w:bookmarkStart w:id="586" w:name="_Toc351203513"/>
      <w:bookmarkEnd w:id="586"/>
      <w:bookmarkStart w:id="587" w:name="_Toc532377199"/>
      <w:r>
        <w:rPr>
          <w:rFonts w:hint="eastAsia" w:ascii="宋体" w:hAnsi="宋体" w:eastAsia="宋体" w:cs="宋体"/>
          <w:b/>
          <w:bCs/>
          <w:kern w:val="0"/>
          <w:sz w:val="21"/>
          <w:szCs w:val="21"/>
        </w:rPr>
        <w:t>2</w:t>
      </w:r>
      <w:bookmarkEnd w:id="587"/>
      <w:bookmarkStart w:id="588" w:name="_Toc296503040"/>
      <w:bookmarkEnd w:id="588"/>
      <w:bookmarkStart w:id="589" w:name="_Toc296346541"/>
      <w:bookmarkEnd w:id="589"/>
      <w:bookmarkStart w:id="590" w:name="_Toc337558741"/>
      <w:r>
        <w:rPr>
          <w:rFonts w:hint="eastAsia" w:ascii="宋体" w:hAnsi="宋体" w:eastAsia="宋体" w:cs="宋体"/>
          <w:b/>
          <w:bCs/>
          <w:kern w:val="0"/>
          <w:sz w:val="21"/>
          <w:szCs w:val="21"/>
        </w:rPr>
        <w:t>.4 施工现场、施工条件和基础资料的提供</w:t>
      </w:r>
      <w:bookmarkEnd w:id="590"/>
    </w:p>
    <w:p w14:paraId="3B2B105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2.4.1 提供施工现场</w:t>
      </w:r>
    </w:p>
    <w:p w14:paraId="1266548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除专用合同条款另有约定外，发包人应最迟于开工日期7天前向承包人移交施工现场。</w:t>
      </w:r>
    </w:p>
    <w:p w14:paraId="7F3AEC5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2.4.2 提供施工条件</w:t>
      </w:r>
    </w:p>
    <w:p w14:paraId="3FACDE7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除专用合同条款另有约定外，发包人应负责提供施工所需要的条件，包括：</w:t>
      </w:r>
    </w:p>
    <w:p w14:paraId="5FFEBF3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（1）将施工用水、电力、通讯线路等施工所必需的条件接至施工现场内；</w:t>
      </w:r>
    </w:p>
    <w:p w14:paraId="663AE73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（2）保证向承包人提供正常施工所需要的进入施工现场的交通条件；</w:t>
      </w:r>
    </w:p>
    <w:p w14:paraId="5D62AFD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（3）协调处理施工现场周围地下管线和邻近建筑物、构筑物、古树名木的保护工作，并承担相关费用；</w:t>
      </w:r>
    </w:p>
    <w:p w14:paraId="2A1A2E3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（4）按照专用合同条款约定应提供的其他设施和条件。</w:t>
      </w:r>
    </w:p>
    <w:p w14:paraId="30CF5E6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2.4.3 提供基础资料</w:t>
      </w:r>
    </w:p>
    <w:p w14:paraId="4C4F156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7D44B8F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按照法律规定确需在开工后方能提供的基础资料，发包人应尽其努力及时地在相应工程施工前的合理期限内提供，合理期限应以不影响承包人的正常施工为限。</w:t>
      </w:r>
    </w:p>
    <w:p w14:paraId="698DEB0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2.4.4 逾期提供的责任</w:t>
      </w:r>
    </w:p>
    <w:p w14:paraId="1C8F248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因发包人原因未能按合同约定及时向承包人提供施工现场、施工条件、基础资料的，由发包人承担由此增加的费用和（或）延误的工期。</w:t>
      </w:r>
    </w:p>
    <w:p w14:paraId="273DF2A9">
      <w:pPr>
        <w:widowControl/>
        <w:spacing w:line="360" w:lineRule="auto"/>
        <w:jc w:val="left"/>
        <w:outlineLvl w:val="4"/>
        <w:rPr>
          <w:rFonts w:ascii="宋体" w:hAnsi="宋体" w:eastAsia="宋体" w:cs="宋体"/>
          <w:b/>
          <w:bCs/>
          <w:kern w:val="0"/>
          <w:sz w:val="21"/>
          <w:szCs w:val="21"/>
        </w:rPr>
      </w:pPr>
      <w:bookmarkStart w:id="591" w:name="_Toc351203514"/>
      <w:bookmarkEnd w:id="591"/>
      <w:bookmarkStart w:id="592" w:name="_Toc532377200"/>
      <w:r>
        <w:rPr>
          <w:rFonts w:hint="eastAsia" w:ascii="宋体" w:hAnsi="宋体" w:eastAsia="宋体" w:cs="宋体"/>
          <w:b/>
          <w:bCs/>
          <w:kern w:val="0"/>
          <w:sz w:val="21"/>
          <w:szCs w:val="21"/>
        </w:rPr>
        <w:t>2</w:t>
      </w:r>
      <w:bookmarkEnd w:id="592"/>
      <w:bookmarkStart w:id="593" w:name="_Toc296503042"/>
      <w:bookmarkEnd w:id="593"/>
      <w:bookmarkStart w:id="594" w:name="_Toc296346543"/>
      <w:bookmarkEnd w:id="594"/>
      <w:bookmarkStart w:id="595" w:name="_Toc337558745"/>
      <w:r>
        <w:rPr>
          <w:rFonts w:hint="eastAsia" w:ascii="宋体" w:hAnsi="宋体" w:eastAsia="宋体" w:cs="宋体"/>
          <w:b/>
          <w:bCs/>
          <w:kern w:val="0"/>
          <w:sz w:val="21"/>
          <w:szCs w:val="21"/>
        </w:rPr>
        <w:t>.5 资</w:t>
      </w:r>
      <w:bookmarkEnd w:id="595"/>
      <w:r>
        <w:rPr>
          <w:rFonts w:hint="eastAsia" w:ascii="宋体" w:hAnsi="宋体" w:eastAsia="宋体" w:cs="宋体"/>
          <w:b/>
          <w:bCs/>
          <w:kern w:val="0"/>
          <w:sz w:val="21"/>
          <w:szCs w:val="21"/>
        </w:rPr>
        <w:t>金来源证明及支付担保</w:t>
      </w:r>
    </w:p>
    <w:p w14:paraId="3897FD1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除专用合同条款另有约定外，发包人应在收到承包人要求提供资金来源证明的书面通知后28天内，向承包人提供能够按照合同约定支付合同价款的相应资金来源证明。</w:t>
      </w:r>
    </w:p>
    <w:p w14:paraId="5FDE99B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14:paraId="09DFA4A6">
      <w:pPr>
        <w:widowControl/>
        <w:spacing w:line="360" w:lineRule="auto"/>
        <w:jc w:val="left"/>
        <w:outlineLvl w:val="4"/>
        <w:rPr>
          <w:rFonts w:ascii="宋体" w:hAnsi="宋体" w:eastAsia="宋体" w:cs="宋体"/>
          <w:b/>
          <w:bCs/>
          <w:kern w:val="0"/>
          <w:sz w:val="21"/>
          <w:szCs w:val="21"/>
        </w:rPr>
      </w:pPr>
      <w:bookmarkStart w:id="596" w:name="_Toc532377201"/>
      <w:bookmarkEnd w:id="596"/>
      <w:bookmarkStart w:id="597" w:name="_Toc351203515"/>
      <w:r>
        <w:rPr>
          <w:rFonts w:hint="eastAsia" w:ascii="宋体" w:hAnsi="宋体" w:eastAsia="宋体" w:cs="宋体"/>
          <w:b/>
          <w:bCs/>
          <w:kern w:val="0"/>
          <w:sz w:val="21"/>
          <w:szCs w:val="21"/>
        </w:rPr>
        <w:t>2.6 支付合同价款</w:t>
      </w:r>
      <w:bookmarkEnd w:id="597"/>
    </w:p>
    <w:p w14:paraId="58565F6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发包人应按合同约定向承包人及时支付合同价款。</w:t>
      </w:r>
    </w:p>
    <w:p w14:paraId="423C01C8">
      <w:pPr>
        <w:widowControl/>
        <w:spacing w:line="360" w:lineRule="auto"/>
        <w:jc w:val="left"/>
        <w:outlineLvl w:val="4"/>
        <w:rPr>
          <w:rFonts w:ascii="宋体" w:hAnsi="宋体" w:eastAsia="宋体" w:cs="宋体"/>
          <w:b/>
          <w:bCs/>
          <w:kern w:val="0"/>
          <w:sz w:val="21"/>
          <w:szCs w:val="21"/>
        </w:rPr>
      </w:pPr>
      <w:bookmarkStart w:id="598" w:name="_Toc532377202"/>
      <w:bookmarkEnd w:id="598"/>
      <w:bookmarkStart w:id="599" w:name="_Toc351203516"/>
      <w:r>
        <w:rPr>
          <w:rFonts w:hint="eastAsia" w:ascii="宋体" w:hAnsi="宋体" w:eastAsia="宋体" w:cs="宋体"/>
          <w:b/>
          <w:bCs/>
          <w:kern w:val="0"/>
          <w:sz w:val="21"/>
          <w:szCs w:val="21"/>
        </w:rPr>
        <w:t>2.7 组织竣工验收</w:t>
      </w:r>
      <w:bookmarkEnd w:id="599"/>
    </w:p>
    <w:p w14:paraId="53C1D80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发包人应按合同约定及时组织竣工验收。</w:t>
      </w:r>
    </w:p>
    <w:p w14:paraId="6C483346">
      <w:pPr>
        <w:widowControl/>
        <w:spacing w:line="360" w:lineRule="auto"/>
        <w:jc w:val="left"/>
        <w:outlineLvl w:val="4"/>
        <w:rPr>
          <w:rFonts w:ascii="宋体" w:hAnsi="宋体" w:eastAsia="宋体" w:cs="宋体"/>
          <w:b/>
          <w:bCs/>
          <w:kern w:val="0"/>
          <w:sz w:val="21"/>
          <w:szCs w:val="21"/>
        </w:rPr>
      </w:pPr>
      <w:bookmarkStart w:id="600" w:name="_Toc532377203"/>
      <w:bookmarkEnd w:id="600"/>
      <w:bookmarkStart w:id="601" w:name="_Toc351203517"/>
      <w:r>
        <w:rPr>
          <w:rFonts w:hint="eastAsia" w:ascii="宋体" w:hAnsi="宋体" w:eastAsia="宋体" w:cs="宋体"/>
          <w:b/>
          <w:bCs/>
          <w:kern w:val="0"/>
          <w:sz w:val="21"/>
          <w:szCs w:val="21"/>
        </w:rPr>
        <w:t>2.8 现场统一管理协议</w:t>
      </w:r>
      <w:bookmarkEnd w:id="601"/>
    </w:p>
    <w:p w14:paraId="72E2F3A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发包人应与承包人、由发包人直接发包的专业工程的承包人签订施工现场统一管理协议，明确各方的权利义务。施工现场统一管理协议作为专用合同条款的附件。</w:t>
      </w:r>
    </w:p>
    <w:p w14:paraId="0911695A">
      <w:pPr>
        <w:keepNext/>
        <w:keepLines/>
        <w:spacing w:before="156" w:beforeLines="50" w:after="156" w:afterLines="50" w:line="360" w:lineRule="auto"/>
        <w:outlineLvl w:val="3"/>
        <w:rPr>
          <w:rFonts w:ascii="宋体" w:hAnsi="宋体" w:eastAsia="宋体" w:cs="宋体"/>
          <w:b/>
          <w:sz w:val="21"/>
          <w:szCs w:val="21"/>
        </w:rPr>
      </w:pPr>
      <w:bookmarkStart w:id="602" w:name="_Toc351203518"/>
      <w:bookmarkEnd w:id="602"/>
      <w:bookmarkStart w:id="603" w:name="_Toc532375589"/>
      <w:bookmarkEnd w:id="603"/>
      <w:bookmarkStart w:id="604" w:name="_Toc532377204"/>
      <w:r>
        <w:rPr>
          <w:rFonts w:hint="eastAsia" w:ascii="宋体" w:hAnsi="宋体" w:eastAsia="宋体" w:cs="宋体"/>
          <w:b/>
          <w:bCs/>
          <w:sz w:val="21"/>
          <w:szCs w:val="21"/>
        </w:rPr>
        <w:t>3</w:t>
      </w:r>
      <w:bookmarkEnd w:id="604"/>
      <w:bookmarkStart w:id="605" w:name="_Toc296346546"/>
      <w:bookmarkEnd w:id="605"/>
      <w:bookmarkStart w:id="606" w:name="_Toc337558746"/>
      <w:bookmarkEnd w:id="606"/>
      <w:bookmarkStart w:id="607" w:name="_Toc296503045"/>
      <w:r>
        <w:rPr>
          <w:rFonts w:hint="eastAsia" w:ascii="宋体" w:hAnsi="宋体" w:eastAsia="宋体" w:cs="宋体"/>
          <w:b/>
          <w:bCs/>
          <w:sz w:val="21"/>
          <w:szCs w:val="21"/>
        </w:rPr>
        <w:t>. 承包人</w:t>
      </w:r>
      <w:bookmarkEnd w:id="607"/>
    </w:p>
    <w:p w14:paraId="5A2DF00C">
      <w:pPr>
        <w:widowControl/>
        <w:spacing w:line="360" w:lineRule="auto"/>
        <w:jc w:val="left"/>
        <w:outlineLvl w:val="4"/>
        <w:rPr>
          <w:rFonts w:ascii="宋体" w:hAnsi="宋体" w:eastAsia="宋体" w:cs="宋体"/>
          <w:b/>
          <w:bCs/>
          <w:kern w:val="0"/>
          <w:sz w:val="21"/>
          <w:szCs w:val="21"/>
        </w:rPr>
      </w:pPr>
      <w:bookmarkStart w:id="608" w:name="_Toc351203519"/>
      <w:bookmarkEnd w:id="608"/>
      <w:bookmarkStart w:id="609" w:name="_Toc532377205"/>
      <w:bookmarkEnd w:id="609"/>
      <w:r>
        <w:rPr>
          <w:rFonts w:hint="eastAsia" w:ascii="宋体" w:hAnsi="宋体" w:eastAsia="宋体" w:cs="宋体"/>
          <w:b/>
          <w:bCs/>
          <w:kern w:val="0"/>
          <w:sz w:val="21"/>
          <w:szCs w:val="21"/>
        </w:rPr>
        <w:t>3</w:t>
      </w:r>
      <w:bookmarkStart w:id="610" w:name="_Toc296503046"/>
      <w:bookmarkEnd w:id="610"/>
      <w:bookmarkStart w:id="611" w:name="_Toc337558747"/>
      <w:bookmarkEnd w:id="611"/>
      <w:bookmarkStart w:id="612" w:name="_Toc296346547"/>
      <w:r>
        <w:rPr>
          <w:rFonts w:hint="eastAsia" w:ascii="宋体" w:hAnsi="宋体" w:eastAsia="宋体" w:cs="宋体"/>
          <w:b/>
          <w:bCs/>
          <w:kern w:val="0"/>
          <w:sz w:val="21"/>
          <w:szCs w:val="21"/>
        </w:rPr>
        <w:t>.1 承包人的一般义务</w:t>
      </w:r>
      <w:bookmarkEnd w:id="612"/>
    </w:p>
    <w:p w14:paraId="48BB219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承包人在履行合同过程中应遵守法律和工程建设标准规范，并履行以下义务：</w:t>
      </w:r>
    </w:p>
    <w:p w14:paraId="449908F9">
      <w:pPr>
        <w:numPr>
          <w:ilvl w:val="0"/>
          <w:numId w:val="16"/>
        </w:numPr>
        <w:autoSpaceDE w:val="0"/>
        <w:autoSpaceDN w:val="0"/>
        <w:spacing w:line="360" w:lineRule="auto"/>
        <w:ind w:firstLine="420"/>
        <w:jc w:val="left"/>
        <w:rPr>
          <w:rFonts w:ascii="宋体" w:hAnsi="宋体" w:eastAsia="宋体" w:cs="Times New Roman"/>
          <w:kern w:val="0"/>
          <w:sz w:val="21"/>
          <w:szCs w:val="21"/>
        </w:rPr>
      </w:pPr>
      <w:r>
        <w:rPr>
          <w:rFonts w:hint="eastAsia" w:ascii="宋体" w:hAnsi="宋体" w:eastAsia="宋体" w:cs="Times New Roman"/>
          <w:kern w:val="0"/>
          <w:sz w:val="21"/>
          <w:szCs w:val="21"/>
        </w:rPr>
        <w:t>办理法律规定应由承包人办理的许可和批准，并将办理结果书面报送发包人留存；</w:t>
      </w:r>
    </w:p>
    <w:p w14:paraId="7E56776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（2）按法律规定和合同约定完成工程，并在保修期内承担保修义务；</w:t>
      </w:r>
    </w:p>
    <w:p w14:paraId="03DD904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（3）按法律规定和合同约定采取施工安全和环境保护措施，办理工伤保险，确保工程及人员、材料、设备和设施的安全；</w:t>
      </w:r>
    </w:p>
    <w:p w14:paraId="39C2B1B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（4）按合同约定的工作内容和施工进度要求，编制施工组织设计和施工措施计划，并对所有施工作业和施工方法的完备性和安全可靠性负责；</w:t>
      </w:r>
    </w:p>
    <w:p w14:paraId="36C4A41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009D9A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（6）按照第6.3款〔环境保护〕约定负责施工场地及其周边环境与生态的保护工作；</w:t>
      </w:r>
    </w:p>
    <w:p w14:paraId="317FC9F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（7）按第6.1款〔安全文明施工〕约定采取施工安全措施，确保工程及其人员、材料、设备和设施的安全，防止因工程施工造成的人身伤害和财产损失；</w:t>
      </w:r>
    </w:p>
    <w:p w14:paraId="3DBCBEB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（8）将发包人按合同约定支付的各项价款专用于合同工程，且应及时支付其雇用人员工资，并及时向分包人支付合同价款；</w:t>
      </w:r>
    </w:p>
    <w:p w14:paraId="75CC163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（9）按照法律规定和合同约定编制竣工资料，完成竣工资料立卷及归档，并按专用合同条款约定的竣工资料的套数、内容、时间等要求移交发包人；</w:t>
      </w:r>
    </w:p>
    <w:p w14:paraId="561058A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（10）应履行的其他义务。</w:t>
      </w:r>
    </w:p>
    <w:p w14:paraId="22676C3B">
      <w:pPr>
        <w:widowControl/>
        <w:spacing w:line="360" w:lineRule="auto"/>
        <w:jc w:val="left"/>
        <w:outlineLvl w:val="4"/>
        <w:rPr>
          <w:rFonts w:ascii="宋体" w:hAnsi="宋体" w:eastAsia="宋体" w:cs="宋体"/>
          <w:b/>
          <w:bCs/>
          <w:kern w:val="0"/>
          <w:sz w:val="21"/>
          <w:szCs w:val="21"/>
        </w:rPr>
      </w:pPr>
      <w:bookmarkStart w:id="613" w:name="_Toc351203520"/>
      <w:bookmarkEnd w:id="613"/>
      <w:bookmarkStart w:id="614" w:name="_Toc532377206"/>
      <w:r>
        <w:rPr>
          <w:rFonts w:hint="eastAsia" w:ascii="宋体" w:hAnsi="宋体" w:eastAsia="宋体" w:cs="宋体"/>
          <w:b/>
          <w:bCs/>
          <w:kern w:val="0"/>
          <w:sz w:val="21"/>
          <w:szCs w:val="21"/>
        </w:rPr>
        <w:t>3</w:t>
      </w:r>
      <w:bookmarkEnd w:id="614"/>
      <w:bookmarkStart w:id="615" w:name="_Toc296346548"/>
      <w:bookmarkEnd w:id="615"/>
      <w:bookmarkStart w:id="616" w:name="_Toc337558748"/>
      <w:bookmarkEnd w:id="616"/>
      <w:bookmarkStart w:id="617" w:name="_Toc296503047"/>
      <w:r>
        <w:rPr>
          <w:rFonts w:hint="eastAsia" w:ascii="宋体" w:hAnsi="宋体" w:eastAsia="宋体" w:cs="宋体"/>
          <w:b/>
          <w:bCs/>
          <w:kern w:val="0"/>
          <w:sz w:val="21"/>
          <w:szCs w:val="21"/>
        </w:rPr>
        <w:t xml:space="preserve">.2 </w:t>
      </w:r>
      <w:bookmarkEnd w:id="617"/>
      <w:r>
        <w:rPr>
          <w:rFonts w:hint="eastAsia" w:ascii="宋体" w:hAnsi="宋体" w:eastAsia="宋体" w:cs="宋体"/>
          <w:b/>
          <w:bCs/>
          <w:kern w:val="0"/>
          <w:sz w:val="21"/>
          <w:szCs w:val="21"/>
        </w:rPr>
        <w:t>项目经理</w:t>
      </w:r>
    </w:p>
    <w:p w14:paraId="109C8CF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5948061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52D7366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承包人违反上述约定的，应按照专用合同条款的约定，承担违约责任。</w:t>
      </w:r>
    </w:p>
    <w:p w14:paraId="7F8A490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4584933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5CF641D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767A12D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3.2.5 项目经理因特殊情况授权其下属人员履行其某项工作职责的，该下属人员应具备履行相应职责的能力，并应提前7天将上述人员的姓名和授权范围书面通知监理人，并征得发包人书面同意。</w:t>
      </w:r>
    </w:p>
    <w:p w14:paraId="722FC43D">
      <w:pPr>
        <w:widowControl/>
        <w:spacing w:line="360" w:lineRule="auto"/>
        <w:jc w:val="left"/>
        <w:outlineLvl w:val="4"/>
        <w:rPr>
          <w:rFonts w:ascii="宋体" w:hAnsi="宋体" w:eastAsia="宋体" w:cs="宋体"/>
          <w:b/>
          <w:bCs/>
          <w:kern w:val="0"/>
          <w:sz w:val="21"/>
          <w:szCs w:val="21"/>
        </w:rPr>
      </w:pPr>
      <w:bookmarkStart w:id="618" w:name="_Toc532377207"/>
      <w:bookmarkEnd w:id="618"/>
      <w:bookmarkStart w:id="619" w:name="_Toc351203521"/>
      <w:r>
        <w:rPr>
          <w:rFonts w:hint="eastAsia" w:ascii="宋体" w:hAnsi="宋体" w:eastAsia="宋体" w:cs="宋体"/>
          <w:b/>
          <w:bCs/>
          <w:kern w:val="0"/>
          <w:sz w:val="21"/>
          <w:szCs w:val="21"/>
        </w:rPr>
        <w:t>3</w:t>
      </w:r>
      <w:bookmarkEnd w:id="619"/>
      <w:bookmarkStart w:id="620" w:name="_Toc296346549"/>
      <w:bookmarkEnd w:id="620"/>
      <w:bookmarkStart w:id="621" w:name="_Toc296503048"/>
      <w:bookmarkEnd w:id="621"/>
      <w:bookmarkStart w:id="622" w:name="_Toc337558749"/>
      <w:r>
        <w:rPr>
          <w:rFonts w:hint="eastAsia" w:ascii="宋体" w:hAnsi="宋体" w:eastAsia="宋体" w:cs="宋体"/>
          <w:b/>
          <w:bCs/>
          <w:kern w:val="0"/>
          <w:sz w:val="21"/>
          <w:szCs w:val="21"/>
        </w:rPr>
        <w:t xml:space="preserve">.3 </w:t>
      </w:r>
      <w:bookmarkEnd w:id="622"/>
      <w:r>
        <w:rPr>
          <w:rFonts w:hint="eastAsia" w:ascii="宋体" w:hAnsi="宋体" w:eastAsia="宋体" w:cs="宋体"/>
          <w:b/>
          <w:bCs/>
          <w:kern w:val="0"/>
          <w:sz w:val="21"/>
          <w:szCs w:val="21"/>
        </w:rPr>
        <w:t>承包人人员</w:t>
      </w:r>
    </w:p>
    <w:p w14:paraId="0F37E71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7B0807C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35278DF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特殊工种作业人员均应持有相应的资格证明，监理人可以随时检查。</w:t>
      </w:r>
    </w:p>
    <w:p w14:paraId="4C3A4F3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4D1B589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560A7AE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3.3.5 承包人擅自更换主要施工管理人员，或前述人员未经监理人或发包人同意擅自离开施工现场的，应按照专用合同条款约定承担违约责任。</w:t>
      </w:r>
    </w:p>
    <w:p w14:paraId="42825184">
      <w:pPr>
        <w:widowControl/>
        <w:spacing w:line="360" w:lineRule="auto"/>
        <w:jc w:val="left"/>
        <w:outlineLvl w:val="4"/>
        <w:rPr>
          <w:rFonts w:ascii="宋体" w:hAnsi="宋体" w:eastAsia="宋体" w:cs="宋体"/>
          <w:b/>
          <w:bCs/>
          <w:kern w:val="0"/>
          <w:sz w:val="21"/>
          <w:szCs w:val="21"/>
        </w:rPr>
      </w:pPr>
      <w:bookmarkStart w:id="623" w:name="_Toc532377208"/>
      <w:bookmarkEnd w:id="623"/>
      <w:bookmarkStart w:id="624" w:name="_Toc351203522"/>
      <w:r>
        <w:rPr>
          <w:rFonts w:hint="eastAsia" w:ascii="宋体" w:hAnsi="宋体" w:eastAsia="宋体" w:cs="宋体"/>
          <w:b/>
          <w:bCs/>
          <w:kern w:val="0"/>
          <w:sz w:val="21"/>
          <w:szCs w:val="21"/>
        </w:rPr>
        <w:t>3</w:t>
      </w:r>
      <w:bookmarkEnd w:id="624"/>
      <w:bookmarkStart w:id="625" w:name="_Toc337558750"/>
      <w:bookmarkEnd w:id="625"/>
      <w:bookmarkStart w:id="626" w:name="_Toc296346551"/>
      <w:bookmarkEnd w:id="626"/>
      <w:bookmarkStart w:id="627" w:name="_Toc296503050"/>
      <w:r>
        <w:rPr>
          <w:rFonts w:hint="eastAsia" w:ascii="宋体" w:hAnsi="宋体" w:eastAsia="宋体" w:cs="宋体"/>
          <w:b/>
          <w:bCs/>
          <w:kern w:val="0"/>
          <w:sz w:val="21"/>
          <w:szCs w:val="21"/>
        </w:rPr>
        <w:t>.4 承包人现场查勘</w:t>
      </w:r>
      <w:bookmarkEnd w:id="627"/>
    </w:p>
    <w:p w14:paraId="0445405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承包人应对基于发包人按照第2.4.3项〔提供基础资料〕提交的基础资料所做出的解释和推断负责，但因基础资料存在错误、遗漏导致承包人解释或推断失实的，由发包人承担责任。</w:t>
      </w:r>
    </w:p>
    <w:p w14:paraId="54C1073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44ECE741">
      <w:pPr>
        <w:widowControl/>
        <w:spacing w:line="360" w:lineRule="auto"/>
        <w:jc w:val="left"/>
        <w:outlineLvl w:val="4"/>
        <w:rPr>
          <w:rFonts w:ascii="宋体" w:hAnsi="宋体" w:eastAsia="宋体" w:cs="宋体"/>
          <w:b/>
          <w:bCs/>
          <w:kern w:val="0"/>
          <w:sz w:val="21"/>
          <w:szCs w:val="21"/>
        </w:rPr>
      </w:pPr>
      <w:bookmarkStart w:id="628" w:name="_Toc532377209"/>
      <w:bookmarkEnd w:id="628"/>
      <w:bookmarkStart w:id="629" w:name="_Toc351203523"/>
      <w:r>
        <w:rPr>
          <w:rFonts w:hint="eastAsia" w:ascii="宋体" w:hAnsi="宋体" w:eastAsia="宋体" w:cs="宋体"/>
          <w:b/>
          <w:bCs/>
          <w:kern w:val="0"/>
          <w:sz w:val="21"/>
          <w:szCs w:val="21"/>
        </w:rPr>
        <w:t>3</w:t>
      </w:r>
      <w:bookmarkEnd w:id="629"/>
      <w:bookmarkStart w:id="630" w:name="_Toc296503051"/>
      <w:bookmarkEnd w:id="630"/>
      <w:bookmarkStart w:id="631" w:name="_Toc337558751"/>
      <w:bookmarkEnd w:id="631"/>
      <w:bookmarkStart w:id="632" w:name="_Toc296346552"/>
      <w:r>
        <w:rPr>
          <w:rFonts w:hint="eastAsia" w:ascii="宋体" w:hAnsi="宋体" w:eastAsia="宋体" w:cs="宋体"/>
          <w:b/>
          <w:bCs/>
          <w:kern w:val="0"/>
          <w:sz w:val="21"/>
          <w:szCs w:val="21"/>
        </w:rPr>
        <w:t>.5 分包</w:t>
      </w:r>
      <w:bookmarkEnd w:id="632"/>
    </w:p>
    <w:p w14:paraId="66D1A59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3.5.1 分包的一般约定</w:t>
      </w:r>
    </w:p>
    <w:p w14:paraId="7680837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49311CA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承包人不得以劳务分包的名义转包或违法分包工程。</w:t>
      </w:r>
    </w:p>
    <w:p w14:paraId="283CD4A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3.5.2 分包的确定</w:t>
      </w:r>
    </w:p>
    <w:p w14:paraId="045F1DA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7E0599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3.5.3 分包管理</w:t>
      </w:r>
    </w:p>
    <w:p w14:paraId="614ED0A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承包人应向监理人提交分包人的主要施工管理人员表，并对分包人的施工人员进行实名制管理，包括但不限于进出场管理、登记造册以及各种证照的办理。</w:t>
      </w:r>
    </w:p>
    <w:p w14:paraId="74C0D1C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3.5.4 分包合同价款</w:t>
      </w:r>
    </w:p>
    <w:p w14:paraId="00D3A31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（1）除本项第（2）目约定的情况或专用合同条款另有约定外，分包合同价款由承包人与分包人结算，未经承包人同意，发包人不得向分包人支付分包工程价款；</w:t>
      </w:r>
    </w:p>
    <w:p w14:paraId="06828E6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（2）生效法律文书要求发包人向分包人支付分包合同价款的，发包人有权从应付承包人工程款中扣除该部分款项。</w:t>
      </w:r>
    </w:p>
    <w:p w14:paraId="58E8285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3.5.5 分包合同权益的转让</w:t>
      </w:r>
    </w:p>
    <w:p w14:paraId="37DAE71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633" w:name="_Toc351203524"/>
      <w:bookmarkEnd w:id="633"/>
    </w:p>
    <w:p w14:paraId="52F65A34">
      <w:pPr>
        <w:widowControl/>
        <w:spacing w:line="360" w:lineRule="auto"/>
        <w:jc w:val="left"/>
        <w:outlineLvl w:val="4"/>
        <w:rPr>
          <w:rFonts w:ascii="宋体" w:hAnsi="宋体" w:eastAsia="宋体" w:cs="宋体"/>
          <w:b/>
          <w:bCs/>
          <w:kern w:val="0"/>
          <w:sz w:val="21"/>
          <w:szCs w:val="21"/>
        </w:rPr>
      </w:pPr>
      <w:bookmarkStart w:id="634" w:name="_Toc532377210"/>
      <w:bookmarkEnd w:id="634"/>
      <w:r>
        <w:rPr>
          <w:rFonts w:hint="eastAsia" w:ascii="宋体" w:hAnsi="宋体" w:eastAsia="宋体" w:cs="宋体"/>
          <w:b/>
          <w:bCs/>
          <w:kern w:val="0"/>
          <w:sz w:val="21"/>
          <w:szCs w:val="21"/>
        </w:rPr>
        <w:t>3.6 工程照管与成品、半成品保护</w:t>
      </w:r>
    </w:p>
    <w:p w14:paraId="743CB16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（1）除专用合同条款另有约定外，自发包人向承包人移交施工现场之日起，承包人应负责照管工程及工程相关的材料、工程设备，直到颁发工程接收证书之日止。</w:t>
      </w:r>
    </w:p>
    <w:p w14:paraId="027AAB6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（2）在承包人负责照管期间，因承包人原因造成工程、材料、工程设备损坏的，由承包人负责修复或更换，并承担由此增加的费用和（或）延误的工期。</w:t>
      </w:r>
    </w:p>
    <w:p w14:paraId="39F073D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（3）对合同内分期完成的成品和半成品，在工程接收证书颁发前，由承包人承担保护责任。因承包人原因造成成品或半成品损坏的，由承包人负责修复或更换，并承担由此增加的费用和（或）延误的工期。</w:t>
      </w:r>
    </w:p>
    <w:p w14:paraId="6846210A">
      <w:pPr>
        <w:widowControl/>
        <w:spacing w:line="360" w:lineRule="auto"/>
        <w:jc w:val="left"/>
        <w:outlineLvl w:val="4"/>
        <w:rPr>
          <w:rFonts w:ascii="宋体" w:hAnsi="宋体" w:eastAsia="宋体" w:cs="宋体"/>
          <w:b/>
          <w:bCs/>
          <w:kern w:val="0"/>
          <w:sz w:val="21"/>
          <w:szCs w:val="21"/>
        </w:rPr>
      </w:pPr>
      <w:bookmarkStart w:id="635" w:name="_Toc532377211"/>
      <w:bookmarkEnd w:id="635"/>
      <w:bookmarkStart w:id="636" w:name="_Toc351203525"/>
      <w:r>
        <w:rPr>
          <w:rFonts w:hint="eastAsia" w:ascii="宋体" w:hAnsi="宋体" w:eastAsia="宋体" w:cs="宋体"/>
          <w:b/>
          <w:bCs/>
          <w:kern w:val="0"/>
          <w:sz w:val="21"/>
          <w:szCs w:val="21"/>
        </w:rPr>
        <w:t>3</w:t>
      </w:r>
      <w:bookmarkEnd w:id="636"/>
      <w:bookmarkStart w:id="637" w:name="_Toc296503052"/>
      <w:bookmarkEnd w:id="637"/>
      <w:bookmarkStart w:id="638" w:name="_Toc296346553"/>
      <w:bookmarkEnd w:id="638"/>
      <w:bookmarkStart w:id="639" w:name="_Toc337558752"/>
      <w:r>
        <w:rPr>
          <w:rFonts w:hint="eastAsia" w:ascii="宋体" w:hAnsi="宋体" w:eastAsia="宋体" w:cs="宋体"/>
          <w:b/>
          <w:bCs/>
          <w:kern w:val="0"/>
          <w:sz w:val="21"/>
          <w:szCs w:val="21"/>
        </w:rPr>
        <w:t>.7 履约担保</w:t>
      </w:r>
      <w:bookmarkEnd w:id="639"/>
    </w:p>
    <w:p w14:paraId="04132FC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48690AB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因承包人原因导致工期延长的，继续提供履约担保所增加的费用由承包人承担；非因承包人原因导致工期延长的，继续提供履约担保所增加的费用由发包人承担。</w:t>
      </w:r>
    </w:p>
    <w:p w14:paraId="39F53458">
      <w:pPr>
        <w:widowControl/>
        <w:spacing w:line="360" w:lineRule="auto"/>
        <w:jc w:val="left"/>
        <w:outlineLvl w:val="4"/>
        <w:rPr>
          <w:rFonts w:ascii="宋体" w:hAnsi="宋体" w:eastAsia="宋体" w:cs="宋体"/>
          <w:b/>
          <w:bCs/>
          <w:kern w:val="0"/>
          <w:sz w:val="21"/>
          <w:szCs w:val="21"/>
        </w:rPr>
      </w:pPr>
      <w:bookmarkStart w:id="640" w:name="_Toc351203526"/>
      <w:bookmarkEnd w:id="640"/>
      <w:bookmarkStart w:id="641" w:name="_Toc532377212"/>
      <w:r>
        <w:rPr>
          <w:rFonts w:hint="eastAsia" w:ascii="宋体" w:hAnsi="宋体" w:eastAsia="宋体" w:cs="宋体"/>
          <w:b/>
          <w:bCs/>
          <w:kern w:val="0"/>
          <w:sz w:val="21"/>
          <w:szCs w:val="21"/>
        </w:rPr>
        <w:t>3.8 联合体</w:t>
      </w:r>
      <w:bookmarkEnd w:id="641"/>
    </w:p>
    <w:p w14:paraId="53DC812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3.8.1 联合体各方应共同与发包人签订合同协议书。联合体各方应为履行合同向发包人承担连带责任。</w:t>
      </w:r>
    </w:p>
    <w:p w14:paraId="23B5E9E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3.8.2 </w:t>
      </w:r>
      <w:r>
        <w:rPr>
          <w:rFonts w:hint="eastAsia" w:ascii="宋体" w:hAnsi="宋体" w:eastAsia="宋体" w:cs="Times New Roman"/>
          <w:sz w:val="21"/>
          <w:szCs w:val="21"/>
        </w:rPr>
        <w:t>共同投标协议</w:t>
      </w:r>
      <w:r>
        <w:rPr>
          <w:rFonts w:hint="eastAsia" w:ascii="宋体" w:hAnsi="宋体" w:eastAsia="宋体" w:cs="Times New Roman"/>
          <w:kern w:val="0"/>
          <w:sz w:val="21"/>
          <w:szCs w:val="21"/>
        </w:rPr>
        <w:t>经发包人确认后作为合同附件。在履行合同过程中，未经发包人同意，不得修改</w:t>
      </w:r>
      <w:r>
        <w:rPr>
          <w:rFonts w:hint="eastAsia" w:ascii="宋体" w:hAnsi="宋体" w:eastAsia="宋体" w:cs="Times New Roman"/>
          <w:sz w:val="21"/>
          <w:szCs w:val="21"/>
        </w:rPr>
        <w:t>共同投标协议</w:t>
      </w:r>
      <w:r>
        <w:rPr>
          <w:rFonts w:hint="eastAsia" w:ascii="宋体" w:hAnsi="宋体" w:eastAsia="宋体" w:cs="Times New Roman"/>
          <w:kern w:val="0"/>
          <w:sz w:val="21"/>
          <w:szCs w:val="21"/>
        </w:rPr>
        <w:t>。</w:t>
      </w:r>
    </w:p>
    <w:p w14:paraId="794A867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3.8.3 联合体牵头人负责与发包人和监理人联系，并接受指示，负责组织联合体各成员全面履行合同。</w:t>
      </w:r>
    </w:p>
    <w:p w14:paraId="7783317E">
      <w:pPr>
        <w:keepNext/>
        <w:keepLines/>
        <w:spacing w:before="156" w:beforeLines="50" w:after="156" w:afterLines="50" w:line="360" w:lineRule="auto"/>
        <w:outlineLvl w:val="3"/>
        <w:rPr>
          <w:rFonts w:ascii="宋体" w:hAnsi="宋体" w:eastAsia="宋体" w:cs="宋体"/>
          <w:b/>
          <w:sz w:val="21"/>
          <w:szCs w:val="21"/>
        </w:rPr>
      </w:pPr>
      <w:bookmarkStart w:id="642" w:name="_Toc351203527"/>
      <w:bookmarkEnd w:id="642"/>
      <w:bookmarkStart w:id="643" w:name="_Toc532375590"/>
      <w:bookmarkEnd w:id="643"/>
      <w:bookmarkStart w:id="644" w:name="_Toc532377213"/>
      <w:r>
        <w:rPr>
          <w:rFonts w:hint="eastAsia" w:ascii="宋体" w:hAnsi="宋体" w:eastAsia="宋体" w:cs="宋体"/>
          <w:b/>
          <w:bCs/>
          <w:sz w:val="21"/>
          <w:szCs w:val="21"/>
        </w:rPr>
        <w:t>4</w:t>
      </w:r>
      <w:bookmarkEnd w:id="644"/>
      <w:bookmarkStart w:id="645" w:name="_Toc296346554"/>
      <w:bookmarkEnd w:id="645"/>
      <w:bookmarkStart w:id="646" w:name="_Toc296503053"/>
      <w:bookmarkEnd w:id="646"/>
      <w:bookmarkStart w:id="647" w:name="_Toc337558753"/>
      <w:r>
        <w:rPr>
          <w:rFonts w:hint="eastAsia" w:ascii="宋体" w:hAnsi="宋体" w:eastAsia="宋体" w:cs="宋体"/>
          <w:b/>
          <w:bCs/>
          <w:sz w:val="21"/>
          <w:szCs w:val="21"/>
        </w:rPr>
        <w:t>. 监</w:t>
      </w:r>
      <w:bookmarkEnd w:id="647"/>
      <w:r>
        <w:rPr>
          <w:rFonts w:hint="eastAsia" w:ascii="宋体" w:hAnsi="宋体" w:eastAsia="宋体" w:cs="宋体"/>
          <w:b/>
          <w:bCs/>
          <w:sz w:val="21"/>
          <w:szCs w:val="21"/>
        </w:rPr>
        <w:t>理人</w:t>
      </w:r>
    </w:p>
    <w:p w14:paraId="53B97A0A">
      <w:pPr>
        <w:widowControl/>
        <w:spacing w:line="360" w:lineRule="auto"/>
        <w:jc w:val="left"/>
        <w:outlineLvl w:val="4"/>
        <w:rPr>
          <w:rFonts w:ascii="宋体" w:hAnsi="宋体" w:eastAsia="宋体" w:cs="宋体"/>
          <w:b/>
          <w:bCs/>
          <w:kern w:val="0"/>
          <w:sz w:val="21"/>
          <w:szCs w:val="21"/>
        </w:rPr>
      </w:pPr>
      <w:bookmarkStart w:id="648" w:name="_Toc532377214"/>
      <w:bookmarkEnd w:id="648"/>
      <w:bookmarkStart w:id="649" w:name="_Toc351203528"/>
      <w:r>
        <w:rPr>
          <w:rFonts w:hint="eastAsia" w:ascii="宋体" w:hAnsi="宋体" w:eastAsia="宋体" w:cs="宋体"/>
          <w:b/>
          <w:bCs/>
          <w:kern w:val="0"/>
          <w:sz w:val="21"/>
          <w:szCs w:val="21"/>
        </w:rPr>
        <w:t>4</w:t>
      </w:r>
      <w:bookmarkEnd w:id="649"/>
      <w:bookmarkStart w:id="650" w:name="_Toc337558754"/>
      <w:bookmarkEnd w:id="650"/>
      <w:bookmarkStart w:id="651" w:name="_Toc296503054"/>
      <w:bookmarkEnd w:id="651"/>
      <w:bookmarkStart w:id="652" w:name="_Toc296346555"/>
      <w:r>
        <w:rPr>
          <w:rFonts w:hint="eastAsia" w:ascii="宋体" w:hAnsi="宋体" w:eastAsia="宋体" w:cs="宋体"/>
          <w:b/>
          <w:bCs/>
          <w:kern w:val="0"/>
          <w:sz w:val="21"/>
          <w:szCs w:val="21"/>
        </w:rPr>
        <w:t>.1监理人的一般规定</w:t>
      </w:r>
      <w:bookmarkEnd w:id="652"/>
    </w:p>
    <w:p w14:paraId="1803EC8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2C70DCB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除专用合同条款另有约定外，监理人在施工现场的办公场所、生活场所由承包人提供，所发生的费用由发包人承担。</w:t>
      </w:r>
    </w:p>
    <w:p w14:paraId="62FBC9F4">
      <w:pPr>
        <w:widowControl/>
        <w:spacing w:line="360" w:lineRule="auto"/>
        <w:jc w:val="left"/>
        <w:outlineLvl w:val="4"/>
        <w:rPr>
          <w:rFonts w:ascii="宋体" w:hAnsi="宋体" w:eastAsia="宋体" w:cs="宋体"/>
          <w:b/>
          <w:bCs/>
          <w:kern w:val="0"/>
          <w:sz w:val="21"/>
          <w:szCs w:val="21"/>
        </w:rPr>
      </w:pPr>
      <w:bookmarkStart w:id="653" w:name="_Toc351203529"/>
      <w:bookmarkEnd w:id="653"/>
      <w:bookmarkStart w:id="654" w:name="_Toc532377215"/>
      <w:r>
        <w:rPr>
          <w:rFonts w:hint="eastAsia" w:ascii="宋体" w:hAnsi="宋体" w:eastAsia="宋体" w:cs="宋体"/>
          <w:b/>
          <w:bCs/>
          <w:kern w:val="0"/>
          <w:sz w:val="21"/>
          <w:szCs w:val="21"/>
        </w:rPr>
        <w:t>4</w:t>
      </w:r>
      <w:bookmarkEnd w:id="654"/>
      <w:bookmarkStart w:id="655" w:name="_Toc337558755"/>
      <w:r>
        <w:rPr>
          <w:rFonts w:hint="eastAsia" w:ascii="宋体" w:hAnsi="宋体" w:eastAsia="宋体" w:cs="宋体"/>
          <w:b/>
          <w:bCs/>
          <w:kern w:val="0"/>
          <w:sz w:val="21"/>
          <w:szCs w:val="21"/>
        </w:rPr>
        <w:t>.2监理人员</w:t>
      </w:r>
      <w:bookmarkEnd w:id="655"/>
    </w:p>
    <w:p w14:paraId="0B7E707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55403980">
      <w:pPr>
        <w:widowControl/>
        <w:spacing w:line="360" w:lineRule="auto"/>
        <w:jc w:val="left"/>
        <w:outlineLvl w:val="4"/>
        <w:rPr>
          <w:rFonts w:ascii="宋体" w:hAnsi="宋体" w:eastAsia="宋体" w:cs="宋体"/>
          <w:b/>
          <w:bCs/>
          <w:kern w:val="0"/>
          <w:sz w:val="21"/>
          <w:szCs w:val="21"/>
        </w:rPr>
      </w:pPr>
      <w:bookmarkStart w:id="656" w:name="_Toc351203530"/>
      <w:bookmarkEnd w:id="656"/>
      <w:bookmarkStart w:id="657" w:name="_Toc532377216"/>
      <w:r>
        <w:rPr>
          <w:rFonts w:hint="eastAsia" w:ascii="宋体" w:hAnsi="宋体" w:eastAsia="宋体" w:cs="宋体"/>
          <w:b/>
          <w:bCs/>
          <w:kern w:val="0"/>
          <w:sz w:val="21"/>
          <w:szCs w:val="21"/>
        </w:rPr>
        <w:t>4</w:t>
      </w:r>
      <w:bookmarkEnd w:id="657"/>
      <w:bookmarkStart w:id="658" w:name="_Toc296503055"/>
      <w:bookmarkEnd w:id="658"/>
      <w:bookmarkStart w:id="659" w:name="_Toc296346556"/>
      <w:bookmarkEnd w:id="659"/>
      <w:bookmarkStart w:id="660" w:name="_Toc337558756"/>
      <w:r>
        <w:rPr>
          <w:rFonts w:hint="eastAsia" w:ascii="宋体" w:hAnsi="宋体" w:eastAsia="宋体" w:cs="宋体"/>
          <w:b/>
          <w:bCs/>
          <w:kern w:val="0"/>
          <w:sz w:val="21"/>
          <w:szCs w:val="21"/>
        </w:rPr>
        <w:t>.3</w:t>
      </w:r>
      <w:bookmarkEnd w:id="660"/>
      <w:r>
        <w:rPr>
          <w:rFonts w:hint="eastAsia" w:ascii="宋体" w:hAnsi="宋体" w:eastAsia="宋体" w:cs="宋体"/>
          <w:b/>
          <w:bCs/>
          <w:kern w:val="0"/>
          <w:sz w:val="21"/>
          <w:szCs w:val="21"/>
        </w:rPr>
        <w:t>监理人的指示</w:t>
      </w:r>
    </w:p>
    <w:p w14:paraId="3B200CB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应按照发包人的授权发出监理指示。监理人的指示应采用书面形式，并经其授权的监理人员签名。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333738B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1033C12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承包人对监理人发出的指示有疑问的，应向监理人提出书面异议，监理人应在48小时内对该指示予以确认、更改或撤销，监理人逾期未回复的，承包人有权拒绝执行上述指示。</w:t>
      </w:r>
    </w:p>
    <w:p w14:paraId="451F89D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监理人对承包人的任何工作、工程或其采用的材料和工程设备未在约定的或合理期限内提出意见的，视为批准，但不免除或减轻承包人对该工作、工程、材料、工程设备等应承担的责任和义务。</w:t>
      </w:r>
    </w:p>
    <w:p w14:paraId="75774DA4">
      <w:pPr>
        <w:widowControl/>
        <w:spacing w:line="360" w:lineRule="auto"/>
        <w:jc w:val="left"/>
        <w:outlineLvl w:val="4"/>
        <w:rPr>
          <w:rFonts w:ascii="宋体" w:hAnsi="宋体" w:eastAsia="宋体" w:cs="宋体"/>
          <w:b/>
          <w:bCs/>
          <w:kern w:val="0"/>
          <w:sz w:val="21"/>
          <w:szCs w:val="21"/>
        </w:rPr>
      </w:pPr>
      <w:bookmarkStart w:id="661" w:name="_Toc351203531"/>
      <w:bookmarkEnd w:id="661"/>
      <w:bookmarkStart w:id="662" w:name="_Toc532377217"/>
      <w:r>
        <w:rPr>
          <w:rFonts w:hint="eastAsia" w:ascii="宋体" w:hAnsi="宋体" w:eastAsia="宋体" w:cs="宋体"/>
          <w:b/>
          <w:bCs/>
          <w:kern w:val="0"/>
          <w:sz w:val="21"/>
          <w:szCs w:val="21"/>
        </w:rPr>
        <w:t>4</w:t>
      </w:r>
      <w:bookmarkEnd w:id="662"/>
      <w:bookmarkStart w:id="663" w:name="_Toc337558757"/>
      <w:bookmarkEnd w:id="663"/>
      <w:bookmarkStart w:id="664" w:name="_Toc296503057"/>
      <w:bookmarkEnd w:id="664"/>
      <w:bookmarkStart w:id="665" w:name="_Toc296346558"/>
      <w:r>
        <w:rPr>
          <w:rFonts w:hint="eastAsia" w:ascii="宋体" w:hAnsi="宋体" w:eastAsia="宋体" w:cs="宋体"/>
          <w:b/>
          <w:bCs/>
          <w:kern w:val="0"/>
          <w:sz w:val="21"/>
          <w:szCs w:val="21"/>
        </w:rPr>
        <w:t>.4 商定或确定</w:t>
      </w:r>
      <w:bookmarkEnd w:id="665"/>
    </w:p>
    <w:p w14:paraId="0EAE9FE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合同当事人进行商定或确定时，总监理工程师应当会同合同当事人尽量通过协商达成一致，不能达成一致的，由总监理工程师按照合同约定审慎做出公正的确定。</w:t>
      </w:r>
    </w:p>
    <w:p w14:paraId="2E98C03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7D2C8668">
      <w:pPr>
        <w:keepNext/>
        <w:keepLines/>
        <w:spacing w:before="156" w:beforeLines="50" w:after="156" w:afterLines="50" w:line="360" w:lineRule="auto"/>
        <w:outlineLvl w:val="3"/>
        <w:rPr>
          <w:rFonts w:ascii="宋体" w:hAnsi="宋体" w:eastAsia="宋体" w:cs="宋体"/>
          <w:b/>
          <w:sz w:val="21"/>
          <w:szCs w:val="21"/>
        </w:rPr>
      </w:pPr>
      <w:bookmarkStart w:id="666" w:name="_Toc532377218"/>
      <w:bookmarkEnd w:id="666"/>
      <w:bookmarkStart w:id="667" w:name="_Toc351203532"/>
      <w:bookmarkEnd w:id="667"/>
      <w:bookmarkStart w:id="668" w:name="_Toc532375591"/>
      <w:r>
        <w:rPr>
          <w:rFonts w:hint="eastAsia" w:ascii="宋体" w:hAnsi="宋体" w:eastAsia="宋体" w:cs="宋体"/>
          <w:b/>
          <w:bCs/>
          <w:sz w:val="21"/>
          <w:szCs w:val="21"/>
        </w:rPr>
        <w:t>5</w:t>
      </w:r>
      <w:bookmarkEnd w:id="668"/>
      <w:bookmarkStart w:id="669" w:name="_Toc337558758"/>
      <w:r>
        <w:rPr>
          <w:rFonts w:hint="eastAsia" w:ascii="宋体" w:hAnsi="宋体" w:eastAsia="宋体" w:cs="宋体"/>
          <w:b/>
          <w:bCs/>
          <w:sz w:val="21"/>
          <w:szCs w:val="21"/>
        </w:rPr>
        <w:t>. 工程质量</w:t>
      </w:r>
      <w:bookmarkEnd w:id="669"/>
    </w:p>
    <w:p w14:paraId="6777B88B">
      <w:pPr>
        <w:widowControl/>
        <w:spacing w:line="360" w:lineRule="auto"/>
        <w:jc w:val="left"/>
        <w:outlineLvl w:val="4"/>
        <w:rPr>
          <w:rFonts w:ascii="宋体" w:hAnsi="宋体" w:eastAsia="宋体" w:cs="宋体"/>
          <w:b/>
          <w:bCs/>
          <w:kern w:val="0"/>
          <w:sz w:val="21"/>
          <w:szCs w:val="21"/>
        </w:rPr>
      </w:pPr>
      <w:bookmarkStart w:id="670" w:name="_Toc351203533"/>
      <w:bookmarkEnd w:id="670"/>
      <w:bookmarkStart w:id="671" w:name="_Toc532377219"/>
      <w:r>
        <w:rPr>
          <w:rFonts w:hint="eastAsia" w:ascii="宋体" w:hAnsi="宋体" w:eastAsia="宋体" w:cs="宋体"/>
          <w:b/>
          <w:bCs/>
          <w:kern w:val="0"/>
          <w:sz w:val="21"/>
          <w:szCs w:val="21"/>
        </w:rPr>
        <w:t>5</w:t>
      </w:r>
      <w:bookmarkEnd w:id="671"/>
      <w:bookmarkStart w:id="672" w:name="_Toc337558759"/>
      <w:r>
        <w:rPr>
          <w:rFonts w:hint="eastAsia" w:ascii="宋体" w:hAnsi="宋体" w:eastAsia="宋体" w:cs="宋体"/>
          <w:b/>
          <w:bCs/>
          <w:kern w:val="0"/>
          <w:sz w:val="21"/>
          <w:szCs w:val="21"/>
        </w:rPr>
        <w:t>.1质量要求</w:t>
      </w:r>
      <w:bookmarkEnd w:id="672"/>
    </w:p>
    <w:p w14:paraId="6EF1DE7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5.1.1 工程质量标准必须符合现行国家有关工程施工质量验收规范和标准的要求。有关工程质量的特殊标准或要求由合同当事人在专用合同条款中约定。</w:t>
      </w:r>
    </w:p>
    <w:p w14:paraId="0307BFE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5.1.2 因发包人原因造成工程质量未达到合同约定标准的，由发包人承担由此增加的费用和（或）延误的工期，并支付承包人合理的利润。</w:t>
      </w:r>
    </w:p>
    <w:p w14:paraId="3773C95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5.1.3 因承包人原因造成工程质量未达到合同约定标准的，发包人有权要求承包人返工直至工程质量达到合同约定的标准为止，并由承包人承担由此增加的费用和（或）延误的工期。</w:t>
      </w:r>
    </w:p>
    <w:p w14:paraId="63CD0D1A">
      <w:pPr>
        <w:widowControl/>
        <w:spacing w:line="360" w:lineRule="auto"/>
        <w:jc w:val="left"/>
        <w:outlineLvl w:val="4"/>
        <w:rPr>
          <w:rFonts w:ascii="宋体" w:hAnsi="宋体" w:eastAsia="宋体" w:cs="宋体"/>
          <w:b/>
          <w:bCs/>
          <w:kern w:val="0"/>
          <w:sz w:val="21"/>
          <w:szCs w:val="21"/>
        </w:rPr>
      </w:pPr>
      <w:bookmarkStart w:id="673" w:name="_Toc532377220"/>
      <w:bookmarkEnd w:id="673"/>
      <w:bookmarkStart w:id="674" w:name="_Toc351203534"/>
      <w:r>
        <w:rPr>
          <w:rFonts w:hint="eastAsia" w:ascii="宋体" w:hAnsi="宋体" w:eastAsia="宋体" w:cs="宋体"/>
          <w:b/>
          <w:bCs/>
          <w:kern w:val="0"/>
          <w:sz w:val="21"/>
          <w:szCs w:val="21"/>
        </w:rPr>
        <w:t>5</w:t>
      </w:r>
      <w:bookmarkEnd w:id="674"/>
      <w:bookmarkStart w:id="675" w:name="_Toc337558760"/>
      <w:r>
        <w:rPr>
          <w:rFonts w:hint="eastAsia" w:ascii="宋体" w:hAnsi="宋体" w:eastAsia="宋体" w:cs="宋体"/>
          <w:b/>
          <w:bCs/>
          <w:kern w:val="0"/>
          <w:sz w:val="21"/>
          <w:szCs w:val="21"/>
        </w:rPr>
        <w:t>.2质量保证措施</w:t>
      </w:r>
      <w:bookmarkEnd w:id="675"/>
    </w:p>
    <w:p w14:paraId="7EF72DC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5.2.1 发包人的质量管理</w:t>
      </w:r>
    </w:p>
    <w:p w14:paraId="4A75F80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发包人应按照法律规定及合同约定完成与工程质量有关的各项工作。</w:t>
      </w:r>
    </w:p>
    <w:p w14:paraId="6E775B6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5.2.2 承包人的质量管理</w:t>
      </w:r>
    </w:p>
    <w:p w14:paraId="4D16ED0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7A98F63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承包人应对施工人员进行质量教育和技术培训，定期考核施工人员的劳动技能，严格执行施工规范和操作规程。</w:t>
      </w:r>
    </w:p>
    <w:p w14:paraId="4996553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7DA9777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5.2.3 监理人的质量检查和检验</w:t>
      </w:r>
    </w:p>
    <w:p w14:paraId="4D889E0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3DAD827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7FA9A47D">
      <w:pPr>
        <w:widowControl/>
        <w:spacing w:line="360" w:lineRule="auto"/>
        <w:jc w:val="left"/>
        <w:outlineLvl w:val="4"/>
        <w:rPr>
          <w:rFonts w:ascii="宋体" w:hAnsi="宋体" w:eastAsia="宋体" w:cs="宋体"/>
          <w:b/>
          <w:bCs/>
          <w:kern w:val="0"/>
          <w:sz w:val="21"/>
          <w:szCs w:val="21"/>
        </w:rPr>
      </w:pPr>
      <w:bookmarkStart w:id="676" w:name="_Toc532377221"/>
      <w:bookmarkEnd w:id="676"/>
      <w:bookmarkStart w:id="677" w:name="_Toc351203535"/>
      <w:r>
        <w:rPr>
          <w:rFonts w:hint="eastAsia" w:ascii="宋体" w:hAnsi="宋体" w:eastAsia="宋体" w:cs="宋体"/>
          <w:b/>
          <w:bCs/>
          <w:kern w:val="0"/>
          <w:sz w:val="21"/>
          <w:szCs w:val="21"/>
        </w:rPr>
        <w:t>5</w:t>
      </w:r>
      <w:bookmarkEnd w:id="677"/>
      <w:bookmarkStart w:id="678" w:name="_Toc337558761"/>
      <w:r>
        <w:rPr>
          <w:rFonts w:hint="eastAsia" w:ascii="宋体" w:hAnsi="宋体" w:eastAsia="宋体" w:cs="宋体"/>
          <w:b/>
          <w:bCs/>
          <w:kern w:val="0"/>
          <w:sz w:val="21"/>
          <w:szCs w:val="21"/>
        </w:rPr>
        <w:t>.3 隐蔽工程检查</w:t>
      </w:r>
      <w:bookmarkEnd w:id="678"/>
    </w:p>
    <w:p w14:paraId="367D570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5.3.1承包人自检</w:t>
      </w:r>
    </w:p>
    <w:p w14:paraId="0698DC0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承包人应当对工程隐蔽部位进行自检，并经自检确认是否具备覆盖条件。</w:t>
      </w:r>
    </w:p>
    <w:p w14:paraId="60AAF42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5.3.2检查程序</w:t>
      </w:r>
    </w:p>
    <w:p w14:paraId="0240992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07B045D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应按时到场并对隐蔽工程及其施工工艺、材料和工程设备进行检查。经监理人检查确认质量符合隐蔽要求，并在验收记录上签名后，承包人才能进行覆盖。经监理人检查质量不合格的，承包人应在监理人指示的时间内完成修复，并由监理人重新检查，由此增加的费用和（或）延误的工期由承包人承担。</w:t>
      </w:r>
    </w:p>
    <w:p w14:paraId="1588F01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名确认。监理人事后对检查记录有疑问的，可按第5.3.3项〔重新检查〕的约定重新检查。</w:t>
      </w:r>
    </w:p>
    <w:p w14:paraId="6D8C9E2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5.3.3 重新检查</w:t>
      </w:r>
    </w:p>
    <w:p w14:paraId="65DB497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18D1E37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5.3.4 承包人私自覆盖</w:t>
      </w:r>
    </w:p>
    <w:p w14:paraId="37036BB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承包人未通知监理人到场检查，私自将工程隐蔽部位覆盖的，监理人有权指示承包人钻孔探测或揭开检查，无论工程隐蔽部位质量是否合格，由此增加的费用和（或）延误的工期均由承包人承担。</w:t>
      </w:r>
    </w:p>
    <w:p w14:paraId="1FB8DE03">
      <w:pPr>
        <w:widowControl/>
        <w:spacing w:line="360" w:lineRule="auto"/>
        <w:jc w:val="left"/>
        <w:outlineLvl w:val="4"/>
        <w:rPr>
          <w:rFonts w:ascii="宋体" w:hAnsi="宋体" w:eastAsia="宋体" w:cs="宋体"/>
          <w:b/>
          <w:bCs/>
          <w:kern w:val="0"/>
          <w:sz w:val="21"/>
          <w:szCs w:val="21"/>
        </w:rPr>
      </w:pPr>
      <w:bookmarkStart w:id="679" w:name="_Toc532377222"/>
      <w:bookmarkEnd w:id="679"/>
      <w:r>
        <w:rPr>
          <w:rFonts w:hint="eastAsia" w:ascii="宋体" w:hAnsi="宋体" w:eastAsia="宋体" w:cs="宋体"/>
          <w:b/>
          <w:bCs/>
          <w:kern w:val="0"/>
          <w:sz w:val="21"/>
          <w:szCs w:val="21"/>
        </w:rPr>
        <w:t>5.4不合格工程的处理</w:t>
      </w:r>
    </w:p>
    <w:p w14:paraId="219D702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090C758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5.4.2 因发包人原因造成工程不合格的，由此增加的费用和（或）延误的工期由发包人承担，并支付承包人合理的利润。</w:t>
      </w:r>
    </w:p>
    <w:p w14:paraId="6234ADF8">
      <w:pPr>
        <w:widowControl/>
        <w:spacing w:line="360" w:lineRule="auto"/>
        <w:jc w:val="left"/>
        <w:outlineLvl w:val="4"/>
        <w:rPr>
          <w:rFonts w:ascii="宋体" w:hAnsi="宋体" w:eastAsia="宋体" w:cs="宋体"/>
          <w:b/>
          <w:bCs/>
          <w:kern w:val="0"/>
          <w:sz w:val="21"/>
          <w:szCs w:val="21"/>
        </w:rPr>
      </w:pPr>
      <w:bookmarkStart w:id="680" w:name="_Toc351203537"/>
      <w:bookmarkEnd w:id="680"/>
      <w:bookmarkStart w:id="681" w:name="_Toc532377223"/>
      <w:r>
        <w:rPr>
          <w:rFonts w:hint="eastAsia" w:ascii="宋体" w:hAnsi="宋体" w:eastAsia="宋体" w:cs="宋体"/>
          <w:b/>
          <w:bCs/>
          <w:kern w:val="0"/>
          <w:sz w:val="21"/>
          <w:szCs w:val="21"/>
        </w:rPr>
        <w:t>5.5 质量争议检测</w:t>
      </w:r>
      <w:bookmarkEnd w:id="681"/>
    </w:p>
    <w:p w14:paraId="675EB5E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合同当事人对工程质量有争议的，由双方协商确定的工程质量检测机构鉴定，由此产生的费用及因此造成的损失，由责任方承担。</w:t>
      </w:r>
    </w:p>
    <w:p w14:paraId="6705BE3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合同当事人均有责任的，由双方根据其责任分别承担。合同当事人无法达成一致的，按照第4.4款〔商定或确定〕执行。</w:t>
      </w:r>
    </w:p>
    <w:p w14:paraId="78C89109">
      <w:pPr>
        <w:keepNext/>
        <w:keepLines/>
        <w:spacing w:before="156" w:beforeLines="50" w:after="156" w:afterLines="50" w:line="360" w:lineRule="auto"/>
        <w:outlineLvl w:val="3"/>
        <w:rPr>
          <w:rFonts w:ascii="宋体" w:hAnsi="宋体" w:eastAsia="宋体" w:cs="宋体"/>
          <w:b/>
          <w:sz w:val="21"/>
          <w:szCs w:val="21"/>
        </w:rPr>
      </w:pPr>
      <w:bookmarkStart w:id="682" w:name="_Toc532375592"/>
      <w:bookmarkEnd w:id="682"/>
      <w:bookmarkStart w:id="683" w:name="_Toc351203538"/>
      <w:bookmarkEnd w:id="683"/>
      <w:bookmarkStart w:id="684" w:name="_Toc532377224"/>
      <w:r>
        <w:rPr>
          <w:rFonts w:hint="eastAsia" w:ascii="宋体" w:hAnsi="宋体" w:eastAsia="宋体" w:cs="宋体"/>
          <w:b/>
          <w:bCs/>
          <w:sz w:val="21"/>
          <w:szCs w:val="21"/>
        </w:rPr>
        <w:t>6</w:t>
      </w:r>
      <w:bookmarkEnd w:id="684"/>
      <w:bookmarkStart w:id="685" w:name="_Toc337558763"/>
      <w:r>
        <w:rPr>
          <w:rFonts w:hint="eastAsia" w:ascii="宋体" w:hAnsi="宋体" w:eastAsia="宋体" w:cs="宋体"/>
          <w:b/>
          <w:bCs/>
          <w:sz w:val="21"/>
          <w:szCs w:val="21"/>
        </w:rPr>
        <w:t>. 安全文明施工与环境保护</w:t>
      </w:r>
      <w:bookmarkEnd w:id="685"/>
    </w:p>
    <w:p w14:paraId="0593A1DC">
      <w:pPr>
        <w:widowControl/>
        <w:spacing w:line="360" w:lineRule="auto"/>
        <w:jc w:val="left"/>
        <w:outlineLvl w:val="4"/>
        <w:rPr>
          <w:rFonts w:ascii="宋体" w:hAnsi="宋体" w:eastAsia="宋体" w:cs="宋体"/>
          <w:b/>
          <w:bCs/>
          <w:kern w:val="0"/>
          <w:sz w:val="21"/>
          <w:szCs w:val="21"/>
        </w:rPr>
      </w:pPr>
      <w:bookmarkStart w:id="686" w:name="_Toc351203539"/>
      <w:bookmarkEnd w:id="686"/>
      <w:bookmarkStart w:id="687" w:name="_Toc532377225"/>
      <w:r>
        <w:rPr>
          <w:rFonts w:hint="eastAsia" w:ascii="宋体" w:hAnsi="宋体" w:eastAsia="宋体" w:cs="宋体"/>
          <w:b/>
          <w:bCs/>
          <w:kern w:val="0"/>
          <w:sz w:val="21"/>
          <w:szCs w:val="21"/>
        </w:rPr>
        <w:t>6</w:t>
      </w:r>
      <w:bookmarkEnd w:id="687"/>
      <w:bookmarkStart w:id="688" w:name="_Toc337558764"/>
      <w:r>
        <w:rPr>
          <w:rFonts w:hint="eastAsia" w:ascii="宋体" w:hAnsi="宋体" w:eastAsia="宋体" w:cs="宋体"/>
          <w:b/>
          <w:bCs/>
          <w:kern w:val="0"/>
          <w:sz w:val="21"/>
          <w:szCs w:val="21"/>
        </w:rPr>
        <w:t>.1安全文明施工</w:t>
      </w:r>
      <w:bookmarkEnd w:id="688"/>
    </w:p>
    <w:p w14:paraId="67C5890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6.1.1安全生产要求</w:t>
      </w:r>
    </w:p>
    <w:p w14:paraId="3AC6247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3097436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14:paraId="114777F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因安全生产需要暂停施工的，按照第7.8款〔暂停施工〕的约定执行。</w:t>
      </w:r>
    </w:p>
    <w:p w14:paraId="5D502D2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6.1.2 安全生产保证措施</w:t>
      </w:r>
    </w:p>
    <w:p w14:paraId="4695FC3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184496A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6.1.3特别安全生产事项</w:t>
      </w:r>
    </w:p>
    <w:p w14:paraId="5E4D73C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7DFAC3E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承包人在动力设备、输电线路、地下管道、密封防震车间、易燃易爆地段以及临街交通要道附近施工时，施工开始前应向发包人和监理人提出安全防护措施，经发包人认可后实施。 </w:t>
      </w:r>
    </w:p>
    <w:p w14:paraId="6E5F7D9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实施爆破作业，在放射、毒害性环境中施工（含储存、运输、使用）及使用毒害性、腐蚀性物品施工时，承包人应在施工前7天以书面通知发包人和监理人，并报送相应的安全防护措施，经发包人认可后实施。</w:t>
      </w:r>
    </w:p>
    <w:p w14:paraId="7EE08B5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需单独编制危险性较大分部分项专项工程施工方案的，及要求进行专家论证的超过一定规模的危险性较大的分部分项工程，承包人应及时编制和组织论证。</w:t>
      </w:r>
    </w:p>
    <w:p w14:paraId="1785B80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6.1.4 治安保卫</w:t>
      </w:r>
    </w:p>
    <w:p w14:paraId="1268263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除专用合同条款另有约定外，发包人应与当地公安部门协商，在现场建立治安管理机构或联防组织，统一管理施工场地的治安保卫事项，履行合同工程的治安保卫职责。</w:t>
      </w:r>
    </w:p>
    <w:p w14:paraId="0B8D802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发包人和承包人除应协助现场治安管理机构或联防组织维护施工场地的社会治安外，还应做好包括生活区在内的各自管辖区的治安保卫工作。</w:t>
      </w:r>
    </w:p>
    <w:p w14:paraId="1F622A9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1B0F47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6.1.5 文明施工</w:t>
      </w:r>
    </w:p>
    <w:p w14:paraId="25407A9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5FBD6C3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61030D7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6.1.6 安全文明施工费</w:t>
      </w:r>
    </w:p>
    <w:p w14:paraId="5BF4A6D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安全文明施工费由发包人承担，发包人不得以任何形式扣减该部分费用。因基准日期后合同所适用的法律或政府有关规定发生变化，增加的安全文明施工费由发包人承担。</w:t>
      </w:r>
    </w:p>
    <w:p w14:paraId="53E2D9B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35C8069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7E7A1B5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52D8C14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6.1.7 紧急情况处理</w:t>
      </w:r>
    </w:p>
    <w:p w14:paraId="7D03EE4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68303B6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6.1.8 事故处理</w:t>
      </w:r>
    </w:p>
    <w:p w14:paraId="7D5D111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1BDA3E4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6.1.9 安全生产责任</w:t>
      </w:r>
    </w:p>
    <w:p w14:paraId="080679F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6.1.9.1 发包人的安全责任</w:t>
      </w:r>
    </w:p>
    <w:p w14:paraId="44E7E12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发包人应负责赔偿以下各种情况造成的损失：</w:t>
      </w:r>
    </w:p>
    <w:p w14:paraId="000C0D0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（1）工程或工程的任何部分对土地的占用所造成的第三者财产损失；</w:t>
      </w:r>
    </w:p>
    <w:p w14:paraId="65429B9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（2）由于发包人原因在施工场地及其毗邻地带造成的第三者人身伤亡和财产损失；</w:t>
      </w:r>
    </w:p>
    <w:p w14:paraId="122EDEA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（3）由于发包人原因对承包人、监理人造成的人员人身伤亡和财产损失；</w:t>
      </w:r>
    </w:p>
    <w:p w14:paraId="14120B0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（4）由于发包人原因造成的发包人自身人员的人身伤害以及财产损失。</w:t>
      </w:r>
    </w:p>
    <w:p w14:paraId="6535F22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6.1.9.2 承包人的安全责任</w:t>
      </w:r>
    </w:p>
    <w:p w14:paraId="0D76568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由于承包人原因在施工场地内及其毗邻地带造成的发包人、监理人以及第三者人员伤亡和财产损失，由承包人负责赔偿。</w:t>
      </w:r>
    </w:p>
    <w:p w14:paraId="4C3DF425">
      <w:pPr>
        <w:widowControl/>
        <w:spacing w:line="360" w:lineRule="auto"/>
        <w:jc w:val="left"/>
        <w:outlineLvl w:val="4"/>
        <w:rPr>
          <w:rFonts w:ascii="宋体" w:hAnsi="宋体" w:eastAsia="宋体" w:cs="宋体"/>
          <w:b/>
          <w:bCs/>
          <w:kern w:val="0"/>
          <w:sz w:val="21"/>
          <w:szCs w:val="21"/>
        </w:rPr>
      </w:pPr>
      <w:bookmarkStart w:id="689" w:name="_Toc532377226"/>
      <w:bookmarkEnd w:id="689"/>
      <w:bookmarkStart w:id="690" w:name="_Toc351203540"/>
      <w:r>
        <w:rPr>
          <w:rFonts w:hint="eastAsia" w:ascii="宋体" w:hAnsi="宋体" w:eastAsia="宋体" w:cs="宋体"/>
          <w:b/>
          <w:bCs/>
          <w:kern w:val="0"/>
          <w:sz w:val="21"/>
          <w:szCs w:val="21"/>
        </w:rPr>
        <w:t>6</w:t>
      </w:r>
      <w:bookmarkEnd w:id="690"/>
      <w:bookmarkStart w:id="691" w:name="_Toc337558765"/>
      <w:r>
        <w:rPr>
          <w:rFonts w:hint="eastAsia" w:ascii="宋体" w:hAnsi="宋体" w:eastAsia="宋体" w:cs="宋体"/>
          <w:b/>
          <w:bCs/>
          <w:kern w:val="0"/>
          <w:sz w:val="21"/>
          <w:szCs w:val="21"/>
        </w:rPr>
        <w:t>.2 职业健康</w:t>
      </w:r>
      <w:bookmarkEnd w:id="691"/>
    </w:p>
    <w:p w14:paraId="792EF78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6.2.1 劳动保护</w:t>
      </w:r>
    </w:p>
    <w:p w14:paraId="71B6D64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068492E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1F4CC40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承包人应按法律规定安排工作时间，保证其雇佣人员享有休息和休假的权利。因工程施工的特殊需要占用休假日或延长工作时间的，应不超过法律规定的限度，并按法律规定给予补休或付酬。</w:t>
      </w:r>
    </w:p>
    <w:p w14:paraId="6C8FCA3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6.2.2 生活条件</w:t>
      </w:r>
    </w:p>
    <w:p w14:paraId="3FDC3C0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6ACBF919">
      <w:pPr>
        <w:widowControl/>
        <w:spacing w:line="360" w:lineRule="auto"/>
        <w:jc w:val="left"/>
        <w:outlineLvl w:val="4"/>
        <w:rPr>
          <w:rFonts w:ascii="宋体" w:hAnsi="宋体" w:eastAsia="宋体" w:cs="宋体"/>
          <w:b/>
          <w:bCs/>
          <w:kern w:val="0"/>
          <w:sz w:val="21"/>
          <w:szCs w:val="21"/>
        </w:rPr>
      </w:pPr>
      <w:bookmarkStart w:id="692" w:name="_Toc351203541"/>
      <w:bookmarkEnd w:id="692"/>
      <w:bookmarkStart w:id="693" w:name="_Toc532377227"/>
      <w:r>
        <w:rPr>
          <w:rFonts w:hint="eastAsia" w:ascii="宋体" w:hAnsi="宋体" w:eastAsia="宋体" w:cs="宋体"/>
          <w:b/>
          <w:bCs/>
          <w:kern w:val="0"/>
          <w:sz w:val="21"/>
          <w:szCs w:val="21"/>
        </w:rPr>
        <w:t>6</w:t>
      </w:r>
      <w:bookmarkEnd w:id="693"/>
      <w:bookmarkStart w:id="694" w:name="_Toc337558766"/>
      <w:r>
        <w:rPr>
          <w:rFonts w:hint="eastAsia" w:ascii="宋体" w:hAnsi="宋体" w:eastAsia="宋体" w:cs="宋体"/>
          <w:b/>
          <w:bCs/>
          <w:kern w:val="0"/>
          <w:sz w:val="21"/>
          <w:szCs w:val="21"/>
        </w:rPr>
        <w:t>.3 环境保护</w:t>
      </w:r>
      <w:bookmarkEnd w:id="694"/>
    </w:p>
    <w:p w14:paraId="4F2E69E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066E357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承包人应当承担因其原因引起的环境污染侵权损害赔偿责任，因上述环境污染引起纠纷而导致暂停施工的，由此增加的费用和（或）延误的工期由承包人承担。</w:t>
      </w:r>
    </w:p>
    <w:p w14:paraId="0B3089CA">
      <w:pPr>
        <w:keepNext/>
        <w:keepLines/>
        <w:spacing w:before="156" w:beforeLines="50" w:after="156" w:afterLines="50" w:line="360" w:lineRule="auto"/>
        <w:outlineLvl w:val="3"/>
        <w:rPr>
          <w:rFonts w:ascii="宋体" w:hAnsi="宋体" w:eastAsia="宋体" w:cs="宋体"/>
          <w:b/>
          <w:sz w:val="21"/>
          <w:szCs w:val="21"/>
        </w:rPr>
      </w:pPr>
      <w:bookmarkStart w:id="695" w:name="_Toc351203542"/>
      <w:bookmarkEnd w:id="695"/>
      <w:bookmarkStart w:id="696" w:name="_Toc532377228"/>
      <w:bookmarkEnd w:id="696"/>
      <w:bookmarkStart w:id="697" w:name="_Toc532375593"/>
      <w:r>
        <w:rPr>
          <w:rFonts w:hint="eastAsia" w:ascii="宋体" w:hAnsi="宋体" w:eastAsia="宋体" w:cs="宋体"/>
          <w:b/>
          <w:bCs/>
          <w:sz w:val="21"/>
          <w:szCs w:val="21"/>
        </w:rPr>
        <w:t>7</w:t>
      </w:r>
      <w:bookmarkEnd w:id="697"/>
      <w:bookmarkStart w:id="698" w:name="_Toc337558767"/>
      <w:r>
        <w:rPr>
          <w:rFonts w:hint="eastAsia" w:ascii="宋体" w:hAnsi="宋体" w:eastAsia="宋体" w:cs="宋体"/>
          <w:b/>
          <w:bCs/>
          <w:sz w:val="21"/>
          <w:szCs w:val="21"/>
        </w:rPr>
        <w:t>. 工期和进度</w:t>
      </w:r>
      <w:bookmarkEnd w:id="698"/>
    </w:p>
    <w:p w14:paraId="02992353">
      <w:pPr>
        <w:widowControl/>
        <w:spacing w:line="360" w:lineRule="auto"/>
        <w:jc w:val="left"/>
        <w:outlineLvl w:val="4"/>
        <w:rPr>
          <w:rFonts w:ascii="宋体" w:hAnsi="宋体" w:eastAsia="宋体" w:cs="宋体"/>
          <w:b/>
          <w:bCs/>
          <w:kern w:val="0"/>
          <w:sz w:val="21"/>
          <w:szCs w:val="21"/>
        </w:rPr>
      </w:pPr>
      <w:bookmarkStart w:id="699" w:name="_Toc532377229"/>
      <w:bookmarkEnd w:id="699"/>
      <w:bookmarkStart w:id="700" w:name="_Toc351203543"/>
      <w:r>
        <w:rPr>
          <w:rFonts w:hint="eastAsia" w:ascii="宋体" w:hAnsi="宋体" w:eastAsia="宋体" w:cs="宋体"/>
          <w:b/>
          <w:bCs/>
          <w:kern w:val="0"/>
          <w:sz w:val="21"/>
          <w:szCs w:val="21"/>
        </w:rPr>
        <w:t>7</w:t>
      </w:r>
      <w:bookmarkEnd w:id="700"/>
      <w:bookmarkStart w:id="701" w:name="_Toc296503066"/>
      <w:bookmarkEnd w:id="701"/>
      <w:bookmarkStart w:id="702" w:name="_Toc337558768"/>
      <w:bookmarkEnd w:id="702"/>
      <w:bookmarkStart w:id="703" w:name="_Toc296346567"/>
      <w:r>
        <w:rPr>
          <w:rFonts w:hint="eastAsia" w:ascii="宋体" w:hAnsi="宋体" w:eastAsia="宋体" w:cs="宋体"/>
          <w:b/>
          <w:bCs/>
          <w:kern w:val="0"/>
          <w:sz w:val="21"/>
          <w:szCs w:val="21"/>
        </w:rPr>
        <w:t>.1施工组织设计</w:t>
      </w:r>
      <w:bookmarkEnd w:id="703"/>
    </w:p>
    <w:p w14:paraId="7D94E28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7.1.1 施工组织设计的内容</w:t>
      </w:r>
    </w:p>
    <w:p w14:paraId="4AA6332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施工组织设计应包含以下内容：</w:t>
      </w:r>
    </w:p>
    <w:p w14:paraId="4971005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（1）施工方案； </w:t>
      </w:r>
    </w:p>
    <w:p w14:paraId="0A0DED4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（2）施工现场平面布置图；</w:t>
      </w:r>
    </w:p>
    <w:p w14:paraId="47B25D6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（3）施工进度计划和保证措施； </w:t>
      </w:r>
    </w:p>
    <w:p w14:paraId="5DE9723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（4）劳动力及材料供应计划；</w:t>
      </w:r>
    </w:p>
    <w:p w14:paraId="2B071EB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（5）施工机械设备的选用；</w:t>
      </w:r>
    </w:p>
    <w:p w14:paraId="5125A35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（6）质量保证体系及措施；</w:t>
      </w:r>
    </w:p>
    <w:p w14:paraId="005B8B7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（7）安全生产、文明施工措施；</w:t>
      </w:r>
    </w:p>
    <w:p w14:paraId="2EB06C3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（8）环境保护、成本控制措施；</w:t>
      </w:r>
    </w:p>
    <w:p w14:paraId="55646E0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（9）合同当事人约定的其他内容。</w:t>
      </w:r>
    </w:p>
    <w:p w14:paraId="35A1B12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7.1.2 施工组织设计的提交和修改</w:t>
      </w:r>
    </w:p>
    <w:p w14:paraId="704B018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55E724D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施工进度计划的编制和修改按照第7.2款〔施工进度计划〕执行。</w:t>
      </w:r>
    </w:p>
    <w:p w14:paraId="734882B6">
      <w:pPr>
        <w:widowControl/>
        <w:spacing w:line="360" w:lineRule="auto"/>
        <w:jc w:val="left"/>
        <w:outlineLvl w:val="4"/>
        <w:rPr>
          <w:rFonts w:ascii="宋体" w:hAnsi="宋体" w:eastAsia="宋体" w:cs="宋体"/>
          <w:b/>
          <w:bCs/>
          <w:kern w:val="0"/>
          <w:sz w:val="21"/>
          <w:szCs w:val="21"/>
        </w:rPr>
      </w:pPr>
      <w:bookmarkStart w:id="704" w:name="_Toc532377230"/>
      <w:bookmarkEnd w:id="704"/>
      <w:bookmarkStart w:id="705" w:name="_Toc351203544"/>
      <w:r>
        <w:rPr>
          <w:rFonts w:hint="eastAsia" w:ascii="宋体" w:hAnsi="宋体" w:eastAsia="宋体" w:cs="宋体"/>
          <w:b/>
          <w:bCs/>
          <w:kern w:val="0"/>
          <w:sz w:val="21"/>
          <w:szCs w:val="21"/>
        </w:rPr>
        <w:t>7</w:t>
      </w:r>
      <w:bookmarkEnd w:id="705"/>
      <w:bookmarkStart w:id="706" w:name="_Toc337558769"/>
      <w:r>
        <w:rPr>
          <w:rFonts w:hint="eastAsia" w:ascii="宋体" w:hAnsi="宋体" w:eastAsia="宋体" w:cs="宋体"/>
          <w:b/>
          <w:bCs/>
          <w:kern w:val="0"/>
          <w:sz w:val="21"/>
          <w:szCs w:val="21"/>
        </w:rPr>
        <w:t>.2 施工进度计划</w:t>
      </w:r>
      <w:bookmarkEnd w:id="706"/>
    </w:p>
    <w:p w14:paraId="4B80994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7.2.1 施工进度计划的编制</w:t>
      </w:r>
    </w:p>
    <w:p w14:paraId="7DB9C01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6928E4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7.2.2 施工进度计划的修订</w:t>
      </w:r>
    </w:p>
    <w:p w14:paraId="3E58CCE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2FC6F154">
      <w:pPr>
        <w:widowControl/>
        <w:spacing w:line="360" w:lineRule="auto"/>
        <w:jc w:val="left"/>
        <w:outlineLvl w:val="4"/>
        <w:rPr>
          <w:rFonts w:ascii="宋体" w:hAnsi="宋体" w:eastAsia="宋体" w:cs="宋体"/>
          <w:b/>
          <w:bCs/>
          <w:kern w:val="0"/>
          <w:sz w:val="21"/>
          <w:szCs w:val="21"/>
        </w:rPr>
      </w:pPr>
      <w:bookmarkStart w:id="707" w:name="_Toc532377231"/>
      <w:bookmarkEnd w:id="707"/>
      <w:bookmarkStart w:id="708" w:name="_Toc351203545"/>
      <w:r>
        <w:rPr>
          <w:rFonts w:hint="eastAsia" w:ascii="宋体" w:hAnsi="宋体" w:eastAsia="宋体" w:cs="宋体"/>
          <w:b/>
          <w:bCs/>
          <w:kern w:val="0"/>
          <w:sz w:val="21"/>
          <w:szCs w:val="21"/>
        </w:rPr>
        <w:t>7</w:t>
      </w:r>
      <w:bookmarkEnd w:id="708"/>
      <w:bookmarkStart w:id="709" w:name="_Toc337558770"/>
      <w:r>
        <w:rPr>
          <w:rFonts w:hint="eastAsia" w:ascii="宋体" w:hAnsi="宋体" w:eastAsia="宋体" w:cs="宋体"/>
          <w:b/>
          <w:bCs/>
          <w:kern w:val="0"/>
          <w:sz w:val="21"/>
          <w:szCs w:val="21"/>
        </w:rPr>
        <w:t>.3 开工</w:t>
      </w:r>
      <w:bookmarkEnd w:id="709"/>
    </w:p>
    <w:p w14:paraId="628F99E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7.3.1 开工准备</w:t>
      </w:r>
    </w:p>
    <w:p w14:paraId="272B4C6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43BE6A3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除专用合同条款另有约定外，合同当事人应按约定完成开工准备工作。</w:t>
      </w:r>
    </w:p>
    <w:p w14:paraId="057C1D1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7.3.2 开工通知</w:t>
      </w:r>
    </w:p>
    <w:p w14:paraId="1A9DFAB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5E6023D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1697C350">
      <w:pPr>
        <w:widowControl/>
        <w:spacing w:line="360" w:lineRule="auto"/>
        <w:jc w:val="left"/>
        <w:outlineLvl w:val="4"/>
        <w:rPr>
          <w:rFonts w:ascii="宋体" w:hAnsi="宋体" w:eastAsia="宋体" w:cs="宋体"/>
          <w:b/>
          <w:bCs/>
          <w:kern w:val="0"/>
          <w:sz w:val="21"/>
          <w:szCs w:val="21"/>
        </w:rPr>
      </w:pPr>
      <w:bookmarkStart w:id="710" w:name="_Toc351203546"/>
      <w:bookmarkEnd w:id="710"/>
      <w:bookmarkStart w:id="711" w:name="_Toc532377232"/>
      <w:r>
        <w:rPr>
          <w:rFonts w:hint="eastAsia" w:ascii="宋体" w:hAnsi="宋体" w:eastAsia="宋体" w:cs="宋体"/>
          <w:b/>
          <w:bCs/>
          <w:kern w:val="0"/>
          <w:sz w:val="21"/>
          <w:szCs w:val="21"/>
        </w:rPr>
        <w:t>7.4测量放线</w:t>
      </w:r>
      <w:bookmarkEnd w:id="711"/>
    </w:p>
    <w:p w14:paraId="4682CB7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1B65516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7FA8045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6F2A9DD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施工过程中对施工现场内水准点等测量标志物的保护工作由承包人负责。</w:t>
      </w:r>
      <w:bookmarkStart w:id="712" w:name="_Toc351203547"/>
      <w:bookmarkEnd w:id="712"/>
    </w:p>
    <w:p w14:paraId="3FA97560">
      <w:pPr>
        <w:widowControl/>
        <w:spacing w:line="360" w:lineRule="auto"/>
        <w:jc w:val="left"/>
        <w:outlineLvl w:val="4"/>
        <w:rPr>
          <w:rFonts w:ascii="宋体" w:hAnsi="宋体" w:eastAsia="宋体" w:cs="宋体"/>
          <w:b/>
          <w:bCs/>
          <w:kern w:val="0"/>
          <w:sz w:val="21"/>
          <w:szCs w:val="21"/>
        </w:rPr>
      </w:pPr>
      <w:bookmarkStart w:id="713" w:name="_Toc532377233"/>
      <w:bookmarkEnd w:id="713"/>
      <w:r>
        <w:rPr>
          <w:rFonts w:hint="eastAsia" w:ascii="宋体" w:hAnsi="宋体" w:eastAsia="宋体" w:cs="宋体"/>
          <w:b/>
          <w:bCs/>
          <w:kern w:val="0"/>
          <w:sz w:val="21"/>
          <w:szCs w:val="21"/>
        </w:rPr>
        <w:t>7</w:t>
      </w:r>
      <w:bookmarkStart w:id="714" w:name="_Toc337558772"/>
      <w:bookmarkEnd w:id="714"/>
      <w:bookmarkStart w:id="715" w:name="_Toc296346574"/>
      <w:bookmarkEnd w:id="715"/>
      <w:bookmarkStart w:id="716" w:name="_Toc296503073"/>
      <w:r>
        <w:rPr>
          <w:rFonts w:hint="eastAsia" w:ascii="宋体" w:hAnsi="宋体" w:eastAsia="宋体" w:cs="宋体"/>
          <w:b/>
          <w:bCs/>
          <w:kern w:val="0"/>
          <w:sz w:val="21"/>
          <w:szCs w:val="21"/>
        </w:rPr>
        <w:t>.5 工期延误</w:t>
      </w:r>
      <w:bookmarkEnd w:id="716"/>
    </w:p>
    <w:p w14:paraId="0B5E834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7.5.1 因发包人原因导致工期延误</w:t>
      </w:r>
    </w:p>
    <w:p w14:paraId="4BB3D9D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在合同履行过程中，因下列情况导致工期延误和（或）费用增加的，由发包人承担由此延误的工期和（或）增加的费用，且发包人应支付承包人合理的利润： </w:t>
      </w:r>
    </w:p>
    <w:p w14:paraId="6CD0DC0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（1）发包人未能按合同约定提供图纸或所提供图纸不符合合同约定的；</w:t>
      </w:r>
    </w:p>
    <w:p w14:paraId="6C57AD5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（2）发包人未能按合同约定提供施工现场、施工条件、基础资料、许可、批准等开工条件的；</w:t>
      </w:r>
    </w:p>
    <w:p w14:paraId="117541C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（3）发包人提供的测量基准点、基准线和水准点及其书面资料存在错误或疏漏的；</w:t>
      </w:r>
    </w:p>
    <w:p w14:paraId="3DABDB6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（4）发包人未能在计划开工日期之日起7天内同意下达开工通知的；</w:t>
      </w:r>
    </w:p>
    <w:p w14:paraId="0F5E545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（5）发包人未能按合同约定日期支付工程预付款、进度款或竣工结算款的；</w:t>
      </w:r>
    </w:p>
    <w:p w14:paraId="712D14F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（6）监理人未按合同约定发出指示、批准等文件的；</w:t>
      </w:r>
    </w:p>
    <w:p w14:paraId="44D7FBD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（7）专用合同条款中约定的其他情形。</w:t>
      </w:r>
    </w:p>
    <w:p w14:paraId="70A89B4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6F5F626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7.5.2 因承包人原因导致工期延误</w:t>
      </w:r>
    </w:p>
    <w:p w14:paraId="3E6F6815">
      <w:pPr>
        <w:autoSpaceDE w:val="0"/>
        <w:autoSpaceDN w:val="0"/>
        <w:spacing w:line="360" w:lineRule="auto"/>
        <w:jc w:val="left"/>
        <w:rPr>
          <w:rFonts w:ascii="宋体" w:hAnsi="宋体" w:eastAsia="宋体" w:cs="Times New Roman"/>
          <w:kern w:val="0"/>
          <w:sz w:val="21"/>
          <w:szCs w:val="21"/>
        </w:rPr>
      </w:pPr>
      <w:bookmarkStart w:id="717" w:name="_Toc296346577"/>
      <w:bookmarkEnd w:id="717"/>
      <w:bookmarkStart w:id="718" w:name="_Toc296503076"/>
      <w:r>
        <w:rPr>
          <w:rFonts w:hint="eastAsia" w:ascii="宋体" w:hAnsi="宋体" w:eastAsia="宋体" w:cs="Times New Roman"/>
          <w:kern w:val="0"/>
          <w:sz w:val="21"/>
          <w:szCs w:val="21"/>
        </w:rPr>
        <w:t>因</w:t>
      </w:r>
      <w:bookmarkEnd w:id="718"/>
      <w:r>
        <w:rPr>
          <w:rFonts w:hint="eastAsia" w:ascii="宋体" w:hAnsi="宋体" w:eastAsia="宋体" w:cs="Times New Roman"/>
          <w:kern w:val="0"/>
          <w:sz w:val="21"/>
          <w:szCs w:val="21"/>
        </w:rPr>
        <w:t>承包人原因造成工期延误的，可以在专用合同条款中约定逾期竣工违约金的计算方法和逾期竣工违约金的上限。承包人支付逾期竣工违约金后，不免除承包人继续完成工程及修补缺陷的义务。</w:t>
      </w:r>
    </w:p>
    <w:p w14:paraId="61ED8E88">
      <w:pPr>
        <w:widowControl/>
        <w:spacing w:line="360" w:lineRule="auto"/>
        <w:jc w:val="left"/>
        <w:outlineLvl w:val="4"/>
        <w:rPr>
          <w:rFonts w:ascii="宋体" w:hAnsi="宋体" w:eastAsia="宋体" w:cs="宋体"/>
          <w:b/>
          <w:bCs/>
          <w:kern w:val="0"/>
          <w:sz w:val="21"/>
          <w:szCs w:val="21"/>
        </w:rPr>
      </w:pPr>
      <w:bookmarkStart w:id="719" w:name="_Toc532377234"/>
      <w:bookmarkEnd w:id="719"/>
      <w:bookmarkStart w:id="720" w:name="_Toc351203548"/>
      <w:r>
        <w:rPr>
          <w:rFonts w:hint="eastAsia" w:ascii="宋体" w:hAnsi="宋体" w:eastAsia="宋体" w:cs="宋体"/>
          <w:b/>
          <w:bCs/>
          <w:kern w:val="0"/>
          <w:sz w:val="21"/>
          <w:szCs w:val="21"/>
        </w:rPr>
        <w:t>7</w:t>
      </w:r>
      <w:bookmarkEnd w:id="720"/>
      <w:bookmarkStart w:id="721" w:name="_Toc337558773"/>
      <w:bookmarkEnd w:id="721"/>
      <w:bookmarkStart w:id="722" w:name="_Toc296346575"/>
      <w:bookmarkEnd w:id="722"/>
      <w:bookmarkStart w:id="723" w:name="_Toc296503077"/>
      <w:bookmarkEnd w:id="723"/>
      <w:bookmarkStart w:id="724" w:name="_Toc296503074"/>
      <w:bookmarkEnd w:id="724"/>
      <w:bookmarkStart w:id="725" w:name="_Toc296346578"/>
      <w:r>
        <w:rPr>
          <w:rFonts w:hint="eastAsia" w:ascii="宋体" w:hAnsi="宋体" w:eastAsia="宋体" w:cs="宋体"/>
          <w:b/>
          <w:bCs/>
          <w:kern w:val="0"/>
          <w:sz w:val="21"/>
          <w:szCs w:val="21"/>
        </w:rPr>
        <w:t>.6 不利物质条件</w:t>
      </w:r>
      <w:bookmarkEnd w:id="725"/>
    </w:p>
    <w:p w14:paraId="410795F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1229CBF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4C3CF7E0">
      <w:pPr>
        <w:widowControl/>
        <w:spacing w:line="360" w:lineRule="auto"/>
        <w:jc w:val="left"/>
        <w:outlineLvl w:val="4"/>
        <w:rPr>
          <w:rFonts w:ascii="宋体" w:hAnsi="宋体" w:eastAsia="宋体" w:cs="宋体"/>
          <w:b/>
          <w:bCs/>
          <w:kern w:val="0"/>
          <w:sz w:val="21"/>
          <w:szCs w:val="21"/>
        </w:rPr>
      </w:pPr>
      <w:bookmarkStart w:id="726" w:name="_Toc351203549"/>
      <w:bookmarkEnd w:id="726"/>
      <w:bookmarkStart w:id="727" w:name="_Toc532377235"/>
      <w:r>
        <w:rPr>
          <w:rFonts w:hint="eastAsia" w:ascii="宋体" w:hAnsi="宋体" w:eastAsia="宋体" w:cs="宋体"/>
          <w:b/>
          <w:bCs/>
          <w:kern w:val="0"/>
          <w:sz w:val="21"/>
          <w:szCs w:val="21"/>
        </w:rPr>
        <w:t>7</w:t>
      </w:r>
      <w:bookmarkEnd w:id="727"/>
      <w:bookmarkStart w:id="728" w:name="_Toc337558774"/>
      <w:bookmarkEnd w:id="728"/>
      <w:bookmarkStart w:id="729" w:name="_Toc296503075"/>
      <w:bookmarkEnd w:id="729"/>
      <w:bookmarkStart w:id="730" w:name="_Toc296346576"/>
      <w:r>
        <w:rPr>
          <w:rFonts w:hint="eastAsia" w:ascii="宋体" w:hAnsi="宋体" w:eastAsia="宋体" w:cs="宋体"/>
          <w:b/>
          <w:bCs/>
          <w:kern w:val="0"/>
          <w:sz w:val="21"/>
          <w:szCs w:val="21"/>
        </w:rPr>
        <w:t>.7 异常恶劣的气候条件</w:t>
      </w:r>
      <w:bookmarkEnd w:id="730"/>
    </w:p>
    <w:p w14:paraId="58FBFAA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7D4A5AA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731" w:name="_Toc351203550"/>
      <w:bookmarkEnd w:id="731"/>
    </w:p>
    <w:p w14:paraId="2C3B0199">
      <w:pPr>
        <w:widowControl/>
        <w:spacing w:line="360" w:lineRule="auto"/>
        <w:jc w:val="left"/>
        <w:outlineLvl w:val="4"/>
        <w:rPr>
          <w:rFonts w:ascii="宋体" w:hAnsi="宋体" w:eastAsia="宋体" w:cs="宋体"/>
          <w:b/>
          <w:bCs/>
          <w:kern w:val="0"/>
          <w:sz w:val="21"/>
          <w:szCs w:val="21"/>
        </w:rPr>
      </w:pPr>
      <w:bookmarkStart w:id="732" w:name="_Toc532377236"/>
      <w:bookmarkEnd w:id="732"/>
      <w:r>
        <w:rPr>
          <w:rFonts w:hint="eastAsia" w:ascii="宋体" w:hAnsi="宋体" w:eastAsia="宋体" w:cs="宋体"/>
          <w:b/>
          <w:bCs/>
          <w:kern w:val="0"/>
          <w:sz w:val="21"/>
          <w:szCs w:val="21"/>
        </w:rPr>
        <w:t>7</w:t>
      </w:r>
      <w:bookmarkStart w:id="733" w:name="_Toc337558775"/>
      <w:r>
        <w:rPr>
          <w:rFonts w:hint="eastAsia" w:ascii="宋体" w:hAnsi="宋体" w:eastAsia="宋体" w:cs="宋体"/>
          <w:b/>
          <w:bCs/>
          <w:kern w:val="0"/>
          <w:sz w:val="21"/>
          <w:szCs w:val="21"/>
        </w:rPr>
        <w:t>.8 暂停施工</w:t>
      </w:r>
      <w:bookmarkEnd w:id="733"/>
    </w:p>
    <w:p w14:paraId="6D59863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7.8.1发包人原因引起的暂停施工</w:t>
      </w:r>
    </w:p>
    <w:p w14:paraId="030044A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因发包人原因引起暂停施工的，监理人经发包人同意后，应及时下达暂停施工指示。情况紧急且监理人未及时下达暂停施工指示的，按照第7.8.4项〔紧急情况下的暂停施工〕执行。</w:t>
      </w:r>
    </w:p>
    <w:p w14:paraId="4D23834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因发包人原因引起的暂停施工，发包人应承担由此增加的费用和（或）延误的工期，并支付承包人合理的利润。</w:t>
      </w:r>
    </w:p>
    <w:p w14:paraId="781F855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7.8.2 承包人原因引起的暂停施工</w:t>
      </w:r>
    </w:p>
    <w:p w14:paraId="5062C44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1117C7A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7.8.3 指示暂停施工</w:t>
      </w:r>
    </w:p>
    <w:p w14:paraId="165E044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监理人认为有必要时，并经发包人批准后，可向承包人作出暂停施工的指示，承包人应按监理人指示暂停施工。</w:t>
      </w:r>
    </w:p>
    <w:p w14:paraId="4C1A254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7.8.4 紧急情况下的暂停施工</w:t>
      </w:r>
    </w:p>
    <w:p w14:paraId="6E1ACD3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5146028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7.8.5 暂停施工后的复工</w:t>
      </w:r>
    </w:p>
    <w:p w14:paraId="325D62C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160416F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承包人无故拖延和拒绝复工的，承包人承担由此增加的费用和（或）延误的工期；因发包人原因无法按时复工的，按照第7.5.1项〔因发包人原因导致工期延误〕约定办理。</w:t>
      </w:r>
    </w:p>
    <w:p w14:paraId="0A45B56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7.8.6 暂停施工持续56天以上</w:t>
      </w:r>
    </w:p>
    <w:p w14:paraId="4605E84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364FC7F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1577185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7.8.7 暂停施工期间的工程照管</w:t>
      </w:r>
    </w:p>
    <w:p w14:paraId="3582CDC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暂停施工期间，承包人应负责妥善照管工程并提供安全保障，由此增加的费用由责任方承担。</w:t>
      </w:r>
    </w:p>
    <w:p w14:paraId="1A14EDF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7.8.8 暂停施工的措施</w:t>
      </w:r>
    </w:p>
    <w:p w14:paraId="360E4CF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暂停施工期间，发包人和承包人均应采取必要的措施确保工程质量及安全，防止因暂停施工扩大损失。</w:t>
      </w:r>
    </w:p>
    <w:p w14:paraId="5FCB52F1">
      <w:pPr>
        <w:widowControl/>
        <w:spacing w:line="360" w:lineRule="auto"/>
        <w:jc w:val="left"/>
        <w:outlineLvl w:val="4"/>
        <w:rPr>
          <w:rFonts w:ascii="宋体" w:hAnsi="宋体" w:eastAsia="宋体" w:cs="宋体"/>
          <w:b/>
          <w:bCs/>
          <w:kern w:val="0"/>
          <w:sz w:val="21"/>
          <w:szCs w:val="21"/>
        </w:rPr>
      </w:pPr>
      <w:bookmarkStart w:id="734" w:name="_Toc351203551"/>
      <w:bookmarkEnd w:id="734"/>
      <w:bookmarkStart w:id="735" w:name="_Toc532377237"/>
      <w:r>
        <w:rPr>
          <w:rFonts w:hint="eastAsia" w:ascii="宋体" w:hAnsi="宋体" w:eastAsia="宋体" w:cs="宋体"/>
          <w:b/>
          <w:bCs/>
          <w:kern w:val="0"/>
          <w:sz w:val="21"/>
          <w:szCs w:val="21"/>
        </w:rPr>
        <w:t>7.9提前竣工</w:t>
      </w:r>
      <w:bookmarkEnd w:id="735"/>
    </w:p>
    <w:p w14:paraId="421E0E2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746FDC0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7.9.2 发包人要求承包人提前竣工，或承包人提出提前竣工的建议能够给发包人带来效益的，合同当事人可以在专用合同条款中约定提前竣工的奖励。</w:t>
      </w:r>
    </w:p>
    <w:p w14:paraId="0D1531FC">
      <w:pPr>
        <w:keepNext/>
        <w:keepLines/>
        <w:spacing w:before="156" w:beforeLines="50" w:after="156" w:afterLines="50" w:line="360" w:lineRule="auto"/>
        <w:outlineLvl w:val="3"/>
        <w:rPr>
          <w:rFonts w:ascii="宋体" w:hAnsi="宋体" w:eastAsia="宋体" w:cs="宋体"/>
          <w:b/>
          <w:sz w:val="21"/>
          <w:szCs w:val="21"/>
        </w:rPr>
      </w:pPr>
      <w:bookmarkStart w:id="736" w:name="_Toc532377238"/>
      <w:bookmarkEnd w:id="736"/>
      <w:bookmarkStart w:id="737" w:name="_Toc351203552"/>
      <w:bookmarkEnd w:id="737"/>
      <w:bookmarkStart w:id="738" w:name="_Toc532375594"/>
      <w:r>
        <w:rPr>
          <w:rFonts w:hint="eastAsia" w:ascii="宋体" w:hAnsi="宋体" w:eastAsia="宋体" w:cs="宋体"/>
          <w:b/>
          <w:bCs/>
          <w:sz w:val="21"/>
          <w:szCs w:val="21"/>
        </w:rPr>
        <w:t>8</w:t>
      </w:r>
      <w:bookmarkEnd w:id="738"/>
      <w:bookmarkStart w:id="739" w:name="_Toc296346559"/>
      <w:bookmarkEnd w:id="739"/>
      <w:bookmarkStart w:id="740" w:name="_Toc337558776"/>
      <w:bookmarkEnd w:id="740"/>
      <w:bookmarkStart w:id="741" w:name="_Toc296503058"/>
      <w:r>
        <w:rPr>
          <w:rFonts w:hint="eastAsia" w:ascii="宋体" w:hAnsi="宋体" w:eastAsia="宋体" w:cs="宋体"/>
          <w:b/>
          <w:bCs/>
          <w:sz w:val="21"/>
          <w:szCs w:val="21"/>
        </w:rPr>
        <w:t>. 材料与设备</w:t>
      </w:r>
      <w:bookmarkEnd w:id="741"/>
    </w:p>
    <w:p w14:paraId="30760DA1">
      <w:pPr>
        <w:widowControl/>
        <w:spacing w:line="360" w:lineRule="auto"/>
        <w:jc w:val="left"/>
        <w:outlineLvl w:val="4"/>
        <w:rPr>
          <w:rFonts w:ascii="宋体" w:hAnsi="宋体" w:eastAsia="宋体" w:cs="宋体"/>
          <w:b/>
          <w:bCs/>
          <w:kern w:val="0"/>
          <w:sz w:val="21"/>
          <w:szCs w:val="21"/>
        </w:rPr>
      </w:pPr>
      <w:bookmarkStart w:id="742" w:name="_Toc351203553"/>
      <w:bookmarkEnd w:id="742"/>
      <w:bookmarkStart w:id="743" w:name="_Toc532377239"/>
      <w:bookmarkEnd w:id="743"/>
      <w:r>
        <w:rPr>
          <w:rFonts w:hint="eastAsia" w:ascii="宋体" w:hAnsi="宋体" w:eastAsia="宋体" w:cs="宋体"/>
          <w:b/>
          <w:bCs/>
          <w:kern w:val="0"/>
          <w:sz w:val="21"/>
          <w:szCs w:val="21"/>
        </w:rPr>
        <w:t>8</w:t>
      </w:r>
      <w:bookmarkStart w:id="744" w:name="_Toc296503059"/>
      <w:bookmarkEnd w:id="744"/>
      <w:bookmarkStart w:id="745" w:name="_Toc296346560"/>
      <w:bookmarkEnd w:id="745"/>
      <w:bookmarkStart w:id="746" w:name="_Toc337558777"/>
      <w:bookmarkEnd w:id="746"/>
      <w:bookmarkStart w:id="747" w:name="_Toc468936960"/>
      <w:r>
        <w:rPr>
          <w:rFonts w:hint="eastAsia" w:ascii="宋体" w:hAnsi="宋体" w:eastAsia="宋体" w:cs="宋体"/>
          <w:b/>
          <w:bCs/>
          <w:kern w:val="0"/>
          <w:sz w:val="21"/>
          <w:szCs w:val="21"/>
        </w:rPr>
        <w:t>.1发包人供应材料与工程设备</w:t>
      </w:r>
      <w:bookmarkEnd w:id="747"/>
    </w:p>
    <w:p w14:paraId="77444F1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发包人自行供应材料、工程设备的，应在签订合同时在专用合同条款的附件《发包人供应材料设备一览表》中明确材料、工程设备的品种、规格、型号、数量、单价、质量等级和送达地点。</w:t>
      </w:r>
    </w:p>
    <w:p w14:paraId="59487AF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4B7529D2">
      <w:pPr>
        <w:widowControl/>
        <w:spacing w:line="360" w:lineRule="auto"/>
        <w:jc w:val="left"/>
        <w:outlineLvl w:val="4"/>
        <w:rPr>
          <w:rFonts w:ascii="宋体" w:hAnsi="宋体" w:eastAsia="宋体" w:cs="宋体"/>
          <w:b/>
          <w:bCs/>
          <w:kern w:val="0"/>
          <w:sz w:val="21"/>
          <w:szCs w:val="21"/>
        </w:rPr>
      </w:pPr>
      <w:bookmarkStart w:id="748" w:name="_Toc532377240"/>
      <w:bookmarkEnd w:id="748"/>
      <w:r>
        <w:rPr>
          <w:rFonts w:hint="eastAsia" w:ascii="宋体" w:hAnsi="宋体" w:eastAsia="宋体" w:cs="宋体"/>
          <w:b/>
          <w:bCs/>
          <w:kern w:val="0"/>
          <w:sz w:val="21"/>
          <w:szCs w:val="21"/>
        </w:rPr>
        <w:t>8.2承包人采购材料与工程设备</w:t>
      </w:r>
    </w:p>
    <w:p w14:paraId="7A31D67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7795296D">
      <w:pPr>
        <w:widowControl/>
        <w:spacing w:line="360" w:lineRule="auto"/>
        <w:jc w:val="left"/>
        <w:outlineLvl w:val="4"/>
        <w:rPr>
          <w:rFonts w:ascii="宋体" w:hAnsi="宋体" w:eastAsia="宋体" w:cs="宋体"/>
          <w:b/>
          <w:bCs/>
          <w:kern w:val="0"/>
          <w:sz w:val="21"/>
          <w:szCs w:val="21"/>
        </w:rPr>
      </w:pPr>
      <w:bookmarkStart w:id="749" w:name="_Toc351203555"/>
      <w:bookmarkEnd w:id="749"/>
      <w:bookmarkStart w:id="750" w:name="_Toc532377241"/>
      <w:r>
        <w:rPr>
          <w:rFonts w:hint="eastAsia" w:ascii="宋体" w:hAnsi="宋体" w:eastAsia="宋体" w:cs="宋体"/>
          <w:b/>
          <w:bCs/>
          <w:kern w:val="0"/>
          <w:sz w:val="21"/>
          <w:szCs w:val="21"/>
        </w:rPr>
        <w:t>8</w:t>
      </w:r>
      <w:bookmarkEnd w:id="750"/>
      <w:bookmarkStart w:id="751" w:name="_Toc337558779"/>
      <w:bookmarkEnd w:id="751"/>
      <w:bookmarkStart w:id="752" w:name="_Toc296346562"/>
      <w:bookmarkEnd w:id="752"/>
      <w:bookmarkStart w:id="753" w:name="_Toc296503061"/>
      <w:r>
        <w:rPr>
          <w:rFonts w:hint="eastAsia" w:ascii="宋体" w:hAnsi="宋体" w:eastAsia="宋体" w:cs="宋体"/>
          <w:b/>
          <w:bCs/>
          <w:kern w:val="0"/>
          <w:sz w:val="21"/>
          <w:szCs w:val="21"/>
        </w:rPr>
        <w:t>.3材料与工程设备的接收与拒收</w:t>
      </w:r>
      <w:bookmarkEnd w:id="753"/>
    </w:p>
    <w:p w14:paraId="351E362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2C58D5F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发包人提供的材料和工程设备的规格、数量或质量不符合合同约定的，或因发包人原因导致交货日期延误或交货地点变更等情况的，按照第16.1款〔发包人违约〕约定办理。</w:t>
      </w:r>
    </w:p>
    <w:p w14:paraId="297EF1B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8.3.2 承包人采购的材料和工程设备，应保证产品质量合格，承包人应在材料和工程设备到货前24小时通知监理人检验。承</w:t>
      </w:r>
      <w:bookmarkStart w:id="754" w:name="_Toc250655469"/>
      <w:r>
        <w:rPr>
          <w:rFonts w:hint="eastAsia" w:ascii="宋体" w:hAnsi="宋体" w:eastAsia="宋体" w:cs="Times New Roman"/>
          <w:kern w:val="0"/>
          <w:sz w:val="21"/>
          <w:szCs w:val="21"/>
        </w:rPr>
        <w:t>包人进行永久设备、材料的制造和生产的，应符合相关质量标准，并向监理人提交材料的样本以及有关资料，并应在使用该材料或工程设备之前获得监理人同意。</w:t>
      </w:r>
      <w:bookmarkEnd w:id="754"/>
    </w:p>
    <w:p w14:paraId="0A7FF0E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12F96DD8">
      <w:pPr>
        <w:widowControl/>
        <w:spacing w:line="360" w:lineRule="auto"/>
        <w:jc w:val="left"/>
        <w:outlineLvl w:val="4"/>
        <w:rPr>
          <w:rFonts w:ascii="宋体" w:hAnsi="宋体" w:eastAsia="宋体" w:cs="宋体"/>
          <w:b/>
          <w:bCs/>
          <w:kern w:val="0"/>
          <w:sz w:val="21"/>
          <w:szCs w:val="21"/>
        </w:rPr>
      </w:pPr>
      <w:bookmarkStart w:id="755" w:name="_Toc351203556"/>
      <w:bookmarkEnd w:id="755"/>
      <w:bookmarkStart w:id="756" w:name="_Toc532377242"/>
      <w:r>
        <w:rPr>
          <w:rFonts w:hint="eastAsia" w:ascii="宋体" w:hAnsi="宋体" w:eastAsia="宋体" w:cs="宋体"/>
          <w:b/>
          <w:bCs/>
          <w:kern w:val="0"/>
          <w:sz w:val="21"/>
          <w:szCs w:val="21"/>
        </w:rPr>
        <w:t>8</w:t>
      </w:r>
      <w:bookmarkEnd w:id="756"/>
      <w:bookmarkStart w:id="757" w:name="_Toc296503062"/>
      <w:bookmarkEnd w:id="757"/>
      <w:bookmarkStart w:id="758" w:name="_Toc296346563"/>
      <w:bookmarkEnd w:id="758"/>
      <w:bookmarkStart w:id="759" w:name="_Toc337558780"/>
      <w:r>
        <w:rPr>
          <w:rFonts w:hint="eastAsia" w:ascii="宋体" w:hAnsi="宋体" w:eastAsia="宋体" w:cs="宋体"/>
          <w:b/>
          <w:bCs/>
          <w:kern w:val="0"/>
          <w:sz w:val="21"/>
          <w:szCs w:val="21"/>
        </w:rPr>
        <w:t>.4材料与工程设备的保管与使用</w:t>
      </w:r>
      <w:bookmarkEnd w:id="759"/>
    </w:p>
    <w:p w14:paraId="0F96FC4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8.4.1 发包人供应材料与工程设备的保管与使用</w:t>
      </w:r>
    </w:p>
    <w:p w14:paraId="406907B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0F9B2BA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发包人供应的材料和工程设备使用前，由承包人负责检验，检验费用由发包人承担，不合格的不得使用。</w:t>
      </w:r>
    </w:p>
    <w:p w14:paraId="76E0ADD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8.4.2 承包人采购材料与工程设备的保管与使用</w:t>
      </w:r>
    </w:p>
    <w:p w14:paraId="3E1C3F2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25E6703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发包人或监理人发现承包人使用不符合设计或有关标准要求的材料和工程设备时，有权要求承包人进行修复、拆除或重新采购，由此增加的费用和（或）延误的工期，由承包人承担。</w:t>
      </w:r>
    </w:p>
    <w:p w14:paraId="30633D03">
      <w:pPr>
        <w:widowControl/>
        <w:spacing w:line="360" w:lineRule="auto"/>
        <w:jc w:val="left"/>
        <w:outlineLvl w:val="4"/>
        <w:rPr>
          <w:rFonts w:ascii="宋体" w:hAnsi="宋体" w:eastAsia="宋体" w:cs="宋体"/>
          <w:b/>
          <w:bCs/>
          <w:kern w:val="0"/>
          <w:sz w:val="21"/>
          <w:szCs w:val="21"/>
        </w:rPr>
      </w:pPr>
      <w:bookmarkStart w:id="760" w:name="_Toc351203557"/>
      <w:bookmarkEnd w:id="760"/>
      <w:bookmarkStart w:id="761" w:name="_Toc532377243"/>
      <w:r>
        <w:rPr>
          <w:rFonts w:hint="eastAsia" w:ascii="宋体" w:hAnsi="宋体" w:eastAsia="宋体" w:cs="宋体"/>
          <w:b/>
          <w:bCs/>
          <w:kern w:val="0"/>
          <w:sz w:val="21"/>
          <w:szCs w:val="21"/>
        </w:rPr>
        <w:t>8.5禁止使用不合格的材料和工程设备</w:t>
      </w:r>
      <w:bookmarkEnd w:id="761"/>
    </w:p>
    <w:p w14:paraId="39CE28D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8.5.1 监理人有权拒绝承包人提供的不合格材料或工程设备，并要求承包人立即进行更换。监理人应在更换后再次进行检查和检验，由此增加的费用和（或）延误的工期由承包人承担。</w:t>
      </w:r>
    </w:p>
    <w:p w14:paraId="13357F8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8.5.2 监理人发现承包人使用了不合格的材料和工程设备，承包人应按照监理人的指示立即改正，并禁止在工程中继续使用不合格的材料和工程设备。</w:t>
      </w:r>
    </w:p>
    <w:p w14:paraId="77B1CA0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8.5.3 发包人提供的材料或工程设备不符合合同要求的，承包人有权拒绝，并可要求发包人更换，由此增加的费用和（或）延误的工期由发包人承担，并支付承包人合理的利润。</w:t>
      </w:r>
    </w:p>
    <w:p w14:paraId="54DB6560">
      <w:pPr>
        <w:widowControl/>
        <w:spacing w:line="360" w:lineRule="auto"/>
        <w:jc w:val="left"/>
        <w:outlineLvl w:val="4"/>
        <w:rPr>
          <w:rFonts w:ascii="宋体" w:hAnsi="宋体" w:eastAsia="宋体" w:cs="宋体"/>
          <w:b/>
          <w:bCs/>
          <w:kern w:val="0"/>
          <w:sz w:val="21"/>
          <w:szCs w:val="21"/>
        </w:rPr>
      </w:pPr>
      <w:bookmarkStart w:id="762" w:name="_Toc351203558"/>
      <w:bookmarkEnd w:id="762"/>
      <w:bookmarkStart w:id="763" w:name="_Toc532377244"/>
      <w:r>
        <w:rPr>
          <w:rFonts w:hint="eastAsia" w:ascii="宋体" w:hAnsi="宋体" w:eastAsia="宋体" w:cs="宋体"/>
          <w:b/>
          <w:bCs/>
          <w:kern w:val="0"/>
          <w:sz w:val="21"/>
          <w:szCs w:val="21"/>
        </w:rPr>
        <w:t>8.6 样品</w:t>
      </w:r>
      <w:bookmarkEnd w:id="763"/>
    </w:p>
    <w:p w14:paraId="53E9C2E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8.6.1</w:t>
      </w:r>
      <w:r>
        <w:rPr>
          <w:rFonts w:hint="eastAsia" w:ascii="宋体" w:hAnsi="宋体" w:eastAsia="宋体" w:cs="Times New Roman"/>
          <w:kern w:val="0"/>
          <w:sz w:val="21"/>
          <w:szCs w:val="21"/>
        </w:rPr>
        <w:tab/>
      </w:r>
      <w:r>
        <w:rPr>
          <w:rFonts w:hint="eastAsia" w:ascii="宋体" w:hAnsi="宋体" w:eastAsia="宋体" w:cs="Times New Roman"/>
          <w:kern w:val="0"/>
          <w:sz w:val="21"/>
          <w:szCs w:val="21"/>
        </w:rPr>
        <w:t>样品的报送与封存</w:t>
      </w:r>
    </w:p>
    <w:p w14:paraId="731AF7B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需要承包人报送样品的材料或工程设备，样品的种类、名称、规格、数量等要求均应在专用合同条款中约定。样品的报送程序如下：</w:t>
      </w:r>
    </w:p>
    <w:p w14:paraId="0654074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03BECEA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3975321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（3）经发包人和监理人审批确认的样品应按约定的方法封样，封存的样品作为检验工程相关部分的标准之一。承包人在施工过程中不得使用与样品不符的材料或工程设备。</w:t>
      </w:r>
    </w:p>
    <w:p w14:paraId="74C89E1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11B175E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8.6.2 样品的保管</w:t>
      </w:r>
    </w:p>
    <w:p w14:paraId="603F25C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经批准的样品应由监理人负责封存于现场，承包人应在现场为保存样品提供适当和固定的场所并保持适当和良好的存储环境条件。</w:t>
      </w:r>
    </w:p>
    <w:p w14:paraId="70081CCF">
      <w:pPr>
        <w:widowControl/>
        <w:spacing w:line="360" w:lineRule="auto"/>
        <w:jc w:val="left"/>
        <w:outlineLvl w:val="4"/>
        <w:rPr>
          <w:rFonts w:ascii="宋体" w:hAnsi="宋体" w:eastAsia="宋体" w:cs="宋体"/>
          <w:b/>
          <w:bCs/>
          <w:kern w:val="0"/>
          <w:sz w:val="21"/>
          <w:szCs w:val="21"/>
        </w:rPr>
      </w:pPr>
      <w:bookmarkStart w:id="764" w:name="_Toc532377245"/>
      <w:bookmarkEnd w:id="764"/>
      <w:bookmarkStart w:id="765" w:name="_Toc351203559"/>
      <w:r>
        <w:rPr>
          <w:rFonts w:hint="eastAsia" w:ascii="宋体" w:hAnsi="宋体" w:eastAsia="宋体" w:cs="宋体"/>
          <w:b/>
          <w:bCs/>
          <w:kern w:val="0"/>
          <w:sz w:val="21"/>
          <w:szCs w:val="21"/>
        </w:rPr>
        <w:t>8.7材料与工程设备的替代</w:t>
      </w:r>
      <w:bookmarkEnd w:id="765"/>
    </w:p>
    <w:p w14:paraId="4511B08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8.7.1 出现下列情况需要使用替代材料和工程设备的，承包人应按照第8.7.2项约定的程序执行：</w:t>
      </w:r>
    </w:p>
    <w:p w14:paraId="2706FD1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（1）基准日期后生效的法律规定禁止使用的；</w:t>
      </w:r>
    </w:p>
    <w:p w14:paraId="0A4579D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（2）发包人要求使用替代品的；</w:t>
      </w:r>
    </w:p>
    <w:p w14:paraId="75A63AD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（3）因其他原因必须使用替代品的。</w:t>
      </w:r>
    </w:p>
    <w:p w14:paraId="35F2DAC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8.7.2 承包人应在使用替代材料和工程设备28天前书面通知监理人，并附下列文件：</w:t>
      </w:r>
    </w:p>
    <w:p w14:paraId="067DF3D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（1）被替代的材料和工程设备的名称、数量、规格、型号、品牌、性能、价格及其他相关资料；</w:t>
      </w:r>
    </w:p>
    <w:p w14:paraId="417A277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（2）替代品的名称、数量、规格、型号、品牌、性能、价格及其他相关资料；</w:t>
      </w:r>
    </w:p>
    <w:p w14:paraId="79460C9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（3）替代品与被替代产品之间的差异以及使用替代品可能对工程产生的影响；</w:t>
      </w:r>
    </w:p>
    <w:p w14:paraId="6AD9855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（4）替代品与被替代产品的价格差异；</w:t>
      </w:r>
    </w:p>
    <w:p w14:paraId="5CCB125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（5）使用替代品的理由和原因说明；</w:t>
      </w:r>
    </w:p>
    <w:p w14:paraId="153A4E9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（6）监理人要求的其他文件。</w:t>
      </w:r>
    </w:p>
    <w:p w14:paraId="7F386AE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监理人应在收到通知后14天内向承包人发出经发包人签认的书面指示；监理人逾期发出书面指示的，视为发包人和监理人同意使用替代品。</w:t>
      </w:r>
    </w:p>
    <w:p w14:paraId="5E13D57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090C9781">
      <w:pPr>
        <w:widowControl/>
        <w:spacing w:line="360" w:lineRule="auto"/>
        <w:jc w:val="left"/>
        <w:outlineLvl w:val="4"/>
        <w:rPr>
          <w:rFonts w:ascii="宋体" w:hAnsi="宋体" w:eastAsia="宋体" w:cs="宋体"/>
          <w:b/>
          <w:bCs/>
          <w:kern w:val="0"/>
          <w:sz w:val="21"/>
          <w:szCs w:val="21"/>
        </w:rPr>
      </w:pPr>
      <w:bookmarkStart w:id="766" w:name="_Toc532377246"/>
      <w:bookmarkEnd w:id="766"/>
      <w:bookmarkStart w:id="767" w:name="_Toc351203560"/>
      <w:r>
        <w:rPr>
          <w:rFonts w:hint="eastAsia" w:ascii="宋体" w:hAnsi="宋体" w:eastAsia="宋体" w:cs="宋体"/>
          <w:b/>
          <w:bCs/>
          <w:kern w:val="0"/>
          <w:sz w:val="21"/>
          <w:szCs w:val="21"/>
        </w:rPr>
        <w:t>8.8施工设备和临时设施</w:t>
      </w:r>
      <w:bookmarkEnd w:id="767"/>
    </w:p>
    <w:p w14:paraId="0D44725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8.8.1 承包人提供的施工设备和临时设施</w:t>
      </w:r>
    </w:p>
    <w:p w14:paraId="234FCB6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承包人应按合同进度计划的要求，及时配置施工设备和修建临时设施。进入施工场地的承包人设备需经监理人核查后才能投入使用。承包人更换合同约定的承包人设备的，应报监理人批准。</w:t>
      </w:r>
    </w:p>
    <w:p w14:paraId="4C5CC13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除专用合同条款另有约定外，承包人应自行承担修建临时设施的费用，需要临时占地的，应由发包人办理申请手续并承担相应费用。</w:t>
      </w:r>
    </w:p>
    <w:p w14:paraId="6CD94BF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8.8.2发包人提供的施工设备和临时设施</w:t>
      </w:r>
    </w:p>
    <w:p w14:paraId="46C1325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发包人提供的施工设备或临时设施在专用合同条款中约定。</w:t>
      </w:r>
    </w:p>
    <w:p w14:paraId="5BDF2D7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8.8.3要求承包人增加或更换施工设备</w:t>
      </w:r>
    </w:p>
    <w:p w14:paraId="2A33B5C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承包人使用的施工设备不能满足合同进度计划和（或）质量要求时，监理人有权要求承包人增加或更换施工设备，承包人应及时增加或更换，由此增加的费用和（或）延误的工期由承包人承担。</w:t>
      </w:r>
    </w:p>
    <w:p w14:paraId="77BD72A9">
      <w:pPr>
        <w:widowControl/>
        <w:spacing w:line="360" w:lineRule="auto"/>
        <w:jc w:val="left"/>
        <w:outlineLvl w:val="4"/>
        <w:rPr>
          <w:rFonts w:ascii="宋体" w:hAnsi="宋体" w:eastAsia="宋体" w:cs="宋体"/>
          <w:b/>
          <w:bCs/>
          <w:kern w:val="0"/>
          <w:sz w:val="21"/>
          <w:szCs w:val="21"/>
        </w:rPr>
      </w:pPr>
      <w:bookmarkStart w:id="768" w:name="_Toc351203561"/>
      <w:bookmarkEnd w:id="768"/>
      <w:bookmarkStart w:id="769" w:name="_Toc532377247"/>
      <w:r>
        <w:rPr>
          <w:rFonts w:hint="eastAsia" w:ascii="宋体" w:hAnsi="宋体" w:eastAsia="宋体" w:cs="宋体"/>
          <w:b/>
          <w:bCs/>
          <w:kern w:val="0"/>
          <w:sz w:val="21"/>
          <w:szCs w:val="21"/>
        </w:rPr>
        <w:t>8</w:t>
      </w:r>
      <w:bookmarkEnd w:id="769"/>
      <w:bookmarkStart w:id="770" w:name="_Toc337558781"/>
      <w:bookmarkEnd w:id="770"/>
      <w:bookmarkStart w:id="771" w:name="_Toc296503063"/>
      <w:bookmarkEnd w:id="771"/>
      <w:bookmarkStart w:id="772" w:name="_Toc296346564"/>
      <w:r>
        <w:rPr>
          <w:rFonts w:hint="eastAsia" w:ascii="宋体" w:hAnsi="宋体" w:eastAsia="宋体" w:cs="宋体"/>
          <w:b/>
          <w:bCs/>
          <w:kern w:val="0"/>
          <w:sz w:val="21"/>
          <w:szCs w:val="21"/>
        </w:rPr>
        <w:t>.9材料与设备专用</w:t>
      </w:r>
      <w:bookmarkEnd w:id="772"/>
      <w:r>
        <w:rPr>
          <w:rFonts w:hint="eastAsia" w:ascii="宋体" w:hAnsi="宋体" w:eastAsia="宋体" w:cs="宋体"/>
          <w:b/>
          <w:bCs/>
          <w:kern w:val="0"/>
          <w:sz w:val="21"/>
          <w:szCs w:val="21"/>
        </w:rPr>
        <w:t>要求</w:t>
      </w:r>
    </w:p>
    <w:p w14:paraId="05A3A8E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68D9178A">
      <w:pPr>
        <w:keepNext/>
        <w:keepLines/>
        <w:spacing w:before="156" w:beforeLines="50" w:after="156" w:afterLines="50" w:line="360" w:lineRule="auto"/>
        <w:outlineLvl w:val="3"/>
        <w:rPr>
          <w:rFonts w:ascii="宋体" w:hAnsi="宋体" w:eastAsia="宋体" w:cs="宋体"/>
          <w:b/>
          <w:sz w:val="21"/>
          <w:szCs w:val="21"/>
        </w:rPr>
      </w:pPr>
      <w:bookmarkStart w:id="773" w:name="_Toc351203562"/>
      <w:bookmarkEnd w:id="773"/>
      <w:bookmarkStart w:id="774" w:name="_Toc532375595"/>
      <w:bookmarkEnd w:id="774"/>
      <w:bookmarkStart w:id="775" w:name="_Toc532377248"/>
      <w:r>
        <w:rPr>
          <w:rFonts w:hint="eastAsia" w:ascii="宋体" w:hAnsi="宋体" w:eastAsia="宋体" w:cs="宋体"/>
          <w:b/>
          <w:bCs/>
          <w:sz w:val="21"/>
          <w:szCs w:val="21"/>
        </w:rPr>
        <w:t>9</w:t>
      </w:r>
      <w:bookmarkEnd w:id="775"/>
      <w:bookmarkStart w:id="776" w:name="_Toc296503083"/>
      <w:bookmarkEnd w:id="776"/>
      <w:bookmarkStart w:id="777" w:name="_Toc337558782"/>
      <w:bookmarkEnd w:id="777"/>
      <w:bookmarkStart w:id="778" w:name="_Toc296346584"/>
      <w:r>
        <w:rPr>
          <w:rFonts w:hint="eastAsia" w:ascii="宋体" w:hAnsi="宋体" w:eastAsia="宋体" w:cs="宋体"/>
          <w:b/>
          <w:bCs/>
          <w:sz w:val="21"/>
          <w:szCs w:val="21"/>
        </w:rPr>
        <w:t>. 试验与检验</w:t>
      </w:r>
      <w:bookmarkEnd w:id="778"/>
    </w:p>
    <w:p w14:paraId="7F72DC56">
      <w:pPr>
        <w:widowControl/>
        <w:spacing w:line="360" w:lineRule="auto"/>
        <w:jc w:val="left"/>
        <w:outlineLvl w:val="4"/>
        <w:rPr>
          <w:rFonts w:ascii="宋体" w:hAnsi="宋体" w:eastAsia="宋体" w:cs="宋体"/>
          <w:b/>
          <w:bCs/>
          <w:kern w:val="0"/>
          <w:sz w:val="21"/>
          <w:szCs w:val="21"/>
        </w:rPr>
      </w:pPr>
      <w:bookmarkStart w:id="779" w:name="_Toc351203563"/>
      <w:bookmarkEnd w:id="779"/>
      <w:bookmarkStart w:id="780" w:name="_Toc532377249"/>
      <w:r>
        <w:rPr>
          <w:rFonts w:hint="eastAsia" w:ascii="宋体" w:hAnsi="宋体" w:eastAsia="宋体" w:cs="宋体"/>
          <w:b/>
          <w:bCs/>
          <w:kern w:val="0"/>
          <w:sz w:val="21"/>
          <w:szCs w:val="21"/>
        </w:rPr>
        <w:t>9</w:t>
      </w:r>
      <w:bookmarkEnd w:id="780"/>
      <w:bookmarkStart w:id="781" w:name="_Toc337558783"/>
      <w:r>
        <w:rPr>
          <w:rFonts w:hint="eastAsia" w:ascii="宋体" w:hAnsi="宋体" w:eastAsia="宋体" w:cs="宋体"/>
          <w:b/>
          <w:bCs/>
          <w:kern w:val="0"/>
          <w:sz w:val="21"/>
          <w:szCs w:val="21"/>
        </w:rPr>
        <w:t>.1试验设备与试验人员</w:t>
      </w:r>
      <w:bookmarkEnd w:id="781"/>
    </w:p>
    <w:p w14:paraId="7ABD3E6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32087DF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9.1.2 承包人应按专用合同条款的约定提供试验设备、取样装置、试验场所和试验条件，并向监理人提交相应进场计划表。</w:t>
      </w:r>
    </w:p>
    <w:p w14:paraId="2C3A740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承包人配置的试验设备要符合相应试验规程的要求并经过具有资质的检测单位检测，且在正式使用该试验设备前，需要经过监理人与承包人共同校定。</w:t>
      </w:r>
    </w:p>
    <w:p w14:paraId="659EB2C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9.1.3 承包人应向监理人提交试验人员的名单及其岗位、资格等证明资料，试验人员必须能够熟练进行相应的检测试验，承包人对试验人员的试验程序和试验结果的正确性负责。</w:t>
      </w:r>
    </w:p>
    <w:p w14:paraId="32DFC39B">
      <w:pPr>
        <w:widowControl/>
        <w:spacing w:line="360" w:lineRule="auto"/>
        <w:jc w:val="left"/>
        <w:outlineLvl w:val="4"/>
        <w:rPr>
          <w:rFonts w:ascii="宋体" w:hAnsi="宋体" w:eastAsia="宋体" w:cs="宋体"/>
          <w:b/>
          <w:bCs/>
          <w:kern w:val="0"/>
          <w:sz w:val="21"/>
          <w:szCs w:val="21"/>
        </w:rPr>
      </w:pPr>
      <w:bookmarkStart w:id="782" w:name="_Toc532377250"/>
      <w:bookmarkEnd w:id="782"/>
      <w:bookmarkStart w:id="783" w:name="_Toc351203564"/>
      <w:r>
        <w:rPr>
          <w:rFonts w:hint="eastAsia" w:ascii="宋体" w:hAnsi="宋体" w:eastAsia="宋体" w:cs="宋体"/>
          <w:b/>
          <w:bCs/>
          <w:kern w:val="0"/>
          <w:sz w:val="21"/>
          <w:szCs w:val="21"/>
        </w:rPr>
        <w:t>9</w:t>
      </w:r>
      <w:bookmarkEnd w:id="783"/>
      <w:bookmarkStart w:id="784" w:name="_Toc337558784"/>
      <w:r>
        <w:rPr>
          <w:rFonts w:hint="eastAsia" w:ascii="宋体" w:hAnsi="宋体" w:eastAsia="宋体" w:cs="宋体"/>
          <w:b/>
          <w:bCs/>
          <w:kern w:val="0"/>
          <w:sz w:val="21"/>
          <w:szCs w:val="21"/>
        </w:rPr>
        <w:t>.2取样</w:t>
      </w:r>
      <w:bookmarkEnd w:id="784"/>
    </w:p>
    <w:p w14:paraId="337BCC1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试验属于自检性质的，承包人可以单独取样。试验属于监理人抽检性质的，可由监理人取样，也可由承包人的试验人员在监理人的监督下取样。</w:t>
      </w:r>
    </w:p>
    <w:p w14:paraId="668DDDCF">
      <w:pPr>
        <w:widowControl/>
        <w:spacing w:line="360" w:lineRule="auto"/>
        <w:jc w:val="left"/>
        <w:outlineLvl w:val="4"/>
        <w:rPr>
          <w:rFonts w:ascii="宋体" w:hAnsi="宋体" w:eastAsia="宋体" w:cs="宋体"/>
          <w:b/>
          <w:bCs/>
          <w:kern w:val="0"/>
          <w:sz w:val="21"/>
          <w:szCs w:val="21"/>
        </w:rPr>
      </w:pPr>
      <w:bookmarkStart w:id="785" w:name="_Toc351203565"/>
      <w:bookmarkEnd w:id="785"/>
      <w:bookmarkStart w:id="786" w:name="_Toc532377251"/>
      <w:r>
        <w:rPr>
          <w:rFonts w:hint="eastAsia" w:ascii="宋体" w:hAnsi="宋体" w:eastAsia="宋体" w:cs="宋体"/>
          <w:b/>
          <w:bCs/>
          <w:kern w:val="0"/>
          <w:sz w:val="21"/>
          <w:szCs w:val="21"/>
        </w:rPr>
        <w:t>9</w:t>
      </w:r>
      <w:bookmarkEnd w:id="786"/>
      <w:bookmarkStart w:id="787" w:name="_Toc337558785"/>
      <w:r>
        <w:rPr>
          <w:rFonts w:hint="eastAsia" w:ascii="宋体" w:hAnsi="宋体" w:eastAsia="宋体" w:cs="宋体"/>
          <w:b/>
          <w:bCs/>
          <w:kern w:val="0"/>
          <w:sz w:val="21"/>
          <w:szCs w:val="21"/>
        </w:rPr>
        <w:t>.3材料、工程设备和工程的试验和检验</w:t>
      </w:r>
      <w:bookmarkEnd w:id="787"/>
    </w:p>
    <w:p w14:paraId="7EEAEFC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DA81E0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6CD6164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4CC9277B">
      <w:pPr>
        <w:widowControl/>
        <w:spacing w:line="360" w:lineRule="auto"/>
        <w:jc w:val="left"/>
        <w:outlineLvl w:val="4"/>
        <w:rPr>
          <w:rFonts w:ascii="宋体" w:hAnsi="宋体" w:eastAsia="宋体" w:cs="宋体"/>
          <w:b/>
          <w:bCs/>
          <w:kern w:val="0"/>
          <w:sz w:val="21"/>
          <w:szCs w:val="21"/>
        </w:rPr>
      </w:pPr>
      <w:bookmarkStart w:id="788" w:name="_Toc351203566"/>
      <w:bookmarkEnd w:id="788"/>
      <w:bookmarkStart w:id="789" w:name="_Toc532377252"/>
      <w:r>
        <w:rPr>
          <w:rFonts w:hint="eastAsia" w:ascii="宋体" w:hAnsi="宋体" w:eastAsia="宋体" w:cs="宋体"/>
          <w:b/>
          <w:bCs/>
          <w:kern w:val="0"/>
          <w:sz w:val="21"/>
          <w:szCs w:val="21"/>
        </w:rPr>
        <w:t>9</w:t>
      </w:r>
      <w:bookmarkEnd w:id="789"/>
      <w:bookmarkStart w:id="790" w:name="_Toc337558786"/>
      <w:r>
        <w:rPr>
          <w:rFonts w:hint="eastAsia" w:ascii="宋体" w:hAnsi="宋体" w:eastAsia="宋体" w:cs="宋体"/>
          <w:b/>
          <w:bCs/>
          <w:kern w:val="0"/>
          <w:sz w:val="21"/>
          <w:szCs w:val="21"/>
        </w:rPr>
        <w:t>.4现场工艺试验</w:t>
      </w:r>
      <w:bookmarkEnd w:id="790"/>
    </w:p>
    <w:p w14:paraId="5322BB0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承包人应按合同约定或监理人指示进行现场工艺试验。对大型的现场工艺试验，监理人认为必要时，承包人应根据监理人提出的工艺试验要求，编制工艺试验措施计划，报送监理人审查。</w:t>
      </w:r>
    </w:p>
    <w:p w14:paraId="47E19871">
      <w:pPr>
        <w:keepNext/>
        <w:keepLines/>
        <w:spacing w:before="156" w:beforeLines="50" w:after="156" w:afterLines="50" w:line="360" w:lineRule="auto"/>
        <w:outlineLvl w:val="3"/>
        <w:rPr>
          <w:rFonts w:ascii="宋体" w:hAnsi="宋体" w:eastAsia="宋体" w:cs="宋体"/>
          <w:b/>
          <w:sz w:val="21"/>
          <w:szCs w:val="21"/>
        </w:rPr>
      </w:pPr>
      <w:bookmarkStart w:id="791" w:name="_Toc532375596"/>
      <w:bookmarkEnd w:id="791"/>
      <w:bookmarkStart w:id="792" w:name="_Toc351203567"/>
      <w:bookmarkEnd w:id="792"/>
      <w:bookmarkStart w:id="793" w:name="_Toc532377253"/>
      <w:r>
        <w:rPr>
          <w:rFonts w:hint="eastAsia" w:ascii="宋体" w:hAnsi="宋体" w:eastAsia="宋体" w:cs="宋体"/>
          <w:b/>
          <w:bCs/>
          <w:sz w:val="21"/>
          <w:szCs w:val="21"/>
        </w:rPr>
        <w:t>1</w:t>
      </w:r>
      <w:bookmarkEnd w:id="793"/>
      <w:bookmarkStart w:id="794" w:name="_Toc337558787"/>
      <w:r>
        <w:rPr>
          <w:rFonts w:hint="eastAsia" w:ascii="宋体" w:hAnsi="宋体" w:eastAsia="宋体" w:cs="宋体"/>
          <w:b/>
          <w:bCs/>
          <w:sz w:val="21"/>
          <w:szCs w:val="21"/>
        </w:rPr>
        <w:t>0. 变更</w:t>
      </w:r>
      <w:bookmarkEnd w:id="794"/>
    </w:p>
    <w:p w14:paraId="6F69C7DE">
      <w:pPr>
        <w:widowControl/>
        <w:spacing w:line="360" w:lineRule="auto"/>
        <w:jc w:val="left"/>
        <w:outlineLvl w:val="4"/>
        <w:rPr>
          <w:rFonts w:ascii="宋体" w:hAnsi="宋体" w:eastAsia="宋体" w:cs="宋体"/>
          <w:b/>
          <w:bCs/>
          <w:kern w:val="0"/>
          <w:sz w:val="21"/>
          <w:szCs w:val="21"/>
        </w:rPr>
      </w:pPr>
      <w:bookmarkStart w:id="795" w:name="_Toc532377254"/>
      <w:bookmarkEnd w:id="795"/>
      <w:bookmarkStart w:id="796" w:name="_Toc351203568"/>
      <w:r>
        <w:rPr>
          <w:rFonts w:hint="eastAsia" w:ascii="宋体" w:hAnsi="宋体" w:eastAsia="宋体" w:cs="宋体"/>
          <w:b/>
          <w:bCs/>
          <w:kern w:val="0"/>
          <w:sz w:val="21"/>
          <w:szCs w:val="21"/>
        </w:rPr>
        <w:t>1</w:t>
      </w:r>
      <w:bookmarkEnd w:id="796"/>
      <w:bookmarkStart w:id="797" w:name="_Toc296503084"/>
      <w:bookmarkEnd w:id="797"/>
      <w:bookmarkStart w:id="798" w:name="_Toc296346585"/>
      <w:bookmarkEnd w:id="798"/>
      <w:bookmarkStart w:id="799" w:name="_Toc337558788"/>
      <w:r>
        <w:rPr>
          <w:rFonts w:hint="eastAsia" w:ascii="宋体" w:hAnsi="宋体" w:eastAsia="宋体" w:cs="宋体"/>
          <w:b/>
          <w:bCs/>
          <w:kern w:val="0"/>
          <w:sz w:val="21"/>
          <w:szCs w:val="21"/>
        </w:rPr>
        <w:t>0.1变更的范围</w:t>
      </w:r>
      <w:bookmarkEnd w:id="799"/>
    </w:p>
    <w:p w14:paraId="3DAF0D8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除专用合同条款另有约定外，合同履行过程中发生以下情形的，应按照本条约定进行变更：</w:t>
      </w:r>
    </w:p>
    <w:p w14:paraId="7F1F870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（1）增加或减少合同中任何工作，或追加额外的工作；</w:t>
      </w:r>
    </w:p>
    <w:p w14:paraId="1083C0D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（2）取消合同中任何工作，但转由他人实施的工作除外；</w:t>
      </w:r>
    </w:p>
    <w:p w14:paraId="6D7099B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（3）改变合同中任何工作的质量标准或其他特性；</w:t>
      </w:r>
    </w:p>
    <w:p w14:paraId="5D37132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（4）改变工程的基线、标高、位置和尺寸；</w:t>
      </w:r>
    </w:p>
    <w:p w14:paraId="6FAA333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（5）改变工程的时间安排或实施顺序。</w:t>
      </w:r>
    </w:p>
    <w:p w14:paraId="7DFE57B0">
      <w:pPr>
        <w:widowControl/>
        <w:spacing w:line="360" w:lineRule="auto"/>
        <w:jc w:val="left"/>
        <w:outlineLvl w:val="4"/>
        <w:rPr>
          <w:rFonts w:ascii="宋体" w:hAnsi="宋体" w:eastAsia="宋体" w:cs="宋体"/>
          <w:b/>
          <w:bCs/>
          <w:kern w:val="0"/>
          <w:sz w:val="21"/>
          <w:szCs w:val="21"/>
        </w:rPr>
      </w:pPr>
      <w:bookmarkStart w:id="800" w:name="_Toc532377255"/>
      <w:bookmarkEnd w:id="800"/>
      <w:r>
        <w:rPr>
          <w:rFonts w:hint="eastAsia" w:ascii="宋体" w:hAnsi="宋体" w:eastAsia="宋体" w:cs="宋体"/>
          <w:b/>
          <w:bCs/>
          <w:kern w:val="0"/>
          <w:sz w:val="21"/>
          <w:szCs w:val="21"/>
        </w:rPr>
        <w:t>10.2变更权</w:t>
      </w:r>
    </w:p>
    <w:p w14:paraId="6912298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0FC63D0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涉及设计变更的，应由设计人提供变更后的图纸和说明。如变更超过原设计标准或批准的建设规模时，发包人应及时办理规划、设计变更等审批手续。</w:t>
      </w:r>
    </w:p>
    <w:p w14:paraId="13CB798E">
      <w:pPr>
        <w:widowControl/>
        <w:spacing w:line="360" w:lineRule="auto"/>
        <w:jc w:val="left"/>
        <w:outlineLvl w:val="4"/>
        <w:rPr>
          <w:rFonts w:ascii="宋体" w:hAnsi="宋体" w:eastAsia="宋体" w:cs="宋体"/>
          <w:b/>
          <w:bCs/>
          <w:kern w:val="0"/>
          <w:sz w:val="21"/>
          <w:szCs w:val="21"/>
        </w:rPr>
      </w:pPr>
      <w:bookmarkStart w:id="801" w:name="_Toc532377256"/>
      <w:bookmarkEnd w:id="801"/>
      <w:r>
        <w:rPr>
          <w:rFonts w:hint="eastAsia" w:ascii="宋体" w:hAnsi="宋体" w:eastAsia="宋体" w:cs="宋体"/>
          <w:b/>
          <w:bCs/>
          <w:kern w:val="0"/>
          <w:sz w:val="21"/>
          <w:szCs w:val="21"/>
        </w:rPr>
        <w:t>10.3变更程序</w:t>
      </w:r>
    </w:p>
    <w:p w14:paraId="3DD7D47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10.3.1 发包人提出变更</w:t>
      </w:r>
    </w:p>
    <w:p w14:paraId="76DD55B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发包人提出变更的，应通过监理人向承包人发出变更指示，变更指示应说明计划变更的工程范围和变更的内容。</w:t>
      </w:r>
    </w:p>
    <w:p w14:paraId="3C03A61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10.3.2 监理人提出变更建议</w:t>
      </w:r>
    </w:p>
    <w:p w14:paraId="26CBD90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65A12EA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10.3.3 变更执行</w:t>
      </w:r>
    </w:p>
    <w:p w14:paraId="4AB9BEC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1BF89922">
      <w:pPr>
        <w:widowControl/>
        <w:spacing w:line="360" w:lineRule="auto"/>
        <w:jc w:val="left"/>
        <w:outlineLvl w:val="4"/>
        <w:rPr>
          <w:rFonts w:ascii="宋体" w:hAnsi="宋体" w:eastAsia="宋体" w:cs="宋体"/>
          <w:b/>
          <w:bCs/>
          <w:kern w:val="0"/>
          <w:sz w:val="21"/>
          <w:szCs w:val="21"/>
        </w:rPr>
      </w:pPr>
      <w:bookmarkStart w:id="802" w:name="_Toc351203571"/>
      <w:bookmarkEnd w:id="802"/>
      <w:bookmarkStart w:id="803" w:name="_Toc532377257"/>
      <w:r>
        <w:rPr>
          <w:rFonts w:hint="eastAsia" w:ascii="宋体" w:hAnsi="宋体" w:eastAsia="宋体" w:cs="宋体"/>
          <w:b/>
          <w:bCs/>
          <w:kern w:val="0"/>
          <w:sz w:val="21"/>
          <w:szCs w:val="21"/>
        </w:rPr>
        <w:t>1</w:t>
      </w:r>
      <w:bookmarkEnd w:id="803"/>
      <w:bookmarkStart w:id="804" w:name="_Toc296503087"/>
      <w:bookmarkEnd w:id="804"/>
      <w:bookmarkStart w:id="805" w:name="_Toc337558791"/>
      <w:bookmarkEnd w:id="805"/>
      <w:bookmarkStart w:id="806" w:name="_Toc296346588"/>
      <w:r>
        <w:rPr>
          <w:rFonts w:hint="eastAsia" w:ascii="宋体" w:hAnsi="宋体" w:eastAsia="宋体" w:cs="宋体"/>
          <w:b/>
          <w:bCs/>
          <w:kern w:val="0"/>
          <w:sz w:val="21"/>
          <w:szCs w:val="21"/>
        </w:rPr>
        <w:t>0.4变更估价</w:t>
      </w:r>
      <w:bookmarkEnd w:id="806"/>
    </w:p>
    <w:p w14:paraId="15DE3D5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10.4.1 变更估价原则</w:t>
      </w:r>
    </w:p>
    <w:p w14:paraId="673960D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除专用合同条款另有约定外，变更估价按照本款约定处理：</w:t>
      </w:r>
    </w:p>
    <w:p w14:paraId="69EC139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（1）已标价工程量清单或预算书有相同项目的，按照相同项目单价认定；</w:t>
      </w:r>
    </w:p>
    <w:p w14:paraId="00A941E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（2）已标价工程量清单或预算书中无相同项目，但有类似项目的，参照类似项目的单价认定；</w:t>
      </w:r>
    </w:p>
    <w:p w14:paraId="6AEADC2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775124D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10.4.2 变更估价程序</w:t>
      </w:r>
    </w:p>
    <w:p w14:paraId="26FD59C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145E257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因变更引起的价格调整应计入最近一期的进度款中支付。</w:t>
      </w:r>
    </w:p>
    <w:p w14:paraId="1959A46B">
      <w:pPr>
        <w:widowControl/>
        <w:spacing w:line="360" w:lineRule="auto"/>
        <w:jc w:val="left"/>
        <w:outlineLvl w:val="4"/>
        <w:rPr>
          <w:rFonts w:ascii="宋体" w:hAnsi="宋体" w:eastAsia="宋体" w:cs="宋体"/>
          <w:b/>
          <w:bCs/>
          <w:kern w:val="0"/>
          <w:sz w:val="21"/>
          <w:szCs w:val="21"/>
        </w:rPr>
      </w:pPr>
      <w:bookmarkStart w:id="807" w:name="_Toc532377258"/>
      <w:bookmarkEnd w:id="807"/>
      <w:bookmarkStart w:id="808" w:name="_Toc351203572"/>
      <w:r>
        <w:rPr>
          <w:rFonts w:hint="eastAsia" w:ascii="宋体" w:hAnsi="宋体" w:eastAsia="宋体" w:cs="宋体"/>
          <w:b/>
          <w:bCs/>
          <w:kern w:val="0"/>
          <w:sz w:val="21"/>
          <w:szCs w:val="21"/>
        </w:rPr>
        <w:t>1</w:t>
      </w:r>
      <w:bookmarkEnd w:id="808"/>
      <w:bookmarkStart w:id="809" w:name="_Toc296503094"/>
      <w:bookmarkEnd w:id="809"/>
      <w:bookmarkStart w:id="810" w:name="_Toc296346595"/>
      <w:bookmarkEnd w:id="810"/>
      <w:bookmarkStart w:id="811" w:name="_Toc337558792"/>
      <w:r>
        <w:rPr>
          <w:rFonts w:hint="eastAsia" w:ascii="宋体" w:hAnsi="宋体" w:eastAsia="宋体" w:cs="宋体"/>
          <w:b/>
          <w:bCs/>
          <w:kern w:val="0"/>
          <w:sz w:val="21"/>
          <w:szCs w:val="21"/>
        </w:rPr>
        <w:t>0.5承包人的合理化建议</w:t>
      </w:r>
      <w:bookmarkEnd w:id="811"/>
    </w:p>
    <w:p w14:paraId="1A6A694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承包人提出合理化建议的，应向监理人提交合理化建议说明，说明建议的内容和理由，以及实施该建议对合同价格和工期的影响。</w:t>
      </w:r>
    </w:p>
    <w:p w14:paraId="070E0D5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7199330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合理化建议降低了合同价格或者提高了工程经济效益的，发包人可对承包人给予奖励，奖励的方法和金额在专用合同条款中约定。</w:t>
      </w:r>
    </w:p>
    <w:p w14:paraId="3E0B7763">
      <w:pPr>
        <w:widowControl/>
        <w:spacing w:line="360" w:lineRule="auto"/>
        <w:jc w:val="left"/>
        <w:outlineLvl w:val="4"/>
        <w:rPr>
          <w:rFonts w:ascii="宋体" w:hAnsi="宋体" w:eastAsia="宋体" w:cs="宋体"/>
          <w:b/>
          <w:bCs/>
          <w:kern w:val="0"/>
          <w:sz w:val="21"/>
          <w:szCs w:val="21"/>
        </w:rPr>
      </w:pPr>
      <w:bookmarkStart w:id="812" w:name="_Toc532377259"/>
      <w:bookmarkEnd w:id="812"/>
      <w:bookmarkStart w:id="813" w:name="_Toc351203573"/>
      <w:r>
        <w:rPr>
          <w:rFonts w:hint="eastAsia" w:ascii="宋体" w:hAnsi="宋体" w:eastAsia="宋体" w:cs="宋体"/>
          <w:b/>
          <w:bCs/>
          <w:kern w:val="0"/>
          <w:sz w:val="21"/>
          <w:szCs w:val="21"/>
        </w:rPr>
        <w:t>1</w:t>
      </w:r>
      <w:bookmarkEnd w:id="813"/>
      <w:bookmarkStart w:id="814" w:name="_Toc337558793"/>
      <w:r>
        <w:rPr>
          <w:rFonts w:hint="eastAsia" w:ascii="宋体" w:hAnsi="宋体" w:eastAsia="宋体" w:cs="宋体"/>
          <w:b/>
          <w:bCs/>
          <w:kern w:val="0"/>
          <w:sz w:val="21"/>
          <w:szCs w:val="21"/>
        </w:rPr>
        <w:t>0.6变更引起的工期调整</w:t>
      </w:r>
      <w:bookmarkEnd w:id="814"/>
    </w:p>
    <w:p w14:paraId="1D10CA1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因变更引起工期变化的，合同当事人均可要求调整合同工期，由合同当事人按照第4.4款〔商定或确定〕并参考工程所在地的工期定额标准确定增减工期天数。</w:t>
      </w:r>
    </w:p>
    <w:p w14:paraId="0BCD642D">
      <w:pPr>
        <w:widowControl/>
        <w:spacing w:line="360" w:lineRule="auto"/>
        <w:jc w:val="left"/>
        <w:outlineLvl w:val="4"/>
        <w:rPr>
          <w:rFonts w:ascii="宋体" w:hAnsi="宋体" w:eastAsia="宋体" w:cs="宋体"/>
          <w:b/>
          <w:bCs/>
          <w:kern w:val="0"/>
          <w:sz w:val="21"/>
          <w:szCs w:val="21"/>
        </w:rPr>
      </w:pPr>
      <w:bookmarkStart w:id="815" w:name="_Toc532377260"/>
      <w:bookmarkEnd w:id="815"/>
      <w:bookmarkStart w:id="816" w:name="_Toc351203574"/>
      <w:r>
        <w:rPr>
          <w:rFonts w:hint="eastAsia" w:ascii="宋体" w:hAnsi="宋体" w:eastAsia="宋体" w:cs="宋体"/>
          <w:b/>
          <w:bCs/>
          <w:kern w:val="0"/>
          <w:sz w:val="21"/>
          <w:szCs w:val="21"/>
        </w:rPr>
        <w:t>10.7暂估价</w:t>
      </w:r>
      <w:bookmarkEnd w:id="816"/>
    </w:p>
    <w:p w14:paraId="183F32C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暂估价专业分包工程、服务、材料和工程设备的明细由合同当事人在专用合同条款中约定。</w:t>
      </w:r>
    </w:p>
    <w:p w14:paraId="1BDFC04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10.7.1 依法必须招标的暂估价项目</w:t>
      </w:r>
    </w:p>
    <w:p w14:paraId="28B5333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对于依法必须招标的暂估价项目，采取以下第1种方式确定。合同当事人也可以在专用合同条款中选择其他招标方式。</w:t>
      </w:r>
    </w:p>
    <w:p w14:paraId="241957C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第1种方式：对于依法必须招标的暂估价项目，由承包人招标，对该暂估价项目的确认和批准按照以下约定执行：</w:t>
      </w:r>
    </w:p>
    <w:p w14:paraId="213D86E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41AA72C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应当根据施工进度计划，提前14天将招标文件通过监理人报送发包人审批，发包人应当在收到承包人报送的相关文件后7天内完成审批或提出修改意见；发包人有权确定最高限价并按照法律规定参加评标；</w:t>
      </w:r>
    </w:p>
    <w:p w14:paraId="08BF688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CEE154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0C4D3E3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10.7.2不属于依法必须招标的暂估价项目</w:t>
      </w:r>
    </w:p>
    <w:p w14:paraId="1D9A50F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除专用合同条款另有约定外，对于不属于依法必须招标的暂估价项目，采取以下第1种方式确定： </w:t>
      </w:r>
    </w:p>
    <w:p w14:paraId="5F9E0F2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第1种方式：对于不属于依法必须招标的暂估价项目，按本项约定确认和批准：</w:t>
      </w:r>
    </w:p>
    <w:p w14:paraId="2273B86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685E8F5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（2）发包人认为承包人确定的供应商、分包人无法满足工程质量或合同要求的，发包人可以要求承包人重新确定暂估价项目的供应商、分包人;</w:t>
      </w:r>
    </w:p>
    <w:p w14:paraId="76E0FAD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（3）承包人应当在签订暂估价合同后7天内，将暂估价合同副本报送发包人留存。</w:t>
      </w:r>
    </w:p>
    <w:p w14:paraId="7B1238F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第2种方式：承包人按照第10.7.1项〔依法必须招标的暂估价项目〕约定的第1种方式确定暂估价项目。</w:t>
      </w:r>
    </w:p>
    <w:p w14:paraId="49B0D85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第3种方式：承包人直接实施的暂估价项目</w:t>
      </w:r>
    </w:p>
    <w:p w14:paraId="77F7010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承包人具备实施暂估价项目的资格和条件的，经发包人和承包人协商一致后，可由承包人自行实施暂估价项目，合同当事人可以在专用合同条款约定具体事项。</w:t>
      </w:r>
    </w:p>
    <w:p w14:paraId="4AA99CE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13120931">
      <w:pPr>
        <w:widowControl/>
        <w:spacing w:line="360" w:lineRule="auto"/>
        <w:jc w:val="left"/>
        <w:outlineLvl w:val="4"/>
        <w:rPr>
          <w:rFonts w:ascii="宋体" w:hAnsi="宋体" w:eastAsia="宋体" w:cs="宋体"/>
          <w:b/>
          <w:bCs/>
          <w:kern w:val="0"/>
          <w:sz w:val="21"/>
          <w:szCs w:val="21"/>
        </w:rPr>
      </w:pPr>
      <w:bookmarkStart w:id="817" w:name="_Toc532377261"/>
      <w:bookmarkEnd w:id="817"/>
      <w:bookmarkStart w:id="818" w:name="_Toc351203575"/>
      <w:r>
        <w:rPr>
          <w:rFonts w:hint="eastAsia" w:ascii="宋体" w:hAnsi="宋体" w:eastAsia="宋体" w:cs="宋体"/>
          <w:b/>
          <w:bCs/>
          <w:kern w:val="0"/>
          <w:sz w:val="21"/>
          <w:szCs w:val="21"/>
        </w:rPr>
        <w:t>1</w:t>
      </w:r>
      <w:bookmarkEnd w:id="818"/>
      <w:bookmarkStart w:id="819" w:name="_Toc296503090"/>
      <w:bookmarkEnd w:id="819"/>
      <w:bookmarkStart w:id="820" w:name="_Toc296346591"/>
      <w:bookmarkEnd w:id="820"/>
      <w:bookmarkStart w:id="821" w:name="_Toc322522561"/>
      <w:bookmarkEnd w:id="821"/>
      <w:bookmarkStart w:id="822" w:name="_Toc337558794"/>
      <w:r>
        <w:rPr>
          <w:rFonts w:hint="eastAsia" w:ascii="宋体" w:hAnsi="宋体" w:eastAsia="宋体" w:cs="宋体"/>
          <w:b/>
          <w:bCs/>
          <w:kern w:val="0"/>
          <w:sz w:val="21"/>
          <w:szCs w:val="21"/>
        </w:rPr>
        <w:t>0.8暂列金额</w:t>
      </w:r>
      <w:bookmarkEnd w:id="822"/>
    </w:p>
    <w:p w14:paraId="0934040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暂列金额应按照发包人的要求使用，发包人的要求应通过监理人发出。合同当事人可以在专用合同条款中协商确定有关事项。</w:t>
      </w:r>
    </w:p>
    <w:p w14:paraId="3E7F1AC7">
      <w:pPr>
        <w:widowControl/>
        <w:spacing w:line="360" w:lineRule="auto"/>
        <w:jc w:val="left"/>
        <w:outlineLvl w:val="4"/>
        <w:rPr>
          <w:rFonts w:ascii="宋体" w:hAnsi="宋体" w:eastAsia="宋体" w:cs="宋体"/>
          <w:b/>
          <w:bCs/>
          <w:kern w:val="0"/>
          <w:sz w:val="21"/>
          <w:szCs w:val="21"/>
        </w:rPr>
      </w:pPr>
      <w:bookmarkStart w:id="823" w:name="_Toc351203576"/>
      <w:bookmarkEnd w:id="823"/>
      <w:bookmarkStart w:id="824" w:name="_Toc532377262"/>
      <w:bookmarkEnd w:id="824"/>
      <w:r>
        <w:rPr>
          <w:rFonts w:hint="eastAsia" w:ascii="宋体" w:hAnsi="宋体" w:eastAsia="宋体" w:cs="宋体"/>
          <w:b/>
          <w:bCs/>
          <w:kern w:val="0"/>
          <w:sz w:val="21"/>
          <w:szCs w:val="21"/>
        </w:rPr>
        <w:t>1</w:t>
      </w:r>
      <w:bookmarkStart w:id="825" w:name="_Toc337558796"/>
      <w:bookmarkEnd w:id="825"/>
      <w:bookmarkStart w:id="826" w:name="_Toc296503091"/>
      <w:bookmarkEnd w:id="826"/>
      <w:bookmarkStart w:id="827" w:name="_Toc296346592"/>
      <w:r>
        <w:rPr>
          <w:rFonts w:hint="eastAsia" w:ascii="宋体" w:hAnsi="宋体" w:eastAsia="宋体" w:cs="宋体"/>
          <w:b/>
          <w:bCs/>
          <w:kern w:val="0"/>
          <w:sz w:val="21"/>
          <w:szCs w:val="21"/>
        </w:rPr>
        <w:t>0.9计日工</w:t>
      </w:r>
      <w:bookmarkEnd w:id="827"/>
    </w:p>
    <w:p w14:paraId="5DA095F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1B22D63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采用计日工计价的任何一项工作，承包人应在该项工作实施过程中，每天提交以下报表和有关凭证报送监理人审查：</w:t>
      </w:r>
    </w:p>
    <w:p w14:paraId="24724C8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（1）工作名称、内容和数量；</w:t>
      </w:r>
    </w:p>
    <w:p w14:paraId="2E5A45C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（2）投入该工作的所有人员的姓名、专业、工种、级别和耗用工时；</w:t>
      </w:r>
    </w:p>
    <w:p w14:paraId="322C836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（3）投入该工作的材料类别和数量；</w:t>
      </w:r>
    </w:p>
    <w:p w14:paraId="13E7677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（4）投入该工作的施工设备型号、台数和耗用台时；</w:t>
      </w:r>
    </w:p>
    <w:p w14:paraId="17F8564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（5）其他有关资料和凭证。</w:t>
      </w:r>
    </w:p>
    <w:p w14:paraId="118C745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 计日工由承包人汇总后，列入最近一期进度付款申请单，由监理人审查并经发包人批准后列入进度付款。</w:t>
      </w:r>
    </w:p>
    <w:p w14:paraId="56256954">
      <w:pPr>
        <w:keepNext/>
        <w:keepLines/>
        <w:spacing w:before="156" w:beforeLines="50" w:after="156" w:afterLines="50" w:line="360" w:lineRule="auto"/>
        <w:outlineLvl w:val="3"/>
        <w:rPr>
          <w:rFonts w:ascii="宋体" w:hAnsi="宋体" w:eastAsia="宋体" w:cs="宋体"/>
          <w:b/>
          <w:sz w:val="21"/>
          <w:szCs w:val="21"/>
        </w:rPr>
      </w:pPr>
      <w:bookmarkStart w:id="828" w:name="_Toc532375597"/>
      <w:bookmarkEnd w:id="828"/>
      <w:bookmarkStart w:id="829" w:name="_Toc351203577"/>
      <w:bookmarkEnd w:id="829"/>
      <w:bookmarkStart w:id="830" w:name="_Toc532377263"/>
      <w:r>
        <w:rPr>
          <w:rFonts w:hint="eastAsia" w:ascii="宋体" w:hAnsi="宋体" w:eastAsia="宋体" w:cs="宋体"/>
          <w:b/>
          <w:bCs/>
          <w:sz w:val="21"/>
          <w:szCs w:val="21"/>
        </w:rPr>
        <w:t>11. 价格调整</w:t>
      </w:r>
      <w:bookmarkEnd w:id="830"/>
    </w:p>
    <w:p w14:paraId="326047E3">
      <w:pPr>
        <w:widowControl/>
        <w:spacing w:line="360" w:lineRule="auto"/>
        <w:jc w:val="left"/>
        <w:outlineLvl w:val="4"/>
        <w:rPr>
          <w:rFonts w:ascii="宋体" w:hAnsi="宋体" w:eastAsia="宋体" w:cs="宋体"/>
          <w:b/>
          <w:bCs/>
          <w:kern w:val="0"/>
          <w:sz w:val="21"/>
          <w:szCs w:val="21"/>
        </w:rPr>
      </w:pPr>
      <w:bookmarkStart w:id="831" w:name="_Toc337558797"/>
      <w:bookmarkEnd w:id="831"/>
      <w:bookmarkStart w:id="832" w:name="_Toc351203578"/>
      <w:bookmarkEnd w:id="832"/>
      <w:bookmarkStart w:id="833" w:name="_Toc532377264"/>
      <w:bookmarkEnd w:id="833"/>
      <w:bookmarkStart w:id="834" w:name="_Toc296346593"/>
      <w:bookmarkEnd w:id="834"/>
      <w:bookmarkStart w:id="835" w:name="_Toc296503092"/>
      <w:r>
        <w:rPr>
          <w:rFonts w:hint="eastAsia" w:ascii="宋体" w:hAnsi="宋体" w:eastAsia="宋体" w:cs="宋体"/>
          <w:b/>
          <w:bCs/>
          <w:kern w:val="0"/>
          <w:sz w:val="21"/>
          <w:szCs w:val="21"/>
        </w:rPr>
        <w:t>11.1市场价格波动引起的调整</w:t>
      </w:r>
      <w:bookmarkEnd w:id="835"/>
    </w:p>
    <w:p w14:paraId="41674E9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除专用合同条款另有约定外，市场价格波动超过合同当事人约定的范围，合同价格应当调整。合同当事人可以在专用合同条款中约定选择以下一种方式对合同价格进行调整：</w:t>
      </w:r>
    </w:p>
    <w:p w14:paraId="4E1DF81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第1种方式：采用价格指数进行价格调整。</w:t>
      </w:r>
    </w:p>
    <w:p w14:paraId="5A3A9EF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（1）价格调整公式</w:t>
      </w:r>
    </w:p>
    <w:p w14:paraId="44ED7F6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因人工、材料和设备等价格波动影响合同价格时，根据专用合同条款中约定的数据，按以下公式计算差额并调整合同价格：</w:t>
      </w:r>
    </w:p>
    <w:p w14:paraId="7C36E00A">
      <w:pPr>
        <w:spacing w:line="360" w:lineRule="auto"/>
        <w:jc w:val="left"/>
        <w:rPr>
          <w:rFonts w:ascii="宋体" w:hAnsi="宋体" w:eastAsia="宋体" w:cs="Times New Roman"/>
          <w:kern w:val="0"/>
          <w:sz w:val="21"/>
          <w:szCs w:val="21"/>
        </w:rPr>
      </w:pPr>
      <w:r>
        <w:rPr>
          <w:rFonts w:ascii="Times New Roman" w:hAnsi="Times New Roman" w:eastAsia="宋体" w:cs="Times New Roman"/>
          <w:sz w:val="21"/>
          <w:szCs w:val="21"/>
        </w:rPr>
        <w:drawing>
          <wp:inline distT="0" distB="0" distL="0" distR="0">
            <wp:extent cx="4572000" cy="552450"/>
            <wp:effectExtent l="0" t="0" r="0" b="0"/>
            <wp:docPr id="1" name="图片 1" descr="C:\Users\Administrator\AppData\Local\Temp\ksohtml6832\wp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Temp\ksohtml6832\wps1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572000" cy="552450"/>
                    </a:xfrm>
                    <a:prstGeom prst="rect">
                      <a:avLst/>
                    </a:prstGeom>
                    <a:noFill/>
                    <a:ln>
                      <a:noFill/>
                    </a:ln>
                  </pic:spPr>
                </pic:pic>
              </a:graphicData>
            </a:graphic>
          </wp:inline>
        </w:drawing>
      </w:r>
    </w:p>
    <w:p w14:paraId="177F794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公式中：ΔP——需调整的价格差额；</w:t>
      </w:r>
    </w:p>
    <w:p w14:paraId="7D393A66">
      <w:pPr>
        <w:spacing w:line="360" w:lineRule="auto"/>
        <w:jc w:val="left"/>
        <w:rPr>
          <w:rFonts w:ascii="宋体" w:hAnsi="宋体" w:eastAsia="宋体" w:cs="Times New Roman"/>
          <w:kern w:val="0"/>
          <w:sz w:val="21"/>
          <w:szCs w:val="21"/>
        </w:rPr>
      </w:pPr>
      <w:r>
        <w:rPr>
          <w:rFonts w:ascii="Times New Roman" w:hAnsi="Times New Roman" w:eastAsia="宋体" w:cs="Times New Roman"/>
          <w:sz w:val="21"/>
          <w:szCs w:val="21"/>
        </w:rPr>
        <w:drawing>
          <wp:inline distT="0" distB="0" distL="0" distR="0">
            <wp:extent cx="238125" cy="238125"/>
            <wp:effectExtent l="0" t="0" r="0" b="7620"/>
            <wp:docPr id="8" name="图片 8" descr="C:\Users\Administrator\AppData\Local\Temp\ksohtml6832\wp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AppData\Local\Temp\ksohtml6832\wps1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38125" cy="238125"/>
                    </a:xfrm>
                    <a:prstGeom prst="rect">
                      <a:avLst/>
                    </a:prstGeom>
                    <a:noFill/>
                    <a:ln>
                      <a:noFill/>
                    </a:ln>
                  </pic:spPr>
                </pic:pic>
              </a:graphicData>
            </a:graphic>
          </wp:inline>
        </w:drawing>
      </w:r>
      <w:r>
        <w:rPr>
          <w:rFonts w:hint="eastAsia" w:ascii="宋体" w:hAnsi="宋体" w:eastAsia="宋体" w:cs="Times New Roman"/>
          <w:kern w:val="0"/>
          <w:sz w:val="21"/>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14:paraId="120DCEA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A——定值权重（即不调部分的权重）；</w:t>
      </w:r>
    </w:p>
    <w:p w14:paraId="490E079C">
      <w:pPr>
        <w:spacing w:line="360" w:lineRule="auto"/>
        <w:jc w:val="left"/>
        <w:rPr>
          <w:rFonts w:ascii="宋体" w:hAnsi="宋体" w:eastAsia="宋体" w:cs="Times New Roman"/>
          <w:kern w:val="0"/>
          <w:sz w:val="21"/>
          <w:szCs w:val="21"/>
        </w:rPr>
      </w:pPr>
      <w:r>
        <w:rPr>
          <w:rFonts w:ascii="Times New Roman" w:hAnsi="Times New Roman" w:eastAsia="宋体" w:cs="Times New Roman"/>
          <w:sz w:val="21"/>
          <w:szCs w:val="21"/>
        </w:rPr>
        <w:drawing>
          <wp:inline distT="0" distB="0" distL="0" distR="0">
            <wp:extent cx="1285875" cy="285750"/>
            <wp:effectExtent l="0" t="0" r="0" b="0"/>
            <wp:docPr id="3" name="图片 3" descr="C:\Users\Administrator\AppData\Local\Temp\ksohtml6832\wps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AppData\Local\Temp\ksohtml6832\wps1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85875" cy="285750"/>
                    </a:xfrm>
                    <a:prstGeom prst="rect">
                      <a:avLst/>
                    </a:prstGeom>
                    <a:noFill/>
                    <a:ln>
                      <a:noFill/>
                    </a:ln>
                  </pic:spPr>
                </pic:pic>
              </a:graphicData>
            </a:graphic>
          </wp:inline>
        </w:drawing>
      </w:r>
      <w:r>
        <w:rPr>
          <w:rFonts w:hint="eastAsia" w:ascii="宋体" w:hAnsi="宋体" w:eastAsia="宋体" w:cs="Times New Roman"/>
          <w:kern w:val="0"/>
          <w:sz w:val="21"/>
          <w:szCs w:val="21"/>
        </w:rPr>
        <w:t>——各可调因子的变值权重（即可调部分的权重），为各可调因子在签约合同价中所占的比例；</w:t>
      </w:r>
    </w:p>
    <w:p w14:paraId="2A1E9873">
      <w:pPr>
        <w:spacing w:line="360" w:lineRule="auto"/>
        <w:jc w:val="left"/>
        <w:rPr>
          <w:rFonts w:ascii="宋体" w:hAnsi="宋体" w:eastAsia="宋体" w:cs="Times New Roman"/>
          <w:kern w:val="0"/>
          <w:sz w:val="21"/>
          <w:szCs w:val="21"/>
        </w:rPr>
      </w:pPr>
      <w:r>
        <w:rPr>
          <w:rFonts w:ascii="Times New Roman" w:hAnsi="Times New Roman" w:eastAsia="宋体" w:cs="Times New Roman"/>
          <w:sz w:val="21"/>
          <w:szCs w:val="21"/>
        </w:rPr>
        <w:drawing>
          <wp:inline distT="0" distB="0" distL="0" distR="0">
            <wp:extent cx="1295400" cy="285750"/>
            <wp:effectExtent l="0" t="0" r="0" b="0"/>
            <wp:docPr id="4" name="图片 4" descr="C:\Users\Administrator\AppData\Local\Temp\ksohtml6832\wps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AppData\Local\Temp\ksohtml6832\wps14.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295400" cy="285750"/>
                    </a:xfrm>
                    <a:prstGeom prst="rect">
                      <a:avLst/>
                    </a:prstGeom>
                    <a:noFill/>
                    <a:ln>
                      <a:noFill/>
                    </a:ln>
                  </pic:spPr>
                </pic:pic>
              </a:graphicData>
            </a:graphic>
          </wp:inline>
        </w:drawing>
      </w:r>
      <w:r>
        <w:rPr>
          <w:rFonts w:hint="eastAsia" w:ascii="宋体" w:hAnsi="宋体" w:eastAsia="宋体" w:cs="Times New Roman"/>
          <w:kern w:val="0"/>
          <w:sz w:val="21"/>
          <w:szCs w:val="21"/>
        </w:rPr>
        <w:t>——各可调因子的现行价格指数，指约定的付款证书相关周期最后一天的前42天的各可调因子的价格指数；</w:t>
      </w:r>
    </w:p>
    <w:p w14:paraId="5320FF6A">
      <w:pPr>
        <w:spacing w:line="360" w:lineRule="auto"/>
        <w:jc w:val="left"/>
        <w:rPr>
          <w:rFonts w:ascii="宋体" w:hAnsi="宋体" w:eastAsia="宋体" w:cs="Times New Roman"/>
          <w:kern w:val="0"/>
          <w:sz w:val="21"/>
          <w:szCs w:val="21"/>
        </w:rPr>
      </w:pPr>
      <w:r>
        <w:rPr>
          <w:rFonts w:ascii="Times New Roman" w:hAnsi="Times New Roman" w:eastAsia="宋体" w:cs="Times New Roman"/>
          <w:sz w:val="21"/>
          <w:szCs w:val="21"/>
        </w:rPr>
        <w:drawing>
          <wp:inline distT="0" distB="0" distL="0" distR="0">
            <wp:extent cx="1390650" cy="285750"/>
            <wp:effectExtent l="0" t="0" r="0" b="0"/>
            <wp:docPr id="5" name="图片 5" descr="C:\Users\Administrator\AppData\Local\Temp\ksohtml6832\wps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AppData\Local\Temp\ksohtml6832\wps15.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390650" cy="285750"/>
                    </a:xfrm>
                    <a:prstGeom prst="rect">
                      <a:avLst/>
                    </a:prstGeom>
                    <a:noFill/>
                    <a:ln>
                      <a:noFill/>
                    </a:ln>
                  </pic:spPr>
                </pic:pic>
              </a:graphicData>
            </a:graphic>
          </wp:inline>
        </w:drawing>
      </w:r>
      <w:r>
        <w:rPr>
          <w:rFonts w:hint="eastAsia" w:ascii="宋体" w:hAnsi="宋体" w:eastAsia="宋体" w:cs="Times New Roman"/>
          <w:kern w:val="0"/>
          <w:sz w:val="21"/>
          <w:szCs w:val="21"/>
        </w:rPr>
        <w:t>——各可调因子的基本价格指数，指基准日期的各可调因子的价格指数。</w:t>
      </w:r>
    </w:p>
    <w:p w14:paraId="2FD6F01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321B8DC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（2）暂时确定调整差额</w:t>
      </w:r>
    </w:p>
    <w:p w14:paraId="51F1827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在计算调整差额时无现行价格指数的，合同当事人同意暂用前次价格指数计算。实际价格指数有调整的，合同当事人进行相应调整。</w:t>
      </w:r>
    </w:p>
    <w:p w14:paraId="5307799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（3）权重的调整</w:t>
      </w:r>
    </w:p>
    <w:p w14:paraId="47DDB27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因变更导致合同约定的权重不合理时，按照第4.4款〔商定或确定〕执行。</w:t>
      </w:r>
    </w:p>
    <w:p w14:paraId="3F98AE8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（4）因承包人原因工期延误后的价格调整</w:t>
      </w:r>
    </w:p>
    <w:p w14:paraId="02D3C7B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因承包人原因未按期竣工的，对合同约定的竣工日期后继续施工的工程，在使用价格调整公式时，应采用计划竣工日期与实际竣工日期的两个价格指数中较低的一个作为现行价格指数。</w:t>
      </w:r>
    </w:p>
    <w:p w14:paraId="5742F9D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第2种方式：采用造价信息进行价格调整。</w:t>
      </w:r>
    </w:p>
    <w:p w14:paraId="7954BEC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73714DD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4462665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（2）材料、工程设备价格变化的价款调整按照发包人提供的基准价格，按以下风险范围规定执行：</w:t>
      </w:r>
    </w:p>
    <w:p w14:paraId="5C868F7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2B6AA2F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07CBE6E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③承包人在已标价工程量清单或预算书中载明材料单价等于基准价格的：除专用合同条款另有约定外，合同履行期间材料单价涨跌幅以基准价格为基础超过±5%时，其超过部分据实调整。</w:t>
      </w:r>
    </w:p>
    <w:p w14:paraId="67769AB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5F4136F3">
      <w:pPr>
        <w:spacing w:line="360" w:lineRule="auto"/>
        <w:jc w:val="left"/>
        <w:rPr>
          <w:rFonts w:ascii="宋体" w:hAnsi="宋体" w:eastAsia="宋体" w:cs="Times New Roman"/>
          <w:kern w:val="0"/>
          <w:sz w:val="21"/>
          <w:szCs w:val="21"/>
        </w:rPr>
      </w:pPr>
      <w:bookmarkStart w:id="836" w:name="OLE_LINK3"/>
      <w:bookmarkEnd w:id="836"/>
      <w:r>
        <w:rPr>
          <w:rFonts w:hint="eastAsia" w:ascii="宋体" w:hAnsi="宋体" w:eastAsia="宋体" w:cs="Times New Roman"/>
          <w:kern w:val="0"/>
          <w:sz w:val="21"/>
          <w:szCs w:val="21"/>
        </w:rPr>
        <w:t>前述基准价格是指由发包人在招标文件或专用合同条款中给定的材料、工程设备的价格，该价格原则上应当按照省级或行业建设主管部门或其授权的工程造价管理机构发布的信息价编制。</w:t>
      </w:r>
    </w:p>
    <w:p w14:paraId="7E63776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（3）施工机械台班单价或施工机械使用费发生变化超过省级或行业建设主管部门或其授权的工程造价管理机构规定的范围时，按规定调整合同价格。</w:t>
      </w:r>
    </w:p>
    <w:p w14:paraId="4F6DBFC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第3种方式：专用合同条款约定的其他方式。</w:t>
      </w:r>
    </w:p>
    <w:p w14:paraId="37FD9021">
      <w:pPr>
        <w:widowControl/>
        <w:spacing w:line="360" w:lineRule="auto"/>
        <w:jc w:val="left"/>
        <w:outlineLvl w:val="4"/>
        <w:rPr>
          <w:rFonts w:ascii="宋体" w:hAnsi="宋体" w:eastAsia="宋体" w:cs="宋体"/>
          <w:b/>
          <w:bCs/>
          <w:kern w:val="0"/>
          <w:sz w:val="21"/>
          <w:szCs w:val="21"/>
        </w:rPr>
      </w:pPr>
      <w:bookmarkStart w:id="837" w:name="_Toc296503093"/>
      <w:bookmarkEnd w:id="837"/>
      <w:bookmarkStart w:id="838" w:name="_Toc337558798"/>
      <w:bookmarkEnd w:id="838"/>
      <w:bookmarkStart w:id="839" w:name="_Toc296346594"/>
      <w:bookmarkEnd w:id="839"/>
      <w:bookmarkStart w:id="840" w:name="_Toc351203579"/>
      <w:bookmarkEnd w:id="840"/>
      <w:bookmarkStart w:id="841" w:name="_Toc532377265"/>
      <w:r>
        <w:rPr>
          <w:rFonts w:hint="eastAsia" w:ascii="宋体" w:hAnsi="宋体" w:eastAsia="宋体" w:cs="宋体"/>
          <w:b/>
          <w:bCs/>
          <w:kern w:val="0"/>
          <w:sz w:val="21"/>
          <w:szCs w:val="21"/>
        </w:rPr>
        <w:t>11.2法律变化引起的调整</w:t>
      </w:r>
      <w:bookmarkEnd w:id="841"/>
    </w:p>
    <w:p w14:paraId="543A2A3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2EFB01A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因法律变化引起的合同价格和工期调整，合同当事人无法达成一致的，由总监理工程师按第4.4款〔商定或确定〕的约定处理。</w:t>
      </w:r>
    </w:p>
    <w:p w14:paraId="3E7679E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因承包人原因造成工期延误，在工期延误期间出现法律变化的，由此增加的费用和（或）延误的工期由承包人承担。</w:t>
      </w:r>
    </w:p>
    <w:p w14:paraId="1BB4F00D">
      <w:pPr>
        <w:keepNext/>
        <w:keepLines/>
        <w:spacing w:before="156" w:beforeLines="50" w:after="156" w:afterLines="50" w:line="360" w:lineRule="auto"/>
        <w:outlineLvl w:val="3"/>
        <w:rPr>
          <w:rFonts w:ascii="宋体" w:hAnsi="宋体" w:eastAsia="宋体" w:cs="宋体"/>
          <w:b/>
          <w:sz w:val="21"/>
          <w:szCs w:val="21"/>
        </w:rPr>
      </w:pPr>
      <w:bookmarkStart w:id="842" w:name="_Toc337558799"/>
      <w:bookmarkEnd w:id="842"/>
      <w:bookmarkStart w:id="843" w:name="_Toc532377266"/>
      <w:bookmarkEnd w:id="843"/>
      <w:bookmarkStart w:id="844" w:name="_Toc296346597"/>
      <w:bookmarkEnd w:id="844"/>
      <w:bookmarkStart w:id="845" w:name="_Toc296503096"/>
      <w:bookmarkEnd w:id="845"/>
      <w:bookmarkStart w:id="846" w:name="_Toc351203580"/>
      <w:bookmarkEnd w:id="846"/>
      <w:bookmarkStart w:id="847" w:name="_Toc532375598"/>
      <w:r>
        <w:rPr>
          <w:rFonts w:hint="eastAsia" w:ascii="宋体" w:hAnsi="宋体" w:eastAsia="宋体" w:cs="宋体"/>
          <w:b/>
          <w:bCs/>
          <w:sz w:val="21"/>
          <w:szCs w:val="21"/>
        </w:rPr>
        <w:t>12. 合同价格、计量与支付</w:t>
      </w:r>
      <w:bookmarkEnd w:id="847"/>
    </w:p>
    <w:p w14:paraId="09ECD003">
      <w:pPr>
        <w:widowControl/>
        <w:spacing w:line="360" w:lineRule="auto"/>
        <w:jc w:val="left"/>
        <w:outlineLvl w:val="4"/>
        <w:rPr>
          <w:rFonts w:ascii="宋体" w:hAnsi="宋体" w:eastAsia="宋体" w:cs="宋体"/>
          <w:b/>
          <w:bCs/>
          <w:kern w:val="0"/>
          <w:sz w:val="21"/>
          <w:szCs w:val="21"/>
        </w:rPr>
      </w:pPr>
      <w:bookmarkStart w:id="848" w:name="_Toc351203581"/>
      <w:bookmarkEnd w:id="848"/>
      <w:bookmarkStart w:id="849" w:name="_Toc532377267"/>
      <w:bookmarkEnd w:id="849"/>
      <w:bookmarkStart w:id="850" w:name="_Toc337558800"/>
      <w:r>
        <w:rPr>
          <w:rFonts w:hint="eastAsia" w:ascii="宋体" w:hAnsi="宋体" w:eastAsia="宋体" w:cs="宋体"/>
          <w:b/>
          <w:bCs/>
          <w:kern w:val="0"/>
          <w:sz w:val="21"/>
          <w:szCs w:val="21"/>
        </w:rPr>
        <w:t>12.1 合同价</w:t>
      </w:r>
      <w:bookmarkEnd w:id="850"/>
      <w:r>
        <w:rPr>
          <w:rFonts w:hint="eastAsia" w:ascii="宋体" w:hAnsi="宋体" w:eastAsia="宋体" w:cs="宋体"/>
          <w:b/>
          <w:bCs/>
          <w:kern w:val="0"/>
          <w:sz w:val="21"/>
          <w:szCs w:val="21"/>
        </w:rPr>
        <w:t>格形式</w:t>
      </w:r>
    </w:p>
    <w:p w14:paraId="0DC0907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发包人和承包人应在合同协议书中选择下列一种合同价格形式： </w:t>
      </w:r>
    </w:p>
    <w:p w14:paraId="511D41B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1.单价合同</w:t>
      </w:r>
    </w:p>
    <w:p w14:paraId="3A78020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490A4CF0">
      <w:pPr>
        <w:widowControl/>
        <w:spacing w:line="360" w:lineRule="auto"/>
        <w:jc w:val="left"/>
        <w:outlineLvl w:val="4"/>
        <w:rPr>
          <w:rFonts w:ascii="宋体" w:hAnsi="宋体" w:eastAsia="宋体" w:cs="宋体"/>
          <w:bCs/>
          <w:kern w:val="0"/>
          <w:sz w:val="21"/>
          <w:szCs w:val="21"/>
        </w:rPr>
      </w:pPr>
      <w:bookmarkStart w:id="851" w:name="_Toc532377268"/>
      <w:bookmarkEnd w:id="851"/>
      <w:r>
        <w:rPr>
          <w:rFonts w:hint="eastAsia" w:ascii="宋体" w:hAnsi="宋体" w:eastAsia="宋体" w:cs="宋体"/>
          <w:bCs/>
          <w:kern w:val="0"/>
          <w:sz w:val="21"/>
          <w:szCs w:val="21"/>
        </w:rPr>
        <w:t>2.总价合同</w:t>
      </w:r>
    </w:p>
    <w:p w14:paraId="2CC518F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6E9E9C80">
      <w:pPr>
        <w:widowControl/>
        <w:spacing w:line="360" w:lineRule="auto"/>
        <w:jc w:val="left"/>
        <w:outlineLvl w:val="4"/>
        <w:rPr>
          <w:rFonts w:ascii="宋体" w:hAnsi="宋体" w:eastAsia="宋体" w:cs="宋体"/>
          <w:bCs/>
          <w:kern w:val="0"/>
          <w:sz w:val="21"/>
          <w:szCs w:val="21"/>
        </w:rPr>
      </w:pPr>
      <w:bookmarkStart w:id="852" w:name="_Toc532377269"/>
      <w:bookmarkEnd w:id="852"/>
      <w:r>
        <w:rPr>
          <w:rFonts w:hint="eastAsia" w:ascii="宋体" w:hAnsi="宋体" w:eastAsia="宋体" w:cs="宋体"/>
          <w:bCs/>
          <w:kern w:val="0"/>
          <w:sz w:val="21"/>
          <w:szCs w:val="21"/>
        </w:rPr>
        <w:t>3.其它价格形式</w:t>
      </w:r>
    </w:p>
    <w:p w14:paraId="3AA7886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合同当事人可在专用合同条款中约定其他合同价格形式。</w:t>
      </w:r>
    </w:p>
    <w:p w14:paraId="6DD0B838">
      <w:pPr>
        <w:widowControl/>
        <w:spacing w:line="360" w:lineRule="auto"/>
        <w:jc w:val="left"/>
        <w:outlineLvl w:val="4"/>
        <w:rPr>
          <w:rFonts w:ascii="宋体" w:hAnsi="宋体" w:eastAsia="宋体" w:cs="宋体"/>
          <w:b/>
          <w:bCs/>
          <w:kern w:val="0"/>
          <w:sz w:val="21"/>
          <w:szCs w:val="21"/>
        </w:rPr>
      </w:pPr>
      <w:bookmarkStart w:id="853" w:name="_Toc296346598"/>
      <w:bookmarkEnd w:id="853"/>
      <w:bookmarkStart w:id="854" w:name="_Toc351203582"/>
      <w:bookmarkEnd w:id="854"/>
      <w:bookmarkStart w:id="855" w:name="_Toc296503097"/>
      <w:bookmarkEnd w:id="855"/>
      <w:bookmarkStart w:id="856" w:name="_Toc532377270"/>
      <w:bookmarkEnd w:id="856"/>
      <w:bookmarkStart w:id="857" w:name="_Toc337558801"/>
      <w:r>
        <w:rPr>
          <w:rFonts w:hint="eastAsia" w:ascii="宋体" w:hAnsi="宋体" w:eastAsia="宋体" w:cs="宋体"/>
          <w:b/>
          <w:bCs/>
          <w:kern w:val="0"/>
          <w:sz w:val="21"/>
          <w:szCs w:val="21"/>
        </w:rPr>
        <w:t>12.2预</w:t>
      </w:r>
      <w:bookmarkEnd w:id="857"/>
      <w:bookmarkStart w:id="858" w:name="_Toc296503100"/>
      <w:bookmarkEnd w:id="858"/>
      <w:bookmarkStart w:id="859" w:name="_Toc296346601"/>
      <w:bookmarkEnd w:id="859"/>
      <w:r>
        <w:rPr>
          <w:rFonts w:hint="eastAsia" w:ascii="宋体" w:hAnsi="宋体" w:eastAsia="宋体" w:cs="宋体"/>
          <w:b/>
          <w:bCs/>
          <w:kern w:val="0"/>
          <w:sz w:val="21"/>
          <w:szCs w:val="21"/>
        </w:rPr>
        <w:t>付款</w:t>
      </w:r>
    </w:p>
    <w:p w14:paraId="55C0413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12.2.1预付款的支付</w:t>
      </w:r>
    </w:p>
    <w:p w14:paraId="7547F1D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预付款的支付按照专用合同条款约定执行，但至迟应在开工通知载明的开工日期7天前支付。预付款应当用于材料、工程设备、施工设备的采购及修建临时工程、组织施工队伍进场等。</w:t>
      </w:r>
    </w:p>
    <w:p w14:paraId="501897B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除专用合同条款另有约定外，预付款在进度付款中同比例扣回。在颁发工程接收证书前，提前解除合同的，尚未扣完的预付款应与合同价款一并结算。</w:t>
      </w:r>
    </w:p>
    <w:p w14:paraId="7FE0AB8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发包人逾期支付预付款超过7天的，承包人有权向发包人发出要求预付的催告通知，发包人收到通知后7天内仍未支付的，承包人有权暂停施工，并按第16.1.1项〔发包人违约的情形〕执行。</w:t>
      </w:r>
    </w:p>
    <w:p w14:paraId="5335734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12.2.2 预付款担保</w:t>
      </w:r>
    </w:p>
    <w:p w14:paraId="4AF7053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4FE897D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发包人在工程款中逐期扣回预付款后，预付款担保额度应相应减少，但剩余的预付款担保金额不得低于未被扣回的预付款金额。</w:t>
      </w:r>
    </w:p>
    <w:p w14:paraId="63AC567E">
      <w:pPr>
        <w:widowControl/>
        <w:spacing w:line="360" w:lineRule="auto"/>
        <w:jc w:val="left"/>
        <w:outlineLvl w:val="4"/>
        <w:rPr>
          <w:rFonts w:ascii="宋体" w:hAnsi="宋体" w:eastAsia="宋体" w:cs="宋体"/>
          <w:b/>
          <w:bCs/>
          <w:kern w:val="0"/>
          <w:sz w:val="21"/>
          <w:szCs w:val="21"/>
        </w:rPr>
      </w:pPr>
      <w:bookmarkStart w:id="860" w:name="_Toc337558802"/>
      <w:bookmarkEnd w:id="860"/>
      <w:bookmarkStart w:id="861" w:name="_Toc351203583"/>
      <w:bookmarkEnd w:id="861"/>
      <w:bookmarkStart w:id="862" w:name="_Toc532377271"/>
      <w:r>
        <w:rPr>
          <w:rFonts w:hint="eastAsia" w:ascii="宋体" w:hAnsi="宋体" w:eastAsia="宋体" w:cs="宋体"/>
          <w:b/>
          <w:bCs/>
          <w:kern w:val="0"/>
          <w:sz w:val="21"/>
          <w:szCs w:val="21"/>
        </w:rPr>
        <w:t>12.3计量</w:t>
      </w:r>
      <w:bookmarkEnd w:id="862"/>
    </w:p>
    <w:p w14:paraId="56161BE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12.3.1 计量原则</w:t>
      </w:r>
    </w:p>
    <w:p w14:paraId="79E54F9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工程量计量按照合同约定的工程量计算规则、图纸及变更指示等进行计量。工程量计算规则应以相关的国家标准、行业标准等为依据，由合同当事人在专用合同条款中约定。</w:t>
      </w:r>
    </w:p>
    <w:p w14:paraId="6DB8E09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12.3.2 计量周期</w:t>
      </w:r>
    </w:p>
    <w:p w14:paraId="7D336D3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除专用合同条款另有约定外，工程量的计量按月进行。</w:t>
      </w:r>
    </w:p>
    <w:p w14:paraId="7882BC1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12.3.3 单价合同的计量</w:t>
      </w:r>
    </w:p>
    <w:p w14:paraId="28FBE56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除专用合同条款另有约定外，单价合同的计量按照本项约定执行：</w:t>
      </w:r>
    </w:p>
    <w:p w14:paraId="4DC9991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（1）承包人应于每月25日向监理人报送上月20日至当月19日已完成的工程量报告，并附具进度付款申请单、已完成工程量报表和有关资料。</w:t>
      </w:r>
    </w:p>
    <w:p w14:paraId="71D94DC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41D600E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（3）监理人未在收到承包人提交的工程量报表后的7天内完成审核的，承包人报送的工程量报告中的工程量视为承包人实际完成的工程量，据此计算工程价款。</w:t>
      </w:r>
    </w:p>
    <w:p w14:paraId="6C3E32C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12.3.4 总价合同的计量</w:t>
      </w:r>
    </w:p>
    <w:p w14:paraId="0702F44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除专用合同条款另有约定外，按月计量支付的总价合同，按照本项约定执行：</w:t>
      </w:r>
    </w:p>
    <w:p w14:paraId="27F1F44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（1）承包人应于每月25日向监理人报送上月20日至当月19日已完成的工程量报告，并附具进度付款申请单、已完成工程量报表和有关资料。</w:t>
      </w:r>
    </w:p>
    <w:p w14:paraId="5421560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02A7BF9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（3）监理人未在收到承包人提交的工程量报表后的7天内完成复核的，承包人提交的工程量报告中的工程量视为承包人实际完成的工程量。</w:t>
      </w:r>
    </w:p>
    <w:p w14:paraId="1928BF4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12.3.5 总价合同采用支付分解表计量支付的，可以按照第12.3.4项〔总价合同的计量〕约定进行计量，但合同价款按照支付分解表进行支付。</w:t>
      </w:r>
    </w:p>
    <w:p w14:paraId="43E70B2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12.3.6 其他价格形式合同的计量</w:t>
      </w:r>
    </w:p>
    <w:p w14:paraId="0CF8E8F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合同当事人可在专用合同条款中约定其他价格形式合同的计量方式和程序。</w:t>
      </w:r>
    </w:p>
    <w:p w14:paraId="1FA3E7BD">
      <w:pPr>
        <w:widowControl/>
        <w:spacing w:line="360" w:lineRule="auto"/>
        <w:jc w:val="left"/>
        <w:outlineLvl w:val="4"/>
        <w:rPr>
          <w:rFonts w:ascii="宋体" w:hAnsi="宋体" w:eastAsia="宋体" w:cs="宋体"/>
          <w:b/>
          <w:bCs/>
          <w:kern w:val="0"/>
          <w:sz w:val="21"/>
          <w:szCs w:val="21"/>
        </w:rPr>
      </w:pPr>
      <w:bookmarkStart w:id="863" w:name="_Toc351203584"/>
      <w:bookmarkEnd w:id="863"/>
      <w:bookmarkStart w:id="864" w:name="_Toc532377272"/>
      <w:bookmarkEnd w:id="864"/>
      <w:bookmarkStart w:id="865" w:name="_Toc296503101"/>
      <w:bookmarkEnd w:id="865"/>
      <w:bookmarkStart w:id="866" w:name="_Toc296346602"/>
      <w:bookmarkEnd w:id="866"/>
      <w:bookmarkStart w:id="867" w:name="_Toc337558803"/>
      <w:r>
        <w:rPr>
          <w:rFonts w:hint="eastAsia" w:ascii="宋体" w:hAnsi="宋体" w:eastAsia="宋体" w:cs="宋体"/>
          <w:b/>
          <w:bCs/>
          <w:kern w:val="0"/>
          <w:sz w:val="21"/>
          <w:szCs w:val="21"/>
        </w:rPr>
        <w:t>12.4工程进度款支</w:t>
      </w:r>
      <w:bookmarkEnd w:id="867"/>
      <w:r>
        <w:rPr>
          <w:rFonts w:hint="eastAsia" w:ascii="宋体" w:hAnsi="宋体" w:eastAsia="宋体" w:cs="宋体"/>
          <w:b/>
          <w:bCs/>
          <w:kern w:val="0"/>
          <w:sz w:val="21"/>
          <w:szCs w:val="21"/>
        </w:rPr>
        <w:t>付</w:t>
      </w:r>
    </w:p>
    <w:p w14:paraId="4D30EBC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12.4.1 付款周期</w:t>
      </w:r>
    </w:p>
    <w:p w14:paraId="25FA3A9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除专用合同条款另有约定外，付款周期应按照第12.3.2项〔计量周期〕的约定与计量周期保持一致。</w:t>
      </w:r>
    </w:p>
    <w:p w14:paraId="18BE0E7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12.4.2 进度付款申请单的编制</w:t>
      </w:r>
    </w:p>
    <w:p w14:paraId="5E75946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除专用合同条款另有约定外，进度付款申请单应包括下列内容：</w:t>
      </w:r>
    </w:p>
    <w:p w14:paraId="7771FED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（1）截至本次付款周期已完成工作对应的金额；</w:t>
      </w:r>
    </w:p>
    <w:p w14:paraId="1D041FA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（2）根据第10条〔变更〕应增加和扣减的变更金额；</w:t>
      </w:r>
    </w:p>
    <w:p w14:paraId="608705F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（3）根据第12.2款〔预付款〕约定应支付的预付款和扣减的返还预付款；</w:t>
      </w:r>
    </w:p>
    <w:p w14:paraId="646A050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（4）根据第15.3款〔质量保证金〕约定应扣减的质量保证金；</w:t>
      </w:r>
    </w:p>
    <w:p w14:paraId="45F160A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（5）根据第19条〔索赔〕应增加和扣减的索赔金额；</w:t>
      </w:r>
    </w:p>
    <w:p w14:paraId="3AB8C04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（6）对已签发的进度款支付证书中出现错误的修正，应在本次进度付款中支付或扣除的金额；</w:t>
      </w:r>
    </w:p>
    <w:p w14:paraId="403DBBF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（7）根据合同约定应增加和扣减的其他金额。</w:t>
      </w:r>
    </w:p>
    <w:p w14:paraId="7F5289F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12.4.3 进度付款申请单的提交</w:t>
      </w:r>
    </w:p>
    <w:p w14:paraId="03C654E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（1）单价合同进度付款申请单的提交</w:t>
      </w:r>
    </w:p>
    <w:p w14:paraId="7121426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73B8328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（2）总价合同进度付款申请单的提交</w:t>
      </w:r>
    </w:p>
    <w:p w14:paraId="13F8B74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总价合同按月计量支付的，承包人按照第12.3.4项〔总价合同的计量〕约定的时间按月向监理人提交进度付款申请单，并附上已完成工程量报表和有关资料。</w:t>
      </w:r>
    </w:p>
    <w:p w14:paraId="6771C04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总价合同按支付分解表支付的，承包人应按照第12.4.6项〔支付分解表〕及第12.4.2项〔进度付款申请单的编制〕的约定向监理人提交进度付款申请单。</w:t>
      </w:r>
    </w:p>
    <w:p w14:paraId="59ACC3F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（3）其他价格形式合同的进度付款申请单的提交</w:t>
      </w:r>
    </w:p>
    <w:p w14:paraId="361EA4B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合同当事人可在专用合同条款中约定其他价格形式合同的进度付款申请单的编制和提交程序。</w:t>
      </w:r>
    </w:p>
    <w:p w14:paraId="02E3DC5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12.4.4 进度款审核和支付</w:t>
      </w:r>
    </w:p>
    <w:p w14:paraId="0066155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2A48B78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74918E9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14:paraId="39E2569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（3）发包人签发进度款支付证书或临时进度款支付证书，不表明发包人已同意、批准或接受了承包人完成的相应部分的工作。</w:t>
      </w:r>
    </w:p>
    <w:p w14:paraId="442A9C7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12.4.5 进度付款的修正</w:t>
      </w:r>
    </w:p>
    <w:p w14:paraId="05153F1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在对已签发的进度款支付证书进行阶段汇总和复核中发现错误、遗漏或重复的，发包人和承包人均有权提出修正申请。经发包人和承包人同意的修正，应在下期进度付款中支付或扣除。</w:t>
      </w:r>
    </w:p>
    <w:p w14:paraId="557BB57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12.4.6 支付分解表</w:t>
      </w:r>
    </w:p>
    <w:p w14:paraId="621E3C8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1.支付分解表的编制要求</w:t>
      </w:r>
    </w:p>
    <w:p w14:paraId="73D9344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（1）支付分解表中所列的每期付款金额，应为第12.4.2项〔进度付款申请单的编制〕第（1）目的估算金额；</w:t>
      </w:r>
    </w:p>
    <w:p w14:paraId="0514DC6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（2）实际进度与施工进度计划不一致的，合同当事人可按照第4.4款〔商定或确定〕修改支付分解表；</w:t>
      </w:r>
    </w:p>
    <w:p w14:paraId="6EF2515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（3）不采用支付分解表的，承包人应向发包人和监理人提交按季度编制的支付估算分解表，用于支付参考。</w:t>
      </w:r>
    </w:p>
    <w:p w14:paraId="69ECF41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2.总价合同支付分解表的编制与审批</w:t>
      </w:r>
    </w:p>
    <w:p w14:paraId="69DE269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1EA4F43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（2）监理人应在收到支付分解表后7天内完成审核并报送发包人。发包人应在收到经监理人审核的支付分解表后7天内完成审批，经发包人批准的支付分解表为有约束力的支付分解表。</w:t>
      </w:r>
    </w:p>
    <w:p w14:paraId="5A1A49C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（3）发包人逾期未完成支付分解表审批的，也未及时要求承包人进行修正和提供补充资料的，则承包人提交的支付分解表视为已经获得发包人批准。</w:t>
      </w:r>
    </w:p>
    <w:p w14:paraId="5EAF2C9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3.单价合同的总价项目支付分解表的编制与审批</w:t>
      </w:r>
    </w:p>
    <w:p w14:paraId="2A79E44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3AB23D24">
      <w:pPr>
        <w:widowControl/>
        <w:spacing w:line="360" w:lineRule="auto"/>
        <w:jc w:val="left"/>
        <w:outlineLvl w:val="4"/>
        <w:rPr>
          <w:rFonts w:ascii="宋体" w:hAnsi="宋体" w:eastAsia="宋体" w:cs="宋体"/>
          <w:b/>
          <w:bCs/>
          <w:kern w:val="0"/>
          <w:sz w:val="21"/>
          <w:szCs w:val="21"/>
        </w:rPr>
      </w:pPr>
      <w:bookmarkStart w:id="868" w:name="_Toc532377273"/>
      <w:bookmarkEnd w:id="868"/>
      <w:r>
        <w:rPr>
          <w:rFonts w:hint="eastAsia" w:ascii="宋体" w:hAnsi="宋体" w:eastAsia="宋体" w:cs="宋体"/>
          <w:b/>
          <w:bCs/>
          <w:kern w:val="0"/>
          <w:sz w:val="21"/>
          <w:szCs w:val="21"/>
        </w:rPr>
        <w:t>12.5支付账户</w:t>
      </w:r>
    </w:p>
    <w:p w14:paraId="6E4D11A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发包人应将合同价款支付至合同协议书中约定的承包人账户。</w:t>
      </w:r>
    </w:p>
    <w:p w14:paraId="4DBA663E">
      <w:pPr>
        <w:keepNext/>
        <w:keepLines/>
        <w:spacing w:before="156" w:beforeLines="50" w:after="156" w:afterLines="50" w:line="360" w:lineRule="auto"/>
        <w:outlineLvl w:val="3"/>
        <w:rPr>
          <w:rFonts w:ascii="宋体" w:hAnsi="宋体" w:eastAsia="宋体" w:cs="宋体"/>
          <w:b/>
          <w:sz w:val="21"/>
          <w:szCs w:val="21"/>
        </w:rPr>
      </w:pPr>
      <w:bookmarkStart w:id="869" w:name="_Toc296346607"/>
      <w:bookmarkEnd w:id="869"/>
      <w:bookmarkStart w:id="870" w:name="_Toc532375599"/>
      <w:bookmarkEnd w:id="870"/>
      <w:bookmarkStart w:id="871" w:name="_Toc351203586"/>
      <w:bookmarkEnd w:id="871"/>
      <w:bookmarkStart w:id="872" w:name="_Toc322522574"/>
      <w:bookmarkEnd w:id="872"/>
      <w:bookmarkStart w:id="873" w:name="_Toc296503106"/>
      <w:bookmarkEnd w:id="873"/>
      <w:bookmarkStart w:id="874" w:name="_Toc532377274"/>
      <w:bookmarkEnd w:id="874"/>
      <w:bookmarkStart w:id="875" w:name="_Toc337558804"/>
      <w:r>
        <w:rPr>
          <w:rFonts w:hint="eastAsia" w:ascii="宋体" w:hAnsi="宋体" w:eastAsia="宋体" w:cs="宋体"/>
          <w:b/>
          <w:bCs/>
          <w:sz w:val="21"/>
          <w:szCs w:val="21"/>
        </w:rPr>
        <w:t>13. 验收和工程试车</w:t>
      </w:r>
      <w:bookmarkEnd w:id="875"/>
    </w:p>
    <w:p w14:paraId="5E5B04AC">
      <w:pPr>
        <w:widowControl/>
        <w:spacing w:line="360" w:lineRule="auto"/>
        <w:jc w:val="left"/>
        <w:outlineLvl w:val="4"/>
        <w:rPr>
          <w:rFonts w:ascii="宋体" w:hAnsi="宋体" w:eastAsia="宋体" w:cs="宋体"/>
          <w:b/>
          <w:bCs/>
          <w:kern w:val="0"/>
          <w:sz w:val="21"/>
          <w:szCs w:val="21"/>
        </w:rPr>
      </w:pPr>
      <w:bookmarkStart w:id="876" w:name="_Toc351203587"/>
      <w:bookmarkEnd w:id="876"/>
      <w:bookmarkStart w:id="877" w:name="_Toc532377275"/>
      <w:bookmarkEnd w:id="877"/>
      <w:bookmarkStart w:id="878" w:name="_Toc296346611"/>
      <w:bookmarkEnd w:id="878"/>
      <w:bookmarkStart w:id="879" w:name="_Toc337558805"/>
      <w:bookmarkEnd w:id="879"/>
      <w:bookmarkStart w:id="880" w:name="_Toc296503110"/>
      <w:r>
        <w:rPr>
          <w:rFonts w:hint="eastAsia" w:ascii="宋体" w:hAnsi="宋体" w:eastAsia="宋体" w:cs="宋体"/>
          <w:b/>
          <w:bCs/>
          <w:kern w:val="0"/>
          <w:sz w:val="21"/>
          <w:szCs w:val="21"/>
        </w:rPr>
        <w:t>13.1分部分项工程验收</w:t>
      </w:r>
      <w:bookmarkEnd w:id="880"/>
    </w:p>
    <w:p w14:paraId="366D64A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13.1.1 分部分项工程质量应符合国家有关工程施工验收规范、标准及合同约定，承包人应按照施工组织设计的要求完成分部分项工程施工。</w:t>
      </w:r>
    </w:p>
    <w:p w14:paraId="44D6A36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7A86390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分部分项工程的验收资料应当作为竣工资料的组成部分。</w:t>
      </w:r>
    </w:p>
    <w:p w14:paraId="1265E814">
      <w:pPr>
        <w:widowControl/>
        <w:spacing w:line="360" w:lineRule="auto"/>
        <w:jc w:val="left"/>
        <w:outlineLvl w:val="4"/>
        <w:rPr>
          <w:rFonts w:ascii="宋体" w:hAnsi="宋体" w:eastAsia="宋体" w:cs="宋体"/>
          <w:b/>
          <w:bCs/>
          <w:kern w:val="0"/>
          <w:sz w:val="21"/>
          <w:szCs w:val="21"/>
        </w:rPr>
      </w:pPr>
      <w:bookmarkStart w:id="881" w:name="_Toc532377276"/>
      <w:bookmarkEnd w:id="881"/>
      <w:bookmarkStart w:id="882" w:name="_Toc337558806"/>
      <w:bookmarkEnd w:id="882"/>
      <w:bookmarkStart w:id="883" w:name="_Toc351203588"/>
      <w:r>
        <w:rPr>
          <w:rFonts w:hint="eastAsia" w:ascii="宋体" w:hAnsi="宋体" w:eastAsia="宋体" w:cs="宋体"/>
          <w:b/>
          <w:bCs/>
          <w:kern w:val="0"/>
          <w:sz w:val="21"/>
          <w:szCs w:val="21"/>
        </w:rPr>
        <w:t>13.2竣工验收</w:t>
      </w:r>
      <w:bookmarkEnd w:id="883"/>
    </w:p>
    <w:p w14:paraId="75180DA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13.2.1竣工验收条件</w:t>
      </w:r>
    </w:p>
    <w:p w14:paraId="4B4A44B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工程具备以下条件的，承包人可以申请竣工验收：</w:t>
      </w:r>
    </w:p>
    <w:p w14:paraId="114B1AD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（1）除发包人同意的甩项工作和缺陷修补工作外，合同范围内的全部工程以及有关工作，包括合同要求的试验、试运行以及检验均已完成，并符合合同要求；</w:t>
      </w:r>
    </w:p>
    <w:p w14:paraId="74489CD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（2）已按合同约定编制了甩项工作和缺陷修补工作清单以及相应的施工计划；</w:t>
      </w:r>
    </w:p>
    <w:p w14:paraId="5B15F61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（3）已按合同约定的内容和份数备齐竣工资料。</w:t>
      </w:r>
    </w:p>
    <w:p w14:paraId="664E096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13.2.2竣工验收程序</w:t>
      </w:r>
    </w:p>
    <w:p w14:paraId="683B236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除专用合同条款另有约定外，承包人申请竣工验收的，应当按照以下程序进行：</w:t>
      </w:r>
    </w:p>
    <w:p w14:paraId="4A1AA77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40A49F4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59150EA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（3）竣工验收合格的，发包人应在验收合格后14天内向承包人签发工程接收证书。发包人无正当理由逾期不颁发工程接收证书的，自验收合格后第15天起视为已颁发工程接收证书。</w:t>
      </w:r>
    </w:p>
    <w:p w14:paraId="43BE559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3737ED4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6E89986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除专用合同条款另有约定外，发包人不按照本项约定组织竣工验收、颁发工程接收证书的，每逾期一天，应以签约合同价为基数，按照中国人民银行发布的同期同类贷款基准利率支付违约金。</w:t>
      </w:r>
    </w:p>
    <w:p w14:paraId="56F6936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13.2.3竣工日期</w:t>
      </w:r>
    </w:p>
    <w:p w14:paraId="56C2E92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884" w:name="#go14"/>
      <w:bookmarkEnd w:id="884"/>
      <w:r>
        <w:rPr>
          <w:rFonts w:hint="eastAsia" w:ascii="宋体" w:hAnsi="宋体" w:eastAsia="宋体" w:cs="Times New Roman"/>
          <w:kern w:val="0"/>
          <w:sz w:val="21"/>
          <w:szCs w:val="21"/>
        </w:rPr>
        <w:t>收申请报告的日期为实际竣工日期；工程未经竣工验收，发包人擅自使用的，以转移占有工程之日为实际竣工日期。</w:t>
      </w:r>
    </w:p>
    <w:p w14:paraId="5BB7521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13.2.4 拒绝接收全部或部分工程</w:t>
      </w:r>
    </w:p>
    <w:p w14:paraId="08DE3A2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34AF45D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13.2.5 移交、接收全部与部分工程</w:t>
      </w:r>
    </w:p>
    <w:p w14:paraId="67B9D45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除专用合同条款另有约定外，合同当事人应当在颁发工程接收证书后7天内完成工程的移交。</w:t>
      </w:r>
    </w:p>
    <w:p w14:paraId="7EE76E3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14:paraId="0F0440B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承包人无正当理由不移交工程的，承包人应承担工程照管、成品保护、保管等与工程有关的各项费用，合同当事人可以在专用合同条款中另行约定承包人无正当理由不移交工程的违约责任。</w:t>
      </w:r>
    </w:p>
    <w:p w14:paraId="7DA476AA">
      <w:pPr>
        <w:widowControl/>
        <w:spacing w:line="360" w:lineRule="auto"/>
        <w:jc w:val="left"/>
        <w:outlineLvl w:val="4"/>
        <w:rPr>
          <w:rFonts w:ascii="宋体" w:hAnsi="宋体" w:eastAsia="宋体" w:cs="宋体"/>
          <w:b/>
          <w:bCs/>
          <w:kern w:val="0"/>
          <w:sz w:val="21"/>
          <w:szCs w:val="21"/>
        </w:rPr>
      </w:pPr>
      <w:bookmarkStart w:id="885" w:name="_Toc296346612"/>
      <w:bookmarkEnd w:id="885"/>
      <w:bookmarkStart w:id="886" w:name="_Toc351203589"/>
      <w:bookmarkEnd w:id="886"/>
      <w:bookmarkStart w:id="887" w:name="_Toc532377277"/>
      <w:bookmarkEnd w:id="887"/>
      <w:bookmarkStart w:id="888" w:name="_Toc296503111"/>
      <w:bookmarkEnd w:id="888"/>
      <w:bookmarkStart w:id="889" w:name="_Toc337558807"/>
      <w:r>
        <w:rPr>
          <w:rFonts w:hint="eastAsia" w:ascii="宋体" w:hAnsi="宋体" w:eastAsia="宋体" w:cs="宋体"/>
          <w:b/>
          <w:bCs/>
          <w:kern w:val="0"/>
          <w:sz w:val="21"/>
          <w:szCs w:val="21"/>
        </w:rPr>
        <w:t>13.3工程试车</w:t>
      </w:r>
      <w:bookmarkEnd w:id="889"/>
    </w:p>
    <w:p w14:paraId="3782069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13.3.1试车程序</w:t>
      </w:r>
    </w:p>
    <w:p w14:paraId="6DDE1FA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工程需要试车的，除专用合同条款另有约定外，试车内容应与承包人承包范围相一致，试车费用由承包人承担。工程试车应按如下程序进行：</w:t>
      </w:r>
    </w:p>
    <w:p w14:paraId="194C71B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名。监理人在试车合格后不在试车记录上签名，自试车结束满24小时后视为监理人已经认可试车记录，承包人可继续施工或办理竣工验收手续。</w:t>
      </w:r>
    </w:p>
    <w:p w14:paraId="3B5BF84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5AE2A31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名。承包人无正当理由不参加试车的，视为认可试车记录。</w:t>
      </w:r>
    </w:p>
    <w:p w14:paraId="5AF9249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13.3.2 试车中的责任</w:t>
      </w:r>
    </w:p>
    <w:p w14:paraId="3AC8C3D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6BC6786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6663168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13.3.3 投料试车</w:t>
      </w:r>
    </w:p>
    <w:p w14:paraId="74DA8E6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如需进行投料试车的，发包人应在工程竣工验收后组织投料试车。发包人要求在工程竣工验收前进行或需要承包人配合时，应征得承包人同意，并在专用合同条款中约定有关事项。</w:t>
      </w:r>
    </w:p>
    <w:p w14:paraId="693B807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0C7A59C">
      <w:pPr>
        <w:widowControl/>
        <w:spacing w:line="360" w:lineRule="auto"/>
        <w:jc w:val="left"/>
        <w:outlineLvl w:val="4"/>
        <w:rPr>
          <w:rFonts w:ascii="宋体" w:hAnsi="宋体" w:eastAsia="宋体" w:cs="宋体"/>
          <w:b/>
          <w:bCs/>
          <w:kern w:val="0"/>
          <w:sz w:val="21"/>
          <w:szCs w:val="21"/>
        </w:rPr>
      </w:pPr>
      <w:bookmarkStart w:id="890" w:name="_Toc532377278"/>
      <w:bookmarkEnd w:id="890"/>
      <w:r>
        <w:rPr>
          <w:rFonts w:hint="eastAsia" w:ascii="宋体" w:hAnsi="宋体" w:eastAsia="宋体" w:cs="宋体"/>
          <w:b/>
          <w:bCs/>
          <w:kern w:val="0"/>
          <w:sz w:val="21"/>
          <w:szCs w:val="21"/>
        </w:rPr>
        <w:t>13.4提前交付单位工程的验收</w:t>
      </w:r>
    </w:p>
    <w:p w14:paraId="7F4B9E5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13.4.1 发包人需要在工程竣工前使用单位工程的，或承包人提出提前交付已经竣工的单位工程且经发包人同意的，可进行单位工程验收，验收的程序按照第13.2款〔竣工验收〕的约定进行。</w:t>
      </w:r>
    </w:p>
    <w:p w14:paraId="574963C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2E057D1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13.4.2 发包人要求在工程竣工前交付单位工程，由此导致承包人费用增加和（或）工期延误的，由发包人承担由此增加的费用和（或）延误的工期，并支付承包人合理的利润。</w:t>
      </w:r>
    </w:p>
    <w:p w14:paraId="59018880">
      <w:pPr>
        <w:widowControl/>
        <w:spacing w:line="360" w:lineRule="auto"/>
        <w:jc w:val="left"/>
        <w:outlineLvl w:val="4"/>
        <w:rPr>
          <w:rFonts w:ascii="宋体" w:hAnsi="宋体" w:eastAsia="宋体" w:cs="宋体"/>
          <w:b/>
          <w:bCs/>
          <w:kern w:val="0"/>
          <w:sz w:val="21"/>
          <w:szCs w:val="21"/>
        </w:rPr>
      </w:pPr>
      <w:bookmarkStart w:id="891" w:name="_Toc532377279"/>
      <w:bookmarkEnd w:id="891"/>
      <w:bookmarkStart w:id="892" w:name="_Toc351203591"/>
      <w:r>
        <w:rPr>
          <w:rFonts w:hint="eastAsia" w:ascii="宋体" w:hAnsi="宋体" w:eastAsia="宋体" w:cs="宋体"/>
          <w:b/>
          <w:bCs/>
          <w:kern w:val="0"/>
          <w:sz w:val="21"/>
          <w:szCs w:val="21"/>
        </w:rPr>
        <w:t>13.5 施工期运行</w:t>
      </w:r>
      <w:bookmarkEnd w:id="892"/>
    </w:p>
    <w:p w14:paraId="3D7BEE1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6F4ED67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13.5.2 在施工期运行中发现工程或工程设备损坏或存在缺陷的，由承包人按第15.2款〔缺陷责任期〕约定进行修复。</w:t>
      </w:r>
    </w:p>
    <w:p w14:paraId="0CD81C48">
      <w:pPr>
        <w:widowControl/>
        <w:spacing w:line="360" w:lineRule="auto"/>
        <w:jc w:val="left"/>
        <w:outlineLvl w:val="4"/>
        <w:rPr>
          <w:rFonts w:ascii="宋体" w:hAnsi="宋体" w:eastAsia="宋体" w:cs="宋体"/>
          <w:b/>
          <w:bCs/>
          <w:kern w:val="0"/>
          <w:sz w:val="21"/>
          <w:szCs w:val="21"/>
        </w:rPr>
      </w:pPr>
      <w:bookmarkStart w:id="893" w:name="_Toc532377280"/>
      <w:bookmarkEnd w:id="893"/>
      <w:bookmarkStart w:id="894" w:name="_Toc296503112"/>
      <w:bookmarkEnd w:id="894"/>
      <w:bookmarkStart w:id="895" w:name="_Toc296346613"/>
      <w:bookmarkEnd w:id="895"/>
      <w:bookmarkStart w:id="896" w:name="_Toc351203592"/>
      <w:bookmarkEnd w:id="896"/>
      <w:bookmarkStart w:id="897" w:name="_Toc337558809"/>
      <w:r>
        <w:rPr>
          <w:rFonts w:hint="eastAsia" w:ascii="宋体" w:hAnsi="宋体" w:eastAsia="宋体" w:cs="宋体"/>
          <w:b/>
          <w:bCs/>
          <w:kern w:val="0"/>
          <w:sz w:val="21"/>
          <w:szCs w:val="21"/>
        </w:rPr>
        <w:t>13.6 竣工退</w:t>
      </w:r>
      <w:bookmarkEnd w:id="897"/>
      <w:r>
        <w:rPr>
          <w:rFonts w:hint="eastAsia" w:ascii="宋体" w:hAnsi="宋体" w:eastAsia="宋体" w:cs="宋体"/>
          <w:b/>
          <w:bCs/>
          <w:kern w:val="0"/>
          <w:sz w:val="21"/>
          <w:szCs w:val="21"/>
        </w:rPr>
        <w:t>场</w:t>
      </w:r>
    </w:p>
    <w:p w14:paraId="512C66E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13.6.1 竣工退场</w:t>
      </w:r>
    </w:p>
    <w:p w14:paraId="6DD2807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颁发工程接收证书后，承包人应按以下要求对施工现场进行清理：</w:t>
      </w:r>
    </w:p>
    <w:p w14:paraId="60FE2F3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（1）施工现场内残留的垃圾已全部清除出场；</w:t>
      </w:r>
    </w:p>
    <w:p w14:paraId="0A18B42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（2）临时工程已拆除，场地已进行清理、平整或复原；</w:t>
      </w:r>
    </w:p>
    <w:p w14:paraId="1D6A874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（3）按合同约定应撤离的人员、承包人施工设备和剩余的材料，包括废弃的施工设备和材料，已按计划撤离施工现场；</w:t>
      </w:r>
    </w:p>
    <w:p w14:paraId="1409981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（4）施工现场周边及其附近道路、河道的施工堆积物，已全部清理；</w:t>
      </w:r>
    </w:p>
    <w:p w14:paraId="63D40D0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（5）施工现场其他场地清理工作已全部完成。</w:t>
      </w:r>
    </w:p>
    <w:p w14:paraId="6E6DE28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4D15EFD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13.6.2 地表还原</w:t>
      </w:r>
    </w:p>
    <w:p w14:paraId="1B35156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承包人应按发包人要求恢复临时占地及清理场地，承包人未按发包人的要求恢复临时占地，或者场地清理未达到合同约定要求的，发包人有权委托其他人恢复或清理，所发生的费用由承包人承担。</w:t>
      </w:r>
    </w:p>
    <w:p w14:paraId="4E34246D">
      <w:pPr>
        <w:keepNext/>
        <w:keepLines/>
        <w:spacing w:before="156" w:beforeLines="50" w:after="156" w:afterLines="50" w:line="360" w:lineRule="auto"/>
        <w:outlineLvl w:val="3"/>
        <w:rPr>
          <w:rFonts w:ascii="宋体" w:hAnsi="宋体" w:eastAsia="宋体" w:cs="宋体"/>
          <w:b/>
          <w:sz w:val="21"/>
          <w:szCs w:val="21"/>
        </w:rPr>
      </w:pPr>
      <w:bookmarkStart w:id="898" w:name="_Toc296346614"/>
      <w:bookmarkEnd w:id="898"/>
      <w:bookmarkStart w:id="899" w:name="_Toc532377281"/>
      <w:bookmarkEnd w:id="899"/>
      <w:bookmarkStart w:id="900" w:name="_Toc337558810"/>
      <w:bookmarkEnd w:id="900"/>
      <w:bookmarkStart w:id="901" w:name="_Toc351203593"/>
      <w:bookmarkEnd w:id="901"/>
      <w:bookmarkStart w:id="902" w:name="_Toc532375600"/>
      <w:bookmarkEnd w:id="902"/>
      <w:bookmarkStart w:id="903" w:name="_Toc296503113"/>
      <w:r>
        <w:rPr>
          <w:rFonts w:hint="eastAsia" w:ascii="宋体" w:hAnsi="宋体" w:eastAsia="宋体" w:cs="宋体"/>
          <w:b/>
          <w:bCs/>
          <w:sz w:val="21"/>
          <w:szCs w:val="21"/>
        </w:rPr>
        <w:t>14. 竣工结算</w:t>
      </w:r>
      <w:bookmarkEnd w:id="903"/>
    </w:p>
    <w:p w14:paraId="2125FB41">
      <w:pPr>
        <w:widowControl/>
        <w:spacing w:line="360" w:lineRule="auto"/>
        <w:jc w:val="left"/>
        <w:outlineLvl w:val="4"/>
        <w:rPr>
          <w:rFonts w:ascii="宋体" w:hAnsi="宋体" w:eastAsia="宋体" w:cs="宋体"/>
          <w:b/>
          <w:bCs/>
          <w:kern w:val="0"/>
          <w:sz w:val="21"/>
          <w:szCs w:val="21"/>
        </w:rPr>
      </w:pPr>
      <w:bookmarkStart w:id="904" w:name="_Toc351203594"/>
      <w:bookmarkEnd w:id="904"/>
      <w:bookmarkStart w:id="905" w:name="_Toc337558811"/>
      <w:bookmarkEnd w:id="905"/>
      <w:bookmarkStart w:id="906" w:name="_Toc532377282"/>
      <w:r>
        <w:rPr>
          <w:rFonts w:hint="eastAsia" w:ascii="宋体" w:hAnsi="宋体" w:eastAsia="宋体" w:cs="宋体"/>
          <w:b/>
          <w:bCs/>
          <w:kern w:val="0"/>
          <w:sz w:val="21"/>
          <w:szCs w:val="21"/>
        </w:rPr>
        <w:t>14.1 竣工结算申请</w:t>
      </w:r>
      <w:bookmarkEnd w:id="906"/>
    </w:p>
    <w:p w14:paraId="0F23128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3C7B262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除专用合同条款另有约定外，竣工结算申请单应包括以下内容：</w:t>
      </w:r>
    </w:p>
    <w:p w14:paraId="5CA48E2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（1）竣工结算合同价格；</w:t>
      </w:r>
    </w:p>
    <w:p w14:paraId="53557A5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（2）发包人已支付承包人的款项；</w:t>
      </w:r>
    </w:p>
    <w:p w14:paraId="3CBF9A9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（3）应扣留的质量保证金。已缴纳履约保证金的或提供其他工程质量担保方式的除外； </w:t>
      </w:r>
    </w:p>
    <w:p w14:paraId="29A6BB1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（4）发包人应支付承包人的合同价款。</w:t>
      </w:r>
    </w:p>
    <w:p w14:paraId="7FCA6092">
      <w:pPr>
        <w:widowControl/>
        <w:spacing w:line="360" w:lineRule="auto"/>
        <w:jc w:val="left"/>
        <w:outlineLvl w:val="4"/>
        <w:rPr>
          <w:rFonts w:ascii="宋体" w:hAnsi="宋体" w:eastAsia="宋体" w:cs="宋体"/>
          <w:b/>
          <w:bCs/>
          <w:kern w:val="0"/>
          <w:sz w:val="21"/>
          <w:szCs w:val="21"/>
        </w:rPr>
      </w:pPr>
      <w:bookmarkStart w:id="907" w:name="_Toc337558812"/>
      <w:bookmarkEnd w:id="907"/>
      <w:bookmarkStart w:id="908" w:name="_Toc351203595"/>
      <w:bookmarkEnd w:id="908"/>
      <w:bookmarkStart w:id="909" w:name="_Toc532377283"/>
      <w:r>
        <w:rPr>
          <w:rFonts w:hint="eastAsia" w:ascii="宋体" w:hAnsi="宋体" w:eastAsia="宋体" w:cs="宋体"/>
          <w:b/>
          <w:bCs/>
          <w:kern w:val="0"/>
          <w:sz w:val="21"/>
          <w:szCs w:val="21"/>
        </w:rPr>
        <w:t>14.2 竣工结算审核</w:t>
      </w:r>
      <w:bookmarkEnd w:id="909"/>
    </w:p>
    <w:p w14:paraId="37C9397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579EDF8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4C3CCE0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180B756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7E10CA7B">
      <w:pPr>
        <w:widowControl/>
        <w:spacing w:line="360" w:lineRule="auto"/>
        <w:jc w:val="left"/>
        <w:outlineLvl w:val="4"/>
        <w:rPr>
          <w:rFonts w:ascii="宋体" w:hAnsi="宋体" w:eastAsia="宋体" w:cs="宋体"/>
          <w:b/>
          <w:bCs/>
          <w:kern w:val="0"/>
          <w:sz w:val="21"/>
          <w:szCs w:val="21"/>
        </w:rPr>
      </w:pPr>
      <w:bookmarkStart w:id="910" w:name="_Toc351203596"/>
      <w:bookmarkEnd w:id="910"/>
      <w:bookmarkStart w:id="911" w:name="_Toc532377284"/>
      <w:bookmarkEnd w:id="911"/>
      <w:bookmarkStart w:id="912" w:name="_Toc337558813"/>
      <w:r>
        <w:rPr>
          <w:rFonts w:hint="eastAsia" w:ascii="宋体" w:hAnsi="宋体" w:eastAsia="宋体" w:cs="宋体"/>
          <w:b/>
          <w:bCs/>
          <w:kern w:val="0"/>
          <w:sz w:val="21"/>
          <w:szCs w:val="21"/>
        </w:rPr>
        <w:t>14.3 甩项竣工协议</w:t>
      </w:r>
      <w:bookmarkEnd w:id="912"/>
    </w:p>
    <w:p w14:paraId="03E70C7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14:paraId="7E732C84">
      <w:pPr>
        <w:widowControl/>
        <w:spacing w:line="360" w:lineRule="auto"/>
        <w:jc w:val="left"/>
        <w:outlineLvl w:val="4"/>
        <w:rPr>
          <w:rFonts w:ascii="宋体" w:hAnsi="宋体" w:eastAsia="宋体" w:cs="宋体"/>
          <w:b/>
          <w:bCs/>
          <w:kern w:val="0"/>
          <w:sz w:val="21"/>
          <w:szCs w:val="21"/>
        </w:rPr>
      </w:pPr>
      <w:bookmarkStart w:id="913" w:name="_Toc532377285"/>
      <w:bookmarkEnd w:id="913"/>
      <w:bookmarkStart w:id="914" w:name="_Toc351203597"/>
      <w:bookmarkEnd w:id="914"/>
      <w:bookmarkStart w:id="915" w:name="_Toc337558814"/>
      <w:r>
        <w:rPr>
          <w:rFonts w:hint="eastAsia" w:ascii="宋体" w:hAnsi="宋体" w:eastAsia="宋体" w:cs="宋体"/>
          <w:b/>
          <w:bCs/>
          <w:kern w:val="0"/>
          <w:sz w:val="21"/>
          <w:szCs w:val="21"/>
        </w:rPr>
        <w:t>14.4 最终结清</w:t>
      </w:r>
      <w:bookmarkEnd w:id="915"/>
    </w:p>
    <w:p w14:paraId="71EC465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14.4.1 最终结清申请单</w:t>
      </w:r>
    </w:p>
    <w:p w14:paraId="56690B4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（1）除专用合同条款另有约定外，承包人应在缺陷责任期终止证书颁发后7天内，按专用合同条款约定的份数向发包人提交最终结清申请单，并提供相关证明材料。</w:t>
      </w:r>
    </w:p>
    <w:p w14:paraId="291EA14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除专用合同条款另有约定外，最终结清申请单应列明质量保证金、应扣除的质量保证金、缺陷责任期内发生的增减费用。</w:t>
      </w:r>
    </w:p>
    <w:p w14:paraId="0C33240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（2）发包人对最终结清申请单内容有异议的，有权要求承包人进行修正和提供补充资料，承包人应向发包人提交修正后的最终结清申请单。</w:t>
      </w:r>
    </w:p>
    <w:p w14:paraId="6EEAC93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14.4.2 最终结清证书和支付</w:t>
      </w:r>
    </w:p>
    <w:p w14:paraId="2D31555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5AAD88E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74FA9D3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（3）承包人对发包人颁发的最终结清证书有异议的，按第20条〔争议解决〕的约定办理。</w:t>
      </w:r>
    </w:p>
    <w:p w14:paraId="726140DF">
      <w:pPr>
        <w:keepNext/>
        <w:keepLines/>
        <w:spacing w:before="156" w:beforeLines="50" w:after="156" w:afterLines="50" w:line="360" w:lineRule="auto"/>
        <w:outlineLvl w:val="3"/>
        <w:rPr>
          <w:rFonts w:ascii="宋体" w:hAnsi="宋体" w:eastAsia="宋体" w:cs="宋体"/>
          <w:b/>
          <w:sz w:val="21"/>
          <w:szCs w:val="21"/>
        </w:rPr>
      </w:pPr>
      <w:bookmarkStart w:id="916" w:name="_Toc351203598"/>
      <w:bookmarkEnd w:id="916"/>
      <w:bookmarkStart w:id="917" w:name="_Toc532377286"/>
      <w:bookmarkEnd w:id="917"/>
      <w:bookmarkStart w:id="918" w:name="_Toc532375601"/>
      <w:bookmarkEnd w:id="918"/>
      <w:bookmarkStart w:id="919" w:name="_Toc337558815"/>
      <w:r>
        <w:rPr>
          <w:rFonts w:hint="eastAsia" w:ascii="宋体" w:hAnsi="宋体" w:eastAsia="宋体" w:cs="宋体"/>
          <w:b/>
          <w:bCs/>
          <w:sz w:val="21"/>
          <w:szCs w:val="21"/>
        </w:rPr>
        <w:t>15. 缺陷责任与保修</w:t>
      </w:r>
      <w:bookmarkEnd w:id="919"/>
    </w:p>
    <w:p w14:paraId="249B779E">
      <w:pPr>
        <w:widowControl/>
        <w:spacing w:line="360" w:lineRule="auto"/>
        <w:jc w:val="left"/>
        <w:outlineLvl w:val="4"/>
        <w:rPr>
          <w:rFonts w:ascii="宋体" w:hAnsi="宋体" w:eastAsia="宋体" w:cs="宋体"/>
          <w:b/>
          <w:bCs/>
          <w:kern w:val="0"/>
          <w:sz w:val="21"/>
          <w:szCs w:val="21"/>
        </w:rPr>
      </w:pPr>
      <w:bookmarkStart w:id="920" w:name="_Toc296503114"/>
      <w:bookmarkEnd w:id="920"/>
      <w:bookmarkStart w:id="921" w:name="_Toc337558816"/>
      <w:bookmarkEnd w:id="921"/>
      <w:bookmarkStart w:id="922" w:name="_Toc351203599"/>
      <w:bookmarkEnd w:id="922"/>
      <w:bookmarkStart w:id="923" w:name="_Toc532377287"/>
      <w:bookmarkEnd w:id="923"/>
      <w:bookmarkStart w:id="924" w:name="_Toc296346615"/>
      <w:r>
        <w:rPr>
          <w:rFonts w:hint="eastAsia" w:ascii="宋体" w:hAnsi="宋体" w:eastAsia="宋体" w:cs="宋体"/>
          <w:b/>
          <w:bCs/>
          <w:kern w:val="0"/>
          <w:sz w:val="21"/>
          <w:szCs w:val="21"/>
        </w:rPr>
        <w:t>15.1 工程保修的原则</w:t>
      </w:r>
      <w:bookmarkEnd w:id="924"/>
    </w:p>
    <w:p w14:paraId="61EB635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在工程移交发包人后，因承包人原因产生的质量缺陷，承包人应承担质量缺陷责任和保修义务。缺陷责任期届满，承包人仍应按合同约定的工程各部位保修年限承担保修义务。</w:t>
      </w:r>
    </w:p>
    <w:p w14:paraId="1C91E269">
      <w:pPr>
        <w:widowControl/>
        <w:spacing w:line="360" w:lineRule="auto"/>
        <w:jc w:val="left"/>
        <w:outlineLvl w:val="4"/>
        <w:rPr>
          <w:rFonts w:ascii="宋体" w:hAnsi="宋体" w:eastAsia="宋体" w:cs="宋体"/>
          <w:b/>
          <w:bCs/>
          <w:kern w:val="0"/>
          <w:sz w:val="21"/>
          <w:szCs w:val="21"/>
        </w:rPr>
      </w:pPr>
      <w:bookmarkStart w:id="925" w:name="_Toc337558817"/>
      <w:bookmarkEnd w:id="925"/>
      <w:bookmarkStart w:id="926" w:name="_Toc351203600"/>
      <w:bookmarkEnd w:id="926"/>
      <w:bookmarkStart w:id="927" w:name="_Toc532377288"/>
      <w:r>
        <w:rPr>
          <w:rFonts w:hint="eastAsia" w:ascii="宋体" w:hAnsi="宋体" w:eastAsia="宋体" w:cs="宋体"/>
          <w:b/>
          <w:bCs/>
          <w:kern w:val="0"/>
          <w:sz w:val="21"/>
          <w:szCs w:val="21"/>
        </w:rPr>
        <w:t>15.2 缺陷责任期</w:t>
      </w:r>
      <w:bookmarkEnd w:id="927"/>
    </w:p>
    <w:p w14:paraId="324032E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15.2.1 缺陷责任期从工程通过竣工验收之日起计算，合同当事人应在专用合同条款约定缺陷责任期的具体期限，但该期限最长不超过24个月。</w:t>
      </w:r>
    </w:p>
    <w:p w14:paraId="29B897C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78734DD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3E397CD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由他人原因造成的缺陷，发包人负责组织维修，承包人不承担费用，且发包人不得从保证金中扣除费用。</w:t>
      </w:r>
    </w:p>
    <w:p w14:paraId="7101C9E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15.2.3 任何一项缺陷或损坏修复后，经检查证明其影响了工程或工程设备的使用性能，承包人应重新进行合同约定的试验和试运行，试验和试运行的全部费用应由责任方承担。</w:t>
      </w:r>
    </w:p>
    <w:p w14:paraId="7737835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47484DD0">
      <w:pPr>
        <w:widowControl/>
        <w:spacing w:line="360" w:lineRule="auto"/>
        <w:jc w:val="left"/>
        <w:outlineLvl w:val="4"/>
        <w:rPr>
          <w:rFonts w:ascii="宋体" w:hAnsi="宋体" w:eastAsia="宋体" w:cs="宋体"/>
          <w:b/>
          <w:bCs/>
          <w:kern w:val="0"/>
          <w:sz w:val="21"/>
          <w:szCs w:val="21"/>
        </w:rPr>
      </w:pPr>
      <w:bookmarkStart w:id="928" w:name="_Toc351203601"/>
      <w:bookmarkEnd w:id="928"/>
      <w:bookmarkStart w:id="929" w:name="_Toc532377289"/>
      <w:bookmarkEnd w:id="929"/>
      <w:bookmarkStart w:id="930" w:name="_Toc296503115"/>
      <w:bookmarkEnd w:id="930"/>
      <w:bookmarkStart w:id="931" w:name="_Toc337558818"/>
      <w:bookmarkEnd w:id="931"/>
      <w:bookmarkStart w:id="932" w:name="_Toc296346616"/>
      <w:r>
        <w:rPr>
          <w:rFonts w:hint="eastAsia" w:ascii="宋体" w:hAnsi="宋体" w:eastAsia="宋体" w:cs="宋体"/>
          <w:b/>
          <w:bCs/>
          <w:kern w:val="0"/>
          <w:sz w:val="21"/>
          <w:szCs w:val="21"/>
        </w:rPr>
        <w:t>15.3 质量保证金</w:t>
      </w:r>
      <w:bookmarkEnd w:id="932"/>
    </w:p>
    <w:p w14:paraId="37BAFFC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经合同当事人协商一致扣留质量保证金的，应在专用合同条款中予以明确。</w:t>
      </w:r>
    </w:p>
    <w:p w14:paraId="0BDE5DF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在工程项目竣工前，承包人已经提供履约担保的，发包人不得同时预留工程质量保证金。</w:t>
      </w:r>
    </w:p>
    <w:p w14:paraId="04DEC52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15.3.1 承包人提供质量保证金的方式</w:t>
      </w:r>
    </w:p>
    <w:p w14:paraId="3F2296D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承包人提供质量保证金有以下三种方式：</w:t>
      </w:r>
    </w:p>
    <w:p w14:paraId="56C86D2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（1）质量保证金保函；</w:t>
      </w:r>
    </w:p>
    <w:p w14:paraId="36D2987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（2）相应比例的工程款；</w:t>
      </w:r>
    </w:p>
    <w:p w14:paraId="2A028CB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（3）双方约定的其他方式。</w:t>
      </w:r>
    </w:p>
    <w:p w14:paraId="4662C2E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除专用合同条款另有约定外，质量保证金原则上采用上述第（1）种方式。</w:t>
      </w:r>
    </w:p>
    <w:p w14:paraId="1D666C5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15.3.2 质量保证金的扣留</w:t>
      </w:r>
    </w:p>
    <w:p w14:paraId="60595E5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质量保证金的扣留有以下三种方式：</w:t>
      </w:r>
    </w:p>
    <w:p w14:paraId="2A54ABE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（1）在支付工程进度款时逐次扣留，在此情形下，质量保证金的计算基数不包括预付款的支付、扣回以及价格调整的金额；</w:t>
      </w:r>
    </w:p>
    <w:p w14:paraId="663B8A9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（2）工</w:t>
      </w:r>
      <w:bookmarkStart w:id="933" w:name="#go6"/>
      <w:bookmarkEnd w:id="933"/>
      <w:r>
        <w:rPr>
          <w:rFonts w:hint="eastAsia" w:ascii="宋体" w:hAnsi="宋体" w:eastAsia="宋体" w:cs="Times New Roman"/>
          <w:kern w:val="0"/>
          <w:sz w:val="21"/>
          <w:szCs w:val="21"/>
        </w:rPr>
        <w:t>程竣工结算时一次性扣留质量保证金；</w:t>
      </w:r>
    </w:p>
    <w:p w14:paraId="7EC87DE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（3）双方约定的其他扣留方式。</w:t>
      </w:r>
    </w:p>
    <w:p w14:paraId="7C46EC5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除专用合同条款另有约定外，质量保证金的扣留原则上采用上述第（1）种方式。</w:t>
      </w:r>
    </w:p>
    <w:p w14:paraId="1D78B9E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w:t>
      </w:r>
      <w:bookmarkStart w:id="934" w:name="#go4"/>
      <w:bookmarkEnd w:id="934"/>
      <w:r>
        <w:rPr>
          <w:rFonts w:hint="eastAsia" w:ascii="宋体" w:hAnsi="宋体" w:eastAsia="宋体" w:cs="Times New Roman"/>
          <w:kern w:val="0"/>
          <w:sz w:val="21"/>
          <w:szCs w:val="21"/>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201CCE8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发包人在退还质量保证金的同时按照中国人民银行发布的同期同类贷款基准利率支付利息。</w:t>
      </w:r>
    </w:p>
    <w:p w14:paraId="32457E5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15.3.3 质量保证金的退还</w:t>
      </w:r>
    </w:p>
    <w:p w14:paraId="613D589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缺陷责任期内，承包人认真履行合同约定的责任，到期后，承包人可向发包人申请返还保证金。</w:t>
      </w:r>
    </w:p>
    <w:p w14:paraId="2D0667C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3DAFEB9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发包人和承包人对保证金预留、返还以及工程维修质量、费用有争议的，按合同第20条约定的争议和纠纷解决程序处理。</w:t>
      </w:r>
    </w:p>
    <w:p w14:paraId="089016A8">
      <w:pPr>
        <w:widowControl/>
        <w:spacing w:line="360" w:lineRule="auto"/>
        <w:jc w:val="left"/>
        <w:outlineLvl w:val="4"/>
        <w:rPr>
          <w:rFonts w:ascii="宋体" w:hAnsi="宋体" w:eastAsia="宋体" w:cs="宋体"/>
          <w:b/>
          <w:bCs/>
          <w:kern w:val="0"/>
          <w:sz w:val="21"/>
          <w:szCs w:val="21"/>
        </w:rPr>
      </w:pPr>
      <w:bookmarkStart w:id="935" w:name="_Toc351203602"/>
      <w:bookmarkEnd w:id="935"/>
      <w:bookmarkStart w:id="936" w:name="_Toc532377290"/>
      <w:bookmarkEnd w:id="936"/>
      <w:bookmarkStart w:id="937" w:name="_Toc337558819"/>
      <w:r>
        <w:rPr>
          <w:rFonts w:hint="eastAsia" w:ascii="宋体" w:hAnsi="宋体" w:eastAsia="宋体" w:cs="宋体"/>
          <w:b/>
          <w:bCs/>
          <w:kern w:val="0"/>
          <w:sz w:val="21"/>
          <w:szCs w:val="21"/>
        </w:rPr>
        <w:t>15.4 保修</w:t>
      </w:r>
      <w:bookmarkEnd w:id="937"/>
    </w:p>
    <w:p w14:paraId="2E43F36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15.4.1保修责任</w:t>
      </w:r>
    </w:p>
    <w:p w14:paraId="36473B3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454AB9E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发包人未经竣工验收擅自使用工程的，保修期自转移占有之日起算。</w:t>
      </w:r>
    </w:p>
    <w:p w14:paraId="47D5628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15.4.2 修复费用</w:t>
      </w:r>
    </w:p>
    <w:p w14:paraId="72A4E55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保修期内，修复的费用按照以下约定处理：</w:t>
      </w:r>
    </w:p>
    <w:p w14:paraId="6CED642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（1）保修期内，因承包人原因造成工程的缺陷、损坏，承包人应负责修复，并承担修复的费用以及因工程的缺陷、损坏造成的人身伤害和财产损失；</w:t>
      </w:r>
    </w:p>
    <w:p w14:paraId="2999DFA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（2）保修期内，因发包人使用不当造成工程的缺陷、损坏，可以委托承包人修复，但发包人应承担修复的费用，并支付承包人合理利润；</w:t>
      </w:r>
    </w:p>
    <w:p w14:paraId="7EB8CFA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（3）因其他原因造成工程的缺陷、损坏，可以委托承包人修复，发包人应承担修复的费用，并支付承包人合理的利润，因工程的缺陷、损坏造成的人身伤害和财产损失由责任方承担。</w:t>
      </w:r>
    </w:p>
    <w:p w14:paraId="51288F9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15.4.3 修复通知</w:t>
      </w:r>
    </w:p>
    <w:p w14:paraId="0D3D5FE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6A17067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15.4.4 未能修复</w:t>
      </w:r>
    </w:p>
    <w:p w14:paraId="0E7C5D3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28F7D35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15.4.5 承包人出入权</w:t>
      </w:r>
    </w:p>
    <w:p w14:paraId="5E3BEF5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2EDFC1F9">
      <w:pPr>
        <w:keepNext/>
        <w:keepLines/>
        <w:spacing w:before="156" w:beforeLines="50" w:after="156" w:afterLines="50" w:line="360" w:lineRule="auto"/>
        <w:outlineLvl w:val="3"/>
        <w:rPr>
          <w:rFonts w:ascii="宋体" w:hAnsi="宋体" w:eastAsia="宋体" w:cs="宋体"/>
          <w:b/>
          <w:sz w:val="21"/>
          <w:szCs w:val="21"/>
        </w:rPr>
      </w:pPr>
      <w:bookmarkStart w:id="938" w:name="_Toc532375602"/>
      <w:bookmarkEnd w:id="938"/>
      <w:bookmarkStart w:id="939" w:name="_Toc351203603"/>
      <w:bookmarkEnd w:id="939"/>
      <w:bookmarkStart w:id="940" w:name="_Toc532377291"/>
      <w:bookmarkEnd w:id="940"/>
      <w:bookmarkStart w:id="941" w:name="_Toc337558820"/>
      <w:r>
        <w:rPr>
          <w:rFonts w:hint="eastAsia" w:ascii="宋体" w:hAnsi="宋体" w:eastAsia="宋体" w:cs="宋体"/>
          <w:b/>
          <w:bCs/>
          <w:sz w:val="21"/>
          <w:szCs w:val="21"/>
        </w:rPr>
        <w:t>16. 违约</w:t>
      </w:r>
      <w:bookmarkEnd w:id="941"/>
    </w:p>
    <w:p w14:paraId="2E7FB81F">
      <w:pPr>
        <w:widowControl/>
        <w:spacing w:line="360" w:lineRule="auto"/>
        <w:jc w:val="left"/>
        <w:outlineLvl w:val="4"/>
        <w:rPr>
          <w:rFonts w:ascii="宋体" w:hAnsi="宋体" w:eastAsia="宋体" w:cs="宋体"/>
          <w:b/>
          <w:bCs/>
          <w:kern w:val="0"/>
          <w:sz w:val="21"/>
          <w:szCs w:val="21"/>
        </w:rPr>
      </w:pPr>
      <w:bookmarkStart w:id="942" w:name="_Toc296346630"/>
      <w:bookmarkEnd w:id="942"/>
      <w:bookmarkStart w:id="943" w:name="_Toc351203604"/>
      <w:bookmarkEnd w:id="943"/>
      <w:bookmarkStart w:id="944" w:name="_Toc296503129"/>
      <w:bookmarkEnd w:id="944"/>
      <w:bookmarkStart w:id="945" w:name="_Toc337558821"/>
      <w:bookmarkEnd w:id="945"/>
      <w:bookmarkStart w:id="946" w:name="_Toc532377292"/>
      <w:r>
        <w:rPr>
          <w:rFonts w:hint="eastAsia" w:ascii="宋体" w:hAnsi="宋体" w:eastAsia="宋体" w:cs="宋体"/>
          <w:b/>
          <w:bCs/>
          <w:kern w:val="0"/>
          <w:sz w:val="21"/>
          <w:szCs w:val="21"/>
        </w:rPr>
        <w:t>16.1 发</w:t>
      </w:r>
      <w:bookmarkEnd w:id="946"/>
      <w:r>
        <w:rPr>
          <w:rFonts w:hint="eastAsia" w:ascii="宋体" w:hAnsi="宋体" w:eastAsia="宋体" w:cs="宋体"/>
          <w:b/>
          <w:bCs/>
          <w:kern w:val="0"/>
          <w:sz w:val="21"/>
          <w:szCs w:val="21"/>
        </w:rPr>
        <w:t>包人违约</w:t>
      </w:r>
    </w:p>
    <w:p w14:paraId="038D2E2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16.1.1 发包人违约的情形</w:t>
      </w:r>
    </w:p>
    <w:p w14:paraId="1225AEE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在合同履行过程中发生的下列情形，属于发包人违约：</w:t>
      </w:r>
    </w:p>
    <w:p w14:paraId="1A55504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（1）因发包人原因未能在计划开工日期前7天内下达开工通知的；</w:t>
      </w:r>
    </w:p>
    <w:p w14:paraId="19957E7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（2）因发包人原因未能按合同约定支付合同价款的；</w:t>
      </w:r>
    </w:p>
    <w:p w14:paraId="2429309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（3）发包人违反第10.1款〔变更的范围〕第（2）项约定，自行实施被取消的工作或转由他人实施的；</w:t>
      </w:r>
    </w:p>
    <w:p w14:paraId="16C86EA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（4）发包人提供的材料、工程设备的规格、数量或质量不符合合同约定，或因发包人原因导致交货日期延误或交货地点变更等情况的；</w:t>
      </w:r>
    </w:p>
    <w:p w14:paraId="4A50F5E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（5）因发包人违反合同约定造成暂停施工的；</w:t>
      </w:r>
    </w:p>
    <w:p w14:paraId="7790BEF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（6）发包人无正当理由没有在约定期限内发出复工指示，导致承包人无法复工的；</w:t>
      </w:r>
    </w:p>
    <w:p w14:paraId="6AA9CA2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（7）发包人明确表示或者以其行为表明不履行合同主要义务的；</w:t>
      </w:r>
    </w:p>
    <w:p w14:paraId="2A0620B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（8）发包人未能按照合同约定履行其他义务的。</w:t>
      </w:r>
    </w:p>
    <w:p w14:paraId="410A951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14CE9AF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16.1.2 发包人违约的责任</w:t>
      </w:r>
    </w:p>
    <w:p w14:paraId="0A5E113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发包人应承担因其违约给承包人增加的费用和（或）延误的工期，并支付承包人合理的利润。此外，合同当事人可在专用合同条款中另行约定发包人违约责任的承担方式和计算方法。</w:t>
      </w:r>
    </w:p>
    <w:p w14:paraId="7F760A4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16.1.3 因发包人违约解除合同</w:t>
      </w:r>
    </w:p>
    <w:p w14:paraId="66EF1D0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35F246B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16.1.4 因发包人违约解除合同后的付款</w:t>
      </w:r>
    </w:p>
    <w:p w14:paraId="528582C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承包人按照本款约定解除合同的，发包人应在解除合同后28天内支付下列款项，并解除履约担保：</w:t>
      </w:r>
    </w:p>
    <w:p w14:paraId="45D39B2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（1）合同解除前所完成工作的价款；</w:t>
      </w:r>
    </w:p>
    <w:p w14:paraId="1814C06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（2）承包人为工程施工订购并已付款的材料、工程设备和其他物品的价款；</w:t>
      </w:r>
    </w:p>
    <w:p w14:paraId="514E1A2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（3）承包人撤离施工现场以及遣散承包人人员的款项；</w:t>
      </w:r>
    </w:p>
    <w:p w14:paraId="12133CE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（4）按照合同约定在合同解除前应支付的违约金；</w:t>
      </w:r>
    </w:p>
    <w:p w14:paraId="1575EEC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（5）按照合同约定应当支付给承包人的其他款项；</w:t>
      </w:r>
    </w:p>
    <w:p w14:paraId="7C0EAAA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（6）按照合同约定应退还的质量保证金；</w:t>
      </w:r>
    </w:p>
    <w:p w14:paraId="4CCF7AE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（7）因解除合同给承包人造成的损失。</w:t>
      </w:r>
    </w:p>
    <w:p w14:paraId="0FC5D92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合同当事人未能就解除合同后的结清达成一致的，按照第20条〔争议解决〕的约定处理。</w:t>
      </w:r>
    </w:p>
    <w:p w14:paraId="2862D55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承包人应妥善做好已完工程和与工程有关的已购材料、工程设备的保护和移交工作，并将施工设备和人员撤出施工现场，发包人应为承包人撤出提供必要条件。</w:t>
      </w:r>
    </w:p>
    <w:p w14:paraId="6BFB3112">
      <w:pPr>
        <w:widowControl/>
        <w:spacing w:line="360" w:lineRule="auto"/>
        <w:jc w:val="left"/>
        <w:outlineLvl w:val="4"/>
        <w:rPr>
          <w:rFonts w:ascii="宋体" w:hAnsi="宋体" w:eastAsia="宋体" w:cs="宋体"/>
          <w:b/>
          <w:bCs/>
          <w:kern w:val="0"/>
          <w:sz w:val="21"/>
          <w:szCs w:val="21"/>
        </w:rPr>
      </w:pPr>
      <w:bookmarkStart w:id="947" w:name="_Toc296346632"/>
      <w:bookmarkEnd w:id="947"/>
      <w:bookmarkStart w:id="948" w:name="_Toc351203605"/>
      <w:bookmarkEnd w:id="948"/>
      <w:bookmarkStart w:id="949" w:name="_Toc296503131"/>
      <w:bookmarkEnd w:id="949"/>
      <w:bookmarkStart w:id="950" w:name="_Toc337558822"/>
      <w:bookmarkEnd w:id="950"/>
      <w:bookmarkStart w:id="951" w:name="_Toc532377293"/>
      <w:r>
        <w:rPr>
          <w:rFonts w:hint="eastAsia" w:ascii="宋体" w:hAnsi="宋体" w:eastAsia="宋体" w:cs="宋体"/>
          <w:b/>
          <w:bCs/>
          <w:kern w:val="0"/>
          <w:sz w:val="21"/>
          <w:szCs w:val="21"/>
        </w:rPr>
        <w:t>16.2 承包人违约</w:t>
      </w:r>
      <w:bookmarkEnd w:id="951"/>
    </w:p>
    <w:p w14:paraId="6D51168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16.2.1 承包人违约的情形</w:t>
      </w:r>
    </w:p>
    <w:p w14:paraId="787DC92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在合同履行过程中发生的下列情形，属于承包人违约：</w:t>
      </w:r>
    </w:p>
    <w:p w14:paraId="29130A6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（1）承包人违反合同约定进行转包或违法分包的；</w:t>
      </w:r>
    </w:p>
    <w:p w14:paraId="08474A1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（2）承包人违反合同约定采购和使用不合格的材料和工程设备的；</w:t>
      </w:r>
    </w:p>
    <w:p w14:paraId="038DBFB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（3）因承包人原因导致工程质量不符合合同要求的； </w:t>
      </w:r>
    </w:p>
    <w:p w14:paraId="40B231B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（4）承包人违反第8.9款〔材料与设备专用要求〕的约定，未经批准，私自将已按照合同约定进入施工现场的材料或设备撤离施工现场的；</w:t>
      </w:r>
    </w:p>
    <w:p w14:paraId="5D0862E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（5）承包人未能按施工进度计划及时完成合同约定的工作，造成工期延误的；</w:t>
      </w:r>
    </w:p>
    <w:p w14:paraId="0529810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（6）承包人在缺陷责任期及保修期内，未能在合理期限对工程缺陷进行修复，或拒绝按发包人要求进行修复的；</w:t>
      </w:r>
    </w:p>
    <w:p w14:paraId="0E18AFB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（7）承包人明确表示或者以其行为表明不履行合同主要义务的；</w:t>
      </w:r>
    </w:p>
    <w:p w14:paraId="0080DE3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（8）承包人未能按照合同约定履行其他义务的。</w:t>
      </w:r>
    </w:p>
    <w:p w14:paraId="244071C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承包人发生除本项第（7）目约定以外的其他违约情况时，监理人可向承包人发出整改通知，要求其在指定的期限内改正。</w:t>
      </w:r>
    </w:p>
    <w:p w14:paraId="1DC7431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16.2.2 承包人违约的责任</w:t>
      </w:r>
    </w:p>
    <w:p w14:paraId="1D74A09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承包人应承担因其违约行为而增加的费用和（或）延误的工期。此外，合同当事人可在专用合同条款中另行约定承包人违约责任的承担方式和计算方法。</w:t>
      </w:r>
    </w:p>
    <w:p w14:paraId="2B7B2CE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16.2.3 因承包人违约解除合同</w:t>
      </w:r>
    </w:p>
    <w:p w14:paraId="2BD54F4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4E3F0FB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16.2.4因承包人违约解除合同后的处理</w:t>
      </w:r>
    </w:p>
    <w:p w14:paraId="34D2FBA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因承包人原因导致合同解除的，则合同当事人应在合同解除后28天内完成估价、付款和清算，并按以下约定执行：</w:t>
      </w:r>
    </w:p>
    <w:p w14:paraId="7165623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（1）合同解除后，按第4.4款〔商定或确定〕商定或确定承包人实际完成工作对应的合同价款，以及承包人已提供的材料、工程设备、施工设备和临时工程等的价值；</w:t>
      </w:r>
    </w:p>
    <w:p w14:paraId="231D68D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（2）合同解除后，承包人应支付的违约金；</w:t>
      </w:r>
    </w:p>
    <w:p w14:paraId="7255873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（3）合同解除后，因解除合同给发包人造成的损失；</w:t>
      </w:r>
    </w:p>
    <w:p w14:paraId="62D0995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（4）合同解除后，承包人应按照发包人要求和监理人的指示完成现场的清理和撤离；</w:t>
      </w:r>
    </w:p>
    <w:p w14:paraId="594C854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（5）发包人和承包人应在合同解除后进行清算，出具最终结清付款证书，结清全部款项。</w:t>
      </w:r>
    </w:p>
    <w:p w14:paraId="3C05DAC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因承包人违约解除合同的，发包人有权暂停对承包人的付款，查清各项付款和已扣款项。发包人和承包人未能就合同解除后的清算和款项支付达成一致的，按照第20条〔争议解决〕的约定处理。</w:t>
      </w:r>
    </w:p>
    <w:p w14:paraId="240E118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16.2.5采购合同权益转让</w:t>
      </w:r>
    </w:p>
    <w:p w14:paraId="27099B3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7CC54584">
      <w:pPr>
        <w:widowControl/>
        <w:spacing w:line="360" w:lineRule="auto"/>
        <w:jc w:val="left"/>
        <w:outlineLvl w:val="4"/>
        <w:rPr>
          <w:rFonts w:ascii="宋体" w:hAnsi="宋体" w:eastAsia="宋体" w:cs="宋体"/>
          <w:b/>
          <w:bCs/>
          <w:kern w:val="0"/>
          <w:sz w:val="21"/>
          <w:szCs w:val="21"/>
        </w:rPr>
      </w:pPr>
      <w:bookmarkStart w:id="952" w:name="_Toc532377294"/>
      <w:bookmarkEnd w:id="952"/>
      <w:bookmarkStart w:id="953" w:name="_Toc351203606"/>
      <w:r>
        <w:rPr>
          <w:rFonts w:hint="eastAsia" w:ascii="宋体" w:hAnsi="宋体" w:eastAsia="宋体" w:cs="宋体"/>
          <w:b/>
          <w:bCs/>
          <w:kern w:val="0"/>
          <w:sz w:val="21"/>
          <w:szCs w:val="21"/>
        </w:rPr>
        <w:t>16.3 第三人造成的违约</w:t>
      </w:r>
      <w:bookmarkEnd w:id="953"/>
    </w:p>
    <w:p w14:paraId="633C521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在履行合同过程中，一方当事人因第三人的原因造成违约的，应当向对方当事人承担违约责任。一方当事人和第三人之间的纠纷，依照法律规定或者按照约定解决。</w:t>
      </w:r>
    </w:p>
    <w:p w14:paraId="1E7AD64D">
      <w:pPr>
        <w:keepNext/>
        <w:keepLines/>
        <w:spacing w:before="156" w:beforeLines="50" w:after="156" w:afterLines="50" w:line="360" w:lineRule="auto"/>
        <w:outlineLvl w:val="3"/>
        <w:rPr>
          <w:rFonts w:ascii="宋体" w:hAnsi="宋体" w:eastAsia="宋体" w:cs="宋体"/>
          <w:b/>
          <w:sz w:val="21"/>
          <w:szCs w:val="21"/>
        </w:rPr>
      </w:pPr>
      <w:bookmarkStart w:id="954" w:name="_Toc532375603"/>
      <w:bookmarkEnd w:id="954"/>
      <w:bookmarkStart w:id="955" w:name="_Toc351203607"/>
      <w:bookmarkEnd w:id="955"/>
      <w:bookmarkStart w:id="956" w:name="_Toc532377295"/>
      <w:bookmarkEnd w:id="956"/>
      <w:bookmarkStart w:id="957" w:name="_Toc296346617"/>
      <w:bookmarkEnd w:id="957"/>
      <w:bookmarkStart w:id="958" w:name="_Toc296503116"/>
      <w:bookmarkEnd w:id="958"/>
      <w:bookmarkStart w:id="959" w:name="_Toc337558823"/>
      <w:r>
        <w:rPr>
          <w:rFonts w:hint="eastAsia" w:ascii="宋体" w:hAnsi="宋体" w:eastAsia="宋体" w:cs="宋体"/>
          <w:b/>
          <w:bCs/>
          <w:sz w:val="21"/>
          <w:szCs w:val="21"/>
        </w:rPr>
        <w:t>17. 不可抗力</w:t>
      </w:r>
      <w:bookmarkEnd w:id="959"/>
    </w:p>
    <w:p w14:paraId="6B02E26B">
      <w:pPr>
        <w:widowControl/>
        <w:spacing w:line="360" w:lineRule="auto"/>
        <w:jc w:val="left"/>
        <w:outlineLvl w:val="4"/>
        <w:rPr>
          <w:rFonts w:ascii="宋体" w:hAnsi="宋体" w:eastAsia="宋体" w:cs="宋体"/>
          <w:b/>
          <w:bCs/>
          <w:kern w:val="0"/>
          <w:sz w:val="21"/>
          <w:szCs w:val="21"/>
        </w:rPr>
      </w:pPr>
      <w:bookmarkStart w:id="960" w:name="_Toc296503117"/>
      <w:bookmarkEnd w:id="960"/>
      <w:bookmarkStart w:id="961" w:name="_Toc351203608"/>
      <w:bookmarkEnd w:id="961"/>
      <w:bookmarkStart w:id="962" w:name="_Toc296346618"/>
      <w:bookmarkEnd w:id="962"/>
      <w:bookmarkStart w:id="963" w:name="_Toc532377296"/>
      <w:bookmarkEnd w:id="963"/>
      <w:bookmarkStart w:id="964" w:name="_Toc337558824"/>
      <w:r>
        <w:rPr>
          <w:rFonts w:hint="eastAsia" w:ascii="宋体" w:hAnsi="宋体" w:eastAsia="宋体" w:cs="宋体"/>
          <w:b/>
          <w:bCs/>
          <w:kern w:val="0"/>
          <w:sz w:val="21"/>
          <w:szCs w:val="21"/>
        </w:rPr>
        <w:t>17.1 不可抗力的确认</w:t>
      </w:r>
      <w:bookmarkEnd w:id="964"/>
    </w:p>
    <w:p w14:paraId="132C837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600D87A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741FE5F6">
      <w:pPr>
        <w:widowControl/>
        <w:spacing w:line="360" w:lineRule="auto"/>
        <w:jc w:val="left"/>
        <w:outlineLvl w:val="4"/>
        <w:rPr>
          <w:rFonts w:ascii="宋体" w:hAnsi="宋体" w:eastAsia="宋体" w:cs="宋体"/>
          <w:b/>
          <w:bCs/>
          <w:kern w:val="0"/>
          <w:sz w:val="21"/>
          <w:szCs w:val="21"/>
        </w:rPr>
      </w:pPr>
      <w:bookmarkStart w:id="965" w:name="_Toc296346619"/>
      <w:bookmarkEnd w:id="965"/>
      <w:bookmarkStart w:id="966" w:name="_Toc532377297"/>
      <w:bookmarkEnd w:id="966"/>
      <w:bookmarkStart w:id="967" w:name="_Toc337558825"/>
      <w:bookmarkEnd w:id="967"/>
      <w:bookmarkStart w:id="968" w:name="_Toc296503118"/>
      <w:bookmarkEnd w:id="968"/>
      <w:bookmarkStart w:id="969" w:name="_Toc351203609"/>
      <w:r>
        <w:rPr>
          <w:rFonts w:hint="eastAsia" w:ascii="宋体" w:hAnsi="宋体" w:eastAsia="宋体" w:cs="宋体"/>
          <w:b/>
          <w:bCs/>
          <w:kern w:val="0"/>
          <w:sz w:val="21"/>
          <w:szCs w:val="21"/>
        </w:rPr>
        <w:t>17.2 不可抗力的通知</w:t>
      </w:r>
      <w:bookmarkEnd w:id="969"/>
    </w:p>
    <w:p w14:paraId="4DD81A1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合同一方当事人遇到不可抗力事件，使其履行合同义务受到阻碍时，应立即通知合同另一方当事人和监理人，书面说明不可抗力和受阻碍的详细情况，并提供必要的证明。</w:t>
      </w:r>
    </w:p>
    <w:p w14:paraId="2D55F76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不可抗力持续发生的，合同一方当事人应及时向合同另一方当事人和监理人提交中间报告，说明不可抗力和履行合同受阻的情况，并于不可抗力事件结束后28天内提交最终报告及有关资料。</w:t>
      </w:r>
    </w:p>
    <w:p w14:paraId="270E170A">
      <w:pPr>
        <w:widowControl/>
        <w:spacing w:line="360" w:lineRule="auto"/>
        <w:jc w:val="left"/>
        <w:outlineLvl w:val="4"/>
        <w:rPr>
          <w:rFonts w:ascii="宋体" w:hAnsi="宋体" w:eastAsia="宋体" w:cs="宋体"/>
          <w:b/>
          <w:bCs/>
          <w:kern w:val="0"/>
          <w:sz w:val="21"/>
          <w:szCs w:val="21"/>
        </w:rPr>
      </w:pPr>
      <w:bookmarkStart w:id="970" w:name="_Toc532377298"/>
      <w:bookmarkEnd w:id="970"/>
      <w:r>
        <w:rPr>
          <w:rFonts w:hint="eastAsia" w:ascii="宋体" w:hAnsi="宋体" w:eastAsia="宋体" w:cs="宋体"/>
          <w:b/>
          <w:bCs/>
          <w:kern w:val="0"/>
          <w:sz w:val="21"/>
          <w:szCs w:val="21"/>
        </w:rPr>
        <w:t>17.3 不可抗力后果的承担</w:t>
      </w:r>
    </w:p>
    <w:p w14:paraId="15F85F8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17.3.1 不可抗力引起的后果及造成的损失由合同当事人按照法律规定及合同约定各自承担。不可抗力发生前已完成的工程应当按照合同约定进行计量支付。</w:t>
      </w:r>
    </w:p>
    <w:p w14:paraId="20FBBEC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17.3.2 不可抗力导致的人员伤亡、财产损失、费用增加和（或）工期延误等后果，由合同当事人按以下原则承担：</w:t>
      </w:r>
    </w:p>
    <w:p w14:paraId="7ABB856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（1）永久工程、已运至施工现场的材料和工程设备的损坏，以及因工程损坏造成的第三人人员伤亡和财产损失由发包人承担；</w:t>
      </w:r>
    </w:p>
    <w:p w14:paraId="1351BF6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（2）承包人施工设备的损坏由承包人承担；</w:t>
      </w:r>
    </w:p>
    <w:p w14:paraId="2EB23FA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（3）发包人和承包人承担各自人员伤亡和财产的损失；</w:t>
      </w:r>
    </w:p>
    <w:p w14:paraId="28EC87C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14:paraId="77704CC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（5）因不可抗力引起或将引起工期延误，发包人要求赶工的，由此增加的赶工费用由发包人承担；</w:t>
      </w:r>
    </w:p>
    <w:p w14:paraId="42558D0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（6）承包人在停工期间按照发包人要求照管、清理和修复工程的费用由发包人承担。</w:t>
      </w:r>
    </w:p>
    <w:p w14:paraId="631BC4D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不可抗力发生后，合同当事人均应采取措施尽量避免和减少损失的扩大，任何一方当事人没有采取有效措施导致损失扩大的，应对扩大的损失承担责任。</w:t>
      </w:r>
    </w:p>
    <w:p w14:paraId="1AC3A4D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因合同一方迟延履行合同义务，在迟延履行期间遭遇不可抗力的，不免除其违约责任。</w:t>
      </w:r>
    </w:p>
    <w:p w14:paraId="7DF03FA9">
      <w:pPr>
        <w:widowControl/>
        <w:spacing w:line="360" w:lineRule="auto"/>
        <w:jc w:val="left"/>
        <w:outlineLvl w:val="4"/>
        <w:rPr>
          <w:rFonts w:ascii="宋体" w:hAnsi="宋体" w:eastAsia="宋体" w:cs="宋体"/>
          <w:b/>
          <w:bCs/>
          <w:kern w:val="0"/>
          <w:sz w:val="21"/>
          <w:szCs w:val="21"/>
        </w:rPr>
      </w:pPr>
      <w:bookmarkStart w:id="971" w:name="_Toc337558827"/>
      <w:bookmarkEnd w:id="971"/>
      <w:bookmarkStart w:id="972" w:name="_Toc351203611"/>
      <w:bookmarkEnd w:id="972"/>
      <w:bookmarkStart w:id="973" w:name="_Toc532377299"/>
      <w:r>
        <w:rPr>
          <w:rFonts w:hint="eastAsia" w:ascii="宋体" w:hAnsi="宋体" w:eastAsia="宋体" w:cs="宋体"/>
          <w:b/>
          <w:bCs/>
          <w:kern w:val="0"/>
          <w:sz w:val="21"/>
          <w:szCs w:val="21"/>
        </w:rPr>
        <w:t>17.4 因不可抗力解除合同</w:t>
      </w:r>
      <w:bookmarkEnd w:id="973"/>
    </w:p>
    <w:p w14:paraId="4B2E20A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因不可抗力导致合同无法履行连续超过84天或累计超过140天的，发包人和承包人均有权解除合同。合同解除后，由双方当事人按照第4.4款〔商定或确定〕商定或确定发包人应支付的款项，该款项包括：</w:t>
      </w:r>
    </w:p>
    <w:p w14:paraId="1CB27E3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（1）合同解除前承包人已完成工作的价款；</w:t>
      </w:r>
    </w:p>
    <w:p w14:paraId="38A2780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（2）承包人为工程订购的并已交付给承包人，或承包人有责任接受交付的材料、工程设备和其他物品的价款；</w:t>
      </w:r>
    </w:p>
    <w:p w14:paraId="112D6C9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（3）发包人要求承包人退货或解除订货合同而产生的费用，或因不能退货或解除合同而产生的损失；</w:t>
      </w:r>
    </w:p>
    <w:p w14:paraId="1101088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（4）承包人撤离施工现场以及遣散承包人人员的费用；</w:t>
      </w:r>
    </w:p>
    <w:p w14:paraId="592760B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（5）按照合同约定在合同解除前应支付给承包人的其他款项；</w:t>
      </w:r>
    </w:p>
    <w:p w14:paraId="30980D2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（6）扣减承包人按照合同约定应向发包人支付的款项；</w:t>
      </w:r>
    </w:p>
    <w:p w14:paraId="31712ED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（7）双方商定或确定的其他款项。</w:t>
      </w:r>
    </w:p>
    <w:p w14:paraId="43B3DBD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除专用合同条款另有约定外，合同解除后，发包人应在商定或确定上述款项后28天内完成上述款项的支付。</w:t>
      </w:r>
    </w:p>
    <w:p w14:paraId="0F732F90">
      <w:pPr>
        <w:keepNext/>
        <w:keepLines/>
        <w:spacing w:before="156" w:beforeLines="50" w:after="156" w:afterLines="50" w:line="360" w:lineRule="auto"/>
        <w:outlineLvl w:val="3"/>
        <w:rPr>
          <w:rFonts w:ascii="宋体" w:hAnsi="宋体" w:eastAsia="宋体" w:cs="宋体"/>
          <w:b/>
          <w:sz w:val="21"/>
          <w:szCs w:val="21"/>
        </w:rPr>
      </w:pPr>
      <w:bookmarkStart w:id="974" w:name="_Toc532377300"/>
      <w:bookmarkEnd w:id="974"/>
      <w:bookmarkStart w:id="975" w:name="_Toc296346621"/>
      <w:bookmarkEnd w:id="975"/>
      <w:bookmarkStart w:id="976" w:name="_Toc532375604"/>
      <w:bookmarkEnd w:id="976"/>
      <w:bookmarkStart w:id="977" w:name="_Toc351203612"/>
      <w:bookmarkEnd w:id="977"/>
      <w:bookmarkStart w:id="978" w:name="_Toc337558828"/>
      <w:bookmarkEnd w:id="978"/>
      <w:bookmarkStart w:id="979" w:name="_Toc296503120"/>
      <w:r>
        <w:rPr>
          <w:rFonts w:hint="eastAsia" w:ascii="宋体" w:hAnsi="宋体" w:eastAsia="宋体" w:cs="宋体"/>
          <w:b/>
          <w:bCs/>
          <w:sz w:val="21"/>
          <w:szCs w:val="21"/>
        </w:rPr>
        <w:t>18. 保险</w:t>
      </w:r>
      <w:bookmarkEnd w:id="979"/>
    </w:p>
    <w:p w14:paraId="677952CF">
      <w:pPr>
        <w:widowControl/>
        <w:spacing w:line="360" w:lineRule="auto"/>
        <w:jc w:val="left"/>
        <w:outlineLvl w:val="4"/>
        <w:rPr>
          <w:rFonts w:ascii="宋体" w:hAnsi="宋体" w:eastAsia="宋体" w:cs="宋体"/>
          <w:b/>
          <w:bCs/>
          <w:kern w:val="0"/>
          <w:sz w:val="21"/>
          <w:szCs w:val="21"/>
        </w:rPr>
      </w:pPr>
      <w:bookmarkStart w:id="980" w:name="_Toc532377301"/>
      <w:bookmarkEnd w:id="980"/>
      <w:bookmarkStart w:id="981" w:name="_Toc351203613"/>
      <w:bookmarkEnd w:id="981"/>
      <w:bookmarkStart w:id="982" w:name="_Toc296346622"/>
      <w:bookmarkEnd w:id="982"/>
      <w:bookmarkStart w:id="983" w:name="_Toc337558829"/>
      <w:bookmarkEnd w:id="983"/>
      <w:bookmarkStart w:id="984" w:name="_Toc296503121"/>
      <w:r>
        <w:rPr>
          <w:rFonts w:hint="eastAsia" w:ascii="宋体" w:hAnsi="宋体" w:eastAsia="宋体" w:cs="宋体"/>
          <w:b/>
          <w:bCs/>
          <w:kern w:val="0"/>
          <w:sz w:val="21"/>
          <w:szCs w:val="21"/>
        </w:rPr>
        <w:t>18.1 工程保险</w:t>
      </w:r>
      <w:bookmarkEnd w:id="984"/>
    </w:p>
    <w:p w14:paraId="50F6E8A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除专用合同条款另有约定外，发包人应投保建筑工程一切险或安装工程一切险；发包人委托承包人投保的，因投保产生的保险费和其他相关费用由发包人承担。</w:t>
      </w:r>
    </w:p>
    <w:p w14:paraId="7CDCE607">
      <w:pPr>
        <w:widowControl/>
        <w:spacing w:line="360" w:lineRule="auto"/>
        <w:jc w:val="left"/>
        <w:outlineLvl w:val="4"/>
        <w:rPr>
          <w:rFonts w:ascii="宋体" w:hAnsi="宋体" w:eastAsia="宋体" w:cs="宋体"/>
          <w:b/>
          <w:bCs/>
          <w:kern w:val="0"/>
          <w:sz w:val="21"/>
          <w:szCs w:val="21"/>
        </w:rPr>
      </w:pPr>
      <w:bookmarkStart w:id="985" w:name="_Toc532377302"/>
      <w:bookmarkEnd w:id="985"/>
      <w:bookmarkStart w:id="986" w:name="_Toc351203614"/>
      <w:bookmarkEnd w:id="986"/>
      <w:bookmarkStart w:id="987" w:name="_Toc337558830"/>
      <w:bookmarkEnd w:id="987"/>
      <w:bookmarkStart w:id="988" w:name="_Toc296503122"/>
      <w:bookmarkEnd w:id="988"/>
      <w:bookmarkStart w:id="989" w:name="_Toc296346623"/>
      <w:r>
        <w:rPr>
          <w:rFonts w:hint="eastAsia" w:ascii="宋体" w:hAnsi="宋体" w:eastAsia="宋体" w:cs="宋体"/>
          <w:b/>
          <w:bCs/>
          <w:kern w:val="0"/>
          <w:sz w:val="21"/>
          <w:szCs w:val="21"/>
        </w:rPr>
        <w:t>18.2 工伤保险</w:t>
      </w:r>
      <w:bookmarkEnd w:id="989"/>
    </w:p>
    <w:p w14:paraId="7FA851C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18.2.1 发包人应依照法律规定参加工伤保险，并为在施工现场的全部员工办理工伤保险，缴纳工伤保险费，并要求监理人及由发包人为履行合同聘请的第三方依法参加工伤保险。</w:t>
      </w:r>
    </w:p>
    <w:p w14:paraId="4A9CF70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18.2.2 承包人应依照法律规定参加工伤保险，并为其履行合同的全部员工办理工伤保险，缴纳工伤保险费，并要求分包人及由承包人为履行合同聘请的第三方依法参加工伤保险。</w:t>
      </w:r>
    </w:p>
    <w:p w14:paraId="0D97C72F">
      <w:pPr>
        <w:widowControl/>
        <w:spacing w:line="360" w:lineRule="auto"/>
        <w:jc w:val="left"/>
        <w:outlineLvl w:val="4"/>
        <w:rPr>
          <w:rFonts w:ascii="宋体" w:hAnsi="宋体" w:eastAsia="宋体" w:cs="宋体"/>
          <w:b/>
          <w:bCs/>
          <w:kern w:val="0"/>
          <w:sz w:val="21"/>
          <w:szCs w:val="21"/>
        </w:rPr>
      </w:pPr>
      <w:bookmarkStart w:id="990" w:name="_Toc296346626"/>
      <w:bookmarkEnd w:id="990"/>
      <w:bookmarkStart w:id="991" w:name="_Toc296503125"/>
      <w:bookmarkEnd w:id="991"/>
      <w:bookmarkStart w:id="992" w:name="_Toc337558831"/>
      <w:bookmarkEnd w:id="992"/>
      <w:bookmarkStart w:id="993" w:name="_Toc351203615"/>
      <w:bookmarkEnd w:id="993"/>
      <w:bookmarkStart w:id="994" w:name="_Toc532377303"/>
      <w:r>
        <w:rPr>
          <w:rFonts w:hint="eastAsia" w:ascii="宋体" w:hAnsi="宋体" w:eastAsia="宋体" w:cs="宋体"/>
          <w:b/>
          <w:bCs/>
          <w:kern w:val="0"/>
          <w:sz w:val="21"/>
          <w:szCs w:val="21"/>
        </w:rPr>
        <w:t>18.3其他保险</w:t>
      </w:r>
      <w:bookmarkEnd w:id="994"/>
    </w:p>
    <w:p w14:paraId="17006B7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发包人和承包人可以为其施工现场的全部人员办理意外伤害保险并支付保险费，包括其员工及为履行合同聘请的第三方的人员，具体事项由合同当事人在专用合同条款约定。</w:t>
      </w:r>
    </w:p>
    <w:p w14:paraId="679A1DF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除专用合同条款另有约定外，承包人应为其施工设备等办理财产保险。</w:t>
      </w:r>
    </w:p>
    <w:p w14:paraId="2046A2F2">
      <w:pPr>
        <w:widowControl/>
        <w:spacing w:line="360" w:lineRule="auto"/>
        <w:jc w:val="left"/>
        <w:outlineLvl w:val="4"/>
        <w:rPr>
          <w:rFonts w:ascii="宋体" w:hAnsi="宋体" w:eastAsia="宋体" w:cs="宋体"/>
          <w:b/>
          <w:bCs/>
          <w:kern w:val="0"/>
          <w:sz w:val="21"/>
          <w:szCs w:val="21"/>
        </w:rPr>
      </w:pPr>
      <w:bookmarkStart w:id="995" w:name="_Toc351203616"/>
      <w:bookmarkEnd w:id="995"/>
      <w:bookmarkStart w:id="996" w:name="_Toc532377304"/>
      <w:r>
        <w:rPr>
          <w:rFonts w:hint="eastAsia" w:ascii="宋体" w:hAnsi="宋体" w:eastAsia="宋体" w:cs="宋体"/>
          <w:b/>
          <w:bCs/>
          <w:kern w:val="0"/>
          <w:sz w:val="21"/>
          <w:szCs w:val="21"/>
        </w:rPr>
        <w:t>18.4持续保险</w:t>
      </w:r>
      <w:bookmarkEnd w:id="996"/>
    </w:p>
    <w:p w14:paraId="38351DD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合同当事人应与保险人保持联系，使保险人能够随时了解工程实施中的变动，并确保按保险合同条款要求持续保险。</w:t>
      </w:r>
    </w:p>
    <w:p w14:paraId="60B4E20E">
      <w:pPr>
        <w:widowControl/>
        <w:spacing w:line="360" w:lineRule="auto"/>
        <w:jc w:val="left"/>
        <w:outlineLvl w:val="4"/>
        <w:rPr>
          <w:rFonts w:ascii="宋体" w:hAnsi="宋体" w:eastAsia="宋体" w:cs="宋体"/>
          <w:b/>
          <w:bCs/>
          <w:kern w:val="0"/>
          <w:sz w:val="21"/>
          <w:szCs w:val="21"/>
        </w:rPr>
      </w:pPr>
      <w:bookmarkStart w:id="997" w:name="_Toc337558832"/>
      <w:bookmarkEnd w:id="997"/>
      <w:bookmarkStart w:id="998" w:name="_Toc532377305"/>
      <w:bookmarkEnd w:id="998"/>
      <w:bookmarkStart w:id="999" w:name="_Toc296503126"/>
      <w:bookmarkEnd w:id="999"/>
      <w:bookmarkStart w:id="1000" w:name="_Toc351203617"/>
      <w:bookmarkEnd w:id="1000"/>
      <w:bookmarkStart w:id="1001" w:name="_Toc296346627"/>
      <w:r>
        <w:rPr>
          <w:rFonts w:hint="eastAsia" w:ascii="宋体" w:hAnsi="宋体" w:eastAsia="宋体" w:cs="宋体"/>
          <w:b/>
          <w:bCs/>
          <w:kern w:val="0"/>
          <w:sz w:val="21"/>
          <w:szCs w:val="21"/>
        </w:rPr>
        <w:t>18.5 保险凭证</w:t>
      </w:r>
      <w:bookmarkEnd w:id="1001"/>
    </w:p>
    <w:p w14:paraId="4B02312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合同当事人应及时向另一方当事人提交其已投保的各项保险的凭证和保险单复印件。</w:t>
      </w:r>
    </w:p>
    <w:p w14:paraId="212CE4BA">
      <w:pPr>
        <w:widowControl/>
        <w:spacing w:line="360" w:lineRule="auto"/>
        <w:jc w:val="left"/>
        <w:outlineLvl w:val="4"/>
        <w:rPr>
          <w:rFonts w:ascii="宋体" w:hAnsi="宋体" w:eastAsia="宋体" w:cs="宋体"/>
          <w:b/>
          <w:bCs/>
          <w:kern w:val="0"/>
          <w:sz w:val="21"/>
          <w:szCs w:val="21"/>
        </w:rPr>
      </w:pPr>
      <w:bookmarkStart w:id="1002" w:name="_Toc532377306"/>
      <w:bookmarkEnd w:id="1002"/>
      <w:bookmarkStart w:id="1003" w:name="_Toc337558833"/>
      <w:bookmarkEnd w:id="1003"/>
      <w:bookmarkStart w:id="1004" w:name="_Toc351203618"/>
      <w:bookmarkEnd w:id="1004"/>
      <w:bookmarkStart w:id="1005" w:name="_Toc296346628"/>
      <w:bookmarkEnd w:id="1005"/>
      <w:bookmarkStart w:id="1006" w:name="_Toc296503127"/>
      <w:r>
        <w:rPr>
          <w:rFonts w:hint="eastAsia" w:ascii="宋体" w:hAnsi="宋体" w:eastAsia="宋体" w:cs="宋体"/>
          <w:b/>
          <w:bCs/>
          <w:kern w:val="0"/>
          <w:sz w:val="21"/>
          <w:szCs w:val="21"/>
        </w:rPr>
        <w:t>18.6 未按约定投保的补救</w:t>
      </w:r>
      <w:bookmarkEnd w:id="1006"/>
    </w:p>
    <w:p w14:paraId="38926B0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18.6.1发包人未按合同约定办理保险，或未能使保险持续有效的，则承包人可代为办理，所需费用由发包人承担。发包人未按合同约定办理保险，导致未能得到足额赔偿的，由发包人负责补足。</w:t>
      </w:r>
    </w:p>
    <w:p w14:paraId="0849F4D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18.6.2承包人未按合同约定办理保险，或未能使保险持续有效的，则发包人可代为办理，所需费用由承包人承担。承包人未按合同约定办理保险，导致未能得到足额赔偿的，由承包人负责补足。</w:t>
      </w:r>
    </w:p>
    <w:p w14:paraId="42BAFE99">
      <w:pPr>
        <w:widowControl/>
        <w:spacing w:line="360" w:lineRule="auto"/>
        <w:jc w:val="left"/>
        <w:outlineLvl w:val="4"/>
        <w:rPr>
          <w:rFonts w:ascii="宋体" w:hAnsi="宋体" w:eastAsia="宋体" w:cs="宋体"/>
          <w:b/>
          <w:bCs/>
          <w:kern w:val="0"/>
          <w:sz w:val="21"/>
          <w:szCs w:val="21"/>
        </w:rPr>
      </w:pPr>
      <w:bookmarkStart w:id="1007" w:name="_Toc532377307"/>
      <w:bookmarkEnd w:id="1007"/>
      <w:bookmarkStart w:id="1008" w:name="_Toc351203619"/>
      <w:bookmarkEnd w:id="1008"/>
      <w:bookmarkStart w:id="1009" w:name="_Toc337558834"/>
      <w:r>
        <w:rPr>
          <w:rFonts w:hint="eastAsia" w:ascii="宋体" w:hAnsi="宋体" w:eastAsia="宋体" w:cs="宋体"/>
          <w:b/>
          <w:bCs/>
          <w:kern w:val="0"/>
          <w:sz w:val="21"/>
          <w:szCs w:val="21"/>
        </w:rPr>
        <w:t>18.7 通知义务</w:t>
      </w:r>
      <w:bookmarkEnd w:id="1009"/>
    </w:p>
    <w:p w14:paraId="4149859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3A7172E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保险事故发生时，投保人应按照保险合同规定的条件和期限及时向保险人报告。发包人和承包人应当在知道保险事故发生后及时通知对方。</w:t>
      </w:r>
    </w:p>
    <w:p w14:paraId="7AE21BA2">
      <w:pPr>
        <w:keepNext/>
        <w:keepLines/>
        <w:spacing w:before="156" w:beforeLines="50" w:after="156" w:afterLines="50" w:line="360" w:lineRule="auto"/>
        <w:outlineLvl w:val="3"/>
        <w:rPr>
          <w:rFonts w:ascii="宋体" w:hAnsi="宋体" w:eastAsia="宋体" w:cs="宋体"/>
          <w:b/>
          <w:sz w:val="21"/>
          <w:szCs w:val="21"/>
        </w:rPr>
      </w:pPr>
      <w:bookmarkStart w:id="1010" w:name="_Toc532377308"/>
      <w:bookmarkEnd w:id="1010"/>
      <w:bookmarkStart w:id="1011" w:name="_Toc532375605"/>
      <w:r>
        <w:rPr>
          <w:rFonts w:hint="eastAsia" w:ascii="宋体" w:hAnsi="宋体" w:eastAsia="宋体" w:cs="宋体"/>
          <w:b/>
          <w:bCs/>
          <w:sz w:val="21"/>
          <w:szCs w:val="21"/>
        </w:rPr>
        <w:t>19. 索赔</w:t>
      </w:r>
      <w:bookmarkEnd w:id="1011"/>
    </w:p>
    <w:p w14:paraId="71751A66">
      <w:pPr>
        <w:widowControl/>
        <w:spacing w:line="360" w:lineRule="auto"/>
        <w:jc w:val="left"/>
        <w:outlineLvl w:val="4"/>
        <w:rPr>
          <w:rFonts w:ascii="宋体" w:hAnsi="宋体" w:eastAsia="宋体" w:cs="宋体"/>
          <w:b/>
          <w:bCs/>
          <w:kern w:val="0"/>
          <w:sz w:val="21"/>
          <w:szCs w:val="21"/>
        </w:rPr>
      </w:pPr>
      <w:bookmarkStart w:id="1012" w:name="_Toc532377309"/>
      <w:bookmarkEnd w:id="1012"/>
      <w:r>
        <w:rPr>
          <w:rFonts w:hint="eastAsia" w:ascii="宋体" w:hAnsi="宋体" w:eastAsia="宋体" w:cs="宋体"/>
          <w:b/>
          <w:bCs/>
          <w:kern w:val="0"/>
          <w:sz w:val="21"/>
          <w:szCs w:val="21"/>
        </w:rPr>
        <w:t>19.1承包人的索赔</w:t>
      </w:r>
    </w:p>
    <w:p w14:paraId="4D650FF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根据合同约定，承包人认为有权得到追加付款和（或）延长工期的，应按以下程序向发包人提出索赔：</w:t>
      </w:r>
    </w:p>
    <w:p w14:paraId="57D9C93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31922EC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（2）承包人应在发出索赔意向通知书后28天内，向监理人正式递交索赔报告；索赔报告应详细说明索赔理由以及要求追加的付款金额和（或）延长的工期，并附必要的记录和证明材料；</w:t>
      </w:r>
    </w:p>
    <w:p w14:paraId="47F7A36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（3）索赔事件具有持续影响的，承包人应按合理时间间隔继续递交延续索赔通知，说明持续影响的实际情况和记录，列出累计的追加付款金额和（或）工期延长天数；</w:t>
      </w:r>
    </w:p>
    <w:p w14:paraId="0BB830D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（4）在索赔事件影响结束后28天内，承包人应向监理人递交最终索赔报告，说明最终要求索赔的追加付款金额和（或）延长的工期，并附必要的记录和证明材料。</w:t>
      </w:r>
    </w:p>
    <w:p w14:paraId="7E89663B">
      <w:pPr>
        <w:snapToGrid w:val="0"/>
        <w:spacing w:line="360" w:lineRule="auto"/>
        <w:jc w:val="left"/>
        <w:rPr>
          <w:rFonts w:ascii="Times New Roman" w:hAnsi="Times New Roman" w:eastAsia="宋体" w:cs="Times New Roman"/>
          <w:sz w:val="21"/>
          <w:szCs w:val="21"/>
        </w:rPr>
      </w:pPr>
      <w:r>
        <w:rPr>
          <w:rFonts w:hint="eastAsia" w:ascii="宋体" w:hAnsi="宋体" w:eastAsia="宋体" w:cs="Times New Roman"/>
          <w:kern w:val="0"/>
          <w:sz w:val="21"/>
          <w:szCs w:val="21"/>
        </w:rPr>
        <w:t>（5）其因政策原因造成的延期、停工、变更、终止，承包人不得向发包人索赔预期利益。</w:t>
      </w:r>
    </w:p>
    <w:p w14:paraId="42DE0712">
      <w:pPr>
        <w:widowControl/>
        <w:spacing w:line="360" w:lineRule="auto"/>
        <w:jc w:val="left"/>
        <w:outlineLvl w:val="4"/>
        <w:rPr>
          <w:rFonts w:ascii="宋体" w:hAnsi="宋体" w:eastAsia="宋体" w:cs="宋体"/>
          <w:b/>
          <w:bCs/>
          <w:kern w:val="0"/>
          <w:sz w:val="21"/>
          <w:szCs w:val="21"/>
        </w:rPr>
      </w:pPr>
      <w:bookmarkStart w:id="1013" w:name="_Toc532377310"/>
      <w:bookmarkEnd w:id="1013"/>
      <w:bookmarkStart w:id="1014" w:name="_Toc296503142"/>
      <w:bookmarkEnd w:id="1014"/>
      <w:bookmarkStart w:id="1015" w:name="_Toc351203622"/>
      <w:bookmarkEnd w:id="1015"/>
      <w:bookmarkStart w:id="1016" w:name="_Toc296346643"/>
      <w:bookmarkEnd w:id="1016"/>
      <w:bookmarkStart w:id="1017" w:name="_Toc337558837"/>
      <w:r>
        <w:rPr>
          <w:rFonts w:hint="eastAsia" w:ascii="宋体" w:hAnsi="宋体" w:eastAsia="宋体" w:cs="宋体"/>
          <w:b/>
          <w:bCs/>
          <w:kern w:val="0"/>
          <w:sz w:val="21"/>
          <w:szCs w:val="21"/>
        </w:rPr>
        <w:t>19.2 对承包人索赔的处理</w:t>
      </w:r>
      <w:bookmarkEnd w:id="1017"/>
    </w:p>
    <w:p w14:paraId="0166980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对承包人索赔的处理如下：</w:t>
      </w:r>
    </w:p>
    <w:p w14:paraId="0945F2D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（1）监理人应在收到索赔报告后14天内完成审查并报送发包人。监理人对索赔报告存在异议的，有权要求承包人提交全部原始记录副本；</w:t>
      </w:r>
    </w:p>
    <w:p w14:paraId="4E66C4F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（2）发包人应在监理人收到索赔报告或有关索赔的进一步证明材料后的28天内，由监理人向承包人出具经发包人签认的索赔处理结果。发包人逾期答复的，则视为认可承包人的索赔要求；</w:t>
      </w:r>
    </w:p>
    <w:p w14:paraId="2083E04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（3）承包人接受索赔处理结果的，索赔款项在当期进度款中进行支付；承包人不接受索赔处理结果的，按照第20条〔争议解决〕约定处理。</w:t>
      </w:r>
    </w:p>
    <w:p w14:paraId="2D18FA5E">
      <w:pPr>
        <w:widowControl/>
        <w:spacing w:line="360" w:lineRule="auto"/>
        <w:jc w:val="left"/>
        <w:outlineLvl w:val="4"/>
        <w:rPr>
          <w:rFonts w:ascii="宋体" w:hAnsi="宋体" w:eastAsia="宋体" w:cs="宋体"/>
          <w:b/>
          <w:bCs/>
          <w:kern w:val="0"/>
          <w:sz w:val="21"/>
          <w:szCs w:val="21"/>
        </w:rPr>
      </w:pPr>
      <w:bookmarkStart w:id="1018" w:name="_Toc296503143"/>
      <w:bookmarkEnd w:id="1018"/>
      <w:bookmarkStart w:id="1019" w:name="_Toc337558838"/>
      <w:bookmarkEnd w:id="1019"/>
      <w:bookmarkStart w:id="1020" w:name="_Toc351203623"/>
      <w:bookmarkEnd w:id="1020"/>
      <w:bookmarkStart w:id="1021" w:name="_Toc532377311"/>
      <w:bookmarkEnd w:id="1021"/>
      <w:bookmarkStart w:id="1022" w:name="_Toc296346644"/>
      <w:r>
        <w:rPr>
          <w:rFonts w:hint="eastAsia" w:ascii="宋体" w:hAnsi="宋体" w:eastAsia="宋体" w:cs="宋体"/>
          <w:b/>
          <w:bCs/>
          <w:kern w:val="0"/>
          <w:sz w:val="21"/>
          <w:szCs w:val="21"/>
        </w:rPr>
        <w:t>19.3发包人的索赔</w:t>
      </w:r>
      <w:bookmarkEnd w:id="1022"/>
    </w:p>
    <w:p w14:paraId="05E639D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根据合同约定，发包人认为有权得到赔付金额和（或）延长缺陷责任期的，监理人应向承包人发出通知并附有详细的证明。</w:t>
      </w:r>
    </w:p>
    <w:p w14:paraId="53D478D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5BBC13BE">
      <w:pPr>
        <w:widowControl/>
        <w:spacing w:line="360" w:lineRule="auto"/>
        <w:jc w:val="left"/>
        <w:outlineLvl w:val="4"/>
        <w:rPr>
          <w:rFonts w:ascii="宋体" w:hAnsi="宋体" w:eastAsia="宋体" w:cs="宋体"/>
          <w:b/>
          <w:bCs/>
          <w:kern w:val="0"/>
          <w:sz w:val="21"/>
          <w:szCs w:val="21"/>
        </w:rPr>
      </w:pPr>
      <w:bookmarkStart w:id="1023" w:name="_Toc532377312"/>
      <w:bookmarkEnd w:id="1023"/>
      <w:bookmarkStart w:id="1024" w:name="_Toc351203624"/>
      <w:bookmarkEnd w:id="1024"/>
      <w:bookmarkStart w:id="1025" w:name="_Toc296503144"/>
      <w:bookmarkEnd w:id="1025"/>
      <w:bookmarkStart w:id="1026" w:name="_Toc337558839"/>
      <w:bookmarkEnd w:id="1026"/>
      <w:bookmarkStart w:id="1027" w:name="_Toc296346645"/>
      <w:r>
        <w:rPr>
          <w:rFonts w:hint="eastAsia" w:ascii="宋体" w:hAnsi="宋体" w:eastAsia="宋体" w:cs="宋体"/>
          <w:b/>
          <w:bCs/>
          <w:kern w:val="0"/>
          <w:sz w:val="21"/>
          <w:szCs w:val="21"/>
        </w:rPr>
        <w:t>19.4 对发包人索赔的处理</w:t>
      </w:r>
      <w:bookmarkEnd w:id="1027"/>
    </w:p>
    <w:p w14:paraId="02E3EF0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对发包人索赔的处理如下：</w:t>
      </w:r>
    </w:p>
    <w:p w14:paraId="7D4C0DB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（1）承包人收到发包人提交的索赔报告后，应及时审查索赔报告的内容、查验发包人证明材料；</w:t>
      </w:r>
    </w:p>
    <w:p w14:paraId="3234365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（2）承包人应在收到索赔报告或有关索赔的进一步证明材料后28天内，将索赔处理结果答复发包人。如果承包人未在上述期限内作出答复的，则视为对发包人索赔要求的认可；</w:t>
      </w:r>
    </w:p>
    <w:p w14:paraId="72DA024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（3）承包人接受索赔处理结果的，发包人可从应支付给承包人的合同价款中扣除赔付的金额或延长缺陷责任期；发包人不接受索赔处理结果的，按第20条〔争议解决〕约定处理。</w:t>
      </w:r>
    </w:p>
    <w:p w14:paraId="5C42FE7B">
      <w:pPr>
        <w:widowControl/>
        <w:spacing w:line="360" w:lineRule="auto"/>
        <w:jc w:val="left"/>
        <w:outlineLvl w:val="4"/>
        <w:rPr>
          <w:rFonts w:ascii="宋体" w:hAnsi="宋体" w:eastAsia="宋体" w:cs="宋体"/>
          <w:bCs/>
          <w:kern w:val="0"/>
          <w:sz w:val="21"/>
          <w:szCs w:val="21"/>
        </w:rPr>
      </w:pPr>
      <w:bookmarkStart w:id="1028" w:name="_Toc351203625"/>
      <w:bookmarkEnd w:id="1028"/>
      <w:bookmarkStart w:id="1029" w:name="_Toc532377313"/>
      <w:r>
        <w:rPr>
          <w:rFonts w:hint="eastAsia" w:ascii="宋体" w:hAnsi="宋体" w:eastAsia="宋体" w:cs="宋体"/>
          <w:bCs/>
          <w:kern w:val="0"/>
          <w:sz w:val="21"/>
          <w:szCs w:val="21"/>
        </w:rPr>
        <w:t>19.5 提出索赔的期限</w:t>
      </w:r>
      <w:bookmarkEnd w:id="1029"/>
    </w:p>
    <w:p w14:paraId="51F66F0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（1）承包人按第14.2款〔竣工结算审核〕约定接收竣工付款证书后，应被视为已无权再提出在工程接收证书颁发前所发生的任何索赔。</w:t>
      </w:r>
    </w:p>
    <w:p w14:paraId="0475C35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（2）承包人按第14.4款〔最终结清〕提交的最终结清申请单中，只限于提出工程接收证书颁发后发生的索赔。提出索赔的期限自接受最终结清证书时终止。</w:t>
      </w:r>
    </w:p>
    <w:p w14:paraId="7D5D7A18">
      <w:pPr>
        <w:keepNext/>
        <w:keepLines/>
        <w:spacing w:before="156" w:beforeLines="50" w:after="156" w:afterLines="50" w:line="360" w:lineRule="auto"/>
        <w:outlineLvl w:val="3"/>
        <w:rPr>
          <w:rFonts w:ascii="宋体" w:hAnsi="宋体" w:eastAsia="宋体" w:cs="宋体"/>
          <w:b/>
          <w:sz w:val="21"/>
          <w:szCs w:val="21"/>
        </w:rPr>
      </w:pPr>
      <w:bookmarkStart w:id="1030" w:name="_Toc532377314"/>
      <w:bookmarkEnd w:id="1030"/>
      <w:bookmarkStart w:id="1031" w:name="_Toc351203626"/>
      <w:bookmarkEnd w:id="1031"/>
      <w:bookmarkStart w:id="1032" w:name="_Toc532375606"/>
      <w:r>
        <w:rPr>
          <w:rFonts w:hint="eastAsia" w:ascii="宋体" w:hAnsi="宋体" w:eastAsia="宋体" w:cs="宋体"/>
          <w:b/>
          <w:bCs/>
          <w:sz w:val="21"/>
          <w:szCs w:val="21"/>
        </w:rPr>
        <w:t>20</w:t>
      </w:r>
      <w:bookmarkEnd w:id="1032"/>
      <w:bookmarkStart w:id="1033" w:name="_Toc296346647"/>
      <w:bookmarkEnd w:id="1033"/>
      <w:bookmarkStart w:id="1034" w:name="_Toc337558840"/>
      <w:bookmarkEnd w:id="1034"/>
      <w:bookmarkStart w:id="1035" w:name="_Toc296503146"/>
      <w:r>
        <w:rPr>
          <w:rFonts w:hint="eastAsia" w:ascii="宋体" w:hAnsi="宋体" w:eastAsia="宋体" w:cs="宋体"/>
          <w:b/>
          <w:bCs/>
          <w:sz w:val="21"/>
          <w:szCs w:val="21"/>
        </w:rPr>
        <w:t>. 争议解决</w:t>
      </w:r>
      <w:bookmarkEnd w:id="1035"/>
    </w:p>
    <w:p w14:paraId="051FB69E">
      <w:pPr>
        <w:widowControl/>
        <w:spacing w:line="360" w:lineRule="auto"/>
        <w:jc w:val="left"/>
        <w:outlineLvl w:val="4"/>
        <w:rPr>
          <w:rFonts w:ascii="宋体" w:hAnsi="宋体" w:eastAsia="宋体" w:cs="宋体"/>
          <w:b/>
          <w:bCs/>
          <w:kern w:val="0"/>
          <w:sz w:val="21"/>
          <w:szCs w:val="21"/>
        </w:rPr>
      </w:pPr>
      <w:bookmarkStart w:id="1036" w:name="_Toc296346648"/>
      <w:bookmarkEnd w:id="1036"/>
      <w:bookmarkStart w:id="1037" w:name="_Toc532377315"/>
      <w:bookmarkEnd w:id="1037"/>
      <w:bookmarkStart w:id="1038" w:name="_Toc351203627"/>
      <w:bookmarkEnd w:id="1038"/>
      <w:bookmarkStart w:id="1039" w:name="_Toc296503147"/>
      <w:bookmarkEnd w:id="1039"/>
      <w:bookmarkStart w:id="1040" w:name="_Toc337558841"/>
      <w:r>
        <w:rPr>
          <w:rFonts w:hint="eastAsia" w:ascii="宋体" w:hAnsi="宋体" w:eastAsia="宋体" w:cs="宋体"/>
          <w:b/>
          <w:bCs/>
          <w:kern w:val="0"/>
          <w:sz w:val="21"/>
          <w:szCs w:val="21"/>
        </w:rPr>
        <w:t>20.1和解</w:t>
      </w:r>
      <w:bookmarkEnd w:id="1040"/>
    </w:p>
    <w:p w14:paraId="12CDE72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合同当事人可以就争议自行和解，自行和解达成协议的经双方签名并盖章后作为合同补充文件，双方均应遵照执行。</w:t>
      </w:r>
    </w:p>
    <w:p w14:paraId="0DE64439">
      <w:pPr>
        <w:widowControl/>
        <w:spacing w:line="360" w:lineRule="auto"/>
        <w:jc w:val="left"/>
        <w:outlineLvl w:val="4"/>
        <w:rPr>
          <w:rFonts w:ascii="宋体" w:hAnsi="宋体" w:eastAsia="宋体" w:cs="宋体"/>
          <w:b/>
          <w:bCs/>
          <w:kern w:val="0"/>
          <w:sz w:val="21"/>
          <w:szCs w:val="21"/>
        </w:rPr>
      </w:pPr>
      <w:bookmarkStart w:id="1041" w:name="_Toc351203628"/>
      <w:bookmarkEnd w:id="1041"/>
      <w:bookmarkStart w:id="1042" w:name="_Toc532377316"/>
      <w:r>
        <w:rPr>
          <w:rFonts w:hint="eastAsia" w:ascii="宋体" w:hAnsi="宋体" w:eastAsia="宋体" w:cs="宋体"/>
          <w:b/>
          <w:bCs/>
          <w:kern w:val="0"/>
          <w:sz w:val="21"/>
          <w:szCs w:val="21"/>
        </w:rPr>
        <w:t>20</w:t>
      </w:r>
      <w:bookmarkEnd w:id="1042"/>
      <w:bookmarkStart w:id="1043" w:name="_Toc296503148"/>
      <w:bookmarkEnd w:id="1043"/>
      <w:bookmarkStart w:id="1044" w:name="_Toc296346649"/>
      <w:bookmarkEnd w:id="1044"/>
      <w:bookmarkStart w:id="1045" w:name="_Toc337558842"/>
      <w:r>
        <w:rPr>
          <w:rFonts w:hint="eastAsia" w:ascii="宋体" w:hAnsi="宋体" w:eastAsia="宋体" w:cs="宋体"/>
          <w:b/>
          <w:bCs/>
          <w:kern w:val="0"/>
          <w:sz w:val="21"/>
          <w:szCs w:val="21"/>
        </w:rPr>
        <w:t>.2调解</w:t>
      </w:r>
      <w:bookmarkEnd w:id="1045"/>
    </w:p>
    <w:p w14:paraId="6E14832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合同当事人可以就争议请求建设行政主管部门、行业协会或其他第三方进行调解，调解达成协议的，经双方签名并盖章后作为合同补充文件，双方均应遵照执行。</w:t>
      </w:r>
    </w:p>
    <w:p w14:paraId="63AD808F">
      <w:pPr>
        <w:widowControl/>
        <w:spacing w:line="360" w:lineRule="auto"/>
        <w:jc w:val="left"/>
        <w:outlineLvl w:val="4"/>
        <w:rPr>
          <w:rFonts w:ascii="宋体" w:hAnsi="宋体" w:eastAsia="宋体" w:cs="宋体"/>
          <w:b/>
          <w:bCs/>
          <w:kern w:val="0"/>
          <w:sz w:val="21"/>
          <w:szCs w:val="21"/>
        </w:rPr>
      </w:pPr>
      <w:bookmarkStart w:id="1046" w:name="_Toc351203629"/>
      <w:bookmarkEnd w:id="1046"/>
      <w:bookmarkStart w:id="1047" w:name="_Toc532377317"/>
      <w:bookmarkEnd w:id="1047"/>
      <w:bookmarkStart w:id="1048" w:name="_Toc296346650"/>
      <w:bookmarkEnd w:id="1048"/>
      <w:bookmarkStart w:id="1049" w:name="_Toc296503149"/>
      <w:bookmarkEnd w:id="1049"/>
      <w:bookmarkStart w:id="1050" w:name="_Toc337558843"/>
      <w:r>
        <w:rPr>
          <w:rFonts w:hint="eastAsia" w:ascii="宋体" w:hAnsi="宋体" w:eastAsia="宋体" w:cs="宋体"/>
          <w:b/>
          <w:bCs/>
          <w:kern w:val="0"/>
          <w:sz w:val="21"/>
          <w:szCs w:val="21"/>
        </w:rPr>
        <w:t>20.3争议评审</w:t>
      </w:r>
      <w:bookmarkEnd w:id="1050"/>
    </w:p>
    <w:p w14:paraId="066E690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合同当事人在专用合同条款中约定采取争议评审方式解决争议以及评审规则，并按下列约定执行： </w:t>
      </w:r>
    </w:p>
    <w:p w14:paraId="542D63F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20.3.1 争议评审小组的确定</w:t>
      </w:r>
    </w:p>
    <w:p w14:paraId="6C41502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合同当事人可以共同选择一名或三名争议评审员，组成争议评审小组。除专用合同条款另有约定外，合同当事人应当自合同签订后28天内，或者争议发生后14天内，选定争议评审员。</w:t>
      </w:r>
    </w:p>
    <w:p w14:paraId="4501E81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26903C4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除专用合同条款另有约定外，评审员报酬由发包人和承包人各承担一半。</w:t>
      </w:r>
    </w:p>
    <w:p w14:paraId="19E5CFD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20.3.2 争议评审小组的决定</w:t>
      </w:r>
    </w:p>
    <w:p w14:paraId="170DE29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62488F2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20.3.3 争议评审小组决定的效力</w:t>
      </w:r>
    </w:p>
    <w:p w14:paraId="1ADE4E0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争议评审小组作出的书面决定经合同当事人签名确认后，对双方具有约束力，双方应遵照执行。</w:t>
      </w:r>
    </w:p>
    <w:p w14:paraId="5EFE9E2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任何一方当事人不接受争议评审小组决定或不履行争议评审小组决定的，双方可选择采用其他争议解决方式。</w:t>
      </w:r>
    </w:p>
    <w:p w14:paraId="39823908">
      <w:pPr>
        <w:widowControl/>
        <w:spacing w:line="360" w:lineRule="auto"/>
        <w:jc w:val="left"/>
        <w:outlineLvl w:val="4"/>
        <w:rPr>
          <w:rFonts w:ascii="宋体" w:hAnsi="宋体" w:eastAsia="宋体" w:cs="宋体"/>
          <w:b/>
          <w:bCs/>
          <w:kern w:val="0"/>
          <w:sz w:val="21"/>
          <w:szCs w:val="21"/>
        </w:rPr>
      </w:pPr>
      <w:bookmarkStart w:id="1051" w:name="_Toc337558844"/>
      <w:bookmarkEnd w:id="1051"/>
      <w:bookmarkStart w:id="1052" w:name="_Toc296346651"/>
      <w:bookmarkEnd w:id="1052"/>
      <w:bookmarkStart w:id="1053" w:name="_Toc351203630"/>
      <w:bookmarkEnd w:id="1053"/>
      <w:bookmarkStart w:id="1054" w:name="_Toc296503150"/>
      <w:bookmarkEnd w:id="1054"/>
      <w:bookmarkStart w:id="1055" w:name="_Toc532377318"/>
      <w:r>
        <w:rPr>
          <w:rFonts w:hint="eastAsia" w:ascii="宋体" w:hAnsi="宋体" w:eastAsia="宋体" w:cs="宋体"/>
          <w:b/>
          <w:bCs/>
          <w:kern w:val="0"/>
          <w:sz w:val="21"/>
          <w:szCs w:val="21"/>
        </w:rPr>
        <w:t>20.4仲裁或诉讼</w:t>
      </w:r>
      <w:bookmarkEnd w:id="1055"/>
    </w:p>
    <w:p w14:paraId="4DA5BAA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因合同及合同有关事项产生的争议，合同当事人可以在专用合同条款中约定以下一种方式解决争议：</w:t>
      </w:r>
    </w:p>
    <w:p w14:paraId="6B31ECF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（1）向约定的仲裁委员会申请仲裁；</w:t>
      </w:r>
    </w:p>
    <w:p w14:paraId="2D2B331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（2）向有管辖权的人民法院起诉。</w:t>
      </w:r>
    </w:p>
    <w:p w14:paraId="2C0D45AA">
      <w:pPr>
        <w:widowControl/>
        <w:spacing w:line="360" w:lineRule="auto"/>
        <w:jc w:val="left"/>
        <w:outlineLvl w:val="4"/>
        <w:rPr>
          <w:rFonts w:ascii="宋体" w:hAnsi="宋体" w:eastAsia="宋体" w:cs="宋体"/>
          <w:bCs/>
          <w:kern w:val="0"/>
          <w:sz w:val="21"/>
          <w:szCs w:val="21"/>
        </w:rPr>
      </w:pPr>
      <w:bookmarkStart w:id="1056" w:name="_Toc532377319"/>
      <w:bookmarkEnd w:id="1056"/>
      <w:bookmarkStart w:id="1057" w:name="_Toc296503152"/>
      <w:bookmarkEnd w:id="1057"/>
      <w:bookmarkStart w:id="1058" w:name="_Toc337558845"/>
      <w:bookmarkEnd w:id="1058"/>
      <w:bookmarkStart w:id="1059" w:name="_Toc296346653"/>
      <w:bookmarkEnd w:id="1059"/>
      <w:bookmarkStart w:id="1060" w:name="_Toc351203631"/>
      <w:r>
        <w:rPr>
          <w:rFonts w:hint="eastAsia" w:ascii="宋体" w:hAnsi="宋体" w:eastAsia="宋体" w:cs="宋体"/>
          <w:bCs/>
          <w:kern w:val="0"/>
          <w:sz w:val="21"/>
          <w:szCs w:val="21"/>
        </w:rPr>
        <w:t>20.5争议解决条款效力</w:t>
      </w:r>
      <w:bookmarkEnd w:id="1060"/>
    </w:p>
    <w:p w14:paraId="370EFDC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合同有关争议解决的条款独立存在，合同的变更、解除、终止、无效或者被撤销均不影响其效力。</w:t>
      </w:r>
    </w:p>
    <w:p w14:paraId="479D7E0C">
      <w:pPr>
        <w:keepNext/>
        <w:keepLines/>
        <w:snapToGrid w:val="0"/>
        <w:spacing w:before="260" w:after="260" w:line="360" w:lineRule="auto"/>
        <w:outlineLvl w:val="2"/>
        <w:rPr>
          <w:rFonts w:ascii="宋体" w:hAnsi="宋体" w:eastAsia="宋体" w:cs="Times New Roman"/>
          <w:b/>
          <w:bCs/>
          <w:sz w:val="21"/>
          <w:szCs w:val="21"/>
        </w:rPr>
      </w:pPr>
      <w:r>
        <w:rPr>
          <w:rFonts w:hint="eastAsia" w:ascii="宋体" w:hAnsi="宋体" w:eastAsia="宋体" w:cs="Times New Roman"/>
          <w:b/>
          <w:bCs/>
          <w:sz w:val="21"/>
          <w:szCs w:val="21"/>
        </w:rPr>
        <w:br w:type="page"/>
      </w:r>
    </w:p>
    <w:p w14:paraId="07A86A41">
      <w:pPr>
        <w:keepNext/>
        <w:keepLines/>
        <w:spacing w:before="260" w:after="260" w:line="415" w:lineRule="auto"/>
        <w:jc w:val="center"/>
        <w:outlineLvl w:val="2"/>
        <w:rPr>
          <w:rFonts w:ascii="宋体" w:hAnsi="宋体" w:eastAsia="宋体" w:cs="Times New Roman"/>
          <w:b/>
          <w:bCs/>
          <w:sz w:val="21"/>
          <w:szCs w:val="21"/>
        </w:rPr>
      </w:pPr>
      <w:bookmarkStart w:id="1061" w:name="_Toc532377320"/>
      <w:bookmarkEnd w:id="1061"/>
      <w:bookmarkStart w:id="1062" w:name="_Toc529388290"/>
      <w:bookmarkEnd w:id="1062"/>
      <w:bookmarkStart w:id="1063" w:name="_Toc532375607"/>
      <w:bookmarkEnd w:id="1063"/>
      <w:bookmarkStart w:id="1064" w:name="_Toc29664"/>
      <w:bookmarkEnd w:id="1064"/>
      <w:bookmarkStart w:id="1065" w:name="_Toc9869"/>
      <w:bookmarkEnd w:id="1065"/>
      <w:bookmarkStart w:id="1066" w:name="_Toc29602"/>
      <w:r>
        <w:rPr>
          <w:rFonts w:hint="eastAsia" w:ascii="宋体" w:hAnsi="宋体" w:eastAsia="宋体" w:cs="Times New Roman"/>
          <w:b/>
          <w:bCs/>
          <w:sz w:val="21"/>
          <w:szCs w:val="21"/>
        </w:rPr>
        <w:t>第三部分 专用合同条款</w:t>
      </w:r>
      <w:bookmarkEnd w:id="1066"/>
    </w:p>
    <w:p w14:paraId="5D16567B">
      <w:pPr>
        <w:keepNext/>
        <w:keepLines/>
        <w:spacing w:line="360" w:lineRule="auto"/>
        <w:outlineLvl w:val="3"/>
        <w:rPr>
          <w:rFonts w:ascii="宋体" w:hAnsi="宋体" w:eastAsia="宋体" w:cs="宋体"/>
          <w:b/>
          <w:sz w:val="21"/>
          <w:szCs w:val="21"/>
        </w:rPr>
      </w:pPr>
      <w:bookmarkStart w:id="1067" w:name="_Toc532375608"/>
      <w:bookmarkEnd w:id="1067"/>
      <w:bookmarkStart w:id="1068" w:name="baidusnap3"/>
      <w:bookmarkEnd w:id="1068"/>
      <w:bookmarkStart w:id="1069" w:name="_Toc351203652"/>
      <w:bookmarkEnd w:id="1069"/>
      <w:bookmarkStart w:id="1070" w:name="baidusnap7"/>
      <w:bookmarkEnd w:id="1070"/>
      <w:bookmarkStart w:id="1071" w:name="_Toc532377425"/>
      <w:bookmarkEnd w:id="1071"/>
      <w:bookmarkStart w:id="1072" w:name="_Toc351203633"/>
      <w:bookmarkEnd w:id="1072"/>
      <w:bookmarkStart w:id="1073" w:name="_Toc532377321"/>
      <w:bookmarkEnd w:id="1073"/>
      <w:bookmarkStart w:id="1074" w:name="_Toc532375686"/>
      <w:bookmarkEnd w:id="1074"/>
      <w:bookmarkStart w:id="1075" w:name="招标文件05章工程量清单"/>
      <w:bookmarkEnd w:id="1075"/>
      <w:bookmarkStart w:id="1076" w:name="_Hlk528927191"/>
      <w:r>
        <w:rPr>
          <w:rFonts w:hint="eastAsia" w:ascii="宋体" w:hAnsi="宋体" w:eastAsia="宋体" w:cs="宋体"/>
          <w:b/>
          <w:bCs/>
          <w:sz w:val="21"/>
          <w:szCs w:val="21"/>
        </w:rPr>
        <w:t>1</w:t>
      </w:r>
      <w:bookmarkEnd w:id="1076"/>
      <w:bookmarkStart w:id="1077" w:name="_Toc296346657"/>
      <w:bookmarkEnd w:id="1077"/>
      <w:bookmarkStart w:id="1078" w:name="_Toc292559361"/>
      <w:bookmarkEnd w:id="1078"/>
      <w:bookmarkStart w:id="1079" w:name="_Toc296891196"/>
      <w:bookmarkEnd w:id="1079"/>
      <w:bookmarkStart w:id="1080" w:name="_Toc296347155"/>
      <w:bookmarkEnd w:id="1080"/>
      <w:bookmarkStart w:id="1081" w:name="_Toc297120456"/>
      <w:bookmarkEnd w:id="1081"/>
      <w:bookmarkStart w:id="1082" w:name="_Toc296890984"/>
      <w:bookmarkEnd w:id="1082"/>
      <w:bookmarkStart w:id="1083" w:name="_Toc296503156"/>
      <w:bookmarkEnd w:id="1083"/>
      <w:bookmarkStart w:id="1084" w:name="_Toc296944495"/>
      <w:bookmarkEnd w:id="1084"/>
      <w:bookmarkStart w:id="1085" w:name="_Toc297048342"/>
      <w:bookmarkEnd w:id="1085"/>
      <w:bookmarkStart w:id="1086" w:name="_Toc292559866"/>
      <w:r>
        <w:rPr>
          <w:rFonts w:hint="eastAsia" w:ascii="宋体" w:hAnsi="宋体" w:eastAsia="宋体" w:cs="宋体"/>
          <w:b/>
          <w:bCs/>
          <w:sz w:val="21"/>
          <w:szCs w:val="21"/>
        </w:rPr>
        <w:t>. 一般约定</w:t>
      </w:r>
      <w:bookmarkEnd w:id="1086"/>
    </w:p>
    <w:p w14:paraId="7B5592A1">
      <w:pPr>
        <w:widowControl/>
        <w:spacing w:line="360" w:lineRule="auto"/>
        <w:jc w:val="left"/>
        <w:outlineLvl w:val="4"/>
        <w:rPr>
          <w:rFonts w:ascii="宋体" w:hAnsi="宋体" w:eastAsia="宋体" w:cs="宋体"/>
          <w:b/>
          <w:bCs/>
          <w:kern w:val="0"/>
          <w:sz w:val="21"/>
          <w:szCs w:val="21"/>
        </w:rPr>
      </w:pPr>
      <w:bookmarkStart w:id="1087" w:name="_Toc532377322"/>
      <w:bookmarkEnd w:id="1087"/>
      <w:r>
        <w:rPr>
          <w:rFonts w:hint="eastAsia" w:ascii="宋体" w:hAnsi="宋体" w:eastAsia="宋体" w:cs="宋体"/>
          <w:b/>
          <w:bCs/>
          <w:kern w:val="0"/>
          <w:sz w:val="21"/>
          <w:szCs w:val="21"/>
        </w:rPr>
        <w:t>1.1词语定义与解释</w:t>
      </w:r>
    </w:p>
    <w:p w14:paraId="3A738D6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 合同</w:t>
      </w:r>
    </w:p>
    <w:p w14:paraId="3004B2DA">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1.1.1.10 其他合同文件包括：</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16C4D94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1.1.2 合同当事人及其他相关方</w:t>
      </w:r>
    </w:p>
    <w:p w14:paraId="04071BB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1.1.2.4 监理人：</w:t>
      </w:r>
    </w:p>
    <w:p w14:paraId="00A6742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名    称：</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80ACE9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资质类别和等级：</w:t>
      </w:r>
      <w:r>
        <w:rPr>
          <w:rFonts w:hint="eastAsia" w:ascii="宋体" w:hAnsi="宋体" w:eastAsia="宋体" w:cs="Times New Roman"/>
          <w:sz w:val="21"/>
          <w:szCs w:val="21"/>
          <w:u w:val="single"/>
        </w:rPr>
        <w:t></w:t>
      </w:r>
      <w:r>
        <w:rPr>
          <w:rFonts w:hint="eastAsia" w:ascii="宋体" w:hAnsi="宋体" w:eastAsia="宋体" w:cs="Times New Roman"/>
          <w:sz w:val="21"/>
          <w:szCs w:val="21"/>
        </w:rPr>
        <w:t>；</w:t>
      </w:r>
    </w:p>
    <w:p w14:paraId="3C0E001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联系方式：</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CB560B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1.1.2.5 设计人：</w:t>
      </w:r>
    </w:p>
    <w:p w14:paraId="64BE7B3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名    称：</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C79157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资质类别和等级：</w:t>
      </w:r>
      <w:r>
        <w:rPr>
          <w:rFonts w:hint="eastAsia" w:ascii="宋体" w:hAnsi="宋体" w:eastAsia="宋体" w:cs="Times New Roman"/>
          <w:sz w:val="21"/>
          <w:szCs w:val="21"/>
          <w:u w:val="single"/>
        </w:rPr>
        <w:t></w:t>
      </w:r>
      <w:r>
        <w:rPr>
          <w:rFonts w:hint="eastAsia" w:ascii="宋体" w:hAnsi="宋体" w:eastAsia="宋体" w:cs="Times New Roman"/>
          <w:sz w:val="21"/>
          <w:szCs w:val="21"/>
        </w:rPr>
        <w:t>；</w:t>
      </w:r>
    </w:p>
    <w:p w14:paraId="5E94CE2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联系方式：</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D6DC0F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1.1.3 工程和设备</w:t>
      </w:r>
    </w:p>
    <w:p w14:paraId="69E4380C">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1.1.3.7 作为施工现场组成部分的其他场所包括：</w:t>
      </w:r>
      <w:r>
        <w:rPr>
          <w:rFonts w:hint="eastAsia" w:ascii="宋体" w:hAnsi="宋体" w:eastAsia="宋体" w:cs="Times New Roman"/>
          <w:kern w:val="0"/>
          <w:sz w:val="21"/>
          <w:szCs w:val="21"/>
          <w:u w:val="single"/>
        </w:rPr>
        <w:t xml:space="preserve"> 永久占地、临时占地以及为修建临时工程而租用、占用的土地 </w:t>
      </w:r>
      <w:r>
        <w:rPr>
          <w:rFonts w:hint="eastAsia" w:ascii="宋体" w:hAnsi="宋体" w:eastAsia="宋体" w:cs="Times New Roman"/>
          <w:sz w:val="21"/>
          <w:szCs w:val="21"/>
        </w:rPr>
        <w:t>。</w:t>
      </w:r>
    </w:p>
    <w:p w14:paraId="30DB106B">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1.1.3.9 永久占地包括：</w:t>
      </w:r>
      <w:r>
        <w:rPr>
          <w:rFonts w:hint="eastAsia" w:ascii="宋体" w:hAnsi="宋体" w:eastAsia="宋体" w:cs="Times New Roman"/>
          <w:kern w:val="0"/>
          <w:sz w:val="21"/>
          <w:szCs w:val="21"/>
          <w:u w:val="single"/>
        </w:rPr>
        <w:t xml:space="preserve">  为实施合同工程而需要的一切永久占用的土地，即合同工程</w:t>
      </w:r>
      <w:r>
        <w:rPr>
          <w:rFonts w:hint="eastAsia" w:ascii="宋体" w:hAnsi="宋体" w:eastAsia="宋体" w:cs="Times New Roman"/>
          <w:sz w:val="21"/>
          <w:szCs w:val="21"/>
          <w:u w:val="single"/>
        </w:rPr>
        <w:t>用地红线范围内的土地</w:t>
      </w:r>
      <w:r>
        <w:rPr>
          <w:rFonts w:hint="eastAsia" w:ascii="宋体" w:hAnsi="宋体" w:eastAsia="宋体" w:cs="Times New Roman"/>
          <w:kern w:val="0"/>
          <w:sz w:val="21"/>
          <w:szCs w:val="21"/>
          <w:u w:val="single"/>
        </w:rPr>
        <w:t xml:space="preserve"> </w:t>
      </w:r>
      <w:r>
        <w:rPr>
          <w:rFonts w:hint="eastAsia" w:ascii="宋体" w:hAnsi="宋体" w:eastAsia="宋体" w:cs="Times New Roman"/>
          <w:sz w:val="21"/>
          <w:szCs w:val="21"/>
        </w:rPr>
        <w:t>。</w:t>
      </w:r>
    </w:p>
    <w:p w14:paraId="3AF8A8A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1.1.3.10 临时占地包括：</w:t>
      </w:r>
      <w:r>
        <w:rPr>
          <w:rFonts w:hint="eastAsia" w:ascii="宋体" w:hAnsi="宋体" w:eastAsia="宋体" w:cs="Times New Roman"/>
          <w:sz w:val="21"/>
          <w:szCs w:val="21"/>
          <w:u w:val="single"/>
        </w:rPr>
        <w:t xml:space="preserve"> 为实施合同工程而需要</w:t>
      </w:r>
      <w:r>
        <w:rPr>
          <w:rFonts w:hint="eastAsia" w:ascii="宋体" w:hAnsi="宋体" w:eastAsia="宋体" w:cs="Times New Roman"/>
          <w:kern w:val="0"/>
          <w:sz w:val="21"/>
          <w:szCs w:val="21"/>
          <w:u w:val="single"/>
        </w:rPr>
        <w:t>的一切</w:t>
      </w:r>
      <w:r>
        <w:rPr>
          <w:rFonts w:hint="eastAsia" w:ascii="宋体" w:hAnsi="宋体" w:eastAsia="宋体" w:cs="Times New Roman"/>
          <w:sz w:val="21"/>
          <w:szCs w:val="21"/>
          <w:u w:val="single"/>
        </w:rPr>
        <w:t xml:space="preserve">临时占用的土地，包括施工所用的临时便道等的临时出入道，以及生产（办公）、生活等临时设施用地 </w:t>
      </w:r>
      <w:r>
        <w:rPr>
          <w:rFonts w:hint="eastAsia" w:ascii="宋体" w:hAnsi="宋体" w:eastAsia="宋体" w:cs="Times New Roman"/>
          <w:sz w:val="21"/>
          <w:szCs w:val="21"/>
        </w:rPr>
        <w:t>。</w:t>
      </w:r>
    </w:p>
    <w:p w14:paraId="4CBB7AD1">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1.3 法律</w:t>
      </w:r>
    </w:p>
    <w:p w14:paraId="1053FC6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适用于合同的其他规范性文件：</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12742A26">
      <w:pPr>
        <w:widowControl/>
        <w:spacing w:line="360" w:lineRule="auto"/>
        <w:jc w:val="left"/>
        <w:outlineLvl w:val="4"/>
        <w:rPr>
          <w:rFonts w:ascii="宋体" w:hAnsi="宋体" w:eastAsia="宋体" w:cs="宋体"/>
          <w:b/>
          <w:bCs/>
          <w:kern w:val="0"/>
          <w:sz w:val="21"/>
          <w:szCs w:val="21"/>
        </w:rPr>
      </w:pPr>
      <w:bookmarkStart w:id="1088" w:name="_Toc532377323"/>
      <w:bookmarkEnd w:id="1088"/>
      <w:r>
        <w:rPr>
          <w:rFonts w:hint="eastAsia" w:ascii="宋体" w:hAnsi="宋体" w:eastAsia="宋体" w:cs="宋体"/>
          <w:b/>
          <w:bCs/>
          <w:kern w:val="0"/>
          <w:sz w:val="21"/>
          <w:szCs w:val="21"/>
        </w:rPr>
        <w:t>1.4 标准和规范</w:t>
      </w:r>
    </w:p>
    <w:p w14:paraId="71B30C56">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1.4.1 适用于工程的标准规范包括：</w:t>
      </w:r>
      <w:r>
        <w:rPr>
          <w:rFonts w:hint="eastAsia" w:ascii="宋体" w:hAnsi="宋体" w:eastAsia="宋体" w:cs="Times New Roman"/>
          <w:sz w:val="21"/>
          <w:szCs w:val="21"/>
          <w:u w:val="single"/>
        </w:rPr>
        <w:t xml:space="preserve"> （1）施工图所涉及的技术标准、规范、规程、图集等；</w:t>
      </w:r>
    </w:p>
    <w:p w14:paraId="0D290ED2">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（2）国家、行业或重庆市与本工程有关的标准，以及相应的规范、规程等，当这些标准、规范、规程不一致时，以标准、规范、规程要求最高的为准。</w:t>
      </w:r>
    </w:p>
    <w:p w14:paraId="420BE1C5">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（3）</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18D1AB7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1.4.2 发包人提供国外标准、规范的名称：</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u w:val="single"/>
        </w:rPr>
        <w:t xml:space="preserve"> / </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rPr>
        <w:t>；</w:t>
      </w:r>
    </w:p>
    <w:p w14:paraId="3AFA111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发包人提供国外标准、规范的份数：</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u w:val="single"/>
        </w:rPr>
        <w:t xml:space="preserve"> / </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rPr>
        <w:t>；</w:t>
      </w:r>
    </w:p>
    <w:p w14:paraId="7BD2DF2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发包人提供国外标准、规范的名称：</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u w:val="single"/>
        </w:rPr>
        <w:t xml:space="preserve"> / </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rPr>
        <w:t>。</w:t>
      </w:r>
    </w:p>
    <w:p w14:paraId="225CFC9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1.4.3 发包人对工程的技术标准和功能要求的特殊要求：</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u w:val="single"/>
        </w:rPr>
        <w:t xml:space="preserve"> / </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3D7615B5">
      <w:pPr>
        <w:widowControl/>
        <w:spacing w:line="360" w:lineRule="auto"/>
        <w:jc w:val="left"/>
        <w:outlineLvl w:val="4"/>
        <w:rPr>
          <w:rFonts w:ascii="宋体" w:hAnsi="宋体" w:eastAsia="宋体" w:cs="宋体"/>
          <w:b/>
          <w:bCs/>
          <w:kern w:val="0"/>
          <w:sz w:val="21"/>
          <w:szCs w:val="21"/>
        </w:rPr>
      </w:pPr>
      <w:bookmarkStart w:id="1089" w:name="_Toc532377324"/>
      <w:bookmarkEnd w:id="1089"/>
      <w:r>
        <w:rPr>
          <w:rFonts w:hint="eastAsia" w:ascii="宋体" w:hAnsi="宋体" w:eastAsia="宋体" w:cs="宋体"/>
          <w:b/>
          <w:bCs/>
          <w:kern w:val="0"/>
          <w:sz w:val="21"/>
          <w:szCs w:val="21"/>
        </w:rPr>
        <w:t>1.5 合同文件的优先顺序</w:t>
      </w:r>
    </w:p>
    <w:p w14:paraId="6A3B0CA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合同文件组成及优先顺序为：</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329EE47">
      <w:pPr>
        <w:widowControl/>
        <w:spacing w:line="360" w:lineRule="auto"/>
        <w:jc w:val="left"/>
        <w:outlineLvl w:val="4"/>
        <w:rPr>
          <w:rFonts w:ascii="宋体" w:hAnsi="宋体" w:eastAsia="宋体" w:cs="宋体"/>
          <w:b/>
          <w:bCs/>
          <w:kern w:val="0"/>
          <w:sz w:val="21"/>
          <w:szCs w:val="21"/>
        </w:rPr>
      </w:pPr>
      <w:bookmarkStart w:id="1090" w:name="_Toc532377325"/>
      <w:bookmarkEnd w:id="1090"/>
      <w:r>
        <w:rPr>
          <w:rFonts w:hint="eastAsia" w:ascii="宋体" w:hAnsi="宋体" w:eastAsia="宋体" w:cs="宋体"/>
          <w:b/>
          <w:bCs/>
          <w:kern w:val="0"/>
          <w:sz w:val="21"/>
          <w:szCs w:val="21"/>
        </w:rPr>
        <w:t>1.6 图纸和承包人文件</w:t>
      </w:r>
    </w:p>
    <w:p w14:paraId="4DB7762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1.6.1 图纸的提供和交底</w:t>
      </w:r>
    </w:p>
    <w:p w14:paraId="00B2A98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发包人向承包人提供图纸的期限：</w:t>
      </w:r>
      <w:r>
        <w:rPr>
          <w:rFonts w:hint="eastAsia" w:ascii="宋体" w:hAnsi="宋体" w:eastAsia="宋体" w:cs="Times New Roman"/>
          <w:sz w:val="21"/>
          <w:szCs w:val="21"/>
          <w:u w:val="single"/>
        </w:rPr>
        <w:t xml:space="preserve">  通用合同条款第7.3.2款</w:t>
      </w:r>
      <w:r>
        <w:rPr>
          <w:rFonts w:hint="eastAsia" w:ascii="宋体" w:hAnsi="宋体" w:eastAsia="宋体" w:cs="Times New Roman"/>
          <w:bCs/>
          <w:sz w:val="21"/>
          <w:szCs w:val="21"/>
          <w:u w:val="single"/>
        </w:rPr>
        <w:t>〔</w:t>
      </w:r>
      <w:r>
        <w:rPr>
          <w:rFonts w:hint="eastAsia" w:ascii="宋体" w:hAnsi="宋体" w:eastAsia="宋体" w:cs="Times New Roman"/>
          <w:sz w:val="21"/>
          <w:szCs w:val="21"/>
          <w:u w:val="single"/>
        </w:rPr>
        <w:t>开工通知</w:t>
      </w:r>
      <w:r>
        <w:rPr>
          <w:rFonts w:hint="eastAsia" w:ascii="宋体" w:hAnsi="宋体" w:eastAsia="宋体" w:cs="Times New Roman"/>
          <w:bCs/>
          <w:sz w:val="21"/>
          <w:szCs w:val="21"/>
          <w:u w:val="single"/>
        </w:rPr>
        <w:t>〕</w:t>
      </w:r>
      <w:r>
        <w:rPr>
          <w:rFonts w:hint="eastAsia" w:ascii="宋体" w:hAnsi="宋体" w:eastAsia="宋体" w:cs="Times New Roman"/>
          <w:sz w:val="21"/>
          <w:szCs w:val="21"/>
          <w:u w:val="single"/>
        </w:rPr>
        <w:t xml:space="preserve">载明的开工日期前14天 </w:t>
      </w:r>
      <w:r>
        <w:rPr>
          <w:rFonts w:hint="eastAsia" w:ascii="宋体" w:hAnsi="宋体" w:eastAsia="宋体" w:cs="Times New Roman"/>
          <w:sz w:val="21"/>
          <w:szCs w:val="21"/>
        </w:rPr>
        <w:t>；</w:t>
      </w:r>
    </w:p>
    <w:p w14:paraId="751FE8E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发包人向承包人提供图纸的数量：</w:t>
      </w:r>
      <w:r>
        <w:rPr>
          <w:rFonts w:hint="eastAsia" w:ascii="宋体" w:hAnsi="宋体" w:eastAsia="宋体" w:cs="Times New Roman"/>
          <w:sz w:val="21"/>
          <w:szCs w:val="21"/>
          <w:u w:val="single"/>
        </w:rPr>
        <w:t xml:space="preserve">       套  </w:t>
      </w:r>
      <w:r>
        <w:rPr>
          <w:rFonts w:hint="eastAsia" w:ascii="宋体" w:hAnsi="宋体" w:eastAsia="宋体" w:cs="Times New Roman"/>
          <w:sz w:val="21"/>
          <w:szCs w:val="21"/>
        </w:rPr>
        <w:t xml:space="preserve">； </w:t>
      </w:r>
    </w:p>
    <w:p w14:paraId="7AF8BD8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发包人向承包人提供图纸的内容：</w:t>
      </w:r>
      <w:r>
        <w:rPr>
          <w:rFonts w:hint="eastAsia" w:ascii="宋体" w:hAnsi="宋体" w:eastAsia="宋体" w:cs="Times New Roman"/>
          <w:sz w:val="21"/>
          <w:szCs w:val="21"/>
          <w:u w:val="single"/>
        </w:rPr>
        <w:t xml:space="preserve">   工程承包范围内工程的施工图设计文件   </w:t>
      </w:r>
      <w:r>
        <w:rPr>
          <w:rFonts w:hint="eastAsia" w:ascii="宋体" w:hAnsi="宋体" w:eastAsia="宋体" w:cs="Times New Roman"/>
          <w:sz w:val="21"/>
          <w:szCs w:val="21"/>
        </w:rPr>
        <w:t>。</w:t>
      </w:r>
    </w:p>
    <w:p w14:paraId="53E33A6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1.6.4 承包人文件</w:t>
      </w:r>
    </w:p>
    <w:p w14:paraId="261E10B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需要由承包人提供的文件，包括：</w:t>
      </w:r>
      <w:r>
        <w:rPr>
          <w:rFonts w:hint="eastAsia" w:ascii="宋体" w:hAnsi="宋体" w:eastAsia="宋体" w:cs="Times New Roman"/>
          <w:sz w:val="21"/>
          <w:szCs w:val="21"/>
          <w:u w:val="single"/>
        </w:rPr>
        <w:t xml:space="preserve">  施工组织设计、专项施工方案、危险性较大分部分项工程施工方案（如有）、安全应急方案、进度计划、报表及计划、竣工资料及施工过程中因工程变更需要报送的施工方案、施工过程中涉及工程价款变更的相关资料、完整的竣工结算资料等 </w:t>
      </w:r>
      <w:r>
        <w:rPr>
          <w:rFonts w:hint="eastAsia" w:ascii="宋体" w:hAnsi="宋体" w:eastAsia="宋体" w:cs="Times New Roman"/>
          <w:sz w:val="21"/>
          <w:szCs w:val="21"/>
        </w:rPr>
        <w:t>。</w:t>
      </w:r>
    </w:p>
    <w:p w14:paraId="6B3DCC6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承包人提供的文件的期限为：</w:t>
      </w:r>
      <w:r>
        <w:rPr>
          <w:rFonts w:hint="eastAsia" w:ascii="宋体" w:hAnsi="宋体" w:eastAsia="宋体" w:cs="Times New Roman"/>
          <w:sz w:val="21"/>
          <w:szCs w:val="21"/>
          <w:u w:val="single"/>
        </w:rPr>
        <w:t xml:space="preserve">  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    </w:t>
      </w:r>
      <w:r>
        <w:rPr>
          <w:rFonts w:hint="eastAsia" w:ascii="宋体" w:hAnsi="宋体" w:eastAsia="宋体" w:cs="Times New Roman"/>
          <w:sz w:val="21"/>
          <w:szCs w:val="21"/>
        </w:rPr>
        <w:t>；</w:t>
      </w:r>
    </w:p>
    <w:p w14:paraId="1861D08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承包人提供的文件的形式为：</w:t>
      </w:r>
      <w:r>
        <w:rPr>
          <w:rFonts w:hint="eastAsia" w:ascii="宋体" w:hAnsi="宋体" w:eastAsia="宋体" w:cs="Times New Roman"/>
          <w:sz w:val="21"/>
          <w:szCs w:val="21"/>
          <w:u w:val="single"/>
        </w:rPr>
        <w:t xml:space="preserve"> </w:t>
      </w:r>
      <w:r>
        <w:rPr>
          <w:rFonts w:ascii="Segoe UI Symbol" w:hAnsi="Segoe UI Symbol" w:eastAsia="宋体" w:cs="Segoe UI Symbol"/>
          <w:sz w:val="21"/>
          <w:szCs w:val="21"/>
          <w:u w:val="single"/>
        </w:rPr>
        <w:t>☑</w:t>
      </w:r>
      <w:r>
        <w:rPr>
          <w:rFonts w:hint="eastAsia" w:ascii="宋体" w:hAnsi="宋体" w:eastAsia="宋体" w:cs="宋体"/>
          <w:sz w:val="21"/>
          <w:szCs w:val="21"/>
          <w:u w:val="single"/>
        </w:rPr>
        <w:t>采用电子招标的，投标文件以电子文档为准，其他文件以书面文件为准</w:t>
      </w:r>
      <w:r>
        <w:rPr>
          <w:rFonts w:hint="eastAsia" w:ascii="宋体" w:hAnsi="宋体" w:eastAsia="宋体" w:cs="Times New Roman"/>
          <w:sz w:val="21"/>
          <w:szCs w:val="21"/>
        </w:rPr>
        <w:t>。监理人审批承包人文件的期限：</w:t>
      </w:r>
      <w:r>
        <w:rPr>
          <w:rFonts w:hint="eastAsia" w:ascii="宋体" w:hAnsi="宋体" w:eastAsia="宋体" w:cs="Times New Roman"/>
          <w:sz w:val="21"/>
          <w:szCs w:val="21"/>
          <w:u w:val="single"/>
        </w:rPr>
        <w:t>收到施工组织设计和工程总体进度计划及当年年度施工进度计划后7天内；合同另有约定的，从其约定</w:t>
      </w:r>
      <w:r>
        <w:rPr>
          <w:rFonts w:hint="eastAsia" w:ascii="宋体" w:hAnsi="宋体" w:eastAsia="宋体" w:cs="Times New Roman"/>
          <w:sz w:val="21"/>
          <w:szCs w:val="21"/>
        </w:rPr>
        <w:t>。</w:t>
      </w:r>
    </w:p>
    <w:p w14:paraId="5CE84784">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发包人审批承包人文件的期限：</w:t>
      </w:r>
      <w:r>
        <w:rPr>
          <w:rFonts w:hint="eastAsia" w:ascii="宋体" w:hAnsi="宋体" w:eastAsia="宋体" w:cs="Times New Roman"/>
          <w:sz w:val="21"/>
          <w:szCs w:val="21"/>
          <w:u w:val="single"/>
        </w:rPr>
        <w:t>收到后14天内；合同另有约定的，从其约定</w:t>
      </w:r>
      <w:r>
        <w:rPr>
          <w:rFonts w:hint="eastAsia" w:ascii="宋体" w:hAnsi="宋体" w:eastAsia="宋体" w:cs="Times New Roman"/>
          <w:sz w:val="21"/>
          <w:szCs w:val="21"/>
        </w:rPr>
        <w:t>。</w:t>
      </w:r>
    </w:p>
    <w:p w14:paraId="1AD66EBE">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监理人、发包人的修改意见和审批，不免除或减轻承包人对该工作、工程、材料、工程设备等应承担的责任和义务</w:t>
      </w:r>
      <w:r>
        <w:rPr>
          <w:rFonts w:hint="eastAsia" w:ascii="宋体" w:hAnsi="宋体" w:eastAsia="宋体" w:cs="Times New Roman"/>
          <w:sz w:val="21"/>
          <w:szCs w:val="21"/>
        </w:rPr>
        <w:t>。</w:t>
      </w:r>
    </w:p>
    <w:p w14:paraId="08E7031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1.6.5 现场图纸准备</w:t>
      </w:r>
    </w:p>
    <w:p w14:paraId="160798C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关于现场图纸准备的约定：</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18219C0B">
      <w:pPr>
        <w:widowControl/>
        <w:spacing w:line="360" w:lineRule="auto"/>
        <w:jc w:val="left"/>
        <w:outlineLvl w:val="4"/>
        <w:rPr>
          <w:rFonts w:ascii="宋体" w:hAnsi="宋体" w:eastAsia="宋体" w:cs="宋体"/>
          <w:b/>
          <w:bCs/>
          <w:kern w:val="0"/>
          <w:sz w:val="21"/>
          <w:szCs w:val="21"/>
        </w:rPr>
      </w:pPr>
      <w:bookmarkStart w:id="1091" w:name="_Toc532377326"/>
      <w:bookmarkEnd w:id="1091"/>
      <w:r>
        <w:rPr>
          <w:rFonts w:hint="eastAsia" w:ascii="宋体" w:hAnsi="宋体" w:eastAsia="宋体" w:cs="宋体"/>
          <w:b/>
          <w:bCs/>
          <w:kern w:val="0"/>
          <w:sz w:val="21"/>
          <w:szCs w:val="21"/>
        </w:rPr>
        <w:t>1.7 联络</w:t>
      </w:r>
    </w:p>
    <w:p w14:paraId="500BF52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1.7.1 发包人和承包人应当在</w:t>
      </w:r>
      <w:r>
        <w:rPr>
          <w:rFonts w:hint="eastAsia" w:ascii="宋体" w:hAnsi="宋体" w:eastAsia="宋体" w:cs="Times New Roman"/>
          <w:sz w:val="21"/>
          <w:szCs w:val="21"/>
          <w:u w:val="single"/>
        </w:rPr>
        <w:t xml:space="preserve">     7   </w:t>
      </w:r>
      <w:r>
        <w:rPr>
          <w:rFonts w:hint="eastAsia" w:ascii="宋体" w:hAnsi="宋体" w:eastAsia="宋体" w:cs="Times New Roman"/>
          <w:kern w:val="0"/>
          <w:sz w:val="21"/>
          <w:szCs w:val="21"/>
        </w:rPr>
        <w:t>天内将与合同有关的通知、批准、证明、证书、指示、指令、要求、请求、同意、意见、确定和决定等书面函件送达对方当事人。</w:t>
      </w:r>
    </w:p>
    <w:p w14:paraId="67286B8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1.7.2 发包人接收文件的地点：</w:t>
      </w:r>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33E5897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发包人指定的接收人为：</w:t>
      </w:r>
      <w:bookmarkStart w:id="1092" w:name="_Hlk528493983"/>
      <w:bookmarkEnd w:id="1092"/>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73D6148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承包人接收文件的地点：</w:t>
      </w:r>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562D84D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承包人指定的接收人为：</w:t>
      </w:r>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0BE9526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监理人接收文件的地点：</w:t>
      </w:r>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7836A60A">
      <w:pPr>
        <w:spacing w:line="360" w:lineRule="auto"/>
        <w:jc w:val="left"/>
        <w:rPr>
          <w:rFonts w:ascii="宋体" w:hAnsi="宋体" w:eastAsia="宋体" w:cs="Times New Roman"/>
          <w:kern w:val="0"/>
          <w:sz w:val="21"/>
          <w:szCs w:val="21"/>
          <w:u w:val="single"/>
        </w:rPr>
      </w:pPr>
      <w:r>
        <w:rPr>
          <w:rFonts w:hint="eastAsia" w:ascii="宋体" w:hAnsi="宋体" w:eastAsia="宋体" w:cs="Times New Roman"/>
          <w:kern w:val="0"/>
          <w:sz w:val="21"/>
          <w:szCs w:val="21"/>
        </w:rPr>
        <w:t>监理人指定的接收人为：</w:t>
      </w:r>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24971A36">
      <w:pPr>
        <w:widowControl/>
        <w:spacing w:line="360" w:lineRule="auto"/>
        <w:jc w:val="left"/>
        <w:outlineLvl w:val="4"/>
        <w:rPr>
          <w:rFonts w:ascii="宋体" w:hAnsi="宋体" w:eastAsia="宋体" w:cs="宋体"/>
          <w:b/>
          <w:bCs/>
          <w:kern w:val="0"/>
          <w:sz w:val="21"/>
          <w:szCs w:val="21"/>
        </w:rPr>
      </w:pPr>
      <w:bookmarkStart w:id="1093" w:name="_Toc532377328"/>
      <w:bookmarkEnd w:id="1093"/>
      <w:r>
        <w:rPr>
          <w:rFonts w:hint="eastAsia" w:ascii="宋体" w:hAnsi="宋体" w:eastAsia="宋体" w:cs="宋体"/>
          <w:b/>
          <w:bCs/>
          <w:kern w:val="0"/>
          <w:sz w:val="21"/>
          <w:szCs w:val="21"/>
        </w:rPr>
        <w:t>1.10 交通运输</w:t>
      </w:r>
    </w:p>
    <w:p w14:paraId="3AADCA4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w:t>
      </w:r>
      <w:bookmarkStart w:id="1094" w:name="_Toc312677986"/>
      <w:bookmarkEnd w:id="1094"/>
      <w:bookmarkStart w:id="1095" w:name="_Toc318581155"/>
      <w:bookmarkEnd w:id="1095"/>
      <w:bookmarkStart w:id="1096" w:name="_Toc304295521"/>
      <w:bookmarkEnd w:id="1096"/>
      <w:bookmarkStart w:id="1097" w:name="_Toc303539100"/>
      <w:bookmarkEnd w:id="1097"/>
      <w:bookmarkStart w:id="1098" w:name="_Toc300934943"/>
      <w:r>
        <w:rPr>
          <w:rFonts w:hint="eastAsia" w:ascii="宋体" w:hAnsi="宋体" w:eastAsia="宋体" w:cs="Times New Roman"/>
          <w:sz w:val="21"/>
          <w:szCs w:val="21"/>
        </w:rPr>
        <w:t>.10.1 出入现场的权利</w:t>
      </w:r>
      <w:bookmarkEnd w:id="1098"/>
    </w:p>
    <w:p w14:paraId="669860FC">
      <w:pPr>
        <w:spacing w:line="360" w:lineRule="auto"/>
        <w:jc w:val="left"/>
        <w:rPr>
          <w:rFonts w:ascii="宋体" w:hAnsi="宋体" w:eastAsia="宋体" w:cs="Times New Roman"/>
          <w:kern w:val="0"/>
          <w:sz w:val="21"/>
          <w:szCs w:val="21"/>
        </w:rPr>
      </w:pPr>
      <w:r>
        <w:rPr>
          <w:rFonts w:hint="eastAsia" w:ascii="宋体" w:hAnsi="宋体" w:eastAsia="宋体" w:cs="Times New Roman"/>
          <w:sz w:val="21"/>
          <w:szCs w:val="21"/>
        </w:rPr>
        <w:t>关于出入现场的权利的约定：</w:t>
      </w:r>
      <w:r>
        <w:rPr>
          <w:rFonts w:hint="eastAsia" w:ascii="宋体" w:hAnsi="宋体" w:eastAsia="宋体" w:cs="Times New Roman"/>
          <w:sz w:val="21"/>
          <w:szCs w:val="21"/>
          <w:u w:val="single"/>
        </w:rPr>
        <w:t xml:space="preserve">  按规定执行        </w:t>
      </w:r>
      <w:r>
        <w:rPr>
          <w:rFonts w:hint="eastAsia" w:ascii="宋体" w:hAnsi="宋体" w:eastAsia="宋体" w:cs="Times New Roman"/>
          <w:sz w:val="21"/>
          <w:szCs w:val="21"/>
        </w:rPr>
        <w:t>。</w:t>
      </w:r>
    </w:p>
    <w:p w14:paraId="5C27856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w:t>
      </w:r>
      <w:bookmarkStart w:id="1099" w:name="_Toc318581156"/>
      <w:bookmarkEnd w:id="1099"/>
      <w:bookmarkStart w:id="1100" w:name="_Toc303539101"/>
      <w:bookmarkEnd w:id="1100"/>
      <w:bookmarkStart w:id="1101" w:name="_Toc312677987"/>
      <w:bookmarkEnd w:id="1101"/>
      <w:bookmarkStart w:id="1102" w:name="_Toc300934944"/>
      <w:bookmarkEnd w:id="1102"/>
      <w:bookmarkStart w:id="1103" w:name="_Toc304295522"/>
      <w:r>
        <w:rPr>
          <w:rFonts w:hint="eastAsia" w:ascii="宋体" w:hAnsi="宋体" w:eastAsia="宋体" w:cs="Times New Roman"/>
          <w:sz w:val="21"/>
          <w:szCs w:val="21"/>
        </w:rPr>
        <w:t>.10.3 场内交通</w:t>
      </w:r>
      <w:bookmarkEnd w:id="1103"/>
    </w:p>
    <w:p w14:paraId="6B38B12D">
      <w:pPr>
        <w:spacing w:line="360" w:lineRule="auto"/>
        <w:jc w:val="left"/>
        <w:rPr>
          <w:rFonts w:ascii="宋体" w:hAnsi="宋体" w:eastAsia="宋体" w:cs="Times New Roman"/>
          <w:sz w:val="21"/>
          <w:szCs w:val="21"/>
          <w:u w:val="single"/>
        </w:rPr>
      </w:pPr>
      <w:r>
        <w:rPr>
          <w:rFonts w:hint="eastAsia" w:ascii="宋体" w:hAnsi="宋体" w:eastAsia="宋体" w:cs="Times New Roman"/>
          <w:kern w:val="0"/>
          <w:sz w:val="21"/>
          <w:szCs w:val="21"/>
        </w:rPr>
        <w:t>关于场外交通和场内交通的边界的约定：</w:t>
      </w:r>
      <w:r>
        <w:rPr>
          <w:rFonts w:hint="eastAsia" w:ascii="宋体" w:hAnsi="宋体" w:eastAsia="宋体" w:cs="Times New Roman"/>
          <w:sz w:val="21"/>
          <w:szCs w:val="21"/>
          <w:u w:val="single"/>
        </w:rPr>
        <w:t xml:space="preserve"> 以合同工程用地红线为界，用地红线外为场外交通，用地红线范围内为场内交通（场外道路穿越场内的除外）</w:t>
      </w:r>
      <w:r>
        <w:rPr>
          <w:rFonts w:hint="eastAsia" w:ascii="宋体" w:hAnsi="宋体" w:eastAsia="宋体" w:cs="Times New Roman"/>
          <w:sz w:val="21"/>
          <w:szCs w:val="21"/>
        </w:rPr>
        <w:t>。</w:t>
      </w:r>
    </w:p>
    <w:p w14:paraId="606EAF67">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关于发包人向承包人免费提供满足工程施工需要的场内道路和交通设施的约定：</w:t>
      </w:r>
      <w:r>
        <w:rPr>
          <w:rFonts w:hint="eastAsia" w:ascii="宋体" w:hAnsi="宋体" w:eastAsia="宋体" w:cs="Times New Roman"/>
          <w:kern w:val="0"/>
          <w:sz w:val="21"/>
          <w:szCs w:val="21"/>
          <w:u w:val="single"/>
        </w:rPr>
        <w:t xml:space="preserve"> 以施工场地移交时的现状为准</w:t>
      </w:r>
      <w:r>
        <w:rPr>
          <w:rFonts w:hint="eastAsia" w:ascii="宋体" w:hAnsi="宋体" w:eastAsia="宋体" w:cs="Times New Roman"/>
          <w:sz w:val="21"/>
          <w:szCs w:val="21"/>
        </w:rPr>
        <w:t>。</w:t>
      </w:r>
    </w:p>
    <w:p w14:paraId="3A500437">
      <w:pPr>
        <w:spacing w:line="360" w:lineRule="auto"/>
        <w:jc w:val="left"/>
        <w:rPr>
          <w:rFonts w:ascii="宋体" w:hAnsi="宋体" w:eastAsia="宋体" w:cs="Times New Roman"/>
          <w:sz w:val="21"/>
          <w:szCs w:val="21"/>
        </w:rPr>
      </w:pPr>
      <w:bookmarkStart w:id="1104" w:name="_Toc318581157"/>
      <w:bookmarkEnd w:id="1104"/>
      <w:r>
        <w:rPr>
          <w:rFonts w:hint="eastAsia" w:ascii="宋体" w:hAnsi="宋体" w:eastAsia="宋体" w:cs="Times New Roman"/>
          <w:sz w:val="21"/>
          <w:szCs w:val="21"/>
        </w:rPr>
        <w:t>1.10.4 超大件和超重件的运输</w:t>
      </w:r>
    </w:p>
    <w:p w14:paraId="2A6EBBA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运输超大件或超重件所需的道路和桥梁临时加固改造费用和其他有关费用由</w:t>
      </w:r>
      <w:r>
        <w:rPr>
          <w:rFonts w:hint="eastAsia" w:ascii="宋体" w:hAnsi="宋体" w:eastAsia="宋体" w:cs="Times New Roman"/>
          <w:sz w:val="21"/>
          <w:szCs w:val="21"/>
          <w:u w:val="single"/>
        </w:rPr>
        <w:t>发包人</w:t>
      </w:r>
      <w:r>
        <w:rPr>
          <w:rFonts w:hint="eastAsia" w:ascii="宋体" w:hAnsi="宋体" w:eastAsia="宋体" w:cs="Times New Roman"/>
          <w:sz w:val="21"/>
          <w:szCs w:val="21"/>
        </w:rPr>
        <w:t>承担。</w:t>
      </w:r>
    </w:p>
    <w:p w14:paraId="324BD98F">
      <w:pPr>
        <w:widowControl/>
        <w:spacing w:line="360" w:lineRule="auto"/>
        <w:jc w:val="left"/>
        <w:outlineLvl w:val="4"/>
        <w:rPr>
          <w:rFonts w:ascii="宋体" w:hAnsi="宋体" w:eastAsia="宋体" w:cs="宋体"/>
          <w:b/>
          <w:bCs/>
          <w:kern w:val="0"/>
          <w:sz w:val="21"/>
          <w:szCs w:val="21"/>
        </w:rPr>
      </w:pPr>
      <w:bookmarkStart w:id="1105" w:name="_Toc532377329"/>
      <w:bookmarkEnd w:id="1105"/>
      <w:r>
        <w:rPr>
          <w:rFonts w:hint="eastAsia" w:ascii="宋体" w:hAnsi="宋体" w:eastAsia="宋体" w:cs="宋体"/>
          <w:b/>
          <w:bCs/>
          <w:kern w:val="0"/>
          <w:sz w:val="21"/>
          <w:szCs w:val="21"/>
        </w:rPr>
        <w:t>1.11 知识产权</w:t>
      </w:r>
    </w:p>
    <w:p w14:paraId="5D207EB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Times New Roman"/>
          <w:sz w:val="21"/>
          <w:szCs w:val="21"/>
          <w:u w:val="single"/>
        </w:rPr>
        <w:t xml:space="preserve"> 属于发包人 </w:t>
      </w:r>
      <w:r>
        <w:rPr>
          <w:rFonts w:hint="eastAsia" w:ascii="宋体" w:hAnsi="宋体" w:eastAsia="宋体" w:cs="Times New Roman"/>
          <w:sz w:val="21"/>
          <w:szCs w:val="21"/>
        </w:rPr>
        <w:t>。</w:t>
      </w:r>
    </w:p>
    <w:p w14:paraId="70A0F68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关于发包人提供的上述文件的使用限制的要求：</w:t>
      </w:r>
      <w:r>
        <w:rPr>
          <w:rFonts w:hint="eastAsia" w:ascii="宋体" w:hAnsi="宋体" w:eastAsia="宋体" w:cs="Times New Roman"/>
          <w:sz w:val="21"/>
          <w:szCs w:val="21"/>
          <w:u w:val="single"/>
        </w:rPr>
        <w:t xml:space="preserve">   按通用合同条款执行 </w:t>
      </w:r>
      <w:r>
        <w:rPr>
          <w:rFonts w:hint="eastAsia" w:ascii="宋体" w:hAnsi="宋体" w:eastAsia="宋体" w:cs="Times New Roman"/>
          <w:sz w:val="21"/>
          <w:szCs w:val="21"/>
        </w:rPr>
        <w:t>。</w:t>
      </w:r>
    </w:p>
    <w:p w14:paraId="6C21C37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1.11.2 关于承包人为实施工程所编制文件的著作权的归属：</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C44F53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关于承包人提供的上述文件的使用限制的要求：</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D21AB8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1.11.4 承包人在施工过程中所采用的专利、专有技术、技术秘密的使用费的承担方式：</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310C3E87">
      <w:pPr>
        <w:keepNext/>
        <w:keepLines/>
        <w:spacing w:line="360" w:lineRule="auto"/>
        <w:outlineLvl w:val="3"/>
        <w:rPr>
          <w:rFonts w:ascii="宋体" w:hAnsi="宋体" w:eastAsia="宋体" w:cs="宋体"/>
          <w:b/>
          <w:sz w:val="21"/>
          <w:szCs w:val="21"/>
        </w:rPr>
      </w:pPr>
      <w:bookmarkStart w:id="1106" w:name="_Toc532377331"/>
      <w:bookmarkEnd w:id="1106"/>
      <w:bookmarkStart w:id="1107" w:name="_Toc351203634"/>
      <w:bookmarkEnd w:id="1107"/>
      <w:bookmarkStart w:id="1108" w:name="_Toc532375609"/>
      <w:r>
        <w:rPr>
          <w:rFonts w:hint="eastAsia" w:ascii="宋体" w:hAnsi="宋体" w:eastAsia="宋体" w:cs="宋体"/>
          <w:b/>
          <w:bCs/>
          <w:sz w:val="21"/>
          <w:szCs w:val="21"/>
        </w:rPr>
        <w:t>2</w:t>
      </w:r>
      <w:bookmarkEnd w:id="1108"/>
      <w:bookmarkStart w:id="1109" w:name="_Toc296347156"/>
      <w:bookmarkEnd w:id="1109"/>
      <w:bookmarkStart w:id="1110" w:name="_Toc296890985"/>
      <w:bookmarkEnd w:id="1110"/>
      <w:bookmarkStart w:id="1111" w:name="_Toc297120457"/>
      <w:bookmarkEnd w:id="1111"/>
      <w:bookmarkStart w:id="1112" w:name="_Toc296944496"/>
      <w:bookmarkEnd w:id="1112"/>
      <w:bookmarkStart w:id="1113" w:name="_Toc296891197"/>
      <w:bookmarkEnd w:id="1113"/>
      <w:bookmarkStart w:id="1114" w:name="_Toc297048343"/>
      <w:bookmarkEnd w:id="1114"/>
      <w:bookmarkStart w:id="1115" w:name="_Toc292559362"/>
      <w:bookmarkEnd w:id="1115"/>
      <w:bookmarkStart w:id="1116" w:name="_Toc296503157"/>
      <w:bookmarkEnd w:id="1116"/>
      <w:bookmarkStart w:id="1117" w:name="_Toc296346658"/>
      <w:bookmarkEnd w:id="1117"/>
      <w:bookmarkStart w:id="1118" w:name="_Toc292559867"/>
      <w:r>
        <w:rPr>
          <w:rFonts w:hint="eastAsia" w:ascii="宋体" w:hAnsi="宋体" w:eastAsia="宋体" w:cs="宋体"/>
          <w:b/>
          <w:bCs/>
          <w:sz w:val="21"/>
          <w:szCs w:val="21"/>
        </w:rPr>
        <w:t>. 发包人</w:t>
      </w:r>
      <w:bookmarkEnd w:id="1118"/>
    </w:p>
    <w:p w14:paraId="385EFE18">
      <w:pPr>
        <w:spacing w:line="360" w:lineRule="auto"/>
        <w:jc w:val="left"/>
        <w:rPr>
          <w:rFonts w:ascii="宋体" w:hAnsi="宋体" w:eastAsia="宋体" w:cs="Times New Roman"/>
          <w:b/>
          <w:bCs/>
          <w:sz w:val="21"/>
          <w:szCs w:val="21"/>
        </w:rPr>
      </w:pPr>
      <w:r>
        <w:rPr>
          <w:rFonts w:hint="eastAsia" w:ascii="宋体" w:hAnsi="宋体" w:eastAsia="宋体" w:cs="Times New Roman"/>
          <w:b/>
          <w:bCs/>
          <w:sz w:val="21"/>
          <w:szCs w:val="21"/>
        </w:rPr>
        <w:t>2.2 发包人代表</w:t>
      </w:r>
    </w:p>
    <w:p w14:paraId="55E63EA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发包人代表：</w:t>
      </w:r>
    </w:p>
    <w:p w14:paraId="77E1E10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姓    名：</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0892545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身份证号：</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4A2C953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职    务：</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4F43303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联系方式：</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1086794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邮    编：</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406B1F4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发包人对发包人代表的授权范围如下：</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11C9834F">
      <w:pPr>
        <w:widowControl/>
        <w:spacing w:line="360" w:lineRule="auto"/>
        <w:jc w:val="left"/>
        <w:outlineLvl w:val="4"/>
        <w:rPr>
          <w:rFonts w:ascii="宋体" w:hAnsi="宋体" w:eastAsia="宋体" w:cs="宋体"/>
          <w:b/>
          <w:bCs/>
          <w:kern w:val="0"/>
          <w:sz w:val="21"/>
          <w:szCs w:val="21"/>
        </w:rPr>
      </w:pPr>
      <w:bookmarkStart w:id="1119" w:name="_Toc532377332"/>
      <w:bookmarkEnd w:id="1119"/>
      <w:r>
        <w:rPr>
          <w:rFonts w:hint="eastAsia" w:ascii="宋体" w:hAnsi="宋体" w:eastAsia="宋体" w:cs="宋体"/>
          <w:b/>
          <w:bCs/>
          <w:kern w:val="0"/>
          <w:sz w:val="21"/>
          <w:szCs w:val="21"/>
        </w:rPr>
        <w:t>2.4 施工现场、施工条件和基础资料的提供</w:t>
      </w:r>
    </w:p>
    <w:p w14:paraId="188C82E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2.4.1 提供施工现场</w:t>
      </w:r>
    </w:p>
    <w:p w14:paraId="249EADB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关于发包人移交施工现场的期限要求：</w:t>
      </w:r>
      <w:r>
        <w:rPr>
          <w:rFonts w:hint="eastAsia" w:ascii="宋体" w:hAnsi="宋体" w:eastAsia="宋体" w:cs="Times New Roman"/>
          <w:sz w:val="21"/>
          <w:szCs w:val="21"/>
          <w:u w:val="single"/>
        </w:rPr>
        <w:t xml:space="preserve"> 一次提供全部施工场地：发包人于开工前向承包人提供合同工程用地红线范围内的施工场地。 </w:t>
      </w:r>
    </w:p>
    <w:p w14:paraId="6F04256C">
      <w:pPr>
        <w:widowControl/>
        <w:spacing w:line="360" w:lineRule="auto"/>
        <w:jc w:val="left"/>
        <w:outlineLvl w:val="4"/>
        <w:rPr>
          <w:rFonts w:ascii="宋体" w:hAnsi="宋体" w:eastAsia="宋体" w:cs="宋体"/>
          <w:b/>
          <w:bCs/>
          <w:kern w:val="0"/>
          <w:sz w:val="21"/>
          <w:szCs w:val="21"/>
        </w:rPr>
      </w:pPr>
      <w:bookmarkStart w:id="1120" w:name="_Toc532377333"/>
      <w:bookmarkEnd w:id="1120"/>
      <w:r>
        <w:rPr>
          <w:rFonts w:hint="eastAsia" w:ascii="宋体" w:hAnsi="宋体" w:eastAsia="宋体" w:cs="宋体"/>
          <w:b/>
          <w:bCs/>
          <w:kern w:val="0"/>
          <w:sz w:val="21"/>
          <w:szCs w:val="21"/>
        </w:rPr>
        <w:t>2.5 资金来源证明及支付担保</w:t>
      </w:r>
    </w:p>
    <w:p w14:paraId="5C6EA23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发包人提供资金来源证明的期限要求：</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DA08D3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发包人是否提供支付担保：</w:t>
      </w:r>
      <w:r>
        <w:rPr>
          <w:rFonts w:hint="eastAsia" w:ascii="宋体" w:hAnsi="宋体" w:eastAsia="宋体" w:cs="Times New Roman"/>
          <w:sz w:val="21"/>
          <w:szCs w:val="21"/>
          <w:u w:val="single"/>
        </w:rPr>
        <w:t xml:space="preserve">     否       </w:t>
      </w:r>
      <w:r>
        <w:rPr>
          <w:rFonts w:hint="eastAsia" w:ascii="宋体" w:hAnsi="宋体" w:eastAsia="宋体" w:cs="Times New Roman"/>
          <w:sz w:val="21"/>
          <w:szCs w:val="21"/>
        </w:rPr>
        <w:t>。</w:t>
      </w:r>
    </w:p>
    <w:p w14:paraId="4471A4E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发包人提供支付担保的形式：</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3164BED">
      <w:pPr>
        <w:keepNext/>
        <w:keepLines/>
        <w:spacing w:line="360" w:lineRule="auto"/>
        <w:outlineLvl w:val="3"/>
        <w:rPr>
          <w:rFonts w:ascii="宋体" w:hAnsi="宋体" w:eastAsia="宋体" w:cs="宋体"/>
          <w:b/>
          <w:sz w:val="21"/>
          <w:szCs w:val="21"/>
        </w:rPr>
      </w:pPr>
      <w:bookmarkStart w:id="1121" w:name="_Toc532377334"/>
      <w:bookmarkEnd w:id="1121"/>
      <w:bookmarkStart w:id="1122" w:name="_Toc532375610"/>
      <w:bookmarkEnd w:id="1122"/>
      <w:bookmarkStart w:id="1123" w:name="_Toc351203635"/>
      <w:r>
        <w:rPr>
          <w:rFonts w:hint="eastAsia" w:ascii="宋体" w:hAnsi="宋体" w:eastAsia="宋体" w:cs="宋体"/>
          <w:b/>
          <w:bCs/>
          <w:sz w:val="21"/>
          <w:szCs w:val="21"/>
        </w:rPr>
        <w:t>3</w:t>
      </w:r>
      <w:bookmarkEnd w:id="1123"/>
      <w:bookmarkStart w:id="1124" w:name="_Toc296890986"/>
      <w:bookmarkEnd w:id="1124"/>
      <w:bookmarkStart w:id="1125" w:name="_Toc296347157"/>
      <w:bookmarkEnd w:id="1125"/>
      <w:bookmarkStart w:id="1126" w:name="_Toc296944497"/>
      <w:bookmarkEnd w:id="1126"/>
      <w:bookmarkStart w:id="1127" w:name="_Toc296346659"/>
      <w:bookmarkEnd w:id="1127"/>
      <w:bookmarkStart w:id="1128" w:name="_Toc297048344"/>
      <w:bookmarkEnd w:id="1128"/>
      <w:bookmarkStart w:id="1129" w:name="_Toc296503158"/>
      <w:bookmarkEnd w:id="1129"/>
      <w:bookmarkStart w:id="1130" w:name="_Toc296891198"/>
      <w:bookmarkEnd w:id="1130"/>
      <w:bookmarkStart w:id="1131" w:name="_Toc292559868"/>
      <w:bookmarkEnd w:id="1131"/>
      <w:bookmarkStart w:id="1132" w:name="_Toc297120458"/>
      <w:bookmarkEnd w:id="1132"/>
      <w:bookmarkStart w:id="1133" w:name="_Toc292559363"/>
      <w:r>
        <w:rPr>
          <w:rFonts w:hint="eastAsia" w:ascii="宋体" w:hAnsi="宋体" w:eastAsia="宋体" w:cs="宋体"/>
          <w:b/>
          <w:bCs/>
          <w:sz w:val="21"/>
          <w:szCs w:val="21"/>
        </w:rPr>
        <w:t>. 承包人</w:t>
      </w:r>
      <w:bookmarkEnd w:id="1133"/>
    </w:p>
    <w:p w14:paraId="1F0B350F">
      <w:pPr>
        <w:widowControl/>
        <w:spacing w:line="360" w:lineRule="auto"/>
        <w:jc w:val="left"/>
        <w:outlineLvl w:val="4"/>
        <w:rPr>
          <w:rFonts w:ascii="宋体" w:hAnsi="宋体" w:eastAsia="宋体" w:cs="宋体"/>
          <w:b/>
          <w:bCs/>
          <w:kern w:val="0"/>
          <w:sz w:val="21"/>
          <w:szCs w:val="21"/>
        </w:rPr>
      </w:pPr>
      <w:bookmarkStart w:id="1134" w:name="_Toc532377335"/>
      <w:bookmarkEnd w:id="1134"/>
      <w:r>
        <w:rPr>
          <w:rFonts w:hint="eastAsia" w:ascii="宋体" w:hAnsi="宋体" w:eastAsia="宋体" w:cs="宋体"/>
          <w:b/>
          <w:bCs/>
          <w:kern w:val="0"/>
          <w:sz w:val="21"/>
          <w:szCs w:val="21"/>
        </w:rPr>
        <w:t>3.1 承包人的一般义务</w:t>
      </w:r>
    </w:p>
    <w:p w14:paraId="3A1D905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（9）承包人提交的竣工资料的内容：</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44F10AA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承包人需要提交的竣工资料套数：</w:t>
      </w:r>
      <w:r>
        <w:rPr>
          <w:rFonts w:hint="eastAsia" w:ascii="宋体" w:hAnsi="宋体" w:eastAsia="宋体" w:cs="Times New Roman"/>
          <w:sz w:val="21"/>
          <w:szCs w:val="21"/>
          <w:u w:val="single"/>
        </w:rPr>
        <w:t xml:space="preserve">     3套       </w:t>
      </w:r>
      <w:r>
        <w:rPr>
          <w:rFonts w:hint="eastAsia" w:ascii="宋体" w:hAnsi="宋体" w:eastAsia="宋体" w:cs="Times New Roman"/>
          <w:sz w:val="21"/>
          <w:szCs w:val="21"/>
        </w:rPr>
        <w:t>。</w:t>
      </w:r>
    </w:p>
    <w:p w14:paraId="0E9D888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承包人提交的竣工资料的费用承担：</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9FFA5A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承包人提交的竣工资料移交时间：</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154F750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承包人提交的竣工资料形式要求：</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1C096718">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（10）承包人应履行的其他义务：</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37DF5A46">
      <w:pPr>
        <w:widowControl/>
        <w:spacing w:line="360" w:lineRule="auto"/>
        <w:jc w:val="left"/>
        <w:outlineLvl w:val="4"/>
        <w:rPr>
          <w:rFonts w:ascii="宋体" w:hAnsi="宋体" w:eastAsia="宋体" w:cs="宋体"/>
          <w:b/>
          <w:bCs/>
          <w:kern w:val="0"/>
          <w:sz w:val="21"/>
          <w:szCs w:val="21"/>
        </w:rPr>
      </w:pPr>
      <w:bookmarkStart w:id="1135" w:name="_Toc532377336"/>
      <w:bookmarkEnd w:id="1135"/>
      <w:r>
        <w:rPr>
          <w:rFonts w:hint="eastAsia" w:ascii="宋体" w:hAnsi="宋体" w:eastAsia="宋体" w:cs="宋体"/>
          <w:b/>
          <w:bCs/>
          <w:kern w:val="0"/>
          <w:sz w:val="21"/>
          <w:szCs w:val="21"/>
        </w:rPr>
        <w:t>3.2 项目经理</w:t>
      </w:r>
    </w:p>
    <w:p w14:paraId="5A3041FD">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 xml:space="preserve">3.2.1 </w:t>
      </w:r>
      <w:r>
        <w:rPr>
          <w:rFonts w:hint="eastAsia" w:ascii="宋体" w:hAnsi="宋体" w:eastAsia="宋体" w:cs="Times New Roman"/>
          <w:sz w:val="21"/>
          <w:szCs w:val="21"/>
        </w:rPr>
        <w:t>项目经理：</w:t>
      </w:r>
    </w:p>
    <w:p w14:paraId="1705A3D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姓    名：</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6D9C13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身份证号：</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4AC0DCA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建造师执业资格等级：</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47D178A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建造师注册证书号：</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0DF20F9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建造师执业印章号：</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3968E4E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安全生产考核合格证书号：</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3D15BAE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联系方式：</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0798A8A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承包人对项目经理的授权范围如下：</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BD8B52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关于项目经理每月在施工现场的时间要求：</w:t>
      </w:r>
      <w:r>
        <w:rPr>
          <w:rFonts w:hint="eastAsia" w:ascii="宋体" w:hAnsi="宋体" w:eastAsia="宋体" w:cs="Times New Roman"/>
          <w:sz w:val="21"/>
          <w:szCs w:val="21"/>
          <w:u w:val="single"/>
        </w:rPr>
        <w:t xml:space="preserve">    不少于22天，由监理人负责项目经理的考勤。承包人应在合同签订后7天内提交与项目经理签订的劳动合同及为项日经理缴纳社会保险的证明，承包人未在限期内提交的，项目经理无权履行职责，发包人有权要求更换项目经理  </w:t>
      </w:r>
      <w:r>
        <w:rPr>
          <w:rFonts w:hint="eastAsia" w:ascii="宋体" w:hAnsi="宋体" w:eastAsia="宋体" w:cs="Times New Roman"/>
          <w:sz w:val="21"/>
          <w:szCs w:val="21"/>
        </w:rPr>
        <w:t>。</w:t>
      </w:r>
    </w:p>
    <w:p w14:paraId="086C951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承包人未提交劳动合同，以及没有为项目经理缴纳社会保险证明的违约责任：</w:t>
      </w:r>
      <w:r>
        <w:rPr>
          <w:rFonts w:hint="eastAsia" w:ascii="宋体" w:hAnsi="宋体" w:eastAsia="宋体" w:cs="Times New Roman"/>
          <w:sz w:val="21"/>
          <w:szCs w:val="21"/>
          <w:u w:val="single"/>
        </w:rPr>
        <w:t xml:space="preserve"> 因此造成任何损失由承包人承担     </w:t>
      </w:r>
      <w:r>
        <w:rPr>
          <w:rFonts w:hint="eastAsia" w:ascii="宋体" w:hAnsi="宋体" w:eastAsia="宋体" w:cs="Times New Roman"/>
          <w:sz w:val="21"/>
          <w:szCs w:val="21"/>
        </w:rPr>
        <w:t>。</w:t>
      </w:r>
    </w:p>
    <w:p w14:paraId="7D618AA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项目经理未经批准，擅自离开施工现场的违约责任：</w:t>
      </w:r>
      <w:r>
        <w:rPr>
          <w:rFonts w:hint="eastAsia" w:ascii="宋体" w:hAnsi="宋体" w:eastAsia="宋体" w:cs="Times New Roman"/>
          <w:sz w:val="21"/>
          <w:szCs w:val="21"/>
          <w:u w:val="single"/>
        </w:rPr>
        <w:t xml:space="preserve">  按 16.2.1 承包人违约的情形执行     </w:t>
      </w:r>
      <w:r>
        <w:rPr>
          <w:rFonts w:hint="eastAsia" w:ascii="宋体" w:hAnsi="宋体" w:eastAsia="宋体" w:cs="Times New Roman"/>
          <w:sz w:val="21"/>
          <w:szCs w:val="21"/>
        </w:rPr>
        <w:t>。</w:t>
      </w:r>
      <w:bookmarkStart w:id="1136" w:name="_Hlk528927599"/>
      <w:bookmarkEnd w:id="1136"/>
    </w:p>
    <w:p w14:paraId="3AD0C7BC">
      <w:pPr>
        <w:spacing w:line="360" w:lineRule="auto"/>
        <w:jc w:val="left"/>
        <w:rPr>
          <w:rFonts w:ascii="宋体" w:hAnsi="宋体" w:eastAsia="宋体" w:cs="Times New Roman"/>
          <w:sz w:val="21"/>
          <w:szCs w:val="21"/>
        </w:rPr>
      </w:pPr>
      <w:bookmarkStart w:id="1137" w:name="_Hlk528927718"/>
      <w:bookmarkEnd w:id="1137"/>
      <w:r>
        <w:rPr>
          <w:rFonts w:hint="eastAsia" w:ascii="宋体" w:hAnsi="宋体" w:eastAsia="宋体" w:cs="Times New Roman"/>
          <w:sz w:val="21"/>
          <w:szCs w:val="21"/>
        </w:rPr>
        <w:t>3.2.3 承包人擅自更换项目经理的违约责任：</w:t>
      </w:r>
      <w:r>
        <w:rPr>
          <w:rFonts w:hint="eastAsia" w:ascii="宋体" w:hAnsi="宋体" w:eastAsia="宋体" w:cs="Times New Roman"/>
          <w:sz w:val="21"/>
          <w:szCs w:val="21"/>
          <w:u w:val="single"/>
        </w:rPr>
        <w:t xml:space="preserve">   按 16.2.1 承包人违约的情形执行       </w:t>
      </w:r>
      <w:r>
        <w:rPr>
          <w:rFonts w:hint="eastAsia" w:ascii="宋体" w:hAnsi="宋体" w:eastAsia="宋体" w:cs="Times New Roman"/>
          <w:sz w:val="21"/>
          <w:szCs w:val="21"/>
        </w:rPr>
        <w:t>。</w:t>
      </w:r>
    </w:p>
    <w:p w14:paraId="2FC220A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3.2.4 承包人无正当理由拒绝更换项目经理的违约责任：</w:t>
      </w:r>
      <w:r>
        <w:rPr>
          <w:rFonts w:hint="eastAsia" w:ascii="宋体" w:hAnsi="宋体" w:eastAsia="宋体" w:cs="Times New Roman"/>
          <w:sz w:val="21"/>
          <w:szCs w:val="21"/>
          <w:u w:val="single"/>
        </w:rPr>
        <w:t xml:space="preserve">    按 16.2.1 承包人违约的情形执行      </w:t>
      </w:r>
      <w:r>
        <w:rPr>
          <w:rFonts w:hint="eastAsia" w:ascii="宋体" w:hAnsi="宋体" w:eastAsia="宋体" w:cs="Times New Roman"/>
          <w:sz w:val="21"/>
          <w:szCs w:val="21"/>
        </w:rPr>
        <w:t>。</w:t>
      </w:r>
    </w:p>
    <w:p w14:paraId="4940C88F">
      <w:pPr>
        <w:widowControl/>
        <w:spacing w:line="360" w:lineRule="auto"/>
        <w:jc w:val="left"/>
        <w:outlineLvl w:val="4"/>
        <w:rPr>
          <w:rFonts w:ascii="宋体" w:hAnsi="宋体" w:eastAsia="宋体" w:cs="宋体"/>
          <w:b/>
          <w:bCs/>
          <w:kern w:val="0"/>
          <w:sz w:val="21"/>
          <w:szCs w:val="21"/>
        </w:rPr>
      </w:pPr>
      <w:bookmarkStart w:id="1138" w:name="_Toc532377337"/>
      <w:bookmarkEnd w:id="1138"/>
      <w:r>
        <w:rPr>
          <w:rFonts w:hint="eastAsia" w:ascii="宋体" w:hAnsi="宋体" w:eastAsia="宋体" w:cs="宋体"/>
          <w:b/>
          <w:bCs/>
          <w:kern w:val="0"/>
          <w:sz w:val="21"/>
          <w:szCs w:val="21"/>
        </w:rPr>
        <w:t>3.3 承包人人员</w:t>
      </w:r>
    </w:p>
    <w:p w14:paraId="25B138F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3.3.1 承包人提交项目管理机构及施工现场管理人员安排报告的期限：</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0E41708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3.3.3 承包人无正当理由拒绝撤换主要施工管理人员的违约责任：</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6254320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3.3.4 承包人主要施工管理人员离开施工现场的批准要求：</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12E34D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3.3.5承包人擅自更换主要施工管理人员的违约责任：</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DF2606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承包人主要施工管理人员擅自离开施工现场的违约责任：</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3676D679">
      <w:pPr>
        <w:widowControl/>
        <w:spacing w:line="360" w:lineRule="auto"/>
        <w:jc w:val="left"/>
        <w:outlineLvl w:val="4"/>
        <w:rPr>
          <w:rFonts w:ascii="宋体" w:hAnsi="宋体" w:eastAsia="宋体" w:cs="宋体"/>
          <w:b/>
          <w:bCs/>
          <w:kern w:val="0"/>
          <w:sz w:val="21"/>
          <w:szCs w:val="21"/>
        </w:rPr>
      </w:pPr>
      <w:bookmarkStart w:id="1139" w:name="_Toc532377338"/>
      <w:bookmarkEnd w:id="1139"/>
      <w:r>
        <w:rPr>
          <w:rFonts w:hint="eastAsia" w:ascii="宋体" w:hAnsi="宋体" w:eastAsia="宋体" w:cs="宋体"/>
          <w:b/>
          <w:bCs/>
          <w:kern w:val="0"/>
          <w:sz w:val="21"/>
          <w:szCs w:val="21"/>
        </w:rPr>
        <w:t>3</w:t>
      </w:r>
      <w:bookmarkStart w:id="1140" w:name="_Toc312677988"/>
      <w:bookmarkEnd w:id="1140"/>
      <w:bookmarkStart w:id="1141" w:name="_Toc304295523"/>
      <w:bookmarkEnd w:id="1141"/>
      <w:bookmarkStart w:id="1142" w:name="_Toc296346660"/>
      <w:bookmarkEnd w:id="1142"/>
      <w:bookmarkStart w:id="1143" w:name="_Toc297048345"/>
      <w:bookmarkEnd w:id="1143"/>
      <w:bookmarkStart w:id="1144" w:name="_Toc297216151"/>
      <w:bookmarkEnd w:id="1144"/>
      <w:bookmarkStart w:id="1145" w:name="_Toc292559869"/>
      <w:bookmarkEnd w:id="1145"/>
      <w:bookmarkStart w:id="1146" w:name="_Toc296891199"/>
      <w:bookmarkEnd w:id="1146"/>
      <w:bookmarkStart w:id="1147" w:name="_Toc297120459"/>
      <w:bookmarkEnd w:id="1147"/>
      <w:bookmarkStart w:id="1148" w:name="_Toc296890987"/>
      <w:bookmarkEnd w:id="1148"/>
      <w:bookmarkStart w:id="1149" w:name="_Toc300934945"/>
      <w:bookmarkEnd w:id="1149"/>
      <w:bookmarkStart w:id="1150" w:name="_Toc296503159"/>
      <w:bookmarkEnd w:id="1150"/>
      <w:bookmarkStart w:id="1151" w:name="_Toc296347158"/>
      <w:bookmarkEnd w:id="1151"/>
      <w:bookmarkStart w:id="1152" w:name="_Toc297123492"/>
      <w:bookmarkEnd w:id="1152"/>
      <w:bookmarkStart w:id="1153" w:name="_Toc303539102"/>
      <w:bookmarkEnd w:id="1153"/>
      <w:bookmarkStart w:id="1154" w:name="_Toc296944498"/>
      <w:bookmarkEnd w:id="1154"/>
      <w:bookmarkStart w:id="1155" w:name="_Toc292559364"/>
      <w:r>
        <w:rPr>
          <w:rFonts w:hint="eastAsia" w:ascii="宋体" w:hAnsi="宋体" w:eastAsia="宋体" w:cs="宋体"/>
          <w:b/>
          <w:bCs/>
          <w:kern w:val="0"/>
          <w:sz w:val="21"/>
          <w:szCs w:val="21"/>
        </w:rPr>
        <w:t>.5 分包</w:t>
      </w:r>
      <w:bookmarkEnd w:id="1155"/>
    </w:p>
    <w:p w14:paraId="179A2C8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3.5.1 分包的一般约定</w:t>
      </w:r>
    </w:p>
    <w:p w14:paraId="50F64C6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禁止分包的工程包括：</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040E70A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主体结构、关键性工作的范围：</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6BFD34F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3.5.2分包的确定</w:t>
      </w:r>
    </w:p>
    <w:p w14:paraId="571F398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允许分包的专业工程包括：</w:t>
      </w:r>
      <w:r>
        <w:rPr>
          <w:rFonts w:hint="eastAsia" w:ascii="宋体" w:hAnsi="宋体" w:eastAsia="宋体" w:cs="Times New Roman"/>
          <w:sz w:val="21"/>
          <w:szCs w:val="21"/>
          <w:u w:val="single"/>
        </w:rPr>
        <w:t xml:space="preserve">  按相关法律法规执行          </w:t>
      </w:r>
      <w:r>
        <w:rPr>
          <w:rFonts w:hint="eastAsia" w:ascii="宋体" w:hAnsi="宋体" w:eastAsia="宋体" w:cs="Times New Roman"/>
          <w:sz w:val="21"/>
          <w:szCs w:val="21"/>
        </w:rPr>
        <w:t>。</w:t>
      </w:r>
    </w:p>
    <w:p w14:paraId="36DB1E6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其他关于分包的约定：</w:t>
      </w:r>
      <w:r>
        <w:rPr>
          <w:rFonts w:hint="eastAsia" w:ascii="宋体" w:hAnsi="宋体" w:eastAsia="宋体" w:cs="Times New Roman"/>
          <w:sz w:val="21"/>
          <w:szCs w:val="21"/>
          <w:u w:val="single"/>
        </w:rPr>
        <w:t xml:space="preserve">  按相关法律法规执行    </w:t>
      </w:r>
      <w:r>
        <w:rPr>
          <w:rFonts w:hint="eastAsia" w:ascii="宋体" w:hAnsi="宋体" w:eastAsia="宋体" w:cs="Times New Roman"/>
          <w:sz w:val="21"/>
          <w:szCs w:val="21"/>
        </w:rPr>
        <w:t>。</w:t>
      </w:r>
    </w:p>
    <w:p w14:paraId="0A0261A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3.5.4 分包合同价款</w:t>
      </w:r>
    </w:p>
    <w:p w14:paraId="2B6758AB">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关于分包合同价款支付的约定：</w:t>
      </w:r>
      <w:r>
        <w:rPr>
          <w:rFonts w:hint="eastAsia" w:ascii="宋体" w:hAnsi="宋体" w:eastAsia="宋体" w:cs="宋体"/>
          <w:b/>
          <w:bCs/>
          <w:kern w:val="0"/>
          <w:sz w:val="21"/>
          <w:szCs w:val="21"/>
          <w:u w:val="single"/>
        </w:rPr>
        <w:t xml:space="preserve"> 分包合同价款由承包人与分包人结算，未经承包人同意，发包人不得向分包人支付分包工程价款；生效法律文书要求发包人向分包人支付分包合同价款的，发包人有权从应付承包人工程款中扣除该部分款项  </w:t>
      </w:r>
      <w:r>
        <w:rPr>
          <w:rFonts w:hint="eastAsia" w:ascii="宋体" w:hAnsi="宋体" w:eastAsia="宋体" w:cs="宋体"/>
          <w:b/>
          <w:bCs/>
          <w:kern w:val="0"/>
          <w:sz w:val="21"/>
          <w:szCs w:val="21"/>
        </w:rPr>
        <w:t>。</w:t>
      </w:r>
    </w:p>
    <w:p w14:paraId="5DDCA4ED">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3.6 工程照管与成品、半成品保护</w:t>
      </w:r>
    </w:p>
    <w:p w14:paraId="626137F9">
      <w:pPr>
        <w:spacing w:line="360" w:lineRule="auto"/>
        <w:jc w:val="left"/>
        <w:rPr>
          <w:rFonts w:ascii="宋体" w:hAnsi="宋体" w:eastAsia="宋体" w:cs="Times New Roman"/>
          <w:kern w:val="0"/>
          <w:sz w:val="21"/>
          <w:szCs w:val="21"/>
        </w:rPr>
      </w:pPr>
      <w:r>
        <w:rPr>
          <w:rFonts w:hint="eastAsia" w:ascii="宋体" w:hAnsi="宋体" w:eastAsia="宋体" w:cs="Times New Roman"/>
          <w:sz w:val="21"/>
          <w:szCs w:val="21"/>
        </w:rPr>
        <w:t>承包人负责照管工程及工程相关的材料、工程设备的起始时间：</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rPr>
        <w:t>自发包人向承包人移交施工现场之日起，承包人应负责照管工程及工程相关的材料、工程设备，直到颁发工程接收证书之日止。</w:t>
      </w:r>
    </w:p>
    <w:p w14:paraId="0BF561A1">
      <w:pPr>
        <w:widowControl/>
        <w:spacing w:line="360" w:lineRule="auto"/>
        <w:jc w:val="left"/>
        <w:outlineLvl w:val="4"/>
        <w:rPr>
          <w:rFonts w:ascii="宋体" w:hAnsi="宋体" w:eastAsia="宋体" w:cs="宋体"/>
          <w:b/>
          <w:bCs/>
          <w:kern w:val="0"/>
          <w:sz w:val="21"/>
          <w:szCs w:val="21"/>
        </w:rPr>
      </w:pPr>
      <w:bookmarkStart w:id="1156" w:name="_Toc532377339"/>
      <w:bookmarkEnd w:id="1156"/>
      <w:r>
        <w:rPr>
          <w:rFonts w:hint="eastAsia" w:ascii="宋体" w:hAnsi="宋体" w:eastAsia="宋体" w:cs="宋体"/>
          <w:b/>
          <w:bCs/>
          <w:kern w:val="0"/>
          <w:sz w:val="21"/>
          <w:szCs w:val="21"/>
        </w:rPr>
        <w:t>3.7 履约担保</w:t>
      </w:r>
    </w:p>
    <w:p w14:paraId="5FCE4972">
      <w:pPr>
        <w:autoSpaceDE w:val="0"/>
        <w:spacing w:line="360" w:lineRule="auto"/>
        <w:jc w:val="left"/>
        <w:rPr>
          <w:rFonts w:ascii="宋体" w:hAnsi="宋体" w:eastAsia="宋体" w:cs="Times New Roman"/>
          <w:sz w:val="21"/>
          <w:szCs w:val="21"/>
        </w:rPr>
      </w:pPr>
      <w:bookmarkStart w:id="1157" w:name="_Toc532377340"/>
      <w:bookmarkEnd w:id="1157"/>
      <w:bookmarkStart w:id="1158" w:name="_Toc351203636"/>
      <w:bookmarkEnd w:id="1158"/>
      <w:bookmarkStart w:id="1159" w:name="_Toc532375611"/>
      <w:r>
        <w:rPr>
          <w:rFonts w:hint="eastAsia" w:ascii="宋体" w:hAnsi="宋体" w:eastAsia="宋体" w:cs="Times New Roman"/>
          <w:sz w:val="21"/>
          <w:szCs w:val="21"/>
        </w:rPr>
        <w:t>承包人是否提供履约担保：</w:t>
      </w:r>
      <w:bookmarkEnd w:id="1159"/>
      <w:r>
        <w:rPr>
          <w:rFonts w:hint="eastAsia" w:ascii="宋体" w:hAnsi="宋体" w:eastAsia="宋体" w:cs="Times New Roman"/>
          <w:sz w:val="21"/>
          <w:szCs w:val="21"/>
          <w:u w:val="single"/>
        </w:rPr>
        <w:t xml:space="preserve">  提供      </w:t>
      </w:r>
      <w:r>
        <w:rPr>
          <w:rFonts w:hint="eastAsia" w:ascii="宋体" w:hAnsi="宋体" w:eastAsia="宋体" w:cs="Times New Roman"/>
          <w:sz w:val="21"/>
          <w:szCs w:val="21"/>
        </w:rPr>
        <w:t>。</w:t>
      </w:r>
    </w:p>
    <w:p w14:paraId="5D3A271A">
      <w:pPr>
        <w:snapToGrid w:val="0"/>
        <w:spacing w:line="400" w:lineRule="exact"/>
        <w:rPr>
          <w:rFonts w:ascii="宋体" w:hAnsi="宋体" w:eastAsia="宋体" w:cs="Times New Roman"/>
          <w:sz w:val="21"/>
          <w:szCs w:val="21"/>
          <w:u w:val="single"/>
        </w:rPr>
      </w:pPr>
      <w:r>
        <w:rPr>
          <w:rFonts w:hint="eastAsia" w:ascii="宋体" w:hAnsi="宋体" w:eastAsia="宋体" w:cs="Times New Roman"/>
          <w:sz w:val="21"/>
          <w:szCs w:val="21"/>
        </w:rPr>
        <w:t>承包人提供履约担保的形式、金额及期限的：</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u w:val="single"/>
        </w:rPr>
        <w:t>（1）履约担保的形式：现金或现金+履约保函的组合（采用现金+履约保函的组合提交的，现金比例不低于应缴纳金额的 50%），履约保函范文本详见第四章合同条款及格式附件。中标人提交的履约保函应严格执行其示范文本，不得对示范文本中的实质性内容进行修改</w:t>
      </w:r>
      <w:r>
        <w:rPr>
          <w:rFonts w:hint="eastAsia" w:ascii="宋体" w:hAnsi="宋体" w:eastAsia="宋体" w:cs="Times New Roman"/>
          <w:sz w:val="21"/>
          <w:szCs w:val="21"/>
          <w:u w:val="single"/>
        </w:rPr>
        <w:t>。</w:t>
      </w:r>
      <w:r>
        <w:rPr>
          <w:rFonts w:hint="eastAsia" w:ascii="宋体" w:hAnsi="宋体" w:eastAsia="宋体" w:cs="Times New Roman"/>
          <w:sz w:val="21"/>
          <w:szCs w:val="21"/>
        </w:rPr>
        <w:t>保函须不可撤销且见索即付。</w:t>
      </w:r>
    </w:p>
    <w:p w14:paraId="0BE77B1B">
      <w:pPr>
        <w:spacing w:line="400" w:lineRule="exact"/>
        <w:rPr>
          <w:rFonts w:ascii="宋体" w:hAnsi="宋体" w:eastAsia="宋体" w:cs="Times New Roman"/>
          <w:kern w:val="0"/>
          <w:sz w:val="21"/>
          <w:szCs w:val="21"/>
          <w:u w:val="single"/>
        </w:rPr>
      </w:pPr>
      <w:r>
        <w:rPr>
          <w:rFonts w:hint="eastAsia" w:ascii="宋体" w:hAnsi="宋体" w:eastAsia="宋体" w:cs="Times New Roman"/>
          <w:sz w:val="21"/>
          <w:szCs w:val="21"/>
        </w:rPr>
        <w:t>注:根据《关于印发重庆市融资担保公司监管评级及分类监管办法的通知》(渝金发(2021)5号)文件，担保公司须在《重庆市地方金融监督管理局关于开展2023年度监管评级有关工作的通知》《重庆市地方金融监督管理局关于开展2024年度监管评级有关工作的通知》中监管评级等级在B级及以上。</w:t>
      </w:r>
    </w:p>
    <w:p w14:paraId="57D9E000">
      <w:pPr>
        <w:snapToGrid w:val="0"/>
        <w:spacing w:line="360" w:lineRule="auto"/>
        <w:rPr>
          <w:rFonts w:ascii="宋体" w:hAnsi="宋体" w:eastAsia="宋体" w:cs="Times New Roman"/>
          <w:kern w:val="0"/>
          <w:sz w:val="21"/>
          <w:szCs w:val="21"/>
          <w:u w:val="single"/>
        </w:rPr>
      </w:pPr>
      <w:r>
        <w:rPr>
          <w:rFonts w:hint="eastAsia" w:ascii="宋体" w:hAnsi="宋体" w:eastAsia="宋体" w:cs="Times New Roman"/>
          <w:kern w:val="0"/>
          <w:sz w:val="21"/>
          <w:szCs w:val="21"/>
          <w:u w:val="single"/>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中标人应选择在渝依法设立总部或者设有分支机构的金融机构开具履约保函（包括纸质保函或电子保函）。履约保函为纸质保函的，中标人应提供该纸质保函在重庆市辖区范围内的核验地址和核验方式，并确保该纸质保函能在开立人在渝的总部或者分支机构进行核验。中标人对所提交的履约保函的真实性、合法性、有效性负责。</w:t>
      </w:r>
    </w:p>
    <w:p w14:paraId="3D91EB49">
      <w:pPr>
        <w:snapToGrid w:val="0"/>
        <w:spacing w:line="360" w:lineRule="auto"/>
        <w:rPr>
          <w:rFonts w:ascii="宋体" w:hAnsi="宋体" w:eastAsia="宋体" w:cs="Times New Roman"/>
          <w:kern w:val="0"/>
          <w:sz w:val="21"/>
          <w:szCs w:val="21"/>
          <w:u w:val="single"/>
        </w:rPr>
      </w:pPr>
      <w:r>
        <w:rPr>
          <w:rFonts w:hint="eastAsia" w:ascii="宋体" w:hAnsi="宋体" w:eastAsia="宋体" w:cs="Times New Roman"/>
          <w:kern w:val="0"/>
          <w:sz w:val="21"/>
          <w:szCs w:val="21"/>
          <w:u w:val="single"/>
        </w:rPr>
        <w:t>（3）履约担保的金额： 中标合同金额的 10%（不包含农民工工资保证金） 。</w:t>
      </w:r>
    </w:p>
    <w:p w14:paraId="59330EA0">
      <w:pPr>
        <w:widowControl/>
        <w:spacing w:line="460" w:lineRule="exact"/>
        <w:rPr>
          <w:rFonts w:ascii="宋体" w:hAnsi="宋体" w:eastAsia="宋体" w:cs="Times New Roman"/>
          <w:kern w:val="0"/>
          <w:sz w:val="21"/>
          <w:szCs w:val="21"/>
          <w:u w:val="single"/>
        </w:rPr>
      </w:pPr>
      <w:r>
        <w:rPr>
          <w:rFonts w:hint="eastAsia" w:ascii="宋体" w:hAnsi="宋体" w:eastAsia="宋体" w:cs="Times New Roman"/>
          <w:kern w:val="0"/>
          <w:sz w:val="21"/>
          <w:szCs w:val="21"/>
          <w:u w:val="single"/>
        </w:rPr>
        <w:t>（4）履约担保的提交时间：中选承包商领取中选通知书之日起10个工作日内，并作为签订施工合同的必备条件。</w:t>
      </w:r>
    </w:p>
    <w:p w14:paraId="2DE64878">
      <w:pPr>
        <w:snapToGrid w:val="0"/>
        <w:spacing w:line="360" w:lineRule="auto"/>
        <w:rPr>
          <w:rFonts w:ascii="宋体" w:hAnsi="宋体" w:eastAsia="宋体" w:cs="Times New Roman"/>
          <w:kern w:val="0"/>
          <w:sz w:val="21"/>
          <w:szCs w:val="21"/>
          <w:u w:val="single"/>
        </w:rPr>
      </w:pPr>
      <w:r>
        <w:rPr>
          <w:rFonts w:hint="eastAsia" w:ascii="宋体" w:hAnsi="宋体" w:eastAsia="宋体" w:cs="Times New Roman"/>
          <w:kern w:val="0"/>
          <w:sz w:val="21"/>
          <w:szCs w:val="21"/>
          <w:u w:val="single"/>
        </w:rPr>
        <w:t>（5）履约担保的期限：自我方法定代表人（或其委托代理人）签名并加盖公章之日起至你方签发或应签发工程接收证书之日止自提交履约担保之日起至交（竣）工验收合格之日止</w:t>
      </w:r>
      <w:r>
        <w:rPr>
          <w:rFonts w:hint="eastAsia" w:ascii="宋体" w:hAnsi="宋体" w:eastAsia="宋体" w:cs="Times New Roman"/>
          <w:kern w:val="0"/>
          <w:sz w:val="21"/>
          <w:szCs w:val="21"/>
        </w:rPr>
        <w:t>。</w:t>
      </w:r>
    </w:p>
    <w:p w14:paraId="523DE973">
      <w:pPr>
        <w:spacing w:before="100" w:beforeAutospacing="1"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u w:val="single"/>
        </w:rPr>
        <w:t>（6）履约担保的退还时间：采用现金担保的，工程竣工验收合格后14天内退还；采用银行保函的，工程竣工验收合格后14天内退还。</w:t>
      </w:r>
    </w:p>
    <w:p w14:paraId="35D1735D">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4</w:t>
      </w:r>
      <w:bookmarkStart w:id="1160" w:name="_Toc296890990"/>
      <w:bookmarkEnd w:id="1160"/>
      <w:bookmarkStart w:id="1161" w:name="_Toc292559871"/>
      <w:bookmarkEnd w:id="1161"/>
      <w:bookmarkStart w:id="1162" w:name="_Toc296346663"/>
      <w:bookmarkEnd w:id="1162"/>
      <w:bookmarkStart w:id="1163" w:name="_Toc296347161"/>
      <w:bookmarkEnd w:id="1163"/>
      <w:bookmarkStart w:id="1164" w:name="_Toc296891202"/>
      <w:bookmarkEnd w:id="1164"/>
      <w:bookmarkStart w:id="1165" w:name="_Toc267251413"/>
      <w:bookmarkEnd w:id="1165"/>
      <w:bookmarkStart w:id="1166" w:name="_Toc296944501"/>
      <w:bookmarkEnd w:id="1166"/>
      <w:bookmarkStart w:id="1167" w:name="_Toc297048348"/>
      <w:bookmarkEnd w:id="1167"/>
      <w:bookmarkStart w:id="1168" w:name="_Toc296503162"/>
      <w:bookmarkEnd w:id="1168"/>
      <w:bookmarkStart w:id="1169" w:name="_Toc297120462"/>
      <w:bookmarkEnd w:id="1169"/>
      <w:bookmarkStart w:id="1170" w:name="_Toc292559366"/>
      <w:r>
        <w:rPr>
          <w:rFonts w:hint="eastAsia" w:ascii="宋体" w:hAnsi="宋体" w:eastAsia="宋体" w:cs="宋体"/>
          <w:b/>
          <w:bCs/>
          <w:sz w:val="21"/>
          <w:szCs w:val="21"/>
        </w:rPr>
        <w:t>. 监</w:t>
      </w:r>
      <w:bookmarkEnd w:id="1170"/>
      <w:r>
        <w:rPr>
          <w:rFonts w:hint="eastAsia" w:ascii="宋体" w:hAnsi="宋体" w:eastAsia="宋体" w:cs="宋体"/>
          <w:b/>
          <w:bCs/>
          <w:sz w:val="21"/>
          <w:szCs w:val="21"/>
        </w:rPr>
        <w:t>理人</w:t>
      </w:r>
    </w:p>
    <w:p w14:paraId="6B52AFDA">
      <w:pPr>
        <w:widowControl/>
        <w:spacing w:line="360" w:lineRule="auto"/>
        <w:jc w:val="left"/>
        <w:outlineLvl w:val="4"/>
        <w:rPr>
          <w:rFonts w:ascii="宋体" w:hAnsi="宋体" w:eastAsia="宋体" w:cs="宋体"/>
          <w:b/>
          <w:bCs/>
          <w:kern w:val="0"/>
          <w:sz w:val="21"/>
          <w:szCs w:val="21"/>
        </w:rPr>
      </w:pPr>
      <w:bookmarkStart w:id="1171" w:name="_Toc532377341"/>
      <w:bookmarkEnd w:id="1171"/>
      <w:r>
        <w:rPr>
          <w:rFonts w:hint="eastAsia" w:ascii="宋体" w:hAnsi="宋体" w:eastAsia="宋体" w:cs="宋体"/>
          <w:b/>
          <w:bCs/>
          <w:kern w:val="0"/>
          <w:sz w:val="21"/>
          <w:szCs w:val="21"/>
        </w:rPr>
        <w:t>4.1 监理人的一般规定</w:t>
      </w:r>
    </w:p>
    <w:p w14:paraId="19240766">
      <w:pPr>
        <w:spacing w:line="360" w:lineRule="auto"/>
        <w:jc w:val="left"/>
        <w:rPr>
          <w:rFonts w:ascii="宋体" w:hAnsi="宋体" w:eastAsia="宋体" w:cs="Times New Roman"/>
          <w:sz w:val="21"/>
          <w:szCs w:val="21"/>
        </w:rPr>
      </w:pPr>
      <w:bookmarkStart w:id="1172" w:name="_Toc532377342"/>
      <w:bookmarkEnd w:id="1172"/>
      <w:r>
        <w:rPr>
          <w:rFonts w:hint="eastAsia" w:ascii="宋体" w:hAnsi="宋体" w:eastAsia="宋体" w:cs="Times New Roman"/>
          <w:sz w:val="21"/>
          <w:szCs w:val="21"/>
        </w:rPr>
        <w:t>关于监理人的监理内容：</w:t>
      </w:r>
      <w:r>
        <w:rPr>
          <w:rFonts w:hint="eastAsia" w:ascii="宋体" w:hAnsi="宋体" w:eastAsia="宋体" w:cs="Times New Roman"/>
          <w:sz w:val="21"/>
          <w:szCs w:val="21"/>
          <w:u w:val="single"/>
        </w:rPr>
        <w:t>见发包人与监理人就本工程签订的监理合同</w:t>
      </w:r>
      <w:r>
        <w:rPr>
          <w:rFonts w:hint="eastAsia" w:ascii="宋体" w:hAnsi="宋体" w:eastAsia="宋体" w:cs="Times New Roman"/>
          <w:sz w:val="21"/>
          <w:szCs w:val="21"/>
        </w:rPr>
        <w:t>。</w:t>
      </w:r>
    </w:p>
    <w:p w14:paraId="4EC32C1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关于监理人的监理权限：</w:t>
      </w:r>
      <w:r>
        <w:rPr>
          <w:rFonts w:hint="eastAsia" w:ascii="宋体" w:hAnsi="宋体" w:eastAsia="宋体" w:cs="Times New Roman"/>
          <w:sz w:val="21"/>
          <w:szCs w:val="21"/>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eastAsia="宋体" w:cs="Times New Roman"/>
          <w:sz w:val="21"/>
          <w:szCs w:val="21"/>
        </w:rPr>
        <w:t>。</w:t>
      </w:r>
    </w:p>
    <w:p w14:paraId="30EA35D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关于监理人在施工现场的办公场所、生活场所的提供和费用承担的约定：</w:t>
      </w:r>
      <w:r>
        <w:rPr>
          <w:rFonts w:hint="eastAsia" w:ascii="宋体" w:hAnsi="宋体" w:eastAsia="宋体" w:cs="Times New Roman"/>
          <w:sz w:val="21"/>
          <w:szCs w:val="21"/>
          <w:u w:val="single"/>
        </w:rPr>
        <w:t xml:space="preserve">  见发包人与监理人就本工程签订的监理合同</w:t>
      </w:r>
      <w:r>
        <w:rPr>
          <w:rFonts w:hint="eastAsia" w:ascii="宋体" w:hAnsi="宋体" w:eastAsia="宋体" w:cs="Times New Roman"/>
          <w:sz w:val="21"/>
          <w:szCs w:val="21"/>
        </w:rPr>
        <w:t>。</w:t>
      </w:r>
    </w:p>
    <w:p w14:paraId="16A600D9">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4.2 监理人员</w:t>
      </w:r>
    </w:p>
    <w:p w14:paraId="3E223A2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总监理工程师：</w:t>
      </w:r>
    </w:p>
    <w:p w14:paraId="34FE28E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姓    名：</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86E663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职    务：</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C5FA2E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监理工程师执业资格证书号：</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85B4A9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联系方式：</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88B1CD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关于监理人的其他约定：</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4A02CF3A">
      <w:pPr>
        <w:keepNext/>
        <w:keepLines/>
        <w:spacing w:line="360" w:lineRule="auto"/>
        <w:outlineLvl w:val="3"/>
        <w:rPr>
          <w:rFonts w:ascii="宋体" w:hAnsi="宋体" w:eastAsia="宋体" w:cs="宋体"/>
          <w:b/>
          <w:sz w:val="21"/>
          <w:szCs w:val="21"/>
        </w:rPr>
      </w:pPr>
      <w:bookmarkStart w:id="1173" w:name="_Toc532375612"/>
      <w:bookmarkEnd w:id="1173"/>
      <w:bookmarkStart w:id="1174" w:name="_Toc351203637"/>
      <w:bookmarkEnd w:id="1174"/>
      <w:bookmarkStart w:id="1175" w:name="_Toc532377344"/>
      <w:bookmarkEnd w:id="1175"/>
      <w:bookmarkStart w:id="1176" w:name="_Toc267251418"/>
      <w:r>
        <w:rPr>
          <w:rFonts w:hint="eastAsia" w:ascii="宋体" w:hAnsi="宋体" w:eastAsia="宋体" w:cs="宋体"/>
          <w:b/>
          <w:bCs/>
          <w:sz w:val="21"/>
          <w:szCs w:val="21"/>
        </w:rPr>
        <w:t>5</w:t>
      </w:r>
      <w:bookmarkEnd w:id="1176"/>
      <w:bookmarkStart w:id="1177" w:name="_Toc292559872"/>
      <w:bookmarkEnd w:id="1177"/>
      <w:bookmarkStart w:id="1178" w:name="_Toc296944502"/>
      <w:bookmarkEnd w:id="1178"/>
      <w:bookmarkStart w:id="1179" w:name="_Toc296346664"/>
      <w:bookmarkEnd w:id="1179"/>
      <w:bookmarkStart w:id="1180" w:name="_Toc296890991"/>
      <w:bookmarkEnd w:id="1180"/>
      <w:bookmarkStart w:id="1181" w:name="_Toc297120463"/>
      <w:bookmarkEnd w:id="1181"/>
      <w:bookmarkStart w:id="1182" w:name="_Toc297048349"/>
      <w:bookmarkEnd w:id="1182"/>
      <w:bookmarkStart w:id="1183" w:name="_Toc296503163"/>
      <w:bookmarkEnd w:id="1183"/>
      <w:bookmarkStart w:id="1184" w:name="_Toc296891203"/>
      <w:bookmarkEnd w:id="1184"/>
      <w:bookmarkStart w:id="1185" w:name="_Toc292559367"/>
      <w:bookmarkEnd w:id="1185"/>
      <w:bookmarkStart w:id="1186" w:name="_Toc296347162"/>
      <w:r>
        <w:rPr>
          <w:rFonts w:hint="eastAsia" w:ascii="宋体" w:hAnsi="宋体" w:eastAsia="宋体" w:cs="宋体"/>
          <w:b/>
          <w:bCs/>
          <w:sz w:val="21"/>
          <w:szCs w:val="21"/>
        </w:rPr>
        <w:t>. 工程质量</w:t>
      </w:r>
      <w:bookmarkEnd w:id="1186"/>
    </w:p>
    <w:p w14:paraId="0AD67033">
      <w:pPr>
        <w:widowControl/>
        <w:spacing w:line="360" w:lineRule="auto"/>
        <w:jc w:val="left"/>
        <w:outlineLvl w:val="4"/>
        <w:rPr>
          <w:rFonts w:ascii="宋体" w:hAnsi="宋体" w:eastAsia="宋体" w:cs="宋体"/>
          <w:b/>
          <w:bCs/>
          <w:kern w:val="0"/>
          <w:sz w:val="21"/>
          <w:szCs w:val="21"/>
        </w:rPr>
      </w:pPr>
      <w:bookmarkStart w:id="1187" w:name="_Toc532377345"/>
      <w:bookmarkEnd w:id="1187"/>
      <w:r>
        <w:rPr>
          <w:rFonts w:hint="eastAsia" w:ascii="宋体" w:hAnsi="宋体" w:eastAsia="宋体" w:cs="宋体"/>
          <w:b/>
          <w:bCs/>
          <w:kern w:val="0"/>
          <w:sz w:val="21"/>
          <w:szCs w:val="21"/>
        </w:rPr>
        <w:t>5.1 质量要求</w:t>
      </w:r>
      <w:bookmarkStart w:id="1188" w:name="_Toc297123496"/>
      <w:bookmarkEnd w:id="1188"/>
      <w:bookmarkStart w:id="1189" w:name="_Hlk528909888"/>
      <w:bookmarkEnd w:id="1189"/>
      <w:bookmarkStart w:id="1190" w:name="_Toc300934949"/>
      <w:bookmarkEnd w:id="1190"/>
      <w:bookmarkStart w:id="1191" w:name="_Toc318581164"/>
      <w:bookmarkEnd w:id="1191"/>
      <w:bookmarkStart w:id="1192" w:name="_Toc304295527"/>
      <w:bookmarkEnd w:id="1192"/>
      <w:bookmarkStart w:id="1193" w:name="_Toc312677997"/>
      <w:bookmarkEnd w:id="1193"/>
      <w:bookmarkStart w:id="1194" w:name="_Toc303539106"/>
      <w:bookmarkEnd w:id="1194"/>
      <w:bookmarkStart w:id="1195" w:name="_Toc297216155"/>
      <w:bookmarkEnd w:id="1195"/>
    </w:p>
    <w:p w14:paraId="23C4AB9D">
      <w:pPr>
        <w:spacing w:line="360" w:lineRule="auto"/>
        <w:jc w:val="left"/>
        <w:rPr>
          <w:rFonts w:ascii="宋体" w:hAnsi="宋体" w:eastAsia="宋体" w:cs="Times New Roman"/>
          <w:sz w:val="21"/>
          <w:szCs w:val="21"/>
        </w:rPr>
      </w:pPr>
      <w:bookmarkStart w:id="1196" w:name="_Toc351203536"/>
      <w:bookmarkEnd w:id="1196"/>
      <w:bookmarkStart w:id="1197" w:name="_Hlk528927873"/>
      <w:bookmarkEnd w:id="1197"/>
      <w:bookmarkStart w:id="1198" w:name="_Toc532377347"/>
      <w:r>
        <w:rPr>
          <w:rFonts w:hint="eastAsia" w:ascii="宋体" w:hAnsi="宋体" w:eastAsia="宋体" w:cs="Times New Roman"/>
          <w:sz w:val="21"/>
          <w:szCs w:val="21"/>
        </w:rPr>
        <w:t>工程质量符合强制性质量标准，</w:t>
      </w:r>
      <w:bookmarkEnd w:id="1198"/>
      <w:r>
        <w:rPr>
          <w:rFonts w:hint="eastAsia" w:ascii="宋体" w:hAnsi="宋体" w:eastAsia="宋体" w:cs="Times New Roman"/>
          <w:sz w:val="21"/>
          <w:szCs w:val="21"/>
          <w:u w:val="single"/>
        </w:rPr>
        <w:t>符合国家和重庆市现行有关施工质量验收规范要求，并达到合格标准</w:t>
      </w:r>
      <w:r>
        <w:rPr>
          <w:rFonts w:hint="eastAsia" w:ascii="宋体" w:hAnsi="宋体" w:eastAsia="宋体" w:cs="Times New Roman"/>
          <w:sz w:val="21"/>
          <w:szCs w:val="21"/>
        </w:rPr>
        <w:t>。</w:t>
      </w:r>
    </w:p>
    <w:p w14:paraId="53D4A946">
      <w:pPr>
        <w:widowControl/>
        <w:spacing w:before="100" w:beforeAutospacing="1" w:after="100" w:afterAutospacing="1"/>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5.2质量缺陷及质量事故处理的约定：</w:t>
      </w:r>
    </w:p>
    <w:p w14:paraId="3707CD1D">
      <w:pPr>
        <w:adjustRightInd w:val="0"/>
        <w:snapToGrid w:val="0"/>
        <w:spacing w:line="360" w:lineRule="auto"/>
        <w:rPr>
          <w:rFonts w:ascii="宋体" w:hAnsi="宋体" w:eastAsia="宋体" w:cs="Times New Roman"/>
          <w:kern w:val="0"/>
          <w:sz w:val="21"/>
          <w:szCs w:val="21"/>
        </w:rPr>
      </w:pPr>
      <w:r>
        <w:rPr>
          <w:rFonts w:hint="eastAsia" w:ascii="宋体" w:hAnsi="宋体" w:eastAsia="宋体" w:cs="Times New Roman"/>
          <w:sz w:val="21"/>
          <w:szCs w:val="21"/>
        </w:rPr>
        <w:t xml:space="preserve"> </w:t>
      </w:r>
      <w:r>
        <w:rPr>
          <w:rFonts w:hint="eastAsia" w:ascii="宋体" w:hAnsi="宋体" w:eastAsia="宋体" w:cs="Times New Roman"/>
          <w:kern w:val="0"/>
          <w:sz w:val="21"/>
          <w:szCs w:val="21"/>
        </w:rPr>
        <w:t>（1）合同履行过程中，发生工程质量事故的调查处理按照国家及重庆市现行规定处理。</w:t>
      </w:r>
    </w:p>
    <w:p w14:paraId="0A57D8B3">
      <w:pPr>
        <w:adjustRightInd w:val="0"/>
        <w:snapToGrid w:val="0"/>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2）发包人在对工程质量（含材料、设备等）、安全和环境保护、水土保持等建设全过程管理中发现有技术、质量和其他问题的，可通过监理人责令承包人返工或整改，费用和工期损失由承包人承担；对存在的隐患，有权责令承包人予以解决，承包人按照合同中其他条款约定承担违约责任。</w:t>
      </w:r>
    </w:p>
    <w:p w14:paraId="652F3255">
      <w:pPr>
        <w:adjustRightInd w:val="0"/>
        <w:snapToGrid w:val="0"/>
        <w:spacing w:line="360" w:lineRule="auto"/>
        <w:rPr>
          <w:rFonts w:ascii="Times New Roman" w:hAnsi="Times New Roman" w:eastAsia="宋体" w:cs="Times New Roman"/>
          <w:sz w:val="21"/>
          <w:szCs w:val="21"/>
        </w:rPr>
      </w:pPr>
      <w:r>
        <w:rPr>
          <w:rFonts w:hint="eastAsia" w:ascii="宋体" w:hAnsi="宋体" w:eastAsia="宋体" w:cs="Times New Roman"/>
          <w:kern w:val="0"/>
          <w:sz w:val="21"/>
          <w:szCs w:val="21"/>
        </w:rPr>
        <w:t>（3）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477F78C">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5.3隐蔽工程检查</w:t>
      </w:r>
    </w:p>
    <w:p w14:paraId="654EF9F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5.3.2承包人提前通知监理人隐蔽工程检查的期限的约定：</w:t>
      </w:r>
      <w:r>
        <w:rPr>
          <w:rFonts w:hint="eastAsia" w:ascii="宋体" w:hAnsi="宋体" w:eastAsia="宋体" w:cs="Times New Roman"/>
          <w:sz w:val="21"/>
          <w:szCs w:val="21"/>
          <w:u w:val="single"/>
        </w:rPr>
        <w:t xml:space="preserve">   12小时内   </w:t>
      </w:r>
      <w:r>
        <w:rPr>
          <w:rFonts w:hint="eastAsia" w:ascii="宋体" w:hAnsi="宋体" w:eastAsia="宋体" w:cs="Times New Roman"/>
          <w:sz w:val="21"/>
          <w:szCs w:val="21"/>
        </w:rPr>
        <w:t>。</w:t>
      </w:r>
    </w:p>
    <w:p w14:paraId="0368D88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监理人不能按时进行检查时，应提前</w:t>
      </w:r>
      <w:r>
        <w:rPr>
          <w:rFonts w:hint="eastAsia" w:ascii="宋体" w:hAnsi="宋体" w:eastAsia="宋体" w:cs="Times New Roman"/>
          <w:sz w:val="21"/>
          <w:szCs w:val="21"/>
          <w:u w:val="single"/>
        </w:rPr>
        <w:t xml:space="preserve">  12  </w:t>
      </w:r>
      <w:r>
        <w:rPr>
          <w:rFonts w:hint="eastAsia" w:ascii="宋体" w:hAnsi="宋体" w:eastAsia="宋体" w:cs="Times New Roman"/>
          <w:sz w:val="21"/>
          <w:szCs w:val="21"/>
        </w:rPr>
        <w:t>小时提交书面延期要求。</w:t>
      </w:r>
    </w:p>
    <w:p w14:paraId="00F6637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关于延期最长不得超过：</w:t>
      </w:r>
      <w:r>
        <w:rPr>
          <w:rFonts w:hint="eastAsia" w:ascii="宋体" w:hAnsi="宋体" w:eastAsia="宋体" w:cs="Times New Roman"/>
          <w:sz w:val="21"/>
          <w:szCs w:val="21"/>
          <w:u w:val="single"/>
        </w:rPr>
        <w:t xml:space="preserve"> 24  </w:t>
      </w:r>
      <w:r>
        <w:rPr>
          <w:rFonts w:hint="eastAsia" w:ascii="宋体" w:hAnsi="宋体" w:eastAsia="宋体" w:cs="Times New Roman"/>
          <w:sz w:val="21"/>
          <w:szCs w:val="21"/>
        </w:rPr>
        <w:t>小时。</w:t>
      </w:r>
    </w:p>
    <w:p w14:paraId="2625D726">
      <w:pPr>
        <w:keepNext/>
        <w:keepLines/>
        <w:spacing w:line="360" w:lineRule="auto"/>
        <w:outlineLvl w:val="3"/>
        <w:rPr>
          <w:rFonts w:ascii="宋体" w:hAnsi="宋体" w:eastAsia="宋体" w:cs="宋体"/>
          <w:b/>
          <w:sz w:val="21"/>
          <w:szCs w:val="21"/>
        </w:rPr>
      </w:pPr>
      <w:bookmarkStart w:id="1199" w:name="_Toc267251427"/>
      <w:bookmarkEnd w:id="1199"/>
      <w:bookmarkStart w:id="1200" w:name="_Toc296503173"/>
      <w:bookmarkEnd w:id="1200"/>
      <w:bookmarkStart w:id="1201" w:name="_Toc532377349"/>
      <w:bookmarkEnd w:id="1201"/>
      <w:bookmarkStart w:id="1202" w:name="_Toc296346674"/>
      <w:bookmarkEnd w:id="1202"/>
      <w:bookmarkStart w:id="1203" w:name="_Toc292559883"/>
      <w:bookmarkEnd w:id="1203"/>
      <w:bookmarkStart w:id="1204" w:name="_Toc532375613"/>
      <w:bookmarkEnd w:id="1204"/>
      <w:bookmarkStart w:id="1205" w:name="_Toc296891001"/>
      <w:bookmarkEnd w:id="1205"/>
      <w:bookmarkStart w:id="1206" w:name="_Toc296347172"/>
      <w:bookmarkEnd w:id="1206"/>
      <w:bookmarkStart w:id="1207" w:name="_Toc296891213"/>
      <w:bookmarkEnd w:id="1207"/>
      <w:bookmarkStart w:id="1208" w:name="_Toc296944512"/>
      <w:bookmarkEnd w:id="1208"/>
      <w:bookmarkStart w:id="1209" w:name="_Toc267251428"/>
      <w:bookmarkEnd w:id="1209"/>
      <w:bookmarkStart w:id="1210" w:name="_Toc351203638"/>
      <w:bookmarkEnd w:id="1210"/>
      <w:bookmarkStart w:id="1211" w:name="_Toc297120473"/>
      <w:bookmarkEnd w:id="1211"/>
      <w:bookmarkStart w:id="1212" w:name="_Toc292559378"/>
      <w:bookmarkEnd w:id="1212"/>
      <w:bookmarkStart w:id="1213" w:name="_Toc297048359"/>
      <w:bookmarkEnd w:id="1213"/>
      <w:bookmarkStart w:id="1214" w:name="_Toc351203642"/>
      <w:bookmarkEnd w:id="1214"/>
      <w:r>
        <w:rPr>
          <w:rFonts w:hint="eastAsia" w:ascii="宋体" w:hAnsi="宋体" w:eastAsia="宋体" w:cs="宋体"/>
          <w:b/>
          <w:bCs/>
          <w:sz w:val="21"/>
          <w:szCs w:val="21"/>
        </w:rPr>
        <w:t>6. 安全文明施工与环境保护</w:t>
      </w:r>
    </w:p>
    <w:p w14:paraId="01268B17">
      <w:pPr>
        <w:widowControl/>
        <w:spacing w:line="360" w:lineRule="auto"/>
        <w:jc w:val="left"/>
        <w:outlineLvl w:val="4"/>
        <w:rPr>
          <w:rFonts w:ascii="宋体" w:hAnsi="宋体" w:eastAsia="宋体" w:cs="宋体"/>
          <w:b/>
          <w:bCs/>
          <w:kern w:val="0"/>
          <w:sz w:val="21"/>
          <w:szCs w:val="21"/>
        </w:rPr>
      </w:pPr>
      <w:bookmarkStart w:id="1215" w:name="_Toc532375614"/>
      <w:bookmarkEnd w:id="1215"/>
      <w:bookmarkStart w:id="1216" w:name="_Toc532377350"/>
      <w:r>
        <w:rPr>
          <w:rFonts w:hint="eastAsia" w:ascii="宋体" w:hAnsi="宋体" w:eastAsia="宋体" w:cs="宋体"/>
          <w:b/>
          <w:bCs/>
          <w:kern w:val="0"/>
          <w:sz w:val="21"/>
          <w:szCs w:val="21"/>
        </w:rPr>
        <w:t>6.1 安全文明施工</w:t>
      </w:r>
      <w:bookmarkEnd w:id="1216"/>
    </w:p>
    <w:p w14:paraId="3479659D">
      <w:pPr>
        <w:spacing w:line="360" w:lineRule="auto"/>
        <w:jc w:val="left"/>
        <w:rPr>
          <w:rFonts w:ascii="宋体" w:hAnsi="宋体" w:eastAsia="宋体" w:cs="Times New Roman"/>
          <w:sz w:val="21"/>
          <w:szCs w:val="21"/>
          <w:u w:val="single"/>
        </w:rPr>
      </w:pPr>
      <w:bookmarkStart w:id="1217" w:name="_Toc351203639"/>
      <w:bookmarkEnd w:id="1217"/>
      <w:bookmarkStart w:id="1218" w:name="_Toc532377352"/>
      <w:bookmarkEnd w:id="1218"/>
      <w:bookmarkStart w:id="1219" w:name="_Toc532375616"/>
      <w:r>
        <w:rPr>
          <w:rFonts w:hint="eastAsia" w:ascii="宋体" w:hAnsi="宋体" w:eastAsia="宋体" w:cs="Times New Roman"/>
          <w:sz w:val="21"/>
          <w:szCs w:val="21"/>
        </w:rPr>
        <w:t>6.1.1 项目安全生产的达标目标及相应事项的约定：</w:t>
      </w:r>
      <w:bookmarkEnd w:id="1219"/>
      <w:r>
        <w:rPr>
          <w:rFonts w:hint="eastAsia" w:ascii="宋体" w:hAnsi="宋体" w:eastAsia="宋体" w:cs="Times New Roman"/>
          <w:sz w:val="21"/>
          <w:szCs w:val="21"/>
          <w:u w:val="single"/>
        </w:rPr>
        <w:t>达到《建筑施工安全检查标准》(JGJ59-2011)的要求。</w:t>
      </w:r>
    </w:p>
    <w:p w14:paraId="7EC3BE98">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(1)按现行安全文明施工费计取及使用管理的政策文件规定及发包人制订的安全管理制度执行。</w:t>
      </w:r>
    </w:p>
    <w:p w14:paraId="4ACEDBB3">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(2)承包人的原因造成事故，由此产生的法律责任和事故责任及费用由承包人全部承担。</w:t>
      </w:r>
    </w:p>
    <w:p w14:paraId="3E94FDE9">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(3)承包人向发包人做出安全承诺，并签订《安全生产目标责任书》和《安全承诺书》。</w:t>
      </w:r>
    </w:p>
    <w:p w14:paraId="13183339">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(4)承包人在施工过程中，必须严格执行安全生产法的相关规定，制定切实可靠的安全技术措施。</w:t>
      </w:r>
    </w:p>
    <w:p w14:paraId="4ED5CFBB">
      <w:pPr>
        <w:spacing w:line="360" w:lineRule="auto"/>
        <w:jc w:val="left"/>
        <w:rPr>
          <w:rFonts w:ascii="宋体" w:hAnsi="宋体" w:eastAsia="宋体" w:cs="Times New Roman"/>
          <w:sz w:val="21"/>
          <w:szCs w:val="21"/>
        </w:rPr>
      </w:pPr>
      <w:r>
        <w:rPr>
          <w:rFonts w:hint="eastAsia" w:ascii="宋体" w:hAnsi="宋体" w:eastAsia="宋体" w:cs="Times New Roman"/>
          <w:sz w:val="21"/>
          <w:szCs w:val="21"/>
          <w:u w:val="single"/>
        </w:rPr>
        <w:t>(5)接受发包人安全监督和管理，在施工中违反安全管理规定和操作规程、违章作业的，承担违约责任。</w:t>
      </w:r>
    </w:p>
    <w:p w14:paraId="7886341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6.1.4 关于治安保卫的特别约定：</w:t>
      </w:r>
      <w:r>
        <w:rPr>
          <w:rFonts w:hint="eastAsia" w:ascii="宋体" w:hAnsi="宋体" w:eastAsia="宋体" w:cs="Times New Roman"/>
          <w:sz w:val="21"/>
          <w:szCs w:val="21"/>
          <w:u w:val="single"/>
        </w:rPr>
        <w:t>承包人负责组建施工现场治安管理机构或联防组织；承包人负责编制施工场地治安管理计划和突发治安事件紧急预案。</w:t>
      </w:r>
    </w:p>
    <w:p w14:paraId="700A6B1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关于编制施工场地治安管理计划的约定：</w:t>
      </w:r>
      <w:r>
        <w:rPr>
          <w:rFonts w:hint="eastAsia" w:ascii="宋体" w:hAnsi="宋体" w:eastAsia="宋体" w:cs="Times New Roman"/>
          <w:sz w:val="21"/>
          <w:szCs w:val="21"/>
          <w:u w:val="single"/>
        </w:rPr>
        <w:t xml:space="preserve">由承包人负责 </w:t>
      </w:r>
      <w:r>
        <w:rPr>
          <w:rFonts w:hint="eastAsia" w:ascii="宋体" w:hAnsi="宋体" w:eastAsia="宋体" w:cs="Times New Roman"/>
          <w:sz w:val="21"/>
          <w:szCs w:val="21"/>
        </w:rPr>
        <w:t>。</w:t>
      </w:r>
    </w:p>
    <w:p w14:paraId="6AF0C1D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6.1.5 文明施工</w:t>
      </w:r>
    </w:p>
    <w:p w14:paraId="5103C06E">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合同当事人对文明施工的要求：</w:t>
      </w:r>
      <w:r>
        <w:rPr>
          <w:rFonts w:hint="eastAsia" w:ascii="宋体" w:hAnsi="宋体" w:eastAsia="宋体" w:cs="Times New Roman"/>
          <w:sz w:val="21"/>
          <w:szCs w:val="21"/>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eastAsia="宋体" w:cs="Times New Roman"/>
          <w:sz w:val="21"/>
          <w:szCs w:val="21"/>
        </w:rPr>
        <w:t>。</w:t>
      </w:r>
    </w:p>
    <w:p w14:paraId="35642FD5">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eastAsia="宋体" w:cs="Times New Roman"/>
          <w:sz w:val="21"/>
          <w:szCs w:val="21"/>
        </w:rPr>
        <w:t>。</w:t>
      </w:r>
    </w:p>
    <w:p w14:paraId="407F6E46">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6.1.6 关于安全文明施工费支付比例和支付期限的约定：按照行业主管部门相关规定执行。</w:t>
      </w:r>
    </w:p>
    <w:p w14:paraId="5FC7AE47">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安全文明施工费的要求与内容、提取支付方法以及违反约定造成损失的赔偿等条款，按照现行规范要求执行，做到专款专用</w:t>
      </w:r>
      <w:r>
        <w:rPr>
          <w:rFonts w:hint="eastAsia" w:ascii="宋体" w:hAnsi="宋体" w:eastAsia="宋体" w:cs="Times New Roman"/>
          <w:sz w:val="21"/>
          <w:szCs w:val="21"/>
        </w:rPr>
        <w:t>。</w:t>
      </w:r>
    </w:p>
    <w:p w14:paraId="4859480C">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7. 工期和进度</w:t>
      </w:r>
    </w:p>
    <w:p w14:paraId="106F5146">
      <w:pPr>
        <w:widowControl/>
        <w:spacing w:line="360" w:lineRule="auto"/>
        <w:jc w:val="left"/>
        <w:outlineLvl w:val="4"/>
        <w:rPr>
          <w:rFonts w:ascii="宋体" w:hAnsi="宋体" w:eastAsia="宋体" w:cs="宋体"/>
          <w:b/>
          <w:bCs/>
          <w:kern w:val="0"/>
          <w:sz w:val="21"/>
          <w:szCs w:val="21"/>
        </w:rPr>
      </w:pPr>
      <w:bookmarkStart w:id="1220" w:name="_Toc532375617"/>
      <w:bookmarkEnd w:id="1220"/>
      <w:bookmarkStart w:id="1221" w:name="_Toc532377353"/>
      <w:r>
        <w:rPr>
          <w:rFonts w:hint="eastAsia" w:ascii="宋体" w:hAnsi="宋体" w:eastAsia="宋体" w:cs="宋体"/>
          <w:b/>
          <w:bCs/>
          <w:kern w:val="0"/>
          <w:sz w:val="21"/>
          <w:szCs w:val="21"/>
        </w:rPr>
        <w:t>7.1 施工组织设计</w:t>
      </w:r>
      <w:bookmarkEnd w:id="1221"/>
    </w:p>
    <w:p w14:paraId="30BE3738">
      <w:pPr>
        <w:autoSpaceDE w:val="0"/>
        <w:autoSpaceDN w:val="0"/>
        <w:spacing w:line="360" w:lineRule="auto"/>
        <w:jc w:val="left"/>
        <w:rPr>
          <w:rFonts w:ascii="宋体" w:hAnsi="宋体" w:eastAsia="宋体" w:cs="Times New Roman"/>
          <w:sz w:val="21"/>
          <w:szCs w:val="21"/>
        </w:rPr>
      </w:pPr>
      <w:r>
        <w:rPr>
          <w:rFonts w:hint="eastAsia" w:ascii="宋体" w:hAnsi="宋体" w:eastAsia="宋体" w:cs="Times New Roman"/>
          <w:sz w:val="21"/>
          <w:szCs w:val="21"/>
        </w:rPr>
        <w:t>7.1.1 合同当事人约定的施工组织设计应包括的其他内容：</w:t>
      </w:r>
      <w:r>
        <w:rPr>
          <w:rFonts w:hint="eastAsia" w:ascii="宋体" w:hAnsi="宋体" w:eastAsia="宋体" w:cs="Times New Roman"/>
          <w:sz w:val="21"/>
          <w:szCs w:val="21"/>
          <w:u w:val="single"/>
        </w:rPr>
        <w:t xml:space="preserve"> 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eastAsia="宋体" w:cs="Times New Roman"/>
          <w:sz w:val="21"/>
          <w:szCs w:val="21"/>
        </w:rPr>
        <w:t>。</w:t>
      </w:r>
    </w:p>
    <w:p w14:paraId="68F09EF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7.1.2 施工组织设计的提交和修改</w:t>
      </w:r>
    </w:p>
    <w:p w14:paraId="35547CF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承包人提交详细施工组织设计的期限的约定：</w:t>
      </w:r>
      <w:r>
        <w:rPr>
          <w:rFonts w:hint="eastAsia" w:ascii="宋体" w:hAnsi="宋体" w:eastAsia="宋体" w:cs="Times New Roman"/>
          <w:sz w:val="21"/>
          <w:szCs w:val="21"/>
          <w:u w:val="single"/>
        </w:rPr>
        <w:t xml:space="preserve"> 合同签订后7天内，但最迟不得晚于开工通知载明的开工日期前10天  </w:t>
      </w:r>
      <w:r>
        <w:rPr>
          <w:rFonts w:hint="eastAsia" w:ascii="宋体" w:hAnsi="宋体" w:eastAsia="宋体" w:cs="Times New Roman"/>
          <w:sz w:val="21"/>
          <w:szCs w:val="21"/>
        </w:rPr>
        <w:t>。</w:t>
      </w:r>
    </w:p>
    <w:p w14:paraId="4158517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发包人和监理人在收到详细的施工组织设计后确认或提出修改意见的期限：</w:t>
      </w:r>
      <w:r>
        <w:rPr>
          <w:rFonts w:hint="eastAsia" w:ascii="宋体" w:hAnsi="宋体" w:eastAsia="宋体" w:cs="Times New Roman"/>
          <w:sz w:val="21"/>
          <w:szCs w:val="21"/>
          <w:u w:val="single"/>
        </w:rPr>
        <w:t xml:space="preserve">  收到施工组织设计后7天内</w:t>
      </w:r>
      <w:r>
        <w:rPr>
          <w:rFonts w:hint="eastAsia" w:ascii="宋体" w:hAnsi="宋体" w:eastAsia="宋体" w:cs="Times New Roman"/>
          <w:sz w:val="21"/>
          <w:szCs w:val="21"/>
        </w:rPr>
        <w:t>。</w:t>
      </w:r>
    </w:p>
    <w:p w14:paraId="4EE40548">
      <w:pPr>
        <w:widowControl/>
        <w:spacing w:line="360" w:lineRule="auto"/>
        <w:jc w:val="left"/>
        <w:outlineLvl w:val="4"/>
        <w:rPr>
          <w:rFonts w:ascii="宋体" w:hAnsi="宋体" w:eastAsia="宋体" w:cs="宋体"/>
          <w:b/>
          <w:bCs/>
          <w:kern w:val="0"/>
          <w:sz w:val="21"/>
          <w:szCs w:val="21"/>
        </w:rPr>
      </w:pPr>
      <w:bookmarkStart w:id="1222" w:name="_Toc532377354"/>
      <w:bookmarkEnd w:id="1222"/>
      <w:bookmarkStart w:id="1223" w:name="_Toc532375618"/>
      <w:r>
        <w:rPr>
          <w:rFonts w:hint="eastAsia" w:ascii="宋体" w:hAnsi="宋体" w:eastAsia="宋体" w:cs="宋体"/>
          <w:b/>
          <w:bCs/>
          <w:kern w:val="0"/>
          <w:sz w:val="21"/>
          <w:szCs w:val="21"/>
        </w:rPr>
        <w:t>7.2 施工进度计划</w:t>
      </w:r>
      <w:bookmarkEnd w:id="1223"/>
    </w:p>
    <w:p w14:paraId="136C913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7.2.2 施工进度计划的修订</w:t>
      </w:r>
    </w:p>
    <w:p w14:paraId="0DB84C7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发包人和监理人在收到修订的施工进度计划后确认或提出修改意见的期限：</w:t>
      </w:r>
      <w:r>
        <w:rPr>
          <w:rFonts w:hint="eastAsia" w:ascii="宋体" w:hAnsi="宋体" w:eastAsia="宋体" w:cs="Times New Roman"/>
          <w:sz w:val="21"/>
          <w:szCs w:val="21"/>
          <w:u w:val="single"/>
        </w:rPr>
        <w:t xml:space="preserve"> 收到修订的施工进度计划后 7天内</w:t>
      </w:r>
      <w:r>
        <w:rPr>
          <w:rFonts w:hint="eastAsia" w:ascii="宋体" w:hAnsi="宋体" w:eastAsia="宋体" w:cs="Times New Roman"/>
          <w:sz w:val="21"/>
          <w:szCs w:val="21"/>
        </w:rPr>
        <w:t>。</w:t>
      </w:r>
    </w:p>
    <w:p w14:paraId="2ADA303A">
      <w:pPr>
        <w:widowControl/>
        <w:spacing w:line="360" w:lineRule="auto"/>
        <w:jc w:val="left"/>
        <w:outlineLvl w:val="4"/>
        <w:rPr>
          <w:rFonts w:ascii="宋体" w:hAnsi="宋体" w:eastAsia="宋体" w:cs="宋体"/>
          <w:b/>
          <w:bCs/>
          <w:kern w:val="0"/>
          <w:sz w:val="21"/>
          <w:szCs w:val="21"/>
        </w:rPr>
      </w:pPr>
      <w:bookmarkStart w:id="1224" w:name="_Toc297216173"/>
      <w:bookmarkEnd w:id="1224"/>
      <w:bookmarkStart w:id="1225" w:name="_Toc312677479"/>
      <w:bookmarkEnd w:id="1225"/>
      <w:bookmarkStart w:id="1226" w:name="_Toc304295541"/>
      <w:bookmarkEnd w:id="1226"/>
      <w:bookmarkStart w:id="1227" w:name="_Toc532377355"/>
      <w:bookmarkEnd w:id="1227"/>
      <w:bookmarkStart w:id="1228" w:name="_Toc303539123"/>
      <w:bookmarkEnd w:id="1228"/>
      <w:bookmarkStart w:id="1229" w:name="_Toc297123514"/>
      <w:bookmarkEnd w:id="1229"/>
      <w:bookmarkStart w:id="1230" w:name="_Toc300934966"/>
      <w:bookmarkEnd w:id="1230"/>
      <w:bookmarkStart w:id="1231" w:name="_Toc312678005"/>
      <w:bookmarkEnd w:id="1231"/>
      <w:bookmarkStart w:id="1232" w:name="_Toc532375619"/>
      <w:r>
        <w:rPr>
          <w:rFonts w:hint="eastAsia" w:ascii="宋体" w:hAnsi="宋体" w:eastAsia="宋体" w:cs="宋体"/>
          <w:b/>
          <w:bCs/>
          <w:kern w:val="0"/>
          <w:sz w:val="21"/>
          <w:szCs w:val="21"/>
        </w:rPr>
        <w:t>7.3 开工</w:t>
      </w:r>
      <w:bookmarkEnd w:id="1232"/>
    </w:p>
    <w:p w14:paraId="5A1F7F8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7.3.1 开工准备</w:t>
      </w:r>
    </w:p>
    <w:p w14:paraId="2D7217E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关于承包人提交工程开工报审表的期限：</w:t>
      </w:r>
      <w:r>
        <w:rPr>
          <w:rFonts w:hint="eastAsia" w:ascii="宋体" w:hAnsi="宋体" w:eastAsia="宋体" w:cs="Times New Roman"/>
          <w:sz w:val="21"/>
          <w:szCs w:val="21"/>
          <w:u w:val="single"/>
        </w:rPr>
        <w:t>不晚于开工前7天</w:t>
      </w:r>
      <w:r>
        <w:rPr>
          <w:rFonts w:hint="eastAsia" w:ascii="宋体" w:hAnsi="宋体" w:eastAsia="宋体" w:cs="Times New Roman"/>
          <w:sz w:val="21"/>
          <w:szCs w:val="21"/>
        </w:rPr>
        <w:t>。</w:t>
      </w:r>
    </w:p>
    <w:p w14:paraId="4C4E49E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关于发包人应完成的其他开工准备工作及期限：</w:t>
      </w:r>
      <w:r>
        <w:rPr>
          <w:rFonts w:hint="eastAsia" w:ascii="宋体" w:hAnsi="宋体" w:eastAsia="宋体" w:cs="Times New Roman"/>
          <w:sz w:val="21"/>
          <w:szCs w:val="21"/>
          <w:u w:val="single"/>
        </w:rPr>
        <w:t>不晚于开工前7天</w:t>
      </w:r>
      <w:r>
        <w:rPr>
          <w:rFonts w:hint="eastAsia" w:ascii="宋体" w:hAnsi="宋体" w:eastAsia="宋体" w:cs="Times New Roman"/>
          <w:sz w:val="21"/>
          <w:szCs w:val="21"/>
        </w:rPr>
        <w:t>。</w:t>
      </w:r>
    </w:p>
    <w:p w14:paraId="2632F89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关于承包人应完成的其他开工准备工作及期限：</w:t>
      </w:r>
      <w:r>
        <w:rPr>
          <w:rFonts w:hint="eastAsia" w:ascii="宋体" w:hAnsi="宋体" w:eastAsia="宋体" w:cs="Times New Roman"/>
          <w:sz w:val="21"/>
          <w:szCs w:val="21"/>
          <w:u w:val="single"/>
        </w:rPr>
        <w:t>不晚于开工前7天</w:t>
      </w:r>
      <w:r>
        <w:rPr>
          <w:rFonts w:hint="eastAsia" w:ascii="宋体" w:hAnsi="宋体" w:eastAsia="宋体" w:cs="Times New Roman"/>
          <w:sz w:val="21"/>
          <w:szCs w:val="21"/>
        </w:rPr>
        <w:t>。</w:t>
      </w:r>
    </w:p>
    <w:p w14:paraId="5EB80F70">
      <w:pPr>
        <w:widowControl/>
        <w:spacing w:line="360" w:lineRule="auto"/>
        <w:jc w:val="left"/>
        <w:outlineLvl w:val="4"/>
        <w:rPr>
          <w:rFonts w:ascii="宋体" w:hAnsi="宋体" w:eastAsia="宋体" w:cs="宋体"/>
          <w:b/>
          <w:bCs/>
          <w:kern w:val="0"/>
          <w:sz w:val="21"/>
          <w:szCs w:val="21"/>
        </w:rPr>
      </w:pPr>
      <w:bookmarkStart w:id="1233" w:name="_Toc532375620"/>
      <w:bookmarkEnd w:id="1233"/>
      <w:bookmarkStart w:id="1234" w:name="_Toc532377356"/>
      <w:bookmarkEnd w:id="1234"/>
      <w:r>
        <w:rPr>
          <w:rFonts w:hint="eastAsia" w:ascii="宋体" w:hAnsi="宋体" w:eastAsia="宋体" w:cs="宋体"/>
          <w:b/>
          <w:bCs/>
          <w:kern w:val="0"/>
          <w:sz w:val="21"/>
          <w:szCs w:val="21"/>
        </w:rPr>
        <w:t>7.4 测量放线</w:t>
      </w:r>
    </w:p>
    <w:p w14:paraId="4FA60F7A">
      <w:pPr>
        <w:autoSpaceDE w:val="0"/>
        <w:autoSpaceDN w:val="0"/>
        <w:adjustRightInd w:val="0"/>
        <w:spacing w:line="400" w:lineRule="exact"/>
        <w:jc w:val="left"/>
        <w:rPr>
          <w:rFonts w:ascii="宋体" w:hAnsi="宋体" w:eastAsia="宋体" w:cs="仿宋"/>
          <w:color w:val="000000"/>
          <w:kern w:val="0"/>
          <w:sz w:val="21"/>
          <w:szCs w:val="21"/>
        </w:rPr>
      </w:pPr>
      <w:bookmarkStart w:id="1235" w:name="_Toc532377357"/>
      <w:bookmarkEnd w:id="1235"/>
      <w:bookmarkStart w:id="1236" w:name="_Toc532375621"/>
      <w:r>
        <w:rPr>
          <w:rFonts w:hint="eastAsia" w:ascii="宋体" w:hAnsi="宋体" w:eastAsia="宋体" w:cs="Times New Roman"/>
          <w:color w:val="000000"/>
          <w:sz w:val="21"/>
          <w:szCs w:val="21"/>
        </w:rPr>
        <w:t>7.4.1发包人通过监理人向承包人提供测量基准点、基准线和水准点及其书面资料的期限</w:t>
      </w:r>
      <w:bookmarkEnd w:id="1236"/>
      <w:r>
        <w:rPr>
          <w:rFonts w:hint="eastAsia" w:ascii="宋体" w:hAnsi="宋体" w:eastAsia="宋体" w:cs="仿宋"/>
          <w:color w:val="000000"/>
          <w:kern w:val="0"/>
          <w:sz w:val="21"/>
          <w:szCs w:val="21"/>
        </w:rPr>
        <w:t>：</w:t>
      </w:r>
      <w:r>
        <w:rPr>
          <w:rFonts w:hint="eastAsia" w:ascii="宋体" w:hAnsi="宋体" w:eastAsia="宋体" w:cs="仿宋"/>
          <w:color w:val="000000"/>
          <w:kern w:val="0"/>
          <w:sz w:val="21"/>
          <w:szCs w:val="21"/>
          <w:u w:val="single"/>
        </w:rPr>
        <w:t xml:space="preserve">  </w:t>
      </w:r>
      <w:r>
        <w:rPr>
          <w:rFonts w:hint="eastAsia" w:ascii="宋体" w:hAnsi="宋体" w:eastAsia="宋体" w:cs="宋体"/>
          <w:color w:val="000000"/>
          <w:kern w:val="0"/>
          <w:sz w:val="21"/>
          <w:szCs w:val="21"/>
          <w:u w:val="single"/>
        </w:rPr>
        <w:t xml:space="preserve"> 进场施工后7天之内 </w:t>
      </w:r>
      <w:r>
        <w:rPr>
          <w:rFonts w:hint="eastAsia" w:ascii="宋体" w:hAnsi="宋体" w:eastAsia="宋体" w:cs="仿宋"/>
          <w:color w:val="000000"/>
          <w:kern w:val="0"/>
          <w:sz w:val="21"/>
          <w:szCs w:val="21"/>
          <w:u w:val="single"/>
        </w:rPr>
        <w:t xml:space="preserve"> </w:t>
      </w:r>
      <w:r>
        <w:rPr>
          <w:rFonts w:hint="eastAsia" w:ascii="宋体" w:hAnsi="宋体" w:eastAsia="宋体" w:cs="仿宋"/>
          <w:color w:val="000000"/>
          <w:kern w:val="0"/>
          <w:sz w:val="21"/>
          <w:szCs w:val="21"/>
        </w:rPr>
        <w:t>。</w:t>
      </w:r>
    </w:p>
    <w:p w14:paraId="002F01D5">
      <w:pPr>
        <w:widowControl/>
        <w:spacing w:line="360" w:lineRule="auto"/>
        <w:jc w:val="left"/>
        <w:outlineLvl w:val="4"/>
        <w:rPr>
          <w:rFonts w:ascii="宋体" w:hAnsi="宋体" w:eastAsia="宋体" w:cs="宋体"/>
          <w:b/>
          <w:bCs/>
          <w:kern w:val="0"/>
          <w:sz w:val="21"/>
          <w:szCs w:val="21"/>
        </w:rPr>
      </w:pPr>
      <w:bookmarkStart w:id="1237" w:name="_Hlk528927997"/>
      <w:bookmarkEnd w:id="1237"/>
      <w:bookmarkStart w:id="1238" w:name="_Toc532375622"/>
      <w:bookmarkEnd w:id="1238"/>
      <w:bookmarkStart w:id="1239" w:name="_Toc532377358"/>
      <w:r>
        <w:rPr>
          <w:rFonts w:hint="eastAsia" w:ascii="宋体" w:hAnsi="宋体" w:eastAsia="宋体" w:cs="宋体"/>
          <w:b/>
          <w:bCs/>
          <w:kern w:val="0"/>
          <w:sz w:val="21"/>
          <w:szCs w:val="21"/>
        </w:rPr>
        <w:t>7</w:t>
      </w:r>
      <w:bookmarkEnd w:id="1239"/>
      <w:bookmarkStart w:id="1240" w:name="_Toc297123519"/>
      <w:bookmarkEnd w:id="1240"/>
      <w:bookmarkStart w:id="1241" w:name="_Toc297216178"/>
      <w:bookmarkEnd w:id="1241"/>
      <w:bookmarkStart w:id="1242" w:name="_Toc312678015"/>
      <w:bookmarkEnd w:id="1242"/>
      <w:bookmarkStart w:id="1243" w:name="_Toc300934971"/>
      <w:bookmarkEnd w:id="1243"/>
      <w:bookmarkStart w:id="1244" w:name="_Toc304295549"/>
      <w:bookmarkEnd w:id="1244"/>
      <w:bookmarkStart w:id="1245" w:name="_Toc303539128"/>
      <w:r>
        <w:rPr>
          <w:rFonts w:hint="eastAsia" w:ascii="宋体" w:hAnsi="宋体" w:eastAsia="宋体" w:cs="宋体"/>
          <w:b/>
          <w:bCs/>
          <w:kern w:val="0"/>
          <w:sz w:val="21"/>
          <w:szCs w:val="21"/>
        </w:rPr>
        <w:t>.6 不</w:t>
      </w:r>
      <w:bookmarkEnd w:id="1245"/>
      <w:r>
        <w:rPr>
          <w:rFonts w:hint="eastAsia" w:ascii="宋体" w:hAnsi="宋体" w:eastAsia="宋体" w:cs="宋体"/>
          <w:b/>
          <w:bCs/>
          <w:kern w:val="0"/>
          <w:sz w:val="21"/>
          <w:szCs w:val="21"/>
        </w:rPr>
        <w:t>利物质条件</w:t>
      </w:r>
    </w:p>
    <w:p w14:paraId="30BD91BC">
      <w:pPr>
        <w:spacing w:line="360" w:lineRule="auto"/>
        <w:jc w:val="left"/>
        <w:rPr>
          <w:rFonts w:ascii="宋体" w:hAnsi="宋体" w:eastAsia="宋体" w:cs="Times New Roman"/>
          <w:bCs/>
          <w:sz w:val="21"/>
          <w:szCs w:val="21"/>
        </w:rPr>
      </w:pPr>
      <w:bookmarkStart w:id="1246" w:name="_Toc297216179"/>
      <w:bookmarkEnd w:id="1246"/>
      <w:bookmarkStart w:id="1247" w:name="_Toc312678016"/>
      <w:bookmarkEnd w:id="1247"/>
      <w:bookmarkStart w:id="1248" w:name="_Toc297123520"/>
      <w:bookmarkEnd w:id="1248"/>
      <w:bookmarkStart w:id="1249" w:name="_Toc303539129"/>
      <w:bookmarkEnd w:id="1249"/>
      <w:bookmarkStart w:id="1250" w:name="_Toc318581172"/>
      <w:bookmarkEnd w:id="1250"/>
      <w:bookmarkStart w:id="1251" w:name="_Toc300934972"/>
      <w:bookmarkEnd w:id="1251"/>
      <w:bookmarkStart w:id="1252" w:name="_Toc304295550"/>
      <w:r>
        <w:rPr>
          <w:rFonts w:hint="eastAsia" w:ascii="宋体" w:hAnsi="宋体" w:eastAsia="宋体" w:cs="Times New Roman"/>
          <w:sz w:val="21"/>
          <w:szCs w:val="21"/>
        </w:rPr>
        <w:t>不利物质条件的其他情形和有关约定：</w:t>
      </w:r>
      <w:bookmarkEnd w:id="1252"/>
      <w:bookmarkStart w:id="1253" w:name="_Hlk528910274"/>
      <w:bookmarkEnd w:id="1253"/>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承包人在施工场地遇到的不可预见的自然物质条件、非自然的物质障碍和污染物，包括地下和水文条件，但不包括气候条件</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3530D042">
      <w:pPr>
        <w:widowControl/>
        <w:spacing w:line="360" w:lineRule="auto"/>
        <w:jc w:val="left"/>
        <w:outlineLvl w:val="4"/>
        <w:rPr>
          <w:rFonts w:ascii="宋体" w:hAnsi="宋体" w:eastAsia="宋体" w:cs="宋体"/>
          <w:b/>
          <w:bCs/>
          <w:kern w:val="0"/>
          <w:sz w:val="21"/>
          <w:szCs w:val="21"/>
        </w:rPr>
      </w:pPr>
      <w:bookmarkStart w:id="1254" w:name="_Toc532375623"/>
      <w:bookmarkEnd w:id="1254"/>
      <w:bookmarkStart w:id="1255" w:name="_Toc532377359"/>
      <w:bookmarkEnd w:id="1255"/>
      <w:r>
        <w:rPr>
          <w:rFonts w:hint="eastAsia" w:ascii="宋体" w:hAnsi="宋体" w:eastAsia="宋体" w:cs="宋体"/>
          <w:b/>
          <w:bCs/>
          <w:kern w:val="0"/>
          <w:sz w:val="21"/>
          <w:szCs w:val="21"/>
        </w:rPr>
        <w:t>7</w:t>
      </w:r>
      <w:bookmarkStart w:id="1256" w:name="_Toc300934973"/>
      <w:bookmarkEnd w:id="1256"/>
      <w:bookmarkStart w:id="1257" w:name="_Toc312678017"/>
      <w:bookmarkEnd w:id="1257"/>
      <w:bookmarkStart w:id="1258" w:name="_Toc297123521"/>
      <w:bookmarkEnd w:id="1258"/>
      <w:bookmarkStart w:id="1259" w:name="_Toc303539130"/>
      <w:bookmarkEnd w:id="1259"/>
      <w:bookmarkStart w:id="1260" w:name="_Toc304295551"/>
      <w:bookmarkEnd w:id="1260"/>
      <w:bookmarkStart w:id="1261" w:name="_Toc297216180"/>
      <w:r>
        <w:rPr>
          <w:rFonts w:hint="eastAsia" w:ascii="宋体" w:hAnsi="宋体" w:eastAsia="宋体" w:cs="宋体"/>
          <w:b/>
          <w:bCs/>
          <w:kern w:val="0"/>
          <w:sz w:val="21"/>
          <w:szCs w:val="21"/>
        </w:rPr>
        <w:t>.7异常恶劣的气候条件</w:t>
      </w:r>
      <w:bookmarkEnd w:id="1261"/>
    </w:p>
    <w:p w14:paraId="1591F1B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发包人和承包人同意以下情形视为异常恶劣的气候条件：</w:t>
      </w:r>
    </w:p>
    <w:p w14:paraId="70F0FC27">
      <w:pPr>
        <w:spacing w:line="360" w:lineRule="auto"/>
        <w:jc w:val="left"/>
        <w:rPr>
          <w:rFonts w:ascii="宋体" w:hAnsi="宋体" w:eastAsia="宋体" w:cs="Times New Roman"/>
          <w:sz w:val="21"/>
          <w:szCs w:val="21"/>
        </w:rPr>
      </w:pPr>
      <w:r>
        <w:rPr>
          <w:rFonts w:hint="eastAsia" w:ascii="宋体" w:hAnsi="宋体" w:eastAsia="宋体" w:cs="Times New Roman"/>
          <w:sz w:val="21"/>
          <w:szCs w:val="21"/>
          <w:u w:val="single"/>
        </w:rPr>
        <w:t xml:space="preserve"> 异常气候是指项目所在地50年以上一遇的罕见气候现象 </w:t>
      </w:r>
      <w:r>
        <w:rPr>
          <w:rFonts w:hint="eastAsia" w:ascii="宋体" w:hAnsi="宋体" w:eastAsia="宋体" w:cs="Times New Roman"/>
          <w:sz w:val="21"/>
          <w:szCs w:val="21"/>
        </w:rPr>
        <w:t>；</w:t>
      </w:r>
    </w:p>
    <w:p w14:paraId="0265A957">
      <w:pPr>
        <w:widowControl/>
        <w:spacing w:line="360" w:lineRule="auto"/>
        <w:jc w:val="left"/>
        <w:outlineLvl w:val="4"/>
        <w:rPr>
          <w:rFonts w:ascii="宋体" w:hAnsi="宋体" w:eastAsia="宋体" w:cs="宋体"/>
          <w:b/>
          <w:bCs/>
          <w:kern w:val="0"/>
          <w:sz w:val="21"/>
          <w:szCs w:val="21"/>
        </w:rPr>
      </w:pPr>
      <w:bookmarkStart w:id="1262" w:name="_Toc532375624"/>
      <w:bookmarkEnd w:id="1262"/>
      <w:bookmarkStart w:id="1263" w:name="_Toc532377360"/>
      <w:r>
        <w:rPr>
          <w:rFonts w:hint="eastAsia" w:ascii="宋体" w:hAnsi="宋体" w:eastAsia="宋体" w:cs="宋体"/>
          <w:b/>
          <w:bCs/>
          <w:kern w:val="0"/>
          <w:sz w:val="21"/>
          <w:szCs w:val="21"/>
        </w:rPr>
        <w:t>7.9 提前竣工</w:t>
      </w:r>
      <w:bookmarkEnd w:id="1263"/>
    </w:p>
    <w:p w14:paraId="182625A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7.9.2 提前竣工的奖励：</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3326459C">
      <w:pPr>
        <w:keepNext/>
        <w:keepLines/>
        <w:spacing w:line="360" w:lineRule="auto"/>
        <w:outlineLvl w:val="3"/>
        <w:rPr>
          <w:rFonts w:ascii="宋体" w:hAnsi="宋体" w:eastAsia="宋体" w:cs="宋体"/>
          <w:b/>
          <w:sz w:val="21"/>
          <w:szCs w:val="21"/>
        </w:rPr>
      </w:pPr>
      <w:bookmarkStart w:id="1264" w:name="_Toc532377361"/>
      <w:bookmarkEnd w:id="1264"/>
      <w:bookmarkStart w:id="1265" w:name="_Toc351203640"/>
      <w:bookmarkEnd w:id="1265"/>
      <w:bookmarkStart w:id="1266" w:name="_Toc532375625"/>
      <w:r>
        <w:rPr>
          <w:rFonts w:hint="eastAsia" w:ascii="宋体" w:hAnsi="宋体" w:eastAsia="宋体" w:cs="宋体"/>
          <w:b/>
          <w:bCs/>
          <w:sz w:val="21"/>
          <w:szCs w:val="21"/>
        </w:rPr>
        <w:t>8. 材料与设备</w:t>
      </w:r>
      <w:bookmarkEnd w:id="1266"/>
    </w:p>
    <w:p w14:paraId="3DC81488">
      <w:pPr>
        <w:widowControl/>
        <w:spacing w:line="360" w:lineRule="auto"/>
        <w:jc w:val="left"/>
        <w:outlineLvl w:val="4"/>
        <w:rPr>
          <w:rFonts w:ascii="宋体" w:hAnsi="宋体" w:eastAsia="宋体" w:cs="宋体"/>
          <w:b/>
          <w:bCs/>
          <w:kern w:val="0"/>
          <w:sz w:val="21"/>
          <w:szCs w:val="21"/>
        </w:rPr>
      </w:pPr>
      <w:bookmarkStart w:id="1267" w:name="_Toc532375628"/>
      <w:bookmarkEnd w:id="1267"/>
      <w:bookmarkStart w:id="1268" w:name="_Toc532377364"/>
      <w:r>
        <w:rPr>
          <w:rFonts w:hint="eastAsia" w:ascii="宋体" w:hAnsi="宋体" w:eastAsia="宋体" w:cs="宋体"/>
          <w:b/>
          <w:bCs/>
          <w:kern w:val="0"/>
          <w:sz w:val="21"/>
          <w:szCs w:val="21"/>
        </w:rPr>
        <w:t>8</w:t>
      </w:r>
      <w:bookmarkEnd w:id="1268"/>
      <w:bookmarkStart w:id="1269" w:name="_Toc303539136"/>
      <w:bookmarkEnd w:id="1269"/>
      <w:bookmarkStart w:id="1270" w:name="_Toc296890995"/>
      <w:bookmarkEnd w:id="1270"/>
      <w:bookmarkStart w:id="1271" w:name="_Toc300934979"/>
      <w:bookmarkEnd w:id="1271"/>
      <w:bookmarkStart w:id="1272" w:name="_Toc296346668"/>
      <w:bookmarkEnd w:id="1272"/>
      <w:bookmarkStart w:id="1273" w:name="_Toc280868656"/>
      <w:bookmarkEnd w:id="1273"/>
      <w:bookmarkStart w:id="1274" w:name="_Toc312677493"/>
      <w:bookmarkEnd w:id="1274"/>
      <w:bookmarkStart w:id="1275" w:name="_Toc296891207"/>
      <w:bookmarkEnd w:id="1275"/>
      <w:bookmarkStart w:id="1276" w:name="_Toc297216186"/>
      <w:bookmarkEnd w:id="1276"/>
      <w:bookmarkStart w:id="1277" w:name="_Toc280868654"/>
      <w:bookmarkEnd w:id="1277"/>
      <w:bookmarkStart w:id="1278" w:name="_Toc312678019"/>
      <w:bookmarkEnd w:id="1278"/>
      <w:bookmarkStart w:id="1279" w:name="_Toc296944506"/>
      <w:bookmarkEnd w:id="1279"/>
      <w:bookmarkStart w:id="1280" w:name="_Toc292559372"/>
      <w:bookmarkEnd w:id="1280"/>
      <w:bookmarkStart w:id="1281" w:name="_Toc297120467"/>
      <w:bookmarkEnd w:id="1281"/>
      <w:bookmarkStart w:id="1282" w:name="_Toc297123527"/>
      <w:bookmarkEnd w:id="1282"/>
      <w:bookmarkStart w:id="1283" w:name="_Toc297048353"/>
      <w:bookmarkEnd w:id="1283"/>
      <w:bookmarkStart w:id="1284" w:name="_Toc304295556"/>
      <w:bookmarkEnd w:id="1284"/>
      <w:bookmarkStart w:id="1285" w:name="_Toc296347166"/>
      <w:bookmarkEnd w:id="1285"/>
      <w:bookmarkStart w:id="1286" w:name="_Toc267251424"/>
      <w:bookmarkEnd w:id="1286"/>
      <w:bookmarkStart w:id="1287" w:name="_Toc296503167"/>
      <w:bookmarkEnd w:id="1287"/>
      <w:bookmarkStart w:id="1288" w:name="_Toc292559877"/>
      <w:bookmarkEnd w:id="1288"/>
      <w:bookmarkStart w:id="1289" w:name="_Toc280868655"/>
      <w:r>
        <w:rPr>
          <w:rFonts w:hint="eastAsia" w:ascii="宋体" w:hAnsi="宋体" w:eastAsia="宋体" w:cs="宋体"/>
          <w:b/>
          <w:bCs/>
          <w:kern w:val="0"/>
          <w:sz w:val="21"/>
          <w:szCs w:val="21"/>
        </w:rPr>
        <w:t>.4 材料与工程设备的保管与使用</w:t>
      </w:r>
      <w:bookmarkEnd w:id="1289"/>
    </w:p>
    <w:p w14:paraId="385E88D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8</w:t>
      </w:r>
      <w:bookmarkStart w:id="1290" w:name="_Toc303539137"/>
      <w:bookmarkEnd w:id="1290"/>
      <w:bookmarkStart w:id="1291" w:name="_Toc292559878"/>
      <w:bookmarkEnd w:id="1291"/>
      <w:bookmarkStart w:id="1292" w:name="_Toc318581173"/>
      <w:bookmarkEnd w:id="1292"/>
      <w:bookmarkStart w:id="1293" w:name="_Toc296890996"/>
      <w:bookmarkEnd w:id="1293"/>
      <w:bookmarkStart w:id="1294" w:name="_Toc297120468"/>
      <w:bookmarkEnd w:id="1294"/>
      <w:bookmarkStart w:id="1295" w:name="_Toc296347167"/>
      <w:bookmarkEnd w:id="1295"/>
      <w:bookmarkStart w:id="1296" w:name="_Toc296944507"/>
      <w:bookmarkEnd w:id="1296"/>
      <w:bookmarkStart w:id="1297" w:name="_Toc312677494"/>
      <w:bookmarkEnd w:id="1297"/>
      <w:bookmarkStart w:id="1298" w:name="_Toc296891208"/>
      <w:bookmarkEnd w:id="1298"/>
      <w:bookmarkStart w:id="1299" w:name="_Toc304295557"/>
      <w:bookmarkEnd w:id="1299"/>
      <w:bookmarkStart w:id="1300" w:name="_Toc296503168"/>
      <w:bookmarkEnd w:id="1300"/>
      <w:bookmarkStart w:id="1301" w:name="_Toc292559373"/>
      <w:bookmarkEnd w:id="1301"/>
      <w:bookmarkStart w:id="1302" w:name="_Toc296346669"/>
      <w:bookmarkEnd w:id="1302"/>
      <w:bookmarkStart w:id="1303" w:name="_Toc297123528"/>
      <w:bookmarkEnd w:id="1303"/>
      <w:bookmarkStart w:id="1304" w:name="_Toc300934980"/>
      <w:bookmarkEnd w:id="1304"/>
      <w:bookmarkStart w:id="1305" w:name="_Toc297048354"/>
      <w:bookmarkEnd w:id="1305"/>
      <w:bookmarkStart w:id="1306" w:name="_Toc312678020"/>
      <w:bookmarkEnd w:id="1306"/>
      <w:bookmarkStart w:id="1307" w:name="_Toc297216187"/>
      <w:r>
        <w:rPr>
          <w:rFonts w:hint="eastAsia" w:ascii="宋体" w:hAnsi="宋体" w:eastAsia="宋体" w:cs="Times New Roman"/>
          <w:sz w:val="21"/>
          <w:szCs w:val="21"/>
        </w:rPr>
        <w:t>.4.1 发包人供应的材料设备的保管费用的承担：</w:t>
      </w:r>
      <w:bookmarkEnd w:id="1307"/>
      <w:r>
        <w:rPr>
          <w:rFonts w:hint="eastAsia" w:ascii="宋体" w:hAnsi="宋体" w:eastAsia="宋体" w:cs="Times New Roman"/>
          <w:sz w:val="21"/>
          <w:szCs w:val="21"/>
          <w:u w:val="single"/>
        </w:rPr>
        <w:t xml:space="preserve">  由承包人承担     </w:t>
      </w:r>
      <w:r>
        <w:rPr>
          <w:rFonts w:hint="eastAsia" w:ascii="宋体" w:hAnsi="宋体" w:eastAsia="宋体" w:cs="Times New Roman"/>
          <w:sz w:val="21"/>
          <w:szCs w:val="21"/>
        </w:rPr>
        <w:t>。</w:t>
      </w:r>
    </w:p>
    <w:p w14:paraId="7F4A1AFF">
      <w:pPr>
        <w:widowControl/>
        <w:spacing w:line="360" w:lineRule="auto"/>
        <w:jc w:val="left"/>
        <w:outlineLvl w:val="4"/>
        <w:rPr>
          <w:rFonts w:ascii="宋体" w:hAnsi="宋体" w:eastAsia="宋体" w:cs="宋体"/>
          <w:b/>
          <w:bCs/>
          <w:kern w:val="0"/>
          <w:sz w:val="21"/>
          <w:szCs w:val="21"/>
        </w:rPr>
      </w:pPr>
      <w:bookmarkStart w:id="1308" w:name="_Toc532375629"/>
      <w:bookmarkEnd w:id="1308"/>
      <w:bookmarkStart w:id="1309" w:name="_Toc532377365"/>
      <w:r>
        <w:rPr>
          <w:rFonts w:hint="eastAsia" w:ascii="宋体" w:hAnsi="宋体" w:eastAsia="宋体" w:cs="宋体"/>
          <w:b/>
          <w:bCs/>
          <w:kern w:val="0"/>
          <w:sz w:val="21"/>
          <w:szCs w:val="21"/>
        </w:rPr>
        <w:t>8.6 样品</w:t>
      </w:r>
      <w:bookmarkEnd w:id="1309"/>
    </w:p>
    <w:p w14:paraId="58601538">
      <w:pPr>
        <w:autoSpaceDE w:val="0"/>
        <w:autoSpaceDN w:val="0"/>
        <w:spacing w:line="360" w:lineRule="auto"/>
        <w:jc w:val="left"/>
        <w:rPr>
          <w:rFonts w:ascii="宋体" w:hAnsi="宋体" w:eastAsia="宋体" w:cs="Times New Roman"/>
          <w:sz w:val="21"/>
          <w:szCs w:val="21"/>
        </w:rPr>
      </w:pPr>
      <w:r>
        <w:rPr>
          <w:rFonts w:hint="eastAsia" w:ascii="宋体" w:hAnsi="宋体" w:eastAsia="宋体" w:cs="Times New Roman"/>
          <w:sz w:val="21"/>
          <w:szCs w:val="21"/>
        </w:rPr>
        <w:t>8.6.1 样品的报送与封存</w:t>
      </w:r>
    </w:p>
    <w:p w14:paraId="45CC6078">
      <w:pPr>
        <w:autoSpaceDE w:val="0"/>
        <w:autoSpaceDN w:val="0"/>
        <w:spacing w:line="360" w:lineRule="auto"/>
        <w:jc w:val="left"/>
        <w:rPr>
          <w:rFonts w:ascii="宋体" w:hAnsi="宋体" w:eastAsia="宋体" w:cs="Times New Roman"/>
          <w:sz w:val="21"/>
          <w:szCs w:val="21"/>
        </w:rPr>
      </w:pPr>
      <w:r>
        <w:rPr>
          <w:rFonts w:hint="eastAsia" w:ascii="宋体" w:hAnsi="宋体" w:eastAsia="宋体" w:cs="Times New Roman"/>
          <w:sz w:val="21"/>
          <w:szCs w:val="21"/>
        </w:rPr>
        <w:t>需要承包人报送样品的材料或工程设备，样品的种类、名称、规格、数量要求：</w:t>
      </w:r>
      <w:r>
        <w:rPr>
          <w:rFonts w:hint="eastAsia" w:ascii="宋体" w:hAnsi="宋体" w:eastAsia="宋体" w:cs="Times New Roman"/>
          <w:sz w:val="21"/>
          <w:szCs w:val="21"/>
          <w:u w:val="single"/>
        </w:rPr>
        <w:t xml:space="preserve">    由承包人实施采购时向发包人提供样品，并经发包人同意后方可用于现场施工      </w:t>
      </w:r>
      <w:r>
        <w:rPr>
          <w:rFonts w:hint="eastAsia" w:ascii="宋体" w:hAnsi="宋体" w:eastAsia="宋体" w:cs="Times New Roman"/>
          <w:sz w:val="21"/>
          <w:szCs w:val="21"/>
        </w:rPr>
        <w:t>。</w:t>
      </w:r>
    </w:p>
    <w:p w14:paraId="167C2FCE">
      <w:pPr>
        <w:widowControl/>
        <w:spacing w:line="360" w:lineRule="auto"/>
        <w:jc w:val="left"/>
        <w:outlineLvl w:val="4"/>
        <w:rPr>
          <w:rFonts w:ascii="宋体" w:hAnsi="宋体" w:eastAsia="宋体" w:cs="宋体"/>
          <w:b/>
          <w:bCs/>
          <w:kern w:val="0"/>
          <w:sz w:val="21"/>
          <w:szCs w:val="21"/>
        </w:rPr>
      </w:pPr>
      <w:bookmarkStart w:id="1310" w:name="_Toc532375630"/>
      <w:bookmarkEnd w:id="1310"/>
      <w:bookmarkStart w:id="1311" w:name="_Toc532377366"/>
      <w:r>
        <w:rPr>
          <w:rFonts w:hint="eastAsia" w:ascii="宋体" w:hAnsi="宋体" w:eastAsia="宋体" w:cs="宋体"/>
          <w:b/>
          <w:bCs/>
          <w:kern w:val="0"/>
          <w:sz w:val="21"/>
          <w:szCs w:val="21"/>
        </w:rPr>
        <w:t>8.8 施工设备和临时设施</w:t>
      </w:r>
      <w:bookmarkEnd w:id="1311"/>
    </w:p>
    <w:p w14:paraId="21FC5DE5">
      <w:pPr>
        <w:autoSpaceDE w:val="0"/>
        <w:autoSpaceDN w:val="0"/>
        <w:spacing w:line="360" w:lineRule="auto"/>
        <w:jc w:val="left"/>
        <w:rPr>
          <w:rFonts w:ascii="宋体" w:hAnsi="宋体" w:eastAsia="宋体" w:cs="Times New Roman"/>
          <w:sz w:val="21"/>
          <w:szCs w:val="21"/>
        </w:rPr>
      </w:pPr>
      <w:r>
        <w:rPr>
          <w:rFonts w:hint="eastAsia" w:ascii="宋体" w:hAnsi="宋体" w:eastAsia="宋体" w:cs="Times New Roman"/>
          <w:sz w:val="21"/>
          <w:szCs w:val="21"/>
        </w:rPr>
        <w:t>8.8.1 承包人提供的施工设备和临时设施</w:t>
      </w:r>
    </w:p>
    <w:p w14:paraId="66E491F8">
      <w:pPr>
        <w:autoSpaceDE w:val="0"/>
        <w:autoSpaceDN w:val="0"/>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关于修建临时设施费用承担的约定：</w:t>
      </w:r>
      <w:r>
        <w:rPr>
          <w:rFonts w:hint="eastAsia" w:ascii="宋体" w:hAnsi="宋体" w:eastAsia="宋体" w:cs="Times New Roman"/>
          <w:sz w:val="21"/>
          <w:szCs w:val="21"/>
          <w:u w:val="single"/>
        </w:rPr>
        <w:t xml:space="preserve"> 由承包人承担</w:t>
      </w:r>
      <w:r>
        <w:rPr>
          <w:rFonts w:hint="eastAsia" w:ascii="宋体" w:hAnsi="宋体" w:eastAsia="宋体" w:cs="Times New Roman"/>
          <w:sz w:val="21"/>
          <w:szCs w:val="21"/>
        </w:rPr>
        <w:t>。</w:t>
      </w:r>
    </w:p>
    <w:p w14:paraId="2F57D082">
      <w:pPr>
        <w:keepNext/>
        <w:keepLines/>
        <w:spacing w:line="360" w:lineRule="auto"/>
        <w:outlineLvl w:val="3"/>
        <w:rPr>
          <w:rFonts w:ascii="宋体" w:hAnsi="宋体" w:eastAsia="宋体" w:cs="宋体"/>
          <w:b/>
          <w:sz w:val="21"/>
          <w:szCs w:val="21"/>
        </w:rPr>
      </w:pPr>
      <w:bookmarkStart w:id="1312" w:name="_Toc351203641"/>
      <w:bookmarkEnd w:id="1312"/>
      <w:bookmarkStart w:id="1313" w:name="_Toc532375631"/>
      <w:bookmarkEnd w:id="1313"/>
      <w:bookmarkStart w:id="1314" w:name="_Toc532377367"/>
      <w:bookmarkEnd w:id="1314"/>
      <w:r>
        <w:rPr>
          <w:rFonts w:hint="eastAsia" w:ascii="宋体" w:hAnsi="宋体" w:eastAsia="宋体" w:cs="宋体"/>
          <w:b/>
          <w:bCs/>
          <w:sz w:val="21"/>
          <w:szCs w:val="21"/>
        </w:rPr>
        <w:t>9</w:t>
      </w:r>
      <w:bookmarkStart w:id="1315" w:name="_Toc312677495"/>
      <w:bookmarkEnd w:id="1315"/>
      <w:bookmarkStart w:id="1316" w:name="_Toc300934982"/>
      <w:bookmarkEnd w:id="1316"/>
      <w:bookmarkStart w:id="1317" w:name="_Toc303539139"/>
      <w:bookmarkEnd w:id="1317"/>
      <w:bookmarkStart w:id="1318" w:name="_Toc297123533"/>
      <w:bookmarkEnd w:id="1318"/>
      <w:bookmarkStart w:id="1319" w:name="_Toc297216192"/>
      <w:bookmarkEnd w:id="1319"/>
      <w:bookmarkStart w:id="1320" w:name="_Toc312678021"/>
      <w:bookmarkEnd w:id="1320"/>
      <w:bookmarkStart w:id="1321" w:name="_Toc304295559"/>
      <w:r>
        <w:rPr>
          <w:rFonts w:hint="eastAsia" w:ascii="宋体" w:hAnsi="宋体" w:eastAsia="宋体" w:cs="宋体"/>
          <w:b/>
          <w:bCs/>
          <w:sz w:val="21"/>
          <w:szCs w:val="21"/>
        </w:rPr>
        <w:t>. 试验与检验</w:t>
      </w:r>
      <w:bookmarkEnd w:id="1321"/>
    </w:p>
    <w:p w14:paraId="0A3B26E2">
      <w:pPr>
        <w:widowControl/>
        <w:spacing w:line="360" w:lineRule="auto"/>
        <w:jc w:val="left"/>
        <w:outlineLvl w:val="4"/>
        <w:rPr>
          <w:rFonts w:ascii="宋体" w:hAnsi="宋体" w:eastAsia="宋体" w:cs="宋体"/>
          <w:b/>
          <w:bCs/>
          <w:kern w:val="0"/>
          <w:sz w:val="21"/>
          <w:szCs w:val="21"/>
        </w:rPr>
      </w:pPr>
      <w:bookmarkStart w:id="1322" w:name="_Toc532377368"/>
      <w:bookmarkEnd w:id="1322"/>
      <w:bookmarkStart w:id="1323" w:name="_Toc532375632"/>
      <w:bookmarkEnd w:id="1323"/>
      <w:r>
        <w:rPr>
          <w:rFonts w:hint="eastAsia" w:ascii="宋体" w:hAnsi="宋体" w:eastAsia="宋体" w:cs="宋体"/>
          <w:b/>
          <w:bCs/>
          <w:kern w:val="0"/>
          <w:sz w:val="21"/>
          <w:szCs w:val="21"/>
        </w:rPr>
        <w:t>9</w:t>
      </w:r>
      <w:bookmarkStart w:id="1324" w:name="_Toc297216193"/>
      <w:bookmarkEnd w:id="1324"/>
      <w:bookmarkStart w:id="1325" w:name="_Toc304295560"/>
      <w:bookmarkEnd w:id="1325"/>
      <w:bookmarkStart w:id="1326" w:name="_Toc300934983"/>
      <w:bookmarkEnd w:id="1326"/>
      <w:bookmarkStart w:id="1327" w:name="_Toc312678022"/>
      <w:bookmarkEnd w:id="1327"/>
      <w:bookmarkStart w:id="1328" w:name="_Toc303539140"/>
      <w:bookmarkEnd w:id="1328"/>
      <w:bookmarkStart w:id="1329" w:name="_Toc312677496"/>
      <w:bookmarkEnd w:id="1329"/>
      <w:bookmarkStart w:id="1330" w:name="_Toc297123534"/>
      <w:r>
        <w:rPr>
          <w:rFonts w:hint="eastAsia" w:ascii="宋体" w:hAnsi="宋体" w:eastAsia="宋体" w:cs="宋体"/>
          <w:b/>
          <w:bCs/>
          <w:kern w:val="0"/>
          <w:sz w:val="21"/>
          <w:szCs w:val="21"/>
        </w:rPr>
        <w:t>.1 试验设备与试验人员</w:t>
      </w:r>
      <w:bookmarkEnd w:id="1330"/>
    </w:p>
    <w:p w14:paraId="12E6E5F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9</w:t>
      </w:r>
      <w:bookmarkStart w:id="1331" w:name="_Toc297123535"/>
      <w:bookmarkEnd w:id="1331"/>
      <w:bookmarkStart w:id="1332" w:name="_Toc297216194"/>
      <w:bookmarkEnd w:id="1332"/>
      <w:bookmarkStart w:id="1333" w:name="_Toc300934984"/>
      <w:bookmarkEnd w:id="1333"/>
      <w:bookmarkStart w:id="1334" w:name="_Toc304295561"/>
      <w:bookmarkEnd w:id="1334"/>
      <w:bookmarkStart w:id="1335" w:name="_Toc318581174"/>
      <w:bookmarkEnd w:id="1335"/>
      <w:bookmarkStart w:id="1336" w:name="_Toc312678023"/>
      <w:bookmarkEnd w:id="1336"/>
      <w:bookmarkStart w:id="1337" w:name="_Toc312677497"/>
      <w:bookmarkEnd w:id="1337"/>
      <w:bookmarkStart w:id="1338" w:name="_Toc303539141"/>
      <w:r>
        <w:rPr>
          <w:rFonts w:hint="eastAsia" w:ascii="宋体" w:hAnsi="宋体" w:eastAsia="宋体" w:cs="Times New Roman"/>
          <w:sz w:val="21"/>
          <w:szCs w:val="21"/>
        </w:rPr>
        <w:t>.1.2 试验设备</w:t>
      </w:r>
      <w:bookmarkEnd w:id="1338"/>
    </w:p>
    <w:p w14:paraId="40113BC9">
      <w:pPr>
        <w:spacing w:line="360" w:lineRule="auto"/>
        <w:jc w:val="left"/>
        <w:rPr>
          <w:rFonts w:ascii="宋体" w:hAnsi="宋体" w:eastAsia="宋体" w:cs="Times New Roman"/>
          <w:sz w:val="21"/>
          <w:szCs w:val="21"/>
        </w:rPr>
      </w:pPr>
      <w:bookmarkStart w:id="1339" w:name="_Toc297123536"/>
      <w:bookmarkEnd w:id="1339"/>
      <w:bookmarkStart w:id="1340" w:name="_Toc303539142"/>
      <w:bookmarkEnd w:id="1340"/>
      <w:bookmarkStart w:id="1341" w:name="_Toc304295562"/>
      <w:bookmarkEnd w:id="1341"/>
      <w:bookmarkStart w:id="1342" w:name="_Toc532375633"/>
      <w:bookmarkEnd w:id="1342"/>
      <w:bookmarkStart w:id="1343" w:name="_Toc312678024"/>
      <w:bookmarkEnd w:id="1343"/>
      <w:bookmarkStart w:id="1344" w:name="_Toc297216195"/>
      <w:bookmarkEnd w:id="1344"/>
      <w:bookmarkStart w:id="1345" w:name="_Toc312677498"/>
      <w:bookmarkEnd w:id="1345"/>
      <w:bookmarkStart w:id="1346" w:name="_Toc300934985"/>
      <w:bookmarkEnd w:id="1346"/>
      <w:bookmarkStart w:id="1347" w:name="_Toc532377369"/>
      <w:r>
        <w:rPr>
          <w:rFonts w:hint="eastAsia" w:ascii="宋体" w:hAnsi="宋体" w:eastAsia="宋体" w:cs="Times New Roman"/>
          <w:sz w:val="21"/>
          <w:szCs w:val="21"/>
        </w:rPr>
        <w:t>施工现场需要配置的试验场所：</w:t>
      </w:r>
      <w:bookmarkEnd w:id="1347"/>
      <w:r>
        <w:rPr>
          <w:rFonts w:hint="eastAsia" w:ascii="宋体" w:hAnsi="宋体" w:eastAsia="宋体" w:cs="Times New Roman"/>
          <w:sz w:val="21"/>
          <w:szCs w:val="21"/>
          <w:u w:val="single"/>
        </w:rPr>
        <w:t>满足工程施工的需要</w:t>
      </w:r>
      <w:r>
        <w:rPr>
          <w:rFonts w:hint="eastAsia" w:ascii="宋体" w:hAnsi="宋体" w:eastAsia="宋体" w:cs="Times New Roman"/>
          <w:sz w:val="21"/>
          <w:szCs w:val="21"/>
        </w:rPr>
        <w:t>。</w:t>
      </w:r>
    </w:p>
    <w:p w14:paraId="384A14C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施工现场需要配备的试验设备：</w:t>
      </w:r>
      <w:r>
        <w:rPr>
          <w:rFonts w:hint="eastAsia" w:ascii="宋体" w:hAnsi="宋体" w:eastAsia="宋体" w:cs="Times New Roman"/>
          <w:sz w:val="21"/>
          <w:szCs w:val="21"/>
          <w:u w:val="single"/>
        </w:rPr>
        <w:t>满足工程施工的需要</w:t>
      </w:r>
      <w:r>
        <w:rPr>
          <w:rFonts w:hint="eastAsia" w:ascii="宋体" w:hAnsi="宋体" w:eastAsia="宋体" w:cs="Times New Roman"/>
          <w:sz w:val="21"/>
          <w:szCs w:val="21"/>
        </w:rPr>
        <w:t>。</w:t>
      </w:r>
    </w:p>
    <w:p w14:paraId="5DA908B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施工现场需要具备的其他试验条件：</w:t>
      </w:r>
      <w:r>
        <w:rPr>
          <w:rFonts w:hint="eastAsia" w:ascii="宋体" w:hAnsi="宋体" w:eastAsia="宋体" w:cs="Times New Roman"/>
          <w:sz w:val="21"/>
          <w:szCs w:val="21"/>
          <w:u w:val="single"/>
        </w:rPr>
        <w:t xml:space="preserve">  满足工程施工的需要   </w:t>
      </w:r>
      <w:r>
        <w:rPr>
          <w:rFonts w:hint="eastAsia" w:ascii="宋体" w:hAnsi="宋体" w:eastAsia="宋体" w:cs="Times New Roman"/>
          <w:sz w:val="21"/>
          <w:szCs w:val="21"/>
        </w:rPr>
        <w:t>。</w:t>
      </w:r>
    </w:p>
    <w:p w14:paraId="46153BCF">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9.4 现场工艺试验</w:t>
      </w:r>
    </w:p>
    <w:p w14:paraId="378CA5EE">
      <w:pPr>
        <w:spacing w:line="360" w:lineRule="auto"/>
        <w:jc w:val="left"/>
        <w:rPr>
          <w:rFonts w:ascii="宋体" w:hAnsi="宋体" w:eastAsia="宋体" w:cs="Times New Roman"/>
          <w:sz w:val="21"/>
          <w:szCs w:val="21"/>
        </w:rPr>
      </w:pPr>
      <w:bookmarkStart w:id="1348" w:name="_Toc267251506"/>
      <w:bookmarkEnd w:id="1348"/>
      <w:bookmarkStart w:id="1349" w:name="_Toc267251492"/>
      <w:bookmarkEnd w:id="1349"/>
      <w:bookmarkStart w:id="1350" w:name="_Toc267251504"/>
      <w:bookmarkEnd w:id="1350"/>
      <w:bookmarkStart w:id="1351" w:name="_Toc267251494"/>
      <w:bookmarkEnd w:id="1351"/>
      <w:bookmarkStart w:id="1352" w:name="_Toc532377370"/>
      <w:bookmarkEnd w:id="1352"/>
      <w:bookmarkStart w:id="1353" w:name="_Toc267251482"/>
      <w:bookmarkEnd w:id="1353"/>
      <w:bookmarkStart w:id="1354" w:name="_Toc267251514"/>
      <w:bookmarkEnd w:id="1354"/>
      <w:bookmarkStart w:id="1355" w:name="_Toc267251486"/>
      <w:bookmarkEnd w:id="1355"/>
      <w:bookmarkStart w:id="1356" w:name="_Toc267251508"/>
      <w:bookmarkEnd w:id="1356"/>
      <w:bookmarkStart w:id="1357" w:name="_Toc267251493"/>
      <w:bookmarkEnd w:id="1357"/>
      <w:bookmarkStart w:id="1358" w:name="_Toc267251484"/>
      <w:bookmarkEnd w:id="1358"/>
      <w:bookmarkStart w:id="1359" w:name="_Toc267251499"/>
      <w:bookmarkEnd w:id="1359"/>
      <w:bookmarkStart w:id="1360" w:name="_Toc267251489"/>
      <w:bookmarkEnd w:id="1360"/>
      <w:bookmarkStart w:id="1361" w:name="_Toc267251495"/>
      <w:bookmarkEnd w:id="1361"/>
      <w:bookmarkStart w:id="1362" w:name="_Toc532375634"/>
      <w:bookmarkEnd w:id="1362"/>
      <w:bookmarkStart w:id="1363" w:name="_Toc267251491"/>
      <w:bookmarkEnd w:id="1363"/>
      <w:bookmarkStart w:id="1364" w:name="_Toc267251485"/>
      <w:bookmarkEnd w:id="1364"/>
      <w:bookmarkStart w:id="1365" w:name="_Toc267251496"/>
      <w:bookmarkEnd w:id="1365"/>
      <w:bookmarkStart w:id="1366" w:name="_Hlk524298112"/>
      <w:bookmarkEnd w:id="1366"/>
      <w:bookmarkStart w:id="1367" w:name="_Toc267251502"/>
      <w:bookmarkEnd w:id="1367"/>
      <w:bookmarkStart w:id="1368" w:name="_Toc267251490"/>
      <w:bookmarkEnd w:id="1368"/>
      <w:bookmarkStart w:id="1369" w:name="_Toc267251497"/>
      <w:bookmarkEnd w:id="1369"/>
      <w:bookmarkStart w:id="1370" w:name="_Toc267251488"/>
      <w:bookmarkEnd w:id="1370"/>
      <w:bookmarkStart w:id="1371" w:name="_Toc267251511"/>
      <w:bookmarkEnd w:id="1371"/>
      <w:bookmarkStart w:id="1372" w:name="_Toc267251503"/>
      <w:bookmarkEnd w:id="1372"/>
      <w:bookmarkStart w:id="1373" w:name="_Toc267251498"/>
      <w:bookmarkEnd w:id="1373"/>
      <w:bookmarkStart w:id="1374" w:name="_Toc267251515"/>
      <w:bookmarkEnd w:id="1374"/>
      <w:bookmarkStart w:id="1375" w:name="_Toc267251507"/>
      <w:bookmarkEnd w:id="1375"/>
      <w:bookmarkStart w:id="1376" w:name="_Toc267251509"/>
      <w:bookmarkEnd w:id="1376"/>
      <w:bookmarkStart w:id="1377" w:name="_Toc267251501"/>
      <w:bookmarkEnd w:id="1377"/>
      <w:bookmarkStart w:id="1378" w:name="_Toc267251510"/>
      <w:bookmarkEnd w:id="1378"/>
      <w:bookmarkStart w:id="1379" w:name="_Toc267251513"/>
      <w:r>
        <w:rPr>
          <w:rFonts w:hint="eastAsia" w:ascii="宋体" w:hAnsi="宋体" w:eastAsia="宋体" w:cs="Times New Roman"/>
          <w:sz w:val="21"/>
          <w:szCs w:val="21"/>
        </w:rPr>
        <w:t>现场工艺试验的有关约定</w:t>
      </w:r>
      <w:bookmarkEnd w:id="1379"/>
      <w:r>
        <w:rPr>
          <w:rFonts w:hint="eastAsia" w:ascii="宋体" w:hAnsi="宋体" w:eastAsia="宋体" w:cs="Times New Roman"/>
          <w:sz w:val="21"/>
          <w:szCs w:val="21"/>
        </w:rPr>
        <w:t>：</w:t>
      </w:r>
    </w:p>
    <w:p w14:paraId="00DEA07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9.4.1</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一般检验试验：</w:t>
      </w:r>
    </w:p>
    <w:p w14:paraId="17FBA7D9">
      <w:pPr>
        <w:spacing w:line="360" w:lineRule="auto"/>
        <w:jc w:val="left"/>
        <w:textAlignment w:val="baseline"/>
        <w:rPr>
          <w:rFonts w:ascii="宋体" w:hAnsi="宋体" w:eastAsia="宋体" w:cs="Times New Roman"/>
          <w:sz w:val="21"/>
          <w:szCs w:val="21"/>
        </w:rPr>
      </w:pPr>
      <w:r>
        <w:rPr>
          <w:rFonts w:hint="eastAsia" w:ascii="宋体" w:hAnsi="宋体" w:eastAsia="宋体" w:cs="Times New Roman"/>
          <w:sz w:val="21"/>
          <w:szCs w:val="21"/>
        </w:rPr>
        <w:t>根据</w:t>
      </w:r>
      <w:r>
        <w:rPr>
          <w:rFonts w:hint="eastAsia" w:ascii="宋体" w:hAnsi="宋体" w:eastAsia="宋体" w:cs="Times New Roman"/>
          <w:sz w:val="21"/>
          <w:szCs w:val="21"/>
          <w:u w:val="single"/>
        </w:rPr>
        <w:t>《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w:t>
      </w:r>
      <w:r>
        <w:rPr>
          <w:rFonts w:hint="eastAsia" w:ascii="宋体" w:hAnsi="宋体" w:eastAsia="宋体" w:cs="Times New Roman"/>
          <w:sz w:val="21"/>
          <w:szCs w:val="21"/>
        </w:rPr>
        <w:t>，对工程材料、构件、建筑安装物、半成品、成品进行的一般质量鉴定、检测和试验，由发包人委托的第三方检测试验机构实施，所发生的鉴定、检测和试验费用由发包人承担，不包含在合同价格中。</w:t>
      </w:r>
    </w:p>
    <w:p w14:paraId="092AC0C9">
      <w:pPr>
        <w:spacing w:line="360" w:lineRule="auto"/>
        <w:jc w:val="left"/>
        <w:textAlignment w:val="baseline"/>
        <w:rPr>
          <w:rFonts w:ascii="宋体" w:hAnsi="宋体" w:eastAsia="宋体" w:cs="Times New Roman"/>
          <w:sz w:val="21"/>
          <w:szCs w:val="21"/>
        </w:rPr>
      </w:pPr>
      <w:r>
        <w:rPr>
          <w:rFonts w:hint="eastAsia" w:ascii="宋体" w:hAnsi="宋体" w:eastAsia="宋体" w:cs="Times New Roman"/>
          <w:sz w:val="21"/>
          <w:szCs w:val="21"/>
        </w:rPr>
        <w:t>实施前，由发包人、承包人和第三方检测试验机构签订三方合同，第三方检测试验机构分别向承包人和发包人出具相应的检测试验报告。根据</w:t>
      </w:r>
      <w:r>
        <w:rPr>
          <w:rFonts w:hint="eastAsia" w:ascii="宋体" w:hAnsi="宋体" w:eastAsia="宋体" w:cs="Times New Roman"/>
          <w:sz w:val="21"/>
          <w:szCs w:val="21"/>
          <w:u w:val="single"/>
        </w:rPr>
        <w:t>渝建〔2015〕420号文和有关施工规范、验收标准及施工图</w:t>
      </w:r>
      <w:r>
        <w:rPr>
          <w:rFonts w:hint="eastAsia" w:ascii="宋体" w:hAnsi="宋体" w:eastAsia="宋体" w:cs="Times New Roman"/>
          <w:sz w:val="21"/>
          <w:szCs w:val="21"/>
        </w:rPr>
        <w:t>的规定或要求，所做的上述检测试验所需的试件取样、制作、送检，试件制作需要提供的材料以及检测、试验的配合工作由承包人负责完成并承担由此产生的所有相关费用。</w:t>
      </w:r>
    </w:p>
    <w:p w14:paraId="320BCDE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9.4.2特殊检验试验：</w:t>
      </w:r>
    </w:p>
    <w:p w14:paraId="11D6A8D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w:t>
      </w:r>
      <w:r>
        <w:rPr>
          <w:rFonts w:hint="eastAsia" w:ascii="宋体" w:hAnsi="宋体" w:eastAsia="宋体" w:cs="Times New Roman"/>
          <w:sz w:val="21"/>
          <w:szCs w:val="21"/>
          <w:u w:val="single"/>
        </w:rPr>
        <w:t>渝建〔2015〕420号文</w:t>
      </w:r>
      <w:r>
        <w:rPr>
          <w:rFonts w:hint="eastAsia" w:ascii="宋体" w:hAnsi="宋体" w:eastAsia="宋体" w:cs="Times New Roman"/>
          <w:sz w:val="21"/>
          <w:szCs w:val="21"/>
        </w:rPr>
        <w:t>的规定，均由发包人委托相应的第三方检测试验机构进行检测，所发生的特殊检验试验费由发包人承担，不包含在合同价格中。</w:t>
      </w:r>
    </w:p>
    <w:p w14:paraId="1D087F46">
      <w:pPr>
        <w:spacing w:line="360" w:lineRule="auto"/>
        <w:jc w:val="left"/>
        <w:textAlignment w:val="baseline"/>
        <w:rPr>
          <w:rFonts w:ascii="宋体" w:hAnsi="宋体" w:eastAsia="宋体" w:cs="Times New Roman"/>
          <w:sz w:val="21"/>
          <w:szCs w:val="21"/>
        </w:rPr>
      </w:pPr>
      <w:r>
        <w:rPr>
          <w:rFonts w:hint="eastAsia" w:ascii="宋体" w:hAnsi="宋体" w:eastAsia="宋体" w:cs="Times New Roman"/>
          <w:sz w:val="21"/>
          <w:szCs w:val="21"/>
        </w:rPr>
        <w:t>发包人委托的第三方检测试验机构检测试验的试件所需的材料、取样、送检及相关配合工作由承包人负责完成并承担由此产生的所有相关费用。</w:t>
      </w:r>
    </w:p>
    <w:p w14:paraId="69C149D2">
      <w:pPr>
        <w:spacing w:line="360" w:lineRule="auto"/>
        <w:jc w:val="left"/>
        <w:textAlignment w:val="baseline"/>
        <w:rPr>
          <w:rFonts w:ascii="宋体" w:hAnsi="宋体" w:eastAsia="宋体" w:cs="Times New Roman"/>
          <w:sz w:val="21"/>
          <w:szCs w:val="21"/>
        </w:rPr>
      </w:pPr>
      <w:r>
        <w:rPr>
          <w:rFonts w:hint="eastAsia" w:ascii="宋体" w:hAnsi="宋体" w:eastAsia="宋体" w:cs="Times New Roman"/>
          <w:sz w:val="21"/>
          <w:szCs w:val="21"/>
        </w:rPr>
        <w:t>（2）施工措施的检测、试验：因施工措施需要而做的相关检测、试验由承包人负责实施，其费用由承包人承担。</w:t>
      </w:r>
    </w:p>
    <w:p w14:paraId="2534F806">
      <w:pPr>
        <w:spacing w:line="360" w:lineRule="auto"/>
        <w:jc w:val="left"/>
        <w:textAlignment w:val="baseline"/>
        <w:rPr>
          <w:rFonts w:ascii="宋体" w:hAnsi="宋体" w:eastAsia="宋体" w:cs="Times New Roman"/>
          <w:sz w:val="21"/>
          <w:szCs w:val="21"/>
        </w:rPr>
      </w:pPr>
      <w:r>
        <w:rPr>
          <w:rFonts w:hint="eastAsia" w:ascii="宋体" w:hAnsi="宋体" w:eastAsia="宋体" w:cs="Times New Roman"/>
          <w:sz w:val="21"/>
          <w:szCs w:val="21"/>
        </w:rPr>
        <w:t>9.4.3专项检测：</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D72EE37">
      <w:pPr>
        <w:spacing w:line="360" w:lineRule="auto"/>
        <w:jc w:val="left"/>
        <w:textAlignment w:val="baseline"/>
        <w:rPr>
          <w:rFonts w:ascii="宋体" w:hAnsi="宋体" w:eastAsia="宋体" w:cs="Times New Roman"/>
          <w:sz w:val="21"/>
          <w:szCs w:val="21"/>
        </w:rPr>
      </w:pPr>
      <w:r>
        <w:rPr>
          <w:rFonts w:hint="eastAsia" w:ascii="宋体" w:hAnsi="宋体" w:eastAsia="宋体" w:cs="Times New Roman"/>
          <w:sz w:val="21"/>
          <w:szCs w:val="21"/>
        </w:rPr>
        <w:t>9.4.4若因承包人取样、制样、送检及相关配合不及时而导致工程的工期和费用增加，影响的工期不予延长，增加费用由承包人承担。</w:t>
      </w:r>
    </w:p>
    <w:p w14:paraId="30ABE395">
      <w:pPr>
        <w:spacing w:line="360" w:lineRule="auto"/>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9.4.5检测试验不合格的项目，其缺陷处理和复测费用由承包人承担，工期不予延长。</w:t>
      </w:r>
    </w:p>
    <w:p w14:paraId="34C93D32">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1</w:t>
      </w:r>
      <w:bookmarkStart w:id="1380" w:name="_Toc303539146"/>
      <w:bookmarkEnd w:id="1380"/>
      <w:bookmarkStart w:id="1381" w:name="_Toc267251437"/>
      <w:bookmarkEnd w:id="1381"/>
      <w:bookmarkStart w:id="1382" w:name="_Toc292559903"/>
      <w:bookmarkEnd w:id="1382"/>
      <w:bookmarkStart w:id="1383" w:name="_Toc304295566"/>
      <w:bookmarkEnd w:id="1383"/>
      <w:bookmarkStart w:id="1384" w:name="_Toc312677499"/>
      <w:bookmarkEnd w:id="1384"/>
      <w:bookmarkStart w:id="1385" w:name="_Toc297123540"/>
      <w:bookmarkEnd w:id="1385"/>
      <w:bookmarkStart w:id="1386" w:name="_Toc267251435"/>
      <w:bookmarkEnd w:id="1386"/>
      <w:bookmarkStart w:id="1387" w:name="_Toc292559398"/>
      <w:bookmarkEnd w:id="1387"/>
      <w:bookmarkStart w:id="1388" w:name="_Toc312678025"/>
      <w:bookmarkEnd w:id="1388"/>
      <w:bookmarkStart w:id="1389" w:name="_Toc296346694"/>
      <w:bookmarkEnd w:id="1389"/>
      <w:bookmarkStart w:id="1390" w:name="_Toc267251433"/>
      <w:bookmarkEnd w:id="1390"/>
      <w:bookmarkStart w:id="1391" w:name="_Toc267251441"/>
      <w:bookmarkEnd w:id="1391"/>
      <w:bookmarkStart w:id="1392" w:name="_Toc297048379"/>
      <w:bookmarkEnd w:id="1392"/>
      <w:bookmarkStart w:id="1393" w:name="_Toc297120493"/>
      <w:bookmarkEnd w:id="1393"/>
      <w:bookmarkStart w:id="1394" w:name="_Toc296891021"/>
      <w:bookmarkEnd w:id="1394"/>
      <w:bookmarkStart w:id="1395" w:name="_Toc267251440"/>
      <w:bookmarkEnd w:id="1395"/>
      <w:bookmarkStart w:id="1396" w:name="_Toc296944532"/>
      <w:bookmarkEnd w:id="1396"/>
      <w:bookmarkStart w:id="1397" w:name="_Toc296347192"/>
      <w:bookmarkEnd w:id="1397"/>
      <w:bookmarkStart w:id="1398" w:name="_Toc297216199"/>
      <w:bookmarkEnd w:id="1398"/>
      <w:bookmarkStart w:id="1399" w:name="_Toc300934989"/>
      <w:bookmarkEnd w:id="1399"/>
      <w:bookmarkStart w:id="1400" w:name="_Toc296891233"/>
      <w:bookmarkEnd w:id="1400"/>
      <w:bookmarkStart w:id="1401" w:name="_Toc296503193"/>
      <w:bookmarkEnd w:id="1401"/>
      <w:bookmarkStart w:id="1402" w:name="_Toc267251439"/>
      <w:r>
        <w:rPr>
          <w:rFonts w:hint="eastAsia" w:ascii="宋体" w:hAnsi="宋体" w:eastAsia="宋体" w:cs="宋体"/>
          <w:b/>
          <w:bCs/>
          <w:sz w:val="21"/>
          <w:szCs w:val="21"/>
        </w:rPr>
        <w:t>0. 变更</w:t>
      </w:r>
      <w:bookmarkEnd w:id="1402"/>
    </w:p>
    <w:p w14:paraId="2705AE9F">
      <w:pPr>
        <w:widowControl/>
        <w:spacing w:line="360" w:lineRule="auto"/>
        <w:jc w:val="left"/>
        <w:outlineLvl w:val="4"/>
        <w:rPr>
          <w:rFonts w:ascii="宋体" w:hAnsi="宋体" w:eastAsia="宋体" w:cs="宋体"/>
          <w:b/>
          <w:bCs/>
          <w:kern w:val="0"/>
          <w:sz w:val="21"/>
          <w:szCs w:val="21"/>
        </w:rPr>
      </w:pPr>
      <w:bookmarkStart w:id="1403" w:name="_Toc296503194"/>
      <w:bookmarkEnd w:id="1403"/>
      <w:bookmarkStart w:id="1404" w:name="_Toc303539147"/>
      <w:bookmarkEnd w:id="1404"/>
      <w:bookmarkStart w:id="1405" w:name="_Toc292559904"/>
      <w:bookmarkEnd w:id="1405"/>
      <w:bookmarkStart w:id="1406" w:name="_Toc297216200"/>
      <w:bookmarkEnd w:id="1406"/>
      <w:bookmarkStart w:id="1407" w:name="_Toc296346695"/>
      <w:bookmarkEnd w:id="1407"/>
      <w:bookmarkStart w:id="1408" w:name="_Toc532375635"/>
      <w:bookmarkEnd w:id="1408"/>
      <w:bookmarkStart w:id="1409" w:name="_Toc296944533"/>
      <w:bookmarkEnd w:id="1409"/>
      <w:bookmarkStart w:id="1410" w:name="_Toc292559399"/>
      <w:bookmarkEnd w:id="1410"/>
      <w:bookmarkStart w:id="1411" w:name="_Toc296891022"/>
      <w:bookmarkEnd w:id="1411"/>
      <w:bookmarkStart w:id="1412" w:name="_Toc532377371"/>
      <w:bookmarkEnd w:id="1412"/>
      <w:bookmarkStart w:id="1413" w:name="_Toc297048380"/>
      <w:bookmarkEnd w:id="1413"/>
      <w:bookmarkStart w:id="1414" w:name="_Toc296347193"/>
      <w:bookmarkEnd w:id="1414"/>
      <w:bookmarkStart w:id="1415" w:name="_Toc300934990"/>
      <w:bookmarkEnd w:id="1415"/>
      <w:bookmarkStart w:id="1416" w:name="_Toc312678026"/>
      <w:bookmarkEnd w:id="1416"/>
      <w:bookmarkStart w:id="1417" w:name="_Toc297123541"/>
      <w:bookmarkEnd w:id="1417"/>
      <w:bookmarkStart w:id="1418" w:name="_Toc312677500"/>
      <w:bookmarkEnd w:id="1418"/>
      <w:bookmarkStart w:id="1419" w:name="_Toc297120494"/>
      <w:bookmarkEnd w:id="1419"/>
      <w:bookmarkStart w:id="1420" w:name="_Toc296891234"/>
      <w:bookmarkEnd w:id="1420"/>
      <w:bookmarkStart w:id="1421" w:name="_Toc304295567"/>
      <w:r>
        <w:rPr>
          <w:rFonts w:hint="eastAsia" w:ascii="宋体" w:hAnsi="宋体" w:eastAsia="宋体" w:cs="宋体"/>
          <w:b/>
          <w:bCs/>
          <w:kern w:val="0"/>
          <w:sz w:val="21"/>
          <w:szCs w:val="21"/>
        </w:rPr>
        <w:t>10.1变更的范围</w:t>
      </w:r>
      <w:bookmarkEnd w:id="1421"/>
    </w:p>
    <w:p w14:paraId="68D7EADB">
      <w:pPr>
        <w:spacing w:line="360" w:lineRule="auto"/>
        <w:jc w:val="left"/>
        <w:rPr>
          <w:rFonts w:ascii="宋体" w:hAnsi="宋体" w:eastAsia="宋体" w:cs="Times New Roman"/>
          <w:sz w:val="21"/>
          <w:szCs w:val="21"/>
        </w:rPr>
      </w:pPr>
      <w:bookmarkStart w:id="1422" w:name="_Toc532375638"/>
      <w:bookmarkEnd w:id="1422"/>
      <w:bookmarkStart w:id="1423" w:name="_Toc532377374"/>
      <w:r>
        <w:rPr>
          <w:rFonts w:hint="eastAsia" w:ascii="宋体" w:hAnsi="宋体" w:eastAsia="宋体" w:cs="Times New Roman"/>
          <w:sz w:val="21"/>
          <w:szCs w:val="21"/>
        </w:rPr>
        <w:t>关于变更的范围的约定：</w:t>
      </w:r>
      <w:bookmarkEnd w:id="1423"/>
    </w:p>
    <w:p w14:paraId="0DAA811B">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 xml:space="preserve"> (1)增加或减少合同中任何工作，或追加额外的工作；</w:t>
      </w:r>
    </w:p>
    <w:p w14:paraId="6A71E1F6">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(2)取消合同中任何工作；</w:t>
      </w:r>
    </w:p>
    <w:p w14:paraId="27F6F48F">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(3)改变合同中任何工作的质量标准或其他特性；</w:t>
      </w:r>
    </w:p>
    <w:p w14:paraId="011DF913">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(4)改变工程的基线、标高、位置和尺寸；</w:t>
      </w:r>
    </w:p>
    <w:p w14:paraId="1C5B9F9D">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(5)适用于工程的标准和(或)规范变化导致需要对工程进行改变，且该改变导致工期和(或)费用变化的；</w:t>
      </w:r>
    </w:p>
    <w:p w14:paraId="46A22158">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(6)勘察设计变更；</w:t>
      </w:r>
    </w:p>
    <w:p w14:paraId="5C5E78CA">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(7)实施内容变更，包括因设计变更和非设计变更引起的实施地点、投资规</w:t>
      </w:r>
      <w:bookmarkStart w:id="1944" w:name="_GoBack"/>
      <w:bookmarkEnd w:id="1944"/>
      <w:r>
        <w:rPr>
          <w:rFonts w:hint="eastAsia" w:ascii="宋体" w:hAnsi="宋体" w:eastAsia="宋体" w:cs="Times New Roman"/>
          <w:sz w:val="21"/>
          <w:szCs w:val="21"/>
          <w:u w:val="single"/>
        </w:rPr>
        <w:t>模、结构型式、采购数量、服务内容等进行的调整，以及因此导致的合同价格、工期变更；</w:t>
      </w:r>
    </w:p>
    <w:p w14:paraId="26BBE2B4">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(8)项目管理人员变更；</w:t>
      </w:r>
    </w:p>
    <w:p w14:paraId="4B6171F0">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(9)因人工、原材料等价格变化导致的合同总价变更；</w:t>
      </w:r>
    </w:p>
    <w:p w14:paraId="20F12A66">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(10)非实施内容变化导致的工期变更；</w:t>
      </w:r>
    </w:p>
    <w:p w14:paraId="2A796160">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(11)其他：①若承包人拒绝或拖延实施变更内容视为无条件放弃该变更建设内容中标权属，发包人可另行委托其他承包人实施，承包人不得向发包人索赔预期利益及干预；②由于变更造成的工程投资变化导致合同金额增加或减少，承包人不得向发包人索赔预期利益。</w:t>
      </w:r>
    </w:p>
    <w:p w14:paraId="7BE0E3B1">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回变更管理暂行办法》要求进行信息公开。项目合同变更未获得通过的，发包人和承包人均不得擅自变更原合同约定事项，且不得就同一理由同一事项再提出变更。</w:t>
      </w:r>
    </w:p>
    <w:p w14:paraId="0DED0CAC">
      <w:pPr>
        <w:spacing w:line="360" w:lineRule="auto"/>
        <w:jc w:val="left"/>
        <w:rPr>
          <w:rFonts w:ascii="宋体" w:hAnsi="宋体" w:eastAsia="宋体" w:cs="Times New Roman"/>
          <w:sz w:val="21"/>
          <w:szCs w:val="21"/>
        </w:rPr>
      </w:pPr>
      <w:r>
        <w:rPr>
          <w:rFonts w:hint="eastAsia" w:ascii="宋体" w:hAnsi="宋体" w:eastAsia="宋体" w:cs="Times New Roman"/>
          <w:sz w:val="21"/>
          <w:szCs w:val="21"/>
          <w:u w:val="single"/>
        </w:rPr>
        <w:t>承包人对其提供的材料、工程设备、施工、无负荷试车、热负荷试车及图纸参数存在的缺陷，自费修正、调整和完善，不属于变更</w:t>
      </w:r>
      <w:r>
        <w:rPr>
          <w:rFonts w:hint="eastAsia" w:ascii="宋体" w:hAnsi="宋体" w:eastAsia="宋体" w:cs="Times New Roman"/>
          <w:sz w:val="21"/>
          <w:szCs w:val="21"/>
        </w:rPr>
        <w:t>。</w:t>
      </w:r>
    </w:p>
    <w:p w14:paraId="6C06E742">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10.4 变更估价</w:t>
      </w:r>
    </w:p>
    <w:p w14:paraId="7EEA3F9A">
      <w:pPr>
        <w:spacing w:line="360" w:lineRule="auto"/>
        <w:jc w:val="left"/>
        <w:rPr>
          <w:rFonts w:ascii="宋体" w:hAnsi="宋体" w:eastAsia="宋体" w:cs="Times New Roman"/>
          <w:sz w:val="21"/>
          <w:szCs w:val="21"/>
          <w:u w:val="single"/>
        </w:rPr>
      </w:pPr>
      <w:bookmarkStart w:id="1424" w:name="_Toc532377377"/>
      <w:bookmarkEnd w:id="1424"/>
      <w:bookmarkStart w:id="1425" w:name="_Toc532375641"/>
      <w:bookmarkEnd w:id="1425"/>
      <w:r>
        <w:rPr>
          <w:rFonts w:hint="eastAsia" w:ascii="宋体" w:hAnsi="宋体" w:eastAsia="宋体" w:cs="Times New Roman"/>
          <w:sz w:val="21"/>
          <w:szCs w:val="21"/>
        </w:rPr>
        <w:t>关于变更估价的约定：</w:t>
      </w:r>
      <w:r>
        <w:rPr>
          <w:rFonts w:hint="eastAsia" w:ascii="宋体" w:hAnsi="宋体" w:eastAsia="宋体" w:cs="Times New Roman"/>
          <w:sz w:val="21"/>
          <w:szCs w:val="21"/>
          <w:u w:val="single"/>
        </w:rPr>
        <w:t>当发生工程变更时，工程量按国家及重庆市规定的计算规则及已标价工程量清单规定的工程量计算规则计量，按以下办法计价：</w:t>
      </w:r>
    </w:p>
    <w:p w14:paraId="35939D85">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10.4.1.1已标价工程量清单中有相同项目的，按照相同项目单价计算；</w:t>
      </w:r>
    </w:p>
    <w:p w14:paraId="50A9BE17">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10.4.1.2已标价工程量清单中有类似项目的，参考类似项目单价计算；</w:t>
      </w:r>
    </w:p>
    <w:p w14:paraId="102B7562">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10.4.1.3已标价工程量清单中无相同项目亦无类似项目的，按照以下原则执行；</w:t>
      </w:r>
    </w:p>
    <w:p w14:paraId="65065648">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重庆市建设工程费用定额》（CQFYDE-2018）、《重庆市市政工程计价定额》（CQSZDE-2018）、《重庆市房屋建筑与装饰工程计价定额》（CQJZZSDE-2018）、《重庆市通用安装工程计价定额》（CQAZDE-2018）、《重庆市园林绿化工程计价定额》（CQYLLHDE-2018）、《重庆市绿色建筑工程计价定额》（CQLSJZDE-2018）、《重庆市装配式建筑工程计价定额》（CQZPDE-2022）、《重庆市爆破工程计价定额》（CQBPDE-2018）、《重庆市构筑物工程计价定额》（CQGZWDE-2018）、《重庆市房屋修缮工程计价定额》（CQXSDE-2018）、《重庆市建设工程施工机械台班定额》（CQJXDE-2018）、《重庆市建设工程混凝土及砂浆配合比表》（CQPHBB-2018）、《重庆市建设工程施工仪器仪表台班定额》（CQYQYBDE-2018）及配套文件进行组价并按承包人报价浮动率下浮(认质核价的设备和材料不参与浮动)，经监理人、发包人审定后执行。</w:t>
      </w:r>
    </w:p>
    <w:p w14:paraId="289BF431">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承包人报价浮动率按下列公式计算：承包人报价浮动率=(1-中标价/最高限价)X100%。</w:t>
      </w:r>
    </w:p>
    <w:p w14:paraId="247E91F6">
      <w:pPr>
        <w:spacing w:line="360" w:lineRule="auto"/>
        <w:jc w:val="left"/>
        <w:rPr>
          <w:rFonts w:ascii="宋体" w:hAnsi="宋体" w:eastAsia="宋体" w:cs="Times New Roman"/>
          <w:sz w:val="21"/>
          <w:szCs w:val="21"/>
          <w:highlight w:val="none"/>
          <w:u w:val="single"/>
        </w:rPr>
      </w:pPr>
      <w:r>
        <w:rPr>
          <w:rFonts w:hint="eastAsia" w:ascii="宋体" w:hAnsi="宋体" w:eastAsia="宋体" w:cs="Times New Roman"/>
          <w:sz w:val="21"/>
          <w:szCs w:val="21"/>
          <w:u w:val="single"/>
        </w:rPr>
        <w:t>(1)人工单价：《重庆工程造价信息》</w:t>
      </w:r>
      <w:r>
        <w:rPr>
          <w:rFonts w:hint="eastAsia" w:ascii="宋体" w:hAnsi="宋体" w:eastAsia="宋体" w:cs="Times New Roman"/>
          <w:sz w:val="21"/>
          <w:szCs w:val="21"/>
          <w:highlight w:val="none"/>
          <w:u w:val="single"/>
        </w:rPr>
        <w:t>大足区2026年第4期。</w:t>
      </w:r>
    </w:p>
    <w:p w14:paraId="2901DA06">
      <w:pPr>
        <w:spacing w:line="360" w:lineRule="auto"/>
        <w:jc w:val="left"/>
        <w:rPr>
          <w:rFonts w:ascii="宋体" w:hAnsi="宋体" w:eastAsia="宋体" w:cs="Times New Roman"/>
          <w:sz w:val="21"/>
          <w:szCs w:val="21"/>
          <w:highlight w:val="none"/>
          <w:u w:val="single"/>
        </w:rPr>
      </w:pPr>
      <w:r>
        <w:rPr>
          <w:rFonts w:hint="eastAsia" w:ascii="宋体" w:hAnsi="宋体" w:eastAsia="宋体" w:cs="Times New Roman"/>
          <w:sz w:val="21"/>
          <w:szCs w:val="21"/>
          <w:highlight w:val="none"/>
          <w:u w:val="single"/>
        </w:rPr>
        <w:t>(2)材料单价：</w:t>
      </w:r>
    </w:p>
    <w:p w14:paraId="76987BB0">
      <w:pPr>
        <w:spacing w:line="360" w:lineRule="auto"/>
        <w:jc w:val="left"/>
        <w:rPr>
          <w:rFonts w:ascii="宋体" w:hAnsi="宋体" w:eastAsia="宋体" w:cs="Times New Roman"/>
          <w:sz w:val="21"/>
          <w:szCs w:val="21"/>
          <w:highlight w:val="none"/>
          <w:u w:val="single"/>
        </w:rPr>
      </w:pPr>
      <w:r>
        <w:rPr>
          <w:rFonts w:hint="eastAsia" w:ascii="宋体" w:hAnsi="宋体" w:eastAsia="宋体" w:cs="Times New Roman"/>
          <w:sz w:val="21"/>
          <w:szCs w:val="21"/>
          <w:highlight w:val="none"/>
          <w:u w:val="single"/>
        </w:rPr>
        <w:t>①按《重庆工程造价信息》大足区2026年第4期、主城区2026年第4期执行；</w:t>
      </w:r>
    </w:p>
    <w:p w14:paraId="38B837FC">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②开标当期《重庆工程造价》中没有的，承包人投标报价中有的，按承包人投标报价中相同材料单价的最低值执行；</w:t>
      </w:r>
    </w:p>
    <w:p w14:paraId="20E6AA26">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③开标当期《重庆工程造价》和承包人投标报价没有的，由承包人申报、监理人会同发包人根据市场行情认质核价确定。</w:t>
      </w:r>
    </w:p>
    <w:p w14:paraId="23A12167">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(3)企业管理费和利润：按承包人投标报价中相同工程分类的费用标准执行(投标报价中费用标准高于《重庆市建设工程费用定额》(CQFYDE-2018)费用标准的，按《重庆市建设工程费用定额》(CQFYDE-2018)费用标准执行)。</w:t>
      </w:r>
    </w:p>
    <w:p w14:paraId="63AC13A1">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(4)规费：按《重庆市建设工程费用定额》(CQFYDE-2018)费用标准进行计算。</w:t>
      </w:r>
    </w:p>
    <w:p w14:paraId="2BBE52F8">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(5)税金：包含增值税、城市维护建设税、教育费附加、地方教育附加以及环境保护税。其中增值税按《重庆市建设工程费用定额》(CQFYDE-2018)规定及配套文件执行。</w:t>
      </w:r>
    </w:p>
    <w:p w14:paraId="580F36ED">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10.4.1.4己标价工程量清单中无相同项日亦无类似项日，也无定额可套用的，由承包人会同监理人、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发包人共同询价确认的价格执行。</w:t>
      </w:r>
    </w:p>
    <w:p w14:paraId="3AC88672">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本款补充10.4.3项：</w:t>
      </w:r>
    </w:p>
    <w:p w14:paraId="27871DBB">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533F89BC">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(1)安全文明施工费应按照实际发生变化的措施项目依据现行安全文明施工费计取及管理政策规定及《重庆市建设工程费用定额》(CQFYDE-2018)规定执行；</w:t>
      </w:r>
    </w:p>
    <w:p w14:paraId="6D0708CE">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(2)按照单价计算的措施项目费，应按照实际发生变化的措施项目，按照第10.4.1项(变更估价原则)约定执行；</w:t>
      </w:r>
    </w:p>
    <w:p w14:paraId="7298628B">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(3)按总价(或系数)计算的措施项目费，应按照实际发生变化的措施项目费按承包人报价浮动率下浮后的金额计算；</w:t>
      </w:r>
    </w:p>
    <w:p w14:paraId="7F68CA62">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(4)如果承包人未事前将拟实施的方案提交给发包人确认，则应视为工程变更不引起措施项目费的调整或承包人放弃调整措施项目费的权利。</w:t>
      </w:r>
    </w:p>
    <w:p w14:paraId="091CBF26">
      <w:pPr>
        <w:widowControl/>
        <w:spacing w:line="360" w:lineRule="auto"/>
        <w:jc w:val="left"/>
        <w:outlineLvl w:val="4"/>
        <w:rPr>
          <w:rFonts w:ascii="宋体" w:hAnsi="宋体" w:eastAsia="宋体" w:cs="宋体"/>
          <w:b/>
          <w:bCs/>
          <w:kern w:val="0"/>
          <w:sz w:val="21"/>
          <w:szCs w:val="21"/>
        </w:rPr>
      </w:pPr>
      <w:bookmarkStart w:id="1426" w:name="_Toc532377375"/>
      <w:bookmarkEnd w:id="1426"/>
      <w:bookmarkStart w:id="1427" w:name="_Toc532375639"/>
      <w:r>
        <w:rPr>
          <w:rFonts w:hint="eastAsia" w:ascii="宋体" w:hAnsi="宋体" w:eastAsia="宋体" w:cs="宋体"/>
          <w:b/>
          <w:bCs/>
          <w:kern w:val="0"/>
          <w:sz w:val="21"/>
          <w:szCs w:val="21"/>
        </w:rPr>
        <w:t>1</w:t>
      </w:r>
      <w:bookmarkEnd w:id="1427"/>
      <w:bookmarkStart w:id="1428" w:name="_Toc296503197"/>
      <w:bookmarkEnd w:id="1428"/>
      <w:bookmarkStart w:id="1429" w:name="_Toc297120497"/>
      <w:bookmarkEnd w:id="1429"/>
      <w:bookmarkStart w:id="1430" w:name="_Toc296347196"/>
      <w:bookmarkEnd w:id="1430"/>
      <w:bookmarkStart w:id="1431" w:name="_Toc296944536"/>
      <w:bookmarkEnd w:id="1431"/>
      <w:bookmarkStart w:id="1432" w:name="_Toc297123544"/>
      <w:bookmarkEnd w:id="1432"/>
      <w:bookmarkStart w:id="1433" w:name="_Toc303539150"/>
      <w:bookmarkEnd w:id="1433"/>
      <w:bookmarkStart w:id="1434" w:name="_Toc296891025"/>
      <w:bookmarkEnd w:id="1434"/>
      <w:bookmarkStart w:id="1435" w:name="_Toc292559907"/>
      <w:bookmarkEnd w:id="1435"/>
      <w:bookmarkStart w:id="1436" w:name="_Toc297048383"/>
      <w:bookmarkEnd w:id="1436"/>
      <w:bookmarkStart w:id="1437" w:name="_Toc296346698"/>
      <w:bookmarkEnd w:id="1437"/>
      <w:bookmarkStart w:id="1438" w:name="_Toc312677503"/>
      <w:bookmarkEnd w:id="1438"/>
      <w:bookmarkStart w:id="1439" w:name="_Toc292559402"/>
      <w:bookmarkEnd w:id="1439"/>
      <w:bookmarkStart w:id="1440" w:name="_Toc296891237"/>
      <w:bookmarkEnd w:id="1440"/>
      <w:bookmarkStart w:id="1441" w:name="_Toc300934993"/>
      <w:bookmarkEnd w:id="1441"/>
      <w:bookmarkStart w:id="1442" w:name="_Toc304295570"/>
      <w:bookmarkEnd w:id="1442"/>
      <w:bookmarkStart w:id="1443" w:name="_Toc297216203"/>
      <w:bookmarkEnd w:id="1443"/>
      <w:bookmarkStart w:id="1444" w:name="_Toc312678029"/>
      <w:r>
        <w:rPr>
          <w:rFonts w:hint="eastAsia" w:ascii="宋体" w:hAnsi="宋体" w:eastAsia="宋体" w:cs="宋体"/>
          <w:b/>
          <w:bCs/>
          <w:kern w:val="0"/>
          <w:sz w:val="21"/>
          <w:szCs w:val="21"/>
        </w:rPr>
        <w:t>0.5承</w:t>
      </w:r>
      <w:bookmarkEnd w:id="1444"/>
      <w:bookmarkStart w:id="1445" w:name="_Toc292559913"/>
      <w:bookmarkEnd w:id="1445"/>
      <w:bookmarkStart w:id="1446" w:name="_Toc296346704"/>
      <w:bookmarkEnd w:id="1446"/>
      <w:bookmarkStart w:id="1447" w:name="_Toc300934994"/>
      <w:bookmarkEnd w:id="1447"/>
      <w:bookmarkStart w:id="1448" w:name="_Toc297216204"/>
      <w:bookmarkEnd w:id="1448"/>
      <w:bookmarkStart w:id="1449" w:name="_Toc296891243"/>
      <w:bookmarkEnd w:id="1449"/>
      <w:bookmarkStart w:id="1450" w:name="_Toc296944542"/>
      <w:bookmarkEnd w:id="1450"/>
      <w:bookmarkStart w:id="1451" w:name="_Toc296891031"/>
      <w:bookmarkEnd w:id="1451"/>
      <w:bookmarkStart w:id="1452" w:name="_Toc296347202"/>
      <w:bookmarkEnd w:id="1452"/>
      <w:bookmarkStart w:id="1453" w:name="_Toc297123545"/>
      <w:bookmarkEnd w:id="1453"/>
      <w:bookmarkStart w:id="1454" w:name="_Toc297048389"/>
      <w:bookmarkEnd w:id="1454"/>
      <w:bookmarkStart w:id="1455" w:name="_Toc296503203"/>
      <w:bookmarkEnd w:id="1455"/>
      <w:bookmarkStart w:id="1456" w:name="_Toc303539151"/>
      <w:bookmarkEnd w:id="1456"/>
      <w:bookmarkStart w:id="1457" w:name="_Toc297120503"/>
      <w:bookmarkEnd w:id="1457"/>
      <w:bookmarkStart w:id="1458" w:name="_Toc292559408"/>
      <w:bookmarkEnd w:id="1458"/>
      <w:r>
        <w:rPr>
          <w:rFonts w:hint="eastAsia" w:ascii="宋体" w:hAnsi="宋体" w:eastAsia="宋体" w:cs="宋体"/>
          <w:b/>
          <w:bCs/>
          <w:kern w:val="0"/>
          <w:sz w:val="21"/>
          <w:szCs w:val="21"/>
        </w:rPr>
        <w:t>包人的合理化建议</w:t>
      </w:r>
    </w:p>
    <w:p w14:paraId="750CC19C">
      <w:pPr>
        <w:spacing w:line="360" w:lineRule="auto"/>
        <w:jc w:val="left"/>
        <w:rPr>
          <w:rFonts w:ascii="宋体" w:hAnsi="宋体" w:eastAsia="宋体" w:cs="Times New Roman"/>
          <w:sz w:val="21"/>
          <w:szCs w:val="21"/>
        </w:rPr>
      </w:pPr>
      <w:bookmarkStart w:id="1459" w:name="_Toc297123546"/>
      <w:bookmarkEnd w:id="1459"/>
      <w:bookmarkStart w:id="1460" w:name="_Toc297216205"/>
      <w:bookmarkEnd w:id="1460"/>
      <w:bookmarkStart w:id="1461" w:name="_Toc296944543"/>
      <w:bookmarkEnd w:id="1461"/>
      <w:bookmarkStart w:id="1462" w:name="_Toc297120504"/>
      <w:bookmarkEnd w:id="1462"/>
      <w:bookmarkStart w:id="1463" w:name="_Toc303539152"/>
      <w:bookmarkEnd w:id="1463"/>
      <w:bookmarkStart w:id="1464" w:name="_Toc292559409"/>
      <w:bookmarkEnd w:id="1464"/>
      <w:bookmarkStart w:id="1465" w:name="_Toc296891244"/>
      <w:bookmarkEnd w:id="1465"/>
      <w:bookmarkStart w:id="1466" w:name="_Toc296891032"/>
      <w:bookmarkEnd w:id="1466"/>
      <w:bookmarkStart w:id="1467" w:name="_Toc300934995"/>
      <w:bookmarkEnd w:id="1467"/>
      <w:bookmarkStart w:id="1468" w:name="_Toc318581175"/>
      <w:bookmarkEnd w:id="1468"/>
      <w:bookmarkStart w:id="1469" w:name="_Toc292559914"/>
      <w:bookmarkEnd w:id="1469"/>
      <w:bookmarkStart w:id="1470" w:name="_Toc296346705"/>
      <w:bookmarkEnd w:id="1470"/>
      <w:bookmarkStart w:id="1471" w:name="_Toc296503204"/>
      <w:bookmarkEnd w:id="1471"/>
      <w:bookmarkStart w:id="1472" w:name="_Toc312677504"/>
      <w:bookmarkEnd w:id="1472"/>
      <w:bookmarkStart w:id="1473" w:name="_Toc297048390"/>
      <w:bookmarkEnd w:id="1473"/>
      <w:bookmarkStart w:id="1474" w:name="_Toc304295571"/>
      <w:bookmarkEnd w:id="1474"/>
      <w:bookmarkStart w:id="1475" w:name="_Toc312678030"/>
      <w:bookmarkEnd w:id="1475"/>
      <w:bookmarkStart w:id="1476" w:name="_Toc296347203"/>
      <w:r>
        <w:rPr>
          <w:rFonts w:hint="eastAsia" w:ascii="宋体" w:hAnsi="宋体" w:eastAsia="宋体" w:cs="Times New Roman"/>
          <w:sz w:val="21"/>
          <w:szCs w:val="21"/>
        </w:rPr>
        <w:t>承包人提出合理化建议的，应向监理人提交合理化建议说明，说明建议的内容和理由，以及实施该建议对合同价格和（或）工期和（或）工程经济效益的影响。</w:t>
      </w:r>
      <w:bookmarkEnd w:id="1476"/>
    </w:p>
    <w:p w14:paraId="2890FCF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监理人审查承包人合理化建议的期限：</w:t>
      </w:r>
      <w:r>
        <w:rPr>
          <w:rFonts w:hint="eastAsia" w:ascii="宋体" w:hAnsi="宋体" w:eastAsia="宋体" w:cs="Times New Roman"/>
          <w:sz w:val="21"/>
          <w:szCs w:val="21"/>
          <w:u w:val="single"/>
        </w:rPr>
        <w:t>不超过14天</w:t>
      </w:r>
      <w:r>
        <w:rPr>
          <w:rFonts w:hint="eastAsia" w:ascii="宋体" w:hAnsi="宋体" w:eastAsia="宋体" w:cs="Times New Roman"/>
          <w:sz w:val="21"/>
          <w:szCs w:val="21"/>
        </w:rPr>
        <w:t>。</w:t>
      </w:r>
    </w:p>
    <w:p w14:paraId="422C378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发包人审批承包人合理化建议的期限：</w:t>
      </w:r>
      <w:r>
        <w:rPr>
          <w:rFonts w:hint="eastAsia" w:ascii="宋体" w:hAnsi="宋体" w:eastAsia="宋体" w:cs="Times New Roman"/>
          <w:sz w:val="21"/>
          <w:szCs w:val="21"/>
          <w:u w:val="single"/>
        </w:rPr>
        <w:t>不超过14天</w:t>
      </w:r>
      <w:r>
        <w:rPr>
          <w:rFonts w:hint="eastAsia" w:ascii="宋体" w:hAnsi="宋体" w:eastAsia="宋体" w:cs="Times New Roman"/>
          <w:sz w:val="21"/>
          <w:szCs w:val="21"/>
        </w:rPr>
        <w:t>。</w:t>
      </w:r>
    </w:p>
    <w:p w14:paraId="7054258B">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承包人提出的合理化建议降低了合同价格或缩短了工期或者提高了工程经济效益的奖励的方法和金额为：</w:t>
      </w:r>
      <w:r>
        <w:rPr>
          <w:rFonts w:hint="eastAsia" w:ascii="宋体" w:hAnsi="宋体" w:eastAsia="宋体" w:cs="Times New Roman"/>
          <w:sz w:val="21"/>
          <w:szCs w:val="21"/>
          <w:u w:val="single"/>
        </w:rPr>
        <w:t>无</w:t>
      </w:r>
      <w:r>
        <w:rPr>
          <w:rFonts w:hint="eastAsia" w:ascii="宋体" w:hAnsi="宋体" w:eastAsia="宋体" w:cs="Times New Roman"/>
          <w:sz w:val="21"/>
          <w:szCs w:val="21"/>
        </w:rPr>
        <w:t>。</w:t>
      </w:r>
    </w:p>
    <w:p w14:paraId="3631D6ED">
      <w:pPr>
        <w:widowControl/>
        <w:spacing w:line="360" w:lineRule="auto"/>
        <w:jc w:val="left"/>
        <w:outlineLvl w:val="4"/>
        <w:rPr>
          <w:rFonts w:ascii="宋体" w:hAnsi="宋体" w:eastAsia="宋体" w:cs="宋体"/>
          <w:b/>
          <w:bCs/>
          <w:kern w:val="0"/>
          <w:sz w:val="21"/>
          <w:szCs w:val="21"/>
        </w:rPr>
      </w:pPr>
      <w:bookmarkStart w:id="1477" w:name="_Toc532375640"/>
      <w:bookmarkEnd w:id="1477"/>
      <w:bookmarkStart w:id="1478" w:name="_Toc532377376"/>
      <w:bookmarkEnd w:id="1478"/>
      <w:r>
        <w:rPr>
          <w:rFonts w:hint="eastAsia" w:ascii="宋体" w:hAnsi="宋体" w:eastAsia="宋体" w:cs="宋体"/>
          <w:b/>
          <w:bCs/>
          <w:kern w:val="0"/>
          <w:sz w:val="21"/>
          <w:szCs w:val="21"/>
        </w:rPr>
        <w:t>1</w:t>
      </w:r>
      <w:bookmarkStart w:id="1479" w:name="_Toc303539154"/>
      <w:bookmarkEnd w:id="1479"/>
      <w:bookmarkStart w:id="1480" w:name="_Toc297120499"/>
      <w:bookmarkEnd w:id="1480"/>
      <w:bookmarkStart w:id="1481" w:name="_Toc292559404"/>
      <w:bookmarkEnd w:id="1481"/>
      <w:bookmarkStart w:id="1482" w:name="_Toc292559909"/>
      <w:bookmarkEnd w:id="1482"/>
      <w:bookmarkStart w:id="1483" w:name="_Toc312677507"/>
      <w:bookmarkEnd w:id="1483"/>
      <w:bookmarkStart w:id="1484" w:name="_Toc297216207"/>
      <w:bookmarkEnd w:id="1484"/>
      <w:bookmarkStart w:id="1485" w:name="_Toc296891027"/>
      <w:bookmarkEnd w:id="1485"/>
      <w:bookmarkStart w:id="1486" w:name="_Toc297123548"/>
      <w:bookmarkEnd w:id="1486"/>
      <w:bookmarkStart w:id="1487" w:name="_Toc296347198"/>
      <w:bookmarkEnd w:id="1487"/>
      <w:bookmarkStart w:id="1488" w:name="_Toc312678033"/>
      <w:bookmarkEnd w:id="1488"/>
      <w:bookmarkStart w:id="1489" w:name="_Toc296346700"/>
      <w:bookmarkEnd w:id="1489"/>
      <w:bookmarkStart w:id="1490" w:name="_Toc296891239"/>
      <w:bookmarkEnd w:id="1490"/>
      <w:bookmarkStart w:id="1491" w:name="_Toc296503199"/>
      <w:bookmarkEnd w:id="1491"/>
      <w:bookmarkStart w:id="1492" w:name="_Toc304295574"/>
      <w:bookmarkEnd w:id="1492"/>
      <w:bookmarkStart w:id="1493" w:name="_Toc296944538"/>
      <w:bookmarkEnd w:id="1493"/>
      <w:bookmarkStart w:id="1494" w:name="_Toc300934997"/>
      <w:bookmarkEnd w:id="1494"/>
      <w:bookmarkStart w:id="1495" w:name="_Toc297048385"/>
      <w:r>
        <w:rPr>
          <w:rFonts w:hint="eastAsia" w:ascii="宋体" w:hAnsi="宋体" w:eastAsia="宋体" w:cs="宋体"/>
          <w:b/>
          <w:bCs/>
          <w:kern w:val="0"/>
          <w:sz w:val="21"/>
          <w:szCs w:val="21"/>
        </w:rPr>
        <w:t>0.7 暂估价</w:t>
      </w:r>
      <w:bookmarkEnd w:id="1495"/>
    </w:p>
    <w:p w14:paraId="6B8E0A7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专业工程暂估价：</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万元。</w:t>
      </w:r>
    </w:p>
    <w:p w14:paraId="1063D3B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发包人共同审定。审定后根据承包人签订的相关合同（需经监理人、发包人共同确认）约定，由承包人申报，随进度款按与相关单位签订的合同约定一并支付。</w:t>
      </w:r>
    </w:p>
    <w:p w14:paraId="3CD5F288">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单项合同暂估价在国家相关法律法规规定必须招标规模以上的，需依法必须招标的，由承包人、发包人共同招标确定。</w:t>
      </w:r>
    </w:p>
    <w:p w14:paraId="098CC1DE">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10.8 暂列金额</w:t>
      </w:r>
    </w:p>
    <w:p w14:paraId="42C89E30">
      <w:pPr>
        <w:spacing w:line="360" w:lineRule="auto"/>
        <w:jc w:val="left"/>
        <w:rPr>
          <w:rFonts w:ascii="宋体" w:hAnsi="宋体" w:eastAsia="宋体" w:cs="Times New Roman"/>
          <w:kern w:val="0"/>
          <w:sz w:val="21"/>
          <w:szCs w:val="21"/>
        </w:rPr>
      </w:pPr>
      <w:r>
        <w:rPr>
          <w:rFonts w:hint="eastAsia" w:ascii="宋体" w:hAnsi="宋体" w:eastAsia="宋体" w:cs="Times New Roman"/>
          <w:sz w:val="21"/>
          <w:szCs w:val="21"/>
        </w:rPr>
        <w:t>合同当事人关于暂列金额使用的约定：</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暂列金额应由监理人报发包人批准后指令全部或部分地使用，或者根本不予动用</w:t>
      </w:r>
      <w:r>
        <w:rPr>
          <w:rFonts w:hint="eastAsia" w:ascii="宋体" w:hAnsi="宋体" w:eastAsia="宋体" w:cs="Times New Roman"/>
          <w:kern w:val="0"/>
          <w:sz w:val="21"/>
          <w:szCs w:val="21"/>
        </w:rPr>
        <w:t>。</w:t>
      </w:r>
    </w:p>
    <w:p w14:paraId="0086FDB5">
      <w:pPr>
        <w:keepNext/>
        <w:keepLines/>
        <w:spacing w:line="360" w:lineRule="auto"/>
        <w:outlineLvl w:val="3"/>
        <w:rPr>
          <w:rFonts w:ascii="宋体" w:hAnsi="宋体" w:eastAsia="宋体" w:cs="宋体"/>
          <w:b/>
          <w:sz w:val="21"/>
          <w:szCs w:val="21"/>
        </w:rPr>
      </w:pPr>
      <w:bookmarkStart w:id="1496" w:name="_Toc532375642"/>
      <w:bookmarkEnd w:id="1496"/>
      <w:bookmarkStart w:id="1497" w:name="_Toc532377378"/>
      <w:bookmarkEnd w:id="1497"/>
      <w:bookmarkStart w:id="1498" w:name="_Toc351203643"/>
      <w:r>
        <w:rPr>
          <w:rFonts w:hint="eastAsia" w:ascii="宋体" w:hAnsi="宋体" w:eastAsia="宋体" w:cs="宋体"/>
          <w:b/>
          <w:bCs/>
          <w:sz w:val="21"/>
          <w:szCs w:val="21"/>
        </w:rPr>
        <w:t>11. 价格调整</w:t>
      </w:r>
      <w:bookmarkEnd w:id="1498"/>
    </w:p>
    <w:p w14:paraId="7B70ADD5">
      <w:pPr>
        <w:widowControl/>
        <w:spacing w:line="360" w:lineRule="auto"/>
        <w:jc w:val="left"/>
        <w:outlineLvl w:val="4"/>
        <w:rPr>
          <w:rFonts w:ascii="宋体" w:hAnsi="宋体" w:eastAsia="宋体" w:cs="宋体"/>
          <w:b/>
          <w:bCs/>
          <w:kern w:val="0"/>
          <w:sz w:val="21"/>
          <w:szCs w:val="21"/>
        </w:rPr>
      </w:pPr>
      <w:bookmarkStart w:id="1499" w:name="_Toc296503201"/>
      <w:bookmarkEnd w:id="1499"/>
      <w:bookmarkStart w:id="1500" w:name="_Toc297120501"/>
      <w:bookmarkEnd w:id="1500"/>
      <w:bookmarkStart w:id="1501" w:name="_Toc296346702"/>
      <w:bookmarkEnd w:id="1501"/>
      <w:bookmarkStart w:id="1502" w:name="_Toc296944540"/>
      <w:bookmarkEnd w:id="1502"/>
      <w:bookmarkStart w:id="1503" w:name="_Toc304295577"/>
      <w:bookmarkEnd w:id="1503"/>
      <w:bookmarkStart w:id="1504" w:name="_Toc296891029"/>
      <w:bookmarkEnd w:id="1504"/>
      <w:bookmarkStart w:id="1505" w:name="_Toc312678039"/>
      <w:bookmarkEnd w:id="1505"/>
      <w:bookmarkStart w:id="1506" w:name="_Toc297048387"/>
      <w:bookmarkEnd w:id="1506"/>
      <w:bookmarkStart w:id="1507" w:name="_Toc297123550"/>
      <w:bookmarkEnd w:id="1507"/>
      <w:bookmarkStart w:id="1508" w:name="_Toc300935000"/>
      <w:bookmarkEnd w:id="1508"/>
      <w:bookmarkStart w:id="1509" w:name="_Toc296891241"/>
      <w:bookmarkEnd w:id="1509"/>
      <w:bookmarkStart w:id="1510" w:name="_Toc296347200"/>
      <w:bookmarkEnd w:id="1510"/>
      <w:bookmarkStart w:id="1511" w:name="_Toc303539157"/>
      <w:bookmarkEnd w:id="1511"/>
      <w:bookmarkStart w:id="1512" w:name="_Toc532375643"/>
      <w:bookmarkEnd w:id="1512"/>
      <w:bookmarkStart w:id="1513" w:name="_Toc532377379"/>
      <w:bookmarkEnd w:id="1513"/>
      <w:bookmarkStart w:id="1514" w:name="_Toc292559911"/>
      <w:bookmarkEnd w:id="1514"/>
      <w:bookmarkStart w:id="1515" w:name="_Toc297216209"/>
      <w:bookmarkEnd w:id="1515"/>
      <w:bookmarkStart w:id="1516" w:name="_Toc292559406"/>
      <w:r>
        <w:rPr>
          <w:rFonts w:hint="eastAsia" w:ascii="宋体" w:hAnsi="宋体" w:eastAsia="宋体" w:cs="宋体"/>
          <w:b/>
          <w:bCs/>
          <w:kern w:val="0"/>
          <w:sz w:val="21"/>
          <w:szCs w:val="21"/>
        </w:rPr>
        <w:t xml:space="preserve">11.1 </w:t>
      </w:r>
      <w:bookmarkEnd w:id="1516"/>
      <w:r>
        <w:rPr>
          <w:rFonts w:hint="eastAsia" w:ascii="宋体" w:hAnsi="宋体" w:eastAsia="宋体" w:cs="宋体"/>
          <w:b/>
          <w:bCs/>
          <w:kern w:val="0"/>
          <w:sz w:val="21"/>
          <w:szCs w:val="21"/>
        </w:rPr>
        <w:t>市场价格波动引起的调整</w:t>
      </w:r>
    </w:p>
    <w:p w14:paraId="611C0049">
      <w:pPr>
        <w:spacing w:line="360" w:lineRule="auto"/>
        <w:jc w:val="left"/>
        <w:rPr>
          <w:rFonts w:ascii="宋体" w:hAnsi="宋体" w:eastAsia="宋体" w:cs="Times New Roman"/>
          <w:sz w:val="21"/>
          <w:szCs w:val="21"/>
        </w:rPr>
      </w:pPr>
      <w:bookmarkStart w:id="1517" w:name="_Toc351203644"/>
      <w:bookmarkEnd w:id="1517"/>
      <w:bookmarkStart w:id="1518" w:name="_Toc296891245"/>
      <w:bookmarkEnd w:id="1518"/>
      <w:bookmarkStart w:id="1519" w:name="_Toc296944544"/>
      <w:bookmarkEnd w:id="1519"/>
      <w:bookmarkStart w:id="1520" w:name="_Toc297120505"/>
      <w:bookmarkEnd w:id="1520"/>
      <w:bookmarkStart w:id="1521" w:name="_Toc296347204"/>
      <w:bookmarkEnd w:id="1521"/>
      <w:bookmarkStart w:id="1522" w:name="_Toc296891033"/>
      <w:bookmarkEnd w:id="1522"/>
      <w:bookmarkStart w:id="1523" w:name="_Toc300935002"/>
      <w:bookmarkEnd w:id="1523"/>
      <w:bookmarkStart w:id="1524" w:name="_Toc312678040"/>
      <w:bookmarkEnd w:id="1524"/>
      <w:bookmarkStart w:id="1525" w:name="_Toc292559410"/>
      <w:bookmarkEnd w:id="1525"/>
      <w:bookmarkStart w:id="1526" w:name="_Toc303539159"/>
      <w:bookmarkEnd w:id="1526"/>
      <w:bookmarkStart w:id="1527" w:name="_Toc296346706"/>
      <w:bookmarkEnd w:id="1527"/>
      <w:bookmarkStart w:id="1528" w:name="_Toc297216211"/>
      <w:bookmarkEnd w:id="1528"/>
      <w:bookmarkStart w:id="1529" w:name="_Toc296503205"/>
      <w:bookmarkEnd w:id="1529"/>
      <w:bookmarkStart w:id="1530" w:name="_Toc304295579"/>
      <w:bookmarkEnd w:id="1530"/>
      <w:bookmarkStart w:id="1531" w:name="_Toc297123552"/>
      <w:bookmarkEnd w:id="1531"/>
      <w:bookmarkStart w:id="1532" w:name="_Toc297048391"/>
      <w:bookmarkEnd w:id="1532"/>
      <w:bookmarkStart w:id="1533" w:name="_Toc292559915"/>
      <w:bookmarkEnd w:id="1533"/>
      <w:r>
        <w:rPr>
          <w:rFonts w:hint="eastAsia" w:ascii="宋体" w:hAnsi="宋体" w:eastAsia="宋体" w:cs="Times New Roman"/>
          <w:sz w:val="21"/>
          <w:szCs w:val="21"/>
        </w:rPr>
        <w:t>市场价格波动是否调整合同价格的约定：</w:t>
      </w:r>
      <w:r>
        <w:rPr>
          <w:rFonts w:hint="eastAsia" w:ascii="宋体" w:hAnsi="宋体" w:eastAsia="宋体" w:cs="Times New Roman"/>
          <w:sz w:val="21"/>
          <w:szCs w:val="21"/>
          <w:u w:val="single"/>
        </w:rPr>
        <w:t xml:space="preserve">   不调整</w:t>
      </w:r>
      <w:r>
        <w:rPr>
          <w:rFonts w:hint="eastAsia" w:ascii="Times New Roman" w:hAnsi="Times New Roman" w:eastAsia="宋体" w:cs="Times New Roman"/>
          <w:sz w:val="21"/>
          <w:szCs w:val="21"/>
          <w:u w:val="single"/>
        </w:rPr>
        <w:t xml:space="preserve"> </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63F51E09">
      <w:pPr>
        <w:keepNext/>
        <w:keepLines/>
        <w:numPr>
          <w:ilvl w:val="0"/>
          <w:numId w:val="17"/>
        </w:numPr>
        <w:spacing w:line="360" w:lineRule="auto"/>
        <w:outlineLvl w:val="3"/>
        <w:rPr>
          <w:rFonts w:ascii="宋体" w:hAnsi="宋体" w:eastAsia="宋体" w:cs="宋体"/>
          <w:b/>
          <w:bCs/>
          <w:sz w:val="21"/>
          <w:szCs w:val="21"/>
        </w:rPr>
      </w:pPr>
      <w:bookmarkStart w:id="1534" w:name="_Toc532375646"/>
      <w:bookmarkEnd w:id="1534"/>
      <w:bookmarkStart w:id="1535" w:name="_Toc532377382"/>
      <w:bookmarkEnd w:id="1535"/>
      <w:r>
        <w:rPr>
          <w:rFonts w:hint="eastAsia" w:ascii="宋体" w:hAnsi="宋体" w:eastAsia="宋体" w:cs="宋体"/>
          <w:b/>
          <w:bCs/>
          <w:sz w:val="21"/>
          <w:szCs w:val="21"/>
        </w:rPr>
        <w:t>合同价格、计量与支付</w:t>
      </w:r>
    </w:p>
    <w:p w14:paraId="26CF2ADB">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12.1 合同价格形式</w:t>
      </w:r>
    </w:p>
    <w:p w14:paraId="70DE8D76">
      <w:pPr>
        <w:spacing w:line="360" w:lineRule="auto"/>
        <w:jc w:val="left"/>
        <w:rPr>
          <w:rFonts w:ascii="Times New Roman" w:hAnsi="Times New Roman" w:eastAsia="宋体" w:cs="Times New Roman"/>
          <w:sz w:val="21"/>
          <w:szCs w:val="21"/>
        </w:rPr>
      </w:pPr>
      <w:r>
        <w:rPr>
          <w:rFonts w:hint="eastAsia" w:ascii="宋体" w:hAnsi="宋体" w:eastAsia="宋体" w:cs="Times New Roman"/>
          <w:sz w:val="21"/>
          <w:szCs w:val="21"/>
        </w:rPr>
        <w:t>单价合同。</w:t>
      </w:r>
    </w:p>
    <w:p w14:paraId="0A832C48">
      <w:pPr>
        <w:spacing w:line="360" w:lineRule="auto"/>
        <w:jc w:val="left"/>
        <w:rPr>
          <w:rFonts w:ascii="宋体" w:hAnsi="宋体" w:eastAsia="宋体" w:cs="Times New Roman"/>
          <w:sz w:val="21"/>
          <w:szCs w:val="21"/>
        </w:rPr>
      </w:pPr>
      <w:bookmarkStart w:id="1536" w:name="_Toc296944546"/>
      <w:bookmarkEnd w:id="1536"/>
      <w:bookmarkStart w:id="1537" w:name="_Toc297048393"/>
      <w:bookmarkEnd w:id="1537"/>
      <w:bookmarkStart w:id="1538" w:name="_Toc296503207"/>
      <w:bookmarkEnd w:id="1538"/>
      <w:bookmarkStart w:id="1539" w:name="_Toc297120507"/>
      <w:bookmarkEnd w:id="1539"/>
      <w:bookmarkStart w:id="1540" w:name="_Toc292559412"/>
      <w:bookmarkEnd w:id="1540"/>
      <w:bookmarkStart w:id="1541" w:name="_Toc296891035"/>
      <w:bookmarkEnd w:id="1541"/>
      <w:bookmarkStart w:id="1542" w:name="_Toc296346708"/>
      <w:bookmarkEnd w:id="1542"/>
      <w:bookmarkStart w:id="1543" w:name="_Toc292559917"/>
      <w:bookmarkEnd w:id="1543"/>
      <w:bookmarkStart w:id="1544" w:name="_Toc296891247"/>
      <w:bookmarkEnd w:id="1544"/>
      <w:bookmarkStart w:id="1545" w:name="_Toc296347206"/>
      <w:r>
        <w:rPr>
          <w:rFonts w:hint="eastAsia" w:ascii="宋体" w:hAnsi="宋体" w:eastAsia="宋体" w:cs="Times New Roman"/>
          <w:sz w:val="21"/>
          <w:szCs w:val="21"/>
        </w:rPr>
        <w:t>12.2.1 预付款的支付</w:t>
      </w:r>
      <w:bookmarkEnd w:id="1545"/>
    </w:p>
    <w:p w14:paraId="7751B36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预付款支付比例或金额：</w:t>
      </w:r>
      <w:r>
        <w:rPr>
          <w:rFonts w:hint="eastAsia" w:ascii="宋体" w:hAnsi="宋体" w:eastAsia="宋体" w:cs="Times New Roman"/>
          <w:sz w:val="21"/>
          <w:szCs w:val="21"/>
          <w:u w:val="single"/>
        </w:rPr>
        <w:t xml:space="preserve">  不支付预付款   </w:t>
      </w:r>
      <w:r>
        <w:rPr>
          <w:rFonts w:hint="eastAsia" w:ascii="宋体" w:hAnsi="宋体" w:eastAsia="宋体" w:cs="Times New Roman"/>
          <w:sz w:val="21"/>
          <w:szCs w:val="21"/>
        </w:rPr>
        <w:t>。</w:t>
      </w:r>
    </w:p>
    <w:p w14:paraId="54D860B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预付款支付期限：</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DC29198">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预付款扣回的方式：</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1CD9395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12.2.2 预付款担保</w:t>
      </w:r>
    </w:p>
    <w:p w14:paraId="433AA4B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承包人提交预付款担保的期限：</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0529849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预付款担保的形式为：</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5924EC0">
      <w:pPr>
        <w:widowControl/>
        <w:spacing w:line="360" w:lineRule="auto"/>
        <w:jc w:val="left"/>
        <w:outlineLvl w:val="4"/>
        <w:rPr>
          <w:rFonts w:ascii="宋体" w:hAnsi="宋体" w:eastAsia="宋体" w:cs="宋体"/>
          <w:b/>
          <w:bCs/>
          <w:kern w:val="0"/>
          <w:sz w:val="21"/>
          <w:szCs w:val="21"/>
        </w:rPr>
      </w:pPr>
      <w:bookmarkStart w:id="1546" w:name="_Toc532377385"/>
      <w:bookmarkEnd w:id="1546"/>
      <w:bookmarkStart w:id="1547" w:name="_Toc532375649"/>
      <w:bookmarkEnd w:id="1547"/>
      <w:r>
        <w:rPr>
          <w:rFonts w:hint="eastAsia" w:ascii="宋体" w:hAnsi="宋体" w:eastAsia="宋体" w:cs="宋体"/>
          <w:b/>
          <w:bCs/>
          <w:kern w:val="0"/>
          <w:sz w:val="21"/>
          <w:szCs w:val="21"/>
        </w:rPr>
        <w:t>12.3 计量</w:t>
      </w:r>
    </w:p>
    <w:p w14:paraId="748DD089">
      <w:pPr>
        <w:spacing w:line="360" w:lineRule="auto"/>
        <w:jc w:val="left"/>
        <w:rPr>
          <w:rFonts w:ascii="宋体" w:hAnsi="宋体" w:eastAsia="宋体" w:cs="Times New Roman"/>
          <w:sz w:val="21"/>
          <w:szCs w:val="21"/>
        </w:rPr>
      </w:pPr>
      <w:bookmarkStart w:id="1548" w:name="_Hlk528928260"/>
      <w:bookmarkEnd w:id="1548"/>
      <w:r>
        <w:rPr>
          <w:rFonts w:hint="eastAsia" w:ascii="宋体" w:hAnsi="宋体" w:eastAsia="宋体" w:cs="Times New Roman"/>
          <w:sz w:val="21"/>
          <w:szCs w:val="21"/>
        </w:rPr>
        <w:t>12.3.1 计量原则</w:t>
      </w:r>
    </w:p>
    <w:p w14:paraId="6BACE8FF">
      <w:pPr>
        <w:spacing w:line="360" w:lineRule="auto"/>
        <w:jc w:val="left"/>
        <w:rPr>
          <w:rFonts w:ascii="Times New Roman" w:hAnsi="Times New Roman" w:eastAsia="宋体" w:cs="Times New Roman"/>
          <w:sz w:val="21"/>
          <w:szCs w:val="21"/>
        </w:rPr>
      </w:pPr>
      <w:r>
        <w:rPr>
          <w:rFonts w:hint="eastAsia" w:ascii="宋体" w:hAnsi="宋体" w:eastAsia="宋体" w:cs="Times New Roman"/>
          <w:sz w:val="21"/>
          <w:szCs w:val="21"/>
        </w:rPr>
        <w:t>工程量计算规则：按《建设工程工程量清单计价规范》（</w:t>
      </w:r>
      <w:r>
        <w:rPr>
          <w:rFonts w:hint="eastAsia" w:ascii="Times New Roman" w:hAnsi="Times New Roman" w:eastAsia="宋体" w:cs="Times New Roman"/>
          <w:sz w:val="21"/>
          <w:szCs w:val="21"/>
        </w:rPr>
        <w:t>GB50500-2013</w:t>
      </w:r>
      <w:r>
        <w:rPr>
          <w:rFonts w:hint="eastAsia" w:ascii="宋体" w:hAnsi="宋体" w:eastAsia="宋体" w:cs="Times New Roman"/>
          <w:sz w:val="21"/>
          <w:szCs w:val="21"/>
        </w:rPr>
        <w:t>）、《市政工程工程量计算规范》（</w:t>
      </w:r>
      <w:r>
        <w:rPr>
          <w:rFonts w:hint="eastAsia" w:ascii="Times New Roman" w:hAnsi="Times New Roman" w:eastAsia="宋体" w:cs="Times New Roman"/>
          <w:sz w:val="21"/>
          <w:szCs w:val="21"/>
        </w:rPr>
        <w:t>GB50857-2013</w:t>
      </w:r>
      <w:r>
        <w:rPr>
          <w:rFonts w:hint="eastAsia" w:ascii="宋体" w:hAnsi="宋体" w:eastAsia="宋体" w:cs="Times New Roman"/>
          <w:sz w:val="21"/>
          <w:szCs w:val="21"/>
        </w:rPr>
        <w:t>）、《通用安装工程工程量计算规范》（</w:t>
      </w:r>
      <w:r>
        <w:rPr>
          <w:rFonts w:hint="eastAsia" w:ascii="Times New Roman" w:hAnsi="Times New Roman" w:eastAsia="宋体" w:cs="Times New Roman"/>
          <w:sz w:val="21"/>
          <w:szCs w:val="21"/>
        </w:rPr>
        <w:t>GB50856-2013</w:t>
      </w:r>
      <w:r>
        <w:rPr>
          <w:rFonts w:hint="eastAsia" w:ascii="宋体" w:hAnsi="宋体" w:eastAsia="宋体" w:cs="Times New Roman"/>
          <w:sz w:val="21"/>
          <w:szCs w:val="21"/>
        </w:rPr>
        <w:t>）、（</w:t>
      </w:r>
      <w:r>
        <w:rPr>
          <w:rFonts w:hint="eastAsia" w:ascii="Times New Roman" w:hAnsi="Times New Roman" w:eastAsia="宋体" w:cs="Times New Roman"/>
          <w:sz w:val="21"/>
          <w:szCs w:val="21"/>
        </w:rPr>
        <w:t>GB50858-2013</w:t>
      </w:r>
      <w:r>
        <w:rPr>
          <w:rFonts w:hint="eastAsia" w:ascii="宋体" w:hAnsi="宋体" w:eastAsia="宋体" w:cs="Times New Roman"/>
          <w:sz w:val="21"/>
          <w:szCs w:val="21"/>
        </w:rPr>
        <w:t>）、《重庆市建设工程工程量清单计价规则》（</w:t>
      </w:r>
      <w:r>
        <w:rPr>
          <w:rFonts w:hint="eastAsia" w:ascii="Times New Roman" w:hAnsi="Times New Roman" w:eastAsia="宋体" w:cs="Times New Roman"/>
          <w:sz w:val="21"/>
          <w:szCs w:val="21"/>
        </w:rPr>
        <w:t>CQQDGZ-2013</w:t>
      </w:r>
      <w:r>
        <w:rPr>
          <w:rFonts w:hint="eastAsia" w:ascii="宋体" w:hAnsi="宋体" w:eastAsia="宋体" w:cs="Times New Roman"/>
          <w:sz w:val="21"/>
          <w:szCs w:val="21"/>
        </w:rPr>
        <w:t>）、《重庆市建设工程工程量计算规则》（</w:t>
      </w:r>
      <w:r>
        <w:rPr>
          <w:rFonts w:hint="eastAsia" w:ascii="Times New Roman" w:hAnsi="Times New Roman" w:eastAsia="宋体" w:cs="Times New Roman"/>
          <w:sz w:val="21"/>
          <w:szCs w:val="21"/>
        </w:rPr>
        <w:t>CQJLGZ-2013</w:t>
      </w:r>
      <w:r>
        <w:rPr>
          <w:rFonts w:hint="eastAsia" w:ascii="宋体" w:hAnsi="宋体" w:eastAsia="宋体" w:cs="Times New Roman"/>
          <w:sz w:val="21"/>
          <w:szCs w:val="21"/>
        </w:rPr>
        <w:t>）、（</w:t>
      </w:r>
      <w:r>
        <w:rPr>
          <w:rFonts w:hint="eastAsia" w:ascii="Times New Roman" w:hAnsi="Times New Roman" w:eastAsia="宋体" w:cs="Times New Roman"/>
          <w:sz w:val="21"/>
          <w:szCs w:val="21"/>
        </w:rPr>
        <w:t>CQFYDE-2018</w:t>
      </w:r>
      <w:r>
        <w:rPr>
          <w:rFonts w:hint="eastAsia" w:ascii="宋体" w:hAnsi="宋体" w:eastAsia="宋体" w:cs="Times New Roman"/>
          <w:sz w:val="21"/>
          <w:szCs w:val="21"/>
        </w:rPr>
        <w:t>）《重庆市建设工程费用定额》、（</w:t>
      </w:r>
      <w:r>
        <w:rPr>
          <w:rFonts w:hint="eastAsia" w:ascii="Times New Roman" w:hAnsi="Times New Roman" w:eastAsia="宋体" w:cs="Times New Roman"/>
          <w:sz w:val="21"/>
          <w:szCs w:val="21"/>
        </w:rPr>
        <w:t>CQJZZSDE-2018</w:t>
      </w:r>
      <w:r>
        <w:rPr>
          <w:rFonts w:hint="eastAsia" w:ascii="宋体" w:hAnsi="宋体" w:eastAsia="宋体" w:cs="Times New Roman"/>
          <w:sz w:val="21"/>
          <w:szCs w:val="21"/>
        </w:rPr>
        <w:t>）《重庆市建筑与装饰工程计价定额》、（</w:t>
      </w:r>
      <w:r>
        <w:rPr>
          <w:rFonts w:hint="eastAsia" w:ascii="Times New Roman" w:hAnsi="Times New Roman" w:eastAsia="宋体" w:cs="Times New Roman"/>
          <w:sz w:val="21"/>
          <w:szCs w:val="21"/>
        </w:rPr>
        <w:t>CQSZDE-2018</w:t>
      </w:r>
      <w:r>
        <w:rPr>
          <w:rFonts w:hint="eastAsia" w:ascii="宋体" w:hAnsi="宋体" w:eastAsia="宋体" w:cs="Times New Roman"/>
          <w:sz w:val="21"/>
          <w:szCs w:val="21"/>
        </w:rPr>
        <w:t>）《重庆市市政工程计价定额》、（</w:t>
      </w:r>
      <w:r>
        <w:rPr>
          <w:rFonts w:hint="eastAsia" w:ascii="Times New Roman" w:hAnsi="Times New Roman" w:eastAsia="宋体" w:cs="Times New Roman"/>
          <w:sz w:val="21"/>
          <w:szCs w:val="21"/>
        </w:rPr>
        <w:t>CQAZDE-2018</w:t>
      </w:r>
      <w:r>
        <w:rPr>
          <w:rFonts w:hint="eastAsia" w:ascii="宋体" w:hAnsi="宋体" w:eastAsia="宋体" w:cs="Times New Roman"/>
          <w:sz w:val="21"/>
          <w:szCs w:val="21"/>
        </w:rPr>
        <w:t>）《重庆市通用安装工程计价定额》、（</w:t>
      </w:r>
      <w:r>
        <w:rPr>
          <w:rFonts w:hint="eastAsia" w:ascii="Times New Roman" w:hAnsi="Times New Roman" w:eastAsia="宋体" w:cs="Times New Roman"/>
          <w:sz w:val="21"/>
          <w:szCs w:val="21"/>
        </w:rPr>
        <w:t>CQPHBB-2018</w:t>
      </w:r>
      <w:r>
        <w:rPr>
          <w:rFonts w:hint="eastAsia" w:ascii="宋体" w:hAnsi="宋体" w:eastAsia="宋体" w:cs="Times New Roman"/>
          <w:sz w:val="21"/>
          <w:szCs w:val="21"/>
        </w:rPr>
        <w:t>）《重庆市建筑工程混凝土及砂浆配合比表定额》、（</w:t>
      </w:r>
      <w:r>
        <w:rPr>
          <w:rFonts w:hint="eastAsia" w:ascii="Times New Roman" w:hAnsi="Times New Roman" w:eastAsia="宋体" w:cs="Times New Roman"/>
          <w:sz w:val="21"/>
          <w:szCs w:val="21"/>
        </w:rPr>
        <w:t>CQYQYBDE-2018</w:t>
      </w:r>
      <w:r>
        <w:rPr>
          <w:rFonts w:hint="eastAsia" w:ascii="宋体" w:hAnsi="宋体" w:eastAsia="宋体" w:cs="Times New Roman"/>
          <w:sz w:val="21"/>
          <w:szCs w:val="21"/>
        </w:rPr>
        <w:t>）《重庆市建筑工程施工仪器仪表台班定额》等相关定额、渝建（</w:t>
      </w:r>
      <w:r>
        <w:rPr>
          <w:rFonts w:hint="eastAsia" w:ascii="Times New Roman" w:hAnsi="Times New Roman" w:eastAsia="宋体" w:cs="Times New Roman"/>
          <w:sz w:val="21"/>
          <w:szCs w:val="21"/>
        </w:rPr>
        <w:t>2019</w:t>
      </w:r>
      <w:r>
        <w:rPr>
          <w:rFonts w:hint="eastAsia" w:ascii="宋体" w:hAnsi="宋体" w:eastAsia="宋体" w:cs="Times New Roman"/>
          <w:sz w:val="21"/>
          <w:szCs w:val="21"/>
        </w:rPr>
        <w:t>）</w:t>
      </w:r>
      <w:r>
        <w:rPr>
          <w:rFonts w:hint="eastAsia" w:ascii="Times New Roman" w:hAnsi="Times New Roman" w:eastAsia="宋体" w:cs="Times New Roman"/>
          <w:sz w:val="21"/>
          <w:szCs w:val="21"/>
        </w:rPr>
        <w:t>143</w:t>
      </w:r>
      <w:r>
        <w:rPr>
          <w:rFonts w:hint="eastAsia" w:ascii="宋体" w:hAnsi="宋体" w:eastAsia="宋体" w:cs="Times New Roman"/>
          <w:sz w:val="21"/>
          <w:szCs w:val="21"/>
        </w:rPr>
        <w:t>号等相关规范、文件规定的计算规则计量。</w:t>
      </w:r>
    </w:p>
    <w:p w14:paraId="0E86E4D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12.3.2 计量周期</w:t>
      </w:r>
    </w:p>
    <w:p w14:paraId="027A873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关于计量周期的约定：</w:t>
      </w:r>
      <w:r>
        <w:rPr>
          <w:rFonts w:hint="eastAsia" w:ascii="宋体" w:hAnsi="宋体" w:eastAsia="宋体" w:cs="Times New Roman"/>
          <w:sz w:val="21"/>
          <w:szCs w:val="21"/>
          <w:u w:val="single"/>
        </w:rPr>
        <w:t>按月计量根据具体项目实际情况可以按月、按进度、按节点等形式计量，按进度、按节点计量的参考按月计量原则执行</w:t>
      </w:r>
      <w:r>
        <w:rPr>
          <w:rFonts w:hint="eastAsia" w:ascii="宋体" w:hAnsi="宋体" w:eastAsia="宋体" w:cs="Times New Roman"/>
          <w:sz w:val="21"/>
          <w:szCs w:val="21"/>
        </w:rPr>
        <w:t>。</w:t>
      </w:r>
    </w:p>
    <w:p w14:paraId="26C4A86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12.3.3 单价合同的计量</w:t>
      </w:r>
    </w:p>
    <w:p w14:paraId="07B2B0F1">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关于单价合同计量的约定：</w:t>
      </w:r>
      <w:bookmarkStart w:id="1549" w:name="_Hlk528926162"/>
      <w:bookmarkEnd w:id="1549"/>
      <w:r>
        <w:rPr>
          <w:rFonts w:hint="eastAsia" w:ascii="宋体" w:hAnsi="宋体" w:eastAsia="宋体" w:cs="Times New Roman"/>
          <w:sz w:val="21"/>
          <w:szCs w:val="21"/>
          <w:u w:val="single"/>
        </w:rPr>
        <w:t>（1）承包人应于当月 10 日前向监理人报送上月已完成的工程量，并附进度付款申请单、已完成工程量报表和其他有关资料</w:t>
      </w:r>
      <w:r>
        <w:rPr>
          <w:rFonts w:hint="eastAsia" w:ascii="宋体" w:hAnsi="宋体" w:eastAsia="宋体" w:cs="Times New Roman"/>
          <w:sz w:val="21"/>
          <w:szCs w:val="21"/>
        </w:rPr>
        <w:t>。</w:t>
      </w:r>
    </w:p>
    <w:p w14:paraId="6800DD74">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（2）承包人未在已标价的工程量清单中填入单价和（或）总价的子目，视为该子目的费用已包含合同工程的其他子目的单价或总价中，不再另行计量支付</w:t>
      </w:r>
      <w:r>
        <w:rPr>
          <w:rFonts w:hint="eastAsia" w:ascii="宋体" w:hAnsi="宋体" w:eastAsia="宋体" w:cs="Times New Roman"/>
          <w:sz w:val="21"/>
          <w:szCs w:val="21"/>
        </w:rPr>
        <w:t>。</w:t>
      </w:r>
    </w:p>
    <w:p w14:paraId="776F498E">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3）监理人应在收到承包人提交的工程量报表后7天内完成对承包人提交的工程量报表的审核并报送发包人；发包人收到监理人报送资料后7天内完成审批，以确定当月实际完成的工程量。监理人、发包人任一方对工程量有异议的，均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r>
        <w:rPr>
          <w:rFonts w:hint="eastAsia" w:ascii="宋体" w:hAnsi="宋体" w:eastAsia="宋体" w:cs="Times New Roman"/>
          <w:sz w:val="21"/>
          <w:szCs w:val="21"/>
        </w:rPr>
        <w:t>。</w:t>
      </w:r>
    </w:p>
    <w:p w14:paraId="6B63F2BA">
      <w:pPr>
        <w:spacing w:line="360" w:lineRule="auto"/>
        <w:jc w:val="left"/>
        <w:rPr>
          <w:rFonts w:ascii="宋体" w:hAnsi="宋体" w:eastAsia="宋体" w:cs="Times New Roman"/>
          <w:sz w:val="21"/>
          <w:szCs w:val="21"/>
        </w:rPr>
      </w:pPr>
      <w:r>
        <w:rPr>
          <w:rFonts w:hint="eastAsia" w:ascii="宋体" w:hAnsi="宋体" w:eastAsia="宋体" w:cs="Times New Roman"/>
          <w:sz w:val="21"/>
          <w:szCs w:val="21"/>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eastAsia="宋体" w:cs="Times New Roman"/>
          <w:sz w:val="21"/>
          <w:szCs w:val="21"/>
        </w:rPr>
        <w:t>。</w:t>
      </w:r>
    </w:p>
    <w:p w14:paraId="52B5497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12.3.4 总价合同的计量</w:t>
      </w:r>
    </w:p>
    <w:p w14:paraId="6A30343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关于总价合同计量的约定：</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DDB3CB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12.3.5总价合同采用支付分解表计量支付的，是否适用第12.3.4 项〔总价合同的计量〕约定进行计量：</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6A9E2B4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12.3.6 其他价格形式合同的计量</w:t>
      </w:r>
    </w:p>
    <w:p w14:paraId="54B1505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其他价格形式的计量方式和程序：</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811FB01">
      <w:pPr>
        <w:widowControl/>
        <w:spacing w:line="360" w:lineRule="auto"/>
        <w:jc w:val="left"/>
        <w:outlineLvl w:val="4"/>
        <w:rPr>
          <w:rFonts w:ascii="宋体" w:hAnsi="宋体" w:eastAsia="宋体" w:cs="宋体"/>
          <w:b/>
          <w:bCs/>
          <w:kern w:val="0"/>
          <w:sz w:val="21"/>
          <w:szCs w:val="21"/>
        </w:rPr>
      </w:pPr>
      <w:bookmarkStart w:id="1550" w:name="_Hlk528928289"/>
      <w:bookmarkEnd w:id="1550"/>
      <w:bookmarkStart w:id="1551" w:name="_Toc532375650"/>
      <w:bookmarkEnd w:id="1551"/>
      <w:bookmarkStart w:id="1552" w:name="_Toc532377386"/>
      <w:r>
        <w:rPr>
          <w:rFonts w:hint="eastAsia" w:ascii="宋体" w:hAnsi="宋体" w:eastAsia="宋体" w:cs="宋体"/>
          <w:b/>
          <w:bCs/>
          <w:kern w:val="0"/>
          <w:sz w:val="21"/>
          <w:szCs w:val="21"/>
        </w:rPr>
        <w:t>12.4 工程进度款支付</w:t>
      </w:r>
      <w:bookmarkEnd w:id="1552"/>
    </w:p>
    <w:p w14:paraId="370D020C">
      <w:pPr>
        <w:spacing w:line="360" w:lineRule="auto"/>
        <w:jc w:val="left"/>
        <w:rPr>
          <w:rFonts w:ascii="宋体" w:hAnsi="宋体" w:eastAsia="宋体" w:cs="Times New Roman"/>
          <w:sz w:val="21"/>
          <w:szCs w:val="21"/>
        </w:rPr>
      </w:pPr>
      <w:bookmarkStart w:id="1553" w:name="_Toc532375651"/>
      <w:bookmarkEnd w:id="1553"/>
      <w:bookmarkStart w:id="1554" w:name="_Toc304295593"/>
      <w:bookmarkEnd w:id="1554"/>
      <w:bookmarkStart w:id="1555" w:name="_Toc532377388"/>
      <w:bookmarkEnd w:id="1555"/>
      <w:bookmarkStart w:id="1556" w:name="_Toc296944558"/>
      <w:bookmarkEnd w:id="1556"/>
      <w:bookmarkStart w:id="1557" w:name="_Toc296347218"/>
      <w:bookmarkEnd w:id="1557"/>
      <w:bookmarkStart w:id="1558" w:name="_Toc292559929"/>
      <w:bookmarkEnd w:id="1558"/>
      <w:bookmarkStart w:id="1559" w:name="_Toc297123564"/>
      <w:bookmarkEnd w:id="1559"/>
      <w:bookmarkStart w:id="1560" w:name="_Toc296891047"/>
      <w:bookmarkEnd w:id="1560"/>
      <w:bookmarkStart w:id="1561" w:name="_Toc312678053"/>
      <w:bookmarkEnd w:id="1561"/>
      <w:bookmarkStart w:id="1562" w:name="_Toc297216223"/>
      <w:bookmarkEnd w:id="1562"/>
      <w:bookmarkStart w:id="1563" w:name="_Toc296346720"/>
      <w:bookmarkEnd w:id="1563"/>
      <w:bookmarkStart w:id="1564" w:name="_Toc297048405"/>
      <w:bookmarkEnd w:id="1564"/>
      <w:bookmarkStart w:id="1565" w:name="_Toc296503219"/>
      <w:bookmarkEnd w:id="1565"/>
      <w:bookmarkStart w:id="1566" w:name="_Toc296891259"/>
      <w:bookmarkEnd w:id="1566"/>
      <w:bookmarkStart w:id="1567" w:name="_Toc303539172"/>
      <w:bookmarkEnd w:id="1567"/>
      <w:bookmarkStart w:id="1568" w:name="_Toc292559424"/>
      <w:bookmarkEnd w:id="1568"/>
      <w:bookmarkStart w:id="1569" w:name="_Toc351203645"/>
      <w:bookmarkEnd w:id="1569"/>
      <w:bookmarkStart w:id="1570" w:name="_Toc297120519"/>
      <w:bookmarkEnd w:id="1570"/>
      <w:bookmarkStart w:id="1571" w:name="_Toc300935015"/>
      <w:r>
        <w:rPr>
          <w:rFonts w:hint="eastAsia" w:ascii="宋体" w:hAnsi="宋体" w:eastAsia="宋体" w:cs="Times New Roman"/>
          <w:sz w:val="21"/>
          <w:szCs w:val="21"/>
        </w:rPr>
        <w:t>12.4.1 付款周期</w:t>
      </w:r>
      <w:bookmarkEnd w:id="1571"/>
    </w:p>
    <w:p w14:paraId="455DA9E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关于付款周期的约定：</w:t>
      </w:r>
      <w:r>
        <w:rPr>
          <w:rFonts w:hint="eastAsia" w:ascii="宋体" w:hAnsi="宋体" w:eastAsia="宋体" w:cs="Times New Roman"/>
          <w:sz w:val="21"/>
          <w:szCs w:val="21"/>
          <w:u w:val="single"/>
        </w:rPr>
        <w:t xml:space="preserve">  按月计量支付进度款（按进度、按节点计量支付进度款的参考按月计量支付进度款原则执行）   </w:t>
      </w:r>
      <w:r>
        <w:rPr>
          <w:rFonts w:hint="eastAsia" w:ascii="宋体" w:hAnsi="宋体" w:eastAsia="宋体" w:cs="Times New Roman"/>
          <w:sz w:val="21"/>
          <w:szCs w:val="21"/>
        </w:rPr>
        <w:t>。</w:t>
      </w:r>
    </w:p>
    <w:p w14:paraId="1326C88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12.4.2 进度付款申请单的编制</w:t>
      </w:r>
    </w:p>
    <w:p w14:paraId="3130A04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关于进度付款申请单编制的约定：</w:t>
      </w:r>
      <w:r>
        <w:rPr>
          <w:rFonts w:hint="eastAsia" w:ascii="宋体" w:hAnsi="宋体" w:eastAsia="宋体" w:cs="Times New Roman"/>
          <w:sz w:val="21"/>
          <w:szCs w:val="21"/>
          <w:u w:val="single"/>
        </w:rPr>
        <w:t xml:space="preserve">     /   </w:t>
      </w:r>
    </w:p>
    <w:p w14:paraId="76FBFDF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12.4.3 进度付款申请单的提交</w:t>
      </w:r>
    </w:p>
    <w:p w14:paraId="6B7E94D5">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（1）单价合同进度付款申请单提交的约定：</w:t>
      </w:r>
      <w:r>
        <w:rPr>
          <w:rFonts w:hint="eastAsia" w:ascii="宋体" w:hAnsi="宋体" w:eastAsia="宋体" w:cs="Times New Roman"/>
          <w:sz w:val="21"/>
          <w:szCs w:val="21"/>
          <w:u w:val="single"/>
        </w:rPr>
        <w:t xml:space="preserve">  /   </w:t>
      </w:r>
    </w:p>
    <w:p w14:paraId="0F8E4ABB">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（2）总价合同进度付款申请单提交的约定：</w:t>
      </w:r>
      <w:r>
        <w:rPr>
          <w:rFonts w:hint="eastAsia" w:ascii="宋体" w:hAnsi="宋体" w:eastAsia="宋体" w:cs="Times New Roman"/>
          <w:sz w:val="21"/>
          <w:szCs w:val="21"/>
          <w:u w:val="single"/>
        </w:rPr>
        <w:t xml:space="preserve">   /  </w:t>
      </w:r>
    </w:p>
    <w:p w14:paraId="2B9B98FA">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（3）其他价格形式合同进度付款申请单提交的约定：</w:t>
      </w:r>
      <w:r>
        <w:rPr>
          <w:rFonts w:hint="eastAsia" w:ascii="宋体" w:hAnsi="宋体" w:eastAsia="宋体" w:cs="Times New Roman"/>
          <w:sz w:val="21"/>
          <w:szCs w:val="21"/>
          <w:u w:val="single"/>
        </w:rPr>
        <w:t xml:space="preserve">   不采用  </w:t>
      </w:r>
      <w:r>
        <w:rPr>
          <w:rFonts w:hint="eastAsia" w:ascii="宋体" w:hAnsi="宋体" w:eastAsia="宋体" w:cs="Times New Roman"/>
          <w:sz w:val="21"/>
          <w:szCs w:val="21"/>
        </w:rPr>
        <w:t>。</w:t>
      </w:r>
    </w:p>
    <w:p w14:paraId="6A3602F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12.4.4 进度款审核和支付</w:t>
      </w:r>
    </w:p>
    <w:p w14:paraId="086CC90C">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（1）监理人审查并报送发包人的期限：</w:t>
      </w:r>
      <w:r>
        <w:rPr>
          <w:rFonts w:hint="eastAsia" w:ascii="宋体" w:hAnsi="宋体" w:eastAsia="宋体" w:cs="Times New Roman"/>
          <w:sz w:val="21"/>
          <w:szCs w:val="21"/>
          <w:u w:val="single"/>
        </w:rPr>
        <w:t>收到完整资料后7天内。</w:t>
      </w:r>
    </w:p>
    <w:p w14:paraId="4E5EA764">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发包人完成审批并签发进度款支付证书的期限：</w:t>
      </w:r>
      <w:r>
        <w:rPr>
          <w:rFonts w:hint="eastAsia" w:ascii="宋体" w:hAnsi="宋体" w:eastAsia="宋体" w:cs="Times New Roman"/>
          <w:sz w:val="21"/>
          <w:szCs w:val="21"/>
          <w:u w:val="single"/>
        </w:rPr>
        <w:t>发包人收到监理人报送资料后7天内完成审批并签发进度款支付证书。</w:t>
      </w:r>
    </w:p>
    <w:p w14:paraId="6299143F">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监理人和发包人中任一方对承包人的进度付款申请单有异议的，均有权要求承包人修正和提供补充资料，承包人应提交修正后的进度付款申请单。监理人应在收到承包人修正后的进度付款申请单及相关资料后7天内（遇法定节假日顺延）完成审查并报送发包人，发包人收到监理人报送资料后7天内（遇法定节假日顺延）完成审批并向承包人签发无异议部分的临时进度款支付证书。存在争议的部分，按照合同约定的争议解决的约定处理。</w:t>
      </w:r>
    </w:p>
    <w:p w14:paraId="16F29B63">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发包人签发进度款支付证书或临时进度款支付证书，不表明发包人已同意、批准或接受了承包人完成的相应部分的工作。</w:t>
      </w:r>
    </w:p>
    <w:p w14:paraId="5359F9FD">
      <w:pPr>
        <w:spacing w:line="360" w:lineRule="auto"/>
        <w:rPr>
          <w:rFonts w:ascii="宋体" w:hAnsi="宋体" w:eastAsia="宋体" w:cs="Times New Roman"/>
          <w:sz w:val="21"/>
          <w:szCs w:val="21"/>
        </w:rPr>
      </w:pPr>
      <w:r>
        <w:rPr>
          <w:rFonts w:hint="eastAsia" w:ascii="宋体" w:hAnsi="宋体" w:eastAsia="宋体" w:cs="Times New Roman"/>
          <w:sz w:val="21"/>
          <w:szCs w:val="21"/>
        </w:rPr>
        <w:t>(2)进度款支付:</w:t>
      </w:r>
    </w:p>
    <w:p w14:paraId="443B220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①发包人将上月农民工工资支付凭证作为当月进度款支付的前置条件。</w:t>
      </w:r>
    </w:p>
    <w:p w14:paraId="78AD8D0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②安全生产费：合同签订后，发包人在开工前按签约合同价中安全生产费的50%支付承包人，用于现场安全文明施工建设，余下安全生产费按施工进度支付。</w:t>
      </w:r>
    </w:p>
    <w:p w14:paraId="20B283B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③分部分项工程费：按承包人当期完成并经监理人和发包人审定的工程量乘以相应综合单价计算当期完成的分部分项工程费及相应的规费和税金。发包人按经监理人和发包人审定的当期完成的分部分项工程费及相应的规费和税金（不含人工费价差和材料费价差）的80%支付承包人。</w:t>
      </w:r>
    </w:p>
    <w:p w14:paraId="3760856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④其他项目费：按承包人当期完成并经监理人和发包人审定的工程量乘以相应综合单价计算当期完成的其他项目费及相应的规费和税金。发包人按经监理人和发包人审定的当期完成的其他项目费及相应的规费和税金的80%支付承包人。</w:t>
      </w:r>
    </w:p>
    <w:p w14:paraId="79668A7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⑤人工费（工资款）：发包人在签发人工费（工资款）支付证书的次月25日前，按经监理人和发包人审定的当月完成的合同价款的30%支付至承包人农民工工资专户。</w:t>
      </w:r>
    </w:p>
    <w:p w14:paraId="65A8964A">
      <w:pPr>
        <w:spacing w:line="360" w:lineRule="auto"/>
        <w:rPr>
          <w:rFonts w:ascii="宋体" w:hAnsi="宋体" w:eastAsia="宋体" w:cs="Times New Roman"/>
          <w:sz w:val="21"/>
          <w:szCs w:val="21"/>
        </w:rPr>
      </w:pPr>
      <w:r>
        <w:rPr>
          <w:rFonts w:hint="eastAsia" w:ascii="宋体" w:hAnsi="宋体" w:eastAsia="宋体" w:cs="Times New Roman"/>
          <w:sz w:val="21"/>
          <w:szCs w:val="21"/>
        </w:rPr>
        <w:t>⑥工程竣工验收合格且完成发包人（业主单位）聘请的跟审或内审结算审核后支付至审核金额的85%，完成区审计局审计或区财政局审核后支付至审定金额的97%（超出合同部分的新增工程量需根据大足发改〔2025〕9号履行相关程序审批后再支付），剩余3%留作质量保证金，缺陷责任期满后发包人向承包人无息支付剩余工程款。</w:t>
      </w:r>
    </w:p>
    <w:p w14:paraId="2328A891">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13. 验收和工程试车</w:t>
      </w:r>
    </w:p>
    <w:p w14:paraId="475939CF">
      <w:pPr>
        <w:widowControl/>
        <w:spacing w:line="360" w:lineRule="auto"/>
        <w:jc w:val="left"/>
        <w:outlineLvl w:val="4"/>
        <w:rPr>
          <w:rFonts w:ascii="宋体" w:hAnsi="宋体" w:eastAsia="宋体" w:cs="宋体"/>
          <w:b/>
          <w:bCs/>
          <w:kern w:val="0"/>
          <w:sz w:val="21"/>
          <w:szCs w:val="21"/>
        </w:rPr>
      </w:pPr>
      <w:bookmarkStart w:id="1572" w:name="_Toc280868706"/>
      <w:bookmarkEnd w:id="1572"/>
      <w:bookmarkStart w:id="1573" w:name="_Toc267251474"/>
      <w:bookmarkEnd w:id="1573"/>
      <w:bookmarkStart w:id="1574" w:name="_Toc532375656"/>
      <w:bookmarkEnd w:id="1574"/>
      <w:bookmarkStart w:id="1575" w:name="_Toc267251476"/>
      <w:bookmarkEnd w:id="1575"/>
      <w:bookmarkStart w:id="1576" w:name="_Toc532377389"/>
      <w:bookmarkEnd w:id="1576"/>
      <w:bookmarkStart w:id="1577" w:name="_Toc351203646"/>
      <w:bookmarkEnd w:id="1577"/>
      <w:bookmarkStart w:id="1578" w:name="_Toc267251475"/>
      <w:bookmarkEnd w:id="1578"/>
      <w:bookmarkStart w:id="1579" w:name="_Toc267251473"/>
      <w:bookmarkEnd w:id="1579"/>
      <w:bookmarkStart w:id="1580" w:name="_Toc267251472"/>
      <w:bookmarkEnd w:id="1580"/>
      <w:bookmarkStart w:id="1581" w:name="_Toc280868707"/>
      <w:bookmarkEnd w:id="1581"/>
      <w:bookmarkStart w:id="1582" w:name="_Toc280868708"/>
      <w:bookmarkEnd w:id="1582"/>
      <w:bookmarkStart w:id="1583" w:name="_Toc267251471"/>
      <w:bookmarkEnd w:id="1583"/>
      <w:bookmarkStart w:id="1584" w:name="_Toc532377393"/>
      <w:bookmarkEnd w:id="1584"/>
      <w:bookmarkStart w:id="1585" w:name="_Toc532375652"/>
      <w:bookmarkEnd w:id="1585"/>
      <w:bookmarkStart w:id="1586" w:name="_Toc267251470"/>
      <w:bookmarkEnd w:id="1586"/>
      <w:bookmarkStart w:id="1587" w:name="_Toc280868704"/>
      <w:bookmarkEnd w:id="1587"/>
      <w:bookmarkStart w:id="1588" w:name="_Toc280868705"/>
      <w:bookmarkEnd w:id="1588"/>
      <w:bookmarkStart w:id="1589" w:name="_Toc280868709"/>
      <w:r>
        <w:rPr>
          <w:rFonts w:hint="eastAsia" w:ascii="宋体" w:hAnsi="宋体" w:eastAsia="宋体" w:cs="宋体"/>
          <w:b/>
          <w:bCs/>
          <w:kern w:val="0"/>
          <w:sz w:val="21"/>
          <w:szCs w:val="21"/>
        </w:rPr>
        <w:t>13.1 分部分项工程验收</w:t>
      </w:r>
      <w:bookmarkEnd w:id="1589"/>
    </w:p>
    <w:p w14:paraId="7795CFB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13.1.2 监理人不能按时进行验收时，应提前</w:t>
      </w:r>
      <w:r>
        <w:rPr>
          <w:rFonts w:hint="eastAsia" w:ascii="宋体" w:hAnsi="宋体" w:eastAsia="宋体" w:cs="Times New Roman"/>
          <w:sz w:val="21"/>
          <w:szCs w:val="21"/>
          <w:u w:val="single"/>
        </w:rPr>
        <w:t xml:space="preserve">  48   </w:t>
      </w:r>
      <w:r>
        <w:rPr>
          <w:rFonts w:hint="eastAsia" w:ascii="宋体" w:hAnsi="宋体" w:eastAsia="宋体" w:cs="Times New Roman"/>
          <w:sz w:val="21"/>
          <w:szCs w:val="21"/>
        </w:rPr>
        <w:t>小时提交书面延期要求。</w:t>
      </w:r>
    </w:p>
    <w:p w14:paraId="636F1AB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关于延期最长不得超过：</w:t>
      </w:r>
      <w:r>
        <w:rPr>
          <w:rFonts w:hint="eastAsia" w:ascii="宋体" w:hAnsi="宋体" w:eastAsia="宋体" w:cs="Times New Roman"/>
          <w:sz w:val="21"/>
          <w:szCs w:val="21"/>
          <w:u w:val="single"/>
        </w:rPr>
        <w:t xml:space="preserve">  72  </w:t>
      </w:r>
      <w:r>
        <w:rPr>
          <w:rFonts w:hint="eastAsia" w:ascii="宋体" w:hAnsi="宋体" w:eastAsia="宋体" w:cs="Times New Roman"/>
          <w:sz w:val="21"/>
          <w:szCs w:val="21"/>
        </w:rPr>
        <w:t>小时。</w:t>
      </w:r>
    </w:p>
    <w:p w14:paraId="5BE82D6E">
      <w:pPr>
        <w:widowControl/>
        <w:spacing w:line="360" w:lineRule="auto"/>
        <w:jc w:val="left"/>
        <w:outlineLvl w:val="4"/>
        <w:rPr>
          <w:rFonts w:ascii="宋体" w:hAnsi="宋体" w:eastAsia="宋体" w:cs="宋体"/>
          <w:b/>
          <w:bCs/>
          <w:kern w:val="0"/>
          <w:sz w:val="21"/>
          <w:szCs w:val="21"/>
        </w:rPr>
      </w:pPr>
      <w:bookmarkStart w:id="1590" w:name="_Toc296944562"/>
      <w:bookmarkEnd w:id="1590"/>
      <w:bookmarkStart w:id="1591" w:name="_Toc296891051"/>
      <w:bookmarkEnd w:id="1591"/>
      <w:bookmarkStart w:id="1592" w:name="_Toc296891263"/>
      <w:bookmarkEnd w:id="1592"/>
      <w:bookmarkStart w:id="1593" w:name="_Toc312678056"/>
      <w:bookmarkEnd w:id="1593"/>
      <w:bookmarkStart w:id="1594" w:name="_Toc532375653"/>
      <w:bookmarkEnd w:id="1594"/>
      <w:bookmarkStart w:id="1595" w:name="_Toc303539173"/>
      <w:bookmarkEnd w:id="1595"/>
      <w:bookmarkStart w:id="1596" w:name="_Toc297216224"/>
      <w:bookmarkEnd w:id="1596"/>
      <w:bookmarkStart w:id="1597" w:name="_Toc292559428"/>
      <w:bookmarkEnd w:id="1597"/>
      <w:bookmarkStart w:id="1598" w:name="_Toc297048409"/>
      <w:bookmarkEnd w:id="1598"/>
      <w:bookmarkStart w:id="1599" w:name="_Toc297123565"/>
      <w:bookmarkEnd w:id="1599"/>
      <w:bookmarkStart w:id="1600" w:name="_Toc292559933"/>
      <w:bookmarkEnd w:id="1600"/>
      <w:bookmarkStart w:id="1601" w:name="_Toc296346724"/>
      <w:bookmarkEnd w:id="1601"/>
      <w:bookmarkStart w:id="1602" w:name="_Toc532377390"/>
      <w:bookmarkEnd w:id="1602"/>
      <w:bookmarkStart w:id="1603" w:name="_Toc300935016"/>
      <w:bookmarkEnd w:id="1603"/>
      <w:bookmarkStart w:id="1604" w:name="_Toc304295596"/>
      <w:bookmarkEnd w:id="1604"/>
      <w:bookmarkStart w:id="1605" w:name="_Toc296503223"/>
      <w:bookmarkEnd w:id="1605"/>
      <w:bookmarkStart w:id="1606" w:name="_Toc296347222"/>
      <w:bookmarkEnd w:id="1606"/>
      <w:bookmarkStart w:id="1607" w:name="_Toc297120523"/>
      <w:r>
        <w:rPr>
          <w:rFonts w:hint="eastAsia" w:ascii="宋体" w:hAnsi="宋体" w:eastAsia="宋体" w:cs="宋体"/>
          <w:b/>
          <w:bCs/>
          <w:kern w:val="0"/>
          <w:sz w:val="21"/>
          <w:szCs w:val="21"/>
        </w:rPr>
        <w:t>13.2 竣工验收</w:t>
      </w:r>
      <w:bookmarkEnd w:id="1607"/>
    </w:p>
    <w:p w14:paraId="240C740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13.2.1竣工验收程序</w:t>
      </w:r>
    </w:p>
    <w:p w14:paraId="5C46283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关于竣工验收程序的约定：</w:t>
      </w:r>
      <w:r>
        <w:rPr>
          <w:rFonts w:hint="eastAsia" w:ascii="宋体" w:hAnsi="宋体" w:eastAsia="宋体" w:cs="Times New Roman"/>
          <w:sz w:val="21"/>
          <w:szCs w:val="21"/>
          <w:u w:val="single"/>
        </w:rPr>
        <w:t xml:space="preserve">  按相关规定执行   </w:t>
      </w:r>
      <w:r>
        <w:rPr>
          <w:rFonts w:hint="eastAsia" w:ascii="宋体" w:hAnsi="宋体" w:eastAsia="宋体" w:cs="Times New Roman"/>
          <w:sz w:val="21"/>
          <w:szCs w:val="21"/>
        </w:rPr>
        <w:t>。</w:t>
      </w:r>
    </w:p>
    <w:p w14:paraId="33488C4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13.2.2 移交、接收全部与部分工程</w:t>
      </w:r>
    </w:p>
    <w:p w14:paraId="037C8E5E">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承包人向发包人移交工程的期限：</w:t>
      </w:r>
      <w:r>
        <w:rPr>
          <w:rFonts w:hint="eastAsia" w:ascii="宋体" w:hAnsi="宋体" w:eastAsia="宋体" w:cs="Times New Roman"/>
          <w:sz w:val="21"/>
          <w:szCs w:val="21"/>
          <w:u w:val="single"/>
        </w:rPr>
        <w:t xml:space="preserve">     竣工验收后       </w:t>
      </w:r>
      <w:r>
        <w:rPr>
          <w:rFonts w:hint="eastAsia" w:ascii="宋体" w:hAnsi="宋体" w:eastAsia="宋体" w:cs="Times New Roman"/>
          <w:sz w:val="21"/>
          <w:szCs w:val="21"/>
        </w:rPr>
        <w:t>。</w:t>
      </w:r>
    </w:p>
    <w:p w14:paraId="5A7DAA03">
      <w:pPr>
        <w:widowControl/>
        <w:spacing w:line="360" w:lineRule="auto"/>
        <w:jc w:val="left"/>
        <w:outlineLvl w:val="4"/>
        <w:rPr>
          <w:rFonts w:ascii="宋体" w:hAnsi="宋体" w:eastAsia="宋体" w:cs="宋体"/>
          <w:b/>
          <w:bCs/>
          <w:kern w:val="0"/>
          <w:sz w:val="21"/>
          <w:szCs w:val="21"/>
        </w:rPr>
      </w:pPr>
      <w:bookmarkStart w:id="1608" w:name="_Toc532375654"/>
      <w:bookmarkEnd w:id="1608"/>
      <w:bookmarkStart w:id="1609" w:name="_Toc532377391"/>
      <w:r>
        <w:rPr>
          <w:rFonts w:hint="eastAsia" w:ascii="宋体" w:hAnsi="宋体" w:eastAsia="宋体" w:cs="宋体"/>
          <w:b/>
          <w:bCs/>
          <w:kern w:val="0"/>
          <w:sz w:val="21"/>
          <w:szCs w:val="21"/>
        </w:rPr>
        <w:t>13.3 工程试车</w:t>
      </w:r>
      <w:bookmarkEnd w:id="1609"/>
    </w:p>
    <w:p w14:paraId="5C9B67B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13.3.1 试车程序</w:t>
      </w:r>
    </w:p>
    <w:p w14:paraId="6D73753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工程试车内容：</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597206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（1）单机无负荷试车费用由</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承担；</w:t>
      </w:r>
    </w:p>
    <w:p w14:paraId="47084F6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（2）无负荷联动试车费用由</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承担。</w:t>
      </w:r>
    </w:p>
    <w:p w14:paraId="0217135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13.3.3 投料试车</w:t>
      </w:r>
    </w:p>
    <w:p w14:paraId="7442BB7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关于投料试车相关事项的约定：</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35D6F48D">
      <w:pPr>
        <w:widowControl/>
        <w:spacing w:line="360" w:lineRule="auto"/>
        <w:jc w:val="left"/>
        <w:outlineLvl w:val="4"/>
        <w:rPr>
          <w:rFonts w:ascii="宋体" w:hAnsi="宋体" w:eastAsia="宋体" w:cs="宋体"/>
          <w:b/>
          <w:bCs/>
          <w:kern w:val="0"/>
          <w:sz w:val="21"/>
          <w:szCs w:val="21"/>
        </w:rPr>
      </w:pPr>
      <w:bookmarkStart w:id="1610" w:name="_Toc532377392"/>
      <w:bookmarkEnd w:id="1610"/>
      <w:bookmarkStart w:id="1611" w:name="_Toc532375655"/>
      <w:r>
        <w:rPr>
          <w:rFonts w:hint="eastAsia" w:ascii="宋体" w:hAnsi="宋体" w:eastAsia="宋体" w:cs="宋体"/>
          <w:b/>
          <w:bCs/>
          <w:kern w:val="0"/>
          <w:sz w:val="21"/>
          <w:szCs w:val="21"/>
        </w:rPr>
        <w:t>13.6 竣工退场</w:t>
      </w:r>
      <w:bookmarkEnd w:id="1611"/>
    </w:p>
    <w:p w14:paraId="684DB62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13.6.1 竣工退场</w:t>
      </w:r>
    </w:p>
    <w:p w14:paraId="07D0BAF6">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承包人完成竣工退场的期限：</w:t>
      </w:r>
      <w:r>
        <w:rPr>
          <w:rFonts w:hint="eastAsia" w:ascii="宋体" w:hAnsi="宋体" w:eastAsia="宋体" w:cs="Times New Roman"/>
          <w:sz w:val="21"/>
          <w:szCs w:val="21"/>
          <w:u w:val="single"/>
        </w:rPr>
        <w:t xml:space="preserve"> 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eastAsia="宋体" w:cs="Times New Roman"/>
          <w:sz w:val="21"/>
          <w:szCs w:val="21"/>
        </w:rPr>
        <w:t>。</w:t>
      </w:r>
    </w:p>
    <w:p w14:paraId="45182D6C">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14. 竣工结算</w:t>
      </w:r>
    </w:p>
    <w:p w14:paraId="26780562">
      <w:pPr>
        <w:widowControl/>
        <w:spacing w:line="360" w:lineRule="auto"/>
        <w:jc w:val="left"/>
        <w:outlineLvl w:val="4"/>
        <w:rPr>
          <w:rFonts w:ascii="宋体" w:hAnsi="宋体" w:eastAsia="宋体" w:cs="宋体"/>
          <w:b/>
          <w:bCs/>
          <w:kern w:val="0"/>
          <w:sz w:val="21"/>
          <w:szCs w:val="21"/>
        </w:rPr>
      </w:pPr>
      <w:bookmarkStart w:id="1612" w:name="_Toc532377394"/>
      <w:bookmarkEnd w:id="1612"/>
      <w:bookmarkStart w:id="1613" w:name="_Toc532375657"/>
      <w:r>
        <w:rPr>
          <w:rFonts w:hint="eastAsia" w:ascii="宋体" w:hAnsi="宋体" w:eastAsia="宋体" w:cs="宋体"/>
          <w:b/>
          <w:bCs/>
          <w:kern w:val="0"/>
          <w:sz w:val="21"/>
          <w:szCs w:val="21"/>
        </w:rPr>
        <w:t>14.1 竣工结算申请</w:t>
      </w:r>
      <w:bookmarkEnd w:id="1613"/>
    </w:p>
    <w:p w14:paraId="1A4F1BE2">
      <w:pPr>
        <w:spacing w:line="360" w:lineRule="auto"/>
        <w:jc w:val="left"/>
        <w:rPr>
          <w:rFonts w:ascii="宋体" w:hAnsi="宋体" w:eastAsia="宋体" w:cs="Times New Roman"/>
          <w:sz w:val="21"/>
          <w:szCs w:val="21"/>
          <w:u w:val="single"/>
        </w:rPr>
      </w:pPr>
      <w:bookmarkStart w:id="1614" w:name="_Toc532377395"/>
      <w:bookmarkEnd w:id="1614"/>
      <w:bookmarkStart w:id="1615" w:name="_Toc532375658"/>
      <w:r>
        <w:rPr>
          <w:rFonts w:hint="eastAsia" w:ascii="宋体" w:hAnsi="宋体" w:eastAsia="宋体" w:cs="Times New Roman"/>
          <w:sz w:val="21"/>
          <w:szCs w:val="21"/>
        </w:rPr>
        <w:t>承包人提交竣工结算申请单的期限：</w:t>
      </w:r>
      <w:bookmarkEnd w:id="1615"/>
      <w:bookmarkStart w:id="1616" w:name="_Hlk524297994"/>
      <w:bookmarkEnd w:id="1616"/>
      <w:r>
        <w:rPr>
          <w:rFonts w:hint="eastAsia" w:ascii="宋体" w:hAnsi="宋体" w:eastAsia="宋体" w:cs="Times New Roman"/>
          <w:sz w:val="21"/>
          <w:szCs w:val="21"/>
          <w:u w:val="single"/>
        </w:rPr>
        <w:t>承包人应在工程竣工验收合格且报送完整工程竣工资料之日起28天内向监理人、发包人提交竣工结算申请单，并向发包人报送完整的工程竣工资料及经监理人初审确认的完整的竣工结算资料。监理人或跟审单位或发包人对竣工结算申请单有异议的，应在接到竣工结算申请单后14天内要求承包人进行修正和提供补充资料，承包人在接到监理人或跟审单位或发包人提出的审核意见后，应在28天内按监理人或发包人提出的合理要求补充资料、修改竣工结算资料，并再次提交监理人或发包人审核。承包人未在规定时间内补充资料给承包人造成经济损失的由承包人自行承担，承包人未在规定时间内报送竣工结算资料给发包人造成经济损失的，承包人应承担赔偿责任。</w:t>
      </w:r>
    </w:p>
    <w:p w14:paraId="4C37804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竣工结算申请单应包括的内容：</w:t>
      </w:r>
    </w:p>
    <w:p w14:paraId="12D848BC">
      <w:pPr>
        <w:widowControl/>
        <w:spacing w:line="360" w:lineRule="auto"/>
        <w:jc w:val="left"/>
        <w:outlineLvl w:val="4"/>
        <w:rPr>
          <w:rFonts w:ascii="宋体" w:hAnsi="宋体" w:eastAsia="宋体" w:cs="宋体"/>
          <w:b/>
          <w:bCs/>
          <w:kern w:val="0"/>
          <w:sz w:val="21"/>
          <w:szCs w:val="21"/>
          <w:u w:val="single"/>
        </w:rPr>
      </w:pPr>
      <w:r>
        <w:rPr>
          <w:rFonts w:hint="eastAsia" w:ascii="宋体" w:hAnsi="宋体" w:eastAsia="宋体" w:cs="宋体"/>
          <w:b/>
          <w:bCs/>
          <w:kern w:val="0"/>
          <w:sz w:val="21"/>
          <w:szCs w:val="21"/>
          <w:u w:val="single"/>
        </w:rPr>
        <w:t>（1）竣工结算合同价格；</w:t>
      </w:r>
    </w:p>
    <w:p w14:paraId="3E965188">
      <w:pPr>
        <w:widowControl/>
        <w:spacing w:line="360" w:lineRule="auto"/>
        <w:jc w:val="left"/>
        <w:outlineLvl w:val="4"/>
        <w:rPr>
          <w:rFonts w:ascii="宋体" w:hAnsi="宋体" w:eastAsia="宋体" w:cs="宋体"/>
          <w:b/>
          <w:bCs/>
          <w:kern w:val="0"/>
          <w:sz w:val="21"/>
          <w:szCs w:val="21"/>
          <w:u w:val="single"/>
        </w:rPr>
      </w:pPr>
      <w:r>
        <w:rPr>
          <w:rFonts w:hint="eastAsia" w:ascii="宋体" w:hAnsi="宋体" w:eastAsia="宋体" w:cs="宋体"/>
          <w:b/>
          <w:bCs/>
          <w:kern w:val="0"/>
          <w:sz w:val="21"/>
          <w:szCs w:val="21"/>
          <w:u w:val="single"/>
        </w:rPr>
        <w:t>（2）变更增减金额；</w:t>
      </w:r>
    </w:p>
    <w:p w14:paraId="7254318F">
      <w:pPr>
        <w:widowControl/>
        <w:spacing w:line="360" w:lineRule="auto"/>
        <w:jc w:val="left"/>
        <w:outlineLvl w:val="4"/>
        <w:rPr>
          <w:rFonts w:ascii="宋体" w:hAnsi="宋体" w:eastAsia="宋体" w:cs="宋体"/>
          <w:b/>
          <w:bCs/>
          <w:kern w:val="0"/>
          <w:sz w:val="21"/>
          <w:szCs w:val="21"/>
          <w:u w:val="single"/>
        </w:rPr>
      </w:pPr>
      <w:r>
        <w:rPr>
          <w:rFonts w:hint="eastAsia" w:ascii="宋体" w:hAnsi="宋体" w:eastAsia="宋体" w:cs="宋体"/>
          <w:b/>
          <w:bCs/>
          <w:kern w:val="0"/>
          <w:sz w:val="21"/>
          <w:szCs w:val="21"/>
          <w:u w:val="single"/>
        </w:rPr>
        <w:t>（3）现场签证增减金额；</w:t>
      </w:r>
    </w:p>
    <w:p w14:paraId="57624F1A">
      <w:pPr>
        <w:widowControl/>
        <w:spacing w:line="360" w:lineRule="auto"/>
        <w:jc w:val="left"/>
        <w:outlineLvl w:val="4"/>
        <w:rPr>
          <w:rFonts w:ascii="宋体" w:hAnsi="宋体" w:eastAsia="宋体" w:cs="宋体"/>
          <w:b/>
          <w:bCs/>
          <w:kern w:val="0"/>
          <w:sz w:val="21"/>
          <w:szCs w:val="21"/>
          <w:u w:val="single"/>
        </w:rPr>
      </w:pPr>
      <w:r>
        <w:rPr>
          <w:rFonts w:hint="eastAsia" w:ascii="宋体" w:hAnsi="宋体" w:eastAsia="宋体" w:cs="宋体"/>
          <w:b/>
          <w:bCs/>
          <w:kern w:val="0"/>
          <w:sz w:val="21"/>
          <w:szCs w:val="21"/>
          <w:u w:val="single"/>
        </w:rPr>
        <w:t>（4）发包人已支付承包人的款项；</w:t>
      </w:r>
    </w:p>
    <w:p w14:paraId="1C713411">
      <w:pPr>
        <w:widowControl/>
        <w:spacing w:line="360" w:lineRule="auto"/>
        <w:jc w:val="left"/>
        <w:outlineLvl w:val="4"/>
        <w:rPr>
          <w:rFonts w:ascii="宋体" w:hAnsi="宋体" w:eastAsia="宋体" w:cs="宋体"/>
          <w:b/>
          <w:bCs/>
          <w:kern w:val="0"/>
          <w:sz w:val="21"/>
          <w:szCs w:val="21"/>
          <w:u w:val="single"/>
        </w:rPr>
      </w:pPr>
      <w:r>
        <w:rPr>
          <w:rFonts w:hint="eastAsia" w:ascii="宋体" w:hAnsi="宋体" w:eastAsia="宋体" w:cs="宋体"/>
          <w:b/>
          <w:bCs/>
          <w:kern w:val="0"/>
          <w:sz w:val="21"/>
          <w:szCs w:val="21"/>
          <w:u w:val="single"/>
        </w:rPr>
        <w:t>（5）应扣留的质量保证金；</w:t>
      </w:r>
    </w:p>
    <w:p w14:paraId="728C1473">
      <w:pPr>
        <w:widowControl/>
        <w:spacing w:line="360" w:lineRule="auto"/>
        <w:jc w:val="left"/>
        <w:outlineLvl w:val="4"/>
        <w:rPr>
          <w:rFonts w:ascii="宋体" w:hAnsi="宋体" w:eastAsia="宋体" w:cs="宋体"/>
          <w:b/>
          <w:bCs/>
          <w:kern w:val="0"/>
          <w:sz w:val="21"/>
          <w:szCs w:val="21"/>
          <w:u w:val="single"/>
        </w:rPr>
      </w:pPr>
      <w:r>
        <w:rPr>
          <w:rFonts w:hint="eastAsia" w:ascii="宋体" w:hAnsi="宋体" w:eastAsia="宋体" w:cs="宋体"/>
          <w:b/>
          <w:bCs/>
          <w:kern w:val="0"/>
          <w:sz w:val="21"/>
          <w:szCs w:val="21"/>
          <w:u w:val="single"/>
        </w:rPr>
        <w:t>（6）发包人应支付承包人的合同价款。</w:t>
      </w:r>
    </w:p>
    <w:p w14:paraId="002F9313">
      <w:pPr>
        <w:widowControl/>
        <w:spacing w:line="360" w:lineRule="auto"/>
        <w:jc w:val="left"/>
        <w:outlineLvl w:val="4"/>
        <w:rPr>
          <w:rFonts w:ascii="宋体" w:hAnsi="宋体" w:eastAsia="宋体" w:cs="宋体"/>
          <w:b/>
          <w:bCs/>
          <w:kern w:val="0"/>
          <w:sz w:val="21"/>
          <w:szCs w:val="21"/>
          <w:u w:val="single"/>
        </w:rPr>
      </w:pPr>
      <w:r>
        <w:rPr>
          <w:rFonts w:hint="eastAsia" w:ascii="宋体" w:hAnsi="宋体" w:eastAsia="宋体" w:cs="宋体"/>
          <w:b/>
          <w:bCs/>
          <w:kern w:val="0"/>
          <w:sz w:val="21"/>
          <w:szCs w:val="21"/>
          <w:u w:val="single"/>
        </w:rPr>
        <w:t>（7）   符合审核要求的全套的结算资料      。</w:t>
      </w:r>
    </w:p>
    <w:p w14:paraId="0BD433B8">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14.2 竣工结算审核</w:t>
      </w:r>
    </w:p>
    <w:p w14:paraId="3C6359CC">
      <w:pPr>
        <w:spacing w:line="360" w:lineRule="auto"/>
        <w:ind w:right="140" w:rightChars="50"/>
        <w:jc w:val="left"/>
        <w:rPr>
          <w:rFonts w:ascii="宋体" w:hAnsi="宋体" w:eastAsia="宋体" w:cs="Times New Roman"/>
          <w:sz w:val="21"/>
          <w:szCs w:val="21"/>
        </w:rPr>
      </w:pPr>
      <w:bookmarkStart w:id="1617" w:name="_Toc532377396"/>
      <w:bookmarkEnd w:id="1617"/>
      <w:bookmarkStart w:id="1618" w:name="_Toc532375659"/>
      <w:r>
        <w:rPr>
          <w:rFonts w:hint="eastAsia" w:ascii="宋体" w:hAnsi="宋体" w:eastAsia="宋体" w:cs="Times New Roman"/>
          <w:sz w:val="21"/>
          <w:szCs w:val="21"/>
        </w:rPr>
        <w:t>14.2.1 竣工结算办法</w:t>
      </w:r>
      <w:bookmarkEnd w:id="1618"/>
    </w:p>
    <w:p w14:paraId="0854185B">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14.2.1.1计量原则</w:t>
      </w:r>
    </w:p>
    <w:p w14:paraId="1283A014">
      <w:pPr>
        <w:spacing w:line="360" w:lineRule="auto"/>
        <w:ind w:right="140" w:rightChars="50"/>
        <w:jc w:val="left"/>
        <w:rPr>
          <w:rFonts w:ascii="宋体" w:hAnsi="宋体" w:eastAsia="宋体" w:cs="Times New Roman"/>
          <w:sz w:val="21"/>
          <w:szCs w:val="21"/>
          <w:u w:val="single"/>
        </w:rPr>
      </w:pPr>
      <w:r>
        <w:rPr>
          <w:rFonts w:hint="eastAsia" w:ascii="宋体" w:hAnsi="宋体" w:eastAsia="宋体" w:cs="Times New Roman"/>
          <w:sz w:val="21"/>
          <w:szCs w:val="21"/>
        </w:rPr>
        <w:t>按照第12.3.1项〔计量原则〕约定执行。</w:t>
      </w:r>
    </w:p>
    <w:p w14:paraId="2AED6508">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14.2.1.2计价原则</w:t>
      </w:r>
    </w:p>
    <w:p w14:paraId="27E9FE5B">
      <w:pPr>
        <w:spacing w:line="360" w:lineRule="auto"/>
        <w:ind w:right="140" w:rightChars="50"/>
        <w:jc w:val="left"/>
        <w:rPr>
          <w:rFonts w:ascii="宋体" w:hAnsi="宋体" w:eastAsia="宋体" w:cs="Times New Roman"/>
          <w:sz w:val="21"/>
          <w:szCs w:val="21"/>
          <w:u w:val="single"/>
        </w:rPr>
      </w:pPr>
      <w:r>
        <w:rPr>
          <w:rFonts w:hint="eastAsia" w:ascii="宋体" w:hAnsi="宋体" w:eastAsia="宋体" w:cs="Times New Roman"/>
          <w:sz w:val="21"/>
          <w:szCs w:val="21"/>
          <w:u w:val="single"/>
        </w:rPr>
        <w:t>合同竣工结算价=Σ分部分项工程结算价+Σ措施项目结算价+Σ其他项目结算价±Σ价格调整（如有）±Σ变更、索赔与现场签证结算价±Σ奖励、罚金、违约金及其他费用+Σ规费+Σ税金</w:t>
      </w:r>
      <w:r>
        <w:rPr>
          <w:rFonts w:hint="eastAsia" w:ascii="宋体" w:hAnsi="宋体" w:eastAsia="宋体" w:cs="Times New Roman"/>
          <w:sz w:val="21"/>
          <w:szCs w:val="21"/>
        </w:rPr>
        <w:t>。</w:t>
      </w:r>
    </w:p>
    <w:p w14:paraId="6A3F96EF">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具体结算办法如下：</w:t>
      </w:r>
    </w:p>
    <w:p w14:paraId="03C86D00">
      <w:pPr>
        <w:spacing w:line="360" w:lineRule="auto"/>
        <w:ind w:right="140" w:rightChars="50"/>
        <w:jc w:val="left"/>
        <w:textAlignment w:val="baseline"/>
        <w:rPr>
          <w:rFonts w:ascii="宋体" w:hAnsi="宋体" w:eastAsia="宋体" w:cs="Times New Roman"/>
          <w:sz w:val="21"/>
          <w:szCs w:val="21"/>
        </w:rPr>
      </w:pPr>
      <w:r>
        <w:rPr>
          <w:rFonts w:hint="eastAsia" w:ascii="宋体" w:hAnsi="宋体" w:eastAsia="宋体" w:cs="Times New Roman"/>
          <w:sz w:val="21"/>
          <w:szCs w:val="21"/>
        </w:rPr>
        <w:t>（1）分部分项工程：</w:t>
      </w:r>
    </w:p>
    <w:p w14:paraId="226D65B2">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hAnsi="宋体" w:eastAsia="宋体" w:cs="Times New Roman"/>
          <w:sz w:val="21"/>
          <w:szCs w:val="21"/>
        </w:rPr>
        <w:t>；</w:t>
      </w:r>
    </w:p>
    <w:p w14:paraId="030E26F8">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u w:val="single"/>
        </w:rPr>
        <w:t>②需要对没有填入综合单价或总额价的子目项目进行扣减的，第12.3.1项〔计量原则〕约定确定的工程量乘以按照10.4.1.3〔变更估价原则〕目约定的综合单价进行扣减</w:t>
      </w:r>
      <w:r>
        <w:rPr>
          <w:rFonts w:hint="eastAsia" w:ascii="宋体" w:hAnsi="宋体" w:eastAsia="宋体" w:cs="Times New Roman"/>
          <w:sz w:val="21"/>
          <w:szCs w:val="21"/>
        </w:rPr>
        <w:t>；</w:t>
      </w:r>
    </w:p>
    <w:p w14:paraId="5CE0062D">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u w:val="single"/>
        </w:rPr>
        <w:t>③合同、已标价工程量清单和招标文件另有约定的，按照其约定执行</w:t>
      </w:r>
      <w:r>
        <w:rPr>
          <w:rFonts w:hint="eastAsia" w:ascii="宋体" w:hAnsi="宋体" w:eastAsia="宋体" w:cs="Times New Roman"/>
          <w:sz w:val="21"/>
          <w:szCs w:val="21"/>
        </w:rPr>
        <w:t>。</w:t>
      </w:r>
    </w:p>
    <w:p w14:paraId="5ED0519B">
      <w:pPr>
        <w:spacing w:line="360" w:lineRule="auto"/>
        <w:ind w:right="140" w:rightChars="50"/>
        <w:jc w:val="left"/>
        <w:textAlignment w:val="baseline"/>
        <w:rPr>
          <w:rFonts w:ascii="宋体" w:hAnsi="宋体" w:eastAsia="宋体" w:cs="Times New Roman"/>
          <w:sz w:val="21"/>
          <w:szCs w:val="21"/>
        </w:rPr>
      </w:pPr>
      <w:r>
        <w:rPr>
          <w:rFonts w:hint="eastAsia" w:ascii="宋体" w:hAnsi="宋体" w:eastAsia="宋体" w:cs="Times New Roman"/>
          <w:sz w:val="21"/>
          <w:szCs w:val="21"/>
        </w:rPr>
        <w:t>（2）措施项目：</w:t>
      </w:r>
    </w:p>
    <w:p w14:paraId="5DC0BB2C">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宋体" w:hAnsi="宋体" w:eastAsia="宋体" w:cs="Times New Roman"/>
          <w:sz w:val="21"/>
          <w:szCs w:val="21"/>
        </w:rPr>
        <w:t>。</w:t>
      </w:r>
    </w:p>
    <w:p w14:paraId="0198E54C">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u w:val="single"/>
        </w:rPr>
        <w:t>②工程变更引起施工方案改变使措施项目发生变化的，经监理人、发包人确定后可对按第10.4.3项约定执行</w:t>
      </w:r>
      <w:r>
        <w:rPr>
          <w:rFonts w:hint="eastAsia" w:ascii="宋体" w:hAnsi="宋体" w:eastAsia="宋体" w:cs="Times New Roman"/>
          <w:sz w:val="21"/>
          <w:szCs w:val="21"/>
        </w:rPr>
        <w:t>。</w:t>
      </w:r>
    </w:p>
    <w:p w14:paraId="3527359A">
      <w:pPr>
        <w:spacing w:line="360" w:lineRule="auto"/>
        <w:ind w:right="140" w:rightChars="50"/>
        <w:jc w:val="left"/>
        <w:textAlignment w:val="baseline"/>
        <w:rPr>
          <w:rFonts w:ascii="宋体" w:hAnsi="宋体" w:eastAsia="宋体" w:cs="Times New Roman"/>
          <w:sz w:val="21"/>
          <w:szCs w:val="21"/>
        </w:rPr>
      </w:pPr>
      <w:r>
        <w:rPr>
          <w:rFonts w:hint="eastAsia" w:ascii="宋体" w:hAnsi="宋体" w:eastAsia="宋体" w:cs="Times New Roman"/>
          <w:sz w:val="21"/>
          <w:szCs w:val="21"/>
          <w:u w:val="single"/>
        </w:rPr>
        <w:t>③安全文明施工费按照《重庆市建设工程费用定额》（CQFYDE-2018）、《重庆市住房和城乡建设委员会关于修订发布&lt;重庆市建设工程安全文明施工费计取及使用管理规定&gt;的通知》（渝建管〔2024〕38号）的规定进行结算</w:t>
      </w:r>
      <w:r>
        <w:rPr>
          <w:rFonts w:hint="eastAsia" w:ascii="宋体" w:hAnsi="宋体" w:eastAsia="宋体" w:cs="Times New Roman"/>
          <w:sz w:val="21"/>
          <w:szCs w:val="21"/>
        </w:rPr>
        <w:t>。</w:t>
      </w:r>
    </w:p>
    <w:p w14:paraId="427D3BFF">
      <w:pPr>
        <w:spacing w:line="360" w:lineRule="auto"/>
        <w:ind w:right="140" w:rightChars="50"/>
        <w:jc w:val="left"/>
        <w:textAlignment w:val="baseline"/>
        <w:rPr>
          <w:rFonts w:ascii="宋体" w:hAnsi="宋体" w:eastAsia="宋体" w:cs="Times New Roman"/>
          <w:sz w:val="21"/>
          <w:szCs w:val="21"/>
        </w:rPr>
      </w:pPr>
      <w:r>
        <w:rPr>
          <w:rFonts w:hint="eastAsia" w:ascii="宋体" w:hAnsi="宋体" w:eastAsia="宋体" w:cs="Times New Roman"/>
          <w:sz w:val="21"/>
          <w:szCs w:val="21"/>
        </w:rPr>
        <w:t>（3）其他项目：</w:t>
      </w:r>
    </w:p>
    <w:p w14:paraId="1EEDF6F8">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①材料（工程设备）暂估价：</w:t>
      </w:r>
      <w:r>
        <w:rPr>
          <w:rFonts w:hint="eastAsia" w:ascii="宋体" w:hAnsi="宋体" w:eastAsia="宋体" w:cs="Times New Roman"/>
          <w:sz w:val="21"/>
          <w:szCs w:val="21"/>
          <w:u w:val="single"/>
        </w:rPr>
        <w:t>按照第12.3.1项〔计量原则〕约定及对应定额消耗量确定的数量乘以监理人、发包人根据市场行情认质核价确定的价格进行结算</w:t>
      </w:r>
      <w:r>
        <w:rPr>
          <w:rFonts w:hint="eastAsia" w:ascii="宋体" w:hAnsi="宋体" w:eastAsia="宋体" w:cs="Times New Roman"/>
          <w:sz w:val="21"/>
          <w:szCs w:val="21"/>
        </w:rPr>
        <w:t>。</w:t>
      </w:r>
    </w:p>
    <w:p w14:paraId="38B55F5D">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②专业工程暂估价：</w:t>
      </w:r>
    </w:p>
    <w:p w14:paraId="5DE2D6F9">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u w:val="single"/>
        </w:rPr>
        <w:t>1）对于不属于依法必须招标的暂估价项目：按发包人审定的价格进行结算</w:t>
      </w:r>
      <w:r>
        <w:rPr>
          <w:rFonts w:hint="eastAsia" w:ascii="宋体" w:hAnsi="宋体" w:eastAsia="宋体" w:cs="Times New Roman"/>
          <w:sz w:val="21"/>
          <w:szCs w:val="21"/>
        </w:rPr>
        <w:t>。</w:t>
      </w:r>
    </w:p>
    <w:p w14:paraId="69382373">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u w:val="single"/>
        </w:rPr>
        <w:t>2）对于依法必须招标的暂估价项目：达到招标规模标准的暂估价内容，包括专业工程暂估价和材料设备暂估价均应招标确定，并按暂估价招标文件约定结算</w:t>
      </w:r>
      <w:r>
        <w:rPr>
          <w:rFonts w:hint="eastAsia" w:ascii="宋体" w:hAnsi="宋体" w:eastAsia="宋体" w:cs="Times New Roman"/>
          <w:sz w:val="21"/>
          <w:szCs w:val="21"/>
        </w:rPr>
        <w:t>。</w:t>
      </w:r>
    </w:p>
    <w:p w14:paraId="604B7180">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③总承包服务费：</w:t>
      </w:r>
      <w:r>
        <w:rPr>
          <w:rFonts w:hint="eastAsia" w:ascii="宋体" w:hAnsi="宋体" w:eastAsia="宋体" w:cs="Times New Roman"/>
          <w:sz w:val="21"/>
          <w:szCs w:val="21"/>
          <w:u w:val="single"/>
        </w:rPr>
        <w:t>总承包服务费包干使用，结算时不作调整</w:t>
      </w:r>
      <w:r>
        <w:rPr>
          <w:rFonts w:hint="eastAsia" w:ascii="宋体" w:hAnsi="宋体" w:eastAsia="宋体" w:cs="Times New Roman"/>
          <w:sz w:val="21"/>
          <w:szCs w:val="21"/>
        </w:rPr>
        <w:t>。</w:t>
      </w:r>
    </w:p>
    <w:p w14:paraId="560CB7C0">
      <w:pPr>
        <w:spacing w:line="360" w:lineRule="auto"/>
        <w:ind w:right="140" w:rightChars="50"/>
        <w:jc w:val="left"/>
        <w:textAlignment w:val="baseline"/>
        <w:rPr>
          <w:rFonts w:ascii="宋体" w:hAnsi="宋体" w:eastAsia="宋体" w:cs="Times New Roman"/>
          <w:sz w:val="21"/>
          <w:szCs w:val="21"/>
        </w:rPr>
      </w:pPr>
      <w:r>
        <w:rPr>
          <w:rFonts w:hint="eastAsia" w:ascii="宋体" w:hAnsi="宋体" w:eastAsia="宋体" w:cs="Times New Roman"/>
          <w:sz w:val="21"/>
          <w:szCs w:val="21"/>
        </w:rPr>
        <w:t>（4）价格调整：</w:t>
      </w:r>
      <w:r>
        <w:rPr>
          <w:rFonts w:hint="eastAsia" w:ascii="宋体" w:hAnsi="宋体" w:eastAsia="宋体" w:cs="Times New Roman"/>
          <w:sz w:val="21"/>
          <w:szCs w:val="21"/>
          <w:u w:val="single"/>
        </w:rPr>
        <w:t>按照第11条〔价格调整〕约定约定执行</w:t>
      </w:r>
      <w:r>
        <w:rPr>
          <w:rFonts w:hint="eastAsia" w:ascii="宋体" w:hAnsi="宋体" w:eastAsia="宋体" w:cs="Times New Roman"/>
          <w:sz w:val="21"/>
          <w:szCs w:val="21"/>
        </w:rPr>
        <w:t>。</w:t>
      </w:r>
    </w:p>
    <w:p w14:paraId="5CDB1673">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（5）工程变更、索赔与现场签证：</w:t>
      </w:r>
    </w:p>
    <w:p w14:paraId="169BD450">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1）工程变更：按照第</w:t>
      </w:r>
      <w:r>
        <w:rPr>
          <w:rFonts w:hint="eastAsia" w:ascii="宋体" w:hAnsi="宋体" w:eastAsia="宋体" w:cs="Times New Roman"/>
          <w:sz w:val="21"/>
          <w:szCs w:val="21"/>
          <w:u w:val="single"/>
        </w:rPr>
        <w:t>10.4.1.3〔变更估价原则〕</w:t>
      </w:r>
      <w:r>
        <w:rPr>
          <w:rFonts w:hint="eastAsia" w:ascii="宋体" w:hAnsi="宋体" w:eastAsia="宋体" w:cs="Times New Roman"/>
          <w:sz w:val="21"/>
          <w:szCs w:val="21"/>
        </w:rPr>
        <w:t>约定，确定为总价包干的，按审定包干总价计入结算；其余项目按照有效的竣工结算资料和第12.3.1项〔计量原则〕约定确定的工程量乘以相应的按照第</w:t>
      </w:r>
      <w:r>
        <w:rPr>
          <w:rFonts w:hint="eastAsia" w:ascii="宋体" w:hAnsi="宋体" w:eastAsia="宋体" w:cs="Times New Roman"/>
          <w:sz w:val="21"/>
          <w:szCs w:val="21"/>
          <w:u w:val="single"/>
        </w:rPr>
        <w:t>10.4.1.3〔变更估价原则〕</w:t>
      </w:r>
      <w:r>
        <w:rPr>
          <w:rFonts w:hint="eastAsia" w:ascii="宋体" w:hAnsi="宋体" w:eastAsia="宋体" w:cs="Times New Roman"/>
          <w:sz w:val="21"/>
          <w:szCs w:val="21"/>
        </w:rPr>
        <w:t>约定确定综合单价来确定该部分结算价。</w:t>
      </w:r>
    </w:p>
    <w:p w14:paraId="33ECC326">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2）索赔：按照第</w:t>
      </w:r>
      <w:r>
        <w:rPr>
          <w:rFonts w:hint="eastAsia" w:ascii="宋体" w:hAnsi="宋体" w:eastAsia="宋体" w:cs="Times New Roman"/>
          <w:sz w:val="21"/>
          <w:szCs w:val="21"/>
          <w:u w:val="single"/>
        </w:rPr>
        <w:t>10.4.1.3〔变更估价原则〕</w:t>
      </w:r>
      <w:r>
        <w:rPr>
          <w:rFonts w:hint="eastAsia" w:ascii="宋体" w:hAnsi="宋体" w:eastAsia="宋体" w:cs="Times New Roman"/>
          <w:sz w:val="21"/>
          <w:szCs w:val="21"/>
        </w:rPr>
        <w:t>和第14.2.1项〔竣工结算办法〕约定执行。</w:t>
      </w:r>
    </w:p>
    <w:p w14:paraId="3794655A">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3）现场签证：按照第</w:t>
      </w:r>
      <w:r>
        <w:rPr>
          <w:rFonts w:hint="eastAsia" w:ascii="宋体" w:hAnsi="宋体" w:eastAsia="宋体" w:cs="Times New Roman"/>
          <w:sz w:val="21"/>
          <w:szCs w:val="21"/>
          <w:u w:val="single"/>
        </w:rPr>
        <w:t>10.4.1.3〔变更估价原则〕</w:t>
      </w:r>
      <w:r>
        <w:rPr>
          <w:rFonts w:hint="eastAsia" w:ascii="宋体" w:hAnsi="宋体" w:eastAsia="宋体" w:cs="Times New Roman"/>
          <w:sz w:val="21"/>
          <w:szCs w:val="21"/>
        </w:rPr>
        <w:t>和第14.2.1项〔竣工结算办法〕约定执行。</w:t>
      </w:r>
    </w:p>
    <w:p w14:paraId="51349671">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（6）奖励、罚金、违约金及其他费用：</w:t>
      </w:r>
      <w:r>
        <w:rPr>
          <w:rFonts w:hint="eastAsia" w:ascii="宋体" w:hAnsi="宋体" w:eastAsia="宋体" w:cs="Times New Roman"/>
          <w:sz w:val="21"/>
          <w:szCs w:val="21"/>
          <w:u w:val="single"/>
        </w:rPr>
        <w:t>按实进行结算</w:t>
      </w:r>
      <w:r>
        <w:rPr>
          <w:rFonts w:hint="eastAsia" w:ascii="宋体" w:hAnsi="宋体" w:eastAsia="宋体" w:cs="Times New Roman"/>
          <w:sz w:val="21"/>
          <w:szCs w:val="21"/>
        </w:rPr>
        <w:t>。</w:t>
      </w:r>
    </w:p>
    <w:p w14:paraId="018C4D5F">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（7）规费：已标价工程量清单中规费费用按</w:t>
      </w:r>
      <w:r>
        <w:rPr>
          <w:rFonts w:hint="eastAsia" w:ascii="宋体" w:hAnsi="宋体" w:eastAsia="宋体" w:cs="Times New Roman"/>
          <w:sz w:val="21"/>
          <w:szCs w:val="21"/>
          <w:u w:val="single"/>
        </w:rPr>
        <w:t>《重庆市建设工程费用定额》（CQFYDE-2018）</w:t>
      </w:r>
      <w:r>
        <w:rPr>
          <w:rFonts w:hint="eastAsia" w:ascii="宋体" w:hAnsi="宋体" w:eastAsia="宋体" w:cs="Times New Roman"/>
          <w:sz w:val="21"/>
          <w:szCs w:val="21"/>
        </w:rPr>
        <w:t>执行。</w:t>
      </w:r>
    </w:p>
    <w:p w14:paraId="3EFF3814">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（8）税金：包含增值税、城市维护建设税、教育费附加、地方教育附加以及环境保护税。其中增值税按</w:t>
      </w:r>
      <w:r>
        <w:rPr>
          <w:rFonts w:hint="eastAsia" w:ascii="宋体" w:hAnsi="宋体" w:eastAsia="宋体" w:cs="Times New Roman"/>
          <w:sz w:val="21"/>
          <w:szCs w:val="21"/>
          <w:u w:val="single"/>
        </w:rPr>
        <w:t>《重庆市建设工程费用定额》（CQFYDE-2018）、《重庆市城乡建设委员会关于适用增值税新税率调整建设工程计价依据的通知》（渝建〔2019〕143号）</w:t>
      </w:r>
      <w:r>
        <w:rPr>
          <w:rFonts w:hint="eastAsia" w:ascii="宋体" w:hAnsi="宋体" w:eastAsia="宋体" w:cs="Times New Roman"/>
          <w:sz w:val="21"/>
          <w:szCs w:val="21"/>
        </w:rPr>
        <w:t>规定执行，环境保护税按实结算。</w:t>
      </w:r>
    </w:p>
    <w:p w14:paraId="0F7599D8">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14.2.1.3竣工结算价</w:t>
      </w:r>
    </w:p>
    <w:p w14:paraId="23D61858">
      <w:pPr>
        <w:spacing w:line="400" w:lineRule="exact"/>
        <w:jc w:val="left"/>
        <w:rPr>
          <w:rFonts w:ascii="宋体" w:hAnsi="宋体" w:eastAsia="宋体" w:cs="Times New Roman"/>
          <w:sz w:val="21"/>
          <w:szCs w:val="21"/>
        </w:rPr>
      </w:pPr>
      <w:bookmarkStart w:id="1619" w:name="_Hlk528660512"/>
      <w:bookmarkEnd w:id="1619"/>
      <w:r>
        <w:rPr>
          <w:rFonts w:hint="eastAsia" w:ascii="宋体" w:hAnsi="宋体" w:eastAsia="宋体" w:cs="Times New Roman"/>
          <w:sz w:val="21"/>
          <w:szCs w:val="21"/>
        </w:rPr>
        <w:t>工程竣工验收合格、移交完整的工程竣工资料后，报区审计局审计或区财政局审核；（</w:t>
      </w:r>
      <w:r>
        <w:rPr>
          <w:rFonts w:hint="eastAsia" w:ascii="宋体" w:hAnsi="宋体" w:eastAsia="宋体" w:cs="Times New Roman"/>
          <w:b/>
          <w:bCs/>
          <w:sz w:val="21"/>
          <w:szCs w:val="21"/>
        </w:rPr>
        <w:t>注：施工单位提供的工程结算价款，审减率超过5%以上的，超过部分的审减效益费用由施工单位承担，并由建设单位从工程结算价中扣除。</w:t>
      </w:r>
      <w:r>
        <w:rPr>
          <w:rFonts w:hint="eastAsia" w:ascii="宋体" w:hAnsi="宋体" w:eastAsia="宋体" w:cs="Times New Roman"/>
          <w:sz w:val="21"/>
          <w:szCs w:val="21"/>
        </w:rPr>
        <w:t>）</w:t>
      </w:r>
    </w:p>
    <w:p w14:paraId="0F5213C3">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14.2.2 竣工结算审核期限</w:t>
      </w:r>
    </w:p>
    <w:p w14:paraId="04B24002">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监理人审核竣工付款申请单的期限：</w:t>
      </w:r>
      <w:r>
        <w:rPr>
          <w:rFonts w:hint="eastAsia" w:ascii="宋体" w:hAnsi="宋体" w:eastAsia="宋体" w:cs="Times New Roman"/>
          <w:sz w:val="21"/>
          <w:szCs w:val="21"/>
          <w:u w:val="single"/>
        </w:rPr>
        <w:t>不超过28日</w:t>
      </w:r>
      <w:r>
        <w:rPr>
          <w:rFonts w:hint="eastAsia" w:ascii="宋体" w:hAnsi="宋体" w:eastAsia="宋体" w:cs="Times New Roman"/>
          <w:sz w:val="21"/>
          <w:szCs w:val="21"/>
        </w:rPr>
        <w:t>。</w:t>
      </w:r>
    </w:p>
    <w:p w14:paraId="10533D00">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发包人审核竣工付款申请单的期限：</w:t>
      </w:r>
      <w:r>
        <w:rPr>
          <w:rFonts w:hint="eastAsia" w:ascii="宋体" w:hAnsi="宋体" w:eastAsia="宋体" w:cs="Times New Roman"/>
          <w:sz w:val="21"/>
          <w:szCs w:val="21"/>
          <w:u w:val="single"/>
        </w:rPr>
        <w:t>不超过28日</w:t>
      </w:r>
      <w:r>
        <w:rPr>
          <w:rFonts w:hint="eastAsia" w:ascii="宋体" w:hAnsi="宋体" w:eastAsia="宋体" w:cs="Times New Roman"/>
          <w:sz w:val="21"/>
          <w:szCs w:val="21"/>
        </w:rPr>
        <w:t>。</w:t>
      </w:r>
    </w:p>
    <w:p w14:paraId="0B5FB90B">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发包人完成竣工付款的期限：</w:t>
      </w:r>
      <w:r>
        <w:rPr>
          <w:rFonts w:hint="eastAsia" w:ascii="宋体" w:hAnsi="宋体" w:eastAsia="宋体" w:cs="Times New Roman"/>
          <w:sz w:val="21"/>
          <w:szCs w:val="21"/>
          <w:u w:val="single"/>
        </w:rPr>
        <w:t>完成竣工付款申请单审核后28天内</w:t>
      </w:r>
      <w:r>
        <w:rPr>
          <w:rFonts w:hint="eastAsia" w:ascii="宋体" w:hAnsi="宋体" w:eastAsia="宋体" w:cs="Times New Roman"/>
          <w:sz w:val="21"/>
          <w:szCs w:val="21"/>
        </w:rPr>
        <w:t>。</w:t>
      </w:r>
    </w:p>
    <w:p w14:paraId="1A3DD6EA">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关于竣工付款证书异议部分复核的方式和程序： 按照第20条〔争议解决〕约定处理。</w:t>
      </w:r>
    </w:p>
    <w:p w14:paraId="49D7ADD6">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14.4 最终结清</w:t>
      </w:r>
    </w:p>
    <w:p w14:paraId="227B4E33">
      <w:pPr>
        <w:spacing w:line="360" w:lineRule="auto"/>
        <w:ind w:right="140" w:rightChars="50"/>
        <w:jc w:val="left"/>
        <w:rPr>
          <w:rFonts w:ascii="宋体" w:hAnsi="宋体" w:eastAsia="宋体" w:cs="Times New Roman"/>
          <w:sz w:val="21"/>
          <w:szCs w:val="21"/>
        </w:rPr>
      </w:pPr>
      <w:bookmarkStart w:id="1620" w:name="_Toc351203647"/>
      <w:bookmarkEnd w:id="1620"/>
      <w:bookmarkStart w:id="1621" w:name="_Toc267251483"/>
      <w:bookmarkEnd w:id="1621"/>
      <w:bookmarkStart w:id="1622" w:name="_Toc280868718"/>
      <w:bookmarkEnd w:id="1622"/>
      <w:bookmarkStart w:id="1623" w:name="_Toc280868717"/>
      <w:bookmarkEnd w:id="1623"/>
      <w:bookmarkStart w:id="1624" w:name="_Toc532375661"/>
      <w:bookmarkEnd w:id="1624"/>
      <w:bookmarkStart w:id="1625" w:name="_Toc532377398"/>
      <w:bookmarkEnd w:id="1625"/>
      <w:r>
        <w:rPr>
          <w:rFonts w:hint="eastAsia" w:ascii="宋体" w:hAnsi="宋体" w:eastAsia="宋体" w:cs="Times New Roman"/>
          <w:sz w:val="21"/>
          <w:szCs w:val="21"/>
        </w:rPr>
        <w:t>14.4.1 最终结清申请单</w:t>
      </w:r>
    </w:p>
    <w:p w14:paraId="0CF97F26">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承包人提交最终结清申请单的份数：</w:t>
      </w:r>
      <w:r>
        <w:rPr>
          <w:rFonts w:hint="eastAsia" w:ascii="宋体" w:hAnsi="宋体" w:eastAsia="宋体" w:cs="Times New Roman"/>
          <w:sz w:val="21"/>
          <w:szCs w:val="21"/>
          <w:u w:val="single"/>
        </w:rPr>
        <w:t>5份</w:t>
      </w:r>
      <w:r>
        <w:rPr>
          <w:rFonts w:hint="eastAsia" w:ascii="宋体" w:hAnsi="宋体" w:eastAsia="宋体" w:cs="Times New Roman"/>
          <w:sz w:val="21"/>
          <w:szCs w:val="21"/>
        </w:rPr>
        <w:t>。</w:t>
      </w:r>
    </w:p>
    <w:p w14:paraId="37AC9F1F">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承包人提交最终结算申请单的期限：</w:t>
      </w:r>
      <w:r>
        <w:rPr>
          <w:rFonts w:hint="eastAsia" w:ascii="宋体" w:hAnsi="宋体" w:eastAsia="宋体" w:cs="Times New Roman"/>
          <w:sz w:val="21"/>
          <w:szCs w:val="21"/>
          <w:u w:val="single"/>
        </w:rPr>
        <w:t>缺陷责任期终止证书颁发后14天内</w:t>
      </w:r>
      <w:r>
        <w:rPr>
          <w:rFonts w:hint="eastAsia" w:ascii="宋体" w:hAnsi="宋体" w:eastAsia="宋体" w:cs="Times New Roman"/>
          <w:sz w:val="21"/>
          <w:szCs w:val="21"/>
        </w:rPr>
        <w:t>。</w:t>
      </w:r>
    </w:p>
    <w:p w14:paraId="5546BC34">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14.4.2 最终结清证书和支付</w:t>
      </w:r>
    </w:p>
    <w:p w14:paraId="24B189FD">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（1）发包人完成最终结清申请单的审批并颁发最终结清证书的期限：</w:t>
      </w:r>
      <w:r>
        <w:rPr>
          <w:rFonts w:hint="eastAsia" w:ascii="宋体" w:hAnsi="宋体" w:eastAsia="宋体" w:cs="Times New Roman"/>
          <w:sz w:val="21"/>
          <w:szCs w:val="21"/>
          <w:u w:val="single"/>
        </w:rPr>
        <w:t>发包人收到完整资料后14天内完成审批并颁发最终结清证书</w:t>
      </w:r>
      <w:r>
        <w:rPr>
          <w:rFonts w:hint="eastAsia" w:ascii="宋体" w:hAnsi="宋体" w:eastAsia="宋体" w:cs="Times New Roman"/>
          <w:sz w:val="21"/>
          <w:szCs w:val="21"/>
        </w:rPr>
        <w:t>。</w:t>
      </w:r>
    </w:p>
    <w:p w14:paraId="12DDDE08">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（2）发包人完成支付的期限：</w:t>
      </w:r>
      <w:r>
        <w:rPr>
          <w:rFonts w:hint="eastAsia" w:ascii="宋体" w:hAnsi="宋体" w:eastAsia="宋体" w:cs="Times New Roman"/>
          <w:sz w:val="21"/>
          <w:szCs w:val="21"/>
          <w:u w:val="single"/>
        </w:rPr>
        <w:t>颁发最终结清证书的14天内</w:t>
      </w:r>
      <w:r>
        <w:rPr>
          <w:rFonts w:hint="eastAsia" w:ascii="宋体" w:hAnsi="宋体" w:eastAsia="宋体" w:cs="Times New Roman"/>
          <w:sz w:val="21"/>
          <w:szCs w:val="21"/>
        </w:rPr>
        <w:t>。</w:t>
      </w:r>
    </w:p>
    <w:p w14:paraId="6C5404AD">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本条补充14.5款：</w:t>
      </w:r>
    </w:p>
    <w:p w14:paraId="1C6366F1">
      <w:pPr>
        <w:widowControl/>
        <w:spacing w:line="360" w:lineRule="auto"/>
        <w:jc w:val="left"/>
        <w:outlineLvl w:val="4"/>
        <w:rPr>
          <w:rFonts w:ascii="宋体" w:hAnsi="宋体" w:eastAsia="宋体" w:cs="宋体"/>
          <w:b/>
          <w:bCs/>
          <w:kern w:val="0"/>
          <w:sz w:val="21"/>
          <w:szCs w:val="21"/>
        </w:rPr>
      </w:pPr>
      <w:bookmarkStart w:id="1626" w:name="_Toc532375660"/>
      <w:bookmarkEnd w:id="1626"/>
      <w:bookmarkStart w:id="1627" w:name="_Toc532377397"/>
      <w:r>
        <w:rPr>
          <w:rFonts w:hint="eastAsia" w:ascii="宋体" w:hAnsi="宋体" w:eastAsia="宋体" w:cs="宋体"/>
          <w:b/>
          <w:bCs/>
          <w:kern w:val="0"/>
          <w:sz w:val="21"/>
          <w:szCs w:val="21"/>
        </w:rPr>
        <w:t>14.5 逾期办理或不配合办理竣工结算的处理</w:t>
      </w:r>
      <w:bookmarkEnd w:id="1627"/>
    </w:p>
    <w:p w14:paraId="4576EDE7">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有下列情形之一的，视为承包人放弃与发包人共同办理竣工结算的权利，发包人有权会同监理人根据有效资料共同确定竣工结算金额。</w:t>
      </w:r>
    </w:p>
    <w:p w14:paraId="5AC846F5">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（1）承包人逾期未报送竣工结算资料，亦未获得发包人批准延期报送，经发包人两</w:t>
      </w:r>
      <w:bookmarkStart w:id="1628" w:name="_Hlk529133622"/>
      <w:r>
        <w:rPr>
          <w:rFonts w:hint="eastAsia" w:ascii="宋体" w:hAnsi="宋体" w:eastAsia="宋体" w:cs="Times New Roman"/>
          <w:sz w:val="21"/>
          <w:szCs w:val="21"/>
        </w:rPr>
        <w:t>次书面催告仍未在限期内报送的</w:t>
      </w:r>
      <w:bookmarkEnd w:id="1628"/>
      <w:r>
        <w:rPr>
          <w:rFonts w:hint="eastAsia" w:ascii="宋体" w:hAnsi="宋体" w:eastAsia="宋体" w:cs="Times New Roman"/>
          <w:sz w:val="21"/>
          <w:szCs w:val="21"/>
        </w:rPr>
        <w:t>；</w:t>
      </w:r>
    </w:p>
    <w:p w14:paraId="5BA946AB">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018E8B88">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（3）承包人不配合发包人、监理人、发包人委托的工程造价咨询服务单位办理竣工结算的，经发包人两次书面函告仍未改正的。</w:t>
      </w:r>
    </w:p>
    <w:p w14:paraId="629833BF">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（4）</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7DB2F2B">
      <w:pPr>
        <w:spacing w:line="360" w:lineRule="auto"/>
        <w:ind w:right="140" w:rightChars="50"/>
        <w:jc w:val="left"/>
        <w:rPr>
          <w:rFonts w:ascii="宋体" w:hAnsi="宋体" w:eastAsia="宋体" w:cs="Times New Roman"/>
          <w:sz w:val="21"/>
          <w:szCs w:val="21"/>
          <w:u w:val="single"/>
        </w:rPr>
      </w:pPr>
      <w:r>
        <w:rPr>
          <w:rFonts w:hint="eastAsia" w:ascii="宋体" w:hAnsi="宋体" w:eastAsia="宋体" w:cs="Times New Roman"/>
          <w:sz w:val="21"/>
          <w:szCs w:val="21"/>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p>
    <w:p w14:paraId="090C4696">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15. 缺陷责任期与保修</w:t>
      </w:r>
    </w:p>
    <w:p w14:paraId="0AEE5B12">
      <w:pPr>
        <w:widowControl/>
        <w:spacing w:line="360" w:lineRule="auto"/>
        <w:jc w:val="left"/>
        <w:outlineLvl w:val="4"/>
        <w:rPr>
          <w:rFonts w:ascii="宋体" w:hAnsi="宋体" w:eastAsia="宋体" w:cs="宋体"/>
          <w:b/>
          <w:bCs/>
          <w:kern w:val="0"/>
          <w:sz w:val="21"/>
          <w:szCs w:val="21"/>
        </w:rPr>
      </w:pPr>
      <w:bookmarkStart w:id="1629" w:name="_Toc532377399"/>
      <w:bookmarkEnd w:id="1629"/>
      <w:bookmarkStart w:id="1630" w:name="_Toc532375662"/>
      <w:r>
        <w:rPr>
          <w:rFonts w:hint="eastAsia" w:ascii="宋体" w:hAnsi="宋体" w:eastAsia="宋体" w:cs="宋体"/>
          <w:b/>
          <w:bCs/>
          <w:kern w:val="0"/>
          <w:sz w:val="21"/>
          <w:szCs w:val="21"/>
        </w:rPr>
        <w:t>15.</w:t>
      </w:r>
      <w:bookmarkEnd w:id="1630"/>
      <w:r>
        <w:rPr>
          <w:rFonts w:hint="eastAsia" w:ascii="宋体" w:hAnsi="宋体" w:eastAsia="宋体" w:cs="宋体"/>
          <w:b/>
          <w:bCs/>
          <w:kern w:val="0"/>
          <w:sz w:val="21"/>
          <w:szCs w:val="21"/>
        </w:rPr>
        <w:t>2缺陷责任期</w:t>
      </w:r>
    </w:p>
    <w:p w14:paraId="3F11E3F4">
      <w:pPr>
        <w:widowControl/>
        <w:spacing w:line="360" w:lineRule="auto"/>
        <w:jc w:val="left"/>
        <w:outlineLvl w:val="4"/>
        <w:rPr>
          <w:rFonts w:ascii="宋体" w:hAnsi="宋体" w:eastAsia="宋体" w:cs="宋体"/>
          <w:kern w:val="0"/>
          <w:sz w:val="21"/>
          <w:szCs w:val="21"/>
        </w:rPr>
      </w:pPr>
      <w:r>
        <w:rPr>
          <w:rFonts w:hint="eastAsia" w:ascii="宋体" w:hAnsi="宋体" w:eastAsia="宋体" w:cs="宋体"/>
          <w:kern w:val="0"/>
          <w:sz w:val="21"/>
          <w:szCs w:val="21"/>
        </w:rPr>
        <w:t>缺陷责任期的具体期限</w:t>
      </w:r>
      <w:r>
        <w:rPr>
          <w:rFonts w:hint="eastAsia" w:ascii="宋体" w:hAnsi="宋体" w:eastAsia="宋体" w:cs="宋体"/>
          <w:b/>
          <w:bCs/>
          <w:kern w:val="0"/>
          <w:sz w:val="21"/>
          <w:szCs w:val="21"/>
        </w:rPr>
        <w:t>：</w:t>
      </w:r>
      <w:r>
        <w:rPr>
          <w:rFonts w:hint="eastAsia" w:ascii="宋体" w:hAnsi="宋体" w:eastAsia="宋体" w:cs="宋体"/>
          <w:kern w:val="0"/>
          <w:sz w:val="21"/>
          <w:szCs w:val="21"/>
          <w:u w:val="single"/>
        </w:rPr>
        <w:t xml:space="preserve">  </w:t>
      </w:r>
      <w:r>
        <w:rPr>
          <w:rFonts w:hint="eastAsia" w:ascii="宋体" w:hAnsi="宋体" w:eastAsia="宋体" w:cs="宋体"/>
          <w:b/>
          <w:bCs/>
          <w:kern w:val="0"/>
          <w:sz w:val="21"/>
          <w:szCs w:val="21"/>
          <w:u w:val="single"/>
        </w:rPr>
        <w:t xml:space="preserve"> 按附件3质量保修书执行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14:paraId="4CBB32FD">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15.3 质量保证金</w:t>
      </w:r>
    </w:p>
    <w:p w14:paraId="1563915D">
      <w:pPr>
        <w:spacing w:line="360" w:lineRule="auto"/>
        <w:ind w:right="140" w:rightChars="50"/>
        <w:jc w:val="left"/>
        <w:rPr>
          <w:rFonts w:ascii="宋体" w:hAnsi="宋体" w:eastAsia="宋体" w:cs="Times New Roman"/>
          <w:sz w:val="21"/>
          <w:szCs w:val="21"/>
        </w:rPr>
      </w:pPr>
      <w:bookmarkStart w:id="1631" w:name="_Toc532375663"/>
      <w:bookmarkEnd w:id="1631"/>
      <w:bookmarkStart w:id="1632" w:name="_Toc532377400"/>
      <w:r>
        <w:rPr>
          <w:rFonts w:hint="eastAsia" w:ascii="宋体" w:hAnsi="宋体" w:eastAsia="宋体" w:cs="Times New Roman"/>
          <w:sz w:val="21"/>
          <w:szCs w:val="21"/>
        </w:rPr>
        <w:t>15.3.1 承包人提供质量保证金的方式</w:t>
      </w:r>
      <w:bookmarkEnd w:id="1632"/>
    </w:p>
    <w:p w14:paraId="292E29E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关于是否扣留质量保证金的约定：</w:t>
      </w:r>
      <w:r>
        <w:rPr>
          <w:rFonts w:hint="eastAsia" w:ascii="宋体" w:hAnsi="宋体" w:eastAsia="宋体" w:cs="Times New Roman"/>
          <w:sz w:val="21"/>
          <w:szCs w:val="21"/>
          <w:u w:val="single"/>
        </w:rPr>
        <w:t xml:space="preserve">      扣留      </w:t>
      </w:r>
      <w:r>
        <w:rPr>
          <w:rFonts w:hint="eastAsia" w:ascii="宋体" w:hAnsi="宋体" w:eastAsia="宋体" w:cs="Times New Roman"/>
          <w:sz w:val="21"/>
          <w:szCs w:val="21"/>
        </w:rPr>
        <w:t>。</w:t>
      </w:r>
    </w:p>
    <w:p w14:paraId="22B1552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在工程项目竣工前，承包人按专用合同条款第3.7条提供履约担保的，发包人不得同时预留工程质量保证金。</w:t>
      </w:r>
    </w:p>
    <w:p w14:paraId="4B473BB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15.3.1 承包人提供质量保证金的方式</w:t>
      </w:r>
    </w:p>
    <w:p w14:paraId="2E97597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质量保证金采用以下第</w:t>
      </w:r>
      <w:r>
        <w:rPr>
          <w:rFonts w:hint="eastAsia" w:ascii="宋体" w:hAnsi="宋体" w:eastAsia="宋体" w:cs="Times New Roman"/>
          <w:sz w:val="21"/>
          <w:szCs w:val="21"/>
          <w:u w:val="single"/>
        </w:rPr>
        <w:t xml:space="preserve">   （2）  </w:t>
      </w:r>
      <w:r>
        <w:rPr>
          <w:rFonts w:hint="eastAsia" w:ascii="宋体" w:hAnsi="宋体" w:eastAsia="宋体" w:cs="Times New Roman"/>
          <w:sz w:val="21"/>
          <w:szCs w:val="21"/>
        </w:rPr>
        <w:t>种方式：</w:t>
      </w:r>
    </w:p>
    <w:p w14:paraId="3A2BF91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（1）质量保证金保函，保证金额为：</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w:t>
      </w:r>
    </w:p>
    <w:p w14:paraId="7BF8B55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w:t>
      </w:r>
      <w:r>
        <w:rPr>
          <w:rFonts w:hint="eastAsia" w:ascii="宋体" w:hAnsi="宋体" w:eastAsia="宋体" w:cs="Times New Roman"/>
          <w:sz w:val="21"/>
          <w:szCs w:val="21"/>
          <w:u w:val="single"/>
        </w:rPr>
        <w:t xml:space="preserve">    3    </w:t>
      </w:r>
      <w:r>
        <w:rPr>
          <w:rFonts w:hint="eastAsia" w:ascii="宋体" w:hAnsi="宋体" w:eastAsia="宋体" w:cs="Times New Roman"/>
          <w:sz w:val="21"/>
          <w:szCs w:val="21"/>
        </w:rPr>
        <w:t>%的工程款；</w:t>
      </w:r>
    </w:p>
    <w:p w14:paraId="20B5413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（3）其他方式：</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F08D51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15.3.2 质量保证金的扣留</w:t>
      </w:r>
    </w:p>
    <w:p w14:paraId="3571C6D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质量保证金的扣留采取以下第</w:t>
      </w:r>
      <w:r>
        <w:rPr>
          <w:rFonts w:hint="eastAsia" w:ascii="宋体" w:hAnsi="宋体" w:eastAsia="宋体" w:cs="Times New Roman"/>
          <w:sz w:val="21"/>
          <w:szCs w:val="21"/>
          <w:u w:val="single"/>
        </w:rPr>
        <w:t xml:space="preserve"> （2） </w:t>
      </w:r>
      <w:r>
        <w:rPr>
          <w:rFonts w:hint="eastAsia" w:ascii="宋体" w:hAnsi="宋体" w:eastAsia="宋体" w:cs="Times New Roman"/>
          <w:sz w:val="21"/>
          <w:szCs w:val="21"/>
        </w:rPr>
        <w:t>种方式：</w:t>
      </w:r>
    </w:p>
    <w:p w14:paraId="2EB4458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（1）在支付工程进度款时逐次扣留，在此情形下，质量保证金的计算基数不包括预付款的支付、扣回以及价格调整的金额；</w:t>
      </w:r>
    </w:p>
    <w:p w14:paraId="3CA48D8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（2）工程竣工结算时一次性扣留质量保证金；</w:t>
      </w:r>
    </w:p>
    <w:p w14:paraId="5E69A32D">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注:约定的缺陷责任期满，且质里监督机构已按规定对工程质里检测鉴定合格，承包人向发包人电请到期应返还承包人剩余的质里保证金金额，发包人应在14天内会同承包人按照合同约定的内容核实承包人是否完成缺陷责任。如无异议，发包人应当在核实后将质里保证金无息返还承包人。</w:t>
      </w:r>
    </w:p>
    <w:p w14:paraId="43C6BD7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关于质量保证金的补充约定：</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16FD07E3">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15.4 保修</w:t>
      </w:r>
    </w:p>
    <w:p w14:paraId="421F12DE">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15.4.1 保修责任</w:t>
      </w:r>
    </w:p>
    <w:p w14:paraId="6A4585E6">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工程保修期为：</w:t>
      </w:r>
      <w:bookmarkStart w:id="1633" w:name="_Hlk524381274"/>
      <w:bookmarkEnd w:id="1633"/>
      <w:r>
        <w:rPr>
          <w:rFonts w:hint="eastAsia" w:ascii="宋体" w:hAnsi="宋体" w:eastAsia="宋体" w:cs="Times New Roman"/>
          <w:sz w:val="21"/>
          <w:szCs w:val="21"/>
          <w:u w:val="single"/>
        </w:rPr>
        <w:t xml:space="preserve">按附件3质量保修书执行   </w:t>
      </w:r>
      <w:r>
        <w:rPr>
          <w:rFonts w:hint="eastAsia" w:ascii="宋体" w:hAnsi="宋体" w:eastAsia="宋体" w:cs="Times New Roman"/>
          <w:sz w:val="21"/>
          <w:szCs w:val="21"/>
        </w:rPr>
        <w:t>。</w:t>
      </w:r>
    </w:p>
    <w:p w14:paraId="015E9215">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15.4.3 修复通知</w:t>
      </w:r>
    </w:p>
    <w:p w14:paraId="503310A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承包人收到保修通知并到达工程现场的合理时间：</w:t>
      </w:r>
      <w:r>
        <w:rPr>
          <w:rFonts w:hint="eastAsia" w:ascii="宋体" w:hAnsi="宋体" w:eastAsia="宋体" w:cs="Times New Roman"/>
          <w:sz w:val="21"/>
          <w:szCs w:val="21"/>
          <w:u w:val="single"/>
        </w:rPr>
        <w:t xml:space="preserve">  24小时内 </w:t>
      </w:r>
      <w:r>
        <w:rPr>
          <w:rFonts w:hint="eastAsia" w:ascii="宋体" w:hAnsi="宋体" w:eastAsia="宋体" w:cs="Times New Roman"/>
          <w:sz w:val="21"/>
          <w:szCs w:val="21"/>
        </w:rPr>
        <w:t>。</w:t>
      </w:r>
    </w:p>
    <w:p w14:paraId="595757C1">
      <w:pPr>
        <w:keepNext/>
        <w:keepLines/>
        <w:spacing w:line="360" w:lineRule="auto"/>
        <w:outlineLvl w:val="3"/>
        <w:rPr>
          <w:rFonts w:ascii="宋体" w:hAnsi="宋体" w:eastAsia="宋体" w:cs="宋体"/>
          <w:b/>
          <w:sz w:val="21"/>
          <w:szCs w:val="21"/>
        </w:rPr>
      </w:pPr>
      <w:bookmarkStart w:id="1634" w:name="_Toc532377401"/>
      <w:bookmarkEnd w:id="1634"/>
      <w:bookmarkStart w:id="1635" w:name="_Toc532375664"/>
      <w:bookmarkEnd w:id="1635"/>
      <w:bookmarkStart w:id="1636" w:name="_Toc351203648"/>
      <w:r>
        <w:rPr>
          <w:rFonts w:hint="eastAsia" w:ascii="宋体" w:hAnsi="宋体" w:eastAsia="宋体" w:cs="宋体"/>
          <w:b/>
          <w:bCs/>
          <w:sz w:val="21"/>
          <w:szCs w:val="21"/>
        </w:rPr>
        <w:t>16. 违约</w:t>
      </w:r>
      <w:bookmarkEnd w:id="1636"/>
    </w:p>
    <w:p w14:paraId="2237673B">
      <w:pPr>
        <w:widowControl/>
        <w:spacing w:line="400" w:lineRule="exact"/>
        <w:jc w:val="left"/>
        <w:outlineLvl w:val="4"/>
        <w:rPr>
          <w:rFonts w:ascii="宋体" w:hAnsi="宋体" w:eastAsia="宋体" w:cs="宋体"/>
          <w:b/>
          <w:bCs/>
          <w:kern w:val="0"/>
          <w:sz w:val="21"/>
          <w:szCs w:val="21"/>
        </w:rPr>
      </w:pPr>
      <w:bookmarkStart w:id="1637" w:name="_Toc532377403"/>
      <w:bookmarkEnd w:id="1637"/>
      <w:r>
        <w:rPr>
          <w:rFonts w:hint="eastAsia" w:ascii="宋体" w:hAnsi="宋体" w:eastAsia="宋体" w:cs="宋体"/>
          <w:b/>
          <w:bCs/>
          <w:kern w:val="0"/>
          <w:sz w:val="21"/>
          <w:szCs w:val="21"/>
        </w:rPr>
        <w:t>16.1 发包人违约</w:t>
      </w:r>
    </w:p>
    <w:p w14:paraId="3B2AAEDC">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16.1.1发包人违约的情形</w:t>
      </w:r>
    </w:p>
    <w:p w14:paraId="3585967D">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（1）因发包人原因导致工期延误的；</w:t>
      </w:r>
    </w:p>
    <w:p w14:paraId="3145526F">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（2）因发包人原因未能及时办理完毕合同约定的许可、批准或备案的；</w:t>
      </w:r>
    </w:p>
    <w:p w14:paraId="6C1B389E">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（3）因监理人未能按合同约定发出指示、指示延误或发出了错误指示而导致承包人工期延误的；</w:t>
      </w:r>
    </w:p>
    <w:p w14:paraId="1997AFDE">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（4）发包人或监理人要求重新检查的，经检查证明工程质量符合合同要求的，并由此产生延误的工期的；</w:t>
      </w:r>
    </w:p>
    <w:p w14:paraId="50C9E489">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（5）因发包人原因造成工程质量未达到合同约定标准的；</w:t>
      </w:r>
    </w:p>
    <w:p w14:paraId="395C0F7C">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（6）由于发包人原因对承包人造成的人员人身伤亡和财产损失的；</w:t>
      </w:r>
    </w:p>
    <w:p w14:paraId="74A4B324">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（7）因发包人原因导致工程无法按期办理竣工验收或竣工结算的；</w:t>
      </w:r>
    </w:p>
    <w:p w14:paraId="3B8C3A89">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（8）发包人无正当理由未按约定退还履约担保、低价风险担保、预付款担保或质量保证金的；</w:t>
      </w:r>
    </w:p>
    <w:p w14:paraId="08158982">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（9）发包人不当提取履约担保、低价风险担保或质量保证金的；</w:t>
      </w:r>
    </w:p>
    <w:p w14:paraId="427CEC2E">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（10）发包人未按合同约定接收全部或部分工作的；</w:t>
      </w:r>
    </w:p>
    <w:p w14:paraId="1E74267D">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（11）发包人未按合同约定办理保险的；</w:t>
      </w:r>
    </w:p>
    <w:p w14:paraId="7FBD1972">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16.1.2发包人违约的责任</w:t>
      </w:r>
    </w:p>
    <w:p w14:paraId="4D20A6C7">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（1）因发包人原因未能及时办理完毕前述许可、批准或备案的违约责任：由发包人承担工期顺延责任。</w:t>
      </w:r>
    </w:p>
    <w:p w14:paraId="04C5D3BF">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（2）因发包人原因导致工期延误的违约责任：由发包人承担工期顺延责任。</w:t>
      </w:r>
    </w:p>
    <w:p w14:paraId="2F19B5FA">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（3）发包人或监理人要求重新检查的，经检查证明工程质量符合合同要求的，由发包人承担由此顺延工期。</w:t>
      </w:r>
    </w:p>
    <w:p w14:paraId="4613FB79">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（4）发包人违反合同约定，自行实施或转由他人实施被取消的合同工作内容的违约责任；</w:t>
      </w:r>
    </w:p>
    <w:p w14:paraId="708C1421">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5）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顺延工期。</w:t>
      </w:r>
    </w:p>
    <w:p w14:paraId="2BF56A3C">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（6）因发包人原因造成工程质量未达到合同约定标准的，由发包人承担由此延误的工期。</w:t>
      </w:r>
    </w:p>
    <w:p w14:paraId="27E522F8">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（7）因发包人违反合同约定造成暂停施工的违约责任：由发包人承担由此顺延工期。</w:t>
      </w:r>
    </w:p>
    <w:p w14:paraId="6E0A13C2">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（8）发包人无正当理由没有在约定期限内发出复工指示，导致承包人无法复工的违约责任：由发包人承担由此顺延工期。</w:t>
      </w:r>
    </w:p>
    <w:p w14:paraId="3078A127">
      <w:pPr>
        <w:spacing w:line="400" w:lineRule="exact"/>
        <w:jc w:val="left"/>
        <w:rPr>
          <w:rFonts w:ascii="宋体" w:hAnsi="宋体" w:eastAsia="宋体" w:cs="Times New Roman"/>
          <w:kern w:val="0"/>
          <w:sz w:val="21"/>
          <w:szCs w:val="21"/>
          <w:u w:val="single"/>
        </w:rPr>
      </w:pPr>
      <w:r>
        <w:rPr>
          <w:rFonts w:hint="eastAsia" w:ascii="宋体" w:hAnsi="宋体" w:eastAsia="宋体" w:cs="Times New Roman"/>
          <w:kern w:val="0"/>
          <w:sz w:val="21"/>
          <w:szCs w:val="21"/>
        </w:rPr>
        <w:t>（9）因发包人原因导致工程无法按期办理竣工验收或竣工结算的违约责任：由发包人承担由此顺延工期。</w:t>
      </w:r>
    </w:p>
    <w:p w14:paraId="517B7EA8">
      <w:pPr>
        <w:spacing w:line="400" w:lineRule="exact"/>
        <w:jc w:val="left"/>
        <w:rPr>
          <w:rFonts w:ascii="宋体" w:hAnsi="宋体" w:eastAsia="宋体" w:cs="Times New Roman"/>
          <w:kern w:val="0"/>
          <w:sz w:val="21"/>
          <w:szCs w:val="21"/>
          <w:u w:val="single"/>
        </w:rPr>
      </w:pPr>
      <w:r>
        <w:rPr>
          <w:rFonts w:hint="eastAsia" w:ascii="宋体" w:hAnsi="宋体" w:eastAsia="宋体" w:cs="Times New Roman"/>
          <w:sz w:val="21"/>
          <w:szCs w:val="21"/>
        </w:rPr>
        <w:t>（10）</w:t>
      </w:r>
      <w:r>
        <w:rPr>
          <w:rFonts w:hint="eastAsia" w:ascii="宋体" w:hAnsi="宋体" w:eastAsia="宋体" w:cs="Times New Roman"/>
          <w:kern w:val="0"/>
          <w:sz w:val="21"/>
          <w:szCs w:val="21"/>
        </w:rPr>
        <w:t>发包人不得以无正当理由不按约定退还履约担保、低价风险担保、预付款担保或质量保证金。</w:t>
      </w:r>
    </w:p>
    <w:p w14:paraId="63FB9E3C">
      <w:pPr>
        <w:spacing w:before="100" w:beforeAutospacing="1" w:line="400" w:lineRule="exact"/>
        <w:rPr>
          <w:rFonts w:ascii="宋体" w:hAnsi="宋体" w:eastAsia="宋体" w:cs="Times New Roman"/>
          <w:sz w:val="21"/>
          <w:szCs w:val="21"/>
        </w:rPr>
      </w:pPr>
      <w:r>
        <w:rPr>
          <w:rFonts w:hint="eastAsia" w:ascii="宋体" w:hAnsi="宋体" w:eastAsia="宋体" w:cs="Times New Roman"/>
          <w:kern w:val="0"/>
          <w:sz w:val="21"/>
          <w:szCs w:val="21"/>
        </w:rPr>
        <w:t>（11）</w:t>
      </w:r>
      <w:r>
        <w:rPr>
          <w:rFonts w:hint="eastAsia" w:ascii="宋体" w:hAnsi="宋体" w:eastAsia="宋体" w:cs="Times New Roman"/>
          <w:sz w:val="21"/>
          <w:szCs w:val="21"/>
        </w:rPr>
        <w:t>发包人不当提取履约担保、低价风险担保、预付款担保或质量保证金的，应及时予以退还。</w:t>
      </w:r>
      <w:r>
        <w:rPr>
          <w:rFonts w:hint="eastAsia" w:ascii="宋体" w:hAnsi="宋体" w:eastAsia="宋体" w:cs="Times New Roman"/>
          <w:kern w:val="0"/>
          <w:sz w:val="21"/>
          <w:szCs w:val="21"/>
        </w:rPr>
        <w:t>（12）发包人未按合同约定接收全部或部分工作的违约责任：由发包人承担自应当接收工程之日起的工程照管、成品保护、保管等与工程有关的各项费用。</w:t>
      </w:r>
    </w:p>
    <w:p w14:paraId="64F46BB5">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（13）由于发包人原因对承包人造成的人员人身伤亡和财产损失的，由发包人负责赔偿，并承担由此延误的工期。</w:t>
      </w:r>
    </w:p>
    <w:p w14:paraId="188BF925">
      <w:pPr>
        <w:spacing w:line="400" w:lineRule="exact"/>
        <w:jc w:val="left"/>
        <w:rPr>
          <w:rFonts w:ascii="Times New Roman" w:hAnsi="Times New Roman" w:eastAsia="宋体" w:cs="Times New Roman"/>
          <w:sz w:val="21"/>
          <w:szCs w:val="21"/>
        </w:rPr>
      </w:pPr>
      <w:r>
        <w:rPr>
          <w:rFonts w:hint="eastAsia" w:ascii="宋体" w:hAnsi="宋体" w:eastAsia="宋体" w:cs="Times New Roman"/>
          <w:kern w:val="0"/>
          <w:sz w:val="21"/>
          <w:szCs w:val="21"/>
        </w:rPr>
        <w:t xml:space="preserve">（14）其他： </w:t>
      </w:r>
      <w:r>
        <w:rPr>
          <w:rFonts w:hint="eastAsia" w:ascii="宋体" w:hAnsi="宋体" w:eastAsia="宋体" w:cs="Times New Roman"/>
          <w:kern w:val="0"/>
          <w:sz w:val="21"/>
          <w:szCs w:val="21"/>
          <w:u w:val="single"/>
        </w:rPr>
        <w:t xml:space="preserve">      /      </w:t>
      </w:r>
      <w:r>
        <w:rPr>
          <w:rFonts w:hint="eastAsia" w:ascii="宋体" w:hAnsi="宋体" w:eastAsia="宋体" w:cs="Times New Roman"/>
          <w:kern w:val="0"/>
          <w:sz w:val="21"/>
          <w:szCs w:val="21"/>
        </w:rPr>
        <w:t>。</w:t>
      </w:r>
    </w:p>
    <w:p w14:paraId="088FE718">
      <w:pPr>
        <w:autoSpaceDE w:val="0"/>
        <w:autoSpaceDN w:val="0"/>
        <w:adjustRightIn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16.1.3因发包人违约并致使合同目的不能实现的，承包人有权解除合同：</w:t>
      </w:r>
    </w:p>
    <w:p w14:paraId="1A63B06B">
      <w:pPr>
        <w:autoSpaceDE w:val="0"/>
        <w:autoSpaceDN w:val="0"/>
        <w:adjustRightIn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（1）因发包人原因延迟支付合同价款超过180天的；</w:t>
      </w:r>
    </w:p>
    <w:p w14:paraId="3D02F1EF">
      <w:pPr>
        <w:autoSpaceDE w:val="0"/>
        <w:autoSpaceDN w:val="0"/>
        <w:adjustRightIn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（2）因发包人原因导致工期延误超过90天的；</w:t>
      </w:r>
    </w:p>
    <w:p w14:paraId="44604298">
      <w:pPr>
        <w:autoSpaceDE w:val="0"/>
        <w:autoSpaceDN w:val="0"/>
        <w:adjustRightIn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因发包人提供的基准资料错误并导致承包人测量放线工作返工或造成工程损失的，以及发包人提供的材料、工程设备的规格、数量或质量不符合合同约定，或因发包人原因导致交货日期延误或交货地点变更等情况的违约责任，违约情形导致暂停施工满56天，且发包人仍未纠正其违约行为的；</w:t>
      </w:r>
    </w:p>
    <w:p w14:paraId="621CE6D0">
      <w:pPr>
        <w:autoSpaceDE w:val="0"/>
        <w:autoSpaceDN w:val="0"/>
        <w:adjustRightIn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（4）其他未履行合同项下的义务构成对合同的实质性违约，并且在收到承包人要求说明其违约并予以补救的通知后56天内仍未补救该实质性违约的；</w:t>
      </w:r>
    </w:p>
    <w:p w14:paraId="530A3C16">
      <w:pPr>
        <w:snapToGrid w:val="0"/>
        <w:spacing w:line="400" w:lineRule="exact"/>
        <w:jc w:val="left"/>
        <w:rPr>
          <w:rFonts w:ascii="Times New Roman" w:hAnsi="Times New Roman" w:eastAsia="宋体" w:cs="Times New Roman"/>
          <w:sz w:val="21"/>
          <w:szCs w:val="21"/>
        </w:rPr>
      </w:pPr>
      <w:r>
        <w:rPr>
          <w:rFonts w:hint="eastAsia" w:ascii="宋体" w:hAnsi="宋体" w:eastAsia="宋体" w:cs="Times New Roman"/>
          <w:kern w:val="0"/>
          <w:sz w:val="21"/>
          <w:szCs w:val="21"/>
        </w:rPr>
        <w:t>（5）</w:t>
      </w:r>
      <w:r>
        <w:rPr>
          <w:rFonts w:hint="eastAsia" w:ascii="宋体" w:hAnsi="宋体" w:eastAsia="宋体" w:cs="Times New Roman"/>
          <w:kern w:val="0"/>
          <w:sz w:val="21"/>
          <w:szCs w:val="21"/>
          <w:u w:val="single"/>
        </w:rPr>
        <w:t>合同约定的承包人有权解除合同的其他情形</w:t>
      </w:r>
      <w:r>
        <w:rPr>
          <w:rFonts w:hint="eastAsia" w:ascii="宋体" w:hAnsi="宋体" w:eastAsia="宋体" w:cs="Times New Roman"/>
          <w:kern w:val="0"/>
          <w:sz w:val="21"/>
          <w:szCs w:val="21"/>
        </w:rPr>
        <w:t>。</w:t>
      </w:r>
    </w:p>
    <w:p w14:paraId="4F6964AE">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16.1.4发包人无正当理由不按时返还履约保证金、质量保证金或农民工工资保证金的，发包人应向承包人支付的违约金如下：</w:t>
      </w:r>
      <w:r>
        <w:rPr>
          <w:rFonts w:hint="eastAsia" w:ascii="宋体" w:hAnsi="宋体" w:eastAsia="宋体" w:cs="Times New Roman"/>
          <w:sz w:val="21"/>
          <w:szCs w:val="21"/>
          <w:u w:val="single"/>
        </w:rPr>
        <w:t xml:space="preserve">       /   。</w:t>
      </w:r>
    </w:p>
    <w:p w14:paraId="307B0F49">
      <w:pPr>
        <w:widowControl/>
        <w:spacing w:line="360" w:lineRule="auto"/>
        <w:jc w:val="left"/>
        <w:outlineLvl w:val="4"/>
        <w:rPr>
          <w:rFonts w:ascii="宋体" w:hAnsi="宋体" w:eastAsia="宋体" w:cs="宋体"/>
          <w:b/>
          <w:bCs/>
          <w:kern w:val="0"/>
          <w:sz w:val="21"/>
          <w:szCs w:val="21"/>
        </w:rPr>
      </w:pPr>
      <w:bookmarkStart w:id="1638" w:name="_Toc532375665"/>
      <w:bookmarkEnd w:id="1638"/>
      <w:bookmarkStart w:id="1639" w:name="_Toc351203649"/>
      <w:bookmarkEnd w:id="1639"/>
      <w:bookmarkStart w:id="1640" w:name="_Hlk528928440"/>
      <w:bookmarkEnd w:id="1640"/>
      <w:bookmarkStart w:id="1641" w:name="_Toc532377404"/>
      <w:bookmarkEnd w:id="1641"/>
      <w:r>
        <w:rPr>
          <w:rFonts w:hint="eastAsia" w:ascii="宋体" w:hAnsi="宋体" w:eastAsia="宋体" w:cs="宋体"/>
          <w:b/>
          <w:bCs/>
          <w:kern w:val="0"/>
          <w:sz w:val="21"/>
          <w:szCs w:val="21"/>
        </w:rPr>
        <w:t>16.2 承包人违约</w:t>
      </w:r>
    </w:p>
    <w:p w14:paraId="3EB4DC13">
      <w:pPr>
        <w:snapToGrid w:val="0"/>
        <w:spacing w:line="360" w:lineRule="auto"/>
        <w:jc w:val="left"/>
        <w:rPr>
          <w:rFonts w:ascii="宋体" w:hAnsi="宋体" w:eastAsia="宋体" w:cs="Microsoft Sans Serif"/>
          <w:kern w:val="0"/>
          <w:sz w:val="21"/>
          <w:szCs w:val="21"/>
        </w:rPr>
      </w:pPr>
      <w:bookmarkStart w:id="1642" w:name="OLE_LINK11"/>
      <w:bookmarkEnd w:id="1642"/>
      <w:bookmarkStart w:id="1643" w:name="_Hlk524380579"/>
      <w:r>
        <w:rPr>
          <w:rFonts w:hint="eastAsia" w:ascii="宋体" w:hAnsi="宋体" w:eastAsia="宋体" w:cs="Microsoft Sans Serif"/>
          <w:kern w:val="0"/>
          <w:sz w:val="21"/>
          <w:szCs w:val="21"/>
        </w:rPr>
        <w:t>16.2.1 承包人违约的情形</w:t>
      </w:r>
      <w:bookmarkEnd w:id="1643"/>
    </w:p>
    <w:p w14:paraId="254CF44C">
      <w:pPr>
        <w:snapToGrid w:val="0"/>
        <w:spacing w:line="400" w:lineRule="exact"/>
        <w:jc w:val="left"/>
        <w:rPr>
          <w:rFonts w:ascii="宋体" w:hAnsi="宋体" w:eastAsia="宋体" w:cs="Times New Roman"/>
          <w:kern w:val="0"/>
          <w:sz w:val="21"/>
          <w:szCs w:val="21"/>
          <w:u w:val="single"/>
        </w:rPr>
      </w:pPr>
      <w:r>
        <w:rPr>
          <w:rFonts w:hint="eastAsia" w:ascii="宋体" w:hAnsi="宋体" w:eastAsia="宋体" w:cs="Times New Roman"/>
          <w:kern w:val="0"/>
          <w:sz w:val="21"/>
          <w:szCs w:val="21"/>
        </w:rPr>
        <w:t>除通用合同条款约定外，承包人违约的其他情形：</w:t>
      </w:r>
    </w:p>
    <w:p w14:paraId="15E90BAC">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（1）承包人未按合同约定提交履约担保或质量保证金的；</w:t>
      </w:r>
    </w:p>
    <w:p w14:paraId="03A8D0EE">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（2）承包人未能按期开工的；</w:t>
      </w:r>
    </w:p>
    <w:p w14:paraId="79A57759">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（3）承包人未按招标申请文件或监理人的要求及时配备称职的主要管理人员，或承包人未按经审定的施工组织设计配备或更换关键施工设备的；</w:t>
      </w:r>
    </w:p>
    <w:p w14:paraId="42306FDB">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（4）承包人有安全问题或有违反安全管理规章制度情况的；</w:t>
      </w:r>
    </w:p>
    <w:p w14:paraId="5E4E0DB5">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（5）承包人在缺陷责任期及保修期内，未能在合理期限对工程缺陷进行修复，或拒绝按发包人要求进行修复的；</w:t>
      </w:r>
    </w:p>
    <w:p w14:paraId="6FAC3334">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（6）承包人拖欠其工人或所雇人员工资或报酬，导致其工人或所雇人员向有关部门投诉、控告、检举或以聚集等方式讨要工资或报酬的；</w:t>
      </w:r>
    </w:p>
    <w:p w14:paraId="0ADA1F55">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（7）承包人不配合发包人、监理人及发包人委托的工程造价咨询服务单位结算审核或承包人其他原因导致未按期完成工程竣工结算的；</w:t>
      </w:r>
    </w:p>
    <w:p w14:paraId="5EB832DA">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（8）承包人违反合同约定进行转包或违法分包的；</w:t>
      </w:r>
    </w:p>
    <w:p w14:paraId="09874EBB">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（9）承包人未按合同约定移交全部或部分工作的；</w:t>
      </w:r>
    </w:p>
    <w:p w14:paraId="573EB3A0">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（10）承包人未按合同约定购买保险的；</w:t>
      </w:r>
    </w:p>
    <w:p w14:paraId="707F3745">
      <w:pPr>
        <w:spacing w:line="360" w:lineRule="auto"/>
        <w:rPr>
          <w:rFonts w:ascii="宋体" w:hAnsi="宋体" w:eastAsia="宋体" w:cs="Times New Roman"/>
          <w:sz w:val="21"/>
          <w:szCs w:val="21"/>
        </w:rPr>
      </w:pPr>
      <w:r>
        <w:rPr>
          <w:rFonts w:hint="eastAsia" w:ascii="宋体" w:hAnsi="宋体" w:eastAsia="宋体" w:cs="Times New Roman"/>
          <w:sz w:val="21"/>
          <w:szCs w:val="21"/>
        </w:rPr>
        <w:t>（11）未经监理人批准，私自将已按合同约定进入施工场地的施工设备、临时设施、材料或工程设备撤离施工场地；</w:t>
      </w:r>
    </w:p>
    <w:p w14:paraId="7C785D98">
      <w:pPr>
        <w:spacing w:line="360" w:lineRule="auto"/>
        <w:rPr>
          <w:rFonts w:ascii="Times New Roman" w:hAnsi="Times New Roman" w:eastAsia="宋体" w:cs="Times New Roman"/>
          <w:sz w:val="21"/>
          <w:szCs w:val="21"/>
        </w:rPr>
      </w:pPr>
      <w:r>
        <w:rPr>
          <w:rFonts w:hint="eastAsia" w:ascii="宋体" w:hAnsi="宋体" w:eastAsia="宋体" w:cs="Times New Roman"/>
          <w:sz w:val="21"/>
          <w:szCs w:val="21"/>
        </w:rPr>
        <w:t>（12）承包人不按合同约定履行义务的其他情况。</w:t>
      </w:r>
    </w:p>
    <w:p w14:paraId="23F5369F">
      <w:pPr>
        <w:snapToGrid w:val="0"/>
        <w:spacing w:line="400" w:lineRule="exact"/>
        <w:jc w:val="left"/>
        <w:rPr>
          <w:rFonts w:ascii="宋体" w:hAnsi="宋体" w:eastAsia="宋体" w:cs="Times New Roman"/>
          <w:sz w:val="21"/>
          <w:szCs w:val="21"/>
        </w:rPr>
      </w:pPr>
      <w:r>
        <w:rPr>
          <w:rFonts w:hint="eastAsia" w:ascii="宋体" w:hAnsi="宋体" w:eastAsia="宋体" w:cs="Times New Roman"/>
          <w:kern w:val="0"/>
          <w:sz w:val="21"/>
          <w:szCs w:val="21"/>
        </w:rPr>
        <w:t>（13）项目经理若有以下情形，属于承包人违约：</w:t>
      </w:r>
    </w:p>
    <w:p w14:paraId="3881DD79">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1）项目经理不按承诺到岗的；</w:t>
      </w:r>
    </w:p>
    <w:p w14:paraId="5277860B">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2）每月在施工现场的天数少于约定天数的；</w:t>
      </w:r>
    </w:p>
    <w:p w14:paraId="4D9D0B64">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3）承包人未提交项目经理劳动合同和社会保险证明的；</w:t>
      </w:r>
    </w:p>
    <w:p w14:paraId="7CD5C976">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4）未经批准，擅自离开施工现场（超过约定时间）的；</w:t>
      </w:r>
    </w:p>
    <w:p w14:paraId="12A9A232">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5）未经批准，擅自变更项目经理的；</w:t>
      </w:r>
    </w:p>
    <w:p w14:paraId="2E5C94B4">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6）按照渝建发〔2015〕35号文的要求，施工期间，项目经理因在一个记分周期内累计记分达到12分，被建设行政主管部门依法责令停止执业的；</w:t>
      </w:r>
    </w:p>
    <w:p w14:paraId="67BDDD33">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7）发包人有正当理由认为项目经理不称职/不履职，且承包人在约定时间内不予更换的；</w:t>
      </w:r>
    </w:p>
    <w:p w14:paraId="7DDF5668">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8）其他双方约定的情形：/</w:t>
      </w:r>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59E0DED6">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（14）技术负责人若有以下情形，属于承包人违约：</w:t>
      </w:r>
    </w:p>
    <w:p w14:paraId="64FDA3A1">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1）每月在施工现场的天数少于约定天数的；</w:t>
      </w:r>
    </w:p>
    <w:p w14:paraId="70DED1E8">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2）承包人未提交技术负责人劳动合同和社会保险证明的；</w:t>
      </w:r>
    </w:p>
    <w:p w14:paraId="530C0646">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3）未经批准，擅自离开施工现场（超过约定时间）的；</w:t>
      </w:r>
    </w:p>
    <w:p w14:paraId="408A8131">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4）未经批准，擅自变更技术负责人的；</w:t>
      </w:r>
    </w:p>
    <w:p w14:paraId="4F1D13F6">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5）发包人有正当理由认为技术负责人不称职/不履职，且承包人在约定时间内不予更换的；</w:t>
      </w:r>
    </w:p>
    <w:p w14:paraId="6D7A8D1A">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6）其他双方约定的情形：</w:t>
      </w:r>
      <w:r>
        <w:rPr>
          <w:rFonts w:hint="eastAsia" w:ascii="宋体" w:hAnsi="宋体" w:eastAsia="宋体" w:cs="Times New Roman"/>
          <w:kern w:val="0"/>
          <w:sz w:val="21"/>
          <w:szCs w:val="21"/>
          <w:u w:val="single"/>
        </w:rPr>
        <w:t xml:space="preserve">   /     </w:t>
      </w:r>
      <w:r>
        <w:rPr>
          <w:rFonts w:hint="eastAsia" w:ascii="宋体" w:hAnsi="宋体" w:eastAsia="宋体" w:cs="Times New Roman"/>
          <w:kern w:val="0"/>
          <w:sz w:val="21"/>
          <w:szCs w:val="21"/>
        </w:rPr>
        <w:t>。</w:t>
      </w:r>
    </w:p>
    <w:p w14:paraId="1B7DEF27">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（15）主要施工管理人员若有以下情形，属于承包人违约：</w:t>
      </w:r>
    </w:p>
    <w:p w14:paraId="66BB544C">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1）承包人未提交主要管理人员劳动合同和社会保险证明的；</w:t>
      </w:r>
    </w:p>
    <w:p w14:paraId="4E96A88C">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2）未经批准，擅自离开施工现场（超过约定时间）的；</w:t>
      </w:r>
    </w:p>
    <w:p w14:paraId="4767B621">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3）未经批准，擅自变更主要施工管理人员的；</w:t>
      </w:r>
    </w:p>
    <w:p w14:paraId="77D0C3CA">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4）发包人有正当理由认为主要施工管理人员不称职/不履职，且承包人在约定时间内不予更换的；</w:t>
      </w:r>
    </w:p>
    <w:p w14:paraId="2410A519">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5）其他双方约定的情形：</w:t>
      </w:r>
      <w:r>
        <w:rPr>
          <w:rFonts w:hint="eastAsia" w:ascii="宋体" w:hAnsi="宋体" w:eastAsia="宋体" w:cs="Times New Roman"/>
          <w:kern w:val="0"/>
          <w:sz w:val="21"/>
          <w:szCs w:val="21"/>
          <w:u w:val="single"/>
        </w:rPr>
        <w:t xml:space="preserve">   /     </w:t>
      </w:r>
      <w:r>
        <w:rPr>
          <w:rFonts w:hint="eastAsia" w:ascii="宋体" w:hAnsi="宋体" w:eastAsia="宋体" w:cs="Times New Roman"/>
          <w:kern w:val="0"/>
          <w:sz w:val="21"/>
          <w:szCs w:val="21"/>
        </w:rPr>
        <w:t>。</w:t>
      </w:r>
    </w:p>
    <w:p w14:paraId="13BA435C">
      <w:pPr>
        <w:snapToGrid w:val="0"/>
        <w:spacing w:line="360" w:lineRule="auto"/>
        <w:jc w:val="left"/>
        <w:rPr>
          <w:rFonts w:ascii="Times New Roman" w:hAnsi="Times New Roman" w:eastAsia="宋体" w:cs="Times New Roman"/>
          <w:sz w:val="21"/>
          <w:szCs w:val="21"/>
        </w:rPr>
      </w:pPr>
      <w:r>
        <w:rPr>
          <w:rFonts w:hint="eastAsia" w:ascii="宋体" w:hAnsi="宋体" w:eastAsia="宋体" w:cs="Times New Roman"/>
          <w:kern w:val="0"/>
          <w:sz w:val="21"/>
          <w:szCs w:val="21"/>
        </w:rPr>
        <w:t>（16）</w:t>
      </w:r>
      <w:r>
        <w:rPr>
          <w:rFonts w:hint="eastAsia" w:ascii="宋体" w:hAnsi="宋体" w:eastAsia="宋体" w:cs="Times New Roman"/>
          <w:kern w:val="0"/>
          <w:sz w:val="21"/>
          <w:szCs w:val="21"/>
          <w:u w:val="single"/>
        </w:rPr>
        <w:t>按合同约定承包人项目经理、技术负责人等需到岗履职，如不能到岗履职，无论对发包单位是否产生实际损失，均应按合同约定条款执行惩罚条款。</w:t>
      </w:r>
    </w:p>
    <w:p w14:paraId="5018FF00">
      <w:pPr>
        <w:adjustRightInd w:val="0"/>
        <w:snapToGrid w:val="0"/>
        <w:spacing w:line="360" w:lineRule="auto"/>
        <w:rPr>
          <w:rFonts w:ascii="宋体" w:hAnsi="宋体" w:eastAsia="宋体" w:cs="Microsoft Sans Serif"/>
          <w:kern w:val="0"/>
          <w:sz w:val="21"/>
          <w:szCs w:val="21"/>
        </w:rPr>
      </w:pPr>
      <w:r>
        <w:rPr>
          <w:rFonts w:hint="eastAsia" w:ascii="宋体" w:hAnsi="宋体" w:eastAsia="宋体" w:cs="Microsoft Sans Serif"/>
          <w:kern w:val="0"/>
          <w:sz w:val="21"/>
          <w:szCs w:val="21"/>
        </w:rPr>
        <w:t>16.2.2 承包人违约的责任</w:t>
      </w:r>
    </w:p>
    <w:p w14:paraId="5D8E2B4E">
      <w:pPr>
        <w:adjustRightInd w:val="0"/>
        <w:snapToGrid w:val="0"/>
        <w:spacing w:line="360" w:lineRule="auto"/>
        <w:rPr>
          <w:rFonts w:ascii="宋体" w:hAnsi="宋体" w:eastAsia="宋体" w:cs="Microsoft Sans Serif"/>
          <w:kern w:val="0"/>
          <w:sz w:val="21"/>
          <w:szCs w:val="21"/>
        </w:rPr>
      </w:pPr>
      <w:bookmarkStart w:id="1644" w:name="_Hlk524380347"/>
      <w:bookmarkEnd w:id="1644"/>
      <w:r>
        <w:rPr>
          <w:rFonts w:hint="eastAsia" w:ascii="宋体" w:hAnsi="宋体" w:eastAsia="宋体" w:cs="Microsoft Sans Serif"/>
          <w:kern w:val="0"/>
          <w:sz w:val="21"/>
          <w:szCs w:val="21"/>
        </w:rPr>
        <w:t>承包人违约责任的承担方式和计算方法：</w:t>
      </w:r>
    </w:p>
    <w:p w14:paraId="2DF68A98">
      <w:pPr>
        <w:adjustRightInd w:val="0"/>
        <w:snapToGrid w:val="0"/>
        <w:spacing w:line="400" w:lineRule="exact"/>
        <w:rPr>
          <w:rFonts w:ascii="宋体" w:hAnsi="宋体" w:eastAsia="宋体" w:cs="Times New Roman"/>
          <w:kern w:val="0"/>
          <w:sz w:val="21"/>
          <w:szCs w:val="21"/>
        </w:rPr>
      </w:pPr>
      <w:r>
        <w:rPr>
          <w:rFonts w:hint="eastAsia" w:ascii="宋体" w:hAnsi="宋体" w:eastAsia="宋体" w:cs="Times New Roman"/>
          <w:kern w:val="0"/>
          <w:sz w:val="21"/>
          <w:szCs w:val="21"/>
        </w:rPr>
        <w:t>承包人违约责任的承担方式和计算方法：</w:t>
      </w:r>
    </w:p>
    <w:p w14:paraId="6D16A110">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（1）承包人未按合同约定提交履约担保、质量保证金的违约责任：承包人应支付违约金，</w:t>
      </w:r>
      <w:r>
        <w:rPr>
          <w:rFonts w:hint="eastAsia" w:ascii="宋体" w:hAnsi="宋体" w:eastAsia="宋体" w:cs="Times New Roman"/>
          <w:sz w:val="21"/>
          <w:szCs w:val="21"/>
        </w:rPr>
        <w:t>违约金的计算方法：</w:t>
      </w:r>
      <w:r>
        <w:rPr>
          <w:rFonts w:hint="eastAsia" w:ascii="宋体" w:hAnsi="宋体" w:eastAsia="宋体" w:cs="Times New Roman"/>
          <w:kern w:val="0"/>
          <w:sz w:val="21"/>
          <w:szCs w:val="21"/>
        </w:rPr>
        <w:t>每延误1天，承包人按</w:t>
      </w:r>
      <w:r>
        <w:rPr>
          <w:rFonts w:hint="eastAsia" w:ascii="宋体" w:hAnsi="宋体" w:eastAsia="宋体" w:cs="Times New Roman"/>
          <w:kern w:val="0"/>
          <w:sz w:val="21"/>
          <w:szCs w:val="21"/>
          <w:u w:val="single"/>
        </w:rPr>
        <w:t xml:space="preserve">  5000元/天</w:t>
      </w:r>
      <w:r>
        <w:rPr>
          <w:rFonts w:hint="eastAsia" w:ascii="宋体" w:hAnsi="宋体" w:eastAsia="宋体" w:cs="Times New Roman"/>
          <w:kern w:val="0"/>
          <w:sz w:val="21"/>
          <w:szCs w:val="21"/>
        </w:rPr>
        <w:t>计算违约金，累计违约金上限：</w:t>
      </w:r>
      <w:r>
        <w:rPr>
          <w:rFonts w:hint="eastAsia" w:ascii="宋体" w:hAnsi="宋体" w:eastAsia="宋体" w:cs="Times New Roman"/>
          <w:kern w:val="0"/>
          <w:sz w:val="21"/>
          <w:szCs w:val="21"/>
          <w:u w:val="single"/>
        </w:rPr>
        <w:t xml:space="preserve">  不超过签约合同价的3%</w:t>
      </w:r>
      <w:r>
        <w:rPr>
          <w:rFonts w:hint="eastAsia" w:ascii="宋体" w:hAnsi="宋体" w:eastAsia="宋体" w:cs="Times New Roman"/>
          <w:kern w:val="0"/>
          <w:sz w:val="21"/>
          <w:szCs w:val="21"/>
        </w:rPr>
        <w:t>。</w:t>
      </w:r>
    </w:p>
    <w:p w14:paraId="2CBF8B25">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（2）承包人违反合同约定进行转包或违法分包的违约责任：按照违反合同约定进行转包和（或）违法分包相应转包和（或）分包合同的合同金额的</w:t>
      </w:r>
      <w:r>
        <w:rPr>
          <w:rFonts w:hint="eastAsia" w:ascii="宋体" w:hAnsi="宋体" w:eastAsia="宋体" w:cs="Times New Roman"/>
          <w:kern w:val="0"/>
          <w:sz w:val="21"/>
          <w:szCs w:val="21"/>
          <w:u w:val="single"/>
        </w:rPr>
        <w:t xml:space="preserve">  10%</w:t>
      </w:r>
      <w:r>
        <w:rPr>
          <w:rFonts w:hint="eastAsia" w:ascii="宋体" w:hAnsi="宋体" w:eastAsia="宋体" w:cs="Times New Roman"/>
          <w:kern w:val="0"/>
          <w:sz w:val="21"/>
          <w:szCs w:val="21"/>
        </w:rPr>
        <w:t>支付违约金，违法转/分包商应在7天内撤离出场。</w:t>
      </w:r>
    </w:p>
    <w:p w14:paraId="76C240D6">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（3）承包人违反合同约定采购和使用不合格的材料和工程设备的违约责任：按照违反合同约定采购和使用不合格的材料和（或）工程设备相应合同金额的</w:t>
      </w:r>
      <w:r>
        <w:rPr>
          <w:rFonts w:hint="eastAsia" w:ascii="宋体" w:hAnsi="宋体" w:eastAsia="宋体" w:cs="Times New Roman"/>
          <w:kern w:val="0"/>
          <w:sz w:val="21"/>
          <w:szCs w:val="21"/>
          <w:u w:val="single"/>
        </w:rPr>
        <w:t>2倍</w:t>
      </w:r>
      <w:r>
        <w:rPr>
          <w:rFonts w:hint="eastAsia" w:ascii="宋体" w:hAnsi="宋体" w:eastAsia="宋体" w:cs="Times New Roman"/>
          <w:kern w:val="0"/>
          <w:sz w:val="21"/>
          <w:szCs w:val="21"/>
        </w:rPr>
        <w:t>支付违约金。</w:t>
      </w:r>
    </w:p>
    <w:p w14:paraId="6C610F76">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（4）因承包人原因导致工程质量不符合规定或合同要求的违约责任：承包人退还已支付工程质量不符合合同要求工程的工程款，并按照工程质量不符合合同要求工程相应合同金额的</w:t>
      </w:r>
      <w:r>
        <w:rPr>
          <w:rFonts w:ascii="宋体" w:hAnsi="宋体" w:eastAsia="宋体" w:cs="Times New Roman"/>
          <w:kern w:val="0"/>
          <w:sz w:val="21"/>
          <w:szCs w:val="21"/>
          <w:u w:val="single"/>
        </w:rPr>
        <w:t>2</w:t>
      </w:r>
      <w:r>
        <w:rPr>
          <w:rFonts w:hint="eastAsia" w:ascii="宋体" w:hAnsi="宋体" w:eastAsia="宋体" w:cs="Times New Roman"/>
          <w:kern w:val="0"/>
          <w:sz w:val="21"/>
          <w:szCs w:val="21"/>
          <w:u w:val="single"/>
        </w:rPr>
        <w:t>倍</w:t>
      </w:r>
      <w:r>
        <w:rPr>
          <w:rFonts w:hint="eastAsia" w:ascii="宋体" w:hAnsi="宋体" w:eastAsia="宋体" w:cs="Times New Roman"/>
          <w:kern w:val="0"/>
          <w:sz w:val="21"/>
          <w:szCs w:val="21"/>
        </w:rPr>
        <w:t>支付违约金。</w:t>
      </w:r>
    </w:p>
    <w:p w14:paraId="601226D6">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eastAsia="宋体" w:cs="Times New Roman"/>
          <w:kern w:val="0"/>
          <w:sz w:val="21"/>
          <w:szCs w:val="21"/>
          <w:u w:val="single"/>
        </w:rPr>
        <w:t xml:space="preserve">  5%</w:t>
      </w:r>
      <w:r>
        <w:rPr>
          <w:rFonts w:hint="eastAsia" w:ascii="宋体" w:hAnsi="宋体" w:eastAsia="宋体" w:cs="Times New Roman"/>
          <w:kern w:val="0"/>
          <w:sz w:val="21"/>
          <w:szCs w:val="21"/>
        </w:rPr>
        <w:t>支付违约金。</w:t>
      </w:r>
    </w:p>
    <w:p w14:paraId="785E9E8B">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（6）因承包人原因造成工期延误的违约承担方式和计算方法：由承包人承担由此增加的费用，</w:t>
      </w:r>
      <w:r>
        <w:rPr>
          <w:rFonts w:hint="eastAsia" w:ascii="宋体" w:hAnsi="宋体" w:eastAsia="宋体" w:cs="Times New Roman"/>
          <w:sz w:val="21"/>
          <w:szCs w:val="21"/>
        </w:rPr>
        <w:t>由此导致工期延误的，工期不予顺延；逾期竣工违约金的计算方法：</w:t>
      </w:r>
      <w:r>
        <w:rPr>
          <w:rFonts w:hint="eastAsia" w:ascii="宋体" w:hAnsi="宋体" w:eastAsia="宋体" w:cs="Times New Roman"/>
          <w:kern w:val="0"/>
          <w:sz w:val="21"/>
          <w:szCs w:val="21"/>
        </w:rPr>
        <w:t>每延误1天，承包人按</w:t>
      </w:r>
      <w:r>
        <w:rPr>
          <w:rFonts w:hint="eastAsia" w:ascii="宋体" w:hAnsi="宋体" w:eastAsia="宋体" w:cs="Times New Roman"/>
          <w:kern w:val="0"/>
          <w:sz w:val="21"/>
          <w:szCs w:val="21"/>
          <w:u w:val="single"/>
        </w:rPr>
        <w:t xml:space="preserve"> 5000 元/天</w:t>
      </w:r>
      <w:r>
        <w:rPr>
          <w:rFonts w:hint="eastAsia" w:ascii="宋体" w:hAnsi="宋体" w:eastAsia="宋体" w:cs="Times New Roman"/>
          <w:kern w:val="0"/>
          <w:sz w:val="21"/>
          <w:szCs w:val="21"/>
        </w:rPr>
        <w:t>计算逾期竣工违约金，累计违约金上限：</w:t>
      </w:r>
      <w:r>
        <w:rPr>
          <w:rFonts w:hint="eastAsia" w:ascii="宋体" w:hAnsi="宋体" w:eastAsia="宋体" w:cs="Times New Roman"/>
          <w:kern w:val="0"/>
          <w:sz w:val="21"/>
          <w:szCs w:val="21"/>
          <w:u w:val="single"/>
        </w:rPr>
        <w:t>不超过签约合同价的3%</w:t>
      </w:r>
      <w:r>
        <w:rPr>
          <w:rFonts w:hint="eastAsia" w:ascii="宋体" w:hAnsi="宋体" w:eastAsia="宋体" w:cs="Times New Roman"/>
          <w:kern w:val="0"/>
          <w:sz w:val="21"/>
          <w:szCs w:val="21"/>
        </w:rPr>
        <w:t>；承包人支付逾期竣工违约金后，不免除承包人继续完成工程及修补缺陷的义务。</w:t>
      </w:r>
    </w:p>
    <w:p w14:paraId="7CBDB6D4">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（7）承包人在缺陷责任期及保修期内，未能在合理期限对工程缺陷进行修复，或拒绝按发包人要求进行修复的违约责任：按照发包人修复缺陷费用的</w:t>
      </w:r>
      <w:r>
        <w:rPr>
          <w:rFonts w:hint="eastAsia" w:ascii="宋体" w:hAnsi="宋体" w:eastAsia="宋体" w:cs="Times New Roman"/>
          <w:kern w:val="0"/>
          <w:sz w:val="21"/>
          <w:szCs w:val="21"/>
          <w:u w:val="single"/>
        </w:rPr>
        <w:t xml:space="preserve">  2%</w:t>
      </w:r>
      <w:r>
        <w:rPr>
          <w:rFonts w:hint="eastAsia" w:ascii="宋体" w:hAnsi="宋体" w:eastAsia="宋体" w:cs="Times New Roman"/>
          <w:kern w:val="0"/>
          <w:sz w:val="21"/>
          <w:szCs w:val="21"/>
        </w:rPr>
        <w:t>支付违约金。</w:t>
      </w:r>
    </w:p>
    <w:p w14:paraId="01FB9859">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（8）承包人明确表示或者以其行为表明不履行合同主要义务的违约责任：按签约合同价的</w:t>
      </w:r>
      <w:r>
        <w:rPr>
          <w:rFonts w:hint="eastAsia" w:ascii="宋体" w:hAnsi="宋体" w:eastAsia="宋体" w:cs="Times New Roman"/>
          <w:kern w:val="0"/>
          <w:sz w:val="21"/>
          <w:szCs w:val="21"/>
          <w:u w:val="single"/>
        </w:rPr>
        <w:t xml:space="preserve">  10%</w:t>
      </w:r>
      <w:r>
        <w:rPr>
          <w:rFonts w:hint="eastAsia" w:ascii="宋体" w:hAnsi="宋体" w:eastAsia="宋体" w:cs="Times New Roman"/>
          <w:kern w:val="0"/>
          <w:sz w:val="21"/>
          <w:szCs w:val="21"/>
        </w:rPr>
        <w:t>支付违约金。</w:t>
      </w:r>
    </w:p>
    <w:p w14:paraId="4C503649">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（9）承包人未能按照合同约定履行其他义务的违约责任：按</w:t>
      </w:r>
      <w:r>
        <w:rPr>
          <w:rFonts w:hint="eastAsia" w:ascii="宋体" w:hAnsi="宋体" w:eastAsia="宋体" w:cs="Times New Roman"/>
          <w:kern w:val="0"/>
          <w:sz w:val="21"/>
          <w:szCs w:val="21"/>
          <w:u w:val="single"/>
        </w:rPr>
        <w:t>5000元/次</w:t>
      </w:r>
      <w:r>
        <w:rPr>
          <w:rFonts w:hint="eastAsia" w:ascii="宋体" w:hAnsi="宋体" w:eastAsia="宋体" w:cs="Times New Roman"/>
          <w:kern w:val="0"/>
          <w:sz w:val="21"/>
          <w:szCs w:val="21"/>
        </w:rPr>
        <w:t>支付违约金。</w:t>
      </w:r>
    </w:p>
    <w:p w14:paraId="31847332">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（10）承包人未能按期开工的违约责任：按合同价</w:t>
      </w:r>
      <w:r>
        <w:rPr>
          <w:rFonts w:hint="eastAsia" w:ascii="宋体" w:hAnsi="宋体" w:eastAsia="宋体" w:cs="Times New Roman"/>
          <w:kern w:val="0"/>
          <w:sz w:val="21"/>
          <w:szCs w:val="21"/>
          <w:u w:val="single"/>
        </w:rPr>
        <w:t>0.2‰/天</w:t>
      </w:r>
      <w:r>
        <w:rPr>
          <w:rFonts w:hint="eastAsia" w:ascii="宋体" w:hAnsi="宋体" w:eastAsia="宋体" w:cs="Times New Roman"/>
          <w:kern w:val="0"/>
          <w:sz w:val="21"/>
          <w:szCs w:val="21"/>
        </w:rPr>
        <w:t>支付违约金，本项违约金累计限额为签约合同价的</w:t>
      </w:r>
      <w:r>
        <w:rPr>
          <w:rFonts w:hint="eastAsia" w:ascii="宋体" w:hAnsi="宋体" w:eastAsia="宋体" w:cs="Times New Roman"/>
          <w:kern w:val="0"/>
          <w:sz w:val="21"/>
          <w:szCs w:val="21"/>
          <w:u w:val="single"/>
        </w:rPr>
        <w:t xml:space="preserve"> 1 %</w:t>
      </w:r>
      <w:r>
        <w:rPr>
          <w:rFonts w:hint="eastAsia" w:ascii="宋体" w:hAnsi="宋体" w:eastAsia="宋体" w:cs="Times New Roman"/>
          <w:kern w:val="0"/>
          <w:sz w:val="21"/>
          <w:szCs w:val="21"/>
        </w:rPr>
        <w:t>。</w:t>
      </w:r>
    </w:p>
    <w:p w14:paraId="2A128D6E">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（11）承包人未按经审定的施工组织设计配备或更换关键施工设备的违约责任：</w:t>
      </w:r>
      <w:r>
        <w:rPr>
          <w:rFonts w:hint="eastAsia" w:ascii="宋体" w:hAnsi="宋体" w:eastAsia="宋体" w:cs="Times New Roman"/>
          <w:kern w:val="0"/>
          <w:sz w:val="21"/>
          <w:szCs w:val="21"/>
          <w:u w:val="single"/>
        </w:rPr>
        <w:t>5000元/台·次</w:t>
      </w:r>
      <w:r>
        <w:rPr>
          <w:rFonts w:hint="eastAsia" w:ascii="宋体" w:hAnsi="宋体" w:eastAsia="宋体" w:cs="Times New Roman"/>
          <w:kern w:val="0"/>
          <w:sz w:val="21"/>
          <w:szCs w:val="21"/>
        </w:rPr>
        <w:t>支付违约金。</w:t>
      </w:r>
    </w:p>
    <w:p w14:paraId="79120219">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（12）承包人有安全问题或有违反安全管理规章制度情况的违约责任：根据具体情节，按签约合同价的</w:t>
      </w:r>
      <w:r>
        <w:rPr>
          <w:rFonts w:hint="eastAsia" w:ascii="宋体" w:hAnsi="宋体" w:eastAsia="宋体" w:cs="Times New Roman"/>
          <w:kern w:val="0"/>
          <w:sz w:val="21"/>
          <w:szCs w:val="21"/>
          <w:u w:val="single"/>
        </w:rPr>
        <w:t>4‰/次</w:t>
      </w:r>
      <w:r>
        <w:rPr>
          <w:rFonts w:hint="eastAsia" w:ascii="宋体" w:hAnsi="宋体" w:eastAsia="宋体" w:cs="Times New Roman"/>
          <w:kern w:val="0"/>
          <w:sz w:val="21"/>
          <w:szCs w:val="21"/>
        </w:rPr>
        <w:t>支付违约金（累计不超过签约合同价的1%，详见附件9安全管理协议）。</w:t>
      </w:r>
    </w:p>
    <w:p w14:paraId="3143B2FF">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eastAsia="宋体" w:cs="Times New Roman"/>
          <w:kern w:val="0"/>
          <w:sz w:val="21"/>
          <w:szCs w:val="21"/>
          <w:u w:val="single"/>
        </w:rPr>
        <w:t xml:space="preserve">  20000元/次</w:t>
      </w:r>
      <w:r>
        <w:rPr>
          <w:rFonts w:hint="eastAsia" w:ascii="宋体" w:hAnsi="宋体" w:eastAsia="宋体" w:cs="Times New Roman"/>
          <w:kern w:val="0"/>
          <w:sz w:val="21"/>
          <w:szCs w:val="21"/>
        </w:rPr>
        <w:t>支付违约金。</w:t>
      </w:r>
    </w:p>
    <w:p w14:paraId="08953835">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（14）承包人不配合发包人、监理人及发包人委托的工程造价咨询服务单位结算审核的违约责任：根据具体情节，按</w:t>
      </w:r>
      <w:r>
        <w:rPr>
          <w:rFonts w:hint="eastAsia" w:ascii="宋体" w:hAnsi="宋体" w:eastAsia="宋体" w:cs="Times New Roman"/>
          <w:kern w:val="0"/>
          <w:sz w:val="21"/>
          <w:szCs w:val="21"/>
          <w:u w:val="single"/>
        </w:rPr>
        <w:t xml:space="preserve">  50000元/次</w:t>
      </w:r>
      <w:r>
        <w:rPr>
          <w:rFonts w:hint="eastAsia" w:ascii="宋体" w:hAnsi="宋体" w:eastAsia="宋体" w:cs="Times New Roman"/>
          <w:kern w:val="0"/>
          <w:sz w:val="21"/>
          <w:szCs w:val="21"/>
        </w:rPr>
        <w:t>支付违约金。</w:t>
      </w:r>
    </w:p>
    <w:p w14:paraId="0E3981FE">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（15）承包人未按合同约定移交全部和部分工程的违约责任：由承包人承担工程照管、成品保护、保管等与工程有关的各种费用，并按结算金额或违约部分结算金额的</w:t>
      </w:r>
      <w:r>
        <w:rPr>
          <w:rFonts w:hint="eastAsia" w:ascii="宋体" w:hAnsi="宋体" w:eastAsia="宋体" w:cs="Times New Roman"/>
          <w:kern w:val="0"/>
          <w:sz w:val="21"/>
          <w:szCs w:val="21"/>
          <w:u w:val="single"/>
        </w:rPr>
        <w:t>1‰</w:t>
      </w:r>
      <w:r>
        <w:rPr>
          <w:rFonts w:hint="eastAsia" w:ascii="宋体" w:hAnsi="宋体" w:eastAsia="宋体" w:cs="Times New Roman"/>
          <w:kern w:val="0"/>
          <w:sz w:val="21"/>
          <w:szCs w:val="21"/>
        </w:rPr>
        <w:t>支付违约金。</w:t>
      </w:r>
    </w:p>
    <w:p w14:paraId="14BA4453">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sz w:val="21"/>
          <w:szCs w:val="21"/>
        </w:rPr>
        <w:t>（16）承包人未按合同约定购买保险的违约责任：除按18.6.2项约定执行外，每延迟1天，按</w:t>
      </w:r>
      <w:r>
        <w:rPr>
          <w:rFonts w:hint="eastAsia" w:ascii="宋体" w:hAnsi="宋体" w:eastAsia="宋体" w:cs="Times New Roman"/>
          <w:sz w:val="21"/>
          <w:szCs w:val="21"/>
          <w:u w:val="single"/>
        </w:rPr>
        <w:t>500元/天</w:t>
      </w:r>
      <w:r>
        <w:rPr>
          <w:rFonts w:hint="eastAsia" w:ascii="宋体" w:hAnsi="宋体" w:eastAsia="宋体" w:cs="Times New Roman"/>
          <w:sz w:val="21"/>
          <w:szCs w:val="21"/>
        </w:rPr>
        <w:t>支付违约金。</w:t>
      </w:r>
    </w:p>
    <w:p w14:paraId="01ED75C1">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（17）发生第</w:t>
      </w:r>
      <w:r>
        <w:rPr>
          <w:rFonts w:hint="eastAsia" w:ascii="宋体" w:hAnsi="宋体" w:eastAsia="宋体" w:cs="Times New Roman"/>
          <w:sz w:val="21"/>
          <w:szCs w:val="21"/>
        </w:rPr>
        <w:t xml:space="preserve">22.1.1 </w:t>
      </w:r>
      <w:r>
        <w:rPr>
          <w:rFonts w:hint="eastAsia" w:ascii="宋体" w:hAnsi="宋体" w:eastAsia="宋体" w:cs="Times New Roman"/>
          <w:kern w:val="0"/>
          <w:sz w:val="21"/>
          <w:szCs w:val="21"/>
        </w:rPr>
        <w:t>违约情形的违约责任：除承担由此增加的费用和工期延误的责任，承包人应向发包人支付违约金：</w:t>
      </w:r>
    </w:p>
    <w:p w14:paraId="2F693985">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1）项目经理违约承担方式和计算方法：对于第</w:t>
      </w:r>
      <w:r>
        <w:rPr>
          <w:rFonts w:hint="eastAsia" w:ascii="宋体" w:hAnsi="宋体" w:eastAsia="宋体" w:cs="Times New Roman"/>
          <w:sz w:val="21"/>
          <w:szCs w:val="21"/>
        </w:rPr>
        <w:t xml:space="preserve">22.1.1 </w:t>
      </w:r>
      <w:r>
        <w:rPr>
          <w:rFonts w:hint="eastAsia" w:ascii="宋体" w:hAnsi="宋体" w:eastAsia="宋体" w:cs="Times New Roman"/>
          <w:kern w:val="0"/>
          <w:sz w:val="21"/>
          <w:szCs w:val="21"/>
        </w:rPr>
        <w:t>项（13）目的情形，每发现一次，根据具体情节，按</w:t>
      </w:r>
      <w:r>
        <w:rPr>
          <w:rFonts w:hint="eastAsia" w:ascii="宋体" w:hAnsi="宋体" w:eastAsia="宋体" w:cs="Times New Roman"/>
          <w:kern w:val="0"/>
          <w:sz w:val="21"/>
          <w:szCs w:val="21"/>
          <w:u w:val="single"/>
        </w:rPr>
        <w:t>5000元/天·次</w:t>
      </w:r>
      <w:r>
        <w:rPr>
          <w:rFonts w:hint="eastAsia" w:ascii="宋体" w:hAnsi="宋体" w:eastAsia="宋体" w:cs="Times New Roman"/>
          <w:kern w:val="0"/>
          <w:sz w:val="21"/>
          <w:szCs w:val="21"/>
        </w:rPr>
        <w:t>计算违约金；项目经理不按承诺到岗的，按履约保证金的</w:t>
      </w:r>
      <w:r>
        <w:rPr>
          <w:rFonts w:hint="eastAsia" w:ascii="宋体" w:hAnsi="宋体" w:eastAsia="宋体" w:cs="Times New Roman"/>
          <w:kern w:val="0"/>
          <w:sz w:val="21"/>
          <w:szCs w:val="21"/>
          <w:u w:val="single"/>
        </w:rPr>
        <w:t>100%</w:t>
      </w:r>
      <w:r>
        <w:rPr>
          <w:rFonts w:hint="eastAsia" w:ascii="宋体" w:hAnsi="宋体" w:eastAsia="宋体" w:cs="Times New Roman"/>
          <w:kern w:val="0"/>
          <w:sz w:val="21"/>
          <w:szCs w:val="21"/>
        </w:rPr>
        <w:t>支付违约金，并解除合同；擅自更换项目经理的，按签约合同价的</w:t>
      </w:r>
      <w:r>
        <w:rPr>
          <w:rFonts w:hint="eastAsia" w:ascii="宋体" w:hAnsi="宋体" w:eastAsia="宋体" w:cs="Times New Roman"/>
          <w:kern w:val="0"/>
          <w:sz w:val="21"/>
          <w:szCs w:val="21"/>
          <w:u w:val="single"/>
        </w:rPr>
        <w:t>3%/人·次</w:t>
      </w:r>
      <w:r>
        <w:rPr>
          <w:rFonts w:hint="eastAsia" w:ascii="宋体" w:hAnsi="宋体" w:eastAsia="宋体" w:cs="Times New Roman"/>
          <w:kern w:val="0"/>
          <w:sz w:val="21"/>
          <w:szCs w:val="21"/>
        </w:rPr>
        <w:t>支付违约金，每次不低于</w:t>
      </w:r>
      <w:r>
        <w:rPr>
          <w:rFonts w:hint="eastAsia" w:ascii="宋体" w:hAnsi="宋体" w:eastAsia="宋体" w:cs="Times New Roman"/>
          <w:kern w:val="0"/>
          <w:sz w:val="21"/>
          <w:szCs w:val="21"/>
          <w:u w:val="single"/>
        </w:rPr>
        <w:t>1万</w:t>
      </w:r>
      <w:r>
        <w:rPr>
          <w:rFonts w:hint="eastAsia" w:ascii="宋体" w:hAnsi="宋体" w:eastAsia="宋体" w:cs="Times New Roman"/>
          <w:kern w:val="0"/>
          <w:sz w:val="21"/>
          <w:szCs w:val="21"/>
        </w:rPr>
        <w:t>，累计不超过</w:t>
      </w:r>
      <w:r>
        <w:rPr>
          <w:rFonts w:hint="eastAsia" w:ascii="宋体" w:hAnsi="宋体" w:eastAsia="宋体" w:cs="Times New Roman"/>
          <w:kern w:val="0"/>
          <w:sz w:val="21"/>
          <w:szCs w:val="21"/>
          <w:u w:val="single"/>
        </w:rPr>
        <w:t>10万</w:t>
      </w:r>
      <w:r>
        <w:rPr>
          <w:rFonts w:hint="eastAsia" w:ascii="宋体" w:hAnsi="宋体" w:eastAsia="宋体" w:cs="Times New Roman"/>
          <w:kern w:val="0"/>
          <w:sz w:val="21"/>
          <w:szCs w:val="21"/>
        </w:rPr>
        <w:t>；项目经理被责令停止执业的，按签约合同价的</w:t>
      </w:r>
      <w:r>
        <w:rPr>
          <w:rFonts w:hint="eastAsia" w:ascii="宋体" w:hAnsi="宋体" w:eastAsia="宋体" w:cs="Times New Roman"/>
          <w:kern w:val="0"/>
          <w:sz w:val="21"/>
          <w:szCs w:val="21"/>
          <w:u w:val="single"/>
        </w:rPr>
        <w:t>3%/人·次</w:t>
      </w:r>
      <w:r>
        <w:rPr>
          <w:rFonts w:hint="eastAsia" w:ascii="宋体" w:hAnsi="宋体" w:eastAsia="宋体" w:cs="Times New Roman"/>
          <w:kern w:val="0"/>
          <w:sz w:val="21"/>
          <w:szCs w:val="21"/>
        </w:rPr>
        <w:t>支付违约金，每次不低于</w:t>
      </w:r>
      <w:r>
        <w:rPr>
          <w:rFonts w:hint="eastAsia" w:ascii="宋体" w:hAnsi="宋体" w:eastAsia="宋体" w:cs="Times New Roman"/>
          <w:kern w:val="0"/>
          <w:sz w:val="21"/>
          <w:szCs w:val="21"/>
          <w:u w:val="single"/>
        </w:rPr>
        <w:t>1万</w:t>
      </w:r>
      <w:r>
        <w:rPr>
          <w:rFonts w:hint="eastAsia" w:ascii="宋体" w:hAnsi="宋体" w:eastAsia="宋体" w:cs="Times New Roman"/>
          <w:kern w:val="0"/>
          <w:sz w:val="21"/>
          <w:szCs w:val="21"/>
        </w:rPr>
        <w:t>，累计不超过</w:t>
      </w:r>
      <w:r>
        <w:rPr>
          <w:rFonts w:hint="eastAsia" w:ascii="宋体" w:hAnsi="宋体" w:eastAsia="宋体" w:cs="Times New Roman"/>
          <w:kern w:val="0"/>
          <w:sz w:val="21"/>
          <w:szCs w:val="21"/>
          <w:u w:val="single"/>
        </w:rPr>
        <w:t>10万</w:t>
      </w:r>
      <w:r>
        <w:rPr>
          <w:rFonts w:hint="eastAsia" w:ascii="宋体" w:hAnsi="宋体" w:eastAsia="宋体" w:cs="Times New Roman"/>
          <w:kern w:val="0"/>
          <w:sz w:val="21"/>
          <w:szCs w:val="21"/>
        </w:rPr>
        <w:t>；项目经理被责令停止执业的，按签约合同价的</w:t>
      </w:r>
      <w:r>
        <w:rPr>
          <w:rFonts w:hint="eastAsia" w:ascii="宋体" w:hAnsi="宋体" w:eastAsia="宋体" w:cs="Times New Roman"/>
          <w:kern w:val="0"/>
          <w:sz w:val="21"/>
          <w:szCs w:val="21"/>
          <w:u w:val="single"/>
        </w:rPr>
        <w:t>3%/人•次</w:t>
      </w:r>
      <w:r>
        <w:rPr>
          <w:rFonts w:hint="eastAsia" w:ascii="宋体" w:hAnsi="宋体" w:eastAsia="宋体" w:cs="Times New Roman"/>
          <w:kern w:val="0"/>
          <w:sz w:val="21"/>
          <w:szCs w:val="21"/>
        </w:rPr>
        <w:t>支付违约金，每次不低于</w:t>
      </w:r>
      <w:r>
        <w:rPr>
          <w:rFonts w:hint="eastAsia" w:ascii="宋体" w:hAnsi="宋体" w:eastAsia="宋体" w:cs="Times New Roman"/>
          <w:kern w:val="0"/>
          <w:sz w:val="21"/>
          <w:szCs w:val="21"/>
          <w:u w:val="single"/>
        </w:rPr>
        <w:t>1</w:t>
      </w:r>
      <w:r>
        <w:rPr>
          <w:rFonts w:hint="eastAsia" w:ascii="宋体" w:hAnsi="宋体" w:eastAsia="宋体" w:cs="Times New Roman"/>
          <w:kern w:val="0"/>
          <w:sz w:val="21"/>
          <w:szCs w:val="21"/>
        </w:rPr>
        <w:t>万，累计不超过</w:t>
      </w:r>
      <w:r>
        <w:rPr>
          <w:rFonts w:hint="eastAsia" w:ascii="宋体" w:hAnsi="宋体" w:eastAsia="宋体" w:cs="Times New Roman"/>
          <w:kern w:val="0"/>
          <w:sz w:val="21"/>
          <w:szCs w:val="21"/>
          <w:u w:val="single"/>
        </w:rPr>
        <w:t>10</w:t>
      </w:r>
      <w:r>
        <w:rPr>
          <w:rFonts w:hint="eastAsia" w:ascii="宋体" w:hAnsi="宋体" w:eastAsia="宋体" w:cs="Times New Roman"/>
          <w:kern w:val="0"/>
          <w:sz w:val="21"/>
          <w:szCs w:val="21"/>
        </w:rPr>
        <w:t>万。</w:t>
      </w:r>
    </w:p>
    <w:p w14:paraId="2C59AFBD">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2）主要技术负责人违约承担方式和计算方法：对于第</w:t>
      </w:r>
      <w:r>
        <w:rPr>
          <w:rFonts w:hint="eastAsia" w:ascii="宋体" w:hAnsi="宋体" w:eastAsia="宋体" w:cs="Times New Roman"/>
          <w:sz w:val="21"/>
          <w:szCs w:val="21"/>
        </w:rPr>
        <w:t xml:space="preserve">22.1.1 </w:t>
      </w:r>
      <w:r>
        <w:rPr>
          <w:rFonts w:hint="eastAsia" w:ascii="宋体" w:hAnsi="宋体" w:eastAsia="宋体" w:cs="Times New Roman"/>
          <w:kern w:val="0"/>
          <w:sz w:val="21"/>
          <w:szCs w:val="21"/>
        </w:rPr>
        <w:t>项（14）目的六种情形，每发现一次，根据具体情节，按</w:t>
      </w:r>
      <w:r>
        <w:rPr>
          <w:rFonts w:hint="eastAsia" w:ascii="宋体" w:hAnsi="宋体" w:eastAsia="宋体" w:cs="Times New Roman"/>
          <w:kern w:val="0"/>
          <w:sz w:val="21"/>
          <w:szCs w:val="21"/>
          <w:u w:val="single"/>
        </w:rPr>
        <w:t>5000元/天·次</w:t>
      </w:r>
      <w:r>
        <w:rPr>
          <w:rFonts w:hint="eastAsia" w:ascii="宋体" w:hAnsi="宋体" w:eastAsia="宋体" w:cs="Times New Roman"/>
          <w:kern w:val="0"/>
          <w:sz w:val="21"/>
          <w:szCs w:val="21"/>
        </w:rPr>
        <w:t>计算违约金；擅自更换主要技术负责人的，按签约合同价的</w:t>
      </w:r>
      <w:r>
        <w:rPr>
          <w:rFonts w:hint="eastAsia" w:ascii="宋体" w:hAnsi="宋体" w:eastAsia="宋体" w:cs="Times New Roman"/>
          <w:kern w:val="0"/>
          <w:sz w:val="21"/>
          <w:szCs w:val="21"/>
          <w:u w:val="single"/>
        </w:rPr>
        <w:t>2%/人·次</w:t>
      </w:r>
      <w:r>
        <w:rPr>
          <w:rFonts w:hint="eastAsia" w:ascii="宋体" w:hAnsi="宋体" w:eastAsia="宋体" w:cs="Times New Roman"/>
          <w:kern w:val="0"/>
          <w:sz w:val="21"/>
          <w:szCs w:val="21"/>
        </w:rPr>
        <w:t>支付违约金，每次不低于</w:t>
      </w:r>
      <w:r>
        <w:rPr>
          <w:rFonts w:hint="eastAsia" w:ascii="宋体" w:hAnsi="宋体" w:eastAsia="宋体" w:cs="Times New Roman"/>
          <w:kern w:val="0"/>
          <w:sz w:val="21"/>
          <w:szCs w:val="21"/>
          <w:u w:val="single"/>
        </w:rPr>
        <w:t>1万</w:t>
      </w:r>
      <w:r>
        <w:rPr>
          <w:rFonts w:hint="eastAsia" w:ascii="宋体" w:hAnsi="宋体" w:eastAsia="宋体" w:cs="Times New Roman"/>
          <w:kern w:val="0"/>
          <w:sz w:val="21"/>
          <w:szCs w:val="21"/>
        </w:rPr>
        <w:t>，累计不超过</w:t>
      </w:r>
      <w:r>
        <w:rPr>
          <w:rFonts w:hint="eastAsia" w:ascii="宋体" w:hAnsi="宋体" w:eastAsia="宋体" w:cs="Times New Roman"/>
          <w:kern w:val="0"/>
          <w:sz w:val="21"/>
          <w:szCs w:val="21"/>
          <w:u w:val="single"/>
        </w:rPr>
        <w:t>5万</w:t>
      </w:r>
      <w:r>
        <w:rPr>
          <w:rFonts w:hint="eastAsia" w:ascii="宋体" w:hAnsi="宋体" w:eastAsia="宋体" w:cs="Times New Roman"/>
          <w:kern w:val="0"/>
          <w:sz w:val="21"/>
          <w:szCs w:val="21"/>
        </w:rPr>
        <w:t>。</w:t>
      </w:r>
    </w:p>
    <w:p w14:paraId="66BE123D">
      <w:pPr>
        <w:snapToGrid w:val="0"/>
        <w:spacing w:line="400" w:lineRule="exact"/>
        <w:jc w:val="left"/>
        <w:rPr>
          <w:rFonts w:ascii="宋体" w:hAnsi="宋体" w:eastAsia="宋体" w:cs="Times New Roman"/>
          <w:sz w:val="21"/>
          <w:szCs w:val="21"/>
        </w:rPr>
      </w:pPr>
      <w:r>
        <w:rPr>
          <w:rFonts w:hint="eastAsia" w:ascii="宋体" w:hAnsi="宋体" w:eastAsia="宋体" w:cs="Times New Roman"/>
          <w:kern w:val="0"/>
          <w:sz w:val="21"/>
          <w:szCs w:val="21"/>
        </w:rPr>
        <w:t>3）主要施工管理人员违约承担方式和计算方法：对于第</w:t>
      </w:r>
      <w:r>
        <w:rPr>
          <w:rFonts w:hint="eastAsia" w:ascii="宋体" w:hAnsi="宋体" w:eastAsia="宋体" w:cs="Times New Roman"/>
          <w:sz w:val="21"/>
          <w:szCs w:val="21"/>
        </w:rPr>
        <w:t xml:space="preserve">22.1.1 </w:t>
      </w:r>
      <w:r>
        <w:rPr>
          <w:rFonts w:hint="eastAsia" w:ascii="宋体" w:hAnsi="宋体" w:eastAsia="宋体" w:cs="Times New Roman"/>
          <w:kern w:val="0"/>
          <w:sz w:val="21"/>
          <w:szCs w:val="21"/>
        </w:rPr>
        <w:t>项（15）目的五种情形，每发现一次，根据具体情节，按</w:t>
      </w:r>
      <w:r>
        <w:rPr>
          <w:rFonts w:hint="eastAsia" w:ascii="宋体" w:hAnsi="宋体" w:eastAsia="宋体" w:cs="Times New Roman"/>
          <w:kern w:val="0"/>
          <w:sz w:val="21"/>
          <w:szCs w:val="21"/>
          <w:u w:val="single"/>
        </w:rPr>
        <w:t>5000元/天·次</w:t>
      </w:r>
      <w:r>
        <w:rPr>
          <w:rFonts w:hint="eastAsia" w:ascii="宋体" w:hAnsi="宋体" w:eastAsia="宋体" w:cs="Times New Roman"/>
          <w:kern w:val="0"/>
          <w:sz w:val="21"/>
          <w:szCs w:val="21"/>
        </w:rPr>
        <w:t>计算违约金。</w:t>
      </w:r>
    </w:p>
    <w:p w14:paraId="5819A86E">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（18）</w:t>
      </w:r>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6E914737">
      <w:pPr>
        <w:keepNext/>
        <w:keepLines/>
        <w:snapToGrid w:val="0"/>
        <w:spacing w:line="360" w:lineRule="auto"/>
        <w:jc w:val="left"/>
        <w:outlineLvl w:val="3"/>
        <w:rPr>
          <w:rFonts w:ascii="宋体" w:hAnsi="宋体" w:eastAsia="宋体" w:cs="宋体"/>
          <w:kern w:val="0"/>
          <w:sz w:val="21"/>
          <w:szCs w:val="21"/>
        </w:rPr>
      </w:pPr>
      <w:r>
        <w:rPr>
          <w:rFonts w:hint="eastAsia" w:ascii="宋体" w:hAnsi="宋体" w:eastAsia="宋体" w:cs="宋体"/>
          <w:sz w:val="21"/>
          <w:szCs w:val="21"/>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22.1.2 对承包人违约的处理</w:t>
      </w:r>
      <w:r>
        <w:rPr>
          <w:rFonts w:hint="eastAsia" w:ascii="宋体" w:hAnsi="宋体" w:eastAsia="宋体" w:cs="宋体"/>
          <w:kern w:val="0"/>
          <w:sz w:val="21"/>
          <w:szCs w:val="21"/>
        </w:rPr>
        <w:t>承担违约责任</w:t>
      </w:r>
      <w:r>
        <w:rPr>
          <w:rFonts w:hint="eastAsia" w:ascii="宋体" w:hAnsi="宋体" w:eastAsia="宋体" w:cs="宋体"/>
          <w:sz w:val="21"/>
          <w:szCs w:val="21"/>
        </w:rPr>
        <w:t>，并从应付或到期应付给承包人的任何款项中或采用其他方法，扣除该违约金。</w:t>
      </w:r>
    </w:p>
    <w:p w14:paraId="7E9516E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承包人必须及时纠正违约行为并采取积极措施，满足合同要求，自行承担与纠正违约行为有关的人身伤亡、罚款、索赔、损失补偿、诉讼费用及其他一切责任，工期不予顺延</w:t>
      </w:r>
      <w:r>
        <w:rPr>
          <w:rFonts w:hint="eastAsia" w:ascii="宋体" w:hAnsi="宋体" w:eastAsia="宋体" w:cs="Times New Roman"/>
          <w:kern w:val="0"/>
          <w:sz w:val="21"/>
          <w:szCs w:val="21"/>
        </w:rPr>
        <w:t>，承担由此给</w:t>
      </w:r>
      <w:r>
        <w:rPr>
          <w:rFonts w:hint="eastAsia" w:ascii="宋体" w:hAnsi="宋体" w:eastAsia="宋体" w:cs="Times New Roman"/>
          <w:sz w:val="21"/>
          <w:szCs w:val="21"/>
        </w:rPr>
        <w:t>发包人造成的经济损失。</w:t>
      </w:r>
    </w:p>
    <w:p w14:paraId="3390EE2D">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16.2.3 因承包人违约解除合同</w:t>
      </w:r>
    </w:p>
    <w:p w14:paraId="18AD7CE2">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因承包人违约并致使合同目的不能实现的，发包人有权解除合同：</w:t>
      </w:r>
    </w:p>
    <w:p w14:paraId="2EFF57AF">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（1）未按合同约定延迟提供履约担保、质量保证金超过14天的；</w:t>
      </w:r>
    </w:p>
    <w:p w14:paraId="51A9BE1B">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（2）未按合同约定购买保险且经催告后超过56天的；</w:t>
      </w:r>
    </w:p>
    <w:p w14:paraId="2935F821">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（3）因承包人原因导致开工时间累计延误超过56天的；</w:t>
      </w:r>
    </w:p>
    <w:p w14:paraId="4DBB11D6">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（4）因承包人原因导致工期延误超过90天的；</w:t>
      </w:r>
    </w:p>
    <w:p w14:paraId="2BE9936C">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（5）发生第21.2款〔退出机制〕约定的情形的；</w:t>
      </w:r>
    </w:p>
    <w:p w14:paraId="4BD1C19F">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（6）监理人发出整改通知后，承包人在监理人限定的期限内仍不纠正违约行为的；</w:t>
      </w:r>
    </w:p>
    <w:p w14:paraId="0477FA4D">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（7）承包人进入清算或者严重资不抵债且无法履行合同的；</w:t>
      </w:r>
    </w:p>
    <w:p w14:paraId="2D9688FD">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（8）违反适用法律而被相关政府部门依法吊销营业执照、责令停业、清算或宣布破产、责令关闭的；</w:t>
      </w:r>
    </w:p>
    <w:p w14:paraId="44DD9DCB">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（9）承包人未履行合同项下的义务构成对合同的实质性违约，并且在收到发包人要求说明其违约并予以补救的通知后56天内仍未能补救该实质性违约的；</w:t>
      </w:r>
    </w:p>
    <w:p w14:paraId="49B8A492">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（10）</w:t>
      </w:r>
      <w:r>
        <w:rPr>
          <w:rFonts w:hint="eastAsia" w:ascii="宋体" w:hAnsi="宋体" w:eastAsia="宋体" w:cs="Microsoft Sans Serif"/>
          <w:kern w:val="0"/>
          <w:sz w:val="21"/>
          <w:szCs w:val="21"/>
          <w:u w:val="single"/>
        </w:rPr>
        <w:t>合同约定的发包人有权解除合同的其他情形</w:t>
      </w:r>
      <w:r>
        <w:rPr>
          <w:rFonts w:hint="eastAsia" w:ascii="宋体" w:hAnsi="宋体" w:eastAsia="宋体" w:cs="Microsoft Sans Serif"/>
          <w:kern w:val="0"/>
          <w:sz w:val="21"/>
          <w:szCs w:val="21"/>
        </w:rPr>
        <w:t>。</w:t>
      </w:r>
    </w:p>
    <w:p w14:paraId="665D0A04">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16.2.4因承包人违约解除合同后的处理</w:t>
      </w:r>
    </w:p>
    <w:p w14:paraId="0ABC420F">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因承包人违约导致合同解除的，合同当事人应在</w:t>
      </w:r>
      <w:r>
        <w:rPr>
          <w:rFonts w:hint="eastAsia" w:ascii="宋体" w:hAnsi="宋体" w:eastAsia="宋体" w:cs="Microsoft Sans Serif"/>
          <w:kern w:val="0"/>
          <w:sz w:val="21"/>
          <w:szCs w:val="21"/>
          <w:u w:val="single"/>
        </w:rPr>
        <w:t>合同解除后28天内</w:t>
      </w:r>
      <w:r>
        <w:rPr>
          <w:rFonts w:hint="eastAsia" w:ascii="宋体" w:hAnsi="宋体" w:eastAsia="宋体" w:cs="Microsoft Sans Serif"/>
          <w:kern w:val="0"/>
          <w:sz w:val="21"/>
          <w:szCs w:val="21"/>
        </w:rPr>
        <w:t>完成估价、付款和清算，并按以下约定执行：</w:t>
      </w:r>
    </w:p>
    <w:p w14:paraId="707BA4C0">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（1）合同解除后，按第14.2款结算审定方式确定承包人实际完成工作对应的合同价款，以及承包人已提供的材料、工程设备、施工设备和临时工程等的价值；</w:t>
      </w:r>
    </w:p>
    <w:p w14:paraId="7E8A4697">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（2）合同解除后，承包人应支付违约金；</w:t>
      </w:r>
    </w:p>
    <w:p w14:paraId="3056C0DF">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（3）合同解除后，赔偿因解除合同给发包人造成的损失；</w:t>
      </w:r>
    </w:p>
    <w:p w14:paraId="225C3420">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（4）合同解除后，承包人应按照发包人要求和监理人的指示完成现场的清理和撤离。</w:t>
      </w:r>
    </w:p>
    <w:p w14:paraId="191347AE">
      <w:pPr>
        <w:spacing w:line="360" w:lineRule="auto"/>
        <w:jc w:val="left"/>
        <w:rPr>
          <w:rFonts w:ascii="宋体" w:hAnsi="宋体" w:eastAsia="宋体" w:cs="Times New Roman"/>
          <w:sz w:val="21"/>
          <w:szCs w:val="21"/>
        </w:rPr>
      </w:pPr>
      <w:r>
        <w:rPr>
          <w:rFonts w:hint="eastAsia" w:ascii="宋体" w:hAnsi="宋体" w:eastAsia="宋体" w:cs="Microsoft Sans Serif"/>
          <w:kern w:val="0"/>
          <w:sz w:val="21"/>
          <w:szCs w:val="21"/>
        </w:rPr>
        <w:t>（5）</w:t>
      </w:r>
      <w:r>
        <w:rPr>
          <w:rFonts w:hint="eastAsia" w:ascii="宋体" w:hAnsi="宋体" w:eastAsia="宋体" w:cs="Microsoft Sans Serif"/>
          <w:kern w:val="0"/>
          <w:sz w:val="21"/>
          <w:szCs w:val="21"/>
          <w:u w:val="single"/>
        </w:rPr>
        <w:t xml:space="preserve">   /     </w:t>
      </w:r>
      <w:r>
        <w:rPr>
          <w:rFonts w:hint="eastAsia" w:ascii="宋体" w:hAnsi="宋体" w:eastAsia="宋体" w:cs="Microsoft Sans Serif"/>
          <w:kern w:val="0"/>
          <w:sz w:val="21"/>
          <w:szCs w:val="21"/>
        </w:rPr>
        <w:t>。</w:t>
      </w:r>
    </w:p>
    <w:p w14:paraId="5468E5A0">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因承包人违约导致解除合同的，发包人有权暂停对承包人的付款，查清各项付款和已扣款项。发包人和承包人未能就合同解除后的清算和款项支付达成一致的，按照第20条〔争议解决〕的约定处理。</w:t>
      </w:r>
    </w:p>
    <w:p w14:paraId="708B71CC">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p w14:paraId="0FE08FBA">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17. 不可抗力</w:t>
      </w:r>
    </w:p>
    <w:p w14:paraId="11F65E98">
      <w:pPr>
        <w:widowControl/>
        <w:spacing w:line="360" w:lineRule="auto"/>
        <w:jc w:val="left"/>
        <w:outlineLvl w:val="4"/>
        <w:rPr>
          <w:rFonts w:ascii="宋体" w:hAnsi="宋体" w:eastAsia="宋体" w:cs="宋体"/>
          <w:b/>
          <w:bCs/>
          <w:kern w:val="0"/>
          <w:sz w:val="21"/>
          <w:szCs w:val="21"/>
        </w:rPr>
      </w:pPr>
      <w:bookmarkStart w:id="1645" w:name="_Toc532377405"/>
      <w:bookmarkEnd w:id="1645"/>
      <w:bookmarkStart w:id="1646" w:name="_Toc532375666"/>
      <w:r>
        <w:rPr>
          <w:rFonts w:hint="eastAsia" w:ascii="宋体" w:hAnsi="宋体" w:eastAsia="宋体" w:cs="宋体"/>
          <w:b/>
          <w:bCs/>
          <w:kern w:val="0"/>
          <w:sz w:val="21"/>
          <w:szCs w:val="21"/>
        </w:rPr>
        <w:t>17.1 不可抗力的确认</w:t>
      </w:r>
      <w:bookmarkEnd w:id="1646"/>
    </w:p>
    <w:p w14:paraId="2CE27E32">
      <w:pPr>
        <w:spacing w:line="400" w:lineRule="exact"/>
        <w:ind w:right="140" w:rightChars="50"/>
        <w:jc w:val="left"/>
        <w:rPr>
          <w:rFonts w:ascii="宋体" w:hAnsi="宋体" w:eastAsia="宋体" w:cs="Times New Roman"/>
          <w:sz w:val="21"/>
          <w:szCs w:val="21"/>
        </w:rPr>
      </w:pPr>
      <w:bookmarkStart w:id="1647" w:name="_Toc351203650"/>
      <w:bookmarkEnd w:id="1647"/>
      <w:bookmarkStart w:id="1648" w:name="_Toc532377408"/>
      <w:bookmarkEnd w:id="1648"/>
      <w:bookmarkStart w:id="1649" w:name="_Toc532375669"/>
      <w:r>
        <w:rPr>
          <w:rFonts w:hint="eastAsia" w:ascii="宋体" w:hAnsi="宋体" w:eastAsia="宋体" w:cs="Times New Roman"/>
          <w:sz w:val="21"/>
          <w:szCs w:val="21"/>
        </w:rPr>
        <w:t>除通用合同条款约定的不可抗力事件之外，视为不可抗力的其他情形：</w:t>
      </w:r>
      <w:bookmarkEnd w:id="1649"/>
      <w:bookmarkStart w:id="1650" w:name="_Hlk524379638"/>
      <w:bookmarkEnd w:id="1650"/>
    </w:p>
    <w:p w14:paraId="63757336">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（1）洪水、火山爆发、山崩、山体滑坡、泥石流、龙卷风、隧道内不可预测的突发性地质灾害等自然灾害；</w:t>
      </w:r>
    </w:p>
    <w:p w14:paraId="4C2AE5EB">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（2）骚乱、戒严、封锁、禁运、恐怖行为、等社会行为，但承包人或其分包人派遣与雇佣的人员由于合同工程施工原因引起的除外；</w:t>
      </w:r>
    </w:p>
    <w:p w14:paraId="1CC6DBED">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（3）不能合理预见的重大交通阻滞、停运、交通事故，非双方责任引起的火灾、爆炸、船舶撞击等情形；</w:t>
      </w:r>
    </w:p>
    <w:p w14:paraId="16EB968C">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（4）化学或放射性污染或核辐射；</w:t>
      </w:r>
    </w:p>
    <w:p w14:paraId="26B12CAA">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（5）环保治理等政府行为导致项目停工的。</w:t>
      </w:r>
    </w:p>
    <w:p w14:paraId="29F64E71">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（6）</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055B7745">
      <w:pPr>
        <w:widowControl/>
        <w:spacing w:line="360" w:lineRule="auto"/>
        <w:jc w:val="left"/>
        <w:outlineLvl w:val="4"/>
        <w:rPr>
          <w:rFonts w:ascii="宋体" w:hAnsi="宋体" w:eastAsia="宋体" w:cs="宋体"/>
          <w:b/>
          <w:bCs/>
          <w:kern w:val="0"/>
          <w:sz w:val="21"/>
          <w:szCs w:val="21"/>
        </w:rPr>
      </w:pPr>
      <w:bookmarkStart w:id="1651" w:name="_Toc532375668"/>
      <w:bookmarkEnd w:id="1651"/>
      <w:bookmarkStart w:id="1652" w:name="_Toc532377407"/>
      <w:r>
        <w:rPr>
          <w:rFonts w:hint="eastAsia" w:ascii="宋体" w:hAnsi="宋体" w:eastAsia="宋体" w:cs="宋体"/>
          <w:b/>
          <w:bCs/>
          <w:kern w:val="0"/>
          <w:sz w:val="21"/>
          <w:szCs w:val="21"/>
        </w:rPr>
        <w:t xml:space="preserve">17.4 </w:t>
      </w:r>
      <w:bookmarkEnd w:id="1652"/>
      <w:r>
        <w:rPr>
          <w:rFonts w:hint="eastAsia" w:ascii="宋体" w:hAnsi="宋体" w:eastAsia="宋体" w:cs="宋体"/>
          <w:b/>
          <w:bCs/>
          <w:kern w:val="0"/>
          <w:sz w:val="21"/>
          <w:szCs w:val="21"/>
        </w:rPr>
        <w:t>因不可抗力解除合同</w:t>
      </w:r>
    </w:p>
    <w:p w14:paraId="038EA4A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合同解除后，发包人应在商定或确定发包人应支付款项后</w:t>
      </w:r>
      <w:r>
        <w:rPr>
          <w:rFonts w:hint="eastAsia" w:ascii="宋体" w:hAnsi="宋体" w:eastAsia="宋体" w:cs="Times New Roman"/>
          <w:sz w:val="21"/>
          <w:szCs w:val="21"/>
          <w:u w:val="single"/>
        </w:rPr>
        <w:t xml:space="preserve"> 60 </w:t>
      </w:r>
      <w:r>
        <w:rPr>
          <w:rFonts w:hint="eastAsia" w:ascii="宋体" w:hAnsi="宋体" w:eastAsia="宋体" w:cs="Times New Roman"/>
          <w:sz w:val="21"/>
          <w:szCs w:val="21"/>
        </w:rPr>
        <w:t>天内完成款项的支付。</w:t>
      </w:r>
    </w:p>
    <w:p w14:paraId="2F5570F0">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18. 保险</w:t>
      </w:r>
    </w:p>
    <w:p w14:paraId="4FEC9211">
      <w:pPr>
        <w:widowControl/>
        <w:spacing w:line="360" w:lineRule="auto"/>
        <w:jc w:val="left"/>
        <w:outlineLvl w:val="4"/>
        <w:rPr>
          <w:rFonts w:ascii="宋体" w:hAnsi="宋体" w:eastAsia="宋体" w:cs="宋体"/>
          <w:b/>
          <w:bCs/>
          <w:kern w:val="0"/>
          <w:sz w:val="21"/>
          <w:szCs w:val="21"/>
        </w:rPr>
      </w:pPr>
      <w:bookmarkStart w:id="1653" w:name="_Toc532377409"/>
      <w:bookmarkEnd w:id="1653"/>
      <w:bookmarkStart w:id="1654" w:name="_Toc532375670"/>
      <w:r>
        <w:rPr>
          <w:rFonts w:hint="eastAsia" w:ascii="宋体" w:hAnsi="宋体" w:eastAsia="宋体" w:cs="宋体"/>
          <w:b/>
          <w:bCs/>
          <w:kern w:val="0"/>
          <w:sz w:val="21"/>
          <w:szCs w:val="21"/>
        </w:rPr>
        <w:t>18.1 工程保险</w:t>
      </w:r>
      <w:bookmarkEnd w:id="1654"/>
    </w:p>
    <w:p w14:paraId="430D6AAD">
      <w:pPr>
        <w:widowControl/>
        <w:spacing w:line="360" w:lineRule="auto"/>
        <w:jc w:val="left"/>
        <w:outlineLvl w:val="4"/>
        <w:rPr>
          <w:rFonts w:ascii="宋体" w:hAnsi="宋体" w:eastAsia="宋体" w:cs="宋体"/>
          <w:kern w:val="0"/>
          <w:sz w:val="21"/>
          <w:szCs w:val="21"/>
        </w:rPr>
      </w:pPr>
      <w:bookmarkStart w:id="1655" w:name="_Toc532377410"/>
      <w:bookmarkEnd w:id="1655"/>
      <w:bookmarkStart w:id="1656" w:name="_Toc532375671"/>
      <w:r>
        <w:rPr>
          <w:rFonts w:hint="eastAsia" w:ascii="宋体" w:hAnsi="宋体" w:eastAsia="宋体" w:cs="宋体"/>
          <w:kern w:val="0"/>
          <w:sz w:val="21"/>
          <w:szCs w:val="21"/>
        </w:rPr>
        <w:t>关于工程保险的特别约定：发包人应投保</w:t>
      </w:r>
      <w:bookmarkEnd w:id="1656"/>
      <w:r>
        <w:rPr>
          <w:rFonts w:hint="eastAsia" w:ascii="宋体" w:hAnsi="宋体" w:eastAsia="宋体" w:cs="宋体"/>
          <w:kern w:val="0"/>
          <w:sz w:val="21"/>
          <w:szCs w:val="21"/>
          <w:u w:val="single"/>
        </w:rPr>
        <w:t>建筑工程一切险或安装工程一切险</w:t>
      </w:r>
      <w:r>
        <w:rPr>
          <w:rFonts w:hint="eastAsia" w:ascii="宋体" w:hAnsi="宋体" w:eastAsia="宋体" w:cs="宋体"/>
          <w:kern w:val="0"/>
          <w:sz w:val="21"/>
          <w:szCs w:val="21"/>
        </w:rPr>
        <w:t>；发包人委托承包人投保的，因投保产生的保险费和其他相关费用由发包人承担。</w:t>
      </w:r>
    </w:p>
    <w:p w14:paraId="3E897B90">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18.3 其他保险</w:t>
      </w:r>
    </w:p>
    <w:p w14:paraId="6D16DD9C">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关于其他保险的约定：</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u w:val="single"/>
        </w:rPr>
        <w:t>按相关规定由承包人自行向保险公司投保</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50FC254">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承包人是否应为其施工设备等办理财产保险：</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u w:val="single"/>
        </w:rPr>
        <w:t>按相关规定由承包人自行向保险公司投保</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07D846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安全生产责任险：</w:t>
      </w:r>
      <w:r>
        <w:rPr>
          <w:rFonts w:hint="eastAsia" w:ascii="宋体" w:hAnsi="宋体" w:eastAsia="宋体" w:cs="Times New Roman"/>
          <w:sz w:val="21"/>
          <w:szCs w:val="21"/>
          <w:u w:val="single"/>
        </w:rPr>
        <w:t>承包人应按《重庆市人民政府办公厅关于在高危行业领域强制推行安全生产责任保险的实施意见》（渝府办法〔2017〕182号）的要求办理安全生产责任保险</w:t>
      </w:r>
      <w:r>
        <w:rPr>
          <w:rFonts w:hint="eastAsia" w:ascii="宋体" w:hAnsi="宋体" w:eastAsia="宋体" w:cs="Times New Roman"/>
          <w:sz w:val="21"/>
          <w:szCs w:val="21"/>
        </w:rPr>
        <w:t>。</w:t>
      </w:r>
    </w:p>
    <w:p w14:paraId="1BB64073">
      <w:pPr>
        <w:widowControl/>
        <w:spacing w:line="360" w:lineRule="auto"/>
        <w:jc w:val="left"/>
        <w:outlineLvl w:val="4"/>
        <w:rPr>
          <w:rFonts w:ascii="宋体" w:hAnsi="宋体" w:eastAsia="宋体" w:cs="宋体"/>
          <w:b/>
          <w:bCs/>
          <w:kern w:val="0"/>
          <w:sz w:val="21"/>
          <w:szCs w:val="21"/>
        </w:rPr>
      </w:pPr>
      <w:bookmarkStart w:id="1657" w:name="_Toc532377411"/>
      <w:bookmarkEnd w:id="1657"/>
      <w:bookmarkStart w:id="1658" w:name="_Toc532375672"/>
      <w:r>
        <w:rPr>
          <w:rFonts w:hint="eastAsia" w:ascii="宋体" w:hAnsi="宋体" w:eastAsia="宋体" w:cs="宋体"/>
          <w:b/>
          <w:bCs/>
          <w:kern w:val="0"/>
          <w:sz w:val="21"/>
          <w:szCs w:val="21"/>
        </w:rPr>
        <w:t>18.7 通知义务</w:t>
      </w:r>
      <w:bookmarkEnd w:id="1658"/>
    </w:p>
    <w:p w14:paraId="6C12CA5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关于变更保险合同时的通知义务的约定：</w:t>
      </w:r>
      <w:r>
        <w:rPr>
          <w:rFonts w:hint="eastAsia" w:ascii="宋体" w:hAnsi="宋体" w:eastAsia="宋体" w:cs="Times New Roman"/>
          <w:sz w:val="21"/>
          <w:szCs w:val="21"/>
          <w:u w:val="single"/>
        </w:rPr>
        <w:t>按通用合同条款执行</w:t>
      </w:r>
      <w:r>
        <w:rPr>
          <w:rFonts w:hint="eastAsia" w:ascii="宋体" w:hAnsi="宋体" w:eastAsia="宋体" w:cs="Times New Roman"/>
          <w:sz w:val="21"/>
          <w:szCs w:val="21"/>
        </w:rPr>
        <w:t>。</w:t>
      </w:r>
    </w:p>
    <w:p w14:paraId="2703E107">
      <w:pPr>
        <w:keepNext/>
        <w:keepLines/>
        <w:spacing w:before="156" w:beforeLines="50" w:after="156" w:afterLines="50" w:line="360" w:lineRule="auto"/>
        <w:outlineLvl w:val="3"/>
        <w:rPr>
          <w:rFonts w:ascii="宋体" w:hAnsi="宋体" w:eastAsia="宋体" w:cs="宋体"/>
          <w:b/>
          <w:sz w:val="21"/>
          <w:szCs w:val="21"/>
        </w:rPr>
      </w:pPr>
      <w:r>
        <w:rPr>
          <w:rFonts w:hint="eastAsia" w:ascii="宋体" w:hAnsi="宋体" w:eastAsia="宋体" w:cs="宋体"/>
          <w:b/>
          <w:bCs/>
          <w:sz w:val="21"/>
          <w:szCs w:val="21"/>
        </w:rPr>
        <w:t>19. 索赔</w:t>
      </w:r>
    </w:p>
    <w:p w14:paraId="68C165A4">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19.1承包人的索赔</w:t>
      </w:r>
    </w:p>
    <w:p w14:paraId="67418301">
      <w:pPr>
        <w:snapToGrid w:val="0"/>
        <w:spacing w:line="360" w:lineRule="auto"/>
        <w:jc w:val="left"/>
        <w:rPr>
          <w:rFonts w:ascii="Times New Roman" w:hAnsi="Times New Roman" w:eastAsia="宋体" w:cs="Times New Roman"/>
          <w:sz w:val="21"/>
          <w:szCs w:val="21"/>
        </w:rPr>
      </w:pPr>
      <w:r>
        <w:rPr>
          <w:rFonts w:hint="eastAsia" w:ascii="宋体" w:hAnsi="宋体" w:eastAsia="宋体" w:cs="Times New Roman"/>
          <w:kern w:val="0"/>
          <w:sz w:val="21"/>
          <w:szCs w:val="21"/>
        </w:rPr>
        <w:t>其他：其因政策原因造成的延期、停工、变更、终止，承包人不得向发包人索赔预期利益。</w:t>
      </w:r>
    </w:p>
    <w:p w14:paraId="3671F445">
      <w:pPr>
        <w:keepNext/>
        <w:keepLines/>
        <w:spacing w:line="360" w:lineRule="auto"/>
        <w:outlineLvl w:val="3"/>
        <w:rPr>
          <w:rFonts w:ascii="宋体" w:hAnsi="宋体" w:eastAsia="宋体" w:cs="宋体"/>
          <w:b/>
          <w:sz w:val="21"/>
          <w:szCs w:val="21"/>
        </w:rPr>
      </w:pPr>
      <w:bookmarkStart w:id="1659" w:name="_Toc532377419"/>
      <w:bookmarkEnd w:id="1659"/>
      <w:bookmarkStart w:id="1660" w:name="_Toc532375680"/>
      <w:bookmarkEnd w:id="1660"/>
      <w:bookmarkStart w:id="1661" w:name="_Toc351203651"/>
      <w:r>
        <w:rPr>
          <w:rFonts w:hint="eastAsia" w:ascii="宋体" w:hAnsi="宋体" w:eastAsia="宋体" w:cs="宋体"/>
          <w:b/>
          <w:bCs/>
          <w:sz w:val="21"/>
          <w:szCs w:val="21"/>
        </w:rPr>
        <w:t>20. 争议解决</w:t>
      </w:r>
      <w:bookmarkEnd w:id="1661"/>
    </w:p>
    <w:p w14:paraId="03561F72">
      <w:pPr>
        <w:widowControl/>
        <w:spacing w:line="360" w:lineRule="auto"/>
        <w:jc w:val="left"/>
        <w:outlineLvl w:val="4"/>
        <w:rPr>
          <w:rFonts w:ascii="宋体" w:hAnsi="宋体" w:eastAsia="宋体" w:cs="宋体"/>
          <w:b/>
          <w:bCs/>
          <w:kern w:val="0"/>
          <w:sz w:val="21"/>
          <w:szCs w:val="21"/>
        </w:rPr>
      </w:pPr>
      <w:bookmarkStart w:id="1662" w:name="_Toc532377420"/>
      <w:bookmarkEnd w:id="1662"/>
      <w:bookmarkStart w:id="1663" w:name="_Toc532375681"/>
      <w:r>
        <w:rPr>
          <w:rFonts w:hint="eastAsia" w:ascii="宋体" w:hAnsi="宋体" w:eastAsia="宋体" w:cs="宋体"/>
          <w:b/>
          <w:bCs/>
          <w:kern w:val="0"/>
          <w:sz w:val="21"/>
          <w:szCs w:val="21"/>
        </w:rPr>
        <w:t>20.3 争议评审</w:t>
      </w:r>
      <w:bookmarkEnd w:id="1663"/>
    </w:p>
    <w:p w14:paraId="17F0CCB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合同当事人是否同意将工程争议提交争议评审小组决定：</w:t>
      </w:r>
      <w:r>
        <w:rPr>
          <w:rFonts w:hint="eastAsia" w:ascii="宋体" w:hAnsi="宋体" w:eastAsia="宋体" w:cs="Times New Roman"/>
          <w:sz w:val="21"/>
          <w:szCs w:val="21"/>
          <w:u w:val="single"/>
        </w:rPr>
        <w:t xml:space="preserve">     </w:t>
      </w:r>
      <w:r>
        <w:rPr>
          <w:rFonts w:hint="eastAsia" w:ascii="宋体" w:hAnsi="宋体" w:eastAsia="宋体" w:cs="Microsoft Sans Serif"/>
          <w:kern w:val="0"/>
          <w:sz w:val="21"/>
          <w:szCs w:val="21"/>
          <w:u w:val="single"/>
        </w:rPr>
        <w:t xml:space="preserve"> /</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8544712">
      <w:pPr>
        <w:widowControl/>
        <w:spacing w:line="360" w:lineRule="auto"/>
        <w:jc w:val="left"/>
        <w:outlineLvl w:val="4"/>
        <w:rPr>
          <w:rFonts w:ascii="宋体" w:hAnsi="宋体" w:eastAsia="宋体" w:cs="宋体"/>
          <w:b/>
          <w:bCs/>
          <w:kern w:val="0"/>
          <w:sz w:val="21"/>
          <w:szCs w:val="21"/>
        </w:rPr>
      </w:pPr>
      <w:bookmarkStart w:id="1664" w:name="_Toc532375682"/>
      <w:bookmarkEnd w:id="1664"/>
      <w:bookmarkStart w:id="1665" w:name="_Toc532377421"/>
      <w:r>
        <w:rPr>
          <w:rFonts w:hint="eastAsia" w:ascii="宋体" w:hAnsi="宋体" w:eastAsia="宋体" w:cs="宋体"/>
          <w:b/>
          <w:bCs/>
          <w:kern w:val="0"/>
          <w:sz w:val="21"/>
          <w:szCs w:val="21"/>
        </w:rPr>
        <w:t>20.4 仲裁或诉讼</w:t>
      </w:r>
      <w:bookmarkEnd w:id="1665"/>
    </w:p>
    <w:p w14:paraId="33C3A8DA">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因合同及合同有关事项发生的争议，按下列第</w:t>
      </w:r>
      <w:r>
        <w:rPr>
          <w:rFonts w:hint="eastAsia" w:ascii="宋体" w:hAnsi="宋体" w:eastAsia="宋体" w:cs="Times New Roman"/>
          <w:sz w:val="21"/>
          <w:szCs w:val="21"/>
          <w:u w:val="single"/>
        </w:rPr>
        <w:t xml:space="preserve"> （2）   </w:t>
      </w:r>
      <w:r>
        <w:rPr>
          <w:rFonts w:hint="eastAsia" w:ascii="宋体" w:hAnsi="宋体" w:eastAsia="宋体" w:cs="Times New Roman"/>
          <w:sz w:val="21"/>
          <w:szCs w:val="21"/>
        </w:rPr>
        <w:t>种方式解决：</w:t>
      </w:r>
    </w:p>
    <w:p w14:paraId="1A3D6F36">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（1）向</w:t>
      </w:r>
      <w:r>
        <w:rPr>
          <w:rFonts w:hint="eastAsia" w:ascii="宋体" w:hAnsi="宋体" w:eastAsia="宋体" w:cs="Times New Roman"/>
          <w:sz w:val="21"/>
          <w:szCs w:val="21"/>
          <w:u w:val="single"/>
        </w:rPr>
        <w:t xml:space="preserve">   项目所在地    </w:t>
      </w:r>
      <w:r>
        <w:rPr>
          <w:rFonts w:hint="eastAsia" w:ascii="宋体" w:hAnsi="宋体" w:eastAsia="宋体" w:cs="Times New Roman"/>
          <w:sz w:val="21"/>
          <w:szCs w:val="21"/>
        </w:rPr>
        <w:t>仲裁委员会申请仲裁；</w:t>
      </w:r>
    </w:p>
    <w:p w14:paraId="21D7CB6F">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（2）向</w:t>
      </w:r>
      <w:r>
        <w:rPr>
          <w:rFonts w:hint="eastAsia" w:ascii="宋体" w:hAnsi="宋体" w:eastAsia="宋体" w:cs="Times New Roman"/>
          <w:sz w:val="21"/>
          <w:szCs w:val="21"/>
          <w:u w:val="single"/>
        </w:rPr>
        <w:t xml:space="preserve">      项目所在地       </w:t>
      </w:r>
      <w:r>
        <w:rPr>
          <w:rFonts w:hint="eastAsia" w:ascii="宋体" w:hAnsi="宋体" w:eastAsia="宋体" w:cs="Times New Roman"/>
          <w:sz w:val="21"/>
          <w:szCs w:val="21"/>
        </w:rPr>
        <w:t>人民法院起诉。</w:t>
      </w:r>
    </w:p>
    <w:p w14:paraId="7AED1B34">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21. 合同附件</w:t>
      </w:r>
    </w:p>
    <w:p w14:paraId="361EB2E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协议书附件：</w:t>
      </w:r>
    </w:p>
    <w:p w14:paraId="6AD8328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附件1：承包人承揽工程项目一览表</w:t>
      </w:r>
    </w:p>
    <w:p w14:paraId="6D82613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专用合同条款附件：</w:t>
      </w:r>
    </w:p>
    <w:p w14:paraId="5D406F7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附件2：发包人供应材料设备一览表</w:t>
      </w:r>
    </w:p>
    <w:p w14:paraId="6588FAB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附件3：工程质量保修书</w:t>
      </w:r>
    </w:p>
    <w:p w14:paraId="1299759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附件4：主要建设工程文件目录</w:t>
      </w:r>
    </w:p>
    <w:p w14:paraId="79854FB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附件5：承包人用于本工程施工的机械设备表</w:t>
      </w:r>
    </w:p>
    <w:p w14:paraId="34451EE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附件6：承包人主要施工管理人员表</w:t>
      </w:r>
    </w:p>
    <w:p w14:paraId="6B5D419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附件7：分包人主要施工管理人员表</w:t>
      </w:r>
    </w:p>
    <w:p w14:paraId="0947864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附件8：履约担保格式</w:t>
      </w:r>
    </w:p>
    <w:p w14:paraId="77714D7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附件9：安全管理协议</w:t>
      </w:r>
    </w:p>
    <w:p w14:paraId="4E4E50E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附件10：廉洁从业协议</w:t>
      </w:r>
    </w:p>
    <w:p w14:paraId="124E8A4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附件11：暂估价一览表</w:t>
      </w:r>
    </w:p>
    <w:p w14:paraId="4FB668BA">
      <w:pPr>
        <w:widowControl/>
        <w:spacing w:line="360" w:lineRule="auto"/>
        <w:jc w:val="left"/>
        <w:rPr>
          <w:rFonts w:ascii="宋体" w:hAnsi="宋体" w:eastAsia="宋体" w:cs="Times New Roman"/>
          <w:sz w:val="21"/>
          <w:szCs w:val="21"/>
        </w:rPr>
        <w:sectPr>
          <w:footerReference r:id="rId11" w:type="first"/>
          <w:headerReference r:id="rId7" w:type="default"/>
          <w:footerReference r:id="rId9" w:type="default"/>
          <w:headerReference r:id="rId8" w:type="even"/>
          <w:footerReference r:id="rId10" w:type="even"/>
          <w:pgSz w:w="11906" w:h="16838"/>
          <w:pgMar w:top="1418" w:right="1531" w:bottom="1418" w:left="1554" w:header="851" w:footer="992" w:gutter="0"/>
          <w:pgNumType w:fmt="decimal" w:start="1"/>
          <w:cols w:space="720" w:num="1"/>
          <w:titlePg/>
          <w:docGrid w:type="lines" w:linePitch="312" w:charSpace="0"/>
        </w:sectPr>
      </w:pPr>
    </w:p>
    <w:p w14:paraId="1BC44AA3">
      <w:pPr>
        <w:spacing w:before="156" w:beforeLines="50" w:after="156" w:afterLines="50" w:line="440" w:lineRule="exact"/>
        <w:jc w:val="left"/>
        <w:rPr>
          <w:rFonts w:ascii="宋体" w:hAnsi="宋体" w:eastAsia="宋体" w:cs="Times New Roman"/>
          <w:sz w:val="21"/>
          <w:szCs w:val="21"/>
        </w:rPr>
      </w:pPr>
      <w:r>
        <w:rPr>
          <w:rFonts w:hint="eastAsia" w:ascii="宋体" w:hAnsi="宋体" w:eastAsia="宋体" w:cs="Times New Roman"/>
          <w:sz w:val="21"/>
          <w:szCs w:val="21"/>
        </w:rPr>
        <w:t>附件1：</w:t>
      </w:r>
    </w:p>
    <w:p w14:paraId="284E9F4D">
      <w:pPr>
        <w:spacing w:before="156" w:beforeLines="50" w:after="156" w:afterLines="50" w:line="440" w:lineRule="exact"/>
        <w:jc w:val="center"/>
        <w:rPr>
          <w:rFonts w:ascii="宋体" w:hAnsi="宋体" w:eastAsia="宋体" w:cs="Times New Roman"/>
          <w:sz w:val="21"/>
          <w:szCs w:val="21"/>
        </w:rPr>
      </w:pPr>
      <w:r>
        <w:rPr>
          <w:rFonts w:hint="eastAsia" w:ascii="宋体" w:hAnsi="宋体" w:eastAsia="宋体" w:cs="Times New Roman"/>
          <w:sz w:val="21"/>
          <w:szCs w:val="21"/>
        </w:rPr>
        <w:t>承包人承揽工程项目一览表</w:t>
      </w:r>
    </w:p>
    <w:tbl>
      <w:tblPr>
        <w:tblStyle w:val="65"/>
        <w:tblW w:w="14601" w:type="dxa"/>
        <w:tblInd w:w="13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73EE7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277" w:type="dxa"/>
            <w:tcBorders>
              <w:top w:val="single" w:color="auto" w:sz="12" w:space="0"/>
              <w:left w:val="single" w:color="auto" w:sz="12" w:space="0"/>
              <w:bottom w:val="double" w:color="auto" w:sz="2" w:space="0"/>
              <w:right w:val="single" w:color="auto" w:sz="6" w:space="0"/>
            </w:tcBorders>
            <w:vAlign w:val="center"/>
          </w:tcPr>
          <w:p w14:paraId="1C785925">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单位工程名称</w:t>
            </w:r>
          </w:p>
        </w:tc>
        <w:tc>
          <w:tcPr>
            <w:tcW w:w="1843" w:type="dxa"/>
            <w:tcBorders>
              <w:top w:val="single" w:color="auto" w:sz="12" w:space="0"/>
              <w:left w:val="single" w:color="auto" w:sz="6" w:space="0"/>
              <w:bottom w:val="double" w:color="auto" w:sz="2" w:space="0"/>
              <w:right w:val="single" w:color="auto" w:sz="6" w:space="0"/>
            </w:tcBorders>
            <w:vAlign w:val="center"/>
          </w:tcPr>
          <w:p w14:paraId="2069AF1C">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建设规模</w:t>
            </w:r>
          </w:p>
        </w:tc>
        <w:tc>
          <w:tcPr>
            <w:tcW w:w="1417" w:type="dxa"/>
            <w:tcBorders>
              <w:top w:val="single" w:color="auto" w:sz="12" w:space="0"/>
              <w:left w:val="single" w:color="auto" w:sz="6" w:space="0"/>
              <w:bottom w:val="double" w:color="auto" w:sz="2" w:space="0"/>
              <w:right w:val="single" w:color="auto" w:sz="6" w:space="0"/>
            </w:tcBorders>
            <w:vAlign w:val="center"/>
          </w:tcPr>
          <w:p w14:paraId="1C8CC3BF">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建筑面积(平方米)</w:t>
            </w:r>
          </w:p>
        </w:tc>
        <w:tc>
          <w:tcPr>
            <w:tcW w:w="2410" w:type="dxa"/>
            <w:tcBorders>
              <w:top w:val="single" w:color="auto" w:sz="12" w:space="0"/>
              <w:left w:val="single" w:color="auto" w:sz="6" w:space="0"/>
              <w:bottom w:val="double" w:color="auto" w:sz="2" w:space="0"/>
              <w:right w:val="single" w:color="auto" w:sz="6" w:space="0"/>
            </w:tcBorders>
            <w:vAlign w:val="center"/>
          </w:tcPr>
          <w:p w14:paraId="25ED66D7">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结构形式</w:t>
            </w:r>
          </w:p>
        </w:tc>
        <w:tc>
          <w:tcPr>
            <w:tcW w:w="850" w:type="dxa"/>
            <w:tcBorders>
              <w:top w:val="single" w:color="auto" w:sz="12" w:space="0"/>
              <w:left w:val="single" w:color="auto" w:sz="6" w:space="0"/>
              <w:bottom w:val="double" w:color="auto" w:sz="2" w:space="0"/>
              <w:right w:val="single" w:color="auto" w:sz="6" w:space="0"/>
            </w:tcBorders>
            <w:vAlign w:val="center"/>
          </w:tcPr>
          <w:p w14:paraId="6FA5B5D3">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层数</w:t>
            </w:r>
          </w:p>
        </w:tc>
        <w:tc>
          <w:tcPr>
            <w:tcW w:w="1560" w:type="dxa"/>
            <w:tcBorders>
              <w:top w:val="single" w:color="auto" w:sz="12" w:space="0"/>
              <w:left w:val="single" w:color="auto" w:sz="6" w:space="0"/>
              <w:bottom w:val="double" w:color="auto" w:sz="2" w:space="0"/>
              <w:right w:val="single" w:color="auto" w:sz="6" w:space="0"/>
            </w:tcBorders>
            <w:vAlign w:val="center"/>
          </w:tcPr>
          <w:p w14:paraId="58026B7E">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生产能力</w:t>
            </w:r>
          </w:p>
        </w:tc>
        <w:tc>
          <w:tcPr>
            <w:tcW w:w="2126" w:type="dxa"/>
            <w:tcBorders>
              <w:top w:val="single" w:color="auto" w:sz="12" w:space="0"/>
              <w:left w:val="single" w:color="auto" w:sz="6" w:space="0"/>
              <w:bottom w:val="double" w:color="auto" w:sz="2" w:space="0"/>
              <w:right w:val="single" w:color="auto" w:sz="6" w:space="0"/>
            </w:tcBorders>
            <w:vAlign w:val="center"/>
          </w:tcPr>
          <w:p w14:paraId="3FDE99F4">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设备安装内容</w:t>
            </w:r>
          </w:p>
        </w:tc>
        <w:tc>
          <w:tcPr>
            <w:tcW w:w="1417" w:type="dxa"/>
            <w:tcBorders>
              <w:top w:val="single" w:color="auto" w:sz="12" w:space="0"/>
              <w:left w:val="single" w:color="auto" w:sz="6" w:space="0"/>
              <w:bottom w:val="double" w:color="auto" w:sz="2" w:space="0"/>
              <w:right w:val="single" w:color="auto" w:sz="6" w:space="0"/>
            </w:tcBorders>
            <w:vAlign w:val="center"/>
          </w:tcPr>
          <w:p w14:paraId="537ADDBB">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合同价格（元）</w:t>
            </w:r>
          </w:p>
        </w:tc>
        <w:tc>
          <w:tcPr>
            <w:tcW w:w="851" w:type="dxa"/>
            <w:tcBorders>
              <w:top w:val="single" w:color="auto" w:sz="12" w:space="0"/>
              <w:left w:val="single" w:color="auto" w:sz="6" w:space="0"/>
              <w:bottom w:val="double" w:color="auto" w:sz="2" w:space="0"/>
              <w:right w:val="single" w:color="auto" w:sz="6" w:space="0"/>
            </w:tcBorders>
            <w:vAlign w:val="center"/>
          </w:tcPr>
          <w:p w14:paraId="60F023BD">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开工日期</w:t>
            </w:r>
          </w:p>
        </w:tc>
        <w:tc>
          <w:tcPr>
            <w:tcW w:w="850" w:type="dxa"/>
            <w:tcBorders>
              <w:top w:val="single" w:color="auto" w:sz="12" w:space="0"/>
              <w:left w:val="single" w:color="auto" w:sz="6" w:space="0"/>
              <w:bottom w:val="double" w:color="auto" w:sz="2" w:space="0"/>
              <w:right w:val="single" w:color="auto" w:sz="12" w:space="0"/>
            </w:tcBorders>
            <w:vAlign w:val="center"/>
          </w:tcPr>
          <w:p w14:paraId="5B291C4E">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竣工日期</w:t>
            </w:r>
          </w:p>
        </w:tc>
      </w:tr>
      <w:tr w14:paraId="5069D4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2" w:space="0"/>
              <w:left w:val="single" w:color="auto" w:sz="12" w:space="0"/>
              <w:bottom w:val="single" w:color="auto" w:sz="6" w:space="0"/>
              <w:right w:val="single" w:color="auto" w:sz="6" w:space="0"/>
            </w:tcBorders>
            <w:vAlign w:val="center"/>
          </w:tcPr>
          <w:p w14:paraId="3802FA0D">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double" w:color="auto" w:sz="2" w:space="0"/>
              <w:left w:val="single" w:color="auto" w:sz="6" w:space="0"/>
              <w:bottom w:val="single" w:color="auto" w:sz="6" w:space="0"/>
              <w:right w:val="single" w:color="auto" w:sz="6" w:space="0"/>
            </w:tcBorders>
            <w:vAlign w:val="center"/>
          </w:tcPr>
          <w:p w14:paraId="4326F1D5">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double" w:color="auto" w:sz="2" w:space="0"/>
              <w:left w:val="single" w:color="auto" w:sz="6" w:space="0"/>
              <w:bottom w:val="single" w:color="auto" w:sz="6" w:space="0"/>
              <w:right w:val="single" w:color="auto" w:sz="6" w:space="0"/>
            </w:tcBorders>
            <w:vAlign w:val="center"/>
          </w:tcPr>
          <w:p w14:paraId="2C6E1AAB">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double" w:color="auto" w:sz="2" w:space="0"/>
              <w:left w:val="single" w:color="auto" w:sz="6" w:space="0"/>
              <w:bottom w:val="single" w:color="auto" w:sz="6" w:space="0"/>
              <w:right w:val="single" w:color="auto" w:sz="6" w:space="0"/>
            </w:tcBorders>
            <w:vAlign w:val="center"/>
          </w:tcPr>
          <w:p w14:paraId="6E7B5749">
            <w:pPr>
              <w:keepNext/>
              <w:autoSpaceDE w:val="0"/>
              <w:spacing w:before="100" w:beforeAutospacing="1" w:line="400" w:lineRule="exact"/>
              <w:jc w:val="center"/>
              <w:rPr>
                <w:rFonts w:ascii="宋体" w:hAnsi="宋体" w:eastAsia="宋体" w:cs="Times New Roman"/>
                <w:sz w:val="21"/>
                <w:szCs w:val="21"/>
              </w:rPr>
            </w:pPr>
          </w:p>
        </w:tc>
        <w:tc>
          <w:tcPr>
            <w:tcW w:w="850" w:type="dxa"/>
            <w:tcBorders>
              <w:top w:val="double" w:color="auto" w:sz="2" w:space="0"/>
              <w:left w:val="single" w:color="auto" w:sz="6" w:space="0"/>
              <w:bottom w:val="single" w:color="auto" w:sz="6" w:space="0"/>
              <w:right w:val="single" w:color="auto" w:sz="6" w:space="0"/>
            </w:tcBorders>
            <w:vAlign w:val="center"/>
          </w:tcPr>
          <w:p w14:paraId="7D9C0D98">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double" w:color="auto" w:sz="2" w:space="0"/>
              <w:left w:val="single" w:color="auto" w:sz="6" w:space="0"/>
              <w:bottom w:val="single" w:color="auto" w:sz="6" w:space="0"/>
              <w:right w:val="single" w:color="auto" w:sz="6" w:space="0"/>
            </w:tcBorders>
            <w:vAlign w:val="center"/>
          </w:tcPr>
          <w:p w14:paraId="0B257EB7">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double" w:color="auto" w:sz="2" w:space="0"/>
              <w:left w:val="single" w:color="auto" w:sz="6" w:space="0"/>
              <w:bottom w:val="single" w:color="auto" w:sz="6" w:space="0"/>
              <w:right w:val="single" w:color="auto" w:sz="6" w:space="0"/>
            </w:tcBorders>
            <w:vAlign w:val="center"/>
          </w:tcPr>
          <w:p w14:paraId="628AA0CD">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double" w:color="auto" w:sz="2" w:space="0"/>
              <w:left w:val="single" w:color="auto" w:sz="6" w:space="0"/>
              <w:bottom w:val="single" w:color="auto" w:sz="6" w:space="0"/>
              <w:right w:val="single" w:color="auto" w:sz="6" w:space="0"/>
            </w:tcBorders>
            <w:vAlign w:val="center"/>
          </w:tcPr>
          <w:p w14:paraId="3CFD90F5">
            <w:pPr>
              <w:keepNext/>
              <w:autoSpaceDE w:val="0"/>
              <w:spacing w:before="100" w:beforeAutospacing="1" w:line="400" w:lineRule="exact"/>
              <w:jc w:val="center"/>
              <w:rPr>
                <w:rFonts w:ascii="宋体" w:hAnsi="宋体" w:eastAsia="宋体" w:cs="Times New Roman"/>
                <w:sz w:val="21"/>
                <w:szCs w:val="21"/>
              </w:rPr>
            </w:pPr>
          </w:p>
        </w:tc>
        <w:tc>
          <w:tcPr>
            <w:tcW w:w="851" w:type="dxa"/>
            <w:tcBorders>
              <w:top w:val="double" w:color="auto" w:sz="2" w:space="0"/>
              <w:left w:val="single" w:color="auto" w:sz="6" w:space="0"/>
              <w:bottom w:val="single" w:color="auto" w:sz="6" w:space="0"/>
              <w:right w:val="single" w:color="auto" w:sz="6" w:space="0"/>
            </w:tcBorders>
            <w:vAlign w:val="center"/>
          </w:tcPr>
          <w:p w14:paraId="71503D0E">
            <w:pPr>
              <w:keepNext/>
              <w:autoSpaceDE w:val="0"/>
              <w:spacing w:before="100" w:beforeAutospacing="1" w:line="400" w:lineRule="exact"/>
              <w:jc w:val="center"/>
              <w:rPr>
                <w:rFonts w:ascii="宋体" w:hAnsi="宋体" w:eastAsia="宋体" w:cs="Times New Roman"/>
                <w:sz w:val="21"/>
                <w:szCs w:val="21"/>
              </w:rPr>
            </w:pPr>
          </w:p>
        </w:tc>
        <w:tc>
          <w:tcPr>
            <w:tcW w:w="850" w:type="dxa"/>
            <w:tcBorders>
              <w:top w:val="double" w:color="auto" w:sz="2" w:space="0"/>
              <w:left w:val="single" w:color="auto" w:sz="6" w:space="0"/>
              <w:bottom w:val="single" w:color="auto" w:sz="6" w:space="0"/>
              <w:right w:val="single" w:color="auto" w:sz="12" w:space="0"/>
            </w:tcBorders>
            <w:vAlign w:val="center"/>
          </w:tcPr>
          <w:p w14:paraId="27F0E764">
            <w:pPr>
              <w:keepNext/>
              <w:autoSpaceDE w:val="0"/>
              <w:spacing w:before="100" w:beforeAutospacing="1" w:line="400" w:lineRule="exact"/>
              <w:jc w:val="center"/>
              <w:rPr>
                <w:rFonts w:ascii="宋体" w:hAnsi="宋体" w:eastAsia="宋体" w:cs="Times New Roman"/>
                <w:sz w:val="21"/>
                <w:szCs w:val="21"/>
              </w:rPr>
            </w:pPr>
          </w:p>
        </w:tc>
      </w:tr>
      <w:tr w14:paraId="2BBF10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5CD2EC2E">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73D6FD0D">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3729109D">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single" w:color="auto" w:sz="6" w:space="0"/>
              <w:left w:val="single" w:color="auto" w:sz="6" w:space="0"/>
              <w:bottom w:val="single" w:color="auto" w:sz="6" w:space="0"/>
              <w:right w:val="single" w:color="auto" w:sz="6" w:space="0"/>
            </w:tcBorders>
            <w:vAlign w:val="center"/>
          </w:tcPr>
          <w:p w14:paraId="14A26FE9">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7CA71C85">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single" w:color="auto" w:sz="6" w:space="0"/>
              <w:left w:val="single" w:color="auto" w:sz="6" w:space="0"/>
              <w:bottom w:val="single" w:color="auto" w:sz="6" w:space="0"/>
              <w:right w:val="single" w:color="auto" w:sz="6" w:space="0"/>
            </w:tcBorders>
            <w:vAlign w:val="center"/>
          </w:tcPr>
          <w:p w14:paraId="65BB469A">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single" w:color="auto" w:sz="6" w:space="0"/>
              <w:left w:val="single" w:color="auto" w:sz="6" w:space="0"/>
              <w:bottom w:val="single" w:color="auto" w:sz="6" w:space="0"/>
              <w:right w:val="single" w:color="auto" w:sz="6" w:space="0"/>
            </w:tcBorders>
            <w:vAlign w:val="center"/>
          </w:tcPr>
          <w:p w14:paraId="77BF85DE">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3451E967">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2B973A04">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12" w:space="0"/>
            </w:tcBorders>
            <w:vAlign w:val="center"/>
          </w:tcPr>
          <w:p w14:paraId="10516C85">
            <w:pPr>
              <w:keepNext/>
              <w:autoSpaceDE w:val="0"/>
              <w:spacing w:before="100" w:beforeAutospacing="1" w:line="400" w:lineRule="exact"/>
              <w:jc w:val="center"/>
              <w:rPr>
                <w:rFonts w:ascii="宋体" w:hAnsi="宋体" w:eastAsia="宋体" w:cs="Times New Roman"/>
                <w:sz w:val="21"/>
                <w:szCs w:val="21"/>
              </w:rPr>
            </w:pPr>
          </w:p>
        </w:tc>
      </w:tr>
      <w:tr w14:paraId="6469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77612595">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nil"/>
              <w:left w:val="single" w:color="auto" w:sz="6" w:space="0"/>
              <w:bottom w:val="single" w:color="auto" w:sz="6" w:space="0"/>
              <w:right w:val="single" w:color="auto" w:sz="6" w:space="0"/>
            </w:tcBorders>
            <w:vAlign w:val="center"/>
          </w:tcPr>
          <w:p w14:paraId="09397C88">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7F193C92">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nil"/>
              <w:left w:val="single" w:color="auto" w:sz="6" w:space="0"/>
              <w:bottom w:val="single" w:color="auto" w:sz="6" w:space="0"/>
              <w:right w:val="single" w:color="auto" w:sz="6" w:space="0"/>
            </w:tcBorders>
            <w:vAlign w:val="center"/>
          </w:tcPr>
          <w:p w14:paraId="7B1E0E6A">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6" w:space="0"/>
            </w:tcBorders>
            <w:vAlign w:val="center"/>
          </w:tcPr>
          <w:p w14:paraId="1847DE14">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nil"/>
              <w:left w:val="single" w:color="auto" w:sz="6" w:space="0"/>
              <w:bottom w:val="single" w:color="auto" w:sz="6" w:space="0"/>
              <w:right w:val="single" w:color="auto" w:sz="6" w:space="0"/>
            </w:tcBorders>
            <w:vAlign w:val="center"/>
          </w:tcPr>
          <w:p w14:paraId="59050718">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nil"/>
              <w:left w:val="single" w:color="auto" w:sz="6" w:space="0"/>
              <w:bottom w:val="single" w:color="auto" w:sz="6" w:space="0"/>
              <w:right w:val="single" w:color="auto" w:sz="6" w:space="0"/>
            </w:tcBorders>
            <w:vAlign w:val="center"/>
          </w:tcPr>
          <w:p w14:paraId="1E014837">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64826EE0">
            <w:pPr>
              <w:keepNext/>
              <w:autoSpaceDE w:val="0"/>
              <w:spacing w:before="100" w:beforeAutospacing="1" w:line="400" w:lineRule="exact"/>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vAlign w:val="center"/>
          </w:tcPr>
          <w:p w14:paraId="6BEA4FC8">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12" w:space="0"/>
            </w:tcBorders>
            <w:vAlign w:val="center"/>
          </w:tcPr>
          <w:p w14:paraId="6C9D58C0">
            <w:pPr>
              <w:keepNext/>
              <w:autoSpaceDE w:val="0"/>
              <w:spacing w:before="100" w:beforeAutospacing="1" w:line="400" w:lineRule="exact"/>
              <w:jc w:val="center"/>
              <w:rPr>
                <w:rFonts w:ascii="宋体" w:hAnsi="宋体" w:eastAsia="宋体" w:cs="Times New Roman"/>
                <w:sz w:val="21"/>
                <w:szCs w:val="21"/>
              </w:rPr>
            </w:pPr>
          </w:p>
        </w:tc>
      </w:tr>
      <w:tr w14:paraId="42EF0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39B2C926">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4B7873C0">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15834566">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single" w:color="auto" w:sz="6" w:space="0"/>
              <w:left w:val="single" w:color="auto" w:sz="6" w:space="0"/>
              <w:bottom w:val="single" w:color="auto" w:sz="6" w:space="0"/>
              <w:right w:val="single" w:color="auto" w:sz="6" w:space="0"/>
            </w:tcBorders>
            <w:vAlign w:val="center"/>
          </w:tcPr>
          <w:p w14:paraId="3BA30F3C">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0E3F0675">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single" w:color="auto" w:sz="6" w:space="0"/>
              <w:left w:val="single" w:color="auto" w:sz="6" w:space="0"/>
              <w:bottom w:val="single" w:color="auto" w:sz="6" w:space="0"/>
              <w:right w:val="single" w:color="auto" w:sz="6" w:space="0"/>
            </w:tcBorders>
            <w:vAlign w:val="center"/>
          </w:tcPr>
          <w:p w14:paraId="635B2386">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single" w:color="auto" w:sz="6" w:space="0"/>
              <w:left w:val="single" w:color="auto" w:sz="6" w:space="0"/>
              <w:bottom w:val="single" w:color="auto" w:sz="6" w:space="0"/>
              <w:right w:val="single" w:color="auto" w:sz="6" w:space="0"/>
            </w:tcBorders>
            <w:vAlign w:val="center"/>
          </w:tcPr>
          <w:p w14:paraId="585D9200">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F29B82F">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7682709D">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12" w:space="0"/>
            </w:tcBorders>
            <w:vAlign w:val="center"/>
          </w:tcPr>
          <w:p w14:paraId="12326A74">
            <w:pPr>
              <w:keepNext/>
              <w:autoSpaceDE w:val="0"/>
              <w:spacing w:before="100" w:beforeAutospacing="1" w:line="400" w:lineRule="exact"/>
              <w:jc w:val="center"/>
              <w:rPr>
                <w:rFonts w:ascii="宋体" w:hAnsi="宋体" w:eastAsia="宋体" w:cs="Times New Roman"/>
                <w:sz w:val="21"/>
                <w:szCs w:val="21"/>
              </w:rPr>
            </w:pPr>
          </w:p>
        </w:tc>
      </w:tr>
      <w:tr w14:paraId="477953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22538F8">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nil"/>
              <w:left w:val="single" w:color="auto" w:sz="6" w:space="0"/>
              <w:bottom w:val="single" w:color="auto" w:sz="6" w:space="0"/>
              <w:right w:val="single" w:color="auto" w:sz="6" w:space="0"/>
            </w:tcBorders>
            <w:vAlign w:val="center"/>
          </w:tcPr>
          <w:p w14:paraId="76041F9E">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6DEDBDBA">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nil"/>
              <w:left w:val="single" w:color="auto" w:sz="6" w:space="0"/>
              <w:bottom w:val="single" w:color="auto" w:sz="6" w:space="0"/>
              <w:right w:val="single" w:color="auto" w:sz="6" w:space="0"/>
            </w:tcBorders>
            <w:vAlign w:val="center"/>
          </w:tcPr>
          <w:p w14:paraId="5AD67D2D">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6" w:space="0"/>
            </w:tcBorders>
            <w:vAlign w:val="center"/>
          </w:tcPr>
          <w:p w14:paraId="7AC46FFC">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nil"/>
              <w:left w:val="single" w:color="auto" w:sz="6" w:space="0"/>
              <w:bottom w:val="single" w:color="auto" w:sz="6" w:space="0"/>
              <w:right w:val="single" w:color="auto" w:sz="6" w:space="0"/>
            </w:tcBorders>
            <w:vAlign w:val="center"/>
          </w:tcPr>
          <w:p w14:paraId="5FF50E36">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nil"/>
              <w:left w:val="single" w:color="auto" w:sz="6" w:space="0"/>
              <w:bottom w:val="single" w:color="auto" w:sz="6" w:space="0"/>
              <w:right w:val="single" w:color="auto" w:sz="6" w:space="0"/>
            </w:tcBorders>
            <w:vAlign w:val="center"/>
          </w:tcPr>
          <w:p w14:paraId="4CF9C310">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55D314BF">
            <w:pPr>
              <w:keepNext/>
              <w:autoSpaceDE w:val="0"/>
              <w:spacing w:before="100" w:beforeAutospacing="1" w:line="400" w:lineRule="exact"/>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vAlign w:val="center"/>
          </w:tcPr>
          <w:p w14:paraId="78D6BFEA">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12" w:space="0"/>
            </w:tcBorders>
            <w:vAlign w:val="center"/>
          </w:tcPr>
          <w:p w14:paraId="74A14B81">
            <w:pPr>
              <w:keepNext/>
              <w:autoSpaceDE w:val="0"/>
              <w:spacing w:before="100" w:beforeAutospacing="1" w:line="400" w:lineRule="exact"/>
              <w:jc w:val="center"/>
              <w:rPr>
                <w:rFonts w:ascii="宋体" w:hAnsi="宋体" w:eastAsia="宋体" w:cs="Times New Roman"/>
                <w:sz w:val="21"/>
                <w:szCs w:val="21"/>
              </w:rPr>
            </w:pPr>
          </w:p>
        </w:tc>
      </w:tr>
      <w:tr w14:paraId="6E9C86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910D04E">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nil"/>
              <w:left w:val="single" w:color="auto" w:sz="6" w:space="0"/>
              <w:bottom w:val="single" w:color="auto" w:sz="6" w:space="0"/>
              <w:right w:val="single" w:color="auto" w:sz="6" w:space="0"/>
            </w:tcBorders>
            <w:vAlign w:val="center"/>
          </w:tcPr>
          <w:p w14:paraId="440EA09D">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5CBBA433">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nil"/>
              <w:left w:val="single" w:color="auto" w:sz="6" w:space="0"/>
              <w:bottom w:val="single" w:color="auto" w:sz="6" w:space="0"/>
              <w:right w:val="single" w:color="auto" w:sz="6" w:space="0"/>
            </w:tcBorders>
            <w:vAlign w:val="center"/>
          </w:tcPr>
          <w:p w14:paraId="4515FC60">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6" w:space="0"/>
            </w:tcBorders>
            <w:vAlign w:val="center"/>
          </w:tcPr>
          <w:p w14:paraId="39A4F0E7">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nil"/>
              <w:left w:val="single" w:color="auto" w:sz="6" w:space="0"/>
              <w:bottom w:val="single" w:color="auto" w:sz="6" w:space="0"/>
              <w:right w:val="single" w:color="auto" w:sz="6" w:space="0"/>
            </w:tcBorders>
            <w:vAlign w:val="center"/>
          </w:tcPr>
          <w:p w14:paraId="4C0D86DE">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nil"/>
              <w:left w:val="single" w:color="auto" w:sz="6" w:space="0"/>
              <w:bottom w:val="single" w:color="auto" w:sz="6" w:space="0"/>
              <w:right w:val="single" w:color="auto" w:sz="6" w:space="0"/>
            </w:tcBorders>
            <w:vAlign w:val="center"/>
          </w:tcPr>
          <w:p w14:paraId="03FC239E">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4BE8715E">
            <w:pPr>
              <w:keepNext/>
              <w:autoSpaceDE w:val="0"/>
              <w:spacing w:before="100" w:beforeAutospacing="1" w:line="400" w:lineRule="exact"/>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vAlign w:val="center"/>
          </w:tcPr>
          <w:p w14:paraId="6AF80A94">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12" w:space="0"/>
            </w:tcBorders>
            <w:vAlign w:val="center"/>
          </w:tcPr>
          <w:p w14:paraId="2593A233">
            <w:pPr>
              <w:keepNext/>
              <w:autoSpaceDE w:val="0"/>
              <w:spacing w:before="100" w:beforeAutospacing="1" w:line="400" w:lineRule="exact"/>
              <w:jc w:val="center"/>
              <w:rPr>
                <w:rFonts w:ascii="宋体" w:hAnsi="宋体" w:eastAsia="宋体" w:cs="Times New Roman"/>
                <w:sz w:val="21"/>
                <w:szCs w:val="21"/>
              </w:rPr>
            </w:pPr>
          </w:p>
        </w:tc>
      </w:tr>
      <w:tr w14:paraId="11277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51B7B9B7">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5C3EBC7D">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27EA9907">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single" w:color="auto" w:sz="6" w:space="0"/>
              <w:left w:val="single" w:color="auto" w:sz="6" w:space="0"/>
              <w:bottom w:val="single" w:color="auto" w:sz="6" w:space="0"/>
              <w:right w:val="single" w:color="auto" w:sz="6" w:space="0"/>
            </w:tcBorders>
            <w:vAlign w:val="center"/>
          </w:tcPr>
          <w:p w14:paraId="2E69709E">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2F975B2E">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single" w:color="auto" w:sz="6" w:space="0"/>
              <w:left w:val="single" w:color="auto" w:sz="6" w:space="0"/>
              <w:bottom w:val="single" w:color="auto" w:sz="6" w:space="0"/>
              <w:right w:val="single" w:color="auto" w:sz="6" w:space="0"/>
            </w:tcBorders>
            <w:vAlign w:val="center"/>
          </w:tcPr>
          <w:p w14:paraId="67F07304">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single" w:color="auto" w:sz="6" w:space="0"/>
              <w:left w:val="single" w:color="auto" w:sz="6" w:space="0"/>
              <w:bottom w:val="single" w:color="auto" w:sz="6" w:space="0"/>
              <w:right w:val="single" w:color="auto" w:sz="6" w:space="0"/>
            </w:tcBorders>
            <w:vAlign w:val="center"/>
          </w:tcPr>
          <w:p w14:paraId="0FF14D5E">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9C6D20C">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73FDF7AD">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12" w:space="0"/>
            </w:tcBorders>
            <w:vAlign w:val="center"/>
          </w:tcPr>
          <w:p w14:paraId="634CA528">
            <w:pPr>
              <w:keepNext/>
              <w:autoSpaceDE w:val="0"/>
              <w:spacing w:before="100" w:beforeAutospacing="1" w:line="400" w:lineRule="exact"/>
              <w:jc w:val="center"/>
              <w:rPr>
                <w:rFonts w:ascii="宋体" w:hAnsi="宋体" w:eastAsia="宋体" w:cs="Times New Roman"/>
                <w:sz w:val="21"/>
                <w:szCs w:val="21"/>
              </w:rPr>
            </w:pPr>
          </w:p>
        </w:tc>
      </w:tr>
      <w:tr w14:paraId="12EF3F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245D7A3">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nil"/>
              <w:left w:val="single" w:color="auto" w:sz="6" w:space="0"/>
              <w:bottom w:val="single" w:color="auto" w:sz="6" w:space="0"/>
              <w:right w:val="single" w:color="auto" w:sz="6" w:space="0"/>
            </w:tcBorders>
            <w:vAlign w:val="center"/>
          </w:tcPr>
          <w:p w14:paraId="3ACBEDE2">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3637D9B4">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nil"/>
              <w:left w:val="single" w:color="auto" w:sz="6" w:space="0"/>
              <w:bottom w:val="single" w:color="auto" w:sz="6" w:space="0"/>
              <w:right w:val="single" w:color="auto" w:sz="6" w:space="0"/>
            </w:tcBorders>
            <w:vAlign w:val="center"/>
          </w:tcPr>
          <w:p w14:paraId="37B09415">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6" w:space="0"/>
            </w:tcBorders>
            <w:vAlign w:val="center"/>
          </w:tcPr>
          <w:p w14:paraId="38E3A67A">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nil"/>
              <w:left w:val="single" w:color="auto" w:sz="6" w:space="0"/>
              <w:bottom w:val="single" w:color="auto" w:sz="6" w:space="0"/>
              <w:right w:val="single" w:color="auto" w:sz="6" w:space="0"/>
            </w:tcBorders>
            <w:vAlign w:val="center"/>
          </w:tcPr>
          <w:p w14:paraId="7EB055C5">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nil"/>
              <w:left w:val="single" w:color="auto" w:sz="6" w:space="0"/>
              <w:bottom w:val="single" w:color="auto" w:sz="6" w:space="0"/>
              <w:right w:val="single" w:color="auto" w:sz="6" w:space="0"/>
            </w:tcBorders>
            <w:vAlign w:val="center"/>
          </w:tcPr>
          <w:p w14:paraId="11C21694">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06499BCC">
            <w:pPr>
              <w:keepNext/>
              <w:autoSpaceDE w:val="0"/>
              <w:spacing w:before="100" w:beforeAutospacing="1" w:line="400" w:lineRule="exact"/>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vAlign w:val="center"/>
          </w:tcPr>
          <w:p w14:paraId="1902AB49">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12" w:space="0"/>
            </w:tcBorders>
            <w:vAlign w:val="center"/>
          </w:tcPr>
          <w:p w14:paraId="090E7ECB">
            <w:pPr>
              <w:keepNext/>
              <w:autoSpaceDE w:val="0"/>
              <w:spacing w:before="100" w:beforeAutospacing="1" w:line="400" w:lineRule="exact"/>
              <w:jc w:val="center"/>
              <w:rPr>
                <w:rFonts w:ascii="宋体" w:hAnsi="宋体" w:eastAsia="宋体" w:cs="Times New Roman"/>
                <w:sz w:val="21"/>
                <w:szCs w:val="21"/>
              </w:rPr>
            </w:pPr>
          </w:p>
        </w:tc>
      </w:tr>
      <w:tr w14:paraId="2027C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12" w:space="0"/>
              <w:right w:val="single" w:color="auto" w:sz="6" w:space="0"/>
            </w:tcBorders>
            <w:vAlign w:val="center"/>
          </w:tcPr>
          <w:p w14:paraId="13159682">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single" w:color="auto" w:sz="6" w:space="0"/>
              <w:left w:val="single" w:color="auto" w:sz="6" w:space="0"/>
              <w:bottom w:val="single" w:color="auto" w:sz="12" w:space="0"/>
              <w:right w:val="single" w:color="auto" w:sz="6" w:space="0"/>
            </w:tcBorders>
            <w:vAlign w:val="center"/>
          </w:tcPr>
          <w:p w14:paraId="51DA2C1D">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12" w:space="0"/>
              <w:right w:val="single" w:color="auto" w:sz="6" w:space="0"/>
            </w:tcBorders>
            <w:vAlign w:val="center"/>
          </w:tcPr>
          <w:p w14:paraId="60DDD417">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single" w:color="auto" w:sz="6" w:space="0"/>
              <w:left w:val="single" w:color="auto" w:sz="6" w:space="0"/>
              <w:bottom w:val="single" w:color="auto" w:sz="12" w:space="0"/>
              <w:right w:val="single" w:color="auto" w:sz="6" w:space="0"/>
            </w:tcBorders>
            <w:vAlign w:val="center"/>
          </w:tcPr>
          <w:p w14:paraId="3BAE283E">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12" w:space="0"/>
              <w:right w:val="single" w:color="auto" w:sz="6" w:space="0"/>
            </w:tcBorders>
            <w:vAlign w:val="center"/>
          </w:tcPr>
          <w:p w14:paraId="50BFA94E">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single" w:color="auto" w:sz="6" w:space="0"/>
              <w:left w:val="single" w:color="auto" w:sz="6" w:space="0"/>
              <w:bottom w:val="single" w:color="auto" w:sz="12" w:space="0"/>
              <w:right w:val="single" w:color="auto" w:sz="6" w:space="0"/>
            </w:tcBorders>
            <w:vAlign w:val="center"/>
          </w:tcPr>
          <w:p w14:paraId="6593486A">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single" w:color="auto" w:sz="6" w:space="0"/>
              <w:left w:val="single" w:color="auto" w:sz="6" w:space="0"/>
              <w:bottom w:val="single" w:color="auto" w:sz="12" w:space="0"/>
              <w:right w:val="single" w:color="auto" w:sz="6" w:space="0"/>
            </w:tcBorders>
            <w:vAlign w:val="center"/>
          </w:tcPr>
          <w:p w14:paraId="5474A042">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12" w:space="0"/>
              <w:right w:val="single" w:color="auto" w:sz="6" w:space="0"/>
            </w:tcBorders>
            <w:vAlign w:val="center"/>
          </w:tcPr>
          <w:p w14:paraId="783EA009">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12" w:space="0"/>
              <w:right w:val="single" w:color="auto" w:sz="6" w:space="0"/>
            </w:tcBorders>
            <w:vAlign w:val="center"/>
          </w:tcPr>
          <w:p w14:paraId="77A9AD14">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12" w:space="0"/>
              <w:right w:val="single" w:color="auto" w:sz="12" w:space="0"/>
            </w:tcBorders>
            <w:vAlign w:val="center"/>
          </w:tcPr>
          <w:p w14:paraId="27497933">
            <w:pPr>
              <w:keepNext/>
              <w:autoSpaceDE w:val="0"/>
              <w:spacing w:before="100" w:beforeAutospacing="1" w:line="400" w:lineRule="exact"/>
              <w:jc w:val="center"/>
              <w:rPr>
                <w:rFonts w:ascii="宋体" w:hAnsi="宋体" w:eastAsia="宋体" w:cs="Times New Roman"/>
                <w:sz w:val="21"/>
                <w:szCs w:val="21"/>
              </w:rPr>
            </w:pPr>
          </w:p>
        </w:tc>
      </w:tr>
    </w:tbl>
    <w:p w14:paraId="6D9C4976">
      <w:pPr>
        <w:widowControl/>
        <w:jc w:val="left"/>
        <w:rPr>
          <w:rFonts w:ascii="宋体" w:hAnsi="宋体" w:eastAsia="宋体" w:cs="宋体"/>
          <w:b/>
          <w:sz w:val="21"/>
          <w:szCs w:val="21"/>
        </w:rPr>
        <w:sectPr>
          <w:pgSz w:w="16838" w:h="11906" w:orient="landscape"/>
          <w:pgMar w:top="1554" w:right="1418" w:bottom="1531" w:left="1418" w:header="851" w:footer="992" w:gutter="0"/>
          <w:pgNumType w:fmt="decimal"/>
          <w:cols w:space="720" w:num="1"/>
          <w:titlePg/>
          <w:docGrid w:type="lines" w:linePitch="312" w:charSpace="0"/>
        </w:sectPr>
      </w:pPr>
    </w:p>
    <w:p w14:paraId="3A835A04">
      <w:pPr>
        <w:spacing w:line="440" w:lineRule="exact"/>
        <w:rPr>
          <w:rFonts w:ascii="宋体" w:hAnsi="宋体" w:eastAsia="宋体" w:cs="Times New Roman"/>
          <w:sz w:val="21"/>
          <w:szCs w:val="21"/>
        </w:rPr>
      </w:pPr>
      <w:r>
        <w:rPr>
          <w:rFonts w:hint="eastAsia" w:ascii="宋体" w:hAnsi="宋体" w:eastAsia="宋体" w:cs="Times New Roman"/>
          <w:sz w:val="21"/>
          <w:szCs w:val="21"/>
        </w:rPr>
        <w:t>附</w:t>
      </w:r>
      <w:bookmarkStart w:id="1666" w:name="_Toc296346726"/>
      <w:bookmarkEnd w:id="1666"/>
      <w:bookmarkStart w:id="1667" w:name="_Toc296944564"/>
      <w:bookmarkEnd w:id="1667"/>
      <w:bookmarkStart w:id="1668" w:name="_Toc296891265"/>
      <w:bookmarkEnd w:id="1668"/>
      <w:bookmarkStart w:id="1669" w:name="_Toc296891053"/>
      <w:bookmarkEnd w:id="1669"/>
      <w:bookmarkStart w:id="1670" w:name="_Toc296503225"/>
      <w:bookmarkEnd w:id="1670"/>
      <w:bookmarkStart w:id="1671" w:name="_Toc296347224"/>
      <w:bookmarkEnd w:id="1671"/>
      <w:bookmarkStart w:id="1672" w:name="_Toc267261692"/>
      <w:r>
        <w:rPr>
          <w:rFonts w:hint="eastAsia" w:ascii="宋体" w:hAnsi="宋体" w:eastAsia="宋体" w:cs="Times New Roman"/>
          <w:sz w:val="21"/>
          <w:szCs w:val="21"/>
        </w:rPr>
        <w:t>件2：</w:t>
      </w:r>
      <w:bookmarkEnd w:id="1672"/>
    </w:p>
    <w:p w14:paraId="25A7937F">
      <w:pPr>
        <w:spacing w:before="156" w:beforeLines="50" w:after="156" w:afterLines="50" w:line="440" w:lineRule="exact"/>
        <w:jc w:val="center"/>
        <w:rPr>
          <w:rFonts w:ascii="宋体" w:hAnsi="宋体" w:eastAsia="宋体" w:cs="Times New Roman"/>
          <w:sz w:val="21"/>
          <w:szCs w:val="21"/>
        </w:rPr>
      </w:pPr>
      <w:r>
        <w:rPr>
          <w:rFonts w:hint="eastAsia" w:ascii="宋体" w:hAnsi="宋体" w:eastAsia="宋体" w:cs="Times New Roman"/>
          <w:sz w:val="21"/>
          <w:szCs w:val="21"/>
        </w:rPr>
        <w:t>发包人供应材料设备一览表</w:t>
      </w:r>
    </w:p>
    <w:tbl>
      <w:tblPr>
        <w:tblStyle w:val="6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31AD3F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left w:val="single" w:color="auto" w:sz="12" w:space="0"/>
              <w:bottom w:val="double" w:color="auto" w:sz="2" w:space="0"/>
              <w:right w:val="single" w:color="auto" w:sz="6" w:space="0"/>
            </w:tcBorders>
            <w:vAlign w:val="center"/>
          </w:tcPr>
          <w:p w14:paraId="5488E71A">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序号</w:t>
            </w:r>
          </w:p>
        </w:tc>
        <w:tc>
          <w:tcPr>
            <w:tcW w:w="1276" w:type="dxa"/>
            <w:tcBorders>
              <w:top w:val="single" w:color="auto" w:sz="12" w:space="0"/>
              <w:left w:val="single" w:color="auto" w:sz="6" w:space="0"/>
              <w:bottom w:val="double" w:color="auto" w:sz="2" w:space="0"/>
              <w:right w:val="single" w:color="auto" w:sz="6" w:space="0"/>
            </w:tcBorders>
            <w:vAlign w:val="center"/>
          </w:tcPr>
          <w:p w14:paraId="471291FF">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材料、设备品种</w:t>
            </w:r>
          </w:p>
        </w:tc>
        <w:tc>
          <w:tcPr>
            <w:tcW w:w="1418" w:type="dxa"/>
            <w:tcBorders>
              <w:top w:val="single" w:color="auto" w:sz="12" w:space="0"/>
              <w:left w:val="single" w:color="auto" w:sz="6" w:space="0"/>
              <w:bottom w:val="double" w:color="auto" w:sz="2" w:space="0"/>
              <w:right w:val="single" w:color="auto" w:sz="6" w:space="0"/>
            </w:tcBorders>
            <w:vAlign w:val="center"/>
          </w:tcPr>
          <w:p w14:paraId="27FF3049">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规格型号</w:t>
            </w:r>
          </w:p>
        </w:tc>
        <w:tc>
          <w:tcPr>
            <w:tcW w:w="940" w:type="dxa"/>
            <w:tcBorders>
              <w:top w:val="single" w:color="auto" w:sz="12" w:space="0"/>
              <w:left w:val="single" w:color="auto" w:sz="6" w:space="0"/>
              <w:bottom w:val="double" w:color="auto" w:sz="2" w:space="0"/>
              <w:right w:val="single" w:color="auto" w:sz="6" w:space="0"/>
            </w:tcBorders>
            <w:vAlign w:val="center"/>
          </w:tcPr>
          <w:p w14:paraId="1F1FE7F0">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单位</w:t>
            </w:r>
          </w:p>
        </w:tc>
        <w:tc>
          <w:tcPr>
            <w:tcW w:w="851" w:type="dxa"/>
            <w:tcBorders>
              <w:top w:val="single" w:color="auto" w:sz="12" w:space="0"/>
              <w:left w:val="single" w:color="auto" w:sz="6" w:space="0"/>
              <w:bottom w:val="double" w:color="auto" w:sz="2" w:space="0"/>
              <w:right w:val="single" w:color="auto" w:sz="6" w:space="0"/>
            </w:tcBorders>
            <w:vAlign w:val="center"/>
          </w:tcPr>
          <w:p w14:paraId="28562801">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数量</w:t>
            </w:r>
          </w:p>
        </w:tc>
        <w:tc>
          <w:tcPr>
            <w:tcW w:w="1044" w:type="dxa"/>
            <w:tcBorders>
              <w:top w:val="single" w:color="auto" w:sz="12" w:space="0"/>
              <w:left w:val="single" w:color="auto" w:sz="6" w:space="0"/>
              <w:bottom w:val="double" w:color="auto" w:sz="2" w:space="0"/>
              <w:right w:val="single" w:color="auto" w:sz="6" w:space="0"/>
            </w:tcBorders>
            <w:vAlign w:val="center"/>
          </w:tcPr>
          <w:p w14:paraId="01186089">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单价（元）</w:t>
            </w:r>
          </w:p>
        </w:tc>
        <w:tc>
          <w:tcPr>
            <w:tcW w:w="992" w:type="dxa"/>
            <w:tcBorders>
              <w:top w:val="single" w:color="auto" w:sz="12" w:space="0"/>
              <w:left w:val="single" w:color="auto" w:sz="6" w:space="0"/>
              <w:bottom w:val="double" w:color="auto" w:sz="2" w:space="0"/>
              <w:right w:val="single" w:color="auto" w:sz="6" w:space="0"/>
            </w:tcBorders>
            <w:vAlign w:val="center"/>
          </w:tcPr>
          <w:p w14:paraId="6C70A6F1">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质量等级</w:t>
            </w:r>
          </w:p>
        </w:tc>
        <w:tc>
          <w:tcPr>
            <w:tcW w:w="851" w:type="dxa"/>
            <w:tcBorders>
              <w:top w:val="single" w:color="auto" w:sz="12" w:space="0"/>
              <w:left w:val="single" w:color="auto" w:sz="6" w:space="0"/>
              <w:bottom w:val="double" w:color="auto" w:sz="2" w:space="0"/>
              <w:right w:val="single" w:color="auto" w:sz="6" w:space="0"/>
            </w:tcBorders>
            <w:vAlign w:val="center"/>
          </w:tcPr>
          <w:p w14:paraId="2B452FFB">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供应时间</w:t>
            </w:r>
          </w:p>
        </w:tc>
        <w:tc>
          <w:tcPr>
            <w:tcW w:w="1487" w:type="dxa"/>
            <w:tcBorders>
              <w:top w:val="single" w:color="auto" w:sz="12" w:space="0"/>
              <w:left w:val="single" w:color="auto" w:sz="6" w:space="0"/>
              <w:bottom w:val="double" w:color="auto" w:sz="2" w:space="0"/>
              <w:right w:val="single" w:color="auto" w:sz="6" w:space="0"/>
            </w:tcBorders>
            <w:vAlign w:val="center"/>
          </w:tcPr>
          <w:p w14:paraId="2475FE4C">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送达地点</w:t>
            </w:r>
          </w:p>
        </w:tc>
        <w:tc>
          <w:tcPr>
            <w:tcW w:w="992" w:type="dxa"/>
            <w:tcBorders>
              <w:top w:val="single" w:color="auto" w:sz="12" w:space="0"/>
              <w:left w:val="single" w:color="auto" w:sz="6" w:space="0"/>
              <w:bottom w:val="double" w:color="auto" w:sz="2" w:space="0"/>
              <w:right w:val="single" w:color="auto" w:sz="12" w:space="0"/>
            </w:tcBorders>
            <w:vAlign w:val="center"/>
          </w:tcPr>
          <w:p w14:paraId="145775F6">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备注</w:t>
            </w:r>
          </w:p>
        </w:tc>
      </w:tr>
      <w:tr w14:paraId="7A9E97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2" w:space="0"/>
              <w:left w:val="single" w:color="auto" w:sz="12" w:space="0"/>
              <w:bottom w:val="single" w:color="auto" w:sz="6" w:space="0"/>
              <w:right w:val="single" w:color="auto" w:sz="6" w:space="0"/>
            </w:tcBorders>
            <w:vAlign w:val="center"/>
          </w:tcPr>
          <w:p w14:paraId="6D33583A">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double" w:color="auto" w:sz="2" w:space="0"/>
              <w:left w:val="single" w:color="auto" w:sz="6" w:space="0"/>
              <w:bottom w:val="single" w:color="auto" w:sz="6" w:space="0"/>
              <w:right w:val="single" w:color="auto" w:sz="6" w:space="0"/>
            </w:tcBorders>
            <w:vAlign w:val="center"/>
          </w:tcPr>
          <w:p w14:paraId="718EF1B6">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double" w:color="auto" w:sz="2" w:space="0"/>
              <w:left w:val="single" w:color="auto" w:sz="6" w:space="0"/>
              <w:bottom w:val="single" w:color="auto" w:sz="6" w:space="0"/>
              <w:right w:val="single" w:color="auto" w:sz="6" w:space="0"/>
            </w:tcBorders>
            <w:vAlign w:val="center"/>
          </w:tcPr>
          <w:p w14:paraId="766A3A8A">
            <w:pPr>
              <w:keepNext/>
              <w:autoSpaceDE w:val="0"/>
              <w:spacing w:before="100" w:beforeAutospacing="1" w:line="400" w:lineRule="exact"/>
              <w:jc w:val="center"/>
              <w:rPr>
                <w:rFonts w:ascii="宋体" w:hAnsi="宋体" w:eastAsia="宋体" w:cs="Times New Roman"/>
                <w:sz w:val="21"/>
                <w:szCs w:val="21"/>
              </w:rPr>
            </w:pPr>
          </w:p>
        </w:tc>
        <w:tc>
          <w:tcPr>
            <w:tcW w:w="940" w:type="dxa"/>
            <w:tcBorders>
              <w:top w:val="double" w:color="auto" w:sz="2" w:space="0"/>
              <w:left w:val="single" w:color="auto" w:sz="6" w:space="0"/>
              <w:bottom w:val="single" w:color="auto" w:sz="6" w:space="0"/>
              <w:right w:val="single" w:color="auto" w:sz="6" w:space="0"/>
            </w:tcBorders>
            <w:vAlign w:val="center"/>
          </w:tcPr>
          <w:p w14:paraId="64F8B5BC">
            <w:pPr>
              <w:keepNext/>
              <w:autoSpaceDE w:val="0"/>
              <w:spacing w:before="100" w:beforeAutospacing="1" w:line="400" w:lineRule="exact"/>
              <w:jc w:val="center"/>
              <w:rPr>
                <w:rFonts w:ascii="宋体" w:hAnsi="宋体" w:eastAsia="宋体" w:cs="Times New Roman"/>
                <w:sz w:val="21"/>
                <w:szCs w:val="21"/>
              </w:rPr>
            </w:pPr>
          </w:p>
        </w:tc>
        <w:tc>
          <w:tcPr>
            <w:tcW w:w="851" w:type="dxa"/>
            <w:tcBorders>
              <w:top w:val="double" w:color="auto" w:sz="2" w:space="0"/>
              <w:left w:val="single" w:color="auto" w:sz="6" w:space="0"/>
              <w:bottom w:val="single" w:color="auto" w:sz="6" w:space="0"/>
              <w:right w:val="single" w:color="auto" w:sz="6" w:space="0"/>
            </w:tcBorders>
            <w:vAlign w:val="center"/>
          </w:tcPr>
          <w:p w14:paraId="38A1EFE1">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double" w:color="auto" w:sz="2" w:space="0"/>
              <w:left w:val="single" w:color="auto" w:sz="6" w:space="0"/>
              <w:bottom w:val="single" w:color="auto" w:sz="6" w:space="0"/>
              <w:right w:val="single" w:color="auto" w:sz="6" w:space="0"/>
            </w:tcBorders>
            <w:vAlign w:val="center"/>
          </w:tcPr>
          <w:p w14:paraId="155A767C">
            <w:pPr>
              <w:keepNext/>
              <w:autoSpaceDE w:val="0"/>
              <w:spacing w:before="100" w:beforeAutospacing="1" w:line="400" w:lineRule="exact"/>
              <w:jc w:val="center"/>
              <w:rPr>
                <w:rFonts w:ascii="宋体" w:hAnsi="宋体" w:eastAsia="宋体" w:cs="Times New Roman"/>
                <w:sz w:val="21"/>
                <w:szCs w:val="21"/>
              </w:rPr>
            </w:pPr>
          </w:p>
        </w:tc>
        <w:tc>
          <w:tcPr>
            <w:tcW w:w="992" w:type="dxa"/>
            <w:tcBorders>
              <w:top w:val="double" w:color="auto" w:sz="2" w:space="0"/>
              <w:left w:val="single" w:color="auto" w:sz="6" w:space="0"/>
              <w:bottom w:val="single" w:color="auto" w:sz="6" w:space="0"/>
              <w:right w:val="single" w:color="auto" w:sz="6" w:space="0"/>
            </w:tcBorders>
            <w:vAlign w:val="center"/>
          </w:tcPr>
          <w:p w14:paraId="46DADC6E">
            <w:pPr>
              <w:keepNext/>
              <w:autoSpaceDE w:val="0"/>
              <w:spacing w:before="100" w:beforeAutospacing="1" w:line="400" w:lineRule="exact"/>
              <w:jc w:val="center"/>
              <w:rPr>
                <w:rFonts w:ascii="宋体" w:hAnsi="宋体" w:eastAsia="宋体" w:cs="Times New Roman"/>
                <w:sz w:val="21"/>
                <w:szCs w:val="21"/>
              </w:rPr>
            </w:pPr>
          </w:p>
        </w:tc>
        <w:tc>
          <w:tcPr>
            <w:tcW w:w="851" w:type="dxa"/>
            <w:tcBorders>
              <w:top w:val="double" w:color="auto" w:sz="2" w:space="0"/>
              <w:left w:val="single" w:color="auto" w:sz="6" w:space="0"/>
              <w:bottom w:val="single" w:color="auto" w:sz="6" w:space="0"/>
              <w:right w:val="single" w:color="auto" w:sz="6" w:space="0"/>
            </w:tcBorders>
            <w:vAlign w:val="center"/>
          </w:tcPr>
          <w:p w14:paraId="1D7B60D4">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double" w:color="auto" w:sz="2" w:space="0"/>
              <w:left w:val="single" w:color="auto" w:sz="6" w:space="0"/>
              <w:bottom w:val="single" w:color="auto" w:sz="6" w:space="0"/>
              <w:right w:val="single" w:color="auto" w:sz="6" w:space="0"/>
            </w:tcBorders>
            <w:vAlign w:val="center"/>
          </w:tcPr>
          <w:p w14:paraId="73F9F8ED">
            <w:pPr>
              <w:keepNext/>
              <w:autoSpaceDE w:val="0"/>
              <w:spacing w:before="100" w:beforeAutospacing="1" w:line="400" w:lineRule="exact"/>
              <w:jc w:val="center"/>
              <w:rPr>
                <w:rFonts w:ascii="宋体" w:hAnsi="宋体" w:eastAsia="宋体" w:cs="Times New Roman"/>
                <w:sz w:val="21"/>
                <w:szCs w:val="21"/>
              </w:rPr>
            </w:pPr>
          </w:p>
        </w:tc>
        <w:tc>
          <w:tcPr>
            <w:tcW w:w="992" w:type="dxa"/>
            <w:tcBorders>
              <w:top w:val="double" w:color="auto" w:sz="2" w:space="0"/>
              <w:left w:val="single" w:color="auto" w:sz="6" w:space="0"/>
              <w:bottom w:val="single" w:color="auto" w:sz="6" w:space="0"/>
              <w:right w:val="single" w:color="auto" w:sz="12" w:space="0"/>
            </w:tcBorders>
            <w:vAlign w:val="center"/>
          </w:tcPr>
          <w:p w14:paraId="707B896D">
            <w:pPr>
              <w:keepNext/>
              <w:autoSpaceDE w:val="0"/>
              <w:spacing w:before="100" w:beforeAutospacing="1" w:line="400" w:lineRule="exact"/>
              <w:jc w:val="center"/>
              <w:rPr>
                <w:rFonts w:ascii="宋体" w:hAnsi="宋体" w:eastAsia="宋体" w:cs="Times New Roman"/>
                <w:sz w:val="21"/>
                <w:szCs w:val="21"/>
              </w:rPr>
            </w:pPr>
          </w:p>
        </w:tc>
      </w:tr>
      <w:tr w14:paraId="1AC28A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left w:val="single" w:color="auto" w:sz="12" w:space="0"/>
              <w:bottom w:val="single" w:color="auto" w:sz="6" w:space="0"/>
              <w:right w:val="single" w:color="auto" w:sz="6" w:space="0"/>
            </w:tcBorders>
            <w:vAlign w:val="center"/>
          </w:tcPr>
          <w:p w14:paraId="1E4438DD">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nil"/>
              <w:left w:val="single" w:color="auto" w:sz="6" w:space="0"/>
              <w:bottom w:val="single" w:color="auto" w:sz="6" w:space="0"/>
              <w:right w:val="single" w:color="auto" w:sz="6" w:space="0"/>
            </w:tcBorders>
            <w:vAlign w:val="center"/>
          </w:tcPr>
          <w:p w14:paraId="4BC9C663">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nil"/>
              <w:left w:val="single" w:color="auto" w:sz="6" w:space="0"/>
              <w:bottom w:val="single" w:color="auto" w:sz="6" w:space="0"/>
              <w:right w:val="single" w:color="auto" w:sz="6" w:space="0"/>
            </w:tcBorders>
            <w:vAlign w:val="center"/>
          </w:tcPr>
          <w:p w14:paraId="4AD83372">
            <w:pPr>
              <w:keepNext/>
              <w:autoSpaceDE w:val="0"/>
              <w:spacing w:before="100" w:beforeAutospacing="1" w:line="400" w:lineRule="exact"/>
              <w:jc w:val="center"/>
              <w:rPr>
                <w:rFonts w:ascii="宋体" w:hAnsi="宋体" w:eastAsia="宋体" w:cs="Times New Roman"/>
                <w:sz w:val="21"/>
                <w:szCs w:val="21"/>
              </w:rPr>
            </w:pPr>
          </w:p>
        </w:tc>
        <w:tc>
          <w:tcPr>
            <w:tcW w:w="940" w:type="dxa"/>
            <w:tcBorders>
              <w:top w:val="nil"/>
              <w:left w:val="single" w:color="auto" w:sz="6" w:space="0"/>
              <w:bottom w:val="single" w:color="auto" w:sz="6" w:space="0"/>
              <w:right w:val="single" w:color="auto" w:sz="6" w:space="0"/>
            </w:tcBorders>
            <w:vAlign w:val="center"/>
          </w:tcPr>
          <w:p w14:paraId="019972E4">
            <w:pPr>
              <w:keepNext/>
              <w:autoSpaceDE w:val="0"/>
              <w:spacing w:before="100" w:beforeAutospacing="1" w:line="400" w:lineRule="exact"/>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vAlign w:val="center"/>
          </w:tcPr>
          <w:p w14:paraId="5B55A810">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nil"/>
              <w:left w:val="single" w:color="auto" w:sz="6" w:space="0"/>
              <w:bottom w:val="single" w:color="auto" w:sz="6" w:space="0"/>
              <w:right w:val="single" w:color="auto" w:sz="6" w:space="0"/>
            </w:tcBorders>
            <w:vAlign w:val="center"/>
          </w:tcPr>
          <w:p w14:paraId="6D5F5050">
            <w:pPr>
              <w:keepNext/>
              <w:autoSpaceDE w:val="0"/>
              <w:spacing w:before="100" w:beforeAutospacing="1" w:line="400" w:lineRule="exact"/>
              <w:jc w:val="center"/>
              <w:rPr>
                <w:rFonts w:ascii="宋体" w:hAnsi="宋体" w:eastAsia="宋体" w:cs="Times New Roman"/>
                <w:sz w:val="21"/>
                <w:szCs w:val="21"/>
              </w:rPr>
            </w:pPr>
          </w:p>
        </w:tc>
        <w:tc>
          <w:tcPr>
            <w:tcW w:w="992" w:type="dxa"/>
            <w:tcBorders>
              <w:top w:val="nil"/>
              <w:left w:val="single" w:color="auto" w:sz="6" w:space="0"/>
              <w:bottom w:val="single" w:color="auto" w:sz="6" w:space="0"/>
              <w:right w:val="single" w:color="auto" w:sz="6" w:space="0"/>
            </w:tcBorders>
            <w:vAlign w:val="center"/>
          </w:tcPr>
          <w:p w14:paraId="2A156A12">
            <w:pPr>
              <w:keepNext/>
              <w:autoSpaceDE w:val="0"/>
              <w:spacing w:before="100" w:beforeAutospacing="1" w:line="400" w:lineRule="exact"/>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vAlign w:val="center"/>
          </w:tcPr>
          <w:p w14:paraId="7A0CF5A5">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nil"/>
              <w:left w:val="single" w:color="auto" w:sz="6" w:space="0"/>
              <w:bottom w:val="single" w:color="auto" w:sz="6" w:space="0"/>
              <w:right w:val="single" w:color="auto" w:sz="6" w:space="0"/>
            </w:tcBorders>
            <w:vAlign w:val="center"/>
          </w:tcPr>
          <w:p w14:paraId="69A51326">
            <w:pPr>
              <w:keepNext/>
              <w:autoSpaceDE w:val="0"/>
              <w:spacing w:before="100" w:beforeAutospacing="1" w:line="400" w:lineRule="exact"/>
              <w:jc w:val="center"/>
              <w:rPr>
                <w:rFonts w:ascii="宋体" w:hAnsi="宋体" w:eastAsia="宋体" w:cs="Times New Roman"/>
                <w:sz w:val="21"/>
                <w:szCs w:val="21"/>
              </w:rPr>
            </w:pPr>
          </w:p>
        </w:tc>
        <w:tc>
          <w:tcPr>
            <w:tcW w:w="992" w:type="dxa"/>
            <w:tcBorders>
              <w:top w:val="nil"/>
              <w:left w:val="single" w:color="auto" w:sz="6" w:space="0"/>
              <w:bottom w:val="single" w:color="auto" w:sz="6" w:space="0"/>
              <w:right w:val="single" w:color="auto" w:sz="12" w:space="0"/>
            </w:tcBorders>
            <w:vAlign w:val="center"/>
          </w:tcPr>
          <w:p w14:paraId="7FB07AB2">
            <w:pPr>
              <w:keepNext/>
              <w:autoSpaceDE w:val="0"/>
              <w:spacing w:before="100" w:beforeAutospacing="1" w:line="400" w:lineRule="exact"/>
              <w:jc w:val="center"/>
              <w:rPr>
                <w:rFonts w:ascii="宋体" w:hAnsi="宋体" w:eastAsia="宋体" w:cs="Times New Roman"/>
                <w:sz w:val="21"/>
                <w:szCs w:val="21"/>
              </w:rPr>
            </w:pPr>
          </w:p>
        </w:tc>
      </w:tr>
      <w:tr w14:paraId="411E6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71E4B82">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6581F89E">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1EBC5963">
            <w:pPr>
              <w:keepNext/>
              <w:autoSpaceDE w:val="0"/>
              <w:spacing w:before="100" w:beforeAutospacing="1"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2E3864E1">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1520F9B4">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5A035711">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0D2C236B">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7885C3DF">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17DC7BA0">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31F77D39">
            <w:pPr>
              <w:keepNext/>
              <w:autoSpaceDE w:val="0"/>
              <w:spacing w:before="100" w:beforeAutospacing="1" w:line="400" w:lineRule="exact"/>
              <w:jc w:val="center"/>
              <w:rPr>
                <w:rFonts w:ascii="宋体" w:hAnsi="宋体" w:eastAsia="宋体" w:cs="Times New Roman"/>
                <w:sz w:val="21"/>
                <w:szCs w:val="21"/>
              </w:rPr>
            </w:pPr>
          </w:p>
        </w:tc>
      </w:tr>
      <w:tr w14:paraId="0917B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D017EA2">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4F06CB28">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1446EAB7">
            <w:pPr>
              <w:keepNext/>
              <w:autoSpaceDE w:val="0"/>
              <w:spacing w:before="100" w:beforeAutospacing="1"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6975F7CA">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190907A3">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130AC7B1">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5C6C999B">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5E38A03F">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33395AAA">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60EB79B9">
            <w:pPr>
              <w:keepNext/>
              <w:autoSpaceDE w:val="0"/>
              <w:spacing w:before="100" w:beforeAutospacing="1" w:line="400" w:lineRule="exact"/>
              <w:jc w:val="center"/>
              <w:rPr>
                <w:rFonts w:ascii="宋体" w:hAnsi="宋体" w:eastAsia="宋体" w:cs="Times New Roman"/>
                <w:sz w:val="21"/>
                <w:szCs w:val="21"/>
              </w:rPr>
            </w:pPr>
          </w:p>
        </w:tc>
      </w:tr>
      <w:tr w14:paraId="491F5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3CE9486">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45483147">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34438628">
            <w:pPr>
              <w:keepNext/>
              <w:autoSpaceDE w:val="0"/>
              <w:spacing w:before="100" w:beforeAutospacing="1"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0E00DC14">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3EC03E8D">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2278EF2B">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5E2CD100">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677A19E1">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3A439931">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22455298">
            <w:pPr>
              <w:keepNext/>
              <w:autoSpaceDE w:val="0"/>
              <w:spacing w:before="100" w:beforeAutospacing="1" w:line="400" w:lineRule="exact"/>
              <w:jc w:val="center"/>
              <w:rPr>
                <w:rFonts w:ascii="宋体" w:hAnsi="宋体" w:eastAsia="宋体" w:cs="Times New Roman"/>
                <w:sz w:val="21"/>
                <w:szCs w:val="21"/>
              </w:rPr>
            </w:pPr>
          </w:p>
        </w:tc>
      </w:tr>
      <w:tr w14:paraId="153726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AFD574D">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4612B71D">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361DC9CB">
            <w:pPr>
              <w:keepNext/>
              <w:autoSpaceDE w:val="0"/>
              <w:spacing w:before="100" w:beforeAutospacing="1"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1C8BFA9D">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51B8EC08">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4FCEE8AB">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60D7A17E">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16202888">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1803F936">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27EAAB91">
            <w:pPr>
              <w:keepNext/>
              <w:autoSpaceDE w:val="0"/>
              <w:spacing w:before="100" w:beforeAutospacing="1" w:line="400" w:lineRule="exact"/>
              <w:jc w:val="center"/>
              <w:rPr>
                <w:rFonts w:ascii="宋体" w:hAnsi="宋体" w:eastAsia="宋体" w:cs="Times New Roman"/>
                <w:sz w:val="21"/>
                <w:szCs w:val="21"/>
              </w:rPr>
            </w:pPr>
          </w:p>
        </w:tc>
      </w:tr>
      <w:tr w14:paraId="22058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D4CC12A">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669BA68B">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17BA2D49">
            <w:pPr>
              <w:keepNext/>
              <w:autoSpaceDE w:val="0"/>
              <w:spacing w:before="100" w:beforeAutospacing="1"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3762C6AB">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688219DE">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638B017E">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69A19982">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31879008">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5C7426E4">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130B4C14">
            <w:pPr>
              <w:keepNext/>
              <w:autoSpaceDE w:val="0"/>
              <w:spacing w:before="100" w:beforeAutospacing="1" w:line="400" w:lineRule="exact"/>
              <w:jc w:val="center"/>
              <w:rPr>
                <w:rFonts w:ascii="宋体" w:hAnsi="宋体" w:eastAsia="宋体" w:cs="Times New Roman"/>
                <w:sz w:val="21"/>
                <w:szCs w:val="21"/>
              </w:rPr>
            </w:pPr>
          </w:p>
        </w:tc>
      </w:tr>
      <w:tr w14:paraId="37E3C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1744E81">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3895911A">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68073293">
            <w:pPr>
              <w:keepNext/>
              <w:autoSpaceDE w:val="0"/>
              <w:spacing w:before="100" w:beforeAutospacing="1"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3E94B91A">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4C3BDD93">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32CB5A59">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1AD7F843">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24DC66D9">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4090E4B1">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47EE09C4">
            <w:pPr>
              <w:keepNext/>
              <w:autoSpaceDE w:val="0"/>
              <w:spacing w:before="100" w:beforeAutospacing="1" w:line="400" w:lineRule="exact"/>
              <w:jc w:val="center"/>
              <w:rPr>
                <w:rFonts w:ascii="宋体" w:hAnsi="宋体" w:eastAsia="宋体" w:cs="Times New Roman"/>
                <w:sz w:val="21"/>
                <w:szCs w:val="21"/>
              </w:rPr>
            </w:pPr>
          </w:p>
        </w:tc>
      </w:tr>
      <w:tr w14:paraId="0F532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B8912DB">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336E2F89">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331CC0CE">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5C98880E">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3DB39F7B">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11540C51">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610F6D41">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11C65DD1">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1DCCB2D2">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1A3CBEBE">
            <w:pPr>
              <w:autoSpaceDE w:val="0"/>
              <w:spacing w:line="400" w:lineRule="exact"/>
              <w:jc w:val="center"/>
              <w:rPr>
                <w:rFonts w:ascii="宋体" w:hAnsi="宋体" w:eastAsia="宋体" w:cs="Times New Roman"/>
                <w:sz w:val="21"/>
                <w:szCs w:val="21"/>
              </w:rPr>
            </w:pPr>
          </w:p>
        </w:tc>
      </w:tr>
      <w:tr w14:paraId="68983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E433D70">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26E318CD">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2D46ECC0">
            <w:pPr>
              <w:keepNext/>
              <w:autoSpaceDE w:val="0"/>
              <w:spacing w:before="100" w:beforeAutospacing="1"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6E6197C9">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676C6A25">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0F95D596">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075564E3">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07F23C3E">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1442F64B">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432B4250">
            <w:pPr>
              <w:keepNext/>
              <w:autoSpaceDE w:val="0"/>
              <w:spacing w:before="100" w:beforeAutospacing="1" w:line="400" w:lineRule="exact"/>
              <w:jc w:val="center"/>
              <w:rPr>
                <w:rFonts w:ascii="宋体" w:hAnsi="宋体" w:eastAsia="宋体" w:cs="Times New Roman"/>
                <w:sz w:val="21"/>
                <w:szCs w:val="21"/>
              </w:rPr>
            </w:pPr>
          </w:p>
        </w:tc>
      </w:tr>
      <w:tr w14:paraId="50E67A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103EC2B">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375F0FAB">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67BCEC99">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08547E0E">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0F7D82B6">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111E4C62">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2A7A261B">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27997748">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4F0F51C0">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14B5DECE">
            <w:pPr>
              <w:autoSpaceDE w:val="0"/>
              <w:spacing w:line="400" w:lineRule="exact"/>
              <w:jc w:val="center"/>
              <w:rPr>
                <w:rFonts w:ascii="宋体" w:hAnsi="宋体" w:eastAsia="宋体" w:cs="Times New Roman"/>
                <w:sz w:val="21"/>
                <w:szCs w:val="21"/>
              </w:rPr>
            </w:pPr>
          </w:p>
        </w:tc>
      </w:tr>
      <w:tr w14:paraId="16E05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27AD5E3">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4C78CD05">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20FB5E26">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7724240B">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77A82F7D">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6F6594CF">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060500B2">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365B72E0">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1BFF6700">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096BB86B">
            <w:pPr>
              <w:autoSpaceDE w:val="0"/>
              <w:spacing w:line="400" w:lineRule="exact"/>
              <w:jc w:val="center"/>
              <w:rPr>
                <w:rFonts w:ascii="宋体" w:hAnsi="宋体" w:eastAsia="宋体" w:cs="Times New Roman"/>
                <w:sz w:val="21"/>
                <w:szCs w:val="21"/>
              </w:rPr>
            </w:pPr>
          </w:p>
        </w:tc>
      </w:tr>
      <w:tr w14:paraId="7F54B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4C324EF">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7C189DF8">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147561B6">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111C8C41">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7F7F69CF">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511A0596">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31585D1F">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17E648D5">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11001D94">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58EB45CD">
            <w:pPr>
              <w:autoSpaceDE w:val="0"/>
              <w:spacing w:line="400" w:lineRule="exact"/>
              <w:jc w:val="center"/>
              <w:rPr>
                <w:rFonts w:ascii="宋体" w:hAnsi="宋体" w:eastAsia="宋体" w:cs="Times New Roman"/>
                <w:sz w:val="21"/>
                <w:szCs w:val="21"/>
              </w:rPr>
            </w:pPr>
          </w:p>
        </w:tc>
      </w:tr>
      <w:tr w14:paraId="685EF6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2E9A4DA4">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0F238A3E">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3498954A">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3D54B362">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2159EA6B">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4607F8B1">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534E0FBE">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2B017A21">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72F3A7C4">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5C76ED7D">
            <w:pPr>
              <w:autoSpaceDE w:val="0"/>
              <w:spacing w:line="400" w:lineRule="exact"/>
              <w:jc w:val="center"/>
              <w:rPr>
                <w:rFonts w:ascii="宋体" w:hAnsi="宋体" w:eastAsia="宋体" w:cs="Times New Roman"/>
                <w:sz w:val="21"/>
                <w:szCs w:val="21"/>
              </w:rPr>
            </w:pPr>
          </w:p>
        </w:tc>
      </w:tr>
      <w:tr w14:paraId="32DA18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738346E">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7F169F1E">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7171964A">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70BA7324">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19136B83">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20EA0B0C">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271EB9F3">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6723F06E">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3007BB53">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1221CE19">
            <w:pPr>
              <w:autoSpaceDE w:val="0"/>
              <w:spacing w:line="400" w:lineRule="exact"/>
              <w:jc w:val="center"/>
              <w:rPr>
                <w:rFonts w:ascii="宋体" w:hAnsi="宋体" w:eastAsia="宋体" w:cs="Times New Roman"/>
                <w:sz w:val="21"/>
                <w:szCs w:val="21"/>
              </w:rPr>
            </w:pPr>
          </w:p>
        </w:tc>
      </w:tr>
      <w:tr w14:paraId="7773E3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1D0702D">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53C2B42F">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4F04C22A">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3F4B2ABA">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6814A4A4">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43C0BC15">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30971557">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0FCF51E2">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4A2D571D">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3BC86B96">
            <w:pPr>
              <w:autoSpaceDE w:val="0"/>
              <w:spacing w:line="400" w:lineRule="exact"/>
              <w:jc w:val="center"/>
              <w:rPr>
                <w:rFonts w:ascii="宋体" w:hAnsi="宋体" w:eastAsia="宋体" w:cs="Times New Roman"/>
                <w:sz w:val="21"/>
                <w:szCs w:val="21"/>
              </w:rPr>
            </w:pPr>
          </w:p>
        </w:tc>
      </w:tr>
      <w:tr w14:paraId="0D51C9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378E76AE">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1A0B7850">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7C758950">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376291E3">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7D32B5B9">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35FA259A">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13A25F51">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243F8CA4">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26F2ABEE">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7B511092">
            <w:pPr>
              <w:autoSpaceDE w:val="0"/>
              <w:spacing w:line="400" w:lineRule="exact"/>
              <w:jc w:val="center"/>
              <w:rPr>
                <w:rFonts w:ascii="宋体" w:hAnsi="宋体" w:eastAsia="宋体" w:cs="Times New Roman"/>
                <w:sz w:val="21"/>
                <w:szCs w:val="21"/>
              </w:rPr>
            </w:pPr>
          </w:p>
        </w:tc>
      </w:tr>
      <w:tr w14:paraId="7533B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12" w:space="0"/>
              <w:right w:val="single" w:color="auto" w:sz="6" w:space="0"/>
            </w:tcBorders>
            <w:vAlign w:val="center"/>
          </w:tcPr>
          <w:p w14:paraId="2A644399">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12" w:space="0"/>
              <w:right w:val="single" w:color="auto" w:sz="6" w:space="0"/>
            </w:tcBorders>
            <w:vAlign w:val="center"/>
          </w:tcPr>
          <w:p w14:paraId="31DF64DF">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12" w:space="0"/>
              <w:right w:val="single" w:color="auto" w:sz="6" w:space="0"/>
            </w:tcBorders>
            <w:vAlign w:val="center"/>
          </w:tcPr>
          <w:p w14:paraId="27E5C192">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12" w:space="0"/>
              <w:right w:val="single" w:color="auto" w:sz="6" w:space="0"/>
            </w:tcBorders>
            <w:vAlign w:val="center"/>
          </w:tcPr>
          <w:p w14:paraId="1B232827">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12" w:space="0"/>
              <w:right w:val="single" w:color="auto" w:sz="6" w:space="0"/>
            </w:tcBorders>
            <w:vAlign w:val="center"/>
          </w:tcPr>
          <w:p w14:paraId="35A47EFB">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12" w:space="0"/>
              <w:right w:val="single" w:color="auto" w:sz="6" w:space="0"/>
            </w:tcBorders>
            <w:vAlign w:val="center"/>
          </w:tcPr>
          <w:p w14:paraId="3E5224EF">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12" w:space="0"/>
              <w:right w:val="single" w:color="auto" w:sz="6" w:space="0"/>
            </w:tcBorders>
            <w:vAlign w:val="center"/>
          </w:tcPr>
          <w:p w14:paraId="652E9233">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12" w:space="0"/>
              <w:right w:val="single" w:color="auto" w:sz="6" w:space="0"/>
            </w:tcBorders>
            <w:vAlign w:val="center"/>
          </w:tcPr>
          <w:p w14:paraId="0B159822">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12" w:space="0"/>
              <w:right w:val="single" w:color="auto" w:sz="6" w:space="0"/>
            </w:tcBorders>
            <w:vAlign w:val="center"/>
          </w:tcPr>
          <w:p w14:paraId="4E47B749">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12" w:space="0"/>
              <w:right w:val="single" w:color="auto" w:sz="12" w:space="0"/>
            </w:tcBorders>
            <w:vAlign w:val="center"/>
          </w:tcPr>
          <w:p w14:paraId="044BDCFB">
            <w:pPr>
              <w:autoSpaceDE w:val="0"/>
              <w:spacing w:line="400" w:lineRule="exact"/>
              <w:jc w:val="center"/>
              <w:rPr>
                <w:rFonts w:ascii="宋体" w:hAnsi="宋体" w:eastAsia="宋体" w:cs="Times New Roman"/>
                <w:sz w:val="21"/>
                <w:szCs w:val="21"/>
              </w:rPr>
            </w:pPr>
          </w:p>
        </w:tc>
      </w:tr>
    </w:tbl>
    <w:p w14:paraId="090C7B27">
      <w:pPr>
        <w:spacing w:line="440" w:lineRule="exact"/>
        <w:rPr>
          <w:rFonts w:ascii="宋体" w:hAnsi="宋体" w:eastAsia="宋体" w:cs="Times New Roman"/>
          <w:sz w:val="21"/>
          <w:szCs w:val="21"/>
        </w:rPr>
      </w:pPr>
      <w:r>
        <w:rPr>
          <w:rFonts w:hint="eastAsia" w:ascii="宋体" w:hAnsi="宋体" w:eastAsia="宋体" w:cs="Times New Roman"/>
          <w:sz w:val="21"/>
          <w:szCs w:val="21"/>
        </w:rPr>
        <w:t xml:space="preserve"> </w:t>
      </w:r>
    </w:p>
    <w:p w14:paraId="58C82B1A">
      <w:pPr>
        <w:rPr>
          <w:rFonts w:ascii="宋体" w:hAnsi="宋体" w:eastAsia="宋体" w:cs="Times New Roman"/>
          <w:sz w:val="21"/>
          <w:szCs w:val="21"/>
        </w:rPr>
      </w:pPr>
      <w:r>
        <w:rPr>
          <w:rFonts w:hint="eastAsia" w:ascii="宋体" w:hAnsi="宋体" w:eastAsia="宋体" w:cs="Times New Roman"/>
          <w:sz w:val="21"/>
          <w:szCs w:val="21"/>
        </w:rPr>
        <w:br w:type="page"/>
      </w:r>
    </w:p>
    <w:p w14:paraId="0B12849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附</w:t>
      </w:r>
      <w:bookmarkStart w:id="1673" w:name="_Toc296346727"/>
      <w:bookmarkEnd w:id="1673"/>
      <w:bookmarkStart w:id="1674" w:name="_Toc296891054"/>
      <w:bookmarkEnd w:id="1674"/>
      <w:bookmarkStart w:id="1675" w:name="_Toc296347225"/>
      <w:bookmarkEnd w:id="1675"/>
      <w:bookmarkStart w:id="1676" w:name="_Toc296891266"/>
      <w:bookmarkEnd w:id="1676"/>
      <w:bookmarkStart w:id="1677" w:name="_Toc296944565"/>
      <w:bookmarkEnd w:id="1677"/>
      <w:bookmarkStart w:id="1678" w:name="_Toc267261693"/>
      <w:bookmarkEnd w:id="1678"/>
      <w:bookmarkStart w:id="1679" w:name="_Toc296503226"/>
      <w:r>
        <w:rPr>
          <w:rFonts w:hint="eastAsia" w:ascii="宋体" w:hAnsi="宋体" w:eastAsia="宋体" w:cs="Times New Roman"/>
          <w:sz w:val="21"/>
          <w:szCs w:val="21"/>
        </w:rPr>
        <w:t>件3：</w:t>
      </w:r>
      <w:bookmarkEnd w:id="1679"/>
    </w:p>
    <w:p w14:paraId="20836241">
      <w:pPr>
        <w:autoSpaceDE w:val="0"/>
        <w:spacing w:line="360" w:lineRule="auto"/>
        <w:jc w:val="center"/>
        <w:rPr>
          <w:rFonts w:ascii="宋体" w:hAnsi="宋体" w:eastAsia="宋体" w:cs="Times New Roman"/>
          <w:sz w:val="21"/>
          <w:szCs w:val="21"/>
        </w:rPr>
      </w:pPr>
      <w:r>
        <w:rPr>
          <w:rFonts w:hint="eastAsia" w:ascii="宋体" w:hAnsi="宋体" w:eastAsia="宋体" w:cs="Times New Roman"/>
          <w:sz w:val="21"/>
          <w:szCs w:val="21"/>
        </w:rPr>
        <w:t>工程质量保修书</w:t>
      </w:r>
    </w:p>
    <w:p w14:paraId="04F9EF0E">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发包人（全称）：</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w:t>
      </w:r>
    </w:p>
    <w:p w14:paraId="623854D2">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承包人（全称）：</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w:t>
      </w:r>
    </w:p>
    <w:p w14:paraId="206B0C7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55A027A0">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发包人和承包人根据《中华人民共和国建筑法》和《建设工程质量管理条例》，经协商一致就</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（工程全称）签订工程质量保修书。</w:t>
      </w:r>
    </w:p>
    <w:p w14:paraId="17D9C602">
      <w:pPr>
        <w:autoSpaceDE w:val="0"/>
        <w:spacing w:line="360" w:lineRule="auto"/>
        <w:outlineLvl w:val="0"/>
        <w:rPr>
          <w:rFonts w:ascii="宋体" w:hAnsi="宋体" w:eastAsia="宋体" w:cs="Times New Roman"/>
          <w:sz w:val="21"/>
          <w:szCs w:val="21"/>
        </w:rPr>
      </w:pPr>
      <w:bookmarkStart w:id="1680" w:name="_Toc25787"/>
      <w:bookmarkEnd w:id="1680"/>
      <w:bookmarkStart w:id="1681" w:name="_Toc23976"/>
      <w:r>
        <w:rPr>
          <w:rFonts w:hint="eastAsia" w:ascii="宋体" w:hAnsi="宋体" w:eastAsia="宋体" w:cs="Times New Roman"/>
          <w:sz w:val="21"/>
          <w:szCs w:val="21"/>
        </w:rPr>
        <w:t>一、工程质量保修范围和内容</w:t>
      </w:r>
      <w:bookmarkEnd w:id="1681"/>
    </w:p>
    <w:p w14:paraId="33E4E25F">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承包人在质量保修期内，按照有关法律规定和合同约定，承担工程质量保修责任。</w:t>
      </w:r>
    </w:p>
    <w:p w14:paraId="586739C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233740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8DADA83">
      <w:pPr>
        <w:numPr>
          <w:ilvl w:val="0"/>
          <w:numId w:val="18"/>
        </w:numPr>
        <w:autoSpaceDE w:val="0"/>
        <w:spacing w:line="360" w:lineRule="auto"/>
        <w:ind w:firstLine="420"/>
        <w:outlineLvl w:val="0"/>
        <w:rPr>
          <w:rFonts w:ascii="宋体" w:hAnsi="宋体" w:eastAsia="宋体" w:cs="Times New Roman"/>
          <w:sz w:val="21"/>
          <w:szCs w:val="21"/>
        </w:rPr>
      </w:pPr>
      <w:bookmarkStart w:id="1682" w:name="_Toc11763"/>
      <w:bookmarkEnd w:id="1682"/>
      <w:bookmarkStart w:id="1683" w:name="_Toc9838"/>
      <w:r>
        <w:rPr>
          <w:rFonts w:hint="eastAsia" w:ascii="宋体" w:hAnsi="宋体" w:eastAsia="宋体" w:cs="Times New Roman"/>
          <w:sz w:val="21"/>
          <w:szCs w:val="21"/>
        </w:rPr>
        <w:t>质量保修期</w:t>
      </w:r>
      <w:bookmarkEnd w:id="1683"/>
    </w:p>
    <w:p w14:paraId="15410E6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根据《建设工程质量管理条例》及有关规定，工程的质量保修期如下：</w:t>
      </w:r>
    </w:p>
    <w:p w14:paraId="1544D99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1．地基基础工程和主体结构工程为设计文件规定的工程合理使用年限；</w:t>
      </w:r>
    </w:p>
    <w:p w14:paraId="75B57D0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2．屋面防水工程、有防水要求的卫生间、房间和外墙面的防渗为</w:t>
      </w:r>
      <w:r>
        <w:rPr>
          <w:rFonts w:hint="eastAsia" w:ascii="宋体" w:hAnsi="宋体" w:eastAsia="宋体" w:cs="Times New Roman"/>
          <w:sz w:val="21"/>
          <w:szCs w:val="21"/>
          <w:u w:val="single"/>
        </w:rPr>
        <w:t xml:space="preserve">    5    </w:t>
      </w:r>
      <w:r>
        <w:rPr>
          <w:rFonts w:hint="eastAsia" w:ascii="宋体" w:hAnsi="宋体" w:eastAsia="宋体" w:cs="Times New Roman"/>
          <w:sz w:val="21"/>
          <w:szCs w:val="21"/>
        </w:rPr>
        <w:t>年；</w:t>
      </w:r>
    </w:p>
    <w:p w14:paraId="0F3C2CEE">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3．装修工程为</w:t>
      </w:r>
      <w:r>
        <w:rPr>
          <w:rFonts w:hint="eastAsia" w:ascii="宋体" w:hAnsi="宋体" w:eastAsia="宋体" w:cs="Times New Roman"/>
          <w:sz w:val="21"/>
          <w:szCs w:val="21"/>
          <w:u w:val="single"/>
        </w:rPr>
        <w:t xml:space="preserve">   2     </w:t>
      </w:r>
      <w:r>
        <w:rPr>
          <w:rFonts w:hint="eastAsia" w:ascii="宋体" w:hAnsi="宋体" w:eastAsia="宋体" w:cs="Times New Roman"/>
          <w:sz w:val="21"/>
          <w:szCs w:val="21"/>
        </w:rPr>
        <w:t>年；</w:t>
      </w:r>
    </w:p>
    <w:p w14:paraId="63B7A431">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4．电气管线、给排水管道、设备安装工程为</w:t>
      </w:r>
      <w:r>
        <w:rPr>
          <w:rFonts w:hint="eastAsia" w:ascii="宋体" w:hAnsi="宋体" w:eastAsia="宋体" w:cs="Times New Roman"/>
          <w:sz w:val="21"/>
          <w:szCs w:val="21"/>
          <w:u w:val="single"/>
        </w:rPr>
        <w:t xml:space="preserve">   2     </w:t>
      </w:r>
      <w:r>
        <w:rPr>
          <w:rFonts w:hint="eastAsia" w:ascii="宋体" w:hAnsi="宋体" w:eastAsia="宋体" w:cs="Times New Roman"/>
          <w:sz w:val="21"/>
          <w:szCs w:val="21"/>
        </w:rPr>
        <w:t>年；</w:t>
      </w:r>
    </w:p>
    <w:p w14:paraId="4CB41D69">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5．供热与供冷系统为</w:t>
      </w:r>
      <w:r>
        <w:rPr>
          <w:rFonts w:hint="eastAsia" w:ascii="宋体" w:hAnsi="宋体" w:eastAsia="宋体" w:cs="Times New Roman"/>
          <w:sz w:val="21"/>
          <w:szCs w:val="21"/>
          <w:u w:val="single"/>
        </w:rPr>
        <w:t xml:space="preserve">   2     </w:t>
      </w:r>
      <w:r>
        <w:rPr>
          <w:rFonts w:hint="eastAsia" w:ascii="宋体" w:hAnsi="宋体" w:eastAsia="宋体" w:cs="Times New Roman"/>
          <w:sz w:val="21"/>
          <w:szCs w:val="21"/>
        </w:rPr>
        <w:t>个采暖期、供冷期；</w:t>
      </w:r>
    </w:p>
    <w:p w14:paraId="72A35E1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6．给排水设施、道路等配套工程为</w:t>
      </w:r>
      <w:r>
        <w:rPr>
          <w:rFonts w:hint="eastAsia" w:ascii="宋体" w:hAnsi="宋体" w:eastAsia="宋体" w:cs="Times New Roman"/>
          <w:sz w:val="21"/>
          <w:szCs w:val="21"/>
          <w:u w:val="single"/>
        </w:rPr>
        <w:t xml:space="preserve">    2    </w:t>
      </w:r>
      <w:r>
        <w:rPr>
          <w:rFonts w:hint="eastAsia" w:ascii="宋体" w:hAnsi="宋体" w:eastAsia="宋体" w:cs="Times New Roman"/>
          <w:sz w:val="21"/>
          <w:szCs w:val="21"/>
        </w:rPr>
        <w:t>年；</w:t>
      </w:r>
    </w:p>
    <w:p w14:paraId="3D324A41">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7．其他项目保修期限约定如下：</w:t>
      </w:r>
    </w:p>
    <w:p w14:paraId="7AC22C97">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06D8F9D8">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质量保修期自工程竣工验收合格之日起计算。</w:t>
      </w:r>
    </w:p>
    <w:p w14:paraId="424B53AD">
      <w:pPr>
        <w:autoSpaceDE w:val="0"/>
        <w:spacing w:line="360" w:lineRule="auto"/>
        <w:outlineLvl w:val="0"/>
        <w:rPr>
          <w:rFonts w:ascii="宋体" w:hAnsi="宋体" w:eastAsia="宋体" w:cs="Times New Roman"/>
          <w:sz w:val="21"/>
          <w:szCs w:val="21"/>
        </w:rPr>
      </w:pPr>
      <w:bookmarkStart w:id="1684" w:name="_Toc6195"/>
      <w:bookmarkEnd w:id="1684"/>
      <w:bookmarkStart w:id="1685" w:name="_Toc14726"/>
      <w:r>
        <w:rPr>
          <w:rFonts w:hint="eastAsia" w:ascii="宋体" w:hAnsi="宋体" w:eastAsia="宋体" w:cs="Times New Roman"/>
          <w:sz w:val="21"/>
          <w:szCs w:val="21"/>
        </w:rPr>
        <w:t>三、缺陷责任期</w:t>
      </w:r>
      <w:bookmarkEnd w:id="1685"/>
    </w:p>
    <w:p w14:paraId="07CC4697">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工程缺陷责任期为</w:t>
      </w:r>
      <w:r>
        <w:rPr>
          <w:rFonts w:hint="eastAsia" w:ascii="宋体" w:hAnsi="宋体" w:eastAsia="宋体" w:cs="Times New Roman"/>
          <w:sz w:val="21"/>
          <w:szCs w:val="21"/>
          <w:u w:val="single"/>
        </w:rPr>
        <w:t xml:space="preserve">   24 </w:t>
      </w:r>
      <w:r>
        <w:rPr>
          <w:rFonts w:hint="eastAsia" w:ascii="宋体" w:hAnsi="宋体" w:eastAsia="宋体" w:cs="Times New Roman"/>
          <w:sz w:val="21"/>
          <w:szCs w:val="21"/>
        </w:rPr>
        <w:t>个月，缺陷责任期自工程通过竣工验收之日起计算。单位工程先于全部工程进行验收，单位工程缺陷责任期自单位工程验收合格之日起算。</w:t>
      </w:r>
    </w:p>
    <w:p w14:paraId="020B5A19">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缺陷责任期终止后，发包人应退还剩余的质量保证金。</w:t>
      </w:r>
    </w:p>
    <w:p w14:paraId="19F52F64">
      <w:pPr>
        <w:autoSpaceDE w:val="0"/>
        <w:spacing w:line="360" w:lineRule="auto"/>
        <w:outlineLvl w:val="0"/>
        <w:rPr>
          <w:rFonts w:ascii="宋体" w:hAnsi="宋体" w:eastAsia="宋体" w:cs="Times New Roman"/>
          <w:sz w:val="21"/>
          <w:szCs w:val="21"/>
        </w:rPr>
      </w:pPr>
      <w:bookmarkStart w:id="1686" w:name="_Toc29237"/>
      <w:bookmarkEnd w:id="1686"/>
      <w:bookmarkStart w:id="1687" w:name="_Toc21547"/>
      <w:r>
        <w:rPr>
          <w:rFonts w:hint="eastAsia" w:ascii="宋体" w:hAnsi="宋体" w:eastAsia="宋体" w:cs="Times New Roman"/>
          <w:sz w:val="21"/>
          <w:szCs w:val="21"/>
        </w:rPr>
        <w:t>四、质量保修责任</w:t>
      </w:r>
      <w:bookmarkEnd w:id="1687"/>
    </w:p>
    <w:p w14:paraId="522410A9">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1．属于保修范围、内容的项目，承包人应当在接到保修通知之日起7天内派人保修。承包人不在约定期限内派人保修的，发包人可以委托他人修理。</w:t>
      </w:r>
    </w:p>
    <w:p w14:paraId="73EDADF7">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2．发生紧急事故需抢修的，承包人在接到事故通知后，应当立即到达事故现场抢修。</w:t>
      </w:r>
    </w:p>
    <w:p w14:paraId="7B00AC9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BD688ED">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4．质量保修完成后，由发包人组织验收。</w:t>
      </w:r>
    </w:p>
    <w:p w14:paraId="7985F207">
      <w:pPr>
        <w:autoSpaceDE w:val="0"/>
        <w:spacing w:line="360" w:lineRule="auto"/>
        <w:outlineLvl w:val="0"/>
        <w:rPr>
          <w:rFonts w:ascii="宋体" w:hAnsi="宋体" w:eastAsia="宋体" w:cs="Times New Roman"/>
          <w:sz w:val="21"/>
          <w:szCs w:val="21"/>
        </w:rPr>
      </w:pPr>
      <w:bookmarkStart w:id="1688" w:name="_Toc950"/>
      <w:bookmarkEnd w:id="1688"/>
      <w:bookmarkStart w:id="1689" w:name="_Toc2765"/>
      <w:r>
        <w:rPr>
          <w:rFonts w:hint="eastAsia" w:ascii="宋体" w:hAnsi="宋体" w:eastAsia="宋体" w:cs="Times New Roman"/>
          <w:sz w:val="21"/>
          <w:szCs w:val="21"/>
        </w:rPr>
        <w:t>五、保修费用</w:t>
      </w:r>
      <w:bookmarkEnd w:id="1689"/>
    </w:p>
    <w:p w14:paraId="64402BB8">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保修费用由造成质量缺陷的责任方承担。</w:t>
      </w:r>
    </w:p>
    <w:p w14:paraId="1A5AC90B">
      <w:pPr>
        <w:autoSpaceDE w:val="0"/>
        <w:spacing w:line="360" w:lineRule="auto"/>
        <w:jc w:val="left"/>
        <w:rPr>
          <w:rFonts w:ascii="宋体" w:hAnsi="宋体" w:eastAsia="宋体" w:cs="Times New Roman"/>
          <w:sz w:val="21"/>
          <w:szCs w:val="21"/>
        </w:rPr>
      </w:pPr>
      <w:r>
        <w:rPr>
          <w:rFonts w:hint="eastAsia" w:ascii="宋体" w:hAnsi="宋体" w:eastAsia="宋体" w:cs="Times New Roman"/>
          <w:bCs/>
          <w:sz w:val="21"/>
          <w:szCs w:val="21"/>
        </w:rPr>
        <w:t>六、双</w:t>
      </w:r>
      <w:r>
        <w:rPr>
          <w:rFonts w:hint="eastAsia" w:ascii="宋体" w:hAnsi="宋体" w:eastAsia="宋体" w:cs="Times New Roman"/>
          <w:sz w:val="21"/>
          <w:szCs w:val="21"/>
        </w:rPr>
        <w:t>方约定的其他工程质量保修事项：</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9E27BC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工程质量保修书由发包人、承包人在工程竣工验收前共同签署，作为施工合同附件，其有效期限至保修期满。</w:t>
      </w:r>
    </w:p>
    <w:p w14:paraId="182C1C40">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0F83701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发包人(公章)：</w:t>
      </w:r>
      <w:r>
        <w:rPr>
          <w:rFonts w:hint="eastAsia" w:ascii="宋体" w:hAnsi="宋体" w:eastAsia="宋体" w:cs="Times New Roman"/>
          <w:sz w:val="21"/>
          <w:szCs w:val="21"/>
          <w:u w:val="single"/>
        </w:rPr>
        <w:t xml:space="preserve">        </w:t>
      </w:r>
      <w:r>
        <w:rPr>
          <w:rFonts w:hint="eastAsia" w:ascii="宋体" w:hAnsi="宋体" w:eastAsia="宋体" w:cs="Times New Roman"/>
          <w:sz w:val="21"/>
          <w:szCs w:val="21"/>
        </w:rPr>
        <w:t xml:space="preserve"> 承包人(公章)：</w:t>
      </w:r>
      <w:r>
        <w:rPr>
          <w:rFonts w:hint="eastAsia" w:ascii="宋体" w:hAnsi="宋体" w:eastAsia="宋体" w:cs="Times New Roman"/>
          <w:sz w:val="21"/>
          <w:szCs w:val="21"/>
          <w:u w:val="single"/>
        </w:rPr>
        <w:t xml:space="preserve">           </w:t>
      </w:r>
    </w:p>
    <w:p w14:paraId="31FB91F3">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地  址：</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 xml:space="preserve"> 地  址：</w:t>
      </w:r>
      <w:r>
        <w:rPr>
          <w:rFonts w:hint="eastAsia" w:ascii="宋体" w:hAnsi="宋体" w:eastAsia="宋体" w:cs="Times New Roman"/>
          <w:sz w:val="21"/>
          <w:szCs w:val="21"/>
          <w:u w:val="single"/>
        </w:rPr>
        <w:t xml:space="preserve">       </w:t>
      </w:r>
    </w:p>
    <w:p w14:paraId="129A6CDF">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法定代表人(签名)：</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法定代表人(签名)：</w:t>
      </w:r>
      <w:r>
        <w:rPr>
          <w:rFonts w:hint="eastAsia" w:ascii="宋体" w:hAnsi="宋体" w:eastAsia="宋体" w:cs="Times New Roman"/>
          <w:sz w:val="21"/>
          <w:szCs w:val="21"/>
          <w:u w:val="single"/>
        </w:rPr>
        <w:t xml:space="preserve">       </w:t>
      </w:r>
    </w:p>
    <w:p w14:paraId="298ACA5F">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委托代理人(签名)：</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委托代理人(签名)：</w:t>
      </w:r>
      <w:r>
        <w:rPr>
          <w:rFonts w:hint="eastAsia" w:ascii="宋体" w:hAnsi="宋体" w:eastAsia="宋体" w:cs="Times New Roman"/>
          <w:sz w:val="21"/>
          <w:szCs w:val="21"/>
          <w:u w:val="single"/>
        </w:rPr>
        <w:t xml:space="preserve">       </w:t>
      </w:r>
    </w:p>
    <w:p w14:paraId="30F1276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电  话：</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电  话：</w:t>
      </w:r>
      <w:r>
        <w:rPr>
          <w:rFonts w:hint="eastAsia" w:ascii="宋体" w:hAnsi="宋体" w:eastAsia="宋体" w:cs="Times New Roman"/>
          <w:sz w:val="21"/>
          <w:szCs w:val="21"/>
          <w:u w:val="single"/>
        </w:rPr>
        <w:t xml:space="preserve">     </w:t>
      </w:r>
    </w:p>
    <w:p w14:paraId="755DC961">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传  真：</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传  真：</w:t>
      </w:r>
      <w:r>
        <w:rPr>
          <w:rFonts w:hint="eastAsia" w:ascii="宋体" w:hAnsi="宋体" w:eastAsia="宋体" w:cs="Times New Roman"/>
          <w:sz w:val="21"/>
          <w:szCs w:val="21"/>
          <w:u w:val="single"/>
        </w:rPr>
        <w:t xml:space="preserve">     </w:t>
      </w:r>
    </w:p>
    <w:p w14:paraId="0ACD8D6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开户银行：</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开户银行：</w:t>
      </w:r>
      <w:r>
        <w:rPr>
          <w:rFonts w:hint="eastAsia" w:ascii="宋体" w:hAnsi="宋体" w:eastAsia="宋体" w:cs="Times New Roman"/>
          <w:sz w:val="21"/>
          <w:szCs w:val="21"/>
          <w:u w:val="single"/>
        </w:rPr>
        <w:t xml:space="preserve">   </w:t>
      </w:r>
    </w:p>
    <w:p w14:paraId="5C2E500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账  号：</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 xml:space="preserve">  账  号：</w:t>
      </w:r>
      <w:r>
        <w:rPr>
          <w:rFonts w:hint="eastAsia" w:ascii="宋体" w:hAnsi="宋体" w:eastAsia="宋体" w:cs="Times New Roman"/>
          <w:sz w:val="21"/>
          <w:szCs w:val="21"/>
          <w:u w:val="single"/>
        </w:rPr>
        <w:t xml:space="preserve">     </w:t>
      </w:r>
    </w:p>
    <w:p w14:paraId="146083D0">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邮政编码：</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 xml:space="preserve"> 邮政编码：</w:t>
      </w:r>
      <w:r>
        <w:rPr>
          <w:rFonts w:hint="eastAsia" w:ascii="宋体" w:hAnsi="宋体" w:eastAsia="宋体" w:cs="Times New Roman"/>
          <w:sz w:val="21"/>
          <w:szCs w:val="21"/>
          <w:u w:val="single"/>
        </w:rPr>
        <w:t xml:space="preserve">   </w:t>
      </w:r>
    </w:p>
    <w:p w14:paraId="048AB606">
      <w:pPr>
        <w:spacing w:line="440" w:lineRule="exact"/>
        <w:rPr>
          <w:rFonts w:ascii="宋体" w:hAnsi="宋体" w:eastAsia="宋体" w:cs="Times New Roman"/>
          <w:sz w:val="21"/>
          <w:szCs w:val="21"/>
        </w:rPr>
      </w:pPr>
      <w:r>
        <w:rPr>
          <w:rFonts w:hint="eastAsia" w:ascii="宋体" w:hAnsi="宋体" w:eastAsia="宋体" w:cs="Times New Roman"/>
          <w:b/>
          <w:sz w:val="21"/>
          <w:szCs w:val="21"/>
        </w:rPr>
        <w:br w:type="page"/>
      </w:r>
      <w:r>
        <w:rPr>
          <w:rFonts w:hint="eastAsia" w:ascii="宋体" w:hAnsi="宋体" w:eastAsia="宋体" w:cs="Times New Roman"/>
          <w:sz w:val="21"/>
          <w:szCs w:val="21"/>
        </w:rPr>
        <w:t>附件4：</w:t>
      </w:r>
    </w:p>
    <w:p w14:paraId="2670359C">
      <w:pPr>
        <w:spacing w:before="156" w:beforeLines="50" w:after="156" w:afterLines="50" w:line="440" w:lineRule="exact"/>
        <w:jc w:val="center"/>
        <w:rPr>
          <w:rFonts w:ascii="宋体" w:hAnsi="宋体" w:eastAsia="宋体" w:cs="Times New Roman"/>
          <w:sz w:val="21"/>
          <w:szCs w:val="21"/>
        </w:rPr>
      </w:pPr>
      <w:r>
        <w:rPr>
          <w:rFonts w:hint="eastAsia" w:ascii="宋体" w:hAnsi="宋体" w:eastAsia="宋体" w:cs="Times New Roman"/>
          <w:sz w:val="21"/>
          <w:szCs w:val="21"/>
        </w:rPr>
        <w:t>主要建设工程文件目录</w:t>
      </w:r>
    </w:p>
    <w:tbl>
      <w:tblPr>
        <w:tblStyle w:val="6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68A8C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left w:val="single" w:color="auto" w:sz="12" w:space="0"/>
              <w:bottom w:val="double" w:color="auto" w:sz="2" w:space="0"/>
              <w:right w:val="single" w:color="auto" w:sz="6" w:space="0"/>
            </w:tcBorders>
            <w:vAlign w:val="center"/>
          </w:tcPr>
          <w:p w14:paraId="6A7A175B">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文件名称</w:t>
            </w:r>
          </w:p>
        </w:tc>
        <w:tc>
          <w:tcPr>
            <w:tcW w:w="1276" w:type="dxa"/>
            <w:tcBorders>
              <w:top w:val="single" w:color="auto" w:sz="12" w:space="0"/>
              <w:left w:val="single" w:color="auto" w:sz="6" w:space="0"/>
              <w:bottom w:val="double" w:color="auto" w:sz="2" w:space="0"/>
              <w:right w:val="single" w:color="auto" w:sz="6" w:space="0"/>
            </w:tcBorders>
            <w:vAlign w:val="center"/>
          </w:tcPr>
          <w:p w14:paraId="2FA766AF">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套数</w:t>
            </w:r>
          </w:p>
        </w:tc>
        <w:tc>
          <w:tcPr>
            <w:tcW w:w="1450" w:type="dxa"/>
            <w:tcBorders>
              <w:top w:val="single" w:color="auto" w:sz="12" w:space="0"/>
              <w:left w:val="single" w:color="auto" w:sz="6" w:space="0"/>
              <w:bottom w:val="double" w:color="auto" w:sz="2" w:space="0"/>
              <w:right w:val="single" w:color="auto" w:sz="6" w:space="0"/>
            </w:tcBorders>
            <w:vAlign w:val="center"/>
          </w:tcPr>
          <w:p w14:paraId="0B9851CD">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费用（元）</w:t>
            </w:r>
          </w:p>
        </w:tc>
        <w:tc>
          <w:tcPr>
            <w:tcW w:w="1243" w:type="dxa"/>
            <w:tcBorders>
              <w:top w:val="single" w:color="auto" w:sz="12" w:space="0"/>
              <w:left w:val="single" w:color="auto" w:sz="6" w:space="0"/>
              <w:bottom w:val="double" w:color="auto" w:sz="2" w:space="0"/>
              <w:right w:val="single" w:color="auto" w:sz="6" w:space="0"/>
            </w:tcBorders>
            <w:vAlign w:val="center"/>
          </w:tcPr>
          <w:p w14:paraId="2EFB70BE">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质量</w:t>
            </w:r>
          </w:p>
        </w:tc>
        <w:tc>
          <w:tcPr>
            <w:tcW w:w="1450" w:type="dxa"/>
            <w:tcBorders>
              <w:top w:val="single" w:color="auto" w:sz="12" w:space="0"/>
              <w:left w:val="single" w:color="auto" w:sz="6" w:space="0"/>
              <w:bottom w:val="double" w:color="auto" w:sz="2" w:space="0"/>
              <w:right w:val="single" w:color="auto" w:sz="6" w:space="0"/>
            </w:tcBorders>
          </w:tcPr>
          <w:p w14:paraId="2F6BD51B">
            <w:pPr>
              <w:autoSpaceDE w:val="0"/>
              <w:spacing w:line="400" w:lineRule="exact"/>
              <w:jc w:val="center"/>
              <w:rPr>
                <w:rFonts w:ascii="宋体" w:hAnsi="宋体" w:eastAsia="宋体" w:cs="Times New Roman"/>
                <w:sz w:val="21"/>
                <w:szCs w:val="21"/>
              </w:rPr>
            </w:pPr>
            <w:r>
              <w:rPr>
                <w:rFonts w:hint="eastAsia" w:ascii="宋体" w:hAnsi="宋体" w:eastAsia="宋体" w:cs="Times New Roman"/>
                <w:sz w:val="21"/>
                <w:szCs w:val="21"/>
              </w:rPr>
              <w:t>移交时间</w:t>
            </w:r>
          </w:p>
        </w:tc>
        <w:tc>
          <w:tcPr>
            <w:tcW w:w="1667" w:type="dxa"/>
            <w:tcBorders>
              <w:top w:val="single" w:color="auto" w:sz="12" w:space="0"/>
              <w:left w:val="single" w:color="auto" w:sz="6" w:space="0"/>
              <w:bottom w:val="double" w:color="auto" w:sz="2" w:space="0"/>
              <w:right w:val="single" w:color="auto" w:sz="12" w:space="0"/>
            </w:tcBorders>
          </w:tcPr>
          <w:p w14:paraId="679C4AA3">
            <w:pPr>
              <w:autoSpaceDE w:val="0"/>
              <w:spacing w:line="400" w:lineRule="exact"/>
              <w:jc w:val="center"/>
              <w:rPr>
                <w:rFonts w:ascii="宋体" w:hAnsi="宋体" w:eastAsia="宋体" w:cs="Times New Roman"/>
                <w:sz w:val="21"/>
                <w:szCs w:val="21"/>
              </w:rPr>
            </w:pPr>
            <w:r>
              <w:rPr>
                <w:rFonts w:hint="eastAsia" w:ascii="宋体" w:hAnsi="宋体" w:eastAsia="宋体" w:cs="Times New Roman"/>
                <w:sz w:val="21"/>
                <w:szCs w:val="21"/>
              </w:rPr>
              <w:t>责任人</w:t>
            </w:r>
          </w:p>
        </w:tc>
      </w:tr>
      <w:tr w14:paraId="0AC51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2" w:space="0"/>
              <w:left w:val="single" w:color="auto" w:sz="12" w:space="0"/>
              <w:bottom w:val="single" w:color="auto" w:sz="6" w:space="0"/>
              <w:right w:val="single" w:color="auto" w:sz="6" w:space="0"/>
            </w:tcBorders>
            <w:vAlign w:val="center"/>
          </w:tcPr>
          <w:p w14:paraId="20E004C1">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double" w:color="auto" w:sz="2" w:space="0"/>
              <w:left w:val="single" w:color="auto" w:sz="6" w:space="0"/>
              <w:bottom w:val="single" w:color="auto" w:sz="6" w:space="0"/>
              <w:right w:val="single" w:color="auto" w:sz="6" w:space="0"/>
            </w:tcBorders>
            <w:vAlign w:val="center"/>
          </w:tcPr>
          <w:p w14:paraId="35CB4562">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double" w:color="auto" w:sz="2" w:space="0"/>
              <w:left w:val="single" w:color="auto" w:sz="6" w:space="0"/>
              <w:bottom w:val="single" w:color="auto" w:sz="6" w:space="0"/>
              <w:right w:val="single" w:color="auto" w:sz="6" w:space="0"/>
            </w:tcBorders>
            <w:vAlign w:val="center"/>
          </w:tcPr>
          <w:p w14:paraId="527BA354">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double" w:color="auto" w:sz="2" w:space="0"/>
              <w:left w:val="single" w:color="auto" w:sz="6" w:space="0"/>
              <w:bottom w:val="single" w:color="auto" w:sz="6" w:space="0"/>
              <w:right w:val="single" w:color="auto" w:sz="6" w:space="0"/>
            </w:tcBorders>
            <w:vAlign w:val="center"/>
          </w:tcPr>
          <w:p w14:paraId="0789C380">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double" w:color="auto" w:sz="2" w:space="0"/>
              <w:left w:val="single" w:color="auto" w:sz="6" w:space="0"/>
              <w:bottom w:val="single" w:color="auto" w:sz="6" w:space="0"/>
              <w:right w:val="single" w:color="auto" w:sz="6" w:space="0"/>
            </w:tcBorders>
            <w:vAlign w:val="center"/>
          </w:tcPr>
          <w:p w14:paraId="21BB170F">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double" w:color="auto" w:sz="2" w:space="0"/>
              <w:left w:val="single" w:color="auto" w:sz="6" w:space="0"/>
              <w:bottom w:val="single" w:color="auto" w:sz="6" w:space="0"/>
              <w:right w:val="single" w:color="auto" w:sz="12" w:space="0"/>
            </w:tcBorders>
            <w:vAlign w:val="center"/>
          </w:tcPr>
          <w:p w14:paraId="08597795">
            <w:pPr>
              <w:keepNext/>
              <w:autoSpaceDE w:val="0"/>
              <w:spacing w:before="100" w:beforeAutospacing="1" w:line="400" w:lineRule="exact"/>
              <w:jc w:val="center"/>
              <w:rPr>
                <w:rFonts w:ascii="宋体" w:hAnsi="宋体" w:eastAsia="宋体" w:cs="Times New Roman"/>
                <w:sz w:val="21"/>
                <w:szCs w:val="21"/>
              </w:rPr>
            </w:pPr>
          </w:p>
        </w:tc>
      </w:tr>
      <w:tr w14:paraId="191D9E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1A4C45D2">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nil"/>
              <w:left w:val="single" w:color="auto" w:sz="6" w:space="0"/>
              <w:bottom w:val="single" w:color="auto" w:sz="6" w:space="0"/>
              <w:right w:val="single" w:color="auto" w:sz="6" w:space="0"/>
            </w:tcBorders>
            <w:vAlign w:val="center"/>
          </w:tcPr>
          <w:p w14:paraId="6B4BE8CB">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nil"/>
              <w:left w:val="single" w:color="auto" w:sz="6" w:space="0"/>
              <w:bottom w:val="single" w:color="auto" w:sz="6" w:space="0"/>
              <w:right w:val="single" w:color="auto" w:sz="6" w:space="0"/>
            </w:tcBorders>
            <w:vAlign w:val="center"/>
          </w:tcPr>
          <w:p w14:paraId="592B2683">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nil"/>
              <w:left w:val="single" w:color="auto" w:sz="6" w:space="0"/>
              <w:bottom w:val="single" w:color="auto" w:sz="6" w:space="0"/>
              <w:right w:val="single" w:color="auto" w:sz="6" w:space="0"/>
            </w:tcBorders>
            <w:vAlign w:val="center"/>
          </w:tcPr>
          <w:p w14:paraId="126BB435">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nil"/>
              <w:left w:val="single" w:color="auto" w:sz="6" w:space="0"/>
              <w:bottom w:val="single" w:color="auto" w:sz="6" w:space="0"/>
              <w:right w:val="single" w:color="auto" w:sz="6" w:space="0"/>
            </w:tcBorders>
            <w:vAlign w:val="center"/>
          </w:tcPr>
          <w:p w14:paraId="79A5878C">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nil"/>
              <w:left w:val="single" w:color="auto" w:sz="6" w:space="0"/>
              <w:bottom w:val="single" w:color="auto" w:sz="6" w:space="0"/>
              <w:right w:val="single" w:color="auto" w:sz="12" w:space="0"/>
            </w:tcBorders>
            <w:vAlign w:val="center"/>
          </w:tcPr>
          <w:p w14:paraId="6F182521">
            <w:pPr>
              <w:keepNext/>
              <w:autoSpaceDE w:val="0"/>
              <w:spacing w:before="100" w:beforeAutospacing="1" w:line="400" w:lineRule="exact"/>
              <w:jc w:val="center"/>
              <w:rPr>
                <w:rFonts w:ascii="宋体" w:hAnsi="宋体" w:eastAsia="宋体" w:cs="Times New Roman"/>
                <w:sz w:val="21"/>
                <w:szCs w:val="21"/>
              </w:rPr>
            </w:pPr>
          </w:p>
        </w:tc>
      </w:tr>
      <w:tr w14:paraId="7F523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6DE9D4B">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3CB20399">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4B2146B3">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4CEA9AC7">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506A29F8">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71397AC1">
            <w:pPr>
              <w:keepNext/>
              <w:autoSpaceDE w:val="0"/>
              <w:spacing w:before="100" w:beforeAutospacing="1" w:line="400" w:lineRule="exact"/>
              <w:jc w:val="center"/>
              <w:rPr>
                <w:rFonts w:ascii="宋体" w:hAnsi="宋体" w:eastAsia="宋体" w:cs="Times New Roman"/>
                <w:sz w:val="21"/>
                <w:szCs w:val="21"/>
              </w:rPr>
            </w:pPr>
          </w:p>
        </w:tc>
      </w:tr>
      <w:tr w14:paraId="5BBCB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1A5C2B1F">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0B1498EE">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58444278">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5B592C89">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7BF7567A">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09F10970">
            <w:pPr>
              <w:keepNext/>
              <w:autoSpaceDE w:val="0"/>
              <w:spacing w:before="100" w:beforeAutospacing="1" w:line="400" w:lineRule="exact"/>
              <w:jc w:val="center"/>
              <w:rPr>
                <w:rFonts w:ascii="宋体" w:hAnsi="宋体" w:eastAsia="宋体" w:cs="Times New Roman"/>
                <w:sz w:val="21"/>
                <w:szCs w:val="21"/>
              </w:rPr>
            </w:pPr>
          </w:p>
        </w:tc>
      </w:tr>
      <w:tr w14:paraId="76862E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BCD42AA">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197F908D">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25C76B4E">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7372CC18">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365F9A78">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4BD73D4F">
            <w:pPr>
              <w:keepNext/>
              <w:autoSpaceDE w:val="0"/>
              <w:spacing w:before="100" w:beforeAutospacing="1" w:line="400" w:lineRule="exact"/>
              <w:jc w:val="center"/>
              <w:rPr>
                <w:rFonts w:ascii="宋体" w:hAnsi="宋体" w:eastAsia="宋体" w:cs="Times New Roman"/>
                <w:sz w:val="21"/>
                <w:szCs w:val="21"/>
              </w:rPr>
            </w:pPr>
          </w:p>
        </w:tc>
      </w:tr>
      <w:tr w14:paraId="70211F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1210DEEB">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7C892EC3">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035BB32E">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1A163E9D">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5079041D">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4AD71620">
            <w:pPr>
              <w:keepNext/>
              <w:autoSpaceDE w:val="0"/>
              <w:spacing w:before="100" w:beforeAutospacing="1" w:line="400" w:lineRule="exact"/>
              <w:jc w:val="center"/>
              <w:rPr>
                <w:rFonts w:ascii="宋体" w:hAnsi="宋体" w:eastAsia="宋体" w:cs="Times New Roman"/>
                <w:sz w:val="21"/>
                <w:szCs w:val="21"/>
              </w:rPr>
            </w:pPr>
          </w:p>
        </w:tc>
      </w:tr>
      <w:tr w14:paraId="258F9F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5FBE9621">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2FE4794E">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1AD561F4">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2A7B8851">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70537C4E">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76FF4A74">
            <w:pPr>
              <w:keepNext/>
              <w:autoSpaceDE w:val="0"/>
              <w:spacing w:before="100" w:beforeAutospacing="1" w:line="400" w:lineRule="exact"/>
              <w:jc w:val="center"/>
              <w:rPr>
                <w:rFonts w:ascii="宋体" w:hAnsi="宋体" w:eastAsia="宋体" w:cs="Times New Roman"/>
                <w:sz w:val="21"/>
                <w:szCs w:val="21"/>
              </w:rPr>
            </w:pPr>
          </w:p>
        </w:tc>
      </w:tr>
      <w:tr w14:paraId="206F69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7F79C67">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1508F7D4">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22A11EBC">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17977B0E">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52D38E37">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48253A58">
            <w:pPr>
              <w:keepNext/>
              <w:autoSpaceDE w:val="0"/>
              <w:spacing w:before="100" w:beforeAutospacing="1" w:line="400" w:lineRule="exact"/>
              <w:jc w:val="center"/>
              <w:rPr>
                <w:rFonts w:ascii="宋体" w:hAnsi="宋体" w:eastAsia="宋体" w:cs="Times New Roman"/>
                <w:sz w:val="21"/>
                <w:szCs w:val="21"/>
              </w:rPr>
            </w:pPr>
          </w:p>
        </w:tc>
      </w:tr>
      <w:tr w14:paraId="4F0C60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0C0D895">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0F8AA923">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1207A897">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6A726EB5">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6CDC1B55">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0F807B63">
            <w:pPr>
              <w:autoSpaceDE w:val="0"/>
              <w:spacing w:line="400" w:lineRule="exact"/>
              <w:jc w:val="center"/>
              <w:rPr>
                <w:rFonts w:ascii="宋体" w:hAnsi="宋体" w:eastAsia="宋体" w:cs="Times New Roman"/>
                <w:sz w:val="21"/>
                <w:szCs w:val="21"/>
              </w:rPr>
            </w:pPr>
          </w:p>
        </w:tc>
      </w:tr>
      <w:tr w14:paraId="5CC11F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3CD3B33B">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7B8AE5EB">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747736B5">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2269F228">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0708F199">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2A71389E">
            <w:pPr>
              <w:keepNext/>
              <w:autoSpaceDE w:val="0"/>
              <w:spacing w:before="100" w:beforeAutospacing="1" w:line="400" w:lineRule="exact"/>
              <w:jc w:val="center"/>
              <w:rPr>
                <w:rFonts w:ascii="宋体" w:hAnsi="宋体" w:eastAsia="宋体" w:cs="Times New Roman"/>
                <w:sz w:val="21"/>
                <w:szCs w:val="21"/>
              </w:rPr>
            </w:pPr>
          </w:p>
        </w:tc>
      </w:tr>
      <w:tr w14:paraId="6FBD96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3DAF2321">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6B3457BC">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4C368809">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2A9D478E">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7B051059">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369D9CF5">
            <w:pPr>
              <w:autoSpaceDE w:val="0"/>
              <w:spacing w:line="400" w:lineRule="exact"/>
              <w:jc w:val="center"/>
              <w:rPr>
                <w:rFonts w:ascii="宋体" w:hAnsi="宋体" w:eastAsia="宋体" w:cs="Times New Roman"/>
                <w:sz w:val="21"/>
                <w:szCs w:val="21"/>
              </w:rPr>
            </w:pPr>
          </w:p>
        </w:tc>
      </w:tr>
      <w:tr w14:paraId="482F41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715E9A59">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23FC215F">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369C3989">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3355781A">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75A61C32">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1D02C536">
            <w:pPr>
              <w:autoSpaceDE w:val="0"/>
              <w:spacing w:line="400" w:lineRule="exact"/>
              <w:jc w:val="center"/>
              <w:rPr>
                <w:rFonts w:ascii="宋体" w:hAnsi="宋体" w:eastAsia="宋体" w:cs="Times New Roman"/>
                <w:sz w:val="21"/>
                <w:szCs w:val="21"/>
              </w:rPr>
            </w:pPr>
          </w:p>
        </w:tc>
      </w:tr>
      <w:tr w14:paraId="1643A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715D40AC">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036232D6">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237FA3A2">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4B78C7DE">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307E9B98">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77EE8B7E">
            <w:pPr>
              <w:autoSpaceDE w:val="0"/>
              <w:spacing w:line="400" w:lineRule="exact"/>
              <w:jc w:val="center"/>
              <w:rPr>
                <w:rFonts w:ascii="宋体" w:hAnsi="宋体" w:eastAsia="宋体" w:cs="Times New Roman"/>
                <w:sz w:val="21"/>
                <w:szCs w:val="21"/>
              </w:rPr>
            </w:pPr>
          </w:p>
        </w:tc>
      </w:tr>
      <w:tr w14:paraId="088D03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0D0E8B13">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1387AAE6">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647829AF">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5840F3D6">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59C51BA6">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7CF9F104">
            <w:pPr>
              <w:autoSpaceDE w:val="0"/>
              <w:spacing w:line="400" w:lineRule="exact"/>
              <w:jc w:val="center"/>
              <w:rPr>
                <w:rFonts w:ascii="宋体" w:hAnsi="宋体" w:eastAsia="宋体" w:cs="Times New Roman"/>
                <w:sz w:val="21"/>
                <w:szCs w:val="21"/>
              </w:rPr>
            </w:pPr>
          </w:p>
        </w:tc>
      </w:tr>
      <w:tr w14:paraId="2238A2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2445E4F3">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692E05F8">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6B1ABE8E">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0CD55AC0">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7C2A35A8">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75226C76">
            <w:pPr>
              <w:autoSpaceDE w:val="0"/>
              <w:spacing w:line="400" w:lineRule="exact"/>
              <w:jc w:val="center"/>
              <w:rPr>
                <w:rFonts w:ascii="宋体" w:hAnsi="宋体" w:eastAsia="宋体" w:cs="Times New Roman"/>
                <w:sz w:val="21"/>
                <w:szCs w:val="21"/>
              </w:rPr>
            </w:pPr>
          </w:p>
        </w:tc>
      </w:tr>
      <w:tr w14:paraId="69C16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31F874DF">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2D416C51">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679B3AB6">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084F2FB1">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35D8132A">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18B1AB4F">
            <w:pPr>
              <w:autoSpaceDE w:val="0"/>
              <w:spacing w:line="400" w:lineRule="exact"/>
              <w:jc w:val="center"/>
              <w:rPr>
                <w:rFonts w:ascii="宋体" w:hAnsi="宋体" w:eastAsia="宋体" w:cs="Times New Roman"/>
                <w:sz w:val="21"/>
                <w:szCs w:val="21"/>
              </w:rPr>
            </w:pPr>
          </w:p>
        </w:tc>
      </w:tr>
      <w:tr w14:paraId="5F3D74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98916F5">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2ECF28C4">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30829D40">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5324D02D">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191C5780">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7660F432">
            <w:pPr>
              <w:autoSpaceDE w:val="0"/>
              <w:spacing w:line="400" w:lineRule="exact"/>
              <w:jc w:val="center"/>
              <w:rPr>
                <w:rFonts w:ascii="宋体" w:hAnsi="宋体" w:eastAsia="宋体" w:cs="Times New Roman"/>
                <w:sz w:val="21"/>
                <w:szCs w:val="21"/>
              </w:rPr>
            </w:pPr>
          </w:p>
        </w:tc>
      </w:tr>
      <w:tr w14:paraId="515038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3D66A7BF">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74A5D958">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74A4EA15">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44DCCB32">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0C510441">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27DBEA5F">
            <w:pPr>
              <w:autoSpaceDE w:val="0"/>
              <w:spacing w:line="400" w:lineRule="exact"/>
              <w:jc w:val="center"/>
              <w:rPr>
                <w:rFonts w:ascii="宋体" w:hAnsi="宋体" w:eastAsia="宋体" w:cs="Times New Roman"/>
                <w:sz w:val="21"/>
                <w:szCs w:val="21"/>
              </w:rPr>
            </w:pPr>
          </w:p>
        </w:tc>
      </w:tr>
      <w:tr w14:paraId="28BF2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tcPr>
          <w:p w14:paraId="057D9294">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12" w:space="0"/>
              <w:right w:val="single" w:color="auto" w:sz="6" w:space="0"/>
            </w:tcBorders>
          </w:tcPr>
          <w:p w14:paraId="54B7F9ED">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12" w:space="0"/>
              <w:right w:val="single" w:color="auto" w:sz="6" w:space="0"/>
            </w:tcBorders>
          </w:tcPr>
          <w:p w14:paraId="3F5EE3B8">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12" w:space="0"/>
              <w:right w:val="single" w:color="auto" w:sz="6" w:space="0"/>
            </w:tcBorders>
          </w:tcPr>
          <w:p w14:paraId="7B616841">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12" w:space="0"/>
              <w:right w:val="single" w:color="auto" w:sz="6" w:space="0"/>
            </w:tcBorders>
          </w:tcPr>
          <w:p w14:paraId="0D7DE641">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12" w:space="0"/>
              <w:right w:val="single" w:color="auto" w:sz="12" w:space="0"/>
            </w:tcBorders>
          </w:tcPr>
          <w:p w14:paraId="3963A741">
            <w:pPr>
              <w:autoSpaceDE w:val="0"/>
              <w:spacing w:line="400" w:lineRule="exact"/>
              <w:jc w:val="center"/>
              <w:rPr>
                <w:rFonts w:ascii="宋体" w:hAnsi="宋体" w:eastAsia="宋体" w:cs="Times New Roman"/>
                <w:sz w:val="21"/>
                <w:szCs w:val="21"/>
              </w:rPr>
            </w:pPr>
          </w:p>
        </w:tc>
      </w:tr>
    </w:tbl>
    <w:p w14:paraId="06F252B8">
      <w:pPr>
        <w:rPr>
          <w:rFonts w:ascii="宋体" w:hAnsi="宋体" w:eastAsia="宋体" w:cs="Times New Roman"/>
          <w:sz w:val="21"/>
          <w:szCs w:val="21"/>
        </w:rPr>
      </w:pPr>
      <w:r>
        <w:rPr>
          <w:rFonts w:hint="eastAsia" w:ascii="宋体" w:hAnsi="宋体" w:eastAsia="宋体" w:cs="Times New Roman"/>
          <w:sz w:val="21"/>
          <w:szCs w:val="21"/>
        </w:rPr>
        <w:br w:type="page"/>
      </w:r>
    </w:p>
    <w:p w14:paraId="3D8F9A6C">
      <w:pPr>
        <w:spacing w:line="440" w:lineRule="exact"/>
        <w:rPr>
          <w:rFonts w:ascii="宋体" w:hAnsi="宋体" w:eastAsia="宋体" w:cs="Times New Roman"/>
          <w:sz w:val="21"/>
          <w:szCs w:val="21"/>
        </w:rPr>
      </w:pPr>
      <w:r>
        <w:rPr>
          <w:rFonts w:hint="eastAsia" w:ascii="宋体" w:hAnsi="宋体" w:eastAsia="宋体" w:cs="Times New Roman"/>
          <w:sz w:val="21"/>
          <w:szCs w:val="21"/>
        </w:rPr>
        <w:t>附</w:t>
      </w:r>
      <w:bookmarkStart w:id="1690" w:name="_Toc296891267"/>
      <w:bookmarkEnd w:id="1690"/>
      <w:bookmarkStart w:id="1691" w:name="_Toc296347226"/>
      <w:bookmarkEnd w:id="1691"/>
      <w:bookmarkStart w:id="1692" w:name="_Toc296346728"/>
      <w:bookmarkEnd w:id="1692"/>
      <w:bookmarkStart w:id="1693" w:name="_Toc296503227"/>
      <w:bookmarkEnd w:id="1693"/>
      <w:bookmarkStart w:id="1694" w:name="_Toc296891055"/>
      <w:bookmarkEnd w:id="1694"/>
      <w:bookmarkStart w:id="1695" w:name="_Toc296944566"/>
      <w:bookmarkEnd w:id="1695"/>
      <w:bookmarkStart w:id="1696" w:name="_Toc267261698"/>
      <w:r>
        <w:rPr>
          <w:rFonts w:hint="eastAsia" w:ascii="宋体" w:hAnsi="宋体" w:eastAsia="宋体" w:cs="Times New Roman"/>
          <w:sz w:val="21"/>
          <w:szCs w:val="21"/>
        </w:rPr>
        <w:t>件5：</w:t>
      </w:r>
      <w:bookmarkEnd w:id="1696"/>
    </w:p>
    <w:p w14:paraId="6DAEF844">
      <w:pPr>
        <w:spacing w:line="440" w:lineRule="exact"/>
        <w:jc w:val="center"/>
        <w:rPr>
          <w:rFonts w:ascii="宋体" w:hAnsi="宋体" w:eastAsia="宋体" w:cs="Times New Roman"/>
          <w:sz w:val="21"/>
          <w:szCs w:val="21"/>
        </w:rPr>
      </w:pPr>
      <w:r>
        <w:rPr>
          <w:rFonts w:hint="eastAsia" w:ascii="宋体" w:hAnsi="宋体" w:eastAsia="宋体" w:cs="Times New Roman"/>
          <w:sz w:val="21"/>
          <w:szCs w:val="21"/>
        </w:rPr>
        <w:t>承包人用于本工程施工的机械设备表</w:t>
      </w:r>
    </w:p>
    <w:tbl>
      <w:tblPr>
        <w:tblStyle w:val="65"/>
        <w:tblW w:w="9809" w:type="dxa"/>
        <w:tblInd w:w="8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24C6C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162" w:type="dxa"/>
            <w:tcBorders>
              <w:top w:val="single" w:color="auto" w:sz="12" w:space="0"/>
              <w:left w:val="single" w:color="auto" w:sz="12" w:space="0"/>
              <w:bottom w:val="double" w:color="auto" w:sz="2" w:space="0"/>
              <w:right w:val="single" w:color="auto" w:sz="6" w:space="0"/>
            </w:tcBorders>
            <w:vAlign w:val="center"/>
          </w:tcPr>
          <w:p w14:paraId="7217C9A6">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序号</w:t>
            </w:r>
          </w:p>
        </w:tc>
        <w:tc>
          <w:tcPr>
            <w:tcW w:w="1418" w:type="dxa"/>
            <w:tcBorders>
              <w:top w:val="single" w:color="auto" w:sz="12" w:space="0"/>
              <w:left w:val="single" w:color="auto" w:sz="6" w:space="0"/>
              <w:bottom w:val="double" w:color="auto" w:sz="2" w:space="0"/>
              <w:right w:val="single" w:color="auto" w:sz="6" w:space="0"/>
            </w:tcBorders>
            <w:vAlign w:val="center"/>
          </w:tcPr>
          <w:p w14:paraId="0C86B455">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机械或设备名称</w:t>
            </w:r>
          </w:p>
        </w:tc>
        <w:tc>
          <w:tcPr>
            <w:tcW w:w="850" w:type="dxa"/>
            <w:tcBorders>
              <w:top w:val="single" w:color="auto" w:sz="12" w:space="0"/>
              <w:left w:val="single" w:color="auto" w:sz="6" w:space="0"/>
              <w:bottom w:val="double" w:color="auto" w:sz="2" w:space="0"/>
              <w:right w:val="single" w:color="auto" w:sz="6" w:space="0"/>
            </w:tcBorders>
            <w:vAlign w:val="center"/>
          </w:tcPr>
          <w:p w14:paraId="6A0A42EB">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规格型号</w:t>
            </w:r>
          </w:p>
        </w:tc>
        <w:tc>
          <w:tcPr>
            <w:tcW w:w="1058" w:type="dxa"/>
            <w:tcBorders>
              <w:top w:val="single" w:color="auto" w:sz="12" w:space="0"/>
              <w:left w:val="single" w:color="auto" w:sz="6" w:space="0"/>
              <w:bottom w:val="double" w:color="auto" w:sz="2" w:space="0"/>
              <w:right w:val="single" w:color="auto" w:sz="6" w:space="0"/>
            </w:tcBorders>
            <w:vAlign w:val="center"/>
          </w:tcPr>
          <w:p w14:paraId="1D44418F">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数量</w:t>
            </w:r>
          </w:p>
        </w:tc>
        <w:tc>
          <w:tcPr>
            <w:tcW w:w="880" w:type="dxa"/>
            <w:tcBorders>
              <w:top w:val="single" w:color="auto" w:sz="12" w:space="0"/>
              <w:left w:val="single" w:color="auto" w:sz="6" w:space="0"/>
              <w:bottom w:val="double" w:color="auto" w:sz="2" w:space="0"/>
              <w:right w:val="single" w:color="auto" w:sz="6" w:space="0"/>
            </w:tcBorders>
            <w:vAlign w:val="center"/>
          </w:tcPr>
          <w:p w14:paraId="11F7F9DE">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产地</w:t>
            </w:r>
          </w:p>
        </w:tc>
        <w:tc>
          <w:tcPr>
            <w:tcW w:w="1020" w:type="dxa"/>
            <w:tcBorders>
              <w:top w:val="single" w:color="auto" w:sz="12" w:space="0"/>
              <w:left w:val="single" w:color="auto" w:sz="6" w:space="0"/>
              <w:bottom w:val="double" w:color="auto" w:sz="2" w:space="0"/>
              <w:right w:val="single" w:color="auto" w:sz="6" w:space="0"/>
            </w:tcBorders>
            <w:vAlign w:val="center"/>
          </w:tcPr>
          <w:p w14:paraId="1FF59A56">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制造年份</w:t>
            </w:r>
          </w:p>
        </w:tc>
        <w:tc>
          <w:tcPr>
            <w:tcW w:w="1480" w:type="dxa"/>
            <w:tcBorders>
              <w:top w:val="single" w:color="auto" w:sz="12" w:space="0"/>
              <w:left w:val="single" w:color="auto" w:sz="6" w:space="0"/>
              <w:bottom w:val="double" w:color="auto" w:sz="2" w:space="0"/>
              <w:right w:val="single" w:color="auto" w:sz="6" w:space="0"/>
            </w:tcBorders>
            <w:vAlign w:val="center"/>
          </w:tcPr>
          <w:p w14:paraId="439708D3">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额定功率(kW)</w:t>
            </w:r>
          </w:p>
        </w:tc>
        <w:tc>
          <w:tcPr>
            <w:tcW w:w="1020" w:type="dxa"/>
            <w:tcBorders>
              <w:top w:val="single" w:color="auto" w:sz="12" w:space="0"/>
              <w:left w:val="single" w:color="auto" w:sz="6" w:space="0"/>
              <w:bottom w:val="double" w:color="auto" w:sz="2" w:space="0"/>
              <w:right w:val="single" w:color="auto" w:sz="6" w:space="0"/>
            </w:tcBorders>
            <w:vAlign w:val="center"/>
          </w:tcPr>
          <w:p w14:paraId="56809CB2">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生产能力</w:t>
            </w:r>
          </w:p>
        </w:tc>
        <w:tc>
          <w:tcPr>
            <w:tcW w:w="921" w:type="dxa"/>
            <w:tcBorders>
              <w:top w:val="single" w:color="auto" w:sz="12" w:space="0"/>
              <w:left w:val="single" w:color="auto" w:sz="6" w:space="0"/>
              <w:bottom w:val="double" w:color="auto" w:sz="2" w:space="0"/>
              <w:right w:val="single" w:color="auto" w:sz="12" w:space="0"/>
            </w:tcBorders>
            <w:vAlign w:val="center"/>
          </w:tcPr>
          <w:p w14:paraId="0DE1F802">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备注</w:t>
            </w:r>
          </w:p>
        </w:tc>
      </w:tr>
      <w:tr w14:paraId="0EDB0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double" w:color="auto" w:sz="2" w:space="0"/>
              <w:left w:val="single" w:color="auto" w:sz="12" w:space="0"/>
              <w:bottom w:val="single" w:color="auto" w:sz="6" w:space="0"/>
              <w:right w:val="single" w:color="auto" w:sz="6" w:space="0"/>
            </w:tcBorders>
            <w:vAlign w:val="center"/>
          </w:tcPr>
          <w:p w14:paraId="1A385FD8">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double" w:color="auto" w:sz="2" w:space="0"/>
              <w:left w:val="single" w:color="auto" w:sz="6" w:space="0"/>
              <w:bottom w:val="single" w:color="auto" w:sz="6" w:space="0"/>
              <w:right w:val="single" w:color="auto" w:sz="6" w:space="0"/>
            </w:tcBorders>
            <w:vAlign w:val="center"/>
          </w:tcPr>
          <w:p w14:paraId="0272268B">
            <w:pPr>
              <w:keepNext/>
              <w:autoSpaceDE w:val="0"/>
              <w:spacing w:before="100" w:beforeAutospacing="1" w:line="300" w:lineRule="exact"/>
              <w:jc w:val="center"/>
              <w:rPr>
                <w:rFonts w:ascii="宋体" w:hAnsi="宋体" w:eastAsia="宋体" w:cs="Times New Roman"/>
                <w:sz w:val="21"/>
                <w:szCs w:val="21"/>
              </w:rPr>
            </w:pPr>
          </w:p>
        </w:tc>
        <w:tc>
          <w:tcPr>
            <w:tcW w:w="850" w:type="dxa"/>
            <w:tcBorders>
              <w:top w:val="double" w:color="auto" w:sz="2" w:space="0"/>
              <w:left w:val="single" w:color="auto" w:sz="6" w:space="0"/>
              <w:bottom w:val="single" w:color="auto" w:sz="6" w:space="0"/>
              <w:right w:val="single" w:color="auto" w:sz="6" w:space="0"/>
            </w:tcBorders>
            <w:vAlign w:val="center"/>
          </w:tcPr>
          <w:p w14:paraId="0566151A">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double" w:color="auto" w:sz="2" w:space="0"/>
              <w:left w:val="single" w:color="auto" w:sz="6" w:space="0"/>
              <w:bottom w:val="single" w:color="auto" w:sz="6" w:space="0"/>
              <w:right w:val="single" w:color="auto" w:sz="6" w:space="0"/>
            </w:tcBorders>
            <w:vAlign w:val="center"/>
          </w:tcPr>
          <w:p w14:paraId="47E5CA9F">
            <w:pPr>
              <w:keepNext/>
              <w:autoSpaceDE w:val="0"/>
              <w:spacing w:before="100" w:beforeAutospacing="1" w:line="300" w:lineRule="exact"/>
              <w:jc w:val="center"/>
              <w:rPr>
                <w:rFonts w:ascii="宋体" w:hAnsi="宋体" w:eastAsia="宋体" w:cs="Times New Roman"/>
                <w:sz w:val="21"/>
                <w:szCs w:val="21"/>
              </w:rPr>
            </w:pPr>
          </w:p>
        </w:tc>
        <w:tc>
          <w:tcPr>
            <w:tcW w:w="880" w:type="dxa"/>
            <w:tcBorders>
              <w:top w:val="double" w:color="auto" w:sz="2" w:space="0"/>
              <w:left w:val="single" w:color="auto" w:sz="6" w:space="0"/>
              <w:bottom w:val="single" w:color="auto" w:sz="6" w:space="0"/>
              <w:right w:val="single" w:color="auto" w:sz="6" w:space="0"/>
            </w:tcBorders>
            <w:vAlign w:val="center"/>
          </w:tcPr>
          <w:p w14:paraId="787DC8DC">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double" w:color="auto" w:sz="2" w:space="0"/>
              <w:left w:val="single" w:color="auto" w:sz="6" w:space="0"/>
              <w:bottom w:val="single" w:color="auto" w:sz="6" w:space="0"/>
              <w:right w:val="single" w:color="auto" w:sz="6" w:space="0"/>
            </w:tcBorders>
            <w:vAlign w:val="center"/>
          </w:tcPr>
          <w:p w14:paraId="35A0FDDA">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double" w:color="auto" w:sz="2" w:space="0"/>
              <w:left w:val="single" w:color="auto" w:sz="6" w:space="0"/>
              <w:bottom w:val="single" w:color="auto" w:sz="6" w:space="0"/>
              <w:right w:val="single" w:color="auto" w:sz="6" w:space="0"/>
            </w:tcBorders>
            <w:vAlign w:val="center"/>
          </w:tcPr>
          <w:p w14:paraId="2CDE886F">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double" w:color="auto" w:sz="2" w:space="0"/>
              <w:left w:val="single" w:color="auto" w:sz="6" w:space="0"/>
              <w:bottom w:val="single" w:color="auto" w:sz="6" w:space="0"/>
              <w:right w:val="single" w:color="auto" w:sz="6" w:space="0"/>
            </w:tcBorders>
            <w:vAlign w:val="center"/>
          </w:tcPr>
          <w:p w14:paraId="5B306037">
            <w:pPr>
              <w:keepNext/>
              <w:autoSpaceDE w:val="0"/>
              <w:spacing w:before="100" w:beforeAutospacing="1" w:line="300" w:lineRule="exact"/>
              <w:jc w:val="center"/>
              <w:rPr>
                <w:rFonts w:ascii="宋体" w:hAnsi="宋体" w:eastAsia="宋体" w:cs="Times New Roman"/>
                <w:sz w:val="21"/>
                <w:szCs w:val="21"/>
              </w:rPr>
            </w:pPr>
          </w:p>
        </w:tc>
        <w:tc>
          <w:tcPr>
            <w:tcW w:w="921" w:type="dxa"/>
            <w:tcBorders>
              <w:top w:val="double" w:color="auto" w:sz="2" w:space="0"/>
              <w:left w:val="single" w:color="auto" w:sz="6" w:space="0"/>
              <w:bottom w:val="single" w:color="auto" w:sz="6" w:space="0"/>
              <w:right w:val="single" w:color="auto" w:sz="12" w:space="0"/>
            </w:tcBorders>
            <w:vAlign w:val="center"/>
          </w:tcPr>
          <w:p w14:paraId="0E4431AA">
            <w:pPr>
              <w:keepNext/>
              <w:autoSpaceDE w:val="0"/>
              <w:spacing w:before="100" w:beforeAutospacing="1" w:line="300" w:lineRule="exact"/>
              <w:jc w:val="center"/>
              <w:rPr>
                <w:rFonts w:ascii="宋体" w:hAnsi="宋体" w:eastAsia="宋体" w:cs="Times New Roman"/>
                <w:sz w:val="21"/>
                <w:szCs w:val="21"/>
              </w:rPr>
            </w:pPr>
          </w:p>
        </w:tc>
      </w:tr>
      <w:tr w14:paraId="4661F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1162" w:type="dxa"/>
            <w:tcBorders>
              <w:top w:val="nil"/>
              <w:left w:val="single" w:color="auto" w:sz="12" w:space="0"/>
              <w:bottom w:val="single" w:color="auto" w:sz="6" w:space="0"/>
              <w:right w:val="single" w:color="auto" w:sz="6" w:space="0"/>
            </w:tcBorders>
            <w:vAlign w:val="center"/>
          </w:tcPr>
          <w:p w14:paraId="5E6FAAD6">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nil"/>
              <w:left w:val="single" w:color="auto" w:sz="6" w:space="0"/>
              <w:bottom w:val="single" w:color="auto" w:sz="6" w:space="0"/>
              <w:right w:val="single" w:color="auto" w:sz="6" w:space="0"/>
            </w:tcBorders>
            <w:vAlign w:val="center"/>
          </w:tcPr>
          <w:p w14:paraId="15832099">
            <w:pPr>
              <w:keepNext/>
              <w:autoSpaceDE w:val="0"/>
              <w:spacing w:before="100" w:beforeAutospacing="1" w:line="3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6" w:space="0"/>
            </w:tcBorders>
            <w:vAlign w:val="center"/>
          </w:tcPr>
          <w:p w14:paraId="1A4A581F">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nil"/>
              <w:left w:val="single" w:color="auto" w:sz="6" w:space="0"/>
              <w:bottom w:val="single" w:color="auto" w:sz="6" w:space="0"/>
              <w:right w:val="single" w:color="auto" w:sz="6" w:space="0"/>
            </w:tcBorders>
            <w:vAlign w:val="center"/>
          </w:tcPr>
          <w:p w14:paraId="1080AA8F">
            <w:pPr>
              <w:keepNext/>
              <w:autoSpaceDE w:val="0"/>
              <w:spacing w:before="100" w:beforeAutospacing="1" w:line="300" w:lineRule="exact"/>
              <w:jc w:val="center"/>
              <w:rPr>
                <w:rFonts w:ascii="宋体" w:hAnsi="宋体" w:eastAsia="宋体" w:cs="Times New Roman"/>
                <w:sz w:val="21"/>
                <w:szCs w:val="21"/>
              </w:rPr>
            </w:pPr>
          </w:p>
        </w:tc>
        <w:tc>
          <w:tcPr>
            <w:tcW w:w="880" w:type="dxa"/>
            <w:tcBorders>
              <w:top w:val="nil"/>
              <w:left w:val="single" w:color="auto" w:sz="6" w:space="0"/>
              <w:bottom w:val="single" w:color="auto" w:sz="6" w:space="0"/>
              <w:right w:val="single" w:color="auto" w:sz="6" w:space="0"/>
            </w:tcBorders>
            <w:vAlign w:val="center"/>
          </w:tcPr>
          <w:p w14:paraId="70ECBCC8">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nil"/>
              <w:left w:val="single" w:color="auto" w:sz="6" w:space="0"/>
              <w:bottom w:val="single" w:color="auto" w:sz="6" w:space="0"/>
              <w:right w:val="single" w:color="auto" w:sz="6" w:space="0"/>
            </w:tcBorders>
            <w:vAlign w:val="center"/>
          </w:tcPr>
          <w:p w14:paraId="101CE36F">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nil"/>
              <w:left w:val="single" w:color="auto" w:sz="6" w:space="0"/>
              <w:bottom w:val="single" w:color="auto" w:sz="6" w:space="0"/>
              <w:right w:val="single" w:color="auto" w:sz="6" w:space="0"/>
            </w:tcBorders>
            <w:vAlign w:val="center"/>
          </w:tcPr>
          <w:p w14:paraId="7124D3E1">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nil"/>
              <w:left w:val="single" w:color="auto" w:sz="6" w:space="0"/>
              <w:bottom w:val="single" w:color="auto" w:sz="6" w:space="0"/>
              <w:right w:val="single" w:color="auto" w:sz="6" w:space="0"/>
            </w:tcBorders>
            <w:vAlign w:val="center"/>
          </w:tcPr>
          <w:p w14:paraId="31C700B9">
            <w:pPr>
              <w:keepNext/>
              <w:autoSpaceDE w:val="0"/>
              <w:spacing w:before="100" w:beforeAutospacing="1" w:line="300" w:lineRule="exact"/>
              <w:jc w:val="center"/>
              <w:rPr>
                <w:rFonts w:ascii="宋体" w:hAnsi="宋体" w:eastAsia="宋体" w:cs="Times New Roman"/>
                <w:sz w:val="21"/>
                <w:szCs w:val="21"/>
              </w:rPr>
            </w:pPr>
          </w:p>
        </w:tc>
        <w:tc>
          <w:tcPr>
            <w:tcW w:w="921" w:type="dxa"/>
            <w:tcBorders>
              <w:top w:val="nil"/>
              <w:left w:val="single" w:color="auto" w:sz="6" w:space="0"/>
              <w:bottom w:val="single" w:color="auto" w:sz="6" w:space="0"/>
              <w:right w:val="single" w:color="auto" w:sz="12" w:space="0"/>
            </w:tcBorders>
            <w:vAlign w:val="center"/>
          </w:tcPr>
          <w:p w14:paraId="381B565C">
            <w:pPr>
              <w:keepNext/>
              <w:autoSpaceDE w:val="0"/>
              <w:spacing w:before="100" w:beforeAutospacing="1" w:line="300" w:lineRule="exact"/>
              <w:jc w:val="center"/>
              <w:rPr>
                <w:rFonts w:ascii="宋体" w:hAnsi="宋体" w:eastAsia="宋体" w:cs="Times New Roman"/>
                <w:sz w:val="21"/>
                <w:szCs w:val="21"/>
              </w:rPr>
            </w:pPr>
          </w:p>
        </w:tc>
      </w:tr>
      <w:tr w14:paraId="2C5DE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vAlign w:val="center"/>
          </w:tcPr>
          <w:p w14:paraId="7BAFE9E1">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39FD436E">
            <w:pPr>
              <w:keepNext/>
              <w:autoSpaceDE w:val="0"/>
              <w:spacing w:before="100" w:beforeAutospacing="1"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65E61B52">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vAlign w:val="center"/>
          </w:tcPr>
          <w:p w14:paraId="6D3B199F">
            <w:pPr>
              <w:keepNext/>
              <w:autoSpaceDE w:val="0"/>
              <w:spacing w:before="100" w:beforeAutospacing="1"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vAlign w:val="center"/>
          </w:tcPr>
          <w:p w14:paraId="2D4E9C25">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2C0AA02B">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vAlign w:val="center"/>
          </w:tcPr>
          <w:p w14:paraId="19B4A63C">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0C5D3231">
            <w:pPr>
              <w:keepNext/>
              <w:autoSpaceDE w:val="0"/>
              <w:spacing w:before="100" w:beforeAutospacing="1"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vAlign w:val="center"/>
          </w:tcPr>
          <w:p w14:paraId="6BE06CB6">
            <w:pPr>
              <w:keepNext/>
              <w:autoSpaceDE w:val="0"/>
              <w:spacing w:before="100" w:beforeAutospacing="1" w:line="300" w:lineRule="exact"/>
              <w:jc w:val="center"/>
              <w:rPr>
                <w:rFonts w:ascii="宋体" w:hAnsi="宋体" w:eastAsia="宋体" w:cs="Times New Roman"/>
                <w:sz w:val="21"/>
                <w:szCs w:val="21"/>
              </w:rPr>
            </w:pPr>
          </w:p>
        </w:tc>
      </w:tr>
      <w:tr w14:paraId="3EF601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vAlign w:val="center"/>
          </w:tcPr>
          <w:p w14:paraId="6E787104">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2799757E">
            <w:pPr>
              <w:keepNext/>
              <w:autoSpaceDE w:val="0"/>
              <w:spacing w:before="100" w:beforeAutospacing="1"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36EED3A4">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vAlign w:val="center"/>
          </w:tcPr>
          <w:p w14:paraId="6D1D2678">
            <w:pPr>
              <w:keepNext/>
              <w:autoSpaceDE w:val="0"/>
              <w:spacing w:before="100" w:beforeAutospacing="1"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vAlign w:val="center"/>
          </w:tcPr>
          <w:p w14:paraId="008BBABA">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0C4981A2">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vAlign w:val="center"/>
          </w:tcPr>
          <w:p w14:paraId="3F0A86C5">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6FD1353E">
            <w:pPr>
              <w:keepNext/>
              <w:autoSpaceDE w:val="0"/>
              <w:spacing w:before="100" w:beforeAutospacing="1"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vAlign w:val="center"/>
          </w:tcPr>
          <w:p w14:paraId="55620839">
            <w:pPr>
              <w:keepNext/>
              <w:autoSpaceDE w:val="0"/>
              <w:spacing w:before="100" w:beforeAutospacing="1" w:line="300" w:lineRule="exact"/>
              <w:jc w:val="center"/>
              <w:rPr>
                <w:rFonts w:ascii="宋体" w:hAnsi="宋体" w:eastAsia="宋体" w:cs="Times New Roman"/>
                <w:sz w:val="21"/>
                <w:szCs w:val="21"/>
              </w:rPr>
            </w:pPr>
          </w:p>
        </w:tc>
      </w:tr>
      <w:tr w14:paraId="561413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vAlign w:val="center"/>
          </w:tcPr>
          <w:p w14:paraId="71FFB914">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2C6C337B">
            <w:pPr>
              <w:keepNext/>
              <w:autoSpaceDE w:val="0"/>
              <w:spacing w:before="100" w:beforeAutospacing="1"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4BDB984F">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vAlign w:val="center"/>
          </w:tcPr>
          <w:p w14:paraId="688643B7">
            <w:pPr>
              <w:keepNext/>
              <w:autoSpaceDE w:val="0"/>
              <w:spacing w:before="100" w:beforeAutospacing="1"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vAlign w:val="center"/>
          </w:tcPr>
          <w:p w14:paraId="439125F6">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22ECEFAE">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vAlign w:val="center"/>
          </w:tcPr>
          <w:p w14:paraId="0BB2A0F1">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41D0BEDC">
            <w:pPr>
              <w:keepNext/>
              <w:autoSpaceDE w:val="0"/>
              <w:spacing w:before="100" w:beforeAutospacing="1"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vAlign w:val="center"/>
          </w:tcPr>
          <w:p w14:paraId="4FBF90CA">
            <w:pPr>
              <w:keepNext/>
              <w:autoSpaceDE w:val="0"/>
              <w:spacing w:before="100" w:beforeAutospacing="1" w:line="300" w:lineRule="exact"/>
              <w:jc w:val="center"/>
              <w:rPr>
                <w:rFonts w:ascii="宋体" w:hAnsi="宋体" w:eastAsia="宋体" w:cs="Times New Roman"/>
                <w:sz w:val="21"/>
                <w:szCs w:val="21"/>
              </w:rPr>
            </w:pPr>
          </w:p>
        </w:tc>
      </w:tr>
      <w:tr w14:paraId="151AA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vAlign w:val="center"/>
          </w:tcPr>
          <w:p w14:paraId="26CC4503">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7B64DF0C">
            <w:pPr>
              <w:keepNext/>
              <w:autoSpaceDE w:val="0"/>
              <w:spacing w:before="100" w:beforeAutospacing="1"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728AC009">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vAlign w:val="center"/>
          </w:tcPr>
          <w:p w14:paraId="11E9FDF1">
            <w:pPr>
              <w:keepNext/>
              <w:autoSpaceDE w:val="0"/>
              <w:spacing w:before="100" w:beforeAutospacing="1"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vAlign w:val="center"/>
          </w:tcPr>
          <w:p w14:paraId="0ADC180B">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23C147DC">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vAlign w:val="center"/>
          </w:tcPr>
          <w:p w14:paraId="571E3694">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112F59D9">
            <w:pPr>
              <w:keepNext/>
              <w:autoSpaceDE w:val="0"/>
              <w:spacing w:before="100" w:beforeAutospacing="1"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vAlign w:val="center"/>
          </w:tcPr>
          <w:p w14:paraId="5F11CD5B">
            <w:pPr>
              <w:keepNext/>
              <w:autoSpaceDE w:val="0"/>
              <w:spacing w:before="100" w:beforeAutospacing="1" w:line="300" w:lineRule="exact"/>
              <w:jc w:val="center"/>
              <w:rPr>
                <w:rFonts w:ascii="宋体" w:hAnsi="宋体" w:eastAsia="宋体" w:cs="Times New Roman"/>
                <w:sz w:val="21"/>
                <w:szCs w:val="21"/>
              </w:rPr>
            </w:pPr>
          </w:p>
        </w:tc>
      </w:tr>
      <w:tr w14:paraId="3FF3F4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vAlign w:val="center"/>
          </w:tcPr>
          <w:p w14:paraId="4871DDAD">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36A76A72">
            <w:pPr>
              <w:keepNext/>
              <w:autoSpaceDE w:val="0"/>
              <w:spacing w:before="100" w:beforeAutospacing="1"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7804D138">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vAlign w:val="center"/>
          </w:tcPr>
          <w:p w14:paraId="1B8C2115">
            <w:pPr>
              <w:keepNext/>
              <w:autoSpaceDE w:val="0"/>
              <w:spacing w:before="100" w:beforeAutospacing="1"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vAlign w:val="center"/>
          </w:tcPr>
          <w:p w14:paraId="29944759">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4791937E">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vAlign w:val="center"/>
          </w:tcPr>
          <w:p w14:paraId="027AB20E">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390591AA">
            <w:pPr>
              <w:keepNext/>
              <w:autoSpaceDE w:val="0"/>
              <w:spacing w:before="100" w:beforeAutospacing="1"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vAlign w:val="center"/>
          </w:tcPr>
          <w:p w14:paraId="187EEB5B">
            <w:pPr>
              <w:keepNext/>
              <w:autoSpaceDE w:val="0"/>
              <w:spacing w:before="100" w:beforeAutospacing="1" w:line="300" w:lineRule="exact"/>
              <w:jc w:val="center"/>
              <w:rPr>
                <w:rFonts w:ascii="宋体" w:hAnsi="宋体" w:eastAsia="宋体" w:cs="Times New Roman"/>
                <w:sz w:val="21"/>
                <w:szCs w:val="21"/>
              </w:rPr>
            </w:pPr>
          </w:p>
        </w:tc>
      </w:tr>
      <w:tr w14:paraId="3B8DC8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vAlign w:val="center"/>
          </w:tcPr>
          <w:p w14:paraId="3C0456BA">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02F28AA9">
            <w:pPr>
              <w:keepNext/>
              <w:autoSpaceDE w:val="0"/>
              <w:spacing w:before="100" w:beforeAutospacing="1"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1B7EAD41">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vAlign w:val="center"/>
          </w:tcPr>
          <w:p w14:paraId="055CCF3E">
            <w:pPr>
              <w:keepNext/>
              <w:autoSpaceDE w:val="0"/>
              <w:spacing w:before="100" w:beforeAutospacing="1"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vAlign w:val="center"/>
          </w:tcPr>
          <w:p w14:paraId="2AE4020A">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1BAA381B">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vAlign w:val="center"/>
          </w:tcPr>
          <w:p w14:paraId="79492A18">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76413BCB">
            <w:pPr>
              <w:keepNext/>
              <w:autoSpaceDE w:val="0"/>
              <w:spacing w:before="100" w:beforeAutospacing="1"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vAlign w:val="center"/>
          </w:tcPr>
          <w:p w14:paraId="684F1BE1">
            <w:pPr>
              <w:keepNext/>
              <w:autoSpaceDE w:val="0"/>
              <w:spacing w:before="100" w:beforeAutospacing="1" w:line="300" w:lineRule="exact"/>
              <w:jc w:val="center"/>
              <w:rPr>
                <w:rFonts w:ascii="宋体" w:hAnsi="宋体" w:eastAsia="宋体" w:cs="Times New Roman"/>
                <w:sz w:val="21"/>
                <w:szCs w:val="21"/>
              </w:rPr>
            </w:pPr>
          </w:p>
        </w:tc>
      </w:tr>
      <w:tr w14:paraId="0BE74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4D5DB9EC">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6FF86848">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4AA60191">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64EC7494">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3B749959">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7A69B4AA">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35EF2B61">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7A017C89">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2553F3FE">
            <w:pPr>
              <w:autoSpaceDE w:val="0"/>
              <w:spacing w:line="300" w:lineRule="exact"/>
              <w:jc w:val="center"/>
              <w:rPr>
                <w:rFonts w:ascii="宋体" w:hAnsi="宋体" w:eastAsia="宋体" w:cs="Times New Roman"/>
                <w:sz w:val="21"/>
                <w:szCs w:val="21"/>
              </w:rPr>
            </w:pPr>
          </w:p>
        </w:tc>
      </w:tr>
      <w:tr w14:paraId="628CF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vAlign w:val="center"/>
          </w:tcPr>
          <w:p w14:paraId="21C2BD22">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4C7582C0">
            <w:pPr>
              <w:keepNext/>
              <w:autoSpaceDE w:val="0"/>
              <w:spacing w:before="100" w:beforeAutospacing="1"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1B23E879">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vAlign w:val="center"/>
          </w:tcPr>
          <w:p w14:paraId="34494FE5">
            <w:pPr>
              <w:keepNext/>
              <w:autoSpaceDE w:val="0"/>
              <w:spacing w:before="100" w:beforeAutospacing="1"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vAlign w:val="center"/>
          </w:tcPr>
          <w:p w14:paraId="3AD5FDB0">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69630E51">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vAlign w:val="center"/>
          </w:tcPr>
          <w:p w14:paraId="4FD4D11E">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6CD1D1B0">
            <w:pPr>
              <w:keepNext/>
              <w:autoSpaceDE w:val="0"/>
              <w:spacing w:before="100" w:beforeAutospacing="1"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vAlign w:val="center"/>
          </w:tcPr>
          <w:p w14:paraId="6D60B2E5">
            <w:pPr>
              <w:keepNext/>
              <w:autoSpaceDE w:val="0"/>
              <w:spacing w:before="100" w:beforeAutospacing="1" w:line="300" w:lineRule="exact"/>
              <w:jc w:val="center"/>
              <w:rPr>
                <w:rFonts w:ascii="宋体" w:hAnsi="宋体" w:eastAsia="宋体" w:cs="Times New Roman"/>
                <w:sz w:val="21"/>
                <w:szCs w:val="21"/>
              </w:rPr>
            </w:pPr>
          </w:p>
        </w:tc>
      </w:tr>
      <w:tr w14:paraId="26FEB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10DC74EE">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66A79401">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32D25307">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5C5A14EB">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5E6918C8">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288AF791">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55E4AD3A">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681CCF37">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5399B6B0">
            <w:pPr>
              <w:autoSpaceDE w:val="0"/>
              <w:spacing w:line="300" w:lineRule="exact"/>
              <w:jc w:val="center"/>
              <w:rPr>
                <w:rFonts w:ascii="宋体" w:hAnsi="宋体" w:eastAsia="宋体" w:cs="Times New Roman"/>
                <w:sz w:val="21"/>
                <w:szCs w:val="21"/>
              </w:rPr>
            </w:pPr>
          </w:p>
        </w:tc>
      </w:tr>
      <w:tr w14:paraId="1B875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7407FD22">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21194EFD">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5BC8A24A">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23D75DC4">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148A4EF4">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7F80C0E4">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13063F71">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053D81C5">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3C994EFB">
            <w:pPr>
              <w:autoSpaceDE w:val="0"/>
              <w:spacing w:line="300" w:lineRule="exact"/>
              <w:jc w:val="center"/>
              <w:rPr>
                <w:rFonts w:ascii="宋体" w:hAnsi="宋体" w:eastAsia="宋体" w:cs="Times New Roman"/>
                <w:sz w:val="21"/>
                <w:szCs w:val="21"/>
              </w:rPr>
            </w:pPr>
          </w:p>
        </w:tc>
      </w:tr>
      <w:tr w14:paraId="7E6D17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4E5D784F">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ED5D4BE">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5EECE5A9">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1A124591">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0B7389F2">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7EECABB5">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3C11699B">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5C197A26">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6021B094">
            <w:pPr>
              <w:autoSpaceDE w:val="0"/>
              <w:spacing w:line="300" w:lineRule="exact"/>
              <w:jc w:val="center"/>
              <w:rPr>
                <w:rFonts w:ascii="宋体" w:hAnsi="宋体" w:eastAsia="宋体" w:cs="Times New Roman"/>
                <w:sz w:val="21"/>
                <w:szCs w:val="21"/>
              </w:rPr>
            </w:pPr>
          </w:p>
        </w:tc>
      </w:tr>
      <w:tr w14:paraId="1FFCB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35786607">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65B1B834">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20BDD71A">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12FA652C">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0A495514">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759D6742">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53C3E01E">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264E43D6">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2575C231">
            <w:pPr>
              <w:autoSpaceDE w:val="0"/>
              <w:spacing w:line="300" w:lineRule="exact"/>
              <w:jc w:val="center"/>
              <w:rPr>
                <w:rFonts w:ascii="宋体" w:hAnsi="宋体" w:eastAsia="宋体" w:cs="Times New Roman"/>
                <w:sz w:val="21"/>
                <w:szCs w:val="21"/>
              </w:rPr>
            </w:pPr>
          </w:p>
        </w:tc>
      </w:tr>
      <w:tr w14:paraId="0DC0B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7495DAC8">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99783B2">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76448726">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52CFA44C">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0C4E1887">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7CEBBDD7">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173B031F">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34604AE8">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2EB2749E">
            <w:pPr>
              <w:autoSpaceDE w:val="0"/>
              <w:spacing w:line="300" w:lineRule="exact"/>
              <w:jc w:val="center"/>
              <w:rPr>
                <w:rFonts w:ascii="宋体" w:hAnsi="宋体" w:eastAsia="宋体" w:cs="Times New Roman"/>
                <w:sz w:val="21"/>
                <w:szCs w:val="21"/>
              </w:rPr>
            </w:pPr>
          </w:p>
        </w:tc>
      </w:tr>
      <w:tr w14:paraId="398A14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627BFDEF">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B08781F">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04803A69">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3D42F516">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3023C77C">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6F73CB10">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2B7E6608">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30316F5B">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278BD4DD">
            <w:pPr>
              <w:autoSpaceDE w:val="0"/>
              <w:spacing w:line="300" w:lineRule="exact"/>
              <w:jc w:val="center"/>
              <w:rPr>
                <w:rFonts w:ascii="宋体" w:hAnsi="宋体" w:eastAsia="宋体" w:cs="Times New Roman"/>
                <w:sz w:val="21"/>
                <w:szCs w:val="21"/>
              </w:rPr>
            </w:pPr>
          </w:p>
        </w:tc>
      </w:tr>
      <w:tr w14:paraId="551FC0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6CB51AA6">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18143E6">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68B0FA27">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4D5298CE">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532E6651">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47403DAC">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50137585">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3079736A">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562319BD">
            <w:pPr>
              <w:autoSpaceDE w:val="0"/>
              <w:spacing w:line="300" w:lineRule="exact"/>
              <w:jc w:val="center"/>
              <w:rPr>
                <w:rFonts w:ascii="宋体" w:hAnsi="宋体" w:eastAsia="宋体" w:cs="Times New Roman"/>
                <w:sz w:val="21"/>
                <w:szCs w:val="21"/>
              </w:rPr>
            </w:pPr>
          </w:p>
        </w:tc>
      </w:tr>
      <w:tr w14:paraId="61ABED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033BC5BF">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ED2700F">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2F067C84">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2B025CCF">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53AA7895">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088CD04A">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1A9A4378">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3137A7F8">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4563872D">
            <w:pPr>
              <w:autoSpaceDE w:val="0"/>
              <w:spacing w:line="300" w:lineRule="exact"/>
              <w:jc w:val="center"/>
              <w:rPr>
                <w:rFonts w:ascii="宋体" w:hAnsi="宋体" w:eastAsia="宋体" w:cs="Times New Roman"/>
                <w:sz w:val="21"/>
                <w:szCs w:val="21"/>
              </w:rPr>
            </w:pPr>
          </w:p>
        </w:tc>
      </w:tr>
      <w:tr w14:paraId="77AFC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12" w:space="0"/>
              <w:right w:val="single" w:color="auto" w:sz="6" w:space="0"/>
            </w:tcBorders>
          </w:tcPr>
          <w:p w14:paraId="2C867598">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12" w:space="0"/>
              <w:right w:val="single" w:color="auto" w:sz="6" w:space="0"/>
            </w:tcBorders>
          </w:tcPr>
          <w:p w14:paraId="29420C72">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12" w:space="0"/>
              <w:right w:val="single" w:color="auto" w:sz="6" w:space="0"/>
            </w:tcBorders>
          </w:tcPr>
          <w:p w14:paraId="029367AC">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12" w:space="0"/>
              <w:right w:val="single" w:color="auto" w:sz="6" w:space="0"/>
            </w:tcBorders>
          </w:tcPr>
          <w:p w14:paraId="0FDBECEF">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12" w:space="0"/>
              <w:right w:val="single" w:color="auto" w:sz="6" w:space="0"/>
            </w:tcBorders>
          </w:tcPr>
          <w:p w14:paraId="75B4B134">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12" w:space="0"/>
              <w:right w:val="single" w:color="auto" w:sz="6" w:space="0"/>
            </w:tcBorders>
          </w:tcPr>
          <w:p w14:paraId="7169CF87">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12" w:space="0"/>
              <w:right w:val="single" w:color="auto" w:sz="6" w:space="0"/>
            </w:tcBorders>
          </w:tcPr>
          <w:p w14:paraId="70197101">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12" w:space="0"/>
              <w:right w:val="single" w:color="auto" w:sz="6" w:space="0"/>
            </w:tcBorders>
          </w:tcPr>
          <w:p w14:paraId="7A12F004">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12" w:space="0"/>
              <w:right w:val="single" w:color="auto" w:sz="12" w:space="0"/>
            </w:tcBorders>
          </w:tcPr>
          <w:p w14:paraId="11886B81">
            <w:pPr>
              <w:autoSpaceDE w:val="0"/>
              <w:spacing w:line="300" w:lineRule="exact"/>
              <w:jc w:val="center"/>
              <w:rPr>
                <w:rFonts w:ascii="宋体" w:hAnsi="宋体" w:eastAsia="宋体" w:cs="Times New Roman"/>
                <w:sz w:val="21"/>
                <w:szCs w:val="21"/>
              </w:rPr>
            </w:pPr>
          </w:p>
        </w:tc>
      </w:tr>
    </w:tbl>
    <w:p w14:paraId="0C1B1790">
      <w:pPr>
        <w:rPr>
          <w:rFonts w:ascii="宋体" w:hAnsi="宋体" w:eastAsia="宋体" w:cs="Times New Roman"/>
          <w:sz w:val="21"/>
          <w:szCs w:val="21"/>
        </w:rPr>
      </w:pPr>
      <w:r>
        <w:rPr>
          <w:rFonts w:hint="eastAsia" w:ascii="宋体" w:hAnsi="宋体" w:eastAsia="宋体" w:cs="Times New Roman"/>
          <w:sz w:val="21"/>
          <w:szCs w:val="21"/>
        </w:rPr>
        <w:br w:type="page"/>
      </w:r>
    </w:p>
    <w:p w14:paraId="638D09AD">
      <w:pPr>
        <w:spacing w:line="440" w:lineRule="exact"/>
        <w:rPr>
          <w:rFonts w:ascii="宋体" w:hAnsi="宋体" w:eastAsia="宋体" w:cs="Times New Roman"/>
          <w:sz w:val="21"/>
          <w:szCs w:val="21"/>
        </w:rPr>
      </w:pPr>
      <w:r>
        <w:rPr>
          <w:rFonts w:hint="eastAsia" w:ascii="宋体" w:hAnsi="宋体" w:eastAsia="宋体" w:cs="Times New Roman"/>
          <w:sz w:val="21"/>
          <w:szCs w:val="21"/>
        </w:rPr>
        <w:t>附</w:t>
      </w:r>
      <w:bookmarkStart w:id="1697" w:name="_Toc296346729"/>
      <w:bookmarkEnd w:id="1697"/>
      <w:bookmarkStart w:id="1698" w:name="_Toc267261699"/>
      <w:bookmarkEnd w:id="1698"/>
      <w:bookmarkStart w:id="1699" w:name="_Toc296891268"/>
      <w:bookmarkEnd w:id="1699"/>
      <w:bookmarkStart w:id="1700" w:name="_Toc296891056"/>
      <w:bookmarkEnd w:id="1700"/>
      <w:bookmarkStart w:id="1701" w:name="_Toc296944567"/>
      <w:bookmarkEnd w:id="1701"/>
      <w:bookmarkStart w:id="1702" w:name="_Toc296347227"/>
      <w:bookmarkEnd w:id="1702"/>
      <w:bookmarkStart w:id="1703" w:name="_Toc296503228"/>
      <w:r>
        <w:rPr>
          <w:rFonts w:hint="eastAsia" w:ascii="宋体" w:hAnsi="宋体" w:eastAsia="宋体" w:cs="Times New Roman"/>
          <w:sz w:val="21"/>
          <w:szCs w:val="21"/>
        </w:rPr>
        <w:t>件6：</w:t>
      </w:r>
      <w:bookmarkEnd w:id="1703"/>
    </w:p>
    <w:p w14:paraId="1E4D1F57">
      <w:pPr>
        <w:spacing w:before="156" w:beforeLines="50" w:after="156" w:afterLines="50" w:line="440" w:lineRule="exact"/>
        <w:jc w:val="center"/>
        <w:rPr>
          <w:rFonts w:ascii="宋体" w:hAnsi="宋体" w:eastAsia="宋体" w:cs="Times New Roman"/>
          <w:sz w:val="21"/>
          <w:szCs w:val="21"/>
        </w:rPr>
      </w:pPr>
      <w:r>
        <w:rPr>
          <w:rFonts w:hint="eastAsia" w:ascii="宋体" w:hAnsi="宋体" w:eastAsia="宋体" w:cs="Times New Roman"/>
          <w:sz w:val="21"/>
          <w:szCs w:val="21"/>
        </w:rPr>
        <w:t>承包人主要施工管理人员表</w:t>
      </w:r>
    </w:p>
    <w:tbl>
      <w:tblPr>
        <w:tblStyle w:val="6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93FE8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2" w:space="0"/>
              <w:right w:val="single" w:color="auto" w:sz="6" w:space="0"/>
            </w:tcBorders>
            <w:vAlign w:val="center"/>
          </w:tcPr>
          <w:p w14:paraId="701E55EE">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名    称</w:t>
            </w:r>
          </w:p>
        </w:tc>
        <w:tc>
          <w:tcPr>
            <w:tcW w:w="1418" w:type="dxa"/>
            <w:tcBorders>
              <w:top w:val="single" w:color="auto" w:sz="12" w:space="0"/>
              <w:left w:val="single" w:color="auto" w:sz="6" w:space="0"/>
              <w:bottom w:val="double" w:color="auto" w:sz="2" w:space="0"/>
              <w:right w:val="single" w:color="auto" w:sz="6" w:space="0"/>
            </w:tcBorders>
            <w:vAlign w:val="center"/>
          </w:tcPr>
          <w:p w14:paraId="48C915F2">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姓名</w:t>
            </w:r>
          </w:p>
        </w:tc>
        <w:tc>
          <w:tcPr>
            <w:tcW w:w="1134" w:type="dxa"/>
            <w:tcBorders>
              <w:top w:val="single" w:color="auto" w:sz="12" w:space="0"/>
              <w:left w:val="single" w:color="auto" w:sz="6" w:space="0"/>
              <w:bottom w:val="double" w:color="auto" w:sz="2" w:space="0"/>
              <w:right w:val="single" w:color="auto" w:sz="6" w:space="0"/>
            </w:tcBorders>
            <w:vAlign w:val="center"/>
          </w:tcPr>
          <w:p w14:paraId="02CCA8D0">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职务</w:t>
            </w:r>
          </w:p>
        </w:tc>
        <w:tc>
          <w:tcPr>
            <w:tcW w:w="1134" w:type="dxa"/>
            <w:tcBorders>
              <w:top w:val="single" w:color="auto" w:sz="12" w:space="0"/>
              <w:left w:val="single" w:color="auto" w:sz="6" w:space="0"/>
              <w:bottom w:val="double" w:color="auto" w:sz="2" w:space="0"/>
              <w:right w:val="single" w:color="auto" w:sz="6" w:space="0"/>
            </w:tcBorders>
            <w:vAlign w:val="center"/>
          </w:tcPr>
          <w:p w14:paraId="256B842B">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职称</w:t>
            </w:r>
          </w:p>
        </w:tc>
        <w:tc>
          <w:tcPr>
            <w:tcW w:w="4252" w:type="dxa"/>
            <w:tcBorders>
              <w:top w:val="single" w:color="auto" w:sz="12" w:space="0"/>
              <w:left w:val="single" w:color="auto" w:sz="6" w:space="0"/>
              <w:bottom w:val="double" w:color="auto" w:sz="2" w:space="0"/>
              <w:right w:val="single" w:color="auto" w:sz="12" w:space="0"/>
            </w:tcBorders>
            <w:vAlign w:val="center"/>
          </w:tcPr>
          <w:p w14:paraId="712986C5">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主要资历、经验及承担过的项目</w:t>
            </w:r>
          </w:p>
        </w:tc>
      </w:tr>
      <w:tr w14:paraId="4B5B5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2" w:space="0"/>
              <w:left w:val="single" w:color="auto" w:sz="12" w:space="0"/>
              <w:bottom w:val="single" w:color="auto" w:sz="6" w:space="0"/>
              <w:right w:val="single" w:color="auto" w:sz="12" w:space="0"/>
            </w:tcBorders>
            <w:vAlign w:val="center"/>
          </w:tcPr>
          <w:p w14:paraId="5E733493">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一、总部人员</w:t>
            </w:r>
          </w:p>
        </w:tc>
      </w:tr>
      <w:tr w14:paraId="6AB9CF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60C0A943">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项目主管</w:t>
            </w:r>
          </w:p>
        </w:tc>
        <w:tc>
          <w:tcPr>
            <w:tcW w:w="1418" w:type="dxa"/>
            <w:tcBorders>
              <w:top w:val="nil"/>
              <w:left w:val="single" w:color="auto" w:sz="6" w:space="0"/>
              <w:bottom w:val="single" w:color="auto" w:sz="6" w:space="0"/>
              <w:right w:val="single" w:color="auto" w:sz="6" w:space="0"/>
            </w:tcBorders>
            <w:vAlign w:val="center"/>
          </w:tcPr>
          <w:p w14:paraId="0A196556">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nil"/>
              <w:left w:val="single" w:color="auto" w:sz="6" w:space="0"/>
              <w:bottom w:val="single" w:color="auto" w:sz="6" w:space="0"/>
              <w:right w:val="single" w:color="auto" w:sz="6" w:space="0"/>
            </w:tcBorders>
            <w:vAlign w:val="center"/>
          </w:tcPr>
          <w:p w14:paraId="47CFDD44">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nil"/>
              <w:left w:val="single" w:color="auto" w:sz="6" w:space="0"/>
              <w:bottom w:val="single" w:color="auto" w:sz="6" w:space="0"/>
              <w:right w:val="single" w:color="auto" w:sz="6" w:space="0"/>
            </w:tcBorders>
            <w:vAlign w:val="center"/>
          </w:tcPr>
          <w:p w14:paraId="556A4D16">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nil"/>
              <w:left w:val="single" w:color="auto" w:sz="6" w:space="0"/>
              <w:bottom w:val="single" w:color="auto" w:sz="6" w:space="0"/>
              <w:right w:val="single" w:color="auto" w:sz="12" w:space="0"/>
            </w:tcBorders>
            <w:vAlign w:val="center"/>
          </w:tcPr>
          <w:p w14:paraId="06D00FBD">
            <w:pPr>
              <w:keepNext/>
              <w:autoSpaceDE w:val="0"/>
              <w:spacing w:before="100" w:beforeAutospacing="1" w:line="400" w:lineRule="exact"/>
              <w:jc w:val="center"/>
              <w:rPr>
                <w:rFonts w:ascii="宋体" w:hAnsi="宋体" w:eastAsia="宋体" w:cs="Times New Roman"/>
                <w:sz w:val="21"/>
                <w:szCs w:val="21"/>
              </w:rPr>
            </w:pPr>
          </w:p>
        </w:tc>
      </w:tr>
      <w:tr w14:paraId="73BDE4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nil"/>
              <w:right w:val="single" w:color="auto" w:sz="6" w:space="0"/>
            </w:tcBorders>
            <w:vAlign w:val="center"/>
          </w:tcPr>
          <w:p w14:paraId="75DA0D36">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44F69711">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24E0791E">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408FAE48">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6CD70C7B">
            <w:pPr>
              <w:keepNext/>
              <w:autoSpaceDE w:val="0"/>
              <w:spacing w:before="100" w:beforeAutospacing="1" w:line="400" w:lineRule="exact"/>
              <w:jc w:val="center"/>
              <w:rPr>
                <w:rFonts w:ascii="宋体" w:hAnsi="宋体" w:eastAsia="宋体" w:cs="Times New Roman"/>
                <w:sz w:val="21"/>
                <w:szCs w:val="21"/>
              </w:rPr>
            </w:pPr>
          </w:p>
        </w:tc>
      </w:tr>
      <w:tr w14:paraId="6F32B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029CA2B8">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6E51410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26E61625">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6CA94314">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263AA5C">
            <w:pPr>
              <w:keepNext/>
              <w:autoSpaceDE w:val="0"/>
              <w:spacing w:before="100" w:beforeAutospacing="1" w:line="400" w:lineRule="exact"/>
              <w:jc w:val="center"/>
              <w:rPr>
                <w:rFonts w:ascii="宋体" w:hAnsi="宋体" w:eastAsia="宋体" w:cs="Times New Roman"/>
                <w:sz w:val="21"/>
                <w:szCs w:val="21"/>
              </w:rPr>
            </w:pPr>
          </w:p>
        </w:tc>
      </w:tr>
      <w:tr w14:paraId="2D9BC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177DCE26">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7754D5F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F269D36">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686DDC0">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42A61E6A">
            <w:pPr>
              <w:keepNext/>
              <w:autoSpaceDE w:val="0"/>
              <w:spacing w:before="100" w:beforeAutospacing="1" w:line="400" w:lineRule="exact"/>
              <w:jc w:val="center"/>
              <w:rPr>
                <w:rFonts w:ascii="宋体" w:hAnsi="宋体" w:eastAsia="宋体" w:cs="Times New Roman"/>
                <w:sz w:val="21"/>
                <w:szCs w:val="21"/>
              </w:rPr>
            </w:pPr>
          </w:p>
        </w:tc>
      </w:tr>
      <w:tr w14:paraId="796F2A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cBorders>
            <w:vAlign w:val="center"/>
          </w:tcPr>
          <w:p w14:paraId="370EEF12">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二、现场人员</w:t>
            </w:r>
          </w:p>
        </w:tc>
      </w:tr>
      <w:tr w14:paraId="13F380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F3065B1">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513425F3">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12667C47">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6E84C032">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34DDBD2">
            <w:pPr>
              <w:keepNext/>
              <w:autoSpaceDE w:val="0"/>
              <w:spacing w:before="100" w:beforeAutospacing="1" w:line="400" w:lineRule="exact"/>
              <w:jc w:val="center"/>
              <w:rPr>
                <w:rFonts w:ascii="宋体" w:hAnsi="宋体" w:eastAsia="宋体" w:cs="Times New Roman"/>
                <w:sz w:val="21"/>
                <w:szCs w:val="21"/>
              </w:rPr>
            </w:pPr>
          </w:p>
        </w:tc>
      </w:tr>
      <w:tr w14:paraId="0E20D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24D3E899">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5477C582">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74AC451">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2167E512">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7B1D3D15">
            <w:pPr>
              <w:keepNext/>
              <w:autoSpaceDE w:val="0"/>
              <w:spacing w:before="100" w:beforeAutospacing="1" w:line="400" w:lineRule="exact"/>
              <w:jc w:val="center"/>
              <w:rPr>
                <w:rFonts w:ascii="宋体" w:hAnsi="宋体" w:eastAsia="宋体" w:cs="Times New Roman"/>
                <w:sz w:val="21"/>
                <w:szCs w:val="21"/>
              </w:rPr>
            </w:pPr>
          </w:p>
        </w:tc>
      </w:tr>
      <w:tr w14:paraId="15A54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A901622">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026D9612">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DA297D8">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6AB9B39F">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467A313E">
            <w:pPr>
              <w:keepNext/>
              <w:autoSpaceDE w:val="0"/>
              <w:spacing w:before="100" w:beforeAutospacing="1" w:line="400" w:lineRule="exact"/>
              <w:jc w:val="center"/>
              <w:rPr>
                <w:rFonts w:ascii="宋体" w:hAnsi="宋体" w:eastAsia="宋体" w:cs="Times New Roman"/>
                <w:sz w:val="21"/>
                <w:szCs w:val="21"/>
              </w:rPr>
            </w:pPr>
          </w:p>
        </w:tc>
      </w:tr>
      <w:tr w14:paraId="7A909E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4FE970F3">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1E3D042A">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FDD9FFF">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586DD4BC">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6A502E60">
            <w:pPr>
              <w:keepNext/>
              <w:autoSpaceDE w:val="0"/>
              <w:spacing w:before="100" w:beforeAutospacing="1" w:line="400" w:lineRule="exact"/>
              <w:jc w:val="center"/>
              <w:rPr>
                <w:rFonts w:ascii="宋体" w:hAnsi="宋体" w:eastAsia="宋体" w:cs="Times New Roman"/>
                <w:sz w:val="21"/>
                <w:szCs w:val="21"/>
              </w:rPr>
            </w:pPr>
          </w:p>
        </w:tc>
      </w:tr>
      <w:tr w14:paraId="1D5C7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DAE2208">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43D78352">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BA7E88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68C6858">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63240FA9">
            <w:pPr>
              <w:keepNext/>
              <w:autoSpaceDE w:val="0"/>
              <w:spacing w:before="100" w:beforeAutospacing="1" w:line="400" w:lineRule="exact"/>
              <w:jc w:val="center"/>
              <w:rPr>
                <w:rFonts w:ascii="宋体" w:hAnsi="宋体" w:eastAsia="宋体" w:cs="Times New Roman"/>
                <w:sz w:val="21"/>
                <w:szCs w:val="21"/>
              </w:rPr>
            </w:pPr>
          </w:p>
        </w:tc>
      </w:tr>
      <w:tr w14:paraId="21A662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DA0046C">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68D17412">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4B4EB631">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51FED61">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62FF9F2F">
            <w:pPr>
              <w:keepNext/>
              <w:autoSpaceDE w:val="0"/>
              <w:spacing w:before="100" w:beforeAutospacing="1" w:line="400" w:lineRule="exact"/>
              <w:jc w:val="center"/>
              <w:rPr>
                <w:rFonts w:ascii="宋体" w:hAnsi="宋体" w:eastAsia="宋体" w:cs="Times New Roman"/>
                <w:sz w:val="21"/>
                <w:szCs w:val="21"/>
              </w:rPr>
            </w:pPr>
          </w:p>
        </w:tc>
      </w:tr>
      <w:tr w14:paraId="691955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551995D">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339D54E7">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F4784A4">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2EFBE74E">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4D8DBEFB">
            <w:pPr>
              <w:keepNext/>
              <w:autoSpaceDE w:val="0"/>
              <w:spacing w:before="100" w:beforeAutospacing="1" w:line="400" w:lineRule="exact"/>
              <w:jc w:val="center"/>
              <w:rPr>
                <w:rFonts w:ascii="宋体" w:hAnsi="宋体" w:eastAsia="宋体" w:cs="Times New Roman"/>
                <w:sz w:val="21"/>
                <w:szCs w:val="21"/>
              </w:rPr>
            </w:pPr>
          </w:p>
        </w:tc>
      </w:tr>
      <w:tr w14:paraId="1ACD2B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6DA27928">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5FE357D4">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619E37F4">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21A176D9">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F4774AD">
            <w:pPr>
              <w:keepNext/>
              <w:autoSpaceDE w:val="0"/>
              <w:spacing w:before="100" w:beforeAutospacing="1" w:line="400" w:lineRule="exact"/>
              <w:jc w:val="center"/>
              <w:rPr>
                <w:rFonts w:ascii="宋体" w:hAnsi="宋体" w:eastAsia="宋体" w:cs="Times New Roman"/>
                <w:sz w:val="21"/>
                <w:szCs w:val="21"/>
              </w:rPr>
            </w:pPr>
          </w:p>
        </w:tc>
      </w:tr>
      <w:tr w14:paraId="4DE32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nil"/>
              <w:left w:val="single" w:color="auto" w:sz="12" w:space="0"/>
              <w:bottom w:val="single" w:color="auto" w:sz="6" w:space="0"/>
              <w:right w:val="single" w:color="auto" w:sz="6" w:space="0"/>
            </w:tcBorders>
            <w:vAlign w:val="center"/>
          </w:tcPr>
          <w:p w14:paraId="6454EB85">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3458782B">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EBA96C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6629EB6F">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61E00C03">
            <w:pPr>
              <w:keepNext/>
              <w:autoSpaceDE w:val="0"/>
              <w:spacing w:before="100" w:beforeAutospacing="1" w:line="400" w:lineRule="exact"/>
              <w:jc w:val="center"/>
              <w:rPr>
                <w:rFonts w:ascii="宋体" w:hAnsi="宋体" w:eastAsia="宋体" w:cs="Times New Roman"/>
                <w:sz w:val="21"/>
                <w:szCs w:val="21"/>
              </w:rPr>
            </w:pPr>
          </w:p>
        </w:tc>
      </w:tr>
      <w:tr w14:paraId="7D351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nil"/>
              <w:left w:val="single" w:color="auto" w:sz="12" w:space="0"/>
              <w:bottom w:val="single" w:color="auto" w:sz="6" w:space="0"/>
              <w:right w:val="single" w:color="auto" w:sz="6" w:space="0"/>
            </w:tcBorders>
            <w:vAlign w:val="center"/>
          </w:tcPr>
          <w:p w14:paraId="176E24E2">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nil"/>
              <w:right w:val="single" w:color="auto" w:sz="6" w:space="0"/>
            </w:tcBorders>
            <w:vAlign w:val="center"/>
          </w:tcPr>
          <w:p w14:paraId="1B60F258">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nil"/>
              <w:right w:val="single" w:color="auto" w:sz="6" w:space="0"/>
            </w:tcBorders>
            <w:vAlign w:val="center"/>
          </w:tcPr>
          <w:p w14:paraId="044A0DFE">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nil"/>
              <w:right w:val="single" w:color="auto" w:sz="6" w:space="0"/>
            </w:tcBorders>
            <w:vAlign w:val="center"/>
          </w:tcPr>
          <w:p w14:paraId="74B00641">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nil"/>
              <w:right w:val="single" w:color="auto" w:sz="12" w:space="0"/>
            </w:tcBorders>
            <w:vAlign w:val="center"/>
          </w:tcPr>
          <w:p w14:paraId="01387566">
            <w:pPr>
              <w:keepNext/>
              <w:autoSpaceDE w:val="0"/>
              <w:spacing w:before="100" w:beforeAutospacing="1" w:line="400" w:lineRule="exact"/>
              <w:jc w:val="center"/>
              <w:rPr>
                <w:rFonts w:ascii="宋体" w:hAnsi="宋体" w:eastAsia="宋体" w:cs="Times New Roman"/>
                <w:sz w:val="21"/>
                <w:szCs w:val="21"/>
              </w:rPr>
            </w:pPr>
          </w:p>
        </w:tc>
      </w:tr>
      <w:tr w14:paraId="532E68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nil"/>
              <w:left w:val="single" w:color="auto" w:sz="12" w:space="0"/>
              <w:bottom w:val="single" w:color="auto" w:sz="6" w:space="0"/>
              <w:right w:val="single" w:color="auto" w:sz="6" w:space="0"/>
            </w:tcBorders>
            <w:vAlign w:val="center"/>
          </w:tcPr>
          <w:p w14:paraId="30FCD6AB">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1C3EA3D2">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5B02E0D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26165EC">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0D67B667">
            <w:pPr>
              <w:keepNext/>
              <w:autoSpaceDE w:val="0"/>
              <w:spacing w:before="100" w:beforeAutospacing="1" w:line="400" w:lineRule="exact"/>
              <w:jc w:val="center"/>
              <w:rPr>
                <w:rFonts w:ascii="宋体" w:hAnsi="宋体" w:eastAsia="宋体" w:cs="Times New Roman"/>
                <w:sz w:val="21"/>
                <w:szCs w:val="21"/>
              </w:rPr>
            </w:pPr>
          </w:p>
        </w:tc>
      </w:tr>
      <w:tr w14:paraId="372CC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nil"/>
              <w:left w:val="single" w:color="auto" w:sz="12" w:space="0"/>
              <w:bottom w:val="single" w:color="auto" w:sz="6" w:space="0"/>
              <w:right w:val="single" w:color="auto" w:sz="6" w:space="0"/>
            </w:tcBorders>
            <w:vAlign w:val="center"/>
          </w:tcPr>
          <w:p w14:paraId="685B4C86">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457DE586">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6AB5DD9">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5E935AA9">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F7EDFA1">
            <w:pPr>
              <w:keepNext/>
              <w:autoSpaceDE w:val="0"/>
              <w:spacing w:before="100" w:beforeAutospacing="1" w:line="400" w:lineRule="exact"/>
              <w:jc w:val="center"/>
              <w:rPr>
                <w:rFonts w:ascii="宋体" w:hAnsi="宋体" w:eastAsia="宋体" w:cs="Times New Roman"/>
                <w:sz w:val="21"/>
                <w:szCs w:val="21"/>
              </w:rPr>
            </w:pPr>
          </w:p>
        </w:tc>
      </w:tr>
      <w:tr w14:paraId="11334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nil"/>
              <w:left w:val="single" w:color="auto" w:sz="12" w:space="0"/>
              <w:bottom w:val="single" w:color="auto" w:sz="6" w:space="0"/>
              <w:right w:val="single" w:color="auto" w:sz="6" w:space="0"/>
            </w:tcBorders>
            <w:vAlign w:val="center"/>
          </w:tcPr>
          <w:p w14:paraId="162E8C34">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3D8C7509">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4F53DED1">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4D5C0CEB">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6110D3F">
            <w:pPr>
              <w:keepNext/>
              <w:autoSpaceDE w:val="0"/>
              <w:spacing w:before="100" w:beforeAutospacing="1" w:line="400" w:lineRule="exact"/>
              <w:jc w:val="center"/>
              <w:rPr>
                <w:rFonts w:ascii="宋体" w:hAnsi="宋体" w:eastAsia="宋体" w:cs="Times New Roman"/>
                <w:sz w:val="21"/>
                <w:szCs w:val="21"/>
              </w:rPr>
            </w:pPr>
          </w:p>
        </w:tc>
      </w:tr>
      <w:tr w14:paraId="3DB0E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nil"/>
              <w:left w:val="single" w:color="auto" w:sz="12" w:space="0"/>
              <w:bottom w:val="single" w:color="auto" w:sz="6" w:space="0"/>
              <w:right w:val="single" w:color="auto" w:sz="6" w:space="0"/>
            </w:tcBorders>
            <w:vAlign w:val="center"/>
          </w:tcPr>
          <w:p w14:paraId="5B16AE41">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12" w:space="0"/>
              <w:right w:val="single" w:color="auto" w:sz="6" w:space="0"/>
            </w:tcBorders>
            <w:vAlign w:val="center"/>
          </w:tcPr>
          <w:p w14:paraId="613AD3A2">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12" w:space="0"/>
              <w:right w:val="single" w:color="auto" w:sz="6" w:space="0"/>
            </w:tcBorders>
            <w:vAlign w:val="center"/>
          </w:tcPr>
          <w:p w14:paraId="64A6BF52">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12" w:space="0"/>
              <w:right w:val="single" w:color="auto" w:sz="6" w:space="0"/>
            </w:tcBorders>
            <w:vAlign w:val="center"/>
          </w:tcPr>
          <w:p w14:paraId="7825A1A6">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12" w:space="0"/>
              <w:right w:val="single" w:color="auto" w:sz="12" w:space="0"/>
            </w:tcBorders>
            <w:vAlign w:val="center"/>
          </w:tcPr>
          <w:p w14:paraId="1CD8DAFB">
            <w:pPr>
              <w:keepNext/>
              <w:autoSpaceDE w:val="0"/>
              <w:spacing w:before="100" w:beforeAutospacing="1" w:line="400" w:lineRule="exact"/>
              <w:jc w:val="center"/>
              <w:rPr>
                <w:rFonts w:ascii="宋体" w:hAnsi="宋体" w:eastAsia="宋体" w:cs="Times New Roman"/>
                <w:sz w:val="21"/>
                <w:szCs w:val="21"/>
              </w:rPr>
            </w:pPr>
          </w:p>
        </w:tc>
      </w:tr>
    </w:tbl>
    <w:p w14:paraId="64DA1BF2">
      <w:pPr>
        <w:rPr>
          <w:rFonts w:ascii="宋体" w:hAnsi="宋体" w:eastAsia="宋体" w:cs="Times New Roman"/>
          <w:sz w:val="21"/>
          <w:szCs w:val="21"/>
        </w:rPr>
      </w:pPr>
      <w:r>
        <w:rPr>
          <w:rFonts w:hint="eastAsia" w:ascii="宋体" w:hAnsi="宋体" w:eastAsia="宋体" w:cs="Times New Roman"/>
          <w:sz w:val="21"/>
          <w:szCs w:val="21"/>
        </w:rPr>
        <w:br w:type="page"/>
      </w:r>
    </w:p>
    <w:p w14:paraId="72D271BA">
      <w:pPr>
        <w:spacing w:line="440" w:lineRule="exact"/>
        <w:rPr>
          <w:rFonts w:ascii="宋体" w:hAnsi="宋体" w:eastAsia="宋体" w:cs="Times New Roman"/>
          <w:sz w:val="21"/>
          <w:szCs w:val="21"/>
        </w:rPr>
      </w:pPr>
      <w:r>
        <w:rPr>
          <w:rFonts w:hint="eastAsia" w:ascii="宋体" w:hAnsi="宋体" w:eastAsia="宋体" w:cs="Times New Roman"/>
          <w:sz w:val="21"/>
          <w:szCs w:val="21"/>
        </w:rPr>
        <w:t>附</w:t>
      </w:r>
      <w:bookmarkStart w:id="1704" w:name="_Toc296347228"/>
      <w:bookmarkEnd w:id="1704"/>
      <w:bookmarkStart w:id="1705" w:name="_Toc296503229"/>
      <w:bookmarkEnd w:id="1705"/>
      <w:bookmarkStart w:id="1706" w:name="_Toc296891057"/>
      <w:bookmarkEnd w:id="1706"/>
      <w:bookmarkStart w:id="1707" w:name="_Toc296944568"/>
      <w:bookmarkEnd w:id="1707"/>
      <w:bookmarkStart w:id="1708" w:name="_Toc296346730"/>
      <w:bookmarkEnd w:id="1708"/>
      <w:bookmarkStart w:id="1709" w:name="_Toc296891269"/>
      <w:r>
        <w:rPr>
          <w:rFonts w:hint="eastAsia" w:ascii="宋体" w:hAnsi="宋体" w:eastAsia="宋体" w:cs="Times New Roman"/>
          <w:sz w:val="21"/>
          <w:szCs w:val="21"/>
        </w:rPr>
        <w:t>件7：</w:t>
      </w:r>
      <w:bookmarkEnd w:id="1709"/>
    </w:p>
    <w:p w14:paraId="5EBCB92B">
      <w:pPr>
        <w:spacing w:line="440" w:lineRule="exact"/>
        <w:jc w:val="center"/>
        <w:rPr>
          <w:rFonts w:ascii="宋体" w:hAnsi="宋体" w:eastAsia="宋体" w:cs="Times New Roman"/>
          <w:sz w:val="21"/>
          <w:szCs w:val="21"/>
        </w:rPr>
      </w:pPr>
      <w:r>
        <w:rPr>
          <w:rFonts w:hint="eastAsia" w:ascii="宋体" w:hAnsi="宋体" w:eastAsia="宋体" w:cs="Times New Roman"/>
          <w:sz w:val="21"/>
          <w:szCs w:val="21"/>
        </w:rPr>
        <w:t>分包人主要施工管理人员表</w:t>
      </w:r>
    </w:p>
    <w:tbl>
      <w:tblPr>
        <w:tblStyle w:val="65"/>
        <w:tblW w:w="9809" w:type="dxa"/>
        <w:tblInd w:w="8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45BB96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12" w:space="0"/>
              <w:left w:val="single" w:color="auto" w:sz="12" w:space="0"/>
              <w:bottom w:val="double" w:color="auto" w:sz="2" w:space="0"/>
              <w:right w:val="single" w:color="auto" w:sz="6" w:space="0"/>
            </w:tcBorders>
            <w:vAlign w:val="center"/>
          </w:tcPr>
          <w:p w14:paraId="14620863">
            <w:pPr>
              <w:keepNext/>
              <w:autoSpaceDE w:val="0"/>
              <w:spacing w:before="100" w:beforeAutospacing="1" w:line="400" w:lineRule="exact"/>
              <w:jc w:val="center"/>
              <w:rPr>
                <w:rFonts w:ascii="宋体" w:hAnsi="宋体" w:eastAsia="宋体" w:cs="Times New Roman"/>
                <w:sz w:val="21"/>
                <w:szCs w:val="21"/>
              </w:rPr>
            </w:pPr>
            <w:bookmarkStart w:id="1710" w:name="_Toc267261701"/>
            <w:bookmarkEnd w:id="1710"/>
            <w:r>
              <w:rPr>
                <w:rFonts w:hint="eastAsia" w:ascii="宋体" w:hAnsi="宋体" w:eastAsia="宋体" w:cs="Times New Roman"/>
                <w:sz w:val="21"/>
                <w:szCs w:val="21"/>
              </w:rPr>
              <w:t>名    称</w:t>
            </w:r>
          </w:p>
        </w:tc>
        <w:tc>
          <w:tcPr>
            <w:tcW w:w="1418" w:type="dxa"/>
            <w:tcBorders>
              <w:top w:val="single" w:color="auto" w:sz="12" w:space="0"/>
              <w:left w:val="single" w:color="auto" w:sz="6" w:space="0"/>
              <w:bottom w:val="double" w:color="auto" w:sz="2" w:space="0"/>
              <w:right w:val="single" w:color="auto" w:sz="6" w:space="0"/>
            </w:tcBorders>
            <w:vAlign w:val="center"/>
          </w:tcPr>
          <w:p w14:paraId="0519BE79">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姓名</w:t>
            </w:r>
          </w:p>
        </w:tc>
        <w:tc>
          <w:tcPr>
            <w:tcW w:w="1134" w:type="dxa"/>
            <w:tcBorders>
              <w:top w:val="single" w:color="auto" w:sz="12" w:space="0"/>
              <w:left w:val="single" w:color="auto" w:sz="6" w:space="0"/>
              <w:bottom w:val="double" w:color="auto" w:sz="2" w:space="0"/>
              <w:right w:val="single" w:color="auto" w:sz="6" w:space="0"/>
            </w:tcBorders>
            <w:vAlign w:val="center"/>
          </w:tcPr>
          <w:p w14:paraId="32601F2D">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职务</w:t>
            </w:r>
          </w:p>
        </w:tc>
        <w:tc>
          <w:tcPr>
            <w:tcW w:w="1134" w:type="dxa"/>
            <w:tcBorders>
              <w:top w:val="single" w:color="auto" w:sz="12" w:space="0"/>
              <w:left w:val="single" w:color="auto" w:sz="6" w:space="0"/>
              <w:bottom w:val="double" w:color="auto" w:sz="2" w:space="0"/>
              <w:right w:val="single" w:color="auto" w:sz="6" w:space="0"/>
            </w:tcBorders>
            <w:vAlign w:val="center"/>
          </w:tcPr>
          <w:p w14:paraId="4B3905CE">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职称</w:t>
            </w:r>
          </w:p>
        </w:tc>
        <w:tc>
          <w:tcPr>
            <w:tcW w:w="4252" w:type="dxa"/>
            <w:tcBorders>
              <w:top w:val="single" w:color="auto" w:sz="12" w:space="0"/>
              <w:left w:val="single" w:color="auto" w:sz="6" w:space="0"/>
              <w:bottom w:val="double" w:color="auto" w:sz="2" w:space="0"/>
              <w:right w:val="single" w:color="auto" w:sz="12" w:space="0"/>
            </w:tcBorders>
            <w:vAlign w:val="center"/>
          </w:tcPr>
          <w:p w14:paraId="488B0368">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主要资历、经验及承担过的项目</w:t>
            </w:r>
          </w:p>
        </w:tc>
      </w:tr>
      <w:tr w14:paraId="73EC3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gridSpan w:val="5"/>
            <w:tcBorders>
              <w:top w:val="double" w:color="auto" w:sz="2" w:space="0"/>
              <w:left w:val="single" w:color="auto" w:sz="12" w:space="0"/>
              <w:bottom w:val="single" w:color="auto" w:sz="6" w:space="0"/>
              <w:right w:val="single" w:color="auto" w:sz="12" w:space="0"/>
            </w:tcBorders>
            <w:vAlign w:val="center"/>
          </w:tcPr>
          <w:p w14:paraId="0A1ED16B">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一、总部人员</w:t>
            </w:r>
          </w:p>
        </w:tc>
      </w:tr>
      <w:tr w14:paraId="723E8B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nil"/>
              <w:left w:val="single" w:color="auto" w:sz="12" w:space="0"/>
              <w:bottom w:val="nil"/>
              <w:right w:val="single" w:color="auto" w:sz="6" w:space="0"/>
            </w:tcBorders>
            <w:vAlign w:val="center"/>
          </w:tcPr>
          <w:p w14:paraId="7D31D5FB">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项目主管</w:t>
            </w:r>
          </w:p>
        </w:tc>
        <w:tc>
          <w:tcPr>
            <w:tcW w:w="1418" w:type="dxa"/>
            <w:tcBorders>
              <w:top w:val="nil"/>
              <w:left w:val="single" w:color="auto" w:sz="6" w:space="0"/>
              <w:bottom w:val="single" w:color="auto" w:sz="6" w:space="0"/>
              <w:right w:val="single" w:color="auto" w:sz="6" w:space="0"/>
            </w:tcBorders>
            <w:vAlign w:val="center"/>
          </w:tcPr>
          <w:p w14:paraId="1A979F6B">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nil"/>
              <w:left w:val="single" w:color="auto" w:sz="6" w:space="0"/>
              <w:bottom w:val="single" w:color="auto" w:sz="6" w:space="0"/>
              <w:right w:val="single" w:color="auto" w:sz="6" w:space="0"/>
            </w:tcBorders>
            <w:vAlign w:val="center"/>
          </w:tcPr>
          <w:p w14:paraId="4CBB3CF5">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nil"/>
              <w:left w:val="single" w:color="auto" w:sz="6" w:space="0"/>
              <w:bottom w:val="single" w:color="auto" w:sz="6" w:space="0"/>
              <w:right w:val="single" w:color="auto" w:sz="6" w:space="0"/>
            </w:tcBorders>
            <w:vAlign w:val="center"/>
          </w:tcPr>
          <w:p w14:paraId="29CD86F6">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nil"/>
              <w:left w:val="single" w:color="auto" w:sz="6" w:space="0"/>
              <w:bottom w:val="single" w:color="auto" w:sz="6" w:space="0"/>
              <w:right w:val="single" w:color="auto" w:sz="12" w:space="0"/>
            </w:tcBorders>
            <w:vAlign w:val="center"/>
          </w:tcPr>
          <w:p w14:paraId="49BEF848">
            <w:pPr>
              <w:keepNext/>
              <w:autoSpaceDE w:val="0"/>
              <w:spacing w:before="100" w:beforeAutospacing="1" w:line="400" w:lineRule="exact"/>
              <w:jc w:val="center"/>
              <w:rPr>
                <w:rFonts w:ascii="宋体" w:hAnsi="宋体" w:eastAsia="宋体" w:cs="Times New Roman"/>
                <w:sz w:val="21"/>
                <w:szCs w:val="21"/>
              </w:rPr>
            </w:pPr>
          </w:p>
        </w:tc>
      </w:tr>
      <w:tr w14:paraId="054843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nil"/>
              <w:right w:val="single" w:color="auto" w:sz="6" w:space="0"/>
            </w:tcBorders>
            <w:vAlign w:val="center"/>
          </w:tcPr>
          <w:p w14:paraId="0F7B0022">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4D109838">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D617334">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58C28D22">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18A6C29F">
            <w:pPr>
              <w:keepNext/>
              <w:autoSpaceDE w:val="0"/>
              <w:spacing w:before="100" w:beforeAutospacing="1" w:line="400" w:lineRule="exact"/>
              <w:jc w:val="center"/>
              <w:rPr>
                <w:rFonts w:ascii="宋体" w:hAnsi="宋体" w:eastAsia="宋体" w:cs="Times New Roman"/>
                <w:sz w:val="21"/>
                <w:szCs w:val="21"/>
              </w:rPr>
            </w:pPr>
          </w:p>
        </w:tc>
      </w:tr>
      <w:tr w14:paraId="50A7DC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nil"/>
              <w:left w:val="single" w:color="auto" w:sz="12" w:space="0"/>
              <w:bottom w:val="nil"/>
              <w:right w:val="single" w:color="auto" w:sz="6" w:space="0"/>
            </w:tcBorders>
            <w:vAlign w:val="center"/>
          </w:tcPr>
          <w:p w14:paraId="5F68090B">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04D4A1BE">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1CF40F0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496F46BF">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48EA1A53">
            <w:pPr>
              <w:keepNext/>
              <w:autoSpaceDE w:val="0"/>
              <w:spacing w:before="100" w:beforeAutospacing="1" w:line="400" w:lineRule="exact"/>
              <w:jc w:val="center"/>
              <w:rPr>
                <w:rFonts w:ascii="宋体" w:hAnsi="宋体" w:eastAsia="宋体" w:cs="Times New Roman"/>
                <w:sz w:val="21"/>
                <w:szCs w:val="21"/>
              </w:rPr>
            </w:pPr>
          </w:p>
        </w:tc>
      </w:tr>
      <w:tr w14:paraId="6DAE7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nil"/>
              <w:left w:val="single" w:color="auto" w:sz="12" w:space="0"/>
              <w:bottom w:val="nil"/>
              <w:right w:val="single" w:color="auto" w:sz="6" w:space="0"/>
            </w:tcBorders>
            <w:vAlign w:val="center"/>
          </w:tcPr>
          <w:p w14:paraId="755161A3">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6A7F5326">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268ACB1F">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6741CE78">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D4FDB0B">
            <w:pPr>
              <w:keepNext/>
              <w:autoSpaceDE w:val="0"/>
              <w:spacing w:before="100" w:beforeAutospacing="1" w:line="400" w:lineRule="exact"/>
              <w:jc w:val="center"/>
              <w:rPr>
                <w:rFonts w:ascii="宋体" w:hAnsi="宋体" w:eastAsia="宋体" w:cs="Times New Roman"/>
                <w:sz w:val="21"/>
                <w:szCs w:val="21"/>
              </w:rPr>
            </w:pPr>
          </w:p>
        </w:tc>
      </w:tr>
      <w:tr w14:paraId="691F71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gridSpan w:val="5"/>
            <w:tcBorders>
              <w:top w:val="single" w:color="auto" w:sz="6" w:space="0"/>
              <w:left w:val="single" w:color="auto" w:sz="12" w:space="0"/>
              <w:bottom w:val="single" w:color="auto" w:sz="6" w:space="0"/>
              <w:right w:val="single" w:color="auto" w:sz="12" w:space="0"/>
            </w:tcBorders>
            <w:vAlign w:val="center"/>
          </w:tcPr>
          <w:p w14:paraId="6EA84C3D">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二、现场人员</w:t>
            </w:r>
          </w:p>
        </w:tc>
      </w:tr>
      <w:tr w14:paraId="6A372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09D365B5">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0A0FE98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CFF7938">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4DEE1EA">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48822F64">
            <w:pPr>
              <w:keepNext/>
              <w:autoSpaceDE w:val="0"/>
              <w:spacing w:before="100" w:beforeAutospacing="1" w:line="400" w:lineRule="exact"/>
              <w:jc w:val="center"/>
              <w:rPr>
                <w:rFonts w:ascii="宋体" w:hAnsi="宋体" w:eastAsia="宋体" w:cs="Times New Roman"/>
                <w:sz w:val="21"/>
                <w:szCs w:val="21"/>
              </w:rPr>
            </w:pPr>
          </w:p>
        </w:tc>
      </w:tr>
      <w:tr w14:paraId="2830F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41F3DC0A">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7CABB3FD">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3C18279">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889E778">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1C4FFAD2">
            <w:pPr>
              <w:keepNext/>
              <w:autoSpaceDE w:val="0"/>
              <w:spacing w:before="100" w:beforeAutospacing="1" w:line="400" w:lineRule="exact"/>
              <w:jc w:val="center"/>
              <w:rPr>
                <w:rFonts w:ascii="宋体" w:hAnsi="宋体" w:eastAsia="宋体" w:cs="Times New Roman"/>
                <w:sz w:val="21"/>
                <w:szCs w:val="21"/>
              </w:rPr>
            </w:pPr>
          </w:p>
        </w:tc>
      </w:tr>
      <w:tr w14:paraId="760991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5C1AA89E">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74545769">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01EBCF8">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55F5E648">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055D2E8E">
            <w:pPr>
              <w:keepNext/>
              <w:autoSpaceDE w:val="0"/>
              <w:spacing w:before="100" w:beforeAutospacing="1" w:line="400" w:lineRule="exact"/>
              <w:jc w:val="center"/>
              <w:rPr>
                <w:rFonts w:ascii="宋体" w:hAnsi="宋体" w:eastAsia="宋体" w:cs="Times New Roman"/>
                <w:sz w:val="21"/>
                <w:szCs w:val="21"/>
              </w:rPr>
            </w:pPr>
          </w:p>
        </w:tc>
      </w:tr>
      <w:tr w14:paraId="536E8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59F89AB6">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6132AC33">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CDC268A">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61A893B">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FF1CAEE">
            <w:pPr>
              <w:keepNext/>
              <w:autoSpaceDE w:val="0"/>
              <w:spacing w:before="100" w:beforeAutospacing="1" w:line="400" w:lineRule="exact"/>
              <w:jc w:val="center"/>
              <w:rPr>
                <w:rFonts w:ascii="宋体" w:hAnsi="宋体" w:eastAsia="宋体" w:cs="Times New Roman"/>
                <w:sz w:val="21"/>
                <w:szCs w:val="21"/>
              </w:rPr>
            </w:pPr>
          </w:p>
        </w:tc>
      </w:tr>
      <w:tr w14:paraId="4F8474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286FD794">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0A88B0B5">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7C56D18">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AAB763A">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697468FF">
            <w:pPr>
              <w:keepNext/>
              <w:autoSpaceDE w:val="0"/>
              <w:spacing w:before="100" w:beforeAutospacing="1" w:line="400" w:lineRule="exact"/>
              <w:jc w:val="center"/>
              <w:rPr>
                <w:rFonts w:ascii="宋体" w:hAnsi="宋体" w:eastAsia="宋体" w:cs="Times New Roman"/>
                <w:sz w:val="21"/>
                <w:szCs w:val="21"/>
              </w:rPr>
            </w:pPr>
          </w:p>
        </w:tc>
      </w:tr>
      <w:tr w14:paraId="3F6CF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26556129">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0E481A45">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892D80C">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6803E91F">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0279687F">
            <w:pPr>
              <w:keepNext/>
              <w:autoSpaceDE w:val="0"/>
              <w:spacing w:before="100" w:beforeAutospacing="1" w:line="400" w:lineRule="exact"/>
              <w:jc w:val="center"/>
              <w:rPr>
                <w:rFonts w:ascii="宋体" w:hAnsi="宋体" w:eastAsia="宋体" w:cs="Times New Roman"/>
                <w:sz w:val="21"/>
                <w:szCs w:val="21"/>
              </w:rPr>
            </w:pPr>
          </w:p>
        </w:tc>
      </w:tr>
      <w:tr w14:paraId="030DB0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0C3C76B7">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39177C37">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68C62B4">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42094F41">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0F26BF6">
            <w:pPr>
              <w:keepNext/>
              <w:autoSpaceDE w:val="0"/>
              <w:spacing w:before="100" w:beforeAutospacing="1" w:line="400" w:lineRule="exact"/>
              <w:jc w:val="center"/>
              <w:rPr>
                <w:rFonts w:ascii="宋体" w:hAnsi="宋体" w:eastAsia="宋体" w:cs="Times New Roman"/>
                <w:sz w:val="21"/>
                <w:szCs w:val="21"/>
              </w:rPr>
            </w:pPr>
          </w:p>
        </w:tc>
      </w:tr>
      <w:tr w14:paraId="1C67C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74A407B1">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480500EB">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22F47A4">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879D2F8">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4BAEA434">
            <w:pPr>
              <w:keepNext/>
              <w:autoSpaceDE w:val="0"/>
              <w:spacing w:before="100" w:beforeAutospacing="1" w:line="400" w:lineRule="exact"/>
              <w:jc w:val="center"/>
              <w:rPr>
                <w:rFonts w:ascii="宋体" w:hAnsi="宋体" w:eastAsia="宋体" w:cs="Times New Roman"/>
                <w:sz w:val="21"/>
                <w:szCs w:val="21"/>
              </w:rPr>
            </w:pPr>
          </w:p>
        </w:tc>
      </w:tr>
      <w:tr w14:paraId="570AA5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restart"/>
            <w:tcBorders>
              <w:top w:val="nil"/>
              <w:left w:val="single" w:color="auto" w:sz="12" w:space="0"/>
              <w:bottom w:val="single" w:color="auto" w:sz="6" w:space="0"/>
              <w:right w:val="single" w:color="auto" w:sz="6" w:space="0"/>
            </w:tcBorders>
            <w:vAlign w:val="center"/>
          </w:tcPr>
          <w:p w14:paraId="25E1278E">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3C2BE9E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1A5931E6">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7CC9DDD">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3F6293B6">
            <w:pPr>
              <w:keepNext/>
              <w:autoSpaceDE w:val="0"/>
              <w:spacing w:before="100" w:beforeAutospacing="1" w:line="400" w:lineRule="exact"/>
              <w:jc w:val="center"/>
              <w:rPr>
                <w:rFonts w:ascii="宋体" w:hAnsi="宋体" w:eastAsia="宋体" w:cs="Times New Roman"/>
                <w:sz w:val="21"/>
                <w:szCs w:val="21"/>
              </w:rPr>
            </w:pPr>
          </w:p>
        </w:tc>
      </w:tr>
      <w:tr w14:paraId="00640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vMerge w:val="continue"/>
            <w:tcBorders>
              <w:top w:val="nil"/>
              <w:left w:val="single" w:color="auto" w:sz="12" w:space="0"/>
              <w:bottom w:val="single" w:color="auto" w:sz="6" w:space="0"/>
              <w:right w:val="single" w:color="auto" w:sz="6" w:space="0"/>
            </w:tcBorders>
            <w:vAlign w:val="center"/>
          </w:tcPr>
          <w:p w14:paraId="2BC7C124">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nil"/>
              <w:right w:val="single" w:color="auto" w:sz="6" w:space="0"/>
            </w:tcBorders>
            <w:vAlign w:val="center"/>
          </w:tcPr>
          <w:p w14:paraId="39557FD5">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nil"/>
              <w:right w:val="single" w:color="auto" w:sz="6" w:space="0"/>
            </w:tcBorders>
            <w:vAlign w:val="center"/>
          </w:tcPr>
          <w:p w14:paraId="5EE7E5A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nil"/>
              <w:right w:val="single" w:color="auto" w:sz="6" w:space="0"/>
            </w:tcBorders>
            <w:vAlign w:val="center"/>
          </w:tcPr>
          <w:p w14:paraId="5450C3CB">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nil"/>
              <w:right w:val="single" w:color="auto" w:sz="12" w:space="0"/>
            </w:tcBorders>
            <w:vAlign w:val="center"/>
          </w:tcPr>
          <w:p w14:paraId="5EF61641">
            <w:pPr>
              <w:keepNext/>
              <w:autoSpaceDE w:val="0"/>
              <w:spacing w:before="100" w:beforeAutospacing="1" w:line="400" w:lineRule="exact"/>
              <w:jc w:val="center"/>
              <w:rPr>
                <w:rFonts w:ascii="宋体" w:hAnsi="宋体" w:eastAsia="宋体" w:cs="Times New Roman"/>
                <w:sz w:val="21"/>
                <w:szCs w:val="21"/>
              </w:rPr>
            </w:pPr>
          </w:p>
        </w:tc>
      </w:tr>
      <w:tr w14:paraId="33DC22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vMerge w:val="continue"/>
            <w:tcBorders>
              <w:top w:val="nil"/>
              <w:left w:val="single" w:color="auto" w:sz="12" w:space="0"/>
              <w:bottom w:val="single" w:color="auto" w:sz="6" w:space="0"/>
              <w:right w:val="single" w:color="auto" w:sz="6" w:space="0"/>
            </w:tcBorders>
            <w:vAlign w:val="center"/>
          </w:tcPr>
          <w:p w14:paraId="3B8E2B08">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117B6E1A">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AE6BCEA">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C1C93D5">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54D5F99E">
            <w:pPr>
              <w:keepNext/>
              <w:autoSpaceDE w:val="0"/>
              <w:spacing w:before="100" w:beforeAutospacing="1" w:line="400" w:lineRule="exact"/>
              <w:jc w:val="center"/>
              <w:rPr>
                <w:rFonts w:ascii="宋体" w:hAnsi="宋体" w:eastAsia="宋体" w:cs="Times New Roman"/>
                <w:sz w:val="21"/>
                <w:szCs w:val="21"/>
              </w:rPr>
            </w:pPr>
          </w:p>
        </w:tc>
      </w:tr>
      <w:tr w14:paraId="79028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vMerge w:val="continue"/>
            <w:tcBorders>
              <w:top w:val="nil"/>
              <w:left w:val="single" w:color="auto" w:sz="12" w:space="0"/>
              <w:bottom w:val="single" w:color="auto" w:sz="6" w:space="0"/>
              <w:right w:val="single" w:color="auto" w:sz="6" w:space="0"/>
            </w:tcBorders>
            <w:vAlign w:val="center"/>
          </w:tcPr>
          <w:p w14:paraId="6F5EB75D">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7CD7D655">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00BC0E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DA098F7">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059055F">
            <w:pPr>
              <w:keepNext/>
              <w:autoSpaceDE w:val="0"/>
              <w:spacing w:before="100" w:beforeAutospacing="1" w:line="400" w:lineRule="exact"/>
              <w:jc w:val="center"/>
              <w:rPr>
                <w:rFonts w:ascii="宋体" w:hAnsi="宋体" w:eastAsia="宋体" w:cs="Times New Roman"/>
                <w:sz w:val="21"/>
                <w:szCs w:val="21"/>
              </w:rPr>
            </w:pPr>
          </w:p>
        </w:tc>
      </w:tr>
      <w:tr w14:paraId="6789D1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vMerge w:val="continue"/>
            <w:tcBorders>
              <w:top w:val="nil"/>
              <w:left w:val="single" w:color="auto" w:sz="12" w:space="0"/>
              <w:bottom w:val="single" w:color="auto" w:sz="6" w:space="0"/>
              <w:right w:val="single" w:color="auto" w:sz="6" w:space="0"/>
            </w:tcBorders>
            <w:vAlign w:val="center"/>
          </w:tcPr>
          <w:p w14:paraId="43F7F488">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758FA5F6">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AC4521A">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DE19A0A">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4551EDDF">
            <w:pPr>
              <w:keepNext/>
              <w:autoSpaceDE w:val="0"/>
              <w:spacing w:before="100" w:beforeAutospacing="1" w:line="400" w:lineRule="exact"/>
              <w:jc w:val="center"/>
              <w:rPr>
                <w:rFonts w:ascii="宋体" w:hAnsi="宋体" w:eastAsia="宋体" w:cs="Times New Roman"/>
                <w:sz w:val="21"/>
                <w:szCs w:val="21"/>
              </w:rPr>
            </w:pPr>
          </w:p>
        </w:tc>
      </w:tr>
      <w:tr w14:paraId="7B4E6B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vMerge w:val="continue"/>
            <w:tcBorders>
              <w:top w:val="nil"/>
              <w:left w:val="single" w:color="auto" w:sz="12" w:space="0"/>
              <w:bottom w:val="single" w:color="auto" w:sz="6" w:space="0"/>
              <w:right w:val="single" w:color="auto" w:sz="6" w:space="0"/>
            </w:tcBorders>
            <w:vAlign w:val="center"/>
          </w:tcPr>
          <w:p w14:paraId="56851DA0">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12" w:space="0"/>
              <w:right w:val="single" w:color="auto" w:sz="6" w:space="0"/>
            </w:tcBorders>
            <w:vAlign w:val="center"/>
          </w:tcPr>
          <w:p w14:paraId="59B1ECC5">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12" w:space="0"/>
              <w:right w:val="single" w:color="auto" w:sz="6" w:space="0"/>
            </w:tcBorders>
            <w:vAlign w:val="center"/>
          </w:tcPr>
          <w:p w14:paraId="360EE6A8">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12" w:space="0"/>
              <w:right w:val="single" w:color="auto" w:sz="6" w:space="0"/>
            </w:tcBorders>
            <w:vAlign w:val="center"/>
          </w:tcPr>
          <w:p w14:paraId="1A25BFB9">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12" w:space="0"/>
              <w:right w:val="single" w:color="auto" w:sz="12" w:space="0"/>
            </w:tcBorders>
            <w:vAlign w:val="center"/>
          </w:tcPr>
          <w:p w14:paraId="30AF9D16">
            <w:pPr>
              <w:keepNext/>
              <w:autoSpaceDE w:val="0"/>
              <w:spacing w:before="100" w:beforeAutospacing="1" w:line="400" w:lineRule="exact"/>
              <w:jc w:val="center"/>
              <w:rPr>
                <w:rFonts w:ascii="宋体" w:hAnsi="宋体" w:eastAsia="宋体" w:cs="Times New Roman"/>
                <w:sz w:val="21"/>
                <w:szCs w:val="21"/>
              </w:rPr>
            </w:pPr>
          </w:p>
        </w:tc>
      </w:tr>
    </w:tbl>
    <w:p w14:paraId="05B59D4D">
      <w:pPr>
        <w:rPr>
          <w:rFonts w:ascii="宋体" w:hAnsi="宋体" w:eastAsia="宋体" w:cs="Times New Roman"/>
          <w:sz w:val="21"/>
          <w:szCs w:val="21"/>
        </w:rPr>
      </w:pPr>
      <w:r>
        <w:rPr>
          <w:rFonts w:hint="eastAsia" w:ascii="宋体" w:hAnsi="宋体" w:eastAsia="宋体" w:cs="Times New Roman"/>
          <w:sz w:val="21"/>
          <w:szCs w:val="21"/>
        </w:rPr>
        <w:br w:type="page"/>
      </w:r>
    </w:p>
    <w:p w14:paraId="4EDD7BB9">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附</w:t>
      </w:r>
      <w:bookmarkStart w:id="1711" w:name="_Toc296346732"/>
      <w:bookmarkEnd w:id="1711"/>
      <w:bookmarkStart w:id="1712" w:name="_Toc296503231"/>
      <w:bookmarkEnd w:id="1712"/>
      <w:bookmarkStart w:id="1713" w:name="_Toc296944570"/>
      <w:bookmarkEnd w:id="1713"/>
      <w:bookmarkStart w:id="1714" w:name="_Toc296347230"/>
      <w:bookmarkEnd w:id="1714"/>
      <w:bookmarkStart w:id="1715" w:name="_Toc296891059"/>
      <w:bookmarkEnd w:id="1715"/>
      <w:bookmarkStart w:id="1716" w:name="_Toc296891271"/>
      <w:r>
        <w:rPr>
          <w:rFonts w:hint="eastAsia" w:ascii="宋体" w:hAnsi="宋体" w:eastAsia="宋体" w:cs="Times New Roman"/>
          <w:sz w:val="21"/>
          <w:szCs w:val="21"/>
        </w:rPr>
        <w:t>件8：</w:t>
      </w:r>
      <w:bookmarkEnd w:id="1716"/>
    </w:p>
    <w:p w14:paraId="2DAF3FC6">
      <w:pPr>
        <w:autoSpaceDE w:val="0"/>
        <w:spacing w:line="360" w:lineRule="auto"/>
        <w:jc w:val="center"/>
        <w:rPr>
          <w:rFonts w:ascii="宋体" w:hAnsi="宋体" w:eastAsia="宋体" w:cs="Times New Roman"/>
          <w:sz w:val="21"/>
          <w:szCs w:val="21"/>
        </w:rPr>
      </w:pPr>
      <w:r>
        <w:rPr>
          <w:rFonts w:hint="eastAsia" w:ascii="宋体" w:hAnsi="宋体" w:eastAsia="宋体" w:cs="Times New Roman"/>
          <w:sz w:val="21"/>
          <w:szCs w:val="21"/>
        </w:rPr>
        <w:t>履约担保</w:t>
      </w:r>
    </w:p>
    <w:p w14:paraId="62195511">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u w:val="single"/>
        </w:rPr>
        <w:t xml:space="preserve">             </w:t>
      </w:r>
      <w:r>
        <w:rPr>
          <w:rFonts w:hint="eastAsia" w:ascii="宋体" w:hAnsi="宋体" w:eastAsia="宋体" w:cs="Times New Roman"/>
          <w:sz w:val="21"/>
          <w:szCs w:val="21"/>
          <w:u w:val="single"/>
        </w:rPr>
        <w:tab/>
      </w:r>
      <w:r>
        <w:rPr>
          <w:rFonts w:hint="eastAsia" w:ascii="宋体" w:hAnsi="宋体" w:eastAsia="宋体" w:cs="Times New Roman"/>
          <w:sz w:val="21"/>
          <w:szCs w:val="21"/>
        </w:rPr>
        <w:t>（发包人名称）：</w:t>
      </w:r>
    </w:p>
    <w:p w14:paraId="1400EF3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6BAE4BA9">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鉴于</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（发包人名称，以下简称“发包人”）与</w:t>
      </w:r>
    </w:p>
    <w:p w14:paraId="1D17571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（承包人名称）（以下称“承包人”）于</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年</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月</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日就</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（工程名称）施工及有关事项协商一致共同签订《建设工程施工合同》。我方愿意无条件地、不可撤销地就承包人履行与你方签订的合同，向你方提供连带责任担保。</w:t>
      </w:r>
    </w:p>
    <w:p w14:paraId="33FAFF9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1. 担保金额人民币（大写）</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元（¥</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EBF1D30">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2. 担保有效期自你方与承包人签订的合同生效之日起至你方签发或应签发工程接收证书之日止。</w:t>
      </w:r>
    </w:p>
    <w:p w14:paraId="2CB70D93">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3. 在本担保有效期内，因承包人违反合同约定的义务给你方造成经济损失时，我方在收到你方以书面形式提出的在担保金额内的赔偿要求后，在7天内无条件支付。</w:t>
      </w:r>
    </w:p>
    <w:p w14:paraId="364253D2">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4. 你方和承包人按合同约定变更合同时，我方承担本担保规定的义务不变。</w:t>
      </w:r>
    </w:p>
    <w:p w14:paraId="3768D3D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5. 因本保函发生的纠纷，可由双方协商解决，协商不成的，任何一方均可提请</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仲裁委员会仲裁。</w:t>
      </w:r>
    </w:p>
    <w:p w14:paraId="3FB8228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6. 本保函自我方法定代表人（或其授权代理人）签名并加盖公章之日起生效。</w:t>
      </w:r>
    </w:p>
    <w:p w14:paraId="72402FC0">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0A8E7BA2">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担 保 人：</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（盖单位章）</w:t>
      </w:r>
    </w:p>
    <w:p w14:paraId="5834875B">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法定代表人或其委托代理人：</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（签名）</w:t>
      </w:r>
    </w:p>
    <w:p w14:paraId="400E877B">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地    址：</w:t>
      </w:r>
      <w:r>
        <w:rPr>
          <w:rFonts w:hint="eastAsia" w:ascii="宋体" w:hAnsi="宋体" w:eastAsia="宋体" w:cs="Times New Roman"/>
          <w:sz w:val="21"/>
          <w:szCs w:val="21"/>
          <w:u w:val="single"/>
        </w:rPr>
        <w:t xml:space="preserve">                                      </w:t>
      </w:r>
    </w:p>
    <w:p w14:paraId="247DB75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邮政编码：</w:t>
      </w:r>
      <w:r>
        <w:rPr>
          <w:rFonts w:hint="eastAsia" w:ascii="宋体" w:hAnsi="宋体" w:eastAsia="宋体" w:cs="Times New Roman"/>
          <w:sz w:val="21"/>
          <w:szCs w:val="21"/>
          <w:u w:val="single"/>
        </w:rPr>
        <w:t xml:space="preserve">                                      </w:t>
      </w:r>
    </w:p>
    <w:p w14:paraId="2FBD13D4">
      <w:pPr>
        <w:autoSpaceDE w:val="0"/>
        <w:spacing w:line="360" w:lineRule="auto"/>
        <w:rPr>
          <w:rFonts w:ascii="宋体" w:hAnsi="宋体" w:eastAsia="宋体" w:cs="Times New Roman"/>
          <w:sz w:val="21"/>
          <w:szCs w:val="21"/>
          <w:u w:val="single"/>
        </w:rPr>
      </w:pPr>
      <w:r>
        <w:rPr>
          <w:rFonts w:hint="eastAsia" w:ascii="宋体" w:hAnsi="宋体" w:eastAsia="宋体" w:cs="Times New Roman"/>
          <w:sz w:val="21"/>
          <w:szCs w:val="21"/>
        </w:rPr>
        <w:t>电    话：</w:t>
      </w:r>
      <w:r>
        <w:rPr>
          <w:rFonts w:hint="eastAsia" w:ascii="宋体" w:hAnsi="宋体" w:eastAsia="宋体" w:cs="Times New Roman"/>
          <w:sz w:val="21"/>
          <w:szCs w:val="21"/>
          <w:u w:val="single"/>
        </w:rPr>
        <w:t xml:space="preserve">                                      </w:t>
      </w:r>
    </w:p>
    <w:p w14:paraId="4798DD4B">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传    真：</w:t>
      </w:r>
      <w:r>
        <w:rPr>
          <w:rFonts w:hint="eastAsia" w:ascii="宋体" w:hAnsi="宋体" w:eastAsia="宋体" w:cs="Times New Roman"/>
          <w:sz w:val="21"/>
          <w:szCs w:val="21"/>
          <w:u w:val="single"/>
        </w:rPr>
        <w:t xml:space="preserve">                                      </w:t>
      </w:r>
    </w:p>
    <w:p w14:paraId="31F9B801">
      <w:pPr>
        <w:autoSpaceDE w:val="0"/>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 xml:space="preserve"> </w:t>
      </w:r>
    </w:p>
    <w:p w14:paraId="496FACB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年</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月</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日</w:t>
      </w:r>
    </w:p>
    <w:p w14:paraId="6AE6CA0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3E8ECBA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br w:type="page"/>
      </w:r>
    </w:p>
    <w:p w14:paraId="2E75389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附</w:t>
      </w:r>
      <w:bookmarkStart w:id="1717" w:name="_Toc296891060"/>
      <w:bookmarkEnd w:id="1717"/>
      <w:bookmarkStart w:id="1718" w:name="_Toc296503232"/>
      <w:bookmarkEnd w:id="1718"/>
      <w:bookmarkStart w:id="1719" w:name="_Toc296346733"/>
      <w:bookmarkEnd w:id="1719"/>
      <w:bookmarkStart w:id="1720" w:name="_Toc296891272"/>
      <w:bookmarkEnd w:id="1720"/>
      <w:bookmarkStart w:id="1721" w:name="_Toc296347231"/>
      <w:bookmarkEnd w:id="1721"/>
      <w:bookmarkStart w:id="1722" w:name="_Toc296944571"/>
      <w:bookmarkEnd w:id="1722"/>
      <w:bookmarkStart w:id="1723" w:name="_Toc267261702"/>
      <w:r>
        <w:rPr>
          <w:rFonts w:hint="eastAsia" w:ascii="宋体" w:hAnsi="宋体" w:eastAsia="宋体" w:cs="Times New Roman"/>
          <w:sz w:val="21"/>
          <w:szCs w:val="21"/>
        </w:rPr>
        <w:t>件9：</w:t>
      </w:r>
      <w:bookmarkEnd w:id="1723"/>
    </w:p>
    <w:p w14:paraId="13CF8E63">
      <w:pPr>
        <w:spacing w:before="156" w:beforeLines="50" w:after="156" w:afterLines="50" w:line="480" w:lineRule="auto"/>
        <w:jc w:val="center"/>
        <w:rPr>
          <w:rFonts w:ascii="宋体" w:hAnsi="宋体" w:eastAsia="宋体" w:cs="Times New Roman"/>
          <w:sz w:val="21"/>
          <w:szCs w:val="21"/>
        </w:rPr>
      </w:pPr>
      <w:bookmarkStart w:id="1724" w:name="_Toc247431422"/>
      <w:bookmarkEnd w:id="1724"/>
      <w:bookmarkStart w:id="1725" w:name="_Toc435689499"/>
      <w:bookmarkEnd w:id="1725"/>
      <w:bookmarkStart w:id="1726" w:name="_Toc448406299"/>
      <w:bookmarkEnd w:id="1726"/>
      <w:bookmarkStart w:id="1727" w:name="_Toc336680145"/>
      <w:bookmarkEnd w:id="1727"/>
      <w:bookmarkStart w:id="1728" w:name="_Toc239510288"/>
      <w:bookmarkEnd w:id="1728"/>
      <w:bookmarkStart w:id="1729" w:name="_Toc435690184"/>
      <w:bookmarkEnd w:id="1729"/>
      <w:r>
        <w:rPr>
          <w:rFonts w:hint="eastAsia" w:ascii="宋体" w:hAnsi="宋体" w:eastAsia="宋体" w:cs="Times New Roman"/>
          <w:sz w:val="21"/>
          <w:szCs w:val="21"/>
        </w:rPr>
        <w:t>安全管理协议</w:t>
      </w:r>
    </w:p>
    <w:p w14:paraId="63E6FB97">
      <w:pPr>
        <w:snapToGrid w:val="0"/>
        <w:spacing w:line="360" w:lineRule="auto"/>
        <w:rPr>
          <w:rFonts w:ascii="宋体" w:hAnsi="宋体" w:eastAsia="宋体" w:cs="Times New Roman"/>
          <w:b/>
          <w:sz w:val="21"/>
          <w:szCs w:val="21"/>
          <w:u w:val="single"/>
        </w:rPr>
      </w:pPr>
      <w:r>
        <w:rPr>
          <w:rFonts w:hint="eastAsia" w:ascii="宋体" w:hAnsi="宋体" w:eastAsia="宋体" w:cs="Times New Roman"/>
          <w:b/>
          <w:sz w:val="21"/>
          <w:szCs w:val="21"/>
        </w:rPr>
        <w:t>发包人（全称）：</w:t>
      </w:r>
      <w:r>
        <w:rPr>
          <w:rFonts w:hint="eastAsia" w:ascii="宋体" w:hAnsi="宋体" w:eastAsia="宋体" w:cs="Times New Roman"/>
          <w:sz w:val="21"/>
          <w:szCs w:val="21"/>
          <w:u w:val="single"/>
        </w:rPr>
        <w:t xml:space="preserve">                             </w:t>
      </w:r>
    </w:p>
    <w:p w14:paraId="79AA2DBD">
      <w:pPr>
        <w:snapToGrid w:val="0"/>
        <w:spacing w:line="360" w:lineRule="auto"/>
        <w:rPr>
          <w:rFonts w:ascii="宋体" w:hAnsi="宋体" w:eastAsia="宋体" w:cs="Times New Roman"/>
          <w:b/>
          <w:sz w:val="21"/>
          <w:szCs w:val="21"/>
          <w:u w:val="single"/>
        </w:rPr>
      </w:pPr>
      <w:r>
        <w:rPr>
          <w:rFonts w:hint="eastAsia" w:ascii="宋体" w:hAnsi="宋体" w:eastAsia="宋体" w:cs="Times New Roman"/>
          <w:b/>
          <w:sz w:val="21"/>
          <w:szCs w:val="21"/>
        </w:rPr>
        <w:t>承包人（全称）：</w:t>
      </w:r>
      <w:r>
        <w:rPr>
          <w:rFonts w:hint="eastAsia" w:ascii="宋体" w:hAnsi="宋体" w:eastAsia="宋体" w:cs="Times New Roman"/>
          <w:sz w:val="21"/>
          <w:szCs w:val="21"/>
          <w:u w:val="single"/>
        </w:rPr>
        <w:t xml:space="preserve">                             </w:t>
      </w:r>
    </w:p>
    <w:p w14:paraId="08D338B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为了确保实现</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安全生产目标，进一步明确双方的安全管理责任，加强安全生产管理工作的协调、管理力度，</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（以下简称“发包人”）与</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3FD7B845">
      <w:pPr>
        <w:spacing w:line="360" w:lineRule="auto"/>
        <w:rPr>
          <w:rFonts w:ascii="宋体" w:hAnsi="宋体" w:eastAsia="宋体" w:cs="Times New Roman"/>
          <w:sz w:val="21"/>
          <w:szCs w:val="21"/>
        </w:rPr>
      </w:pPr>
      <w:bookmarkStart w:id="1730" w:name="_Toc532375700"/>
      <w:bookmarkEnd w:id="1730"/>
      <w:bookmarkStart w:id="1731" w:name="_Toc247431423"/>
      <w:bookmarkEnd w:id="1731"/>
      <w:bookmarkStart w:id="1732" w:name="_Toc247418263"/>
      <w:bookmarkEnd w:id="1732"/>
      <w:bookmarkStart w:id="1733" w:name="_Toc239510289"/>
      <w:r>
        <w:rPr>
          <w:rFonts w:hint="eastAsia" w:ascii="宋体" w:hAnsi="宋体" w:eastAsia="宋体" w:cs="Times New Roman"/>
          <w:sz w:val="21"/>
          <w:szCs w:val="21"/>
        </w:rPr>
        <w:t>一、协议有效期限</w:t>
      </w:r>
      <w:bookmarkEnd w:id="1733"/>
    </w:p>
    <w:p w14:paraId="5A59EC9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本协议中所涉及的安全管理责任自合同签订之日起开始生效，至合同工程全部完工验收且经发包人与承包人签订移交协议生效后之日终止。</w:t>
      </w:r>
    </w:p>
    <w:p w14:paraId="1C873243">
      <w:pPr>
        <w:spacing w:line="360" w:lineRule="auto"/>
        <w:rPr>
          <w:rFonts w:ascii="宋体" w:hAnsi="宋体" w:eastAsia="宋体" w:cs="Times New Roman"/>
          <w:sz w:val="21"/>
          <w:szCs w:val="21"/>
        </w:rPr>
      </w:pPr>
      <w:bookmarkStart w:id="1734" w:name="_Toc247418264"/>
      <w:bookmarkEnd w:id="1734"/>
      <w:bookmarkStart w:id="1735" w:name="_Toc247431424"/>
      <w:bookmarkEnd w:id="1735"/>
      <w:bookmarkStart w:id="1736" w:name="_Toc239510290"/>
      <w:bookmarkEnd w:id="1736"/>
      <w:bookmarkStart w:id="1737" w:name="_Toc532375701"/>
      <w:r>
        <w:rPr>
          <w:rFonts w:hint="eastAsia" w:ascii="宋体" w:hAnsi="宋体" w:eastAsia="宋体" w:cs="Times New Roman"/>
          <w:sz w:val="21"/>
          <w:szCs w:val="21"/>
        </w:rPr>
        <w:t>二、责任目标</w:t>
      </w:r>
      <w:bookmarkEnd w:id="1737"/>
    </w:p>
    <w:p w14:paraId="568364B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（一）承包人承诺承担和履行合同和发包人所规定的安全责任，且满足要求。</w:t>
      </w:r>
    </w:p>
    <w:p w14:paraId="4558B1B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（二）承包人的安全控制目标是确保本工程在实施过程中：</w:t>
      </w:r>
    </w:p>
    <w:p w14:paraId="52791DE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1．不发生人身重伤事故；</w:t>
      </w:r>
    </w:p>
    <w:p w14:paraId="0FBCF11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2．不发生火灾事故；</w:t>
      </w:r>
    </w:p>
    <w:p w14:paraId="479FEAA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3．不发生负有同等及以上事故责任的造成人身重伤的一般交通事故；</w:t>
      </w:r>
    </w:p>
    <w:p w14:paraId="5C1B536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4．不发生集体食物中毒事件（同时5人及以上的食物中毒）；</w:t>
      </w:r>
    </w:p>
    <w:p w14:paraId="121DA9D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5．不发生流行性传染病 （无甲型传染病、其他常见传染病未形成多人同时患病）；</w:t>
      </w:r>
    </w:p>
    <w:p w14:paraId="7E194A3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6．不发生重大环境污染事件（生活、工业垃圾及其他污染物造成环境污染和大面积水土流失）；</w:t>
      </w:r>
    </w:p>
    <w:p w14:paraId="71426F6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7．不发生对施工区附近生产、生活造成重大影响的事件（如造成重大设备损坏、重大财产损失、人员伤害等）；</w:t>
      </w:r>
    </w:p>
    <w:p w14:paraId="1437793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8．不发生治安保卫事件（构成刑事拘留及以上的事件、盗窃直接损失超过1万元人民币的事件）。</w:t>
      </w:r>
    </w:p>
    <w:p w14:paraId="6F7F433F">
      <w:pPr>
        <w:spacing w:line="360" w:lineRule="auto"/>
        <w:jc w:val="left"/>
        <w:rPr>
          <w:rFonts w:ascii="宋体" w:hAnsi="宋体" w:eastAsia="宋体" w:cs="Times New Roman"/>
          <w:sz w:val="21"/>
          <w:szCs w:val="21"/>
        </w:rPr>
      </w:pPr>
      <w:bookmarkStart w:id="1738" w:name="_Toc247431425"/>
      <w:bookmarkEnd w:id="1738"/>
      <w:bookmarkStart w:id="1739" w:name="_Toc239510291"/>
      <w:bookmarkEnd w:id="1739"/>
      <w:bookmarkStart w:id="1740" w:name="_Toc247418265"/>
      <w:r>
        <w:rPr>
          <w:rFonts w:hint="eastAsia" w:ascii="宋体" w:hAnsi="宋体" w:eastAsia="宋体" w:cs="Times New Roman"/>
          <w:sz w:val="21"/>
          <w:szCs w:val="21"/>
        </w:rPr>
        <w:t>（三）承包人承诺在施工中控制以下安全事故的发生：</w:t>
      </w:r>
      <w:bookmarkEnd w:id="1740"/>
    </w:p>
    <w:p w14:paraId="1A47F6F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1．人员轻伤事故。</w:t>
      </w:r>
    </w:p>
    <w:p w14:paraId="51E0027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2．负有同等及以上事故责任的人身轻伤交通事故。</w:t>
      </w:r>
    </w:p>
    <w:p w14:paraId="64C7154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3．其他安全未遂事故和异常事件。</w:t>
      </w:r>
    </w:p>
    <w:p w14:paraId="3CF023E0">
      <w:pPr>
        <w:spacing w:line="360" w:lineRule="auto"/>
        <w:rPr>
          <w:rFonts w:ascii="宋体" w:hAnsi="宋体" w:eastAsia="宋体" w:cs="Times New Roman"/>
          <w:sz w:val="21"/>
          <w:szCs w:val="21"/>
        </w:rPr>
      </w:pPr>
      <w:bookmarkStart w:id="1741" w:name="_Toc247418266"/>
      <w:bookmarkEnd w:id="1741"/>
      <w:bookmarkStart w:id="1742" w:name="_Toc239510292"/>
      <w:bookmarkEnd w:id="1742"/>
      <w:bookmarkStart w:id="1743" w:name="_Toc532375702"/>
      <w:bookmarkEnd w:id="1743"/>
      <w:bookmarkStart w:id="1744" w:name="_Toc247431426"/>
      <w:r>
        <w:rPr>
          <w:rFonts w:hint="eastAsia" w:ascii="宋体" w:hAnsi="宋体" w:eastAsia="宋体" w:cs="Times New Roman"/>
          <w:sz w:val="21"/>
          <w:szCs w:val="21"/>
        </w:rPr>
        <w:t>三、安全责任</w:t>
      </w:r>
      <w:bookmarkEnd w:id="1744"/>
    </w:p>
    <w:p w14:paraId="7E543CC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1．承包人负有安全生产的管理责任和直接责任。</w:t>
      </w:r>
    </w:p>
    <w:p w14:paraId="031489F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2．承包人的法人或签署合同的公司总经理或受委托的代理人对合同安全负有全面的领导责任。</w:t>
      </w:r>
    </w:p>
    <w:p w14:paraId="5CE2C70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3．承包人项目经理对施工现场的安全工作负有全面的直接领导责任。</w:t>
      </w:r>
    </w:p>
    <w:p w14:paraId="6AA230E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4．承包人保证执行“谁施工、谁负责”的施工安全原则。</w:t>
      </w:r>
    </w:p>
    <w:p w14:paraId="06DE94C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5．承包人保证服从发包人对安全工作的统一协调和管理。</w:t>
      </w:r>
    </w:p>
    <w:p w14:paraId="749DE07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6．承包人保证对本工程项目安全生产条件及其管理资源自行投入，保证安全资金的专款专用。</w:t>
      </w:r>
    </w:p>
    <w:p w14:paraId="053D804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7．承包人保证建立本工程项目的安全管理体系及安全保证体系（注：项目安全管理大纲/手册、管理性的程序文件等）。</w:t>
      </w:r>
    </w:p>
    <w:p w14:paraId="624A841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8．承包人保证现场的安全管理专职人员必须持有建设主管部门安全生产培训考核合格证书。</w:t>
      </w:r>
    </w:p>
    <w:p w14:paraId="4058575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9．承包人保证为现场所有工作人员（含分包商员工及劳务人员）配备符合国家标准的有承包人和/或其下属分包商标志的个人基本劳动保护用品。</w:t>
      </w:r>
    </w:p>
    <w:p w14:paraId="4295880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10．承包人保证按照国家法律规定为现场所有工作人员（含分包商员工及劳务人员）购买意外伤害保险。</w:t>
      </w:r>
    </w:p>
    <w:p w14:paraId="50B51D7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11．承包人保证施工生活营地（包括自建的和租用的营地）满足消防、安全用电、卫生防疫、防暴雨、防雷击等方面的安全要求。</w:t>
      </w:r>
    </w:p>
    <w:p w14:paraId="59778AA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12．承包人保证对带入现场的设备、工具、材料按照国家法规和标准进行检测、试验，并持有法定部门出具的检验证书。</w:t>
      </w:r>
    </w:p>
    <w:p w14:paraId="3133050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13．承包人保证制订施工现场的文明施工措施，保护环境、树木和植被，保持施工现场的良好秩序和整洁的作业环境。</w:t>
      </w:r>
    </w:p>
    <w:p w14:paraId="4745718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14．承包人负责在施工过程中与当地政府、周边群众及其他承包商保持良好的沟通和交流。承包人遇到与周边群众发生纠纷时，应负责协调工作，确保工程能够顺利进行。</w:t>
      </w:r>
    </w:p>
    <w:p w14:paraId="4FAEE095">
      <w:pPr>
        <w:spacing w:line="360" w:lineRule="auto"/>
        <w:rPr>
          <w:rFonts w:ascii="宋体" w:hAnsi="宋体" w:eastAsia="宋体" w:cs="Times New Roman"/>
          <w:sz w:val="21"/>
          <w:szCs w:val="21"/>
        </w:rPr>
      </w:pPr>
      <w:bookmarkStart w:id="1745" w:name="_Toc247431427"/>
      <w:bookmarkEnd w:id="1745"/>
      <w:bookmarkStart w:id="1746" w:name="_Toc239510293"/>
      <w:bookmarkEnd w:id="1746"/>
      <w:bookmarkStart w:id="1747" w:name="_Toc247418267"/>
      <w:bookmarkEnd w:id="1747"/>
      <w:bookmarkStart w:id="1748" w:name="_Toc532375703"/>
      <w:r>
        <w:rPr>
          <w:rFonts w:hint="eastAsia" w:ascii="宋体" w:hAnsi="宋体" w:eastAsia="宋体" w:cs="Times New Roman"/>
          <w:sz w:val="21"/>
          <w:szCs w:val="21"/>
        </w:rPr>
        <w:t>四、接口及协调</w:t>
      </w:r>
      <w:bookmarkEnd w:id="1748"/>
    </w:p>
    <w:p w14:paraId="6AC6E1B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1．发包人委托监理公司对该工程实施监理，监理公司在安全管理方面代表发包人行使监督检查职能，承包人必须给予配合和支持。</w:t>
      </w:r>
    </w:p>
    <w:p w14:paraId="44AADDB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2．承包人人员、车辆的出入，带入现场的设备、机具、材料，在现场使用的或直接管理的办公、生活、生产性设施的安全管理须满足发包人现场管理的基本要求。</w:t>
      </w:r>
    </w:p>
    <w:p w14:paraId="1E7E330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3．承包人应指定专职安全管理人员与发包人委托的监理公司接口，参与安全协调和管理。安全协调和管理的内容包括职业健康、工业安全、消防安全、卫生防疫、交通安全、环境保护、治安保卫等各方面。</w:t>
      </w:r>
    </w:p>
    <w:p w14:paraId="6251F4D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1DE382D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5．承包人指定的专职安全管理人员应与发包人委托的监理公司建立联系，在业务上接受发包人委托的监理公司的协调和指导。</w:t>
      </w:r>
    </w:p>
    <w:p w14:paraId="3761504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6．开工后承包人的专职安全管理人员应按照发包人委托的监理公司的规定，定期报送安全月度快报、季报、年报和各种专项事故报告等。</w:t>
      </w:r>
    </w:p>
    <w:p w14:paraId="14DE834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7．在工程实体未全部正式移交发包人施工管理部门之前，承包人依旧对施工范围内的安全管理负责。</w:t>
      </w:r>
    </w:p>
    <w:p w14:paraId="700AE53D">
      <w:pPr>
        <w:spacing w:line="360" w:lineRule="auto"/>
        <w:rPr>
          <w:rFonts w:ascii="宋体" w:hAnsi="宋体" w:eastAsia="宋体" w:cs="Times New Roman"/>
          <w:sz w:val="21"/>
          <w:szCs w:val="21"/>
        </w:rPr>
      </w:pPr>
      <w:bookmarkStart w:id="1749" w:name="_Toc532375704"/>
      <w:bookmarkEnd w:id="1749"/>
      <w:bookmarkStart w:id="1750" w:name="_Toc247418268"/>
      <w:bookmarkEnd w:id="1750"/>
      <w:bookmarkStart w:id="1751" w:name="_Toc247431428"/>
      <w:bookmarkEnd w:id="1751"/>
      <w:bookmarkStart w:id="1752" w:name="_Toc239510294"/>
      <w:r>
        <w:rPr>
          <w:rFonts w:hint="eastAsia" w:ascii="宋体" w:hAnsi="宋体" w:eastAsia="宋体" w:cs="Times New Roman"/>
          <w:sz w:val="21"/>
          <w:szCs w:val="21"/>
        </w:rPr>
        <w:t>五、安全资质审查</w:t>
      </w:r>
      <w:bookmarkEnd w:id="1752"/>
    </w:p>
    <w:p w14:paraId="71E9759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承包人在项目开工前5个工作天内向发包人委托的监理公司提供以下安全资质供审查和存档：</w:t>
      </w:r>
    </w:p>
    <w:p w14:paraId="0BF0791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1．企业安全生产许可证书复印件。</w:t>
      </w:r>
    </w:p>
    <w:p w14:paraId="725CFA8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2．企业近三年的施工简历及安全施工业绩证明文件。</w:t>
      </w:r>
    </w:p>
    <w:p w14:paraId="6894B20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3．企业主要安全管理人员（包括项目经理、专职安全管理人员）经建设主管部门安全生产知识考核合格证书。</w:t>
      </w:r>
    </w:p>
    <w:p w14:paraId="3506C6E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4．特种作业人员资格证书。</w:t>
      </w:r>
    </w:p>
    <w:p w14:paraId="414550E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5．项目安全管理机构及其人员配备（承包人必须配有专职的安全员）。</w:t>
      </w:r>
    </w:p>
    <w:p w14:paraId="4973A5F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6．适用于项目的安全管理体系及保证体系文件（安全管理大纲及管理程序文件）。</w:t>
      </w:r>
    </w:p>
    <w:p w14:paraId="463D7F05">
      <w:pPr>
        <w:spacing w:line="360" w:lineRule="auto"/>
        <w:rPr>
          <w:rFonts w:ascii="宋体" w:hAnsi="宋体" w:eastAsia="宋体" w:cs="Times New Roman"/>
          <w:sz w:val="21"/>
          <w:szCs w:val="21"/>
        </w:rPr>
      </w:pPr>
      <w:bookmarkStart w:id="1753" w:name="_Toc247418269"/>
      <w:bookmarkEnd w:id="1753"/>
      <w:bookmarkStart w:id="1754" w:name="_Toc239510295"/>
      <w:bookmarkEnd w:id="1754"/>
      <w:bookmarkStart w:id="1755" w:name="_Toc247431429"/>
      <w:bookmarkEnd w:id="1755"/>
      <w:bookmarkStart w:id="1756" w:name="_Toc532375705"/>
      <w:r>
        <w:rPr>
          <w:rFonts w:hint="eastAsia" w:ascii="宋体" w:hAnsi="宋体" w:eastAsia="宋体" w:cs="Times New Roman"/>
          <w:sz w:val="21"/>
          <w:szCs w:val="21"/>
        </w:rPr>
        <w:t>六、人员基本素质</w:t>
      </w:r>
      <w:bookmarkEnd w:id="1756"/>
    </w:p>
    <w:p w14:paraId="6167F2E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承包人提供的人员必须满足下列要求：</w:t>
      </w:r>
    </w:p>
    <w:p w14:paraId="27D3752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534CE73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2．无刑事案件牵连。</w:t>
      </w:r>
    </w:p>
    <w:p w14:paraId="24D9582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3．无吸毒、酗酒、赌博、嫖娼等恶习及违法行为。</w:t>
      </w:r>
    </w:p>
    <w:p w14:paraId="3A4F7426">
      <w:pPr>
        <w:spacing w:line="360" w:lineRule="auto"/>
        <w:rPr>
          <w:rFonts w:ascii="宋体" w:hAnsi="宋体" w:eastAsia="宋体" w:cs="Times New Roman"/>
          <w:sz w:val="21"/>
          <w:szCs w:val="21"/>
        </w:rPr>
      </w:pPr>
      <w:bookmarkStart w:id="1757" w:name="_Toc247418270"/>
      <w:bookmarkEnd w:id="1757"/>
      <w:bookmarkStart w:id="1758" w:name="_Toc247431430"/>
      <w:bookmarkEnd w:id="1758"/>
      <w:bookmarkStart w:id="1759" w:name="_Toc239510296"/>
      <w:bookmarkEnd w:id="1759"/>
      <w:bookmarkStart w:id="1760" w:name="_Toc532375706"/>
      <w:r>
        <w:rPr>
          <w:rFonts w:hint="eastAsia" w:ascii="宋体" w:hAnsi="宋体" w:eastAsia="宋体" w:cs="Times New Roman"/>
          <w:sz w:val="21"/>
          <w:szCs w:val="21"/>
        </w:rPr>
        <w:t>七、劳动保护</w:t>
      </w:r>
      <w:bookmarkEnd w:id="1760"/>
    </w:p>
    <w:p w14:paraId="1C4AA32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1．承包人负责为本单位任何用工形式的员工提供个人劳动保护用品（包括工作服、安全帽、安全鞋等）。</w:t>
      </w:r>
    </w:p>
    <w:p w14:paraId="0F89079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2．承包人负责向特殊工种的员工提供特殊劳动保护，否则不得从事特殊工种作业。</w:t>
      </w:r>
    </w:p>
    <w:p w14:paraId="6279853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3．发包人委托的监理公司有权检查承包人的个人劳动保护用品是否符合国家的相应标准。</w:t>
      </w:r>
    </w:p>
    <w:p w14:paraId="32D8F22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 承包人在特殊风险场所作业而需要特殊防护用品或安全仪表时，必须在上述防护用品全部到位后才能开工。</w:t>
      </w:r>
    </w:p>
    <w:p w14:paraId="0FD28B6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5．承包人应配备临时安全围栏、警示带、警告标志、防火布等集体防护用品。</w:t>
      </w:r>
    </w:p>
    <w:p w14:paraId="201813E2">
      <w:pPr>
        <w:spacing w:line="360" w:lineRule="auto"/>
        <w:rPr>
          <w:rFonts w:ascii="宋体" w:hAnsi="宋体" w:eastAsia="宋体" w:cs="Times New Roman"/>
          <w:sz w:val="21"/>
          <w:szCs w:val="21"/>
        </w:rPr>
      </w:pPr>
      <w:bookmarkStart w:id="1761" w:name="_Toc247418271"/>
      <w:bookmarkEnd w:id="1761"/>
      <w:bookmarkStart w:id="1762" w:name="_Toc247431431"/>
      <w:bookmarkEnd w:id="1762"/>
      <w:bookmarkStart w:id="1763" w:name="_Toc239510297"/>
      <w:bookmarkEnd w:id="1763"/>
      <w:bookmarkStart w:id="1764" w:name="_Toc532375707"/>
      <w:r>
        <w:rPr>
          <w:rFonts w:hint="eastAsia" w:ascii="宋体" w:hAnsi="宋体" w:eastAsia="宋体" w:cs="Times New Roman"/>
          <w:sz w:val="21"/>
          <w:szCs w:val="21"/>
        </w:rPr>
        <w:t>八、施工机具与材料</w:t>
      </w:r>
      <w:bookmarkEnd w:id="1764"/>
    </w:p>
    <w:p w14:paraId="6BC4DA4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1．承包人对带入现场的施工机械和工器具的安全负责。</w:t>
      </w:r>
    </w:p>
    <w:p w14:paraId="1E2ACCC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2．对于承包人带入现场的特殊工器具，如起重设备、索具、机动车辆、压缩气瓶等，承包人必须按国家法规和标准进行检测、试验，并持有法定部门出具的检验证书。</w:t>
      </w:r>
    </w:p>
    <w:p w14:paraId="5B428E0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3．对于不属于法定检测的工器具，承包人也必须建立相应的管理、检测制度，这些工器具包括登高工具、脚手架材料、电动工具、安全防护设备及用具等。</w:t>
      </w:r>
    </w:p>
    <w:p w14:paraId="623FBC99">
      <w:pPr>
        <w:spacing w:line="360" w:lineRule="auto"/>
        <w:rPr>
          <w:rFonts w:ascii="宋体" w:hAnsi="宋体" w:eastAsia="宋体" w:cs="Times New Roman"/>
          <w:sz w:val="21"/>
          <w:szCs w:val="21"/>
        </w:rPr>
      </w:pPr>
      <w:bookmarkStart w:id="1765" w:name="_Toc532375708"/>
      <w:bookmarkEnd w:id="1765"/>
      <w:bookmarkStart w:id="1766" w:name="_Toc247431432"/>
      <w:bookmarkEnd w:id="1766"/>
      <w:bookmarkStart w:id="1767" w:name="_Toc247418272"/>
      <w:bookmarkEnd w:id="1767"/>
      <w:bookmarkStart w:id="1768" w:name="_Toc239510298"/>
      <w:r>
        <w:rPr>
          <w:rFonts w:hint="eastAsia" w:ascii="宋体" w:hAnsi="宋体" w:eastAsia="宋体" w:cs="Times New Roman"/>
          <w:sz w:val="21"/>
          <w:szCs w:val="21"/>
        </w:rPr>
        <w:t>九、开工前安全条件检查</w:t>
      </w:r>
      <w:bookmarkEnd w:id="1768"/>
    </w:p>
    <w:p w14:paraId="1FAF443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2255F12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3D723E4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3．发包人委托的监理公司检查发现的缺陷，承包人应在规定期限内完成整改。对于重大缺陷，发包人委托的监理公司有权要求承包人推迟开工，由此对工期产生的影响或经济损失，由承包人承担。</w:t>
      </w:r>
    </w:p>
    <w:p w14:paraId="52996F4C">
      <w:pPr>
        <w:spacing w:line="360" w:lineRule="auto"/>
        <w:rPr>
          <w:rFonts w:ascii="宋体" w:hAnsi="宋体" w:eastAsia="宋体" w:cs="Times New Roman"/>
          <w:sz w:val="21"/>
          <w:szCs w:val="21"/>
        </w:rPr>
      </w:pPr>
      <w:bookmarkStart w:id="1769" w:name="_Toc239510299"/>
      <w:bookmarkEnd w:id="1769"/>
      <w:bookmarkStart w:id="1770" w:name="_Toc247431433"/>
      <w:bookmarkEnd w:id="1770"/>
      <w:bookmarkStart w:id="1771" w:name="_Toc247418273"/>
      <w:bookmarkEnd w:id="1771"/>
      <w:bookmarkStart w:id="1772" w:name="_Toc532375709"/>
      <w:r>
        <w:rPr>
          <w:rFonts w:hint="eastAsia" w:ascii="宋体" w:hAnsi="宋体" w:eastAsia="宋体" w:cs="Times New Roman"/>
          <w:sz w:val="21"/>
          <w:szCs w:val="21"/>
        </w:rPr>
        <w:t>十、安全监督</w:t>
      </w:r>
      <w:bookmarkEnd w:id="1772"/>
    </w:p>
    <w:p w14:paraId="2135F44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1．承包人应配备有满足项目安全管理需要的专职安全管理人员。</w:t>
      </w:r>
    </w:p>
    <w:p w14:paraId="06A6AD1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2．承包人的专职安全管理人员必须持建设主管部门颁发的安全生产知识考核合格证书。</w:t>
      </w:r>
    </w:p>
    <w:p w14:paraId="6F812F6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3．承包人的专职安全管理人员在业务上接受发包人委托的监理公司和发包人安全管理部门的协调和指导。</w:t>
      </w:r>
    </w:p>
    <w:p w14:paraId="21B23B2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4．承包人应建立班前安全交底制度；施工期间坚持开展安全检查和日常安全监督并形成相应的记录。</w:t>
      </w:r>
    </w:p>
    <w:p w14:paraId="422ABDB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5．承包人应在每个作业区任命兼职安全员，赋予兼职安全员相应的授权和义务，并对兼职安全员进行定期考核。</w:t>
      </w:r>
    </w:p>
    <w:p w14:paraId="0231DE2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6．承包人应接受和配合发包人专业部门及委托的监理公司的监督与安全评价。</w:t>
      </w:r>
    </w:p>
    <w:p w14:paraId="53D4306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7．发包人和委托的监理公司有权对承包人履行安全管理协议的情况进行监督，并有权对违章行为实行停工和处罚，处罚情况将通知承包人。涉及经济处罚时将直接通知合同管理部门从合同结算中扣除。</w:t>
      </w:r>
    </w:p>
    <w:p w14:paraId="7BF2B1CF">
      <w:pPr>
        <w:spacing w:line="360" w:lineRule="auto"/>
        <w:rPr>
          <w:rFonts w:ascii="宋体" w:hAnsi="宋体" w:eastAsia="宋体" w:cs="Times New Roman"/>
          <w:sz w:val="21"/>
          <w:szCs w:val="21"/>
        </w:rPr>
      </w:pPr>
      <w:bookmarkStart w:id="1773" w:name="_Toc532375710"/>
      <w:bookmarkEnd w:id="1773"/>
      <w:bookmarkStart w:id="1774" w:name="_Toc247431434"/>
      <w:bookmarkEnd w:id="1774"/>
      <w:bookmarkStart w:id="1775" w:name="_Toc247418274"/>
      <w:bookmarkEnd w:id="1775"/>
      <w:bookmarkStart w:id="1776" w:name="_Toc239510300"/>
      <w:r>
        <w:rPr>
          <w:rFonts w:hint="eastAsia" w:ascii="宋体" w:hAnsi="宋体" w:eastAsia="宋体" w:cs="Times New Roman"/>
          <w:sz w:val="21"/>
          <w:szCs w:val="21"/>
        </w:rPr>
        <w:t>十一、安全培训与授权</w:t>
      </w:r>
      <w:bookmarkEnd w:id="1776"/>
    </w:p>
    <w:p w14:paraId="65FDC64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1．承包人所有特殊工种人员必须持证上岗，发包人和发包人委托的监理公司有权对其进行抽查。承包人要建立特殊工种定期培训和检查计划，这些工种包括但不限于：机动车驾驶员、焊工、起重工、电工等。</w:t>
      </w:r>
    </w:p>
    <w:p w14:paraId="18CBC2D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2．承包人应在特殊工种之外的其他工种中，筛选出高风险工种，并对其开展针对性的专题安全培训。</w:t>
      </w:r>
    </w:p>
    <w:p w14:paraId="70526EC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3．承包人应组织 “入场培训”和考核。发包人委托的监理公司有权监督培训、考核情况或组织抽查考核。</w:t>
      </w:r>
    </w:p>
    <w:p w14:paraId="34800B2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4．承包人应建立安全培训和考核机制，编制培训教材和培训滚动计划。承包人应组织安全考试/考核，建立培训考核记录，发包人委托的监理公司有权查看这些记录。</w:t>
      </w:r>
    </w:p>
    <w:p w14:paraId="31CCEF2E">
      <w:pPr>
        <w:spacing w:line="360" w:lineRule="auto"/>
        <w:rPr>
          <w:rFonts w:ascii="宋体" w:hAnsi="宋体" w:eastAsia="宋体" w:cs="Times New Roman"/>
          <w:sz w:val="21"/>
          <w:szCs w:val="21"/>
        </w:rPr>
      </w:pPr>
      <w:bookmarkStart w:id="1777" w:name="_Toc532375711"/>
      <w:bookmarkEnd w:id="1777"/>
      <w:bookmarkStart w:id="1778" w:name="_Toc247418275"/>
      <w:bookmarkEnd w:id="1778"/>
      <w:bookmarkStart w:id="1779" w:name="_Toc239510301"/>
      <w:bookmarkEnd w:id="1779"/>
      <w:bookmarkStart w:id="1780" w:name="_Toc247431435"/>
      <w:r>
        <w:rPr>
          <w:rFonts w:hint="eastAsia" w:ascii="宋体" w:hAnsi="宋体" w:eastAsia="宋体" w:cs="Times New Roman"/>
          <w:sz w:val="21"/>
          <w:szCs w:val="21"/>
        </w:rPr>
        <w:t>十二、职业健康与卫生防疫</w:t>
      </w:r>
      <w:bookmarkEnd w:id="1780"/>
    </w:p>
    <w:p w14:paraId="0F507E2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1．承包人应有特殊健康检查制度，预防有禁忌症患者从事有关职业，如恐高症患者不得从事高空作业，患有心血管疾病的人员不得从事繁重的体力劳动，特殊工种人员的体检应符合国家的规定。</w:t>
      </w:r>
    </w:p>
    <w:p w14:paraId="0DCC6EC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2．承包人应保证卫生防疫基本设施的投入，以满足医疗、急救的要求，建立外部医疗支持渠道。</w:t>
      </w:r>
    </w:p>
    <w:p w14:paraId="0A153DE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0E313033">
      <w:pPr>
        <w:spacing w:line="360" w:lineRule="auto"/>
        <w:rPr>
          <w:rFonts w:ascii="宋体" w:hAnsi="宋体" w:eastAsia="宋体" w:cs="Times New Roman"/>
          <w:sz w:val="21"/>
          <w:szCs w:val="21"/>
        </w:rPr>
      </w:pPr>
      <w:bookmarkStart w:id="1781" w:name="_Toc532375712"/>
      <w:bookmarkEnd w:id="1781"/>
      <w:bookmarkStart w:id="1782" w:name="_Toc239510302"/>
      <w:bookmarkEnd w:id="1782"/>
      <w:bookmarkStart w:id="1783" w:name="_Toc247418276"/>
      <w:bookmarkEnd w:id="1783"/>
      <w:bookmarkStart w:id="1784" w:name="_Toc247431436"/>
      <w:r>
        <w:rPr>
          <w:rFonts w:hint="eastAsia" w:ascii="宋体" w:hAnsi="宋体" w:eastAsia="宋体" w:cs="Times New Roman"/>
          <w:sz w:val="21"/>
          <w:szCs w:val="21"/>
        </w:rPr>
        <w:t>十三、文明施工与环保要求</w:t>
      </w:r>
      <w:bookmarkEnd w:id="1784"/>
    </w:p>
    <w:p w14:paraId="569E769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1．承包人需制订施工现场的文明施工措施，保持良好的施工现场秩序。施工现场的物料堆放要摆放整齐，安全标志和宣传标志要清楚醒目，废料、废物要分类收集，安全通道要畅通。</w:t>
      </w:r>
    </w:p>
    <w:p w14:paraId="594EEEE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2．承包人作业时应避免建筑材料抛洒、飞扬、流淌；应尽可能降低噪音、震动。</w:t>
      </w:r>
    </w:p>
    <w:p w14:paraId="10C6FA6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3．承包人应根据实际需要，在施工现场布置临时卫生设施（洗手间、卫生间等），施工作业不破坏环境卫生，不污染现场环境。</w:t>
      </w:r>
    </w:p>
    <w:p w14:paraId="08DDBFF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4．承包人在施工中应充分重视对环境的保护，保护绿色植被，保护古树。施工如需伤害古树，必须报告发包人委托的监理公司，在未得到指令前，禁止擅自伤害古树。</w:t>
      </w:r>
    </w:p>
    <w:p w14:paraId="26A4FA3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708CFE9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6．承包人在施工中应禁止向环境，排放工业污水、生活污水、废油或其他有害物质。</w:t>
      </w:r>
    </w:p>
    <w:p w14:paraId="587E9C4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60E7DAEC">
      <w:pPr>
        <w:spacing w:line="360" w:lineRule="auto"/>
        <w:rPr>
          <w:rFonts w:ascii="宋体" w:hAnsi="宋体" w:eastAsia="宋体" w:cs="Times New Roman"/>
          <w:sz w:val="21"/>
          <w:szCs w:val="21"/>
        </w:rPr>
      </w:pPr>
      <w:bookmarkStart w:id="1785" w:name="_Toc532375713"/>
      <w:bookmarkEnd w:id="1785"/>
      <w:bookmarkStart w:id="1786" w:name="_Toc247431437"/>
      <w:bookmarkEnd w:id="1786"/>
      <w:bookmarkStart w:id="1787" w:name="_Toc239510303"/>
      <w:bookmarkEnd w:id="1787"/>
      <w:bookmarkStart w:id="1788" w:name="_Toc247418277"/>
      <w:r>
        <w:rPr>
          <w:rFonts w:hint="eastAsia" w:ascii="宋体" w:hAnsi="宋体" w:eastAsia="宋体" w:cs="Times New Roman"/>
          <w:sz w:val="21"/>
          <w:szCs w:val="21"/>
        </w:rPr>
        <w:t>十四、工程风险管理与事故预防</w:t>
      </w:r>
      <w:bookmarkEnd w:id="1788"/>
    </w:p>
    <w:p w14:paraId="6970C593">
      <w:pPr>
        <w:spacing w:line="360" w:lineRule="auto"/>
        <w:jc w:val="left"/>
        <w:rPr>
          <w:rFonts w:ascii="宋体" w:hAnsi="宋体" w:eastAsia="宋体" w:cs="Times New Roman"/>
          <w:sz w:val="21"/>
          <w:szCs w:val="21"/>
        </w:rPr>
      </w:pPr>
      <w:bookmarkStart w:id="1789" w:name="_Toc239510304"/>
      <w:bookmarkEnd w:id="1789"/>
      <w:bookmarkStart w:id="1790" w:name="_Toc247431438"/>
      <w:bookmarkEnd w:id="1790"/>
      <w:bookmarkStart w:id="1791" w:name="_Toc247418278"/>
      <w:r>
        <w:rPr>
          <w:rFonts w:hint="eastAsia" w:ascii="宋体" w:hAnsi="宋体" w:eastAsia="宋体" w:cs="Times New Roman"/>
          <w:sz w:val="21"/>
          <w:szCs w:val="21"/>
        </w:rPr>
        <w:t>（一）基本要求</w:t>
      </w:r>
      <w:bookmarkEnd w:id="1791"/>
    </w:p>
    <w:p w14:paraId="745DF113">
      <w:pPr>
        <w:spacing w:line="360" w:lineRule="auto"/>
        <w:jc w:val="left"/>
        <w:rPr>
          <w:rFonts w:ascii="宋体" w:hAnsi="宋体" w:eastAsia="宋体" w:cs="Times New Roman"/>
          <w:sz w:val="21"/>
          <w:szCs w:val="21"/>
        </w:rPr>
      </w:pPr>
      <w:bookmarkStart w:id="1792" w:name="_Toc532375714"/>
      <w:bookmarkEnd w:id="1792"/>
      <w:r>
        <w:rPr>
          <w:rFonts w:hint="eastAsia" w:ascii="宋体" w:hAnsi="宋体" w:eastAsia="宋体" w:cs="Times New Roman"/>
          <w:sz w:val="21"/>
          <w:szCs w:val="21"/>
        </w:rPr>
        <w:t>1．承包人应对施工过程进行全面、深入的危险源识别和风险分析。在施工安全组织设计中提供危险源及重要危险源清单、作业风险分析报告，该报告应包括（但不限于）如下信息：</w:t>
      </w:r>
    </w:p>
    <w:p w14:paraId="29CB40E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（1）高风险作业和工种清单：作业名称、类别和数量、主要事故风险。</w:t>
      </w:r>
    </w:p>
    <w:p w14:paraId="5C1D563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（2）施工能源和机械的种类、数量和主要事故风险。</w:t>
      </w:r>
    </w:p>
    <w:p w14:paraId="1E9BB54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（3）施工作业条件的类型和主要事故风险。</w:t>
      </w:r>
    </w:p>
    <w:p w14:paraId="538A1C4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（4）主要工艺过程（或施工活动）的类别及其相关的事故风险。</w:t>
      </w:r>
    </w:p>
    <w:p w14:paraId="00C9B1E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（5）主要火灾危险（可燃物、点火源）。</w:t>
      </w:r>
    </w:p>
    <w:p w14:paraId="375068A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（6）主要自然灾害（洪水、大风、雷暴、暴雨、地质灾害等）。</w:t>
      </w:r>
    </w:p>
    <w:p w14:paraId="64A0461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（7）主要环境保护事件（有害垃圾、机械的跑冒滴漏、原材料流失、水土流失等）。</w:t>
      </w:r>
    </w:p>
    <w:p w14:paraId="5580FFD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（8）其他。</w:t>
      </w:r>
    </w:p>
    <w:p w14:paraId="6843076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2．承包人应针对识别出的危险源制定有针对性的事故预防措施并确保在施工中得到有效落实。</w:t>
      </w:r>
    </w:p>
    <w:p w14:paraId="4478F6C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3．承包人应建立日常施工活动的动态作业风险分析和安全交底制度。该制度应明确规定风险分析的方法、责任和交底的内容、时间及记录。</w:t>
      </w:r>
    </w:p>
    <w:p w14:paraId="53586D74">
      <w:pPr>
        <w:spacing w:line="360" w:lineRule="auto"/>
        <w:jc w:val="left"/>
        <w:rPr>
          <w:rFonts w:ascii="宋体" w:hAnsi="宋体" w:eastAsia="宋体" w:cs="Times New Roman"/>
          <w:sz w:val="21"/>
          <w:szCs w:val="21"/>
        </w:rPr>
      </w:pPr>
      <w:bookmarkStart w:id="1793" w:name="_Toc247418279"/>
      <w:bookmarkEnd w:id="1793"/>
      <w:bookmarkStart w:id="1794" w:name="_Toc239510305"/>
      <w:bookmarkEnd w:id="1794"/>
      <w:bookmarkStart w:id="1795" w:name="_Toc247431439"/>
      <w:r>
        <w:rPr>
          <w:rFonts w:hint="eastAsia" w:ascii="宋体" w:hAnsi="宋体" w:eastAsia="宋体" w:cs="Times New Roman"/>
          <w:sz w:val="21"/>
          <w:szCs w:val="21"/>
        </w:rPr>
        <w:t>（二）现场作业基本安全条件</w:t>
      </w:r>
      <w:bookmarkEnd w:id="1795"/>
    </w:p>
    <w:p w14:paraId="269490C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76400F1C">
      <w:pPr>
        <w:spacing w:line="360" w:lineRule="auto"/>
        <w:rPr>
          <w:rFonts w:ascii="宋体" w:hAnsi="宋体" w:eastAsia="宋体" w:cs="Times New Roman"/>
          <w:sz w:val="21"/>
          <w:szCs w:val="21"/>
        </w:rPr>
      </w:pPr>
      <w:bookmarkStart w:id="1796" w:name="_Toc247431440"/>
      <w:bookmarkEnd w:id="1796"/>
      <w:bookmarkStart w:id="1797" w:name="_Toc239510306"/>
      <w:bookmarkEnd w:id="1797"/>
      <w:bookmarkStart w:id="1798" w:name="_Toc532375715"/>
      <w:bookmarkEnd w:id="1798"/>
      <w:bookmarkStart w:id="1799" w:name="_Toc247418280"/>
      <w:r>
        <w:rPr>
          <w:rFonts w:hint="eastAsia" w:ascii="宋体" w:hAnsi="宋体" w:eastAsia="宋体" w:cs="Times New Roman"/>
          <w:sz w:val="21"/>
          <w:szCs w:val="21"/>
        </w:rPr>
        <w:t>十五、事故报告与应急救援</w:t>
      </w:r>
      <w:bookmarkEnd w:id="1799"/>
    </w:p>
    <w:p w14:paraId="3CC7239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1．承包人应制定对于未遂事故及以上级别的安全事件和事故，定期报送安全月度快报、季报、年报和各种专项事故报告等。</w:t>
      </w:r>
    </w:p>
    <w:p w14:paraId="75B85BD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2．承包人应建立安全事故统计记录、未遂事故统计记录、违章统计记录，并根据统计情况进行分析，并就分析结果制定相应的预防措施。</w:t>
      </w:r>
    </w:p>
    <w:p w14:paraId="7663B6F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3．承包人应建立事故应急救援机制，明确事故处置的基本原则，即现场发生事故时，首先抢救生命，向救援组织报警，并采取措施限制事故扩大。</w:t>
      </w:r>
    </w:p>
    <w:p w14:paraId="2C13A38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4．承包人应建立相应的应急响应组织，以便能迅速处理突发意外。</w:t>
      </w:r>
    </w:p>
    <w:p w14:paraId="77DF971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5．承包人应建立专项应急响应预案，包括重大人身伤亡事故的救护预案、火灾响应预案、“四防”预案（防风、防冻、防雷、防暴雨）、重大疫病防护预案、环境污染防护预案、地质灾害防护预案等。</w:t>
      </w:r>
    </w:p>
    <w:p w14:paraId="040A4BA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6．承包人应对应急预案进行适当演练，保证应急预案的可操作性。</w:t>
      </w:r>
    </w:p>
    <w:p w14:paraId="7280314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7．在工地的其他施工单位发生重大事故时，承包人应无条件立即配合、支持事故抢险。</w:t>
      </w:r>
    </w:p>
    <w:p w14:paraId="53FA876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8．承包人必须为事故处置支付各项费用，包括受伤者的抚恤、补偿等费用，并按合同要求赔偿对发包人造成的损失。</w:t>
      </w:r>
    </w:p>
    <w:p w14:paraId="6ABA0E9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9．由于发包人原因而造成的事故，发包人应负责按事故的具体损失情况给予承包人经济赔偿。</w:t>
      </w:r>
    </w:p>
    <w:p w14:paraId="5E0260C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10．涉及承包人员工的伤害事故，承包人除要报告发包人委托的监理公司外，还应负责按照国家、行业和本单位上级公司的要求，上报事故。</w:t>
      </w:r>
    </w:p>
    <w:p w14:paraId="6988599C">
      <w:pPr>
        <w:spacing w:line="360" w:lineRule="auto"/>
        <w:rPr>
          <w:rFonts w:ascii="宋体" w:hAnsi="宋体" w:eastAsia="宋体" w:cs="Times New Roman"/>
          <w:sz w:val="21"/>
          <w:szCs w:val="21"/>
        </w:rPr>
      </w:pPr>
      <w:bookmarkStart w:id="1800" w:name="_Toc239510307"/>
      <w:bookmarkEnd w:id="1800"/>
      <w:bookmarkStart w:id="1801" w:name="_Toc247418281"/>
      <w:bookmarkEnd w:id="1801"/>
      <w:bookmarkStart w:id="1802" w:name="_Toc247431441"/>
      <w:bookmarkEnd w:id="1802"/>
      <w:bookmarkStart w:id="1803" w:name="_Toc532375716"/>
      <w:r>
        <w:rPr>
          <w:rFonts w:hint="eastAsia" w:ascii="宋体" w:hAnsi="宋体" w:eastAsia="宋体" w:cs="Times New Roman"/>
          <w:sz w:val="21"/>
          <w:szCs w:val="21"/>
        </w:rPr>
        <w:t>十六、安全业绩考核</w:t>
      </w:r>
      <w:bookmarkEnd w:id="1803"/>
    </w:p>
    <w:p w14:paraId="5FD4554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为了落实安全管理的责任，承包人在施工过程中发生安全事故时，承包人除应按国家有关规定承担责任和处罚外，发包人还将按照以下标准进行考核：</w:t>
      </w:r>
    </w:p>
    <w:tbl>
      <w:tblPr>
        <w:tblStyle w:val="65"/>
        <w:tblW w:w="7005" w:type="dxa"/>
        <w:jc w:val="center"/>
        <w:tblLayout w:type="fixed"/>
        <w:tblCellMar>
          <w:top w:w="0" w:type="dxa"/>
          <w:left w:w="0" w:type="dxa"/>
          <w:bottom w:w="0" w:type="dxa"/>
          <w:right w:w="0" w:type="dxa"/>
        </w:tblCellMar>
      </w:tblPr>
      <w:tblGrid>
        <w:gridCol w:w="3240"/>
        <w:gridCol w:w="3765"/>
      </w:tblGrid>
      <w:tr w14:paraId="5622E602">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D91FA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175327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违约金额</w:t>
            </w:r>
          </w:p>
        </w:tc>
      </w:tr>
      <w:tr w14:paraId="73FB6FB9">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628B7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较大事故</w:t>
            </w:r>
          </w:p>
        </w:tc>
        <w:tc>
          <w:tcPr>
            <w:tcW w:w="3765" w:type="dxa"/>
            <w:tcBorders>
              <w:top w:val="single" w:color="auto" w:sz="8" w:space="0"/>
              <w:left w:val="nil"/>
              <w:bottom w:val="single" w:color="auto" w:sz="8" w:space="0"/>
              <w:right w:val="single" w:color="auto" w:sz="8" w:space="0"/>
            </w:tcBorders>
            <w:vAlign w:val="center"/>
          </w:tcPr>
          <w:p w14:paraId="53E02B4D">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签约合同价</w:t>
            </w:r>
            <w:r>
              <w:rPr>
                <w:rFonts w:hint="eastAsia" w:ascii="宋体" w:hAnsi="宋体" w:eastAsia="宋体" w:cs="Times New Roman"/>
                <w:sz w:val="21"/>
                <w:szCs w:val="21"/>
              </w:rPr>
              <w:t>的0.5‰</w:t>
            </w:r>
          </w:p>
        </w:tc>
      </w:tr>
      <w:tr w14:paraId="29CE481F">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C6082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重大事故</w:t>
            </w:r>
          </w:p>
        </w:tc>
        <w:tc>
          <w:tcPr>
            <w:tcW w:w="3765" w:type="dxa"/>
            <w:tcBorders>
              <w:top w:val="single" w:color="auto" w:sz="8" w:space="0"/>
              <w:left w:val="nil"/>
              <w:bottom w:val="single" w:color="auto" w:sz="8" w:space="0"/>
              <w:right w:val="single" w:color="auto" w:sz="8" w:space="0"/>
            </w:tcBorders>
            <w:vAlign w:val="center"/>
          </w:tcPr>
          <w:p w14:paraId="03EA1CA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签约合同价的2‰</w:t>
            </w:r>
          </w:p>
        </w:tc>
      </w:tr>
      <w:tr w14:paraId="4D3202F5">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99E081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特别重大事故</w:t>
            </w:r>
          </w:p>
        </w:tc>
        <w:tc>
          <w:tcPr>
            <w:tcW w:w="3765" w:type="dxa"/>
            <w:tcBorders>
              <w:top w:val="single" w:color="auto" w:sz="8" w:space="0"/>
              <w:left w:val="nil"/>
              <w:bottom w:val="single" w:color="auto" w:sz="8" w:space="0"/>
              <w:right w:val="single" w:color="auto" w:sz="8" w:space="0"/>
            </w:tcBorders>
            <w:vAlign w:val="center"/>
          </w:tcPr>
          <w:p w14:paraId="1654417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签约合同价的4‰</w:t>
            </w:r>
          </w:p>
        </w:tc>
      </w:tr>
    </w:tbl>
    <w:p w14:paraId="70CBCF5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（1）较大事故，是指造成3人以上10人以下死亡，或者10人以上50人以下重伤，或者1000万元以上5000万元以下直接经济损失的事故；</w:t>
      </w:r>
    </w:p>
    <w:p w14:paraId="6BA756D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（2）重大事故，是指造成10人以上30人以下死亡，或者50人以上100人以下重伤，或者5000万元以上1亿元以下直接经济损失的事故；</w:t>
      </w:r>
    </w:p>
    <w:p w14:paraId="733446A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（3）特别重大事故，是指造成30人以上死亡，或者100人以上重伤（包括急性工业中毒，下同），或者1亿元以上直接经济损失的事故；</w:t>
      </w:r>
    </w:p>
    <w:p w14:paraId="2A23F2F3">
      <w:pPr>
        <w:spacing w:line="273" w:lineRule="auto"/>
        <w:jc w:val="left"/>
        <w:rPr>
          <w:rFonts w:ascii="宋体" w:hAnsi="宋体" w:eastAsia="宋体" w:cs="Times New Roman"/>
          <w:sz w:val="21"/>
          <w:szCs w:val="21"/>
        </w:rPr>
      </w:pPr>
      <w:r>
        <w:rPr>
          <w:rFonts w:hint="eastAsia" w:ascii="宋体" w:hAnsi="宋体" w:eastAsia="宋体" w:cs="Times New Roman"/>
          <w:sz w:val="21"/>
          <w:szCs w:val="21"/>
        </w:rPr>
        <w:t>（4）所称的“以上”包括本数，所称的“以下”不包括本数。</w:t>
      </w:r>
    </w:p>
    <w:p w14:paraId="17CBF832">
      <w:pPr>
        <w:spacing w:line="273" w:lineRule="auto"/>
        <w:jc w:val="left"/>
        <w:rPr>
          <w:rFonts w:ascii="宋体" w:hAnsi="宋体" w:eastAsia="宋体" w:cs="Times New Roman"/>
          <w:sz w:val="21"/>
          <w:szCs w:val="21"/>
        </w:rPr>
      </w:pPr>
      <w:r>
        <w:rPr>
          <w:rFonts w:hint="eastAsia" w:ascii="宋体" w:hAnsi="宋体" w:eastAsia="宋体" w:cs="Times New Roman"/>
          <w:sz w:val="21"/>
          <w:szCs w:val="21"/>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2137D8C5">
      <w:pPr>
        <w:spacing w:line="273" w:lineRule="auto"/>
        <w:rPr>
          <w:rFonts w:ascii="宋体" w:hAnsi="宋体" w:eastAsia="宋体" w:cs="Times New Roman"/>
          <w:sz w:val="21"/>
          <w:szCs w:val="21"/>
        </w:rPr>
      </w:pPr>
      <w:bookmarkStart w:id="1804" w:name="_Toc247418282"/>
      <w:bookmarkEnd w:id="1804"/>
      <w:bookmarkStart w:id="1805" w:name="_Toc532375717"/>
      <w:bookmarkEnd w:id="1805"/>
      <w:bookmarkStart w:id="1806" w:name="_Toc239510308"/>
      <w:bookmarkEnd w:id="1806"/>
      <w:bookmarkStart w:id="1807" w:name="_Toc247431442"/>
      <w:r>
        <w:rPr>
          <w:rFonts w:hint="eastAsia" w:ascii="宋体" w:hAnsi="宋体" w:eastAsia="宋体" w:cs="Times New Roman"/>
          <w:sz w:val="21"/>
          <w:szCs w:val="21"/>
        </w:rPr>
        <w:t>十七、协议条款的修订</w:t>
      </w:r>
      <w:bookmarkEnd w:id="1807"/>
    </w:p>
    <w:p w14:paraId="4E6D448A">
      <w:pPr>
        <w:spacing w:line="273" w:lineRule="auto"/>
        <w:jc w:val="left"/>
        <w:rPr>
          <w:rFonts w:ascii="宋体" w:hAnsi="宋体" w:eastAsia="宋体" w:cs="Times New Roman"/>
          <w:sz w:val="21"/>
          <w:szCs w:val="21"/>
        </w:rPr>
      </w:pPr>
      <w:r>
        <w:rPr>
          <w:rFonts w:hint="eastAsia" w:ascii="宋体" w:hAnsi="宋体" w:eastAsia="宋体" w:cs="Times New Roman"/>
          <w:sz w:val="21"/>
          <w:szCs w:val="21"/>
        </w:rPr>
        <w:t>在项目实施过程中，经双方友好协商，本协议的有关条款也可做出相应的修改。</w:t>
      </w:r>
    </w:p>
    <w:p w14:paraId="2A7E220A">
      <w:pPr>
        <w:spacing w:line="273" w:lineRule="auto"/>
        <w:jc w:val="left"/>
        <w:rPr>
          <w:rFonts w:ascii="宋体" w:hAnsi="宋体" w:eastAsia="宋体" w:cs="Times New Roman"/>
          <w:sz w:val="21"/>
          <w:szCs w:val="21"/>
        </w:rPr>
      </w:pPr>
      <w:r>
        <w:rPr>
          <w:rFonts w:hint="eastAsia" w:ascii="宋体" w:hAnsi="宋体" w:eastAsia="宋体" w:cs="Times New Roman"/>
          <w:sz w:val="21"/>
          <w:szCs w:val="21"/>
        </w:rPr>
        <w:t>本工程安全管理协议，由发包人、承包人双方在施工承包合同签订后7天内共同签署，作为施工合同附件。</w:t>
      </w:r>
    </w:p>
    <w:p w14:paraId="1616CC0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  包  人（单位公章）：</w:t>
      </w:r>
      <w:r>
        <w:rPr>
          <w:rFonts w:hint="eastAsia" w:ascii="宋体" w:hAnsi="宋体" w:eastAsia="宋体" w:cs="Times New Roman"/>
          <w:sz w:val="21"/>
          <w:szCs w:val="21"/>
          <w:u w:val="single"/>
        </w:rPr>
        <w:t xml:space="preserve">                   </w:t>
      </w:r>
    </w:p>
    <w:p w14:paraId="303C9B6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法定代表人（签名）：</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w:t>
      </w:r>
    </w:p>
    <w:p w14:paraId="2F089B2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或其委托代理人（签名）：</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w:t>
      </w:r>
    </w:p>
    <w:p w14:paraId="35911EF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 xml:space="preserve"> </w:t>
      </w:r>
    </w:p>
    <w:p w14:paraId="14C32652">
      <w:pPr>
        <w:spacing w:line="360" w:lineRule="auto"/>
        <w:jc w:val="left"/>
        <w:rPr>
          <w:rFonts w:ascii="宋体" w:hAnsi="宋体" w:eastAsia="宋体" w:cs="Times New Roman"/>
          <w:kern w:val="0"/>
          <w:sz w:val="21"/>
          <w:szCs w:val="21"/>
        </w:rPr>
      </w:pPr>
      <w:r>
        <w:rPr>
          <w:rFonts w:hint="eastAsia" w:ascii="宋体" w:hAnsi="宋体" w:eastAsia="宋体" w:cs="Times New Roman"/>
          <w:sz w:val="21"/>
          <w:szCs w:val="21"/>
        </w:rPr>
        <w:t>承  包  人（单位公章）：</w:t>
      </w:r>
      <w:r>
        <w:rPr>
          <w:rFonts w:hint="eastAsia" w:ascii="宋体" w:hAnsi="宋体" w:eastAsia="宋体" w:cs="Times New Roman"/>
          <w:sz w:val="21"/>
          <w:szCs w:val="21"/>
          <w:u w:val="single"/>
        </w:rPr>
        <w:t xml:space="preserve">                   </w:t>
      </w:r>
    </w:p>
    <w:p w14:paraId="1848BB8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法定代表人（签名）：</w:t>
      </w:r>
      <w:r>
        <w:rPr>
          <w:rFonts w:hint="eastAsia" w:ascii="宋体" w:hAnsi="宋体" w:eastAsia="宋体" w:cs="Times New Roman"/>
          <w:sz w:val="21"/>
          <w:szCs w:val="21"/>
          <w:u w:val="single"/>
        </w:rPr>
        <w:t xml:space="preserve">                       </w:t>
      </w:r>
    </w:p>
    <w:p w14:paraId="1F9924CF">
      <w:pPr>
        <w:spacing w:line="360" w:lineRule="auto"/>
        <w:jc w:val="left"/>
        <w:rPr>
          <w:rFonts w:ascii="宋体" w:hAnsi="宋体" w:eastAsia="宋体" w:cs="Times New Roman"/>
          <w:kern w:val="0"/>
          <w:sz w:val="21"/>
          <w:szCs w:val="21"/>
        </w:rPr>
      </w:pPr>
      <w:r>
        <w:rPr>
          <w:rFonts w:hint="eastAsia" w:ascii="宋体" w:hAnsi="宋体" w:eastAsia="宋体" w:cs="Times New Roman"/>
          <w:sz w:val="21"/>
          <w:szCs w:val="21"/>
        </w:rPr>
        <w:t>或其委托代理人（签名）：</w:t>
      </w:r>
      <w:r>
        <w:rPr>
          <w:rFonts w:hint="eastAsia" w:ascii="宋体" w:hAnsi="宋体" w:eastAsia="宋体" w:cs="Times New Roman"/>
          <w:sz w:val="21"/>
          <w:szCs w:val="21"/>
          <w:u w:val="single"/>
        </w:rPr>
        <w:t xml:space="preserve">                   </w:t>
      </w:r>
    </w:p>
    <w:p w14:paraId="75CA5B8D">
      <w:pPr>
        <w:snapToGrid w:val="0"/>
        <w:spacing w:line="360" w:lineRule="auto"/>
        <w:jc w:val="left"/>
        <w:rPr>
          <w:rFonts w:ascii="宋体" w:hAnsi="宋体" w:eastAsia="宋体" w:cs="Times New Roman"/>
          <w:kern w:val="0"/>
          <w:sz w:val="21"/>
          <w:szCs w:val="21"/>
        </w:rPr>
      </w:pPr>
      <w:r>
        <w:rPr>
          <w:rFonts w:hint="eastAsia" w:ascii="宋体" w:hAnsi="宋体" w:eastAsia="宋体" w:cs="Times New Roman"/>
          <w:sz w:val="21"/>
          <w:szCs w:val="21"/>
        </w:rPr>
        <w:br w:type="page"/>
      </w:r>
    </w:p>
    <w:p w14:paraId="4561CB70">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7CAAE132">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附</w:t>
      </w:r>
      <w:bookmarkStart w:id="1808" w:name="_Toc296891273"/>
      <w:bookmarkEnd w:id="1808"/>
      <w:bookmarkStart w:id="1809" w:name="_Toc296891061"/>
      <w:bookmarkEnd w:id="1809"/>
      <w:bookmarkStart w:id="1810" w:name="_Toc296944572"/>
      <w:bookmarkEnd w:id="1810"/>
      <w:bookmarkStart w:id="1811" w:name="_Toc296347232"/>
      <w:bookmarkEnd w:id="1811"/>
      <w:bookmarkStart w:id="1812" w:name="_Toc296503233"/>
      <w:bookmarkEnd w:id="1812"/>
      <w:bookmarkStart w:id="1813" w:name="_Toc296346734"/>
      <w:r>
        <w:rPr>
          <w:rFonts w:hint="eastAsia" w:ascii="宋体" w:hAnsi="宋体" w:eastAsia="宋体" w:cs="Times New Roman"/>
          <w:sz w:val="21"/>
          <w:szCs w:val="21"/>
        </w:rPr>
        <w:t>件10</w:t>
      </w:r>
      <w:bookmarkEnd w:id="1813"/>
    </w:p>
    <w:p w14:paraId="1E1D4825">
      <w:pPr>
        <w:spacing w:before="156" w:beforeLines="50" w:after="156" w:afterLines="50" w:line="480" w:lineRule="auto"/>
        <w:jc w:val="center"/>
        <w:rPr>
          <w:rFonts w:ascii="宋体" w:hAnsi="宋体" w:eastAsia="宋体" w:cs="Times New Roman"/>
          <w:sz w:val="21"/>
          <w:szCs w:val="21"/>
        </w:rPr>
      </w:pPr>
      <w:r>
        <w:rPr>
          <w:rFonts w:hint="eastAsia" w:ascii="宋体" w:hAnsi="宋体" w:eastAsia="宋体" w:cs="Times New Roman"/>
          <w:sz w:val="21"/>
          <w:szCs w:val="21"/>
        </w:rPr>
        <w:t>廉洁从业协议</w:t>
      </w:r>
    </w:p>
    <w:p w14:paraId="68CE082B">
      <w:pPr>
        <w:snapToGrid w:val="0"/>
        <w:spacing w:line="360" w:lineRule="auto"/>
        <w:rPr>
          <w:rFonts w:ascii="宋体" w:hAnsi="宋体" w:eastAsia="宋体" w:cs="Times New Roman"/>
          <w:b/>
          <w:sz w:val="21"/>
          <w:szCs w:val="21"/>
          <w:u w:val="single"/>
        </w:rPr>
      </w:pPr>
      <w:r>
        <w:rPr>
          <w:rFonts w:hint="eastAsia" w:ascii="宋体" w:hAnsi="宋体" w:eastAsia="宋体" w:cs="Times New Roman"/>
          <w:b/>
          <w:sz w:val="21"/>
          <w:szCs w:val="21"/>
        </w:rPr>
        <w:t>发包人（全称）：</w:t>
      </w:r>
      <w:r>
        <w:rPr>
          <w:rFonts w:hint="eastAsia" w:ascii="宋体" w:hAnsi="宋体" w:eastAsia="宋体" w:cs="Times New Roman"/>
          <w:sz w:val="21"/>
          <w:szCs w:val="21"/>
          <w:u w:val="single"/>
        </w:rPr>
        <w:t xml:space="preserve">                             </w:t>
      </w:r>
    </w:p>
    <w:p w14:paraId="127147CE">
      <w:pPr>
        <w:snapToGrid w:val="0"/>
        <w:spacing w:line="360" w:lineRule="auto"/>
        <w:rPr>
          <w:rFonts w:ascii="宋体" w:hAnsi="宋体" w:eastAsia="宋体" w:cs="Times New Roman"/>
          <w:b/>
          <w:sz w:val="21"/>
          <w:szCs w:val="21"/>
          <w:u w:val="single"/>
        </w:rPr>
      </w:pPr>
      <w:r>
        <w:rPr>
          <w:rFonts w:hint="eastAsia" w:ascii="宋体" w:hAnsi="宋体" w:eastAsia="宋体" w:cs="Times New Roman"/>
          <w:b/>
          <w:sz w:val="21"/>
          <w:szCs w:val="21"/>
        </w:rPr>
        <w:t>承包人（全称）：</w:t>
      </w:r>
      <w:r>
        <w:rPr>
          <w:rFonts w:hint="eastAsia" w:ascii="宋体" w:hAnsi="宋体" w:eastAsia="宋体" w:cs="Times New Roman"/>
          <w:sz w:val="21"/>
          <w:szCs w:val="21"/>
          <w:u w:val="single"/>
        </w:rPr>
        <w:t xml:space="preserve">                             </w:t>
      </w:r>
    </w:p>
    <w:p w14:paraId="11F8F228">
      <w:pPr>
        <w:spacing w:line="360" w:lineRule="auto"/>
        <w:rPr>
          <w:rFonts w:ascii="宋体" w:hAnsi="宋体" w:eastAsia="宋体" w:cs="Times New Roman"/>
          <w:sz w:val="21"/>
          <w:szCs w:val="21"/>
        </w:rPr>
      </w:pPr>
      <w:r>
        <w:rPr>
          <w:rFonts w:hint="eastAsia" w:ascii="宋体" w:hAnsi="宋体" w:eastAsia="宋体" w:cs="Times New Roman"/>
          <w:sz w:val="21"/>
          <w:szCs w:val="21"/>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7E6EF69D">
      <w:pPr>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1. 发包人承包人的权利和义务</w:t>
      </w:r>
    </w:p>
    <w:p w14:paraId="4B3E0EBA">
      <w:pPr>
        <w:spacing w:line="360" w:lineRule="auto"/>
        <w:rPr>
          <w:rFonts w:ascii="宋体" w:hAnsi="宋体" w:eastAsia="宋体" w:cs="Times New Roman"/>
          <w:sz w:val="21"/>
          <w:szCs w:val="21"/>
        </w:rPr>
      </w:pPr>
      <w:r>
        <w:rPr>
          <w:rFonts w:hint="eastAsia" w:ascii="宋体" w:hAnsi="宋体" w:eastAsia="宋体" w:cs="Times New Roman"/>
          <w:sz w:val="21"/>
          <w:szCs w:val="21"/>
        </w:rPr>
        <w:t>（1）严格遵守党的政策规定和国家有关法律法规及相关部门的有关规定。</w:t>
      </w:r>
    </w:p>
    <w:p w14:paraId="237D2127">
      <w:pPr>
        <w:spacing w:line="360" w:lineRule="auto"/>
        <w:rPr>
          <w:rFonts w:ascii="宋体" w:hAnsi="宋体" w:eastAsia="宋体" w:cs="Times New Roman"/>
          <w:sz w:val="21"/>
          <w:szCs w:val="21"/>
        </w:rPr>
      </w:pPr>
      <w:r>
        <w:rPr>
          <w:rFonts w:hint="eastAsia" w:ascii="宋体" w:hAnsi="宋体" w:eastAsia="宋体" w:cs="Times New Roman"/>
          <w:sz w:val="21"/>
          <w:szCs w:val="21"/>
        </w:rPr>
        <w:t>（2）严格执行 工程的合同文件，自觉按合同办事。</w:t>
      </w:r>
    </w:p>
    <w:p w14:paraId="6C410584">
      <w:pPr>
        <w:spacing w:line="360" w:lineRule="auto"/>
        <w:rPr>
          <w:rFonts w:ascii="宋体" w:hAnsi="宋体" w:eastAsia="宋体" w:cs="Times New Roman"/>
          <w:sz w:val="21"/>
          <w:szCs w:val="21"/>
        </w:rPr>
      </w:pPr>
      <w:r>
        <w:rPr>
          <w:rFonts w:hint="eastAsia" w:ascii="宋体" w:hAnsi="宋体" w:eastAsia="宋体" w:cs="Times New Roman"/>
          <w:sz w:val="21"/>
          <w:szCs w:val="21"/>
        </w:rPr>
        <w:t>（3）双方的业务活动坚持公开、公正、诚信、透明的原则（法律认定的商业秘密和合同文件另有规定除外），不得损害国家和集体利益，违反工程建设管理规章制度。</w:t>
      </w:r>
    </w:p>
    <w:p w14:paraId="6FB5C638">
      <w:pPr>
        <w:spacing w:line="360" w:lineRule="auto"/>
        <w:rPr>
          <w:rFonts w:ascii="宋体" w:hAnsi="宋体" w:eastAsia="宋体" w:cs="Times New Roman"/>
          <w:sz w:val="21"/>
          <w:szCs w:val="21"/>
        </w:rPr>
      </w:pPr>
      <w:r>
        <w:rPr>
          <w:rFonts w:hint="eastAsia" w:ascii="宋体" w:hAnsi="宋体" w:eastAsia="宋体" w:cs="Times New Roman"/>
          <w:sz w:val="21"/>
          <w:szCs w:val="21"/>
        </w:rPr>
        <w:t>（4）建立健全廉政制度，开展廉政教育，设立廉政告示牌，公布举报电话，监督并认真查处违法违纪行为。</w:t>
      </w:r>
    </w:p>
    <w:p w14:paraId="3A976480">
      <w:pPr>
        <w:spacing w:line="360" w:lineRule="auto"/>
        <w:rPr>
          <w:rFonts w:ascii="宋体" w:hAnsi="宋体" w:eastAsia="宋体" w:cs="Times New Roman"/>
          <w:sz w:val="21"/>
          <w:szCs w:val="21"/>
        </w:rPr>
      </w:pPr>
      <w:r>
        <w:rPr>
          <w:rFonts w:hint="eastAsia" w:ascii="宋体" w:hAnsi="宋体" w:eastAsia="宋体" w:cs="Times New Roman"/>
          <w:sz w:val="21"/>
          <w:szCs w:val="21"/>
        </w:rPr>
        <w:t>（5）发现对方在业务活动中有违反廉政规定的行为，有及时提醒对方纠正的权利和义务。</w:t>
      </w:r>
    </w:p>
    <w:p w14:paraId="40ABD2D2">
      <w:pPr>
        <w:spacing w:line="360" w:lineRule="auto"/>
        <w:rPr>
          <w:rFonts w:ascii="宋体" w:hAnsi="宋体" w:eastAsia="宋体" w:cs="Times New Roman"/>
          <w:sz w:val="21"/>
          <w:szCs w:val="21"/>
        </w:rPr>
      </w:pPr>
      <w:r>
        <w:rPr>
          <w:rFonts w:hint="eastAsia" w:ascii="宋体" w:hAnsi="宋体" w:eastAsia="宋体" w:cs="Times New Roman"/>
          <w:sz w:val="21"/>
          <w:szCs w:val="21"/>
        </w:rPr>
        <w:t>（6）发现对方严重违反协议义务条款的行为，有向其上级有关部门举报、建议给予处理并要求告知处理结果的权利。</w:t>
      </w:r>
    </w:p>
    <w:p w14:paraId="13D6C498">
      <w:pPr>
        <w:spacing w:line="360" w:lineRule="auto"/>
        <w:rPr>
          <w:rFonts w:ascii="宋体" w:hAnsi="宋体" w:eastAsia="宋体" w:cs="Times New Roman"/>
          <w:sz w:val="21"/>
          <w:szCs w:val="21"/>
        </w:rPr>
      </w:pPr>
      <w:r>
        <w:rPr>
          <w:rFonts w:hint="eastAsia" w:ascii="宋体" w:hAnsi="宋体" w:eastAsia="宋体" w:cs="Times New Roman"/>
          <w:sz w:val="21"/>
          <w:szCs w:val="21"/>
        </w:rPr>
        <w:t>2. 发包人的义务</w:t>
      </w:r>
    </w:p>
    <w:p w14:paraId="08F63D42">
      <w:pPr>
        <w:spacing w:line="360" w:lineRule="auto"/>
        <w:rPr>
          <w:rFonts w:ascii="宋体" w:hAnsi="宋体" w:eastAsia="宋体" w:cs="Times New Roman"/>
          <w:sz w:val="21"/>
          <w:szCs w:val="21"/>
        </w:rPr>
      </w:pPr>
      <w:r>
        <w:rPr>
          <w:rFonts w:hint="eastAsia" w:ascii="宋体" w:hAnsi="宋体" w:eastAsia="宋体" w:cs="Times New Roman"/>
          <w:sz w:val="21"/>
          <w:szCs w:val="21"/>
        </w:rPr>
        <w:t>（1）发包人及其工作人员不得索要或接受承包人的礼金、有价证券和贵重物品，不得在承包人报销任何应由发包人或发包人工作人员个人支付的费用等。</w:t>
      </w:r>
    </w:p>
    <w:p w14:paraId="09BC4C53">
      <w:pPr>
        <w:spacing w:line="360" w:lineRule="auto"/>
        <w:rPr>
          <w:rFonts w:ascii="宋体" w:hAnsi="宋体" w:eastAsia="宋体" w:cs="Times New Roman"/>
          <w:sz w:val="21"/>
          <w:szCs w:val="21"/>
        </w:rPr>
      </w:pPr>
      <w:r>
        <w:rPr>
          <w:rFonts w:hint="eastAsia" w:ascii="宋体" w:hAnsi="宋体" w:eastAsia="宋体" w:cs="Times New Roman"/>
          <w:sz w:val="21"/>
          <w:szCs w:val="21"/>
        </w:rPr>
        <w:t>（2）发包人工作人员不得参加承包人安排的超标准宴请和娱乐活动；不得接受承包人提供的通讯工具、交通工具和高档办公用品等。</w:t>
      </w:r>
    </w:p>
    <w:p w14:paraId="3FE9ED6D">
      <w:pPr>
        <w:spacing w:line="360" w:lineRule="auto"/>
        <w:rPr>
          <w:rFonts w:ascii="宋体" w:hAnsi="宋体" w:eastAsia="宋体" w:cs="Times New Roman"/>
          <w:sz w:val="21"/>
          <w:szCs w:val="21"/>
        </w:rPr>
      </w:pPr>
      <w:r>
        <w:rPr>
          <w:rFonts w:hint="eastAsia" w:ascii="宋体" w:hAnsi="宋体" w:eastAsia="宋体" w:cs="Times New Roman"/>
          <w:sz w:val="21"/>
          <w:szCs w:val="21"/>
        </w:rPr>
        <w:t>（3）发包人及其工作人员不得要求或者接受承包人为其住房装修、婚丧嫁娶活动、配偶子女的工作安排以及出国出境、旅游等提供方便等。</w:t>
      </w:r>
    </w:p>
    <w:p w14:paraId="5F2F6013">
      <w:pPr>
        <w:spacing w:line="360" w:lineRule="auto"/>
        <w:rPr>
          <w:rFonts w:ascii="宋体" w:hAnsi="宋体" w:eastAsia="宋体" w:cs="Times New Roman"/>
          <w:sz w:val="21"/>
          <w:szCs w:val="21"/>
        </w:rPr>
      </w:pPr>
      <w:r>
        <w:rPr>
          <w:rFonts w:hint="eastAsia" w:ascii="宋体" w:hAnsi="宋体" w:eastAsia="宋体" w:cs="Times New Roman"/>
          <w:sz w:val="21"/>
          <w:szCs w:val="21"/>
        </w:rPr>
        <w:t>（4）发包人工作人员及其配偶、子女不得从事与发包人工程有关的材料设备供应、工程分包、劳务等经济活动等。</w:t>
      </w:r>
    </w:p>
    <w:p w14:paraId="7102B6D5">
      <w:pPr>
        <w:spacing w:line="360" w:lineRule="auto"/>
        <w:rPr>
          <w:rFonts w:ascii="宋体" w:hAnsi="宋体" w:eastAsia="宋体" w:cs="Times New Roman"/>
          <w:sz w:val="21"/>
          <w:szCs w:val="21"/>
        </w:rPr>
      </w:pPr>
      <w:r>
        <w:rPr>
          <w:rFonts w:hint="eastAsia" w:ascii="宋体" w:hAnsi="宋体" w:eastAsia="宋体" w:cs="Times New Roman"/>
          <w:sz w:val="21"/>
          <w:szCs w:val="21"/>
        </w:rPr>
        <w:t>（5）发包人及其工作人员不得以任何理由向承包人推荐分包单位或推销材料，不得要求承包人购买合同规定外的材料和设备。</w:t>
      </w:r>
    </w:p>
    <w:p w14:paraId="5E793027">
      <w:pPr>
        <w:spacing w:line="360" w:lineRule="auto"/>
        <w:rPr>
          <w:rFonts w:ascii="宋体" w:hAnsi="宋体" w:eastAsia="宋体" w:cs="Times New Roman"/>
          <w:sz w:val="21"/>
          <w:szCs w:val="21"/>
        </w:rPr>
      </w:pPr>
      <w:r>
        <w:rPr>
          <w:rFonts w:hint="eastAsia" w:ascii="宋体" w:hAnsi="宋体" w:eastAsia="宋体" w:cs="Times New Roman"/>
          <w:sz w:val="21"/>
          <w:szCs w:val="21"/>
        </w:rPr>
        <w:t>（6）发包人工作人员要秉公办事，不准营私舞弊，不准利用职权从事各种个人有偿中介活动和安排个人施工队伍。</w:t>
      </w:r>
    </w:p>
    <w:p w14:paraId="48385820">
      <w:pPr>
        <w:spacing w:line="360" w:lineRule="auto"/>
        <w:rPr>
          <w:rFonts w:ascii="宋体" w:hAnsi="宋体" w:eastAsia="宋体" w:cs="Times New Roman"/>
          <w:sz w:val="21"/>
          <w:szCs w:val="21"/>
        </w:rPr>
      </w:pPr>
      <w:r>
        <w:rPr>
          <w:rFonts w:hint="eastAsia" w:ascii="宋体" w:hAnsi="宋体" w:eastAsia="宋体" w:cs="Times New Roman"/>
          <w:sz w:val="21"/>
          <w:szCs w:val="21"/>
        </w:rPr>
        <w:t>3. 承包人义务</w:t>
      </w:r>
    </w:p>
    <w:p w14:paraId="34A83EB9">
      <w:pPr>
        <w:spacing w:line="360" w:lineRule="auto"/>
        <w:rPr>
          <w:rFonts w:ascii="宋体" w:hAnsi="宋体" w:eastAsia="宋体" w:cs="Times New Roman"/>
          <w:sz w:val="21"/>
          <w:szCs w:val="21"/>
        </w:rPr>
      </w:pPr>
      <w:r>
        <w:rPr>
          <w:rFonts w:hint="eastAsia" w:ascii="宋体" w:hAnsi="宋体" w:eastAsia="宋体" w:cs="Times New Roman"/>
          <w:sz w:val="21"/>
          <w:szCs w:val="21"/>
        </w:rPr>
        <w:t>（1）承包人不得以任何理由向发包人及其工作人员行贿或馈赠礼金、有价证券、贵重礼品。</w:t>
      </w:r>
    </w:p>
    <w:p w14:paraId="0E1B884A">
      <w:pPr>
        <w:spacing w:line="360" w:lineRule="auto"/>
        <w:rPr>
          <w:rFonts w:ascii="宋体" w:hAnsi="宋体" w:eastAsia="宋体" w:cs="Times New Roman"/>
          <w:sz w:val="21"/>
          <w:szCs w:val="21"/>
        </w:rPr>
      </w:pPr>
      <w:r>
        <w:rPr>
          <w:rFonts w:hint="eastAsia" w:ascii="宋体" w:hAnsi="宋体" w:eastAsia="宋体" w:cs="Times New Roman"/>
          <w:sz w:val="21"/>
          <w:szCs w:val="21"/>
        </w:rPr>
        <w:t>（2）承包人不得以任何名义为发包人及其工作人员报销应由发包人单位或个人支付的任何费用。</w:t>
      </w:r>
    </w:p>
    <w:p w14:paraId="202D5EDD">
      <w:pPr>
        <w:spacing w:line="360" w:lineRule="auto"/>
        <w:rPr>
          <w:rFonts w:ascii="宋体" w:hAnsi="宋体" w:eastAsia="宋体" w:cs="Times New Roman"/>
          <w:sz w:val="21"/>
          <w:szCs w:val="21"/>
        </w:rPr>
      </w:pPr>
      <w:r>
        <w:rPr>
          <w:rFonts w:hint="eastAsia" w:ascii="宋体" w:hAnsi="宋体" w:eastAsia="宋体" w:cs="Times New Roman"/>
          <w:sz w:val="21"/>
          <w:szCs w:val="21"/>
        </w:rPr>
        <w:t>（3）承包人不得以任何理由安排发包人工作人员参加超标准宴请及娱乐活动。</w:t>
      </w:r>
    </w:p>
    <w:p w14:paraId="48DBA1E2">
      <w:pPr>
        <w:spacing w:line="360" w:lineRule="auto"/>
        <w:rPr>
          <w:rFonts w:ascii="宋体" w:hAnsi="宋体" w:eastAsia="宋体" w:cs="Times New Roman"/>
          <w:sz w:val="21"/>
          <w:szCs w:val="21"/>
        </w:rPr>
      </w:pPr>
      <w:r>
        <w:rPr>
          <w:rFonts w:hint="eastAsia" w:ascii="宋体" w:hAnsi="宋体" w:eastAsia="宋体" w:cs="Times New Roman"/>
          <w:sz w:val="21"/>
          <w:szCs w:val="21"/>
        </w:rPr>
        <w:t>（4）承包人不得为发包人单位和个人购置或提供通讯工具、交通工具和高档办公用品等。</w:t>
      </w:r>
    </w:p>
    <w:p w14:paraId="0C5D7BEB">
      <w:pPr>
        <w:spacing w:line="360" w:lineRule="auto"/>
        <w:rPr>
          <w:rFonts w:ascii="宋体" w:hAnsi="宋体" w:eastAsia="宋体" w:cs="Times New Roman"/>
          <w:sz w:val="21"/>
          <w:szCs w:val="21"/>
        </w:rPr>
      </w:pPr>
      <w:r>
        <w:rPr>
          <w:rFonts w:hint="eastAsia" w:ascii="宋体" w:hAnsi="宋体" w:eastAsia="宋体" w:cs="Times New Roman"/>
          <w:sz w:val="21"/>
          <w:szCs w:val="21"/>
        </w:rPr>
        <w:t>4. 违约责任</w:t>
      </w:r>
    </w:p>
    <w:p w14:paraId="13B991E1">
      <w:pPr>
        <w:spacing w:line="360" w:lineRule="auto"/>
        <w:rPr>
          <w:rFonts w:ascii="宋体" w:hAnsi="宋体" w:eastAsia="宋体" w:cs="Times New Roman"/>
          <w:sz w:val="21"/>
          <w:szCs w:val="21"/>
        </w:rPr>
      </w:pPr>
      <w:r>
        <w:rPr>
          <w:rFonts w:hint="eastAsia" w:ascii="宋体" w:hAnsi="宋体" w:eastAsia="宋体" w:cs="Times New Roman"/>
          <w:sz w:val="21"/>
          <w:szCs w:val="21"/>
        </w:rPr>
        <w:t>（1）发包人及其工作人员违反合同第1、2条，按管理权限，依据有关规定给予党纪、政纪或组织处理；涉嫌犯罪的，移交司法机关追究刑事责任；给承包人单位造成经济损失的，应予以赔偿。</w:t>
      </w:r>
    </w:p>
    <w:p w14:paraId="6EFCADC4">
      <w:pPr>
        <w:spacing w:line="360" w:lineRule="auto"/>
        <w:rPr>
          <w:rFonts w:ascii="宋体" w:hAnsi="宋体" w:eastAsia="宋体" w:cs="Times New Roman"/>
          <w:sz w:val="21"/>
          <w:szCs w:val="21"/>
        </w:rPr>
      </w:pPr>
      <w:r>
        <w:rPr>
          <w:rFonts w:hint="eastAsia" w:ascii="宋体" w:hAnsi="宋体" w:eastAsia="宋体" w:cs="Times New Roman"/>
          <w:sz w:val="21"/>
          <w:szCs w:val="21"/>
        </w:rPr>
        <w:t>（2）承包人及其工作人员违反合同第1、3条，按管理权限，依据有关规定给予党纪、政纪或组织处理；给发包人单位造成经济损失的，应予以赔偿。</w:t>
      </w:r>
    </w:p>
    <w:p w14:paraId="67170577">
      <w:pPr>
        <w:spacing w:line="360" w:lineRule="auto"/>
        <w:rPr>
          <w:rFonts w:ascii="宋体" w:hAnsi="宋体" w:eastAsia="宋体" w:cs="Times New Roman"/>
          <w:sz w:val="21"/>
          <w:szCs w:val="21"/>
        </w:rPr>
      </w:pPr>
      <w:r>
        <w:rPr>
          <w:rFonts w:hint="eastAsia" w:ascii="宋体" w:hAnsi="宋体" w:eastAsia="宋体" w:cs="Times New Roman"/>
          <w:sz w:val="21"/>
          <w:szCs w:val="21"/>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1EB65740">
      <w:pPr>
        <w:spacing w:line="360" w:lineRule="auto"/>
        <w:rPr>
          <w:rFonts w:ascii="宋体" w:hAnsi="宋体" w:eastAsia="宋体" w:cs="Times New Roman"/>
          <w:sz w:val="21"/>
          <w:szCs w:val="21"/>
        </w:rPr>
      </w:pPr>
      <w:r>
        <w:rPr>
          <w:rFonts w:hint="eastAsia" w:ascii="宋体" w:hAnsi="宋体" w:eastAsia="宋体" w:cs="Times New Roman"/>
          <w:sz w:val="21"/>
          <w:szCs w:val="21"/>
        </w:rPr>
        <w:t>6. 协议有效期为发承包双方签署之日起至该工程项目竣工验收后止。</w:t>
      </w:r>
    </w:p>
    <w:p w14:paraId="7B2B8851">
      <w:pPr>
        <w:spacing w:line="360" w:lineRule="auto"/>
        <w:rPr>
          <w:rFonts w:ascii="宋体" w:hAnsi="宋体" w:eastAsia="宋体" w:cs="Times New Roman"/>
          <w:sz w:val="21"/>
          <w:szCs w:val="21"/>
        </w:rPr>
      </w:pPr>
      <w:r>
        <w:rPr>
          <w:rFonts w:hint="eastAsia" w:ascii="宋体" w:hAnsi="宋体" w:eastAsia="宋体" w:cs="Times New Roman"/>
          <w:sz w:val="21"/>
          <w:szCs w:val="21"/>
        </w:rPr>
        <w:t>7.协议作为工程施工合同的附件，与工程施工合同具有同等的法律效力，经合同双方签署立即生效。</w:t>
      </w:r>
    </w:p>
    <w:p w14:paraId="227820B6">
      <w:pPr>
        <w:spacing w:line="360" w:lineRule="auto"/>
        <w:rPr>
          <w:rFonts w:ascii="宋体" w:hAnsi="宋体" w:eastAsia="宋体" w:cs="Times New Roman"/>
          <w:sz w:val="21"/>
          <w:szCs w:val="21"/>
        </w:rPr>
      </w:pPr>
      <w:r>
        <w:rPr>
          <w:rFonts w:hint="eastAsia" w:ascii="宋体" w:hAnsi="宋体" w:eastAsia="宋体" w:cs="Times New Roman"/>
          <w:sz w:val="21"/>
          <w:szCs w:val="21"/>
        </w:rPr>
        <w:t>（以下无正文）</w:t>
      </w:r>
    </w:p>
    <w:p w14:paraId="59D384F5">
      <w:pPr>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385726C4">
      <w:pPr>
        <w:spacing w:before="100" w:beforeAutospacing="1" w:after="120"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79F6D06C">
      <w:pPr>
        <w:spacing w:before="100" w:beforeAutospacing="1" w:after="120"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37FA2641">
      <w:pPr>
        <w:spacing w:line="360" w:lineRule="auto"/>
        <w:rPr>
          <w:rFonts w:ascii="宋体" w:hAnsi="宋体" w:eastAsia="宋体" w:cs="Times New Roman"/>
          <w:sz w:val="21"/>
          <w:szCs w:val="21"/>
        </w:rPr>
      </w:pPr>
      <w:r>
        <w:rPr>
          <w:rFonts w:hint="eastAsia" w:ascii="宋体" w:hAnsi="宋体" w:eastAsia="宋体" w:cs="Times New Roman"/>
          <w:sz w:val="21"/>
          <w:szCs w:val="21"/>
        </w:rPr>
        <w:t>发 包 人 ：                         承 包 人 ：</w:t>
      </w:r>
    </w:p>
    <w:p w14:paraId="2F4E1EBF">
      <w:pPr>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1212E8B2">
      <w:pPr>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6124F90B">
      <w:pPr>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法定代表人                          法定代表人                      </w:t>
      </w:r>
    </w:p>
    <w:p w14:paraId="46C76185">
      <w:pPr>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51A54975">
      <w:pPr>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798107C3">
      <w:pPr>
        <w:spacing w:line="360" w:lineRule="auto"/>
        <w:rPr>
          <w:rFonts w:ascii="宋体" w:hAnsi="宋体" w:eastAsia="宋体" w:cs="Times New Roman"/>
          <w:sz w:val="21"/>
          <w:szCs w:val="21"/>
        </w:rPr>
      </w:pPr>
      <w:r>
        <w:rPr>
          <w:rFonts w:hint="eastAsia" w:ascii="宋体" w:hAnsi="宋体" w:eastAsia="宋体" w:cs="Times New Roman"/>
          <w:sz w:val="21"/>
          <w:szCs w:val="21"/>
        </w:rPr>
        <w:t>或其授权的代理人：                  或授权的代理人：</w:t>
      </w:r>
    </w:p>
    <w:p w14:paraId="0533BF51">
      <w:pPr>
        <w:spacing w:line="440" w:lineRule="exact"/>
        <w:rPr>
          <w:rFonts w:ascii="宋体" w:hAnsi="宋体" w:eastAsia="宋体" w:cs="Times New Roman"/>
          <w:sz w:val="21"/>
          <w:szCs w:val="21"/>
        </w:rPr>
      </w:pPr>
      <w:r>
        <w:rPr>
          <w:rFonts w:hint="eastAsia" w:ascii="宋体" w:hAnsi="宋体" w:eastAsia="宋体" w:cs="Times New Roman"/>
          <w:sz w:val="21"/>
          <w:szCs w:val="21"/>
        </w:rPr>
        <w:t xml:space="preserve"> </w:t>
      </w:r>
    </w:p>
    <w:p w14:paraId="775C9EE4">
      <w:pPr>
        <w:spacing w:line="440" w:lineRule="exact"/>
        <w:rPr>
          <w:rFonts w:ascii="宋体" w:hAnsi="宋体" w:eastAsia="宋体" w:cs="Times New Roman"/>
          <w:sz w:val="21"/>
          <w:szCs w:val="21"/>
        </w:rPr>
      </w:pPr>
      <w:r>
        <w:rPr>
          <w:rFonts w:hint="eastAsia" w:ascii="宋体" w:hAnsi="宋体" w:eastAsia="宋体" w:cs="Times New Roman"/>
          <w:sz w:val="21"/>
          <w:szCs w:val="21"/>
        </w:rPr>
        <w:t xml:space="preserve"> </w:t>
      </w:r>
    </w:p>
    <w:p w14:paraId="335D5A1A">
      <w:pPr>
        <w:spacing w:line="440" w:lineRule="exact"/>
        <w:rPr>
          <w:rFonts w:ascii="宋体" w:hAnsi="宋体" w:eastAsia="宋体" w:cs="Times New Roman"/>
          <w:sz w:val="21"/>
          <w:szCs w:val="21"/>
        </w:rPr>
      </w:pPr>
      <w:r>
        <w:rPr>
          <w:rFonts w:hint="eastAsia" w:ascii="宋体" w:hAnsi="宋体" w:eastAsia="宋体" w:cs="Times New Roman"/>
          <w:sz w:val="21"/>
          <w:szCs w:val="21"/>
        </w:rPr>
        <w:t>附件11：</w:t>
      </w:r>
    </w:p>
    <w:p w14:paraId="5B1A2CD4">
      <w:pPr>
        <w:spacing w:line="440" w:lineRule="exact"/>
        <w:jc w:val="center"/>
        <w:rPr>
          <w:rFonts w:hint="eastAsia" w:ascii="宋体" w:hAnsi="宋体" w:eastAsia="宋体" w:cs="Times New Roman"/>
          <w:sz w:val="21"/>
          <w:szCs w:val="21"/>
        </w:rPr>
      </w:pPr>
    </w:p>
    <w:p w14:paraId="2F163821">
      <w:pPr>
        <w:spacing w:line="440" w:lineRule="exact"/>
        <w:jc w:val="center"/>
        <w:rPr>
          <w:rFonts w:hint="eastAsia" w:ascii="宋体" w:hAnsi="宋体" w:eastAsia="宋体" w:cs="Times New Roman"/>
          <w:sz w:val="21"/>
          <w:szCs w:val="21"/>
        </w:rPr>
      </w:pPr>
    </w:p>
    <w:p w14:paraId="1C7DC963">
      <w:pPr>
        <w:spacing w:line="440" w:lineRule="exact"/>
        <w:jc w:val="center"/>
        <w:rPr>
          <w:rFonts w:hint="eastAsia" w:ascii="宋体" w:hAnsi="宋体" w:eastAsia="宋体" w:cs="Times New Roman"/>
          <w:sz w:val="21"/>
          <w:szCs w:val="21"/>
        </w:rPr>
      </w:pPr>
    </w:p>
    <w:p w14:paraId="11EAE149">
      <w:pPr>
        <w:spacing w:line="440" w:lineRule="exact"/>
        <w:jc w:val="center"/>
        <w:rPr>
          <w:rFonts w:hint="eastAsia" w:ascii="宋体" w:hAnsi="宋体" w:eastAsia="宋体" w:cs="Times New Roman"/>
          <w:sz w:val="21"/>
          <w:szCs w:val="21"/>
        </w:rPr>
      </w:pPr>
    </w:p>
    <w:p w14:paraId="5301B346">
      <w:pPr>
        <w:spacing w:line="440" w:lineRule="exact"/>
        <w:jc w:val="center"/>
        <w:rPr>
          <w:rFonts w:hint="eastAsia" w:ascii="宋体" w:hAnsi="宋体" w:eastAsia="宋体" w:cs="Times New Roman"/>
          <w:sz w:val="21"/>
          <w:szCs w:val="21"/>
        </w:rPr>
      </w:pPr>
    </w:p>
    <w:p w14:paraId="2063643B">
      <w:pPr>
        <w:spacing w:line="440" w:lineRule="exact"/>
        <w:jc w:val="center"/>
        <w:rPr>
          <w:rFonts w:hint="eastAsia" w:ascii="宋体" w:hAnsi="宋体" w:eastAsia="宋体" w:cs="Times New Roman"/>
          <w:sz w:val="21"/>
          <w:szCs w:val="21"/>
        </w:rPr>
      </w:pPr>
    </w:p>
    <w:p w14:paraId="59754541">
      <w:pPr>
        <w:spacing w:line="440" w:lineRule="exact"/>
        <w:jc w:val="both"/>
        <w:rPr>
          <w:rFonts w:hint="eastAsia" w:ascii="宋体" w:hAnsi="宋体" w:eastAsia="宋体" w:cs="Times New Roman"/>
          <w:sz w:val="21"/>
          <w:szCs w:val="21"/>
        </w:rPr>
      </w:pPr>
    </w:p>
    <w:p w14:paraId="3103037E">
      <w:pPr>
        <w:spacing w:line="440" w:lineRule="exact"/>
        <w:jc w:val="center"/>
        <w:rPr>
          <w:rFonts w:ascii="宋体" w:hAnsi="宋体" w:eastAsia="宋体" w:cs="Times New Roman"/>
          <w:sz w:val="21"/>
          <w:szCs w:val="21"/>
        </w:rPr>
      </w:pPr>
      <w:r>
        <w:rPr>
          <w:rFonts w:hint="eastAsia" w:ascii="宋体" w:hAnsi="宋体" w:eastAsia="宋体" w:cs="Times New Roman"/>
          <w:sz w:val="21"/>
          <w:szCs w:val="21"/>
        </w:rPr>
        <w:t>11-1：材料暂估价表</w:t>
      </w:r>
    </w:p>
    <w:tbl>
      <w:tblPr>
        <w:tblStyle w:val="65"/>
        <w:tblW w:w="0" w:type="auto"/>
        <w:tblInd w:w="8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69EE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2" w:space="0"/>
              <w:right w:val="single" w:color="auto" w:sz="6" w:space="0"/>
            </w:tcBorders>
          </w:tcPr>
          <w:p w14:paraId="78FC552C">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序号</w:t>
            </w:r>
          </w:p>
        </w:tc>
        <w:tc>
          <w:tcPr>
            <w:tcW w:w="1984" w:type="dxa"/>
            <w:tcBorders>
              <w:top w:val="single" w:color="auto" w:sz="12" w:space="0"/>
              <w:left w:val="single" w:color="auto" w:sz="6" w:space="0"/>
              <w:bottom w:val="double" w:color="auto" w:sz="2" w:space="0"/>
              <w:right w:val="single" w:color="auto" w:sz="6" w:space="0"/>
            </w:tcBorders>
          </w:tcPr>
          <w:p w14:paraId="6393AA8A">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名称</w:t>
            </w:r>
          </w:p>
        </w:tc>
        <w:tc>
          <w:tcPr>
            <w:tcW w:w="851" w:type="dxa"/>
            <w:tcBorders>
              <w:top w:val="single" w:color="auto" w:sz="12" w:space="0"/>
              <w:left w:val="single" w:color="auto" w:sz="6" w:space="0"/>
              <w:bottom w:val="double" w:color="auto" w:sz="2" w:space="0"/>
              <w:right w:val="single" w:color="auto" w:sz="6" w:space="0"/>
            </w:tcBorders>
          </w:tcPr>
          <w:p w14:paraId="4D35143A">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单位</w:t>
            </w:r>
          </w:p>
        </w:tc>
        <w:tc>
          <w:tcPr>
            <w:tcW w:w="774" w:type="dxa"/>
            <w:tcBorders>
              <w:top w:val="single" w:color="auto" w:sz="12" w:space="0"/>
              <w:left w:val="single" w:color="auto" w:sz="6" w:space="0"/>
              <w:bottom w:val="double" w:color="auto" w:sz="2" w:space="0"/>
              <w:right w:val="single" w:color="auto" w:sz="6" w:space="0"/>
            </w:tcBorders>
          </w:tcPr>
          <w:p w14:paraId="4B542A75">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数量</w:t>
            </w:r>
          </w:p>
        </w:tc>
        <w:tc>
          <w:tcPr>
            <w:tcW w:w="1352" w:type="dxa"/>
            <w:tcBorders>
              <w:top w:val="single" w:color="auto" w:sz="12" w:space="0"/>
              <w:left w:val="single" w:color="auto" w:sz="6" w:space="0"/>
              <w:bottom w:val="double" w:color="auto" w:sz="2" w:space="0"/>
              <w:right w:val="single" w:color="auto" w:sz="6" w:space="0"/>
            </w:tcBorders>
          </w:tcPr>
          <w:p w14:paraId="6A2140B5">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单价（元）</w:t>
            </w:r>
          </w:p>
        </w:tc>
        <w:tc>
          <w:tcPr>
            <w:tcW w:w="1418" w:type="dxa"/>
            <w:tcBorders>
              <w:top w:val="single" w:color="auto" w:sz="12" w:space="0"/>
              <w:left w:val="single" w:color="auto" w:sz="6" w:space="0"/>
              <w:bottom w:val="double" w:color="auto" w:sz="2" w:space="0"/>
              <w:right w:val="single" w:color="auto" w:sz="6" w:space="0"/>
            </w:tcBorders>
          </w:tcPr>
          <w:p w14:paraId="3D28FC7B">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合价（元）</w:t>
            </w:r>
          </w:p>
        </w:tc>
        <w:tc>
          <w:tcPr>
            <w:tcW w:w="1701" w:type="dxa"/>
            <w:tcBorders>
              <w:top w:val="single" w:color="auto" w:sz="12" w:space="0"/>
              <w:left w:val="single" w:color="auto" w:sz="6" w:space="0"/>
              <w:bottom w:val="double" w:color="auto" w:sz="2" w:space="0"/>
              <w:right w:val="single" w:color="auto" w:sz="12" w:space="0"/>
            </w:tcBorders>
          </w:tcPr>
          <w:p w14:paraId="09756143">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备注</w:t>
            </w:r>
          </w:p>
        </w:tc>
      </w:tr>
      <w:tr w14:paraId="083E7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2" w:space="0"/>
              <w:left w:val="single" w:color="auto" w:sz="12" w:space="0"/>
              <w:bottom w:val="single" w:color="auto" w:sz="6" w:space="0"/>
              <w:right w:val="single" w:color="auto" w:sz="6" w:space="0"/>
            </w:tcBorders>
          </w:tcPr>
          <w:p w14:paraId="65DBF332">
            <w:pPr>
              <w:keepNext/>
              <w:spacing w:before="100" w:beforeAutospacing="1" w:line="440" w:lineRule="exact"/>
              <w:ind w:right="63"/>
              <w:jc w:val="center"/>
              <w:rPr>
                <w:rFonts w:ascii="宋体" w:hAnsi="宋体" w:eastAsia="宋体" w:cs="Times New Roman"/>
                <w:sz w:val="21"/>
                <w:szCs w:val="21"/>
              </w:rPr>
            </w:pPr>
          </w:p>
        </w:tc>
        <w:tc>
          <w:tcPr>
            <w:tcW w:w="1984" w:type="dxa"/>
            <w:tcBorders>
              <w:top w:val="double" w:color="auto" w:sz="2" w:space="0"/>
              <w:left w:val="single" w:color="auto" w:sz="6" w:space="0"/>
              <w:bottom w:val="single" w:color="auto" w:sz="6" w:space="0"/>
              <w:right w:val="single" w:color="auto" w:sz="6" w:space="0"/>
            </w:tcBorders>
          </w:tcPr>
          <w:p w14:paraId="57A82E52">
            <w:pPr>
              <w:keepNext/>
              <w:spacing w:before="100" w:beforeAutospacing="1" w:line="440" w:lineRule="exact"/>
              <w:ind w:right="63"/>
              <w:jc w:val="center"/>
              <w:rPr>
                <w:rFonts w:ascii="宋体" w:hAnsi="宋体" w:eastAsia="宋体" w:cs="Times New Roman"/>
                <w:sz w:val="21"/>
                <w:szCs w:val="21"/>
              </w:rPr>
            </w:pPr>
          </w:p>
        </w:tc>
        <w:tc>
          <w:tcPr>
            <w:tcW w:w="851" w:type="dxa"/>
            <w:tcBorders>
              <w:top w:val="double" w:color="auto" w:sz="2" w:space="0"/>
              <w:left w:val="single" w:color="auto" w:sz="6" w:space="0"/>
              <w:bottom w:val="single" w:color="auto" w:sz="6" w:space="0"/>
              <w:right w:val="single" w:color="auto" w:sz="6" w:space="0"/>
            </w:tcBorders>
          </w:tcPr>
          <w:p w14:paraId="628D2FA9">
            <w:pPr>
              <w:keepNext/>
              <w:spacing w:before="100" w:beforeAutospacing="1" w:line="440" w:lineRule="exact"/>
              <w:ind w:right="63"/>
              <w:jc w:val="center"/>
              <w:rPr>
                <w:rFonts w:ascii="宋体" w:hAnsi="宋体" w:eastAsia="宋体" w:cs="Times New Roman"/>
                <w:sz w:val="21"/>
                <w:szCs w:val="21"/>
              </w:rPr>
            </w:pPr>
          </w:p>
        </w:tc>
        <w:tc>
          <w:tcPr>
            <w:tcW w:w="774" w:type="dxa"/>
            <w:tcBorders>
              <w:top w:val="double" w:color="auto" w:sz="2" w:space="0"/>
              <w:left w:val="single" w:color="auto" w:sz="6" w:space="0"/>
              <w:bottom w:val="single" w:color="auto" w:sz="6" w:space="0"/>
              <w:right w:val="single" w:color="auto" w:sz="6" w:space="0"/>
            </w:tcBorders>
          </w:tcPr>
          <w:p w14:paraId="4CAEB5E4">
            <w:pPr>
              <w:keepNext/>
              <w:spacing w:before="100" w:beforeAutospacing="1" w:line="440" w:lineRule="exact"/>
              <w:ind w:right="63"/>
              <w:jc w:val="center"/>
              <w:rPr>
                <w:rFonts w:ascii="宋体" w:hAnsi="宋体" w:eastAsia="宋体" w:cs="Times New Roman"/>
                <w:sz w:val="21"/>
                <w:szCs w:val="21"/>
              </w:rPr>
            </w:pPr>
          </w:p>
        </w:tc>
        <w:tc>
          <w:tcPr>
            <w:tcW w:w="1352" w:type="dxa"/>
            <w:tcBorders>
              <w:top w:val="double" w:color="auto" w:sz="2" w:space="0"/>
              <w:left w:val="single" w:color="auto" w:sz="6" w:space="0"/>
              <w:bottom w:val="single" w:color="auto" w:sz="6" w:space="0"/>
              <w:right w:val="single" w:color="auto" w:sz="6" w:space="0"/>
            </w:tcBorders>
          </w:tcPr>
          <w:p w14:paraId="57FC157C">
            <w:pPr>
              <w:keepNext/>
              <w:spacing w:before="100" w:beforeAutospacing="1" w:line="440" w:lineRule="exact"/>
              <w:ind w:right="63"/>
              <w:jc w:val="center"/>
              <w:rPr>
                <w:rFonts w:ascii="宋体" w:hAnsi="宋体" w:eastAsia="宋体" w:cs="Times New Roman"/>
                <w:sz w:val="21"/>
                <w:szCs w:val="21"/>
              </w:rPr>
            </w:pPr>
          </w:p>
        </w:tc>
        <w:tc>
          <w:tcPr>
            <w:tcW w:w="1418" w:type="dxa"/>
            <w:tcBorders>
              <w:top w:val="double" w:color="auto" w:sz="2" w:space="0"/>
              <w:left w:val="single" w:color="auto" w:sz="6" w:space="0"/>
              <w:bottom w:val="single" w:color="auto" w:sz="6" w:space="0"/>
              <w:right w:val="single" w:color="auto" w:sz="6" w:space="0"/>
            </w:tcBorders>
          </w:tcPr>
          <w:p w14:paraId="260F862A">
            <w:pPr>
              <w:keepNext/>
              <w:spacing w:before="100" w:beforeAutospacing="1" w:line="440" w:lineRule="exact"/>
              <w:ind w:right="63"/>
              <w:jc w:val="center"/>
              <w:rPr>
                <w:rFonts w:ascii="宋体" w:hAnsi="宋体" w:eastAsia="宋体" w:cs="Times New Roman"/>
                <w:sz w:val="21"/>
                <w:szCs w:val="21"/>
              </w:rPr>
            </w:pPr>
          </w:p>
        </w:tc>
        <w:tc>
          <w:tcPr>
            <w:tcW w:w="1701" w:type="dxa"/>
            <w:tcBorders>
              <w:top w:val="double" w:color="auto" w:sz="2" w:space="0"/>
              <w:left w:val="single" w:color="auto" w:sz="6" w:space="0"/>
              <w:bottom w:val="single" w:color="auto" w:sz="6" w:space="0"/>
              <w:right w:val="single" w:color="auto" w:sz="12" w:space="0"/>
            </w:tcBorders>
          </w:tcPr>
          <w:p w14:paraId="552340F0">
            <w:pPr>
              <w:keepNext/>
              <w:spacing w:before="100" w:beforeAutospacing="1" w:line="440" w:lineRule="exact"/>
              <w:ind w:right="63"/>
              <w:jc w:val="center"/>
              <w:rPr>
                <w:rFonts w:ascii="宋体" w:hAnsi="宋体" w:eastAsia="宋体" w:cs="Times New Roman"/>
                <w:sz w:val="21"/>
                <w:szCs w:val="21"/>
              </w:rPr>
            </w:pPr>
          </w:p>
        </w:tc>
      </w:tr>
      <w:tr w14:paraId="0C056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14:paraId="7EDEA1A2">
            <w:pPr>
              <w:keepNext/>
              <w:spacing w:before="100" w:beforeAutospacing="1" w:line="440" w:lineRule="exact"/>
              <w:ind w:right="63"/>
              <w:jc w:val="center"/>
              <w:rPr>
                <w:rFonts w:ascii="宋体" w:hAnsi="宋体" w:eastAsia="宋体" w:cs="Times New Roman"/>
                <w:sz w:val="21"/>
                <w:szCs w:val="21"/>
              </w:rPr>
            </w:pPr>
          </w:p>
        </w:tc>
        <w:tc>
          <w:tcPr>
            <w:tcW w:w="1984" w:type="dxa"/>
            <w:tcBorders>
              <w:top w:val="nil"/>
              <w:left w:val="single" w:color="auto" w:sz="6" w:space="0"/>
              <w:bottom w:val="single" w:color="auto" w:sz="6" w:space="0"/>
              <w:right w:val="single" w:color="auto" w:sz="6" w:space="0"/>
            </w:tcBorders>
          </w:tcPr>
          <w:p w14:paraId="18673C40">
            <w:pPr>
              <w:keepNext/>
              <w:spacing w:before="100" w:beforeAutospacing="1" w:line="440" w:lineRule="exact"/>
              <w:ind w:right="63"/>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tcPr>
          <w:p w14:paraId="465665FC">
            <w:pPr>
              <w:keepNext/>
              <w:spacing w:before="100" w:beforeAutospacing="1" w:line="440" w:lineRule="exact"/>
              <w:ind w:right="63"/>
              <w:jc w:val="center"/>
              <w:rPr>
                <w:rFonts w:ascii="宋体" w:hAnsi="宋体" w:eastAsia="宋体" w:cs="Times New Roman"/>
                <w:sz w:val="21"/>
                <w:szCs w:val="21"/>
              </w:rPr>
            </w:pPr>
          </w:p>
        </w:tc>
        <w:tc>
          <w:tcPr>
            <w:tcW w:w="774" w:type="dxa"/>
            <w:tcBorders>
              <w:top w:val="nil"/>
              <w:left w:val="single" w:color="auto" w:sz="6" w:space="0"/>
              <w:bottom w:val="single" w:color="auto" w:sz="6" w:space="0"/>
              <w:right w:val="single" w:color="auto" w:sz="6" w:space="0"/>
            </w:tcBorders>
          </w:tcPr>
          <w:p w14:paraId="1DA7B00F">
            <w:pPr>
              <w:keepNext/>
              <w:spacing w:before="100" w:beforeAutospacing="1" w:line="440" w:lineRule="exact"/>
              <w:ind w:right="63"/>
              <w:jc w:val="center"/>
              <w:rPr>
                <w:rFonts w:ascii="宋体" w:hAnsi="宋体" w:eastAsia="宋体" w:cs="Times New Roman"/>
                <w:sz w:val="21"/>
                <w:szCs w:val="21"/>
              </w:rPr>
            </w:pPr>
          </w:p>
        </w:tc>
        <w:tc>
          <w:tcPr>
            <w:tcW w:w="1352" w:type="dxa"/>
            <w:tcBorders>
              <w:top w:val="nil"/>
              <w:left w:val="single" w:color="auto" w:sz="6" w:space="0"/>
              <w:bottom w:val="single" w:color="auto" w:sz="6" w:space="0"/>
              <w:right w:val="single" w:color="auto" w:sz="6" w:space="0"/>
            </w:tcBorders>
          </w:tcPr>
          <w:p w14:paraId="2329B0AF">
            <w:pPr>
              <w:keepNext/>
              <w:spacing w:before="100" w:beforeAutospacing="1" w:line="440" w:lineRule="exact"/>
              <w:ind w:right="63"/>
              <w:jc w:val="center"/>
              <w:rPr>
                <w:rFonts w:ascii="宋体" w:hAnsi="宋体" w:eastAsia="宋体" w:cs="Times New Roman"/>
                <w:sz w:val="21"/>
                <w:szCs w:val="21"/>
              </w:rPr>
            </w:pPr>
          </w:p>
        </w:tc>
        <w:tc>
          <w:tcPr>
            <w:tcW w:w="1418" w:type="dxa"/>
            <w:tcBorders>
              <w:top w:val="nil"/>
              <w:left w:val="single" w:color="auto" w:sz="6" w:space="0"/>
              <w:bottom w:val="single" w:color="auto" w:sz="6" w:space="0"/>
              <w:right w:val="single" w:color="auto" w:sz="6" w:space="0"/>
            </w:tcBorders>
          </w:tcPr>
          <w:p w14:paraId="7A98C6DD">
            <w:pPr>
              <w:keepNext/>
              <w:spacing w:before="100" w:beforeAutospacing="1" w:line="440" w:lineRule="exact"/>
              <w:ind w:right="63"/>
              <w:jc w:val="center"/>
              <w:rPr>
                <w:rFonts w:ascii="宋体" w:hAnsi="宋体" w:eastAsia="宋体" w:cs="Times New Roman"/>
                <w:sz w:val="21"/>
                <w:szCs w:val="21"/>
              </w:rPr>
            </w:pPr>
          </w:p>
        </w:tc>
        <w:tc>
          <w:tcPr>
            <w:tcW w:w="1701" w:type="dxa"/>
            <w:tcBorders>
              <w:top w:val="nil"/>
              <w:left w:val="single" w:color="auto" w:sz="6" w:space="0"/>
              <w:bottom w:val="single" w:color="auto" w:sz="6" w:space="0"/>
              <w:right w:val="single" w:color="auto" w:sz="12" w:space="0"/>
            </w:tcBorders>
          </w:tcPr>
          <w:p w14:paraId="7B0AB627">
            <w:pPr>
              <w:keepNext/>
              <w:spacing w:before="100" w:beforeAutospacing="1" w:line="440" w:lineRule="exact"/>
              <w:ind w:right="63"/>
              <w:jc w:val="center"/>
              <w:rPr>
                <w:rFonts w:ascii="宋体" w:hAnsi="宋体" w:eastAsia="宋体" w:cs="Times New Roman"/>
                <w:sz w:val="21"/>
                <w:szCs w:val="21"/>
              </w:rPr>
            </w:pPr>
          </w:p>
        </w:tc>
      </w:tr>
      <w:tr w14:paraId="247AF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CD1E1E4">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5489EF2">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5002DE0D">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7173CB1A">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5AD2B041">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3F9B82D">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4FD994ED">
            <w:pPr>
              <w:keepNext/>
              <w:spacing w:before="100" w:beforeAutospacing="1" w:line="440" w:lineRule="exact"/>
              <w:ind w:right="63"/>
              <w:jc w:val="center"/>
              <w:rPr>
                <w:rFonts w:ascii="宋体" w:hAnsi="宋体" w:eastAsia="宋体" w:cs="Times New Roman"/>
                <w:sz w:val="21"/>
                <w:szCs w:val="21"/>
              </w:rPr>
            </w:pPr>
          </w:p>
        </w:tc>
      </w:tr>
      <w:tr w14:paraId="5FFC12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58EEB74">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68BCCEBF">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30618014">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232F8FB7">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56DC1C0D">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536307B">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26D0A7D6">
            <w:pPr>
              <w:keepNext/>
              <w:spacing w:before="100" w:beforeAutospacing="1" w:line="440" w:lineRule="exact"/>
              <w:ind w:right="63"/>
              <w:jc w:val="center"/>
              <w:rPr>
                <w:rFonts w:ascii="宋体" w:hAnsi="宋体" w:eastAsia="宋体" w:cs="Times New Roman"/>
                <w:sz w:val="21"/>
                <w:szCs w:val="21"/>
              </w:rPr>
            </w:pPr>
          </w:p>
        </w:tc>
      </w:tr>
      <w:tr w14:paraId="285784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CED87C7">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E14E5D7">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EB3FB6A">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089B1086">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163D6CE6">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663E8ABD">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AD19F41">
            <w:pPr>
              <w:keepNext/>
              <w:spacing w:before="100" w:beforeAutospacing="1" w:line="440" w:lineRule="exact"/>
              <w:ind w:right="63"/>
              <w:jc w:val="center"/>
              <w:rPr>
                <w:rFonts w:ascii="宋体" w:hAnsi="宋体" w:eastAsia="宋体" w:cs="Times New Roman"/>
                <w:sz w:val="21"/>
                <w:szCs w:val="21"/>
              </w:rPr>
            </w:pPr>
          </w:p>
        </w:tc>
      </w:tr>
      <w:tr w14:paraId="67AED1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9D51759">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1547F977">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B7986E8">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A00F50B">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43C4C716">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0EA525F">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08A854CA">
            <w:pPr>
              <w:keepNext/>
              <w:spacing w:before="100" w:beforeAutospacing="1" w:line="440" w:lineRule="exact"/>
              <w:ind w:right="63"/>
              <w:jc w:val="center"/>
              <w:rPr>
                <w:rFonts w:ascii="宋体" w:hAnsi="宋体" w:eastAsia="宋体" w:cs="Times New Roman"/>
                <w:sz w:val="21"/>
                <w:szCs w:val="21"/>
              </w:rPr>
            </w:pPr>
          </w:p>
        </w:tc>
      </w:tr>
      <w:tr w14:paraId="1600C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8FB92E4">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43E48B4">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1792AD6D">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8A164B8">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7EB38EBA">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CD176DA">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A73747C">
            <w:pPr>
              <w:keepNext/>
              <w:spacing w:before="100" w:beforeAutospacing="1" w:line="440" w:lineRule="exact"/>
              <w:ind w:right="63"/>
              <w:jc w:val="center"/>
              <w:rPr>
                <w:rFonts w:ascii="宋体" w:hAnsi="宋体" w:eastAsia="宋体" w:cs="Times New Roman"/>
                <w:sz w:val="21"/>
                <w:szCs w:val="21"/>
              </w:rPr>
            </w:pPr>
          </w:p>
        </w:tc>
      </w:tr>
      <w:tr w14:paraId="1B0DE4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A7661CC">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4895231C">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004D3017">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379FF2EE">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666349BA">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E75BC4C">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009877AF">
            <w:pPr>
              <w:keepNext/>
              <w:spacing w:before="100" w:beforeAutospacing="1" w:line="440" w:lineRule="exact"/>
              <w:ind w:right="63"/>
              <w:jc w:val="center"/>
              <w:rPr>
                <w:rFonts w:ascii="宋体" w:hAnsi="宋体" w:eastAsia="宋体" w:cs="Times New Roman"/>
                <w:sz w:val="21"/>
                <w:szCs w:val="21"/>
              </w:rPr>
            </w:pPr>
          </w:p>
        </w:tc>
      </w:tr>
      <w:tr w14:paraId="603981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430CBF9">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2BDB792">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015846C1">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18F84086">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3659FFE8">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BE33CA2">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4EC34676">
            <w:pPr>
              <w:keepNext/>
              <w:spacing w:before="100" w:beforeAutospacing="1" w:line="440" w:lineRule="exact"/>
              <w:ind w:right="63"/>
              <w:jc w:val="center"/>
              <w:rPr>
                <w:rFonts w:ascii="宋体" w:hAnsi="宋体" w:eastAsia="宋体" w:cs="Times New Roman"/>
                <w:sz w:val="21"/>
                <w:szCs w:val="21"/>
              </w:rPr>
            </w:pPr>
          </w:p>
        </w:tc>
      </w:tr>
      <w:tr w14:paraId="269772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193BC6A">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86CD146">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1785CE7D">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61EF2B10">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1D80362B">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7431DB49">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6AD4D043">
            <w:pPr>
              <w:keepNext/>
              <w:spacing w:before="100" w:beforeAutospacing="1" w:line="440" w:lineRule="exact"/>
              <w:ind w:right="63"/>
              <w:jc w:val="center"/>
              <w:rPr>
                <w:rFonts w:ascii="宋体" w:hAnsi="宋体" w:eastAsia="宋体" w:cs="Times New Roman"/>
                <w:sz w:val="21"/>
                <w:szCs w:val="21"/>
              </w:rPr>
            </w:pPr>
          </w:p>
        </w:tc>
      </w:tr>
      <w:tr w14:paraId="314120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F1BDDF3">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0E0D975">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1F899AC7">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2E056198">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4F3A0210">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EA88A71">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450D6F0F">
            <w:pPr>
              <w:keepNext/>
              <w:spacing w:before="100" w:beforeAutospacing="1" w:line="440" w:lineRule="exact"/>
              <w:ind w:right="63"/>
              <w:jc w:val="center"/>
              <w:rPr>
                <w:rFonts w:ascii="宋体" w:hAnsi="宋体" w:eastAsia="宋体" w:cs="Times New Roman"/>
                <w:sz w:val="21"/>
                <w:szCs w:val="21"/>
              </w:rPr>
            </w:pPr>
          </w:p>
        </w:tc>
      </w:tr>
      <w:tr w14:paraId="45FC6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A79CE7E">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774C791">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3268BE3E">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413275BD">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48401B99">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584DA50">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24769983">
            <w:pPr>
              <w:keepNext/>
              <w:spacing w:before="100" w:beforeAutospacing="1" w:line="440" w:lineRule="exact"/>
              <w:ind w:right="63"/>
              <w:jc w:val="center"/>
              <w:rPr>
                <w:rFonts w:ascii="宋体" w:hAnsi="宋体" w:eastAsia="宋体" w:cs="Times New Roman"/>
                <w:sz w:val="21"/>
                <w:szCs w:val="21"/>
              </w:rPr>
            </w:pPr>
          </w:p>
        </w:tc>
      </w:tr>
      <w:tr w14:paraId="4A1926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75CA4CD">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9AF51F5">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5BD9E104">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19A21CF6">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5F7A7FE6">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36EE7FDF">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759782AD">
            <w:pPr>
              <w:keepNext/>
              <w:spacing w:before="100" w:beforeAutospacing="1" w:line="440" w:lineRule="exact"/>
              <w:ind w:right="63"/>
              <w:jc w:val="center"/>
              <w:rPr>
                <w:rFonts w:ascii="宋体" w:hAnsi="宋体" w:eastAsia="宋体" w:cs="Times New Roman"/>
                <w:sz w:val="21"/>
                <w:szCs w:val="21"/>
              </w:rPr>
            </w:pPr>
          </w:p>
        </w:tc>
      </w:tr>
      <w:tr w14:paraId="0654A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856D49F">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1E22122">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4C9812D8">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73B88236">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3ECE05F3">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10D80A5">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6BD412E6">
            <w:pPr>
              <w:keepNext/>
              <w:spacing w:before="100" w:beforeAutospacing="1" w:line="440" w:lineRule="exact"/>
              <w:ind w:right="63"/>
              <w:jc w:val="center"/>
              <w:rPr>
                <w:rFonts w:ascii="宋体" w:hAnsi="宋体" w:eastAsia="宋体" w:cs="Times New Roman"/>
                <w:sz w:val="21"/>
                <w:szCs w:val="21"/>
              </w:rPr>
            </w:pPr>
          </w:p>
        </w:tc>
      </w:tr>
      <w:tr w14:paraId="034B9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730E87F">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745FACD">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CD13329">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7F2EB6EE">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764EB443">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38B5B8F">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8AF4590">
            <w:pPr>
              <w:keepNext/>
              <w:spacing w:before="100" w:beforeAutospacing="1" w:line="440" w:lineRule="exact"/>
              <w:ind w:right="63"/>
              <w:jc w:val="center"/>
              <w:rPr>
                <w:rFonts w:ascii="宋体" w:hAnsi="宋体" w:eastAsia="宋体" w:cs="Times New Roman"/>
                <w:sz w:val="21"/>
                <w:szCs w:val="21"/>
              </w:rPr>
            </w:pPr>
          </w:p>
        </w:tc>
      </w:tr>
      <w:tr w14:paraId="3D9ED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48E3742">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268502A">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76191E3">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76C073EF">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2A701831">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CEC4D4F">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81DD3B4">
            <w:pPr>
              <w:keepNext/>
              <w:spacing w:before="100" w:beforeAutospacing="1" w:line="440" w:lineRule="exact"/>
              <w:ind w:right="63"/>
              <w:jc w:val="center"/>
              <w:rPr>
                <w:rFonts w:ascii="宋体" w:hAnsi="宋体" w:eastAsia="宋体" w:cs="Times New Roman"/>
                <w:sz w:val="21"/>
                <w:szCs w:val="21"/>
              </w:rPr>
            </w:pPr>
          </w:p>
        </w:tc>
      </w:tr>
      <w:tr w14:paraId="20E9D3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0BC2BFE">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147E9DDC">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7D5563AD">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B2811BD">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34645A46">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4AF26025">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B15BB3E">
            <w:pPr>
              <w:keepNext/>
              <w:spacing w:before="100" w:beforeAutospacing="1" w:line="440" w:lineRule="exact"/>
              <w:ind w:right="63"/>
              <w:jc w:val="center"/>
              <w:rPr>
                <w:rFonts w:ascii="宋体" w:hAnsi="宋体" w:eastAsia="宋体" w:cs="Times New Roman"/>
                <w:sz w:val="21"/>
                <w:szCs w:val="21"/>
              </w:rPr>
            </w:pPr>
          </w:p>
        </w:tc>
      </w:tr>
      <w:tr w14:paraId="20ECC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AEA3FB0">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A4CAF7E">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4BE1777C">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06EB6141">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105C7007">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6A57771">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0B2BB88C">
            <w:pPr>
              <w:keepNext/>
              <w:spacing w:before="100" w:beforeAutospacing="1" w:line="440" w:lineRule="exact"/>
              <w:ind w:right="63"/>
              <w:jc w:val="center"/>
              <w:rPr>
                <w:rFonts w:ascii="宋体" w:hAnsi="宋体" w:eastAsia="宋体" w:cs="Times New Roman"/>
                <w:sz w:val="21"/>
                <w:szCs w:val="21"/>
              </w:rPr>
            </w:pPr>
          </w:p>
        </w:tc>
      </w:tr>
      <w:tr w14:paraId="03D8F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2F76580">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84B8EEA">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6DEBAABE">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7AACC3DF">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0B442F95">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4E1F3893">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471AE527">
            <w:pPr>
              <w:keepNext/>
              <w:spacing w:before="100" w:beforeAutospacing="1" w:line="440" w:lineRule="exact"/>
              <w:ind w:right="63"/>
              <w:jc w:val="center"/>
              <w:rPr>
                <w:rFonts w:ascii="宋体" w:hAnsi="宋体" w:eastAsia="宋体" w:cs="Times New Roman"/>
                <w:sz w:val="21"/>
                <w:szCs w:val="21"/>
              </w:rPr>
            </w:pPr>
          </w:p>
        </w:tc>
      </w:tr>
      <w:tr w14:paraId="3124C7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CE783D5">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421DFD75">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11C0EA37">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7E1BE7E">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73E239FC">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24C95199">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28DCF21C">
            <w:pPr>
              <w:keepNext/>
              <w:spacing w:before="100" w:beforeAutospacing="1" w:line="440" w:lineRule="exact"/>
              <w:ind w:right="63"/>
              <w:jc w:val="center"/>
              <w:rPr>
                <w:rFonts w:ascii="宋体" w:hAnsi="宋体" w:eastAsia="宋体" w:cs="Times New Roman"/>
                <w:sz w:val="21"/>
                <w:szCs w:val="21"/>
              </w:rPr>
            </w:pPr>
          </w:p>
        </w:tc>
      </w:tr>
      <w:tr w14:paraId="557285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98449ED">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3FD18F4">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84A2D12">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32451D53">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0E93D87C">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7BEF2F9F">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02903BAE">
            <w:pPr>
              <w:keepNext/>
              <w:spacing w:before="100" w:beforeAutospacing="1" w:line="440" w:lineRule="exact"/>
              <w:ind w:right="63"/>
              <w:jc w:val="center"/>
              <w:rPr>
                <w:rFonts w:ascii="宋体" w:hAnsi="宋体" w:eastAsia="宋体" w:cs="Times New Roman"/>
                <w:sz w:val="21"/>
                <w:szCs w:val="21"/>
              </w:rPr>
            </w:pPr>
          </w:p>
        </w:tc>
      </w:tr>
      <w:tr w14:paraId="506C97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CA3F54B">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6551769">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EE38AC2">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65EA9C1">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1DB1007A">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806DFC0">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2B2BC09D">
            <w:pPr>
              <w:keepNext/>
              <w:spacing w:before="100" w:beforeAutospacing="1" w:line="440" w:lineRule="exact"/>
              <w:ind w:right="63"/>
              <w:jc w:val="center"/>
              <w:rPr>
                <w:rFonts w:ascii="宋体" w:hAnsi="宋体" w:eastAsia="宋体" w:cs="Times New Roman"/>
                <w:sz w:val="21"/>
                <w:szCs w:val="21"/>
              </w:rPr>
            </w:pPr>
          </w:p>
        </w:tc>
      </w:tr>
      <w:tr w14:paraId="098173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B26375E">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62FD266">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9181169">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1CF2A06F">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62098881">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8B872CA">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40E4BE19">
            <w:pPr>
              <w:keepNext/>
              <w:spacing w:before="100" w:beforeAutospacing="1" w:line="440" w:lineRule="exact"/>
              <w:ind w:right="63"/>
              <w:jc w:val="center"/>
              <w:rPr>
                <w:rFonts w:ascii="宋体" w:hAnsi="宋体" w:eastAsia="宋体" w:cs="Times New Roman"/>
                <w:sz w:val="21"/>
                <w:szCs w:val="21"/>
              </w:rPr>
            </w:pPr>
          </w:p>
        </w:tc>
      </w:tr>
      <w:tr w14:paraId="016FA5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BAAD854">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F583EB6">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3869732F">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02B5D280">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4450C865">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FB4E092">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942B51B">
            <w:pPr>
              <w:keepNext/>
              <w:spacing w:before="100" w:beforeAutospacing="1" w:line="440" w:lineRule="exact"/>
              <w:ind w:right="63"/>
              <w:jc w:val="center"/>
              <w:rPr>
                <w:rFonts w:ascii="宋体" w:hAnsi="宋体" w:eastAsia="宋体" w:cs="Times New Roman"/>
                <w:sz w:val="21"/>
                <w:szCs w:val="21"/>
              </w:rPr>
            </w:pPr>
          </w:p>
        </w:tc>
      </w:tr>
      <w:tr w14:paraId="1344A2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tcPr>
          <w:p w14:paraId="5F641901">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12" w:space="0"/>
              <w:right w:val="single" w:color="auto" w:sz="6" w:space="0"/>
            </w:tcBorders>
          </w:tcPr>
          <w:p w14:paraId="40D61F28">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12" w:space="0"/>
              <w:right w:val="single" w:color="auto" w:sz="6" w:space="0"/>
            </w:tcBorders>
          </w:tcPr>
          <w:p w14:paraId="4B7E46B7">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12" w:space="0"/>
              <w:right w:val="single" w:color="auto" w:sz="6" w:space="0"/>
            </w:tcBorders>
          </w:tcPr>
          <w:p w14:paraId="044E5788">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12" w:space="0"/>
              <w:right w:val="single" w:color="auto" w:sz="6" w:space="0"/>
            </w:tcBorders>
          </w:tcPr>
          <w:p w14:paraId="7718BBB6">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12" w:space="0"/>
              <w:right w:val="single" w:color="auto" w:sz="6" w:space="0"/>
            </w:tcBorders>
          </w:tcPr>
          <w:p w14:paraId="68B8945E">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12" w:space="0"/>
              <w:right w:val="single" w:color="auto" w:sz="12" w:space="0"/>
            </w:tcBorders>
          </w:tcPr>
          <w:p w14:paraId="28B6E348">
            <w:pPr>
              <w:keepNext/>
              <w:spacing w:before="100" w:beforeAutospacing="1" w:line="440" w:lineRule="exact"/>
              <w:ind w:right="63"/>
              <w:jc w:val="center"/>
              <w:rPr>
                <w:rFonts w:ascii="宋体" w:hAnsi="宋体" w:eastAsia="宋体" w:cs="Times New Roman"/>
                <w:sz w:val="21"/>
                <w:szCs w:val="21"/>
              </w:rPr>
            </w:pPr>
          </w:p>
        </w:tc>
      </w:tr>
    </w:tbl>
    <w:p w14:paraId="5108B238">
      <w:pPr>
        <w:rPr>
          <w:rFonts w:ascii="宋体" w:hAnsi="宋体" w:eastAsia="宋体" w:cs="Times New Roman"/>
          <w:sz w:val="21"/>
          <w:szCs w:val="21"/>
        </w:rPr>
      </w:pPr>
      <w:r>
        <w:rPr>
          <w:rFonts w:hint="eastAsia" w:ascii="宋体" w:hAnsi="宋体" w:eastAsia="宋体" w:cs="Times New Roman"/>
          <w:sz w:val="21"/>
          <w:szCs w:val="21"/>
        </w:rPr>
        <w:br w:type="page"/>
      </w:r>
    </w:p>
    <w:p w14:paraId="524E6488">
      <w:pPr>
        <w:spacing w:before="100" w:beforeAutospacing="1" w:after="120"/>
        <w:jc w:val="center"/>
        <w:rPr>
          <w:rFonts w:ascii="宋体" w:hAnsi="宋体" w:eastAsia="宋体" w:cs="Times New Roman"/>
          <w:sz w:val="21"/>
          <w:szCs w:val="21"/>
        </w:rPr>
      </w:pPr>
      <w:r>
        <w:rPr>
          <w:rFonts w:hint="eastAsia" w:ascii="宋体" w:hAnsi="宋体" w:eastAsia="宋体" w:cs="Times New Roman"/>
          <w:sz w:val="21"/>
          <w:szCs w:val="21"/>
        </w:rPr>
        <w:t>11-2：工程设备暂估价表</w:t>
      </w:r>
    </w:p>
    <w:tbl>
      <w:tblPr>
        <w:tblStyle w:val="65"/>
        <w:tblW w:w="0" w:type="auto"/>
        <w:tblInd w:w="-3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CF67E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2" w:space="0"/>
              <w:right w:val="single" w:color="auto" w:sz="6" w:space="0"/>
            </w:tcBorders>
          </w:tcPr>
          <w:p w14:paraId="7596000B">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序号</w:t>
            </w:r>
          </w:p>
        </w:tc>
        <w:tc>
          <w:tcPr>
            <w:tcW w:w="1984" w:type="dxa"/>
            <w:tcBorders>
              <w:top w:val="single" w:color="auto" w:sz="12" w:space="0"/>
              <w:left w:val="single" w:color="auto" w:sz="6" w:space="0"/>
              <w:bottom w:val="double" w:color="auto" w:sz="2" w:space="0"/>
              <w:right w:val="single" w:color="auto" w:sz="6" w:space="0"/>
            </w:tcBorders>
          </w:tcPr>
          <w:p w14:paraId="1FDDA39B">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名称</w:t>
            </w:r>
          </w:p>
        </w:tc>
        <w:tc>
          <w:tcPr>
            <w:tcW w:w="851" w:type="dxa"/>
            <w:tcBorders>
              <w:top w:val="single" w:color="auto" w:sz="12" w:space="0"/>
              <w:left w:val="single" w:color="auto" w:sz="6" w:space="0"/>
              <w:bottom w:val="double" w:color="auto" w:sz="2" w:space="0"/>
              <w:right w:val="single" w:color="auto" w:sz="6" w:space="0"/>
            </w:tcBorders>
          </w:tcPr>
          <w:p w14:paraId="5A53DFDE">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单位</w:t>
            </w:r>
          </w:p>
        </w:tc>
        <w:tc>
          <w:tcPr>
            <w:tcW w:w="774" w:type="dxa"/>
            <w:tcBorders>
              <w:top w:val="single" w:color="auto" w:sz="12" w:space="0"/>
              <w:left w:val="single" w:color="auto" w:sz="6" w:space="0"/>
              <w:bottom w:val="double" w:color="auto" w:sz="2" w:space="0"/>
              <w:right w:val="single" w:color="auto" w:sz="6" w:space="0"/>
            </w:tcBorders>
          </w:tcPr>
          <w:p w14:paraId="507CEBC8">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数量</w:t>
            </w:r>
          </w:p>
        </w:tc>
        <w:tc>
          <w:tcPr>
            <w:tcW w:w="1352" w:type="dxa"/>
            <w:tcBorders>
              <w:top w:val="single" w:color="auto" w:sz="12" w:space="0"/>
              <w:left w:val="single" w:color="auto" w:sz="6" w:space="0"/>
              <w:bottom w:val="double" w:color="auto" w:sz="2" w:space="0"/>
              <w:right w:val="single" w:color="auto" w:sz="6" w:space="0"/>
            </w:tcBorders>
          </w:tcPr>
          <w:p w14:paraId="0E38DC12">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单价（元）</w:t>
            </w:r>
          </w:p>
        </w:tc>
        <w:tc>
          <w:tcPr>
            <w:tcW w:w="1418" w:type="dxa"/>
            <w:tcBorders>
              <w:top w:val="single" w:color="auto" w:sz="12" w:space="0"/>
              <w:left w:val="single" w:color="auto" w:sz="6" w:space="0"/>
              <w:bottom w:val="double" w:color="auto" w:sz="2" w:space="0"/>
              <w:right w:val="single" w:color="auto" w:sz="6" w:space="0"/>
            </w:tcBorders>
          </w:tcPr>
          <w:p w14:paraId="78133B3A">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合价（元）</w:t>
            </w:r>
          </w:p>
        </w:tc>
        <w:tc>
          <w:tcPr>
            <w:tcW w:w="1701" w:type="dxa"/>
            <w:tcBorders>
              <w:top w:val="single" w:color="auto" w:sz="12" w:space="0"/>
              <w:left w:val="single" w:color="auto" w:sz="6" w:space="0"/>
              <w:bottom w:val="double" w:color="auto" w:sz="2" w:space="0"/>
              <w:right w:val="single" w:color="auto" w:sz="12" w:space="0"/>
            </w:tcBorders>
          </w:tcPr>
          <w:p w14:paraId="39D6F7A5">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备注</w:t>
            </w:r>
          </w:p>
        </w:tc>
      </w:tr>
      <w:tr w14:paraId="66B8B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2" w:space="0"/>
              <w:left w:val="single" w:color="auto" w:sz="12" w:space="0"/>
              <w:bottom w:val="single" w:color="auto" w:sz="6" w:space="0"/>
              <w:right w:val="single" w:color="auto" w:sz="6" w:space="0"/>
            </w:tcBorders>
          </w:tcPr>
          <w:p w14:paraId="03A05902">
            <w:pPr>
              <w:keepNext/>
              <w:spacing w:before="100" w:beforeAutospacing="1" w:line="440" w:lineRule="exact"/>
              <w:ind w:right="63"/>
              <w:jc w:val="center"/>
              <w:rPr>
                <w:rFonts w:ascii="宋体" w:hAnsi="宋体" w:eastAsia="宋体" w:cs="Times New Roman"/>
                <w:sz w:val="21"/>
                <w:szCs w:val="21"/>
              </w:rPr>
            </w:pPr>
          </w:p>
        </w:tc>
        <w:tc>
          <w:tcPr>
            <w:tcW w:w="1984" w:type="dxa"/>
            <w:tcBorders>
              <w:top w:val="double" w:color="auto" w:sz="2" w:space="0"/>
              <w:left w:val="single" w:color="auto" w:sz="6" w:space="0"/>
              <w:bottom w:val="single" w:color="auto" w:sz="6" w:space="0"/>
              <w:right w:val="single" w:color="auto" w:sz="6" w:space="0"/>
            </w:tcBorders>
          </w:tcPr>
          <w:p w14:paraId="4643CE71">
            <w:pPr>
              <w:keepNext/>
              <w:spacing w:before="100" w:beforeAutospacing="1" w:line="440" w:lineRule="exact"/>
              <w:ind w:right="63"/>
              <w:jc w:val="center"/>
              <w:rPr>
                <w:rFonts w:ascii="宋体" w:hAnsi="宋体" w:eastAsia="宋体" w:cs="Times New Roman"/>
                <w:sz w:val="21"/>
                <w:szCs w:val="21"/>
              </w:rPr>
            </w:pPr>
          </w:p>
        </w:tc>
        <w:tc>
          <w:tcPr>
            <w:tcW w:w="851" w:type="dxa"/>
            <w:tcBorders>
              <w:top w:val="double" w:color="auto" w:sz="2" w:space="0"/>
              <w:left w:val="single" w:color="auto" w:sz="6" w:space="0"/>
              <w:bottom w:val="single" w:color="auto" w:sz="6" w:space="0"/>
              <w:right w:val="single" w:color="auto" w:sz="6" w:space="0"/>
            </w:tcBorders>
          </w:tcPr>
          <w:p w14:paraId="7C27E315">
            <w:pPr>
              <w:keepNext/>
              <w:spacing w:before="100" w:beforeAutospacing="1" w:line="440" w:lineRule="exact"/>
              <w:ind w:right="63"/>
              <w:jc w:val="center"/>
              <w:rPr>
                <w:rFonts w:ascii="宋体" w:hAnsi="宋体" w:eastAsia="宋体" w:cs="Times New Roman"/>
                <w:sz w:val="21"/>
                <w:szCs w:val="21"/>
              </w:rPr>
            </w:pPr>
          </w:p>
        </w:tc>
        <w:tc>
          <w:tcPr>
            <w:tcW w:w="774" w:type="dxa"/>
            <w:tcBorders>
              <w:top w:val="double" w:color="auto" w:sz="2" w:space="0"/>
              <w:left w:val="single" w:color="auto" w:sz="6" w:space="0"/>
              <w:bottom w:val="single" w:color="auto" w:sz="6" w:space="0"/>
              <w:right w:val="single" w:color="auto" w:sz="6" w:space="0"/>
            </w:tcBorders>
          </w:tcPr>
          <w:p w14:paraId="26865E27">
            <w:pPr>
              <w:keepNext/>
              <w:spacing w:before="100" w:beforeAutospacing="1" w:line="440" w:lineRule="exact"/>
              <w:ind w:right="63"/>
              <w:jc w:val="center"/>
              <w:rPr>
                <w:rFonts w:ascii="宋体" w:hAnsi="宋体" w:eastAsia="宋体" w:cs="Times New Roman"/>
                <w:sz w:val="21"/>
                <w:szCs w:val="21"/>
              </w:rPr>
            </w:pPr>
          </w:p>
        </w:tc>
        <w:tc>
          <w:tcPr>
            <w:tcW w:w="1352" w:type="dxa"/>
            <w:tcBorders>
              <w:top w:val="double" w:color="auto" w:sz="2" w:space="0"/>
              <w:left w:val="single" w:color="auto" w:sz="6" w:space="0"/>
              <w:bottom w:val="single" w:color="auto" w:sz="6" w:space="0"/>
              <w:right w:val="single" w:color="auto" w:sz="6" w:space="0"/>
            </w:tcBorders>
          </w:tcPr>
          <w:p w14:paraId="4AE1C083">
            <w:pPr>
              <w:keepNext/>
              <w:spacing w:before="100" w:beforeAutospacing="1" w:line="440" w:lineRule="exact"/>
              <w:ind w:right="63"/>
              <w:jc w:val="center"/>
              <w:rPr>
                <w:rFonts w:ascii="宋体" w:hAnsi="宋体" w:eastAsia="宋体" w:cs="Times New Roman"/>
                <w:sz w:val="21"/>
                <w:szCs w:val="21"/>
              </w:rPr>
            </w:pPr>
          </w:p>
        </w:tc>
        <w:tc>
          <w:tcPr>
            <w:tcW w:w="1418" w:type="dxa"/>
            <w:tcBorders>
              <w:top w:val="double" w:color="auto" w:sz="2" w:space="0"/>
              <w:left w:val="single" w:color="auto" w:sz="6" w:space="0"/>
              <w:bottom w:val="single" w:color="auto" w:sz="6" w:space="0"/>
              <w:right w:val="single" w:color="auto" w:sz="6" w:space="0"/>
            </w:tcBorders>
          </w:tcPr>
          <w:p w14:paraId="0FAC8DE1">
            <w:pPr>
              <w:keepNext/>
              <w:spacing w:before="100" w:beforeAutospacing="1" w:line="440" w:lineRule="exact"/>
              <w:ind w:right="63"/>
              <w:jc w:val="center"/>
              <w:rPr>
                <w:rFonts w:ascii="宋体" w:hAnsi="宋体" w:eastAsia="宋体" w:cs="Times New Roman"/>
                <w:sz w:val="21"/>
                <w:szCs w:val="21"/>
              </w:rPr>
            </w:pPr>
          </w:p>
        </w:tc>
        <w:tc>
          <w:tcPr>
            <w:tcW w:w="1701" w:type="dxa"/>
            <w:tcBorders>
              <w:top w:val="double" w:color="auto" w:sz="2" w:space="0"/>
              <w:left w:val="single" w:color="auto" w:sz="6" w:space="0"/>
              <w:bottom w:val="single" w:color="auto" w:sz="6" w:space="0"/>
              <w:right w:val="single" w:color="auto" w:sz="12" w:space="0"/>
            </w:tcBorders>
          </w:tcPr>
          <w:p w14:paraId="0E1C5A9E">
            <w:pPr>
              <w:keepNext/>
              <w:spacing w:before="100" w:beforeAutospacing="1" w:line="440" w:lineRule="exact"/>
              <w:ind w:right="63"/>
              <w:jc w:val="center"/>
              <w:rPr>
                <w:rFonts w:ascii="宋体" w:hAnsi="宋体" w:eastAsia="宋体" w:cs="Times New Roman"/>
                <w:sz w:val="21"/>
                <w:szCs w:val="21"/>
              </w:rPr>
            </w:pPr>
          </w:p>
        </w:tc>
      </w:tr>
      <w:tr w14:paraId="73EBF6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14:paraId="4A42DB67">
            <w:pPr>
              <w:keepNext/>
              <w:spacing w:before="100" w:beforeAutospacing="1" w:line="440" w:lineRule="exact"/>
              <w:ind w:right="63"/>
              <w:jc w:val="center"/>
              <w:rPr>
                <w:rFonts w:ascii="宋体" w:hAnsi="宋体" w:eastAsia="宋体" w:cs="Times New Roman"/>
                <w:sz w:val="21"/>
                <w:szCs w:val="21"/>
              </w:rPr>
            </w:pPr>
          </w:p>
        </w:tc>
        <w:tc>
          <w:tcPr>
            <w:tcW w:w="1984" w:type="dxa"/>
            <w:tcBorders>
              <w:top w:val="nil"/>
              <w:left w:val="single" w:color="auto" w:sz="6" w:space="0"/>
              <w:bottom w:val="single" w:color="auto" w:sz="6" w:space="0"/>
              <w:right w:val="single" w:color="auto" w:sz="6" w:space="0"/>
            </w:tcBorders>
          </w:tcPr>
          <w:p w14:paraId="24444F1A">
            <w:pPr>
              <w:keepNext/>
              <w:spacing w:before="100" w:beforeAutospacing="1" w:line="440" w:lineRule="exact"/>
              <w:ind w:right="63"/>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tcPr>
          <w:p w14:paraId="7FD11BA7">
            <w:pPr>
              <w:keepNext/>
              <w:spacing w:before="100" w:beforeAutospacing="1" w:line="440" w:lineRule="exact"/>
              <w:ind w:right="63"/>
              <w:jc w:val="center"/>
              <w:rPr>
                <w:rFonts w:ascii="宋体" w:hAnsi="宋体" w:eastAsia="宋体" w:cs="Times New Roman"/>
                <w:sz w:val="21"/>
                <w:szCs w:val="21"/>
              </w:rPr>
            </w:pPr>
          </w:p>
        </w:tc>
        <w:tc>
          <w:tcPr>
            <w:tcW w:w="774" w:type="dxa"/>
            <w:tcBorders>
              <w:top w:val="nil"/>
              <w:left w:val="single" w:color="auto" w:sz="6" w:space="0"/>
              <w:bottom w:val="single" w:color="auto" w:sz="6" w:space="0"/>
              <w:right w:val="single" w:color="auto" w:sz="6" w:space="0"/>
            </w:tcBorders>
          </w:tcPr>
          <w:p w14:paraId="2BD992BB">
            <w:pPr>
              <w:keepNext/>
              <w:spacing w:before="100" w:beforeAutospacing="1" w:line="440" w:lineRule="exact"/>
              <w:ind w:right="63"/>
              <w:jc w:val="center"/>
              <w:rPr>
                <w:rFonts w:ascii="宋体" w:hAnsi="宋体" w:eastAsia="宋体" w:cs="Times New Roman"/>
                <w:sz w:val="21"/>
                <w:szCs w:val="21"/>
              </w:rPr>
            </w:pPr>
          </w:p>
        </w:tc>
        <w:tc>
          <w:tcPr>
            <w:tcW w:w="1352" w:type="dxa"/>
            <w:tcBorders>
              <w:top w:val="nil"/>
              <w:left w:val="single" w:color="auto" w:sz="6" w:space="0"/>
              <w:bottom w:val="single" w:color="auto" w:sz="6" w:space="0"/>
              <w:right w:val="single" w:color="auto" w:sz="6" w:space="0"/>
            </w:tcBorders>
          </w:tcPr>
          <w:p w14:paraId="24F63142">
            <w:pPr>
              <w:keepNext/>
              <w:spacing w:before="100" w:beforeAutospacing="1" w:line="440" w:lineRule="exact"/>
              <w:ind w:right="63"/>
              <w:jc w:val="center"/>
              <w:rPr>
                <w:rFonts w:ascii="宋体" w:hAnsi="宋体" w:eastAsia="宋体" w:cs="Times New Roman"/>
                <w:sz w:val="21"/>
                <w:szCs w:val="21"/>
              </w:rPr>
            </w:pPr>
          </w:p>
        </w:tc>
        <w:tc>
          <w:tcPr>
            <w:tcW w:w="1418" w:type="dxa"/>
            <w:tcBorders>
              <w:top w:val="nil"/>
              <w:left w:val="single" w:color="auto" w:sz="6" w:space="0"/>
              <w:bottom w:val="single" w:color="auto" w:sz="6" w:space="0"/>
              <w:right w:val="single" w:color="auto" w:sz="6" w:space="0"/>
            </w:tcBorders>
          </w:tcPr>
          <w:p w14:paraId="491C5F97">
            <w:pPr>
              <w:keepNext/>
              <w:spacing w:before="100" w:beforeAutospacing="1" w:line="440" w:lineRule="exact"/>
              <w:ind w:right="63"/>
              <w:jc w:val="center"/>
              <w:rPr>
                <w:rFonts w:ascii="宋体" w:hAnsi="宋体" w:eastAsia="宋体" w:cs="Times New Roman"/>
                <w:sz w:val="21"/>
                <w:szCs w:val="21"/>
              </w:rPr>
            </w:pPr>
          </w:p>
        </w:tc>
        <w:tc>
          <w:tcPr>
            <w:tcW w:w="1701" w:type="dxa"/>
            <w:tcBorders>
              <w:top w:val="nil"/>
              <w:left w:val="single" w:color="auto" w:sz="6" w:space="0"/>
              <w:bottom w:val="single" w:color="auto" w:sz="6" w:space="0"/>
              <w:right w:val="single" w:color="auto" w:sz="12" w:space="0"/>
            </w:tcBorders>
          </w:tcPr>
          <w:p w14:paraId="1C8CDA08">
            <w:pPr>
              <w:keepNext/>
              <w:spacing w:before="100" w:beforeAutospacing="1" w:line="440" w:lineRule="exact"/>
              <w:ind w:right="63"/>
              <w:jc w:val="center"/>
              <w:rPr>
                <w:rFonts w:ascii="宋体" w:hAnsi="宋体" w:eastAsia="宋体" w:cs="Times New Roman"/>
                <w:sz w:val="21"/>
                <w:szCs w:val="21"/>
              </w:rPr>
            </w:pPr>
          </w:p>
        </w:tc>
      </w:tr>
      <w:tr w14:paraId="5983C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2792A0F">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4096323">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6B2B0726">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23357294">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2C5702F5">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4AD4A018">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04E9AF8E">
            <w:pPr>
              <w:keepNext/>
              <w:spacing w:before="100" w:beforeAutospacing="1" w:line="440" w:lineRule="exact"/>
              <w:ind w:right="63"/>
              <w:jc w:val="center"/>
              <w:rPr>
                <w:rFonts w:ascii="宋体" w:hAnsi="宋体" w:eastAsia="宋体" w:cs="Times New Roman"/>
                <w:sz w:val="21"/>
                <w:szCs w:val="21"/>
              </w:rPr>
            </w:pPr>
          </w:p>
        </w:tc>
      </w:tr>
      <w:tr w14:paraId="2E079F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521E89A">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1F47560">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1EE85AAE">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0626BCC0">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7F1E91E4">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C5B8BFA">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626C3CF">
            <w:pPr>
              <w:keepNext/>
              <w:spacing w:before="100" w:beforeAutospacing="1" w:line="440" w:lineRule="exact"/>
              <w:ind w:right="63"/>
              <w:jc w:val="center"/>
              <w:rPr>
                <w:rFonts w:ascii="宋体" w:hAnsi="宋体" w:eastAsia="宋体" w:cs="Times New Roman"/>
                <w:sz w:val="21"/>
                <w:szCs w:val="21"/>
              </w:rPr>
            </w:pPr>
          </w:p>
        </w:tc>
      </w:tr>
      <w:tr w14:paraId="4B08D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AA99466">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485FF5ED">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7D31DBD9">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39128DBE">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225ED7B7">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4937A1A5">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409D2E69">
            <w:pPr>
              <w:keepNext/>
              <w:spacing w:before="100" w:beforeAutospacing="1" w:line="440" w:lineRule="exact"/>
              <w:ind w:right="63"/>
              <w:jc w:val="center"/>
              <w:rPr>
                <w:rFonts w:ascii="宋体" w:hAnsi="宋体" w:eastAsia="宋体" w:cs="Times New Roman"/>
                <w:sz w:val="21"/>
                <w:szCs w:val="21"/>
              </w:rPr>
            </w:pPr>
          </w:p>
        </w:tc>
      </w:tr>
      <w:tr w14:paraId="13C7E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4B5FB42">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4E38105">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3E79FD97">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C13ED37">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0B44E306">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6D07D685">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03A4FB4">
            <w:pPr>
              <w:keepNext/>
              <w:spacing w:before="100" w:beforeAutospacing="1" w:line="440" w:lineRule="exact"/>
              <w:ind w:right="63"/>
              <w:jc w:val="center"/>
              <w:rPr>
                <w:rFonts w:ascii="宋体" w:hAnsi="宋体" w:eastAsia="宋体" w:cs="Times New Roman"/>
                <w:sz w:val="21"/>
                <w:szCs w:val="21"/>
              </w:rPr>
            </w:pPr>
          </w:p>
        </w:tc>
      </w:tr>
      <w:tr w14:paraId="2CAE0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3E67CF9">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30F7467">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04C99442">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CBAB238">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13DB2AC4">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3254D658">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B2A85D8">
            <w:pPr>
              <w:keepNext/>
              <w:spacing w:before="100" w:beforeAutospacing="1" w:line="440" w:lineRule="exact"/>
              <w:ind w:right="63"/>
              <w:jc w:val="center"/>
              <w:rPr>
                <w:rFonts w:ascii="宋体" w:hAnsi="宋体" w:eastAsia="宋体" w:cs="Times New Roman"/>
                <w:sz w:val="21"/>
                <w:szCs w:val="21"/>
              </w:rPr>
            </w:pPr>
          </w:p>
        </w:tc>
      </w:tr>
      <w:tr w14:paraId="0E4000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FB65C91">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C439465">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539202AC">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275112A6">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63EFE9B4">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3BF7589">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1EDEDAE9">
            <w:pPr>
              <w:keepNext/>
              <w:spacing w:before="100" w:beforeAutospacing="1" w:line="440" w:lineRule="exact"/>
              <w:ind w:right="63"/>
              <w:jc w:val="center"/>
              <w:rPr>
                <w:rFonts w:ascii="宋体" w:hAnsi="宋体" w:eastAsia="宋体" w:cs="Times New Roman"/>
                <w:sz w:val="21"/>
                <w:szCs w:val="21"/>
              </w:rPr>
            </w:pPr>
          </w:p>
        </w:tc>
      </w:tr>
      <w:tr w14:paraId="10B2A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F695917">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1BDAE6A">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71F25642">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460A36DB">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2A16C331">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48FBC4C">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65B6FAB0">
            <w:pPr>
              <w:keepNext/>
              <w:spacing w:before="100" w:beforeAutospacing="1" w:line="440" w:lineRule="exact"/>
              <w:ind w:right="63"/>
              <w:jc w:val="center"/>
              <w:rPr>
                <w:rFonts w:ascii="宋体" w:hAnsi="宋体" w:eastAsia="宋体" w:cs="Times New Roman"/>
                <w:sz w:val="21"/>
                <w:szCs w:val="21"/>
              </w:rPr>
            </w:pPr>
          </w:p>
        </w:tc>
      </w:tr>
      <w:tr w14:paraId="3FB7B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412F47B">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FF21A5A">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1BB4983F">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4204D712">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0F5E8F61">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6ABF0959">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7DAD6740">
            <w:pPr>
              <w:keepNext/>
              <w:spacing w:before="100" w:beforeAutospacing="1" w:line="440" w:lineRule="exact"/>
              <w:ind w:right="63"/>
              <w:jc w:val="center"/>
              <w:rPr>
                <w:rFonts w:ascii="宋体" w:hAnsi="宋体" w:eastAsia="宋体" w:cs="Times New Roman"/>
                <w:sz w:val="21"/>
                <w:szCs w:val="21"/>
              </w:rPr>
            </w:pPr>
          </w:p>
        </w:tc>
      </w:tr>
      <w:tr w14:paraId="339D8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268B5F7">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DB9DE61">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5D9E1D3B">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6E4DE939">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00D6C5CA">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B72FC04">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2393E72E">
            <w:pPr>
              <w:keepNext/>
              <w:spacing w:before="100" w:beforeAutospacing="1" w:line="440" w:lineRule="exact"/>
              <w:ind w:right="63"/>
              <w:jc w:val="center"/>
              <w:rPr>
                <w:rFonts w:ascii="宋体" w:hAnsi="宋体" w:eastAsia="宋体" w:cs="Times New Roman"/>
                <w:sz w:val="21"/>
                <w:szCs w:val="21"/>
              </w:rPr>
            </w:pPr>
          </w:p>
        </w:tc>
      </w:tr>
      <w:tr w14:paraId="620BF1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9051E4C">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D5FE47B">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3B0C6A2B">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CBD1708">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0D4CB0C3">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49C8F106">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304DE090">
            <w:pPr>
              <w:keepNext/>
              <w:spacing w:before="100" w:beforeAutospacing="1" w:line="440" w:lineRule="exact"/>
              <w:ind w:right="63"/>
              <w:jc w:val="center"/>
              <w:rPr>
                <w:rFonts w:ascii="宋体" w:hAnsi="宋体" w:eastAsia="宋体" w:cs="Times New Roman"/>
                <w:sz w:val="21"/>
                <w:szCs w:val="21"/>
              </w:rPr>
            </w:pPr>
          </w:p>
        </w:tc>
      </w:tr>
      <w:tr w14:paraId="47E9E0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A561BC8">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2DDC3C7">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4B96B285">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08FF88E6">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4F2FB08A">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690B153F">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3382BB8A">
            <w:pPr>
              <w:keepNext/>
              <w:spacing w:before="100" w:beforeAutospacing="1" w:line="440" w:lineRule="exact"/>
              <w:ind w:right="63"/>
              <w:jc w:val="center"/>
              <w:rPr>
                <w:rFonts w:ascii="宋体" w:hAnsi="宋体" w:eastAsia="宋体" w:cs="Times New Roman"/>
                <w:sz w:val="21"/>
                <w:szCs w:val="21"/>
              </w:rPr>
            </w:pPr>
          </w:p>
        </w:tc>
      </w:tr>
      <w:tr w14:paraId="0C7B8D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7CB7993">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6071E8B2">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3A9A91A3">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120DD3C2">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5D19A746">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EFB3821">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1F5B2492">
            <w:pPr>
              <w:keepNext/>
              <w:spacing w:before="100" w:beforeAutospacing="1" w:line="440" w:lineRule="exact"/>
              <w:ind w:right="63"/>
              <w:jc w:val="center"/>
              <w:rPr>
                <w:rFonts w:ascii="宋体" w:hAnsi="宋体" w:eastAsia="宋体" w:cs="Times New Roman"/>
                <w:sz w:val="21"/>
                <w:szCs w:val="21"/>
              </w:rPr>
            </w:pPr>
          </w:p>
        </w:tc>
      </w:tr>
      <w:tr w14:paraId="2B2A3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5066CF8">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53815AF">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55049DC0">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1ECBF71A">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6C4D2A6B">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CDA96F4">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1C13730">
            <w:pPr>
              <w:keepNext/>
              <w:spacing w:before="100" w:beforeAutospacing="1" w:line="440" w:lineRule="exact"/>
              <w:ind w:right="63"/>
              <w:jc w:val="center"/>
              <w:rPr>
                <w:rFonts w:ascii="宋体" w:hAnsi="宋体" w:eastAsia="宋体" w:cs="Times New Roman"/>
                <w:sz w:val="21"/>
                <w:szCs w:val="21"/>
              </w:rPr>
            </w:pPr>
          </w:p>
        </w:tc>
      </w:tr>
      <w:tr w14:paraId="1C96F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E564711">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DA83C9E">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7DD4D9C2">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2F25E34F">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763D96DB">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DA0D5DD">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456B48F1">
            <w:pPr>
              <w:keepNext/>
              <w:spacing w:before="100" w:beforeAutospacing="1" w:line="440" w:lineRule="exact"/>
              <w:ind w:right="63"/>
              <w:jc w:val="center"/>
              <w:rPr>
                <w:rFonts w:ascii="宋体" w:hAnsi="宋体" w:eastAsia="宋体" w:cs="Times New Roman"/>
                <w:sz w:val="21"/>
                <w:szCs w:val="21"/>
              </w:rPr>
            </w:pPr>
          </w:p>
        </w:tc>
      </w:tr>
      <w:tr w14:paraId="6472A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036FEEF">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4EAA7CE">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76D67ADD">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79C9C320">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5376006D">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77E863A">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2FC13797">
            <w:pPr>
              <w:keepNext/>
              <w:spacing w:before="100" w:beforeAutospacing="1" w:line="440" w:lineRule="exact"/>
              <w:ind w:right="63"/>
              <w:jc w:val="center"/>
              <w:rPr>
                <w:rFonts w:ascii="宋体" w:hAnsi="宋体" w:eastAsia="宋体" w:cs="Times New Roman"/>
                <w:sz w:val="21"/>
                <w:szCs w:val="21"/>
              </w:rPr>
            </w:pPr>
          </w:p>
        </w:tc>
      </w:tr>
      <w:tr w14:paraId="4942A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AE8C6D3">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95B8B6E">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75AB575">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38E0B86F">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19C888C5">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268FA6DB">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B349590">
            <w:pPr>
              <w:keepNext/>
              <w:spacing w:before="100" w:beforeAutospacing="1" w:line="440" w:lineRule="exact"/>
              <w:ind w:right="63"/>
              <w:jc w:val="center"/>
              <w:rPr>
                <w:rFonts w:ascii="宋体" w:hAnsi="宋体" w:eastAsia="宋体" w:cs="Times New Roman"/>
                <w:sz w:val="21"/>
                <w:szCs w:val="21"/>
              </w:rPr>
            </w:pPr>
          </w:p>
        </w:tc>
      </w:tr>
      <w:tr w14:paraId="62273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3221545">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8EBEA81">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00CC21FA">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47C0BAFC">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38F55C7D">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2F6C21FA">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7FAC0FD4">
            <w:pPr>
              <w:keepNext/>
              <w:spacing w:before="100" w:beforeAutospacing="1" w:line="440" w:lineRule="exact"/>
              <w:ind w:right="63"/>
              <w:jc w:val="center"/>
              <w:rPr>
                <w:rFonts w:ascii="宋体" w:hAnsi="宋体" w:eastAsia="宋体" w:cs="Times New Roman"/>
                <w:sz w:val="21"/>
                <w:szCs w:val="21"/>
              </w:rPr>
            </w:pPr>
          </w:p>
        </w:tc>
      </w:tr>
      <w:tr w14:paraId="544D6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F06AFC2">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11ACF66A">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40F803F4">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19B74448">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44F9574A">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099657E">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0FC1C416">
            <w:pPr>
              <w:keepNext/>
              <w:spacing w:before="100" w:beforeAutospacing="1" w:line="440" w:lineRule="exact"/>
              <w:ind w:right="63"/>
              <w:jc w:val="center"/>
              <w:rPr>
                <w:rFonts w:ascii="宋体" w:hAnsi="宋体" w:eastAsia="宋体" w:cs="Times New Roman"/>
                <w:sz w:val="21"/>
                <w:szCs w:val="21"/>
              </w:rPr>
            </w:pPr>
          </w:p>
        </w:tc>
      </w:tr>
      <w:tr w14:paraId="7A90C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AB4CD42">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1E6B078">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57C55F85">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0764A972">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100E6395">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10B8808">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79E4B87C">
            <w:pPr>
              <w:keepNext/>
              <w:spacing w:before="100" w:beforeAutospacing="1" w:line="440" w:lineRule="exact"/>
              <w:ind w:right="63"/>
              <w:jc w:val="center"/>
              <w:rPr>
                <w:rFonts w:ascii="宋体" w:hAnsi="宋体" w:eastAsia="宋体" w:cs="Times New Roman"/>
                <w:sz w:val="21"/>
                <w:szCs w:val="21"/>
              </w:rPr>
            </w:pPr>
          </w:p>
        </w:tc>
      </w:tr>
      <w:tr w14:paraId="4B9BD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819AE8C">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4FD4EC59">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629950E4">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4E765673">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3DEC9D92">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B2130BD">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9710244">
            <w:pPr>
              <w:keepNext/>
              <w:spacing w:before="100" w:beforeAutospacing="1" w:line="440" w:lineRule="exact"/>
              <w:ind w:right="63"/>
              <w:jc w:val="center"/>
              <w:rPr>
                <w:rFonts w:ascii="宋体" w:hAnsi="宋体" w:eastAsia="宋体" w:cs="Times New Roman"/>
                <w:sz w:val="21"/>
                <w:szCs w:val="21"/>
              </w:rPr>
            </w:pPr>
          </w:p>
        </w:tc>
      </w:tr>
      <w:tr w14:paraId="068BF3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317B9AB">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9B91145">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5B43ADC4">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31F2065A">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5BF38005">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3AC791B9">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616DC88D">
            <w:pPr>
              <w:keepNext/>
              <w:spacing w:before="100" w:beforeAutospacing="1" w:line="440" w:lineRule="exact"/>
              <w:ind w:right="63"/>
              <w:jc w:val="center"/>
              <w:rPr>
                <w:rFonts w:ascii="宋体" w:hAnsi="宋体" w:eastAsia="宋体" w:cs="Times New Roman"/>
                <w:sz w:val="21"/>
                <w:szCs w:val="21"/>
              </w:rPr>
            </w:pPr>
          </w:p>
        </w:tc>
      </w:tr>
      <w:tr w14:paraId="5461B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7E00EA9">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CDEF121">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184820C1">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2B327827">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7C4972EB">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415146B5">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0F3691AE">
            <w:pPr>
              <w:keepNext/>
              <w:spacing w:before="100" w:beforeAutospacing="1" w:line="440" w:lineRule="exact"/>
              <w:ind w:right="63"/>
              <w:jc w:val="center"/>
              <w:rPr>
                <w:rFonts w:ascii="宋体" w:hAnsi="宋体" w:eastAsia="宋体" w:cs="Times New Roman"/>
                <w:sz w:val="21"/>
                <w:szCs w:val="21"/>
              </w:rPr>
            </w:pPr>
          </w:p>
        </w:tc>
      </w:tr>
      <w:tr w14:paraId="0F4384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tcPr>
          <w:p w14:paraId="53C0B6B6">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12" w:space="0"/>
              <w:right w:val="single" w:color="auto" w:sz="6" w:space="0"/>
            </w:tcBorders>
          </w:tcPr>
          <w:p w14:paraId="3F58FE1A">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12" w:space="0"/>
              <w:right w:val="single" w:color="auto" w:sz="6" w:space="0"/>
            </w:tcBorders>
          </w:tcPr>
          <w:p w14:paraId="66958D96">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12" w:space="0"/>
              <w:right w:val="single" w:color="auto" w:sz="6" w:space="0"/>
            </w:tcBorders>
          </w:tcPr>
          <w:p w14:paraId="7140C19C">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12" w:space="0"/>
              <w:right w:val="single" w:color="auto" w:sz="6" w:space="0"/>
            </w:tcBorders>
          </w:tcPr>
          <w:p w14:paraId="03EB5D22">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12" w:space="0"/>
              <w:right w:val="single" w:color="auto" w:sz="6" w:space="0"/>
            </w:tcBorders>
          </w:tcPr>
          <w:p w14:paraId="4FC28B47">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12" w:space="0"/>
              <w:right w:val="single" w:color="auto" w:sz="12" w:space="0"/>
            </w:tcBorders>
          </w:tcPr>
          <w:p w14:paraId="53F02F6F">
            <w:pPr>
              <w:keepNext/>
              <w:spacing w:before="100" w:beforeAutospacing="1" w:line="440" w:lineRule="exact"/>
              <w:ind w:right="63"/>
              <w:jc w:val="center"/>
              <w:rPr>
                <w:rFonts w:ascii="宋体" w:hAnsi="宋体" w:eastAsia="宋体" w:cs="Times New Roman"/>
                <w:sz w:val="21"/>
                <w:szCs w:val="21"/>
              </w:rPr>
            </w:pPr>
          </w:p>
        </w:tc>
      </w:tr>
    </w:tbl>
    <w:p w14:paraId="02FF23F9">
      <w:pPr>
        <w:spacing w:before="156" w:beforeLines="50" w:after="156" w:afterLines="50" w:line="440" w:lineRule="exact"/>
        <w:rPr>
          <w:rFonts w:ascii="宋体" w:hAnsi="宋体" w:eastAsia="宋体" w:cs="Times New Roman"/>
          <w:sz w:val="21"/>
          <w:szCs w:val="21"/>
        </w:rPr>
      </w:pPr>
      <w:r>
        <w:rPr>
          <w:rFonts w:hint="eastAsia" w:ascii="宋体" w:hAnsi="宋体" w:eastAsia="宋体" w:cs="Times New Roman"/>
          <w:sz w:val="21"/>
          <w:szCs w:val="21"/>
        </w:rPr>
        <w:t xml:space="preserve"> </w:t>
      </w:r>
    </w:p>
    <w:p w14:paraId="55A128D6">
      <w:pPr>
        <w:rPr>
          <w:rFonts w:ascii="宋体" w:hAnsi="宋体" w:eastAsia="宋体" w:cs="Times New Roman"/>
          <w:sz w:val="21"/>
          <w:szCs w:val="21"/>
        </w:rPr>
      </w:pPr>
      <w:r>
        <w:rPr>
          <w:rFonts w:hint="eastAsia" w:ascii="宋体" w:hAnsi="宋体" w:eastAsia="宋体" w:cs="Times New Roman"/>
          <w:sz w:val="21"/>
          <w:szCs w:val="21"/>
        </w:rPr>
        <w:br w:type="page"/>
      </w:r>
    </w:p>
    <w:p w14:paraId="48AFE346">
      <w:pPr>
        <w:spacing w:before="156" w:beforeLines="50" w:after="156" w:afterLines="50" w:line="440" w:lineRule="exact"/>
        <w:jc w:val="center"/>
        <w:rPr>
          <w:rFonts w:ascii="宋体" w:hAnsi="宋体" w:eastAsia="宋体" w:cs="Times New Roman"/>
          <w:sz w:val="21"/>
          <w:szCs w:val="21"/>
        </w:rPr>
      </w:pPr>
      <w:r>
        <w:rPr>
          <w:rFonts w:hint="eastAsia" w:ascii="宋体" w:hAnsi="宋体" w:eastAsia="宋体" w:cs="Times New Roman"/>
          <w:sz w:val="21"/>
          <w:szCs w:val="21"/>
        </w:rPr>
        <w:t>11-3：专业工程暂估价表</w:t>
      </w:r>
    </w:p>
    <w:tbl>
      <w:tblPr>
        <w:tblStyle w:val="65"/>
        <w:tblW w:w="0" w:type="auto"/>
        <w:tblInd w:w="8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4B7AC0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left w:val="single" w:color="auto" w:sz="12" w:space="0"/>
              <w:bottom w:val="double" w:color="auto" w:sz="2" w:space="0"/>
              <w:right w:val="single" w:color="auto" w:sz="6" w:space="0"/>
            </w:tcBorders>
          </w:tcPr>
          <w:p w14:paraId="0DE16BEC">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序号</w:t>
            </w:r>
          </w:p>
        </w:tc>
        <w:tc>
          <w:tcPr>
            <w:tcW w:w="1984" w:type="dxa"/>
            <w:tcBorders>
              <w:top w:val="single" w:color="auto" w:sz="12" w:space="0"/>
              <w:left w:val="single" w:color="auto" w:sz="6" w:space="0"/>
              <w:bottom w:val="double" w:color="auto" w:sz="2" w:space="0"/>
              <w:right w:val="single" w:color="auto" w:sz="6" w:space="0"/>
            </w:tcBorders>
          </w:tcPr>
          <w:p w14:paraId="194EDAF4">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专业工程名称</w:t>
            </w:r>
          </w:p>
        </w:tc>
        <w:tc>
          <w:tcPr>
            <w:tcW w:w="4678" w:type="dxa"/>
            <w:tcBorders>
              <w:top w:val="single" w:color="auto" w:sz="12" w:space="0"/>
              <w:left w:val="single" w:color="auto" w:sz="6" w:space="0"/>
              <w:bottom w:val="double" w:color="auto" w:sz="2" w:space="0"/>
              <w:right w:val="single" w:color="auto" w:sz="6" w:space="0"/>
            </w:tcBorders>
          </w:tcPr>
          <w:p w14:paraId="325D3C98">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工程内容</w:t>
            </w:r>
          </w:p>
        </w:tc>
        <w:tc>
          <w:tcPr>
            <w:tcW w:w="1276" w:type="dxa"/>
            <w:tcBorders>
              <w:top w:val="single" w:color="auto" w:sz="12" w:space="0"/>
              <w:left w:val="single" w:color="auto" w:sz="6" w:space="0"/>
              <w:bottom w:val="double" w:color="auto" w:sz="2" w:space="0"/>
              <w:right w:val="single" w:color="auto" w:sz="12" w:space="0"/>
            </w:tcBorders>
          </w:tcPr>
          <w:p w14:paraId="479A6F90">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金额</w:t>
            </w:r>
          </w:p>
        </w:tc>
      </w:tr>
      <w:tr w14:paraId="10782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2" w:space="0"/>
              <w:left w:val="single" w:color="auto" w:sz="12" w:space="0"/>
              <w:bottom w:val="single" w:color="auto" w:sz="6" w:space="0"/>
              <w:right w:val="single" w:color="auto" w:sz="6" w:space="0"/>
            </w:tcBorders>
          </w:tcPr>
          <w:p w14:paraId="2310A92B">
            <w:pPr>
              <w:keepNext/>
              <w:spacing w:before="100" w:beforeAutospacing="1" w:line="440" w:lineRule="exact"/>
              <w:ind w:right="63"/>
              <w:jc w:val="center"/>
              <w:rPr>
                <w:rFonts w:ascii="宋体" w:hAnsi="宋体" w:eastAsia="宋体" w:cs="Times New Roman"/>
                <w:sz w:val="21"/>
                <w:szCs w:val="21"/>
              </w:rPr>
            </w:pPr>
          </w:p>
        </w:tc>
        <w:tc>
          <w:tcPr>
            <w:tcW w:w="1984" w:type="dxa"/>
            <w:tcBorders>
              <w:top w:val="double" w:color="auto" w:sz="2" w:space="0"/>
              <w:left w:val="single" w:color="auto" w:sz="6" w:space="0"/>
              <w:bottom w:val="single" w:color="auto" w:sz="6" w:space="0"/>
              <w:right w:val="single" w:color="auto" w:sz="6" w:space="0"/>
            </w:tcBorders>
          </w:tcPr>
          <w:p w14:paraId="241EE6E8">
            <w:pPr>
              <w:keepNext/>
              <w:spacing w:before="100" w:beforeAutospacing="1" w:line="440" w:lineRule="exact"/>
              <w:ind w:right="63"/>
              <w:jc w:val="center"/>
              <w:rPr>
                <w:rFonts w:ascii="宋体" w:hAnsi="宋体" w:eastAsia="宋体" w:cs="Times New Roman"/>
                <w:sz w:val="21"/>
                <w:szCs w:val="21"/>
              </w:rPr>
            </w:pPr>
          </w:p>
        </w:tc>
        <w:tc>
          <w:tcPr>
            <w:tcW w:w="4678" w:type="dxa"/>
            <w:tcBorders>
              <w:top w:val="double" w:color="auto" w:sz="2" w:space="0"/>
              <w:left w:val="single" w:color="auto" w:sz="6" w:space="0"/>
              <w:bottom w:val="single" w:color="auto" w:sz="6" w:space="0"/>
              <w:right w:val="single" w:color="auto" w:sz="6" w:space="0"/>
            </w:tcBorders>
          </w:tcPr>
          <w:p w14:paraId="4D8084A9">
            <w:pPr>
              <w:keepNext/>
              <w:spacing w:before="100" w:beforeAutospacing="1" w:line="440" w:lineRule="exact"/>
              <w:ind w:right="63"/>
              <w:jc w:val="center"/>
              <w:rPr>
                <w:rFonts w:ascii="宋体" w:hAnsi="宋体" w:eastAsia="宋体" w:cs="Times New Roman"/>
                <w:sz w:val="21"/>
                <w:szCs w:val="21"/>
              </w:rPr>
            </w:pPr>
          </w:p>
        </w:tc>
        <w:tc>
          <w:tcPr>
            <w:tcW w:w="1276" w:type="dxa"/>
            <w:tcBorders>
              <w:top w:val="double" w:color="auto" w:sz="2" w:space="0"/>
              <w:left w:val="single" w:color="auto" w:sz="6" w:space="0"/>
              <w:bottom w:val="single" w:color="auto" w:sz="6" w:space="0"/>
              <w:right w:val="single" w:color="auto" w:sz="12" w:space="0"/>
            </w:tcBorders>
          </w:tcPr>
          <w:p w14:paraId="16900F1F">
            <w:pPr>
              <w:keepNext/>
              <w:spacing w:before="100" w:beforeAutospacing="1" w:line="440" w:lineRule="exact"/>
              <w:ind w:right="63"/>
              <w:jc w:val="center"/>
              <w:rPr>
                <w:rFonts w:ascii="宋体" w:hAnsi="宋体" w:eastAsia="宋体" w:cs="Times New Roman"/>
                <w:sz w:val="21"/>
                <w:szCs w:val="21"/>
              </w:rPr>
            </w:pPr>
          </w:p>
        </w:tc>
      </w:tr>
      <w:tr w14:paraId="432E33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left w:val="single" w:color="auto" w:sz="12" w:space="0"/>
              <w:bottom w:val="single" w:color="auto" w:sz="6" w:space="0"/>
              <w:right w:val="single" w:color="auto" w:sz="6" w:space="0"/>
            </w:tcBorders>
          </w:tcPr>
          <w:p w14:paraId="0A6B9F33">
            <w:pPr>
              <w:keepNext/>
              <w:spacing w:before="100" w:beforeAutospacing="1" w:line="440" w:lineRule="exact"/>
              <w:ind w:right="63"/>
              <w:jc w:val="center"/>
              <w:rPr>
                <w:rFonts w:ascii="宋体" w:hAnsi="宋体" w:eastAsia="宋体" w:cs="Times New Roman"/>
                <w:sz w:val="21"/>
                <w:szCs w:val="21"/>
              </w:rPr>
            </w:pPr>
          </w:p>
        </w:tc>
        <w:tc>
          <w:tcPr>
            <w:tcW w:w="1984" w:type="dxa"/>
            <w:tcBorders>
              <w:top w:val="nil"/>
              <w:left w:val="single" w:color="auto" w:sz="6" w:space="0"/>
              <w:bottom w:val="single" w:color="auto" w:sz="6" w:space="0"/>
              <w:right w:val="single" w:color="auto" w:sz="6" w:space="0"/>
            </w:tcBorders>
          </w:tcPr>
          <w:p w14:paraId="2583E29D">
            <w:pPr>
              <w:keepNext/>
              <w:spacing w:before="100" w:beforeAutospacing="1" w:line="440" w:lineRule="exact"/>
              <w:ind w:right="63"/>
              <w:jc w:val="center"/>
              <w:rPr>
                <w:rFonts w:ascii="宋体" w:hAnsi="宋体" w:eastAsia="宋体" w:cs="Times New Roman"/>
                <w:sz w:val="21"/>
                <w:szCs w:val="21"/>
              </w:rPr>
            </w:pPr>
          </w:p>
        </w:tc>
        <w:tc>
          <w:tcPr>
            <w:tcW w:w="4678" w:type="dxa"/>
            <w:tcBorders>
              <w:top w:val="nil"/>
              <w:left w:val="single" w:color="auto" w:sz="6" w:space="0"/>
              <w:bottom w:val="single" w:color="auto" w:sz="6" w:space="0"/>
              <w:right w:val="single" w:color="auto" w:sz="6" w:space="0"/>
            </w:tcBorders>
          </w:tcPr>
          <w:p w14:paraId="67860999">
            <w:pPr>
              <w:keepNext/>
              <w:spacing w:before="100" w:beforeAutospacing="1" w:line="440" w:lineRule="exact"/>
              <w:ind w:right="63"/>
              <w:jc w:val="center"/>
              <w:rPr>
                <w:rFonts w:ascii="宋体" w:hAnsi="宋体" w:eastAsia="宋体" w:cs="Times New Roman"/>
                <w:sz w:val="21"/>
                <w:szCs w:val="21"/>
              </w:rPr>
            </w:pPr>
          </w:p>
        </w:tc>
        <w:tc>
          <w:tcPr>
            <w:tcW w:w="1276" w:type="dxa"/>
            <w:tcBorders>
              <w:top w:val="nil"/>
              <w:left w:val="single" w:color="auto" w:sz="6" w:space="0"/>
              <w:bottom w:val="single" w:color="auto" w:sz="6" w:space="0"/>
              <w:right w:val="single" w:color="auto" w:sz="12" w:space="0"/>
            </w:tcBorders>
          </w:tcPr>
          <w:p w14:paraId="2E6AE62D">
            <w:pPr>
              <w:keepNext/>
              <w:spacing w:before="100" w:beforeAutospacing="1" w:line="440" w:lineRule="exact"/>
              <w:ind w:right="63"/>
              <w:jc w:val="center"/>
              <w:rPr>
                <w:rFonts w:ascii="宋体" w:hAnsi="宋体" w:eastAsia="宋体" w:cs="Times New Roman"/>
                <w:sz w:val="21"/>
                <w:szCs w:val="21"/>
              </w:rPr>
            </w:pPr>
          </w:p>
        </w:tc>
      </w:tr>
      <w:tr w14:paraId="0D6823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left w:val="single" w:color="auto" w:sz="12" w:space="0"/>
              <w:bottom w:val="single" w:color="auto" w:sz="6" w:space="0"/>
              <w:right w:val="single" w:color="auto" w:sz="6" w:space="0"/>
            </w:tcBorders>
          </w:tcPr>
          <w:p w14:paraId="1D3C7FAA">
            <w:pPr>
              <w:keepNext/>
              <w:spacing w:before="100" w:beforeAutospacing="1" w:line="440" w:lineRule="exact"/>
              <w:ind w:right="63"/>
              <w:jc w:val="center"/>
              <w:rPr>
                <w:rFonts w:ascii="宋体" w:hAnsi="宋体" w:eastAsia="宋体" w:cs="Times New Roman"/>
                <w:sz w:val="21"/>
                <w:szCs w:val="21"/>
              </w:rPr>
            </w:pPr>
          </w:p>
        </w:tc>
        <w:tc>
          <w:tcPr>
            <w:tcW w:w="1984" w:type="dxa"/>
            <w:tcBorders>
              <w:top w:val="nil"/>
              <w:left w:val="single" w:color="auto" w:sz="6" w:space="0"/>
              <w:bottom w:val="single" w:color="auto" w:sz="6" w:space="0"/>
              <w:right w:val="single" w:color="auto" w:sz="6" w:space="0"/>
            </w:tcBorders>
          </w:tcPr>
          <w:p w14:paraId="5EFF88D0">
            <w:pPr>
              <w:keepNext/>
              <w:spacing w:before="100" w:beforeAutospacing="1" w:line="440" w:lineRule="exact"/>
              <w:ind w:right="63"/>
              <w:jc w:val="center"/>
              <w:rPr>
                <w:rFonts w:ascii="宋体" w:hAnsi="宋体" w:eastAsia="宋体" w:cs="Times New Roman"/>
                <w:sz w:val="21"/>
                <w:szCs w:val="21"/>
              </w:rPr>
            </w:pPr>
          </w:p>
        </w:tc>
        <w:tc>
          <w:tcPr>
            <w:tcW w:w="4678" w:type="dxa"/>
            <w:tcBorders>
              <w:top w:val="nil"/>
              <w:left w:val="single" w:color="auto" w:sz="6" w:space="0"/>
              <w:bottom w:val="single" w:color="auto" w:sz="6" w:space="0"/>
              <w:right w:val="single" w:color="auto" w:sz="6" w:space="0"/>
            </w:tcBorders>
          </w:tcPr>
          <w:p w14:paraId="1BBCE072">
            <w:pPr>
              <w:keepNext/>
              <w:spacing w:before="100" w:beforeAutospacing="1" w:line="440" w:lineRule="exact"/>
              <w:ind w:right="63"/>
              <w:jc w:val="center"/>
              <w:rPr>
                <w:rFonts w:ascii="宋体" w:hAnsi="宋体" w:eastAsia="宋体" w:cs="Times New Roman"/>
                <w:sz w:val="21"/>
                <w:szCs w:val="21"/>
              </w:rPr>
            </w:pPr>
          </w:p>
        </w:tc>
        <w:tc>
          <w:tcPr>
            <w:tcW w:w="1276" w:type="dxa"/>
            <w:tcBorders>
              <w:top w:val="nil"/>
              <w:left w:val="single" w:color="auto" w:sz="6" w:space="0"/>
              <w:bottom w:val="single" w:color="auto" w:sz="6" w:space="0"/>
              <w:right w:val="single" w:color="auto" w:sz="12" w:space="0"/>
            </w:tcBorders>
          </w:tcPr>
          <w:p w14:paraId="7D1110DC">
            <w:pPr>
              <w:keepNext/>
              <w:spacing w:before="100" w:beforeAutospacing="1" w:line="440" w:lineRule="exact"/>
              <w:ind w:right="63"/>
              <w:jc w:val="center"/>
              <w:rPr>
                <w:rFonts w:ascii="宋体" w:hAnsi="宋体" w:eastAsia="宋体" w:cs="Times New Roman"/>
                <w:sz w:val="21"/>
                <w:szCs w:val="21"/>
              </w:rPr>
            </w:pPr>
          </w:p>
        </w:tc>
      </w:tr>
      <w:tr w14:paraId="29811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22844CC">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6D8FC372">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A4329B9">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574CA0D9">
            <w:pPr>
              <w:keepNext/>
              <w:spacing w:before="100" w:beforeAutospacing="1" w:line="440" w:lineRule="exact"/>
              <w:ind w:right="63"/>
              <w:jc w:val="center"/>
              <w:rPr>
                <w:rFonts w:ascii="宋体" w:hAnsi="宋体" w:eastAsia="宋体" w:cs="Times New Roman"/>
                <w:sz w:val="21"/>
                <w:szCs w:val="21"/>
              </w:rPr>
            </w:pPr>
          </w:p>
        </w:tc>
      </w:tr>
      <w:tr w14:paraId="0A088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58FF8969">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609FA53A">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262C88D">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24429447">
            <w:pPr>
              <w:keepNext/>
              <w:spacing w:before="100" w:beforeAutospacing="1" w:line="440" w:lineRule="exact"/>
              <w:ind w:right="63"/>
              <w:jc w:val="center"/>
              <w:rPr>
                <w:rFonts w:ascii="宋体" w:hAnsi="宋体" w:eastAsia="宋体" w:cs="Times New Roman"/>
                <w:sz w:val="21"/>
                <w:szCs w:val="21"/>
              </w:rPr>
            </w:pPr>
          </w:p>
        </w:tc>
      </w:tr>
      <w:tr w14:paraId="15827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07D9DEAA">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9642AF6">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698CA175">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3225B395">
            <w:pPr>
              <w:keepNext/>
              <w:spacing w:before="100" w:beforeAutospacing="1" w:line="440" w:lineRule="exact"/>
              <w:ind w:right="63"/>
              <w:jc w:val="center"/>
              <w:rPr>
                <w:rFonts w:ascii="宋体" w:hAnsi="宋体" w:eastAsia="宋体" w:cs="Times New Roman"/>
                <w:sz w:val="21"/>
                <w:szCs w:val="21"/>
              </w:rPr>
            </w:pPr>
          </w:p>
        </w:tc>
      </w:tr>
      <w:tr w14:paraId="15DD2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4007C75F">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4D793FFE">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593700E9">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12C90024">
            <w:pPr>
              <w:keepNext/>
              <w:spacing w:before="100" w:beforeAutospacing="1" w:line="440" w:lineRule="exact"/>
              <w:ind w:right="63"/>
              <w:jc w:val="center"/>
              <w:rPr>
                <w:rFonts w:ascii="宋体" w:hAnsi="宋体" w:eastAsia="宋体" w:cs="Times New Roman"/>
                <w:sz w:val="21"/>
                <w:szCs w:val="21"/>
              </w:rPr>
            </w:pPr>
          </w:p>
        </w:tc>
      </w:tr>
      <w:tr w14:paraId="016EF6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B9B5AC5">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42027355">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F927EC4">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7837FDC2">
            <w:pPr>
              <w:keepNext/>
              <w:spacing w:before="100" w:beforeAutospacing="1" w:line="440" w:lineRule="exact"/>
              <w:ind w:right="63"/>
              <w:jc w:val="center"/>
              <w:rPr>
                <w:rFonts w:ascii="宋体" w:hAnsi="宋体" w:eastAsia="宋体" w:cs="Times New Roman"/>
                <w:sz w:val="21"/>
                <w:szCs w:val="21"/>
              </w:rPr>
            </w:pPr>
          </w:p>
        </w:tc>
      </w:tr>
      <w:tr w14:paraId="014E3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08E1214C">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69E9CA1">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5F7438F4">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404C2F89">
            <w:pPr>
              <w:keepNext/>
              <w:spacing w:before="100" w:beforeAutospacing="1" w:line="440" w:lineRule="exact"/>
              <w:ind w:right="63"/>
              <w:jc w:val="center"/>
              <w:rPr>
                <w:rFonts w:ascii="宋体" w:hAnsi="宋体" w:eastAsia="宋体" w:cs="Times New Roman"/>
                <w:sz w:val="21"/>
                <w:szCs w:val="21"/>
              </w:rPr>
            </w:pPr>
          </w:p>
        </w:tc>
      </w:tr>
      <w:tr w14:paraId="60C597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206629E">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7537568">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633A26DD">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1AC8FF3F">
            <w:pPr>
              <w:keepNext/>
              <w:spacing w:before="100" w:beforeAutospacing="1" w:line="440" w:lineRule="exact"/>
              <w:ind w:right="63"/>
              <w:jc w:val="center"/>
              <w:rPr>
                <w:rFonts w:ascii="宋体" w:hAnsi="宋体" w:eastAsia="宋体" w:cs="Times New Roman"/>
                <w:sz w:val="21"/>
                <w:szCs w:val="21"/>
              </w:rPr>
            </w:pPr>
          </w:p>
        </w:tc>
      </w:tr>
      <w:tr w14:paraId="7FD10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4DC8CBA5">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E64F4E9">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A051130">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0063F3E3">
            <w:pPr>
              <w:keepNext/>
              <w:spacing w:before="100" w:beforeAutospacing="1" w:line="440" w:lineRule="exact"/>
              <w:ind w:right="63"/>
              <w:jc w:val="center"/>
              <w:rPr>
                <w:rFonts w:ascii="宋体" w:hAnsi="宋体" w:eastAsia="宋体" w:cs="Times New Roman"/>
                <w:sz w:val="21"/>
                <w:szCs w:val="21"/>
              </w:rPr>
            </w:pPr>
          </w:p>
        </w:tc>
      </w:tr>
      <w:tr w14:paraId="20383C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86AA667">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1CE312DF">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571EFC54">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69D27744">
            <w:pPr>
              <w:keepNext/>
              <w:spacing w:before="100" w:beforeAutospacing="1" w:line="440" w:lineRule="exact"/>
              <w:ind w:right="63"/>
              <w:jc w:val="center"/>
              <w:rPr>
                <w:rFonts w:ascii="宋体" w:hAnsi="宋体" w:eastAsia="宋体" w:cs="Times New Roman"/>
                <w:sz w:val="21"/>
                <w:szCs w:val="21"/>
              </w:rPr>
            </w:pPr>
          </w:p>
        </w:tc>
      </w:tr>
      <w:tr w14:paraId="01B091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25D90C3D">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BDCA74B">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7508DFED">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335CCBE0">
            <w:pPr>
              <w:keepNext/>
              <w:spacing w:before="100" w:beforeAutospacing="1" w:line="440" w:lineRule="exact"/>
              <w:ind w:right="63"/>
              <w:jc w:val="center"/>
              <w:rPr>
                <w:rFonts w:ascii="宋体" w:hAnsi="宋体" w:eastAsia="宋体" w:cs="Times New Roman"/>
                <w:sz w:val="21"/>
                <w:szCs w:val="21"/>
              </w:rPr>
            </w:pPr>
          </w:p>
        </w:tc>
      </w:tr>
      <w:tr w14:paraId="39EEC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4491DBE5">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81A4C1C">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15E94914">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339CBD15">
            <w:pPr>
              <w:keepNext/>
              <w:spacing w:before="100" w:beforeAutospacing="1" w:line="440" w:lineRule="exact"/>
              <w:ind w:right="63"/>
              <w:jc w:val="center"/>
              <w:rPr>
                <w:rFonts w:ascii="宋体" w:hAnsi="宋体" w:eastAsia="宋体" w:cs="Times New Roman"/>
                <w:sz w:val="21"/>
                <w:szCs w:val="21"/>
              </w:rPr>
            </w:pPr>
          </w:p>
        </w:tc>
      </w:tr>
      <w:tr w14:paraId="4AB7E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95472A8">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8744DD0">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7A0DA68B">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1A2FE0A9">
            <w:pPr>
              <w:keepNext/>
              <w:spacing w:before="100" w:beforeAutospacing="1" w:line="440" w:lineRule="exact"/>
              <w:ind w:right="63"/>
              <w:jc w:val="center"/>
              <w:rPr>
                <w:rFonts w:ascii="宋体" w:hAnsi="宋体" w:eastAsia="宋体" w:cs="Times New Roman"/>
                <w:sz w:val="21"/>
                <w:szCs w:val="21"/>
              </w:rPr>
            </w:pPr>
          </w:p>
        </w:tc>
      </w:tr>
      <w:tr w14:paraId="3D18E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1649DF0E">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0A3A79E">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B9F2EFE">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4C043E84">
            <w:pPr>
              <w:keepNext/>
              <w:spacing w:before="100" w:beforeAutospacing="1" w:line="440" w:lineRule="exact"/>
              <w:ind w:right="63"/>
              <w:jc w:val="center"/>
              <w:rPr>
                <w:rFonts w:ascii="宋体" w:hAnsi="宋体" w:eastAsia="宋体" w:cs="Times New Roman"/>
                <w:sz w:val="21"/>
                <w:szCs w:val="21"/>
              </w:rPr>
            </w:pPr>
          </w:p>
        </w:tc>
      </w:tr>
      <w:tr w14:paraId="54FE4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186E855">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6C0CAEF5">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643A6121">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463B69C5">
            <w:pPr>
              <w:keepNext/>
              <w:spacing w:before="100" w:beforeAutospacing="1" w:line="440" w:lineRule="exact"/>
              <w:ind w:right="63"/>
              <w:jc w:val="center"/>
              <w:rPr>
                <w:rFonts w:ascii="宋体" w:hAnsi="宋体" w:eastAsia="宋体" w:cs="Times New Roman"/>
                <w:sz w:val="21"/>
                <w:szCs w:val="21"/>
              </w:rPr>
            </w:pPr>
          </w:p>
        </w:tc>
      </w:tr>
      <w:tr w14:paraId="40570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21C7BA6E">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6640EDB3">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5858FDA2">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74FB90CC">
            <w:pPr>
              <w:keepNext/>
              <w:spacing w:before="100" w:beforeAutospacing="1" w:line="440" w:lineRule="exact"/>
              <w:ind w:right="63"/>
              <w:jc w:val="center"/>
              <w:rPr>
                <w:rFonts w:ascii="宋体" w:hAnsi="宋体" w:eastAsia="宋体" w:cs="Times New Roman"/>
                <w:sz w:val="21"/>
                <w:szCs w:val="21"/>
              </w:rPr>
            </w:pPr>
          </w:p>
        </w:tc>
      </w:tr>
      <w:tr w14:paraId="19FFC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4E10D499">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3D991FE">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F4A8432">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3E78C6AD">
            <w:pPr>
              <w:keepNext/>
              <w:spacing w:before="100" w:beforeAutospacing="1" w:line="440" w:lineRule="exact"/>
              <w:ind w:right="63"/>
              <w:jc w:val="center"/>
              <w:rPr>
                <w:rFonts w:ascii="宋体" w:hAnsi="宋体" w:eastAsia="宋体" w:cs="Times New Roman"/>
                <w:sz w:val="21"/>
                <w:szCs w:val="21"/>
              </w:rPr>
            </w:pPr>
          </w:p>
        </w:tc>
      </w:tr>
      <w:tr w14:paraId="73F809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019CDFAB">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95CE780">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273B5CCA">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6092FF18">
            <w:pPr>
              <w:keepNext/>
              <w:spacing w:before="100" w:beforeAutospacing="1" w:line="440" w:lineRule="exact"/>
              <w:ind w:right="63"/>
              <w:jc w:val="center"/>
              <w:rPr>
                <w:rFonts w:ascii="宋体" w:hAnsi="宋体" w:eastAsia="宋体" w:cs="Times New Roman"/>
                <w:sz w:val="21"/>
                <w:szCs w:val="21"/>
              </w:rPr>
            </w:pPr>
          </w:p>
        </w:tc>
      </w:tr>
      <w:tr w14:paraId="63DB30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29EC5EEA">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57A6B51">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A0BB37B">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1FE157AD">
            <w:pPr>
              <w:keepNext/>
              <w:spacing w:before="100" w:beforeAutospacing="1" w:line="440" w:lineRule="exact"/>
              <w:ind w:right="63"/>
              <w:jc w:val="center"/>
              <w:rPr>
                <w:rFonts w:ascii="宋体" w:hAnsi="宋体" w:eastAsia="宋体" w:cs="Times New Roman"/>
                <w:sz w:val="21"/>
                <w:szCs w:val="21"/>
              </w:rPr>
            </w:pPr>
          </w:p>
        </w:tc>
      </w:tr>
      <w:tr w14:paraId="4A87B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3C878C90">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41781329">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6225855B">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7760EF25">
            <w:pPr>
              <w:keepNext/>
              <w:spacing w:before="100" w:beforeAutospacing="1" w:line="440" w:lineRule="exact"/>
              <w:ind w:right="63"/>
              <w:jc w:val="center"/>
              <w:rPr>
                <w:rFonts w:ascii="宋体" w:hAnsi="宋体" w:eastAsia="宋体" w:cs="Times New Roman"/>
                <w:sz w:val="21"/>
                <w:szCs w:val="21"/>
              </w:rPr>
            </w:pPr>
          </w:p>
        </w:tc>
      </w:tr>
      <w:tr w14:paraId="118ED7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F210129">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4820B51">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706FAAD">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0884B03D">
            <w:pPr>
              <w:keepNext/>
              <w:spacing w:before="100" w:beforeAutospacing="1" w:line="440" w:lineRule="exact"/>
              <w:ind w:right="63"/>
              <w:jc w:val="center"/>
              <w:rPr>
                <w:rFonts w:ascii="宋体" w:hAnsi="宋体" w:eastAsia="宋体" w:cs="Times New Roman"/>
                <w:sz w:val="21"/>
                <w:szCs w:val="21"/>
              </w:rPr>
            </w:pPr>
          </w:p>
        </w:tc>
      </w:tr>
      <w:tr w14:paraId="356EE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1D32A9F7">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E4C51BF">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64BEAC42">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07CE18C9">
            <w:pPr>
              <w:keepNext/>
              <w:spacing w:before="100" w:beforeAutospacing="1" w:line="440" w:lineRule="exact"/>
              <w:ind w:right="63"/>
              <w:jc w:val="center"/>
              <w:rPr>
                <w:rFonts w:ascii="宋体" w:hAnsi="宋体" w:eastAsia="宋体" w:cs="Times New Roman"/>
                <w:sz w:val="21"/>
                <w:szCs w:val="21"/>
              </w:rPr>
            </w:pPr>
          </w:p>
        </w:tc>
      </w:tr>
      <w:tr w14:paraId="49825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1CE6B757">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609B820E">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1A60C5C2">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0FA9CB3A">
            <w:pPr>
              <w:keepNext/>
              <w:spacing w:before="100" w:beforeAutospacing="1" w:line="440" w:lineRule="exact"/>
              <w:ind w:right="63"/>
              <w:jc w:val="center"/>
              <w:rPr>
                <w:rFonts w:ascii="宋体" w:hAnsi="宋体" w:eastAsia="宋体" w:cs="Times New Roman"/>
                <w:sz w:val="21"/>
                <w:szCs w:val="21"/>
              </w:rPr>
            </w:pPr>
          </w:p>
        </w:tc>
      </w:tr>
      <w:tr w14:paraId="316D7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4A7BEF54">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2DE23B8">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06B303B1">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464F0472">
            <w:pPr>
              <w:keepNext/>
              <w:spacing w:before="100" w:beforeAutospacing="1" w:line="440" w:lineRule="exact"/>
              <w:ind w:right="63"/>
              <w:jc w:val="center"/>
              <w:rPr>
                <w:rFonts w:ascii="宋体" w:hAnsi="宋体" w:eastAsia="宋体" w:cs="Times New Roman"/>
                <w:sz w:val="21"/>
                <w:szCs w:val="21"/>
              </w:rPr>
            </w:pPr>
          </w:p>
        </w:tc>
      </w:tr>
      <w:tr w14:paraId="18B0E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Borders>
              <w:top w:val="single" w:color="auto" w:sz="6" w:space="0"/>
              <w:left w:val="single" w:color="auto" w:sz="12" w:space="0"/>
              <w:bottom w:val="single" w:color="auto" w:sz="12" w:space="0"/>
              <w:right w:val="single" w:color="auto" w:sz="12" w:space="0"/>
            </w:tcBorders>
          </w:tcPr>
          <w:p w14:paraId="25745648">
            <w:pPr>
              <w:keepNext/>
              <w:spacing w:before="100" w:beforeAutospacing="1" w:line="440" w:lineRule="exact"/>
              <w:ind w:right="63"/>
              <w:rPr>
                <w:rFonts w:ascii="宋体" w:hAnsi="宋体" w:eastAsia="宋体" w:cs="Times New Roman"/>
                <w:sz w:val="21"/>
                <w:szCs w:val="21"/>
              </w:rPr>
            </w:pPr>
            <w:r>
              <w:rPr>
                <w:rFonts w:hint="eastAsia" w:ascii="宋体" w:hAnsi="宋体" w:eastAsia="宋体" w:cs="Times New Roman"/>
                <w:sz w:val="21"/>
                <w:szCs w:val="21"/>
              </w:rPr>
              <w:t>小计：</w:t>
            </w:r>
          </w:p>
        </w:tc>
      </w:tr>
    </w:tbl>
    <w:p w14:paraId="0546109B">
      <w:pPr>
        <w:spacing w:line="240" w:lineRule="exact"/>
        <w:rPr>
          <w:rFonts w:ascii="Times New Roman" w:hAnsi="Times New Roman" w:eastAsia="宋体" w:cs="Times New Roman"/>
          <w:szCs w:val="21"/>
        </w:rPr>
      </w:pPr>
      <w:r>
        <w:rPr>
          <w:rFonts w:ascii="Times New Roman" w:hAnsi="Times New Roman" w:eastAsia="宋体" w:cs="Times New Roman"/>
          <w:szCs w:val="21"/>
        </w:rPr>
        <w:t xml:space="preserve"> </w:t>
      </w:r>
    </w:p>
    <w:p w14:paraId="78D35AE8">
      <w:pPr>
        <w:pStyle w:val="23"/>
        <w:rPr>
          <w:rFonts w:ascii="宋体" w:hAnsi="宋体" w:eastAsia="宋体" w:cs="宋体"/>
          <w:color w:val="auto"/>
          <w:sz w:val="20"/>
          <w:szCs w:val="20"/>
          <w:highlight w:val="none"/>
        </w:rPr>
      </w:pPr>
    </w:p>
    <w:p w14:paraId="1658354E">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bookmarkStart w:id="1814" w:name="_Toc11092"/>
      <w:bookmarkStart w:id="1815" w:name="_Toc16476"/>
      <w:bookmarkStart w:id="1816" w:name="_Toc18332"/>
      <w:bookmarkStart w:id="1817" w:name="_Toc17708"/>
      <w:bookmarkStart w:id="1818" w:name="_Toc12986"/>
      <w:bookmarkStart w:id="1819" w:name="_Toc25170"/>
      <w:bookmarkStart w:id="1820" w:name="_Toc20957"/>
    </w:p>
    <w:p w14:paraId="2B1E284E">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67C4ACD1">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r>
        <w:rPr>
          <w:rFonts w:hint="eastAsia" w:ascii="Times New Roman" w:hAnsi="Times New Roman" w:eastAsia="宋体" w:cs="宋体"/>
          <w:b/>
          <w:bCs w:val="0"/>
          <w:color w:val="auto"/>
          <w:kern w:val="2"/>
          <w:sz w:val="36"/>
          <w:szCs w:val="36"/>
          <w:highlight w:val="none"/>
          <w:lang w:val="en-US" w:eastAsia="zh-CN" w:bidi="ar-SA"/>
        </w:rPr>
        <w:t>第七篇  响应文件编制要求</w:t>
      </w:r>
      <w:bookmarkEnd w:id="1814"/>
      <w:bookmarkEnd w:id="1815"/>
      <w:bookmarkEnd w:id="1816"/>
      <w:bookmarkEnd w:id="1817"/>
      <w:bookmarkEnd w:id="1818"/>
      <w:bookmarkEnd w:id="1819"/>
      <w:bookmarkEnd w:id="1820"/>
    </w:p>
    <w:p w14:paraId="174F5553">
      <w:pPr>
        <w:keepNext w:val="0"/>
        <w:keepLines w:val="0"/>
        <w:pageBreakBefore w:val="0"/>
        <w:widowControl w:val="0"/>
        <w:kinsoku/>
        <w:wordWrap/>
        <w:topLinePunct w:val="0"/>
        <w:bidi w:val="0"/>
        <w:spacing w:line="400" w:lineRule="exact"/>
        <w:ind w:firstLine="480" w:firstLineChars="200"/>
        <w:textAlignment w:val="auto"/>
        <w:outlineLvl w:val="9"/>
        <w:rPr>
          <w:rFonts w:hint="eastAsia" w:ascii="宋体" w:hAnsi="宋体" w:cs="宋体"/>
          <w:color w:val="auto"/>
          <w:sz w:val="24"/>
          <w:szCs w:val="24"/>
          <w:highlight w:val="none"/>
        </w:rPr>
      </w:pPr>
      <w:bookmarkStart w:id="1821" w:name="_Toc1051"/>
      <w:r>
        <w:rPr>
          <w:rFonts w:hint="eastAsia" w:ascii="宋体" w:hAnsi="宋体" w:cs="宋体"/>
          <w:color w:val="auto"/>
          <w:sz w:val="24"/>
          <w:szCs w:val="24"/>
          <w:highlight w:val="none"/>
        </w:rPr>
        <w:t>一、经济部分</w:t>
      </w:r>
      <w:bookmarkEnd w:id="1821"/>
    </w:p>
    <w:p w14:paraId="120D26BC">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（一）报价函</w:t>
      </w:r>
    </w:p>
    <w:p w14:paraId="6F86E728">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（二）明细报价表</w:t>
      </w:r>
    </w:p>
    <w:p w14:paraId="12C5D5B1">
      <w:pPr>
        <w:keepNext w:val="0"/>
        <w:keepLines w:val="0"/>
        <w:pageBreakBefore w:val="0"/>
        <w:widowControl w:val="0"/>
        <w:kinsoku/>
        <w:wordWrap/>
        <w:topLinePunct w:val="0"/>
        <w:bidi w:val="0"/>
        <w:spacing w:line="400" w:lineRule="exact"/>
        <w:ind w:firstLine="480" w:firstLineChars="200"/>
        <w:textAlignment w:val="auto"/>
        <w:outlineLvl w:val="9"/>
        <w:rPr>
          <w:rFonts w:hint="eastAsia" w:ascii="宋体" w:hAnsi="宋体" w:cs="宋体"/>
          <w:color w:val="auto"/>
          <w:sz w:val="24"/>
          <w:szCs w:val="24"/>
          <w:highlight w:val="none"/>
        </w:rPr>
      </w:pPr>
      <w:bookmarkStart w:id="1822" w:name="_Toc2320"/>
      <w:r>
        <w:rPr>
          <w:rFonts w:hint="eastAsia" w:ascii="宋体" w:hAnsi="宋体" w:cs="宋体"/>
          <w:color w:val="auto"/>
          <w:sz w:val="24"/>
          <w:szCs w:val="24"/>
          <w:highlight w:val="none"/>
        </w:rPr>
        <w:t>二、服务部分</w:t>
      </w:r>
      <w:bookmarkEnd w:id="1822"/>
    </w:p>
    <w:p w14:paraId="11450D65">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（一）服务响应偏离表</w:t>
      </w:r>
    </w:p>
    <w:p w14:paraId="4ECB5B22">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（二）其他资料（格式自定）</w:t>
      </w:r>
    </w:p>
    <w:p w14:paraId="4D6CF307">
      <w:pPr>
        <w:keepNext w:val="0"/>
        <w:keepLines w:val="0"/>
        <w:pageBreakBefore w:val="0"/>
        <w:widowControl w:val="0"/>
        <w:kinsoku/>
        <w:wordWrap/>
        <w:topLinePunct w:val="0"/>
        <w:bidi w:val="0"/>
        <w:spacing w:line="400" w:lineRule="exact"/>
        <w:ind w:firstLine="480" w:firstLineChars="200"/>
        <w:textAlignment w:val="auto"/>
        <w:outlineLvl w:val="9"/>
        <w:rPr>
          <w:rFonts w:hint="eastAsia" w:ascii="宋体" w:hAnsi="宋体" w:cs="宋体"/>
          <w:color w:val="auto"/>
          <w:sz w:val="24"/>
          <w:szCs w:val="24"/>
          <w:highlight w:val="none"/>
        </w:rPr>
      </w:pPr>
      <w:bookmarkStart w:id="1823" w:name="_Toc14596"/>
      <w:r>
        <w:rPr>
          <w:rFonts w:hint="eastAsia" w:ascii="宋体" w:hAnsi="宋体" w:cs="宋体"/>
          <w:color w:val="auto"/>
          <w:sz w:val="24"/>
          <w:szCs w:val="24"/>
          <w:highlight w:val="none"/>
        </w:rPr>
        <w:t>三、商务部分</w:t>
      </w:r>
      <w:bookmarkEnd w:id="1823"/>
    </w:p>
    <w:p w14:paraId="5FCFFC29">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56C85BFB">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（二）其它</w:t>
      </w:r>
      <w:r>
        <w:rPr>
          <w:rFonts w:hint="eastAsia" w:ascii="宋体" w:hAnsi="宋体" w:cs="宋体"/>
          <w:color w:val="auto"/>
          <w:sz w:val="24"/>
          <w:szCs w:val="24"/>
          <w:highlight w:val="none"/>
          <w:lang w:val="en-US" w:eastAsia="zh-CN"/>
        </w:rPr>
        <w:t>商务资料</w:t>
      </w:r>
      <w:r>
        <w:rPr>
          <w:rFonts w:hint="eastAsia" w:ascii="宋体" w:hAnsi="宋体" w:cs="宋体"/>
          <w:color w:val="auto"/>
          <w:sz w:val="24"/>
          <w:szCs w:val="24"/>
          <w:highlight w:val="none"/>
        </w:rPr>
        <w:t>（格式自定）</w:t>
      </w:r>
    </w:p>
    <w:p w14:paraId="616463F1">
      <w:pPr>
        <w:keepNext w:val="0"/>
        <w:keepLines w:val="0"/>
        <w:pageBreakBefore w:val="0"/>
        <w:widowControl w:val="0"/>
        <w:kinsoku/>
        <w:wordWrap/>
        <w:topLinePunct w:val="0"/>
        <w:bidi w:val="0"/>
        <w:spacing w:line="400" w:lineRule="exact"/>
        <w:ind w:firstLine="480" w:firstLineChars="200"/>
        <w:textAlignment w:val="auto"/>
        <w:outlineLvl w:val="9"/>
        <w:rPr>
          <w:rFonts w:hint="eastAsia" w:ascii="宋体" w:hAnsi="宋体" w:cs="宋体"/>
          <w:color w:val="auto"/>
          <w:sz w:val="24"/>
          <w:szCs w:val="24"/>
          <w:highlight w:val="none"/>
        </w:rPr>
      </w:pPr>
      <w:bookmarkStart w:id="1824" w:name="_Toc16806"/>
      <w:r>
        <w:rPr>
          <w:rFonts w:hint="eastAsia" w:ascii="宋体" w:hAnsi="宋体" w:cs="宋体"/>
          <w:color w:val="auto"/>
          <w:sz w:val="24"/>
          <w:szCs w:val="24"/>
          <w:highlight w:val="none"/>
        </w:rPr>
        <w:t>四、资格条件及其他</w:t>
      </w:r>
      <w:bookmarkEnd w:id="1824"/>
    </w:p>
    <w:p w14:paraId="3BD21331">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5B1C139F">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0974F9A5">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16159D97">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1FBC0C77">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（五）特定资格条件证书或证明文件</w:t>
      </w:r>
    </w:p>
    <w:p w14:paraId="4C0B3372">
      <w:pPr>
        <w:keepNext w:val="0"/>
        <w:keepLines w:val="0"/>
        <w:pageBreakBefore w:val="0"/>
        <w:widowControl w:val="0"/>
        <w:kinsoku/>
        <w:wordWrap/>
        <w:topLinePunct w:val="0"/>
        <w:bidi w:val="0"/>
        <w:spacing w:line="400" w:lineRule="exact"/>
        <w:ind w:firstLine="480" w:firstLineChars="200"/>
        <w:textAlignment w:val="auto"/>
        <w:outlineLvl w:val="9"/>
        <w:rPr>
          <w:rFonts w:hint="eastAsia" w:ascii="宋体" w:hAnsi="宋体" w:cs="宋体"/>
          <w:color w:val="auto"/>
          <w:sz w:val="24"/>
          <w:szCs w:val="24"/>
          <w:highlight w:val="none"/>
        </w:rPr>
      </w:pPr>
      <w:bookmarkStart w:id="1825" w:name="_Toc8051"/>
      <w:r>
        <w:rPr>
          <w:rFonts w:hint="eastAsia" w:ascii="宋体" w:hAnsi="宋体" w:cs="宋体"/>
          <w:color w:val="auto"/>
          <w:sz w:val="24"/>
          <w:szCs w:val="24"/>
          <w:highlight w:val="none"/>
        </w:rPr>
        <w:t>五、其他资料</w:t>
      </w:r>
      <w:bookmarkEnd w:id="1825"/>
    </w:p>
    <w:p w14:paraId="1D98484B">
      <w:pPr>
        <w:keepNext w:val="0"/>
        <w:keepLines w:val="0"/>
        <w:pageBreakBefore w:val="0"/>
        <w:widowControl w:val="0"/>
        <w:kinsoku/>
        <w:wordWrap/>
        <w:topLinePunct w:val="0"/>
        <w:bidi w:val="0"/>
        <w:spacing w:line="400" w:lineRule="exact"/>
        <w:ind w:firstLine="960" w:firstLineChars="400"/>
        <w:textAlignment w:val="auto"/>
        <w:rPr>
          <w:rFonts w:hint="eastAsia" w:ascii="宋体" w:hAnsi="宋体" w:eastAsia="宋体" w:cs="宋体"/>
          <w:color w:val="auto"/>
          <w:sz w:val="24"/>
          <w:szCs w:val="24"/>
          <w:highlight w:val="none"/>
          <w:bdr w:val="single" w:color="auto" w:sz="4" w:space="0"/>
          <w:lang w:eastAsia="zh-CN"/>
        </w:rPr>
        <w:sectPr>
          <w:footerReference r:id="rId12" w:type="default"/>
          <w:pgSz w:w="11907" w:h="16840"/>
          <w:pgMar w:top="1134" w:right="1191" w:bottom="1134" w:left="1304" w:header="851" w:footer="992" w:gutter="0"/>
          <w:pgNumType w:fmt="decimal"/>
          <w:cols w:space="720" w:num="1"/>
          <w:docGrid w:linePitch="380" w:charSpace="-5735"/>
        </w:sectPr>
      </w:pPr>
      <w:r>
        <w:rPr>
          <w:rFonts w:hint="eastAsia" w:ascii="宋体" w:hAnsi="宋体" w:cs="宋体"/>
          <w:color w:val="auto"/>
          <w:sz w:val="24"/>
          <w:szCs w:val="24"/>
          <w:highlight w:val="none"/>
        </w:rPr>
        <w:t>其他与项目有关的资料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自附</w:t>
      </w:r>
      <w:r>
        <w:rPr>
          <w:rFonts w:hint="eastAsia" w:ascii="宋体" w:hAnsi="宋体" w:cs="宋体"/>
          <w:color w:val="auto"/>
          <w:sz w:val="24"/>
          <w:szCs w:val="24"/>
          <w:highlight w:val="none"/>
          <w:lang w:eastAsia="zh-CN"/>
        </w:rPr>
        <w:t>）</w:t>
      </w:r>
    </w:p>
    <w:p w14:paraId="1B27EE41">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color w:val="auto"/>
          <w:sz w:val="30"/>
          <w:szCs w:val="30"/>
          <w:highlight w:val="none"/>
        </w:rPr>
      </w:pPr>
      <w:bookmarkStart w:id="1826" w:name="_Toc13366"/>
      <w:bookmarkStart w:id="1827" w:name="_Toc30801"/>
      <w:bookmarkStart w:id="1828" w:name="_Toc5655"/>
      <w:bookmarkStart w:id="1829" w:name="_Toc76462350"/>
      <w:bookmarkStart w:id="1830" w:name="_Toc19492"/>
      <w:bookmarkStart w:id="1831" w:name="_Toc27684"/>
      <w:bookmarkStart w:id="1832" w:name="_Toc31455"/>
      <w:bookmarkStart w:id="1833" w:name="_Toc18885"/>
      <w:bookmarkStart w:id="1834" w:name="_Toc16224"/>
      <w:bookmarkStart w:id="1835" w:name="_Toc13221"/>
      <w:bookmarkStart w:id="1836" w:name="_Toc17915"/>
      <w:bookmarkStart w:id="1837" w:name="_Toc12292"/>
      <w:bookmarkStart w:id="1838" w:name="_Toc14916"/>
      <w:bookmarkStart w:id="1839" w:name="_Toc15773"/>
      <w:bookmarkStart w:id="1840" w:name="_Toc27759"/>
      <w:bookmarkStart w:id="1841" w:name="_Toc32046"/>
      <w:bookmarkStart w:id="1842" w:name="_Toc32301"/>
      <w:bookmarkStart w:id="1843" w:name="_Toc21652"/>
      <w:bookmarkStart w:id="1844" w:name="_Toc7006"/>
      <w:bookmarkStart w:id="1845" w:name="_Toc342913419"/>
      <w:bookmarkStart w:id="1846" w:name="_Toc313888360"/>
      <w:bookmarkStart w:id="1847" w:name="_Toc313008356"/>
      <w:bookmarkStart w:id="1848" w:name="_Toc283382454"/>
      <w:bookmarkStart w:id="1849" w:name="_Toc12789073"/>
      <w:r>
        <w:rPr>
          <w:rFonts w:hint="eastAsia" w:ascii="宋体" w:hAnsi="宋体" w:cs="宋体"/>
          <w:color w:val="auto"/>
          <w:sz w:val="30"/>
          <w:szCs w:val="30"/>
          <w:highlight w:val="none"/>
        </w:rPr>
        <w:t>一、经济部分</w:t>
      </w:r>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p>
    <w:bookmarkEnd w:id="1848"/>
    <w:bookmarkEnd w:id="1849"/>
    <w:p w14:paraId="3991F516">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outlineLvl w:val="9"/>
        <w:rPr>
          <w:rFonts w:hint="eastAsia" w:ascii="宋体" w:hAnsi="宋体" w:cs="宋体"/>
          <w:color w:val="auto"/>
          <w:sz w:val="24"/>
          <w:szCs w:val="24"/>
          <w:highlight w:val="none"/>
        </w:rPr>
      </w:pPr>
      <w:bookmarkStart w:id="1850" w:name="_Toc11576"/>
      <w:r>
        <w:rPr>
          <w:rFonts w:hint="eastAsia" w:ascii="宋体" w:hAnsi="宋体" w:cs="宋体"/>
          <w:color w:val="auto"/>
          <w:sz w:val="24"/>
          <w:szCs w:val="24"/>
          <w:highlight w:val="none"/>
        </w:rPr>
        <w:t>（一）报价函</w:t>
      </w:r>
    </w:p>
    <w:p w14:paraId="3B177EBB">
      <w:pPr>
        <w:keepNext w:val="0"/>
        <w:keepLines w:val="0"/>
        <w:pageBreakBefore w:val="0"/>
        <w:widowControl w:val="0"/>
        <w:kinsoku/>
        <w:wordWrap/>
        <w:topLinePunct w:val="0"/>
        <w:bidi w:val="0"/>
        <w:spacing w:line="400" w:lineRule="exact"/>
        <w:jc w:val="center"/>
        <w:textAlignment w:val="auto"/>
        <w:rPr>
          <w:rFonts w:hint="eastAsia" w:ascii="宋体" w:hAnsi="宋体" w:cs="宋体"/>
          <w:b/>
          <w:color w:val="auto"/>
          <w:szCs w:val="28"/>
          <w:highlight w:val="none"/>
        </w:rPr>
      </w:pPr>
      <w:r>
        <w:rPr>
          <w:rFonts w:hint="eastAsia" w:ascii="宋体" w:hAnsi="宋体" w:cs="宋体"/>
          <w:b/>
          <w:color w:val="auto"/>
          <w:szCs w:val="28"/>
          <w:highlight w:val="none"/>
        </w:rPr>
        <w:t>报价函</w:t>
      </w:r>
    </w:p>
    <w:p w14:paraId="064E5D64">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w:t>
      </w:r>
      <w:r>
        <w:rPr>
          <w:rFonts w:hint="eastAsia" w:ascii="宋体" w:hAnsi="宋体" w:eastAsia="宋体" w:cs="宋体"/>
          <w:color w:val="000000"/>
          <w:sz w:val="24"/>
          <w:szCs w:val="24"/>
          <w:highlight w:val="none"/>
          <w:u w:val="single"/>
        </w:rPr>
        <w:t>采购人名称</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w:t>
      </w:r>
    </w:p>
    <w:p w14:paraId="60C5A207">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我方收到____________________________（项目名称）的</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文件，经详细研究，决定参加该项目的</w:t>
      </w:r>
      <w:r>
        <w:rPr>
          <w:rFonts w:hint="eastAsia" w:ascii="宋体" w:hAnsi="宋体" w:cs="宋体"/>
          <w:color w:val="auto"/>
          <w:sz w:val="24"/>
          <w:szCs w:val="24"/>
          <w:highlight w:val="none"/>
          <w:lang w:eastAsia="zh-CN"/>
        </w:rPr>
        <w:t>竞争性比选</w:t>
      </w:r>
      <w:r>
        <w:rPr>
          <w:rFonts w:hint="eastAsia" w:ascii="宋体" w:hAnsi="宋体" w:cs="宋体"/>
          <w:color w:val="auto"/>
          <w:sz w:val="24"/>
          <w:szCs w:val="24"/>
          <w:highlight w:val="none"/>
        </w:rPr>
        <w:t>。</w:t>
      </w:r>
    </w:p>
    <w:p w14:paraId="5854DB69">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sz w:val="24"/>
          <w:szCs w:val="24"/>
          <w:highlight w:val="none"/>
        </w:rPr>
        <w:t>1.愿意按照</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文件中的一切要求，</w:t>
      </w:r>
      <w:r>
        <w:rPr>
          <w:rFonts w:hint="eastAsia" w:ascii="宋体" w:hAnsi="宋体" w:cs="宋体"/>
          <w:color w:val="auto"/>
          <w:sz w:val="24"/>
          <w:szCs w:val="24"/>
          <w:highlight w:val="none"/>
          <w:lang w:eastAsia="zh-CN"/>
        </w:rPr>
        <w:t>提供本项目的</w:t>
      </w:r>
      <w:r>
        <w:rPr>
          <w:rFonts w:hint="eastAsia" w:ascii="宋体" w:hAnsi="宋体" w:cs="宋体"/>
          <w:color w:val="auto"/>
          <w:sz w:val="24"/>
          <w:szCs w:val="24"/>
          <w:highlight w:val="none"/>
          <w:lang w:val="en-US" w:eastAsia="zh-CN"/>
        </w:rPr>
        <w:t>包括并不限于的工程</w:t>
      </w:r>
      <w:r>
        <w:rPr>
          <w:rFonts w:hint="eastAsia" w:ascii="宋体" w:hAnsi="宋体" w:cs="宋体"/>
          <w:color w:val="auto"/>
          <w:sz w:val="24"/>
          <w:szCs w:val="24"/>
          <w:highlight w:val="none"/>
          <w:lang w:eastAsia="zh-CN"/>
        </w:rPr>
        <w:t>施工服</w:t>
      </w:r>
      <w:r>
        <w:rPr>
          <w:rFonts w:hint="eastAsia" w:asciiTheme="minorEastAsia" w:hAnsiTheme="minorEastAsia" w:eastAsiaTheme="minorEastAsia" w:cstheme="minorEastAsia"/>
          <w:color w:val="auto"/>
          <w:sz w:val="24"/>
          <w:szCs w:val="24"/>
          <w:highlight w:val="none"/>
          <w:lang w:eastAsia="zh-CN"/>
        </w:rPr>
        <w:t>务</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总报价为人民币（大写）：</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其中安全生产费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该工程的项目经理为：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（名称及身份证号码）；工期：</w:t>
      </w:r>
      <w:r>
        <w:rPr>
          <w:rFonts w:hint="eastAsia" w:asciiTheme="minorEastAsia" w:hAnsiTheme="minorEastAsia" w:eastAsiaTheme="minorEastAsia" w:cstheme="minorEastAsia"/>
          <w:i/>
          <w:iCs/>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日历天。</w:t>
      </w:r>
    </w:p>
    <w:p w14:paraId="1DC56C31">
      <w:pPr>
        <w:keepNext w:val="0"/>
        <w:keepLines w:val="0"/>
        <w:pageBreakBefore w:val="0"/>
        <w:widowControl w:val="0"/>
        <w:tabs>
          <w:tab w:val="left" w:pos="6300"/>
        </w:tabs>
        <w:kinsoku/>
        <w:wordWrap/>
        <w:topLinePunct w:val="0"/>
        <w:bidi w:val="0"/>
        <w:snapToGrid w:val="0"/>
        <w:spacing w:line="400" w:lineRule="exact"/>
        <w:ind w:left="476" w:leftChars="17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2.我方现提交的响应文件为：响应文件正本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份，副本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份，电子文档</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p>
    <w:p w14:paraId="7B6A8C40">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3.我方承诺：本次</w:t>
      </w:r>
      <w:r>
        <w:rPr>
          <w:rFonts w:hint="eastAsia" w:ascii="宋体" w:hAnsi="宋体" w:cs="宋体"/>
          <w:color w:val="auto"/>
          <w:sz w:val="24"/>
          <w:szCs w:val="24"/>
          <w:highlight w:val="none"/>
          <w:lang w:val="en-US" w:eastAsia="zh-CN"/>
        </w:rPr>
        <w:t>竞争性比选</w:t>
      </w:r>
      <w:r>
        <w:rPr>
          <w:rFonts w:hint="eastAsia" w:ascii="宋体" w:hAnsi="宋体" w:cs="宋体"/>
          <w:color w:val="auto"/>
          <w:sz w:val="24"/>
          <w:szCs w:val="24"/>
          <w:highlight w:val="none"/>
        </w:rPr>
        <w:t>的有效期为提交响应文件截止时间起90天。</w:t>
      </w:r>
    </w:p>
    <w:p w14:paraId="5261C722">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4.我方完全理解和接受贵方</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文件的一切规定和要求及评审办法。</w:t>
      </w:r>
    </w:p>
    <w:p w14:paraId="0263B71B">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5.在整个</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过程中，我方若有违规行为，接受按照重庆市政府采购规定给予惩罚。</w:t>
      </w:r>
    </w:p>
    <w:p w14:paraId="31010B39">
      <w:pPr>
        <w:pStyle w:val="23"/>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结果签订合同，并且严格履行合同义务。本承诺函将成为合同不可分割的一部分，与合同具有同等的法律效力。</w:t>
      </w:r>
    </w:p>
    <w:p w14:paraId="571A6ED5">
      <w:pPr>
        <w:pStyle w:val="23"/>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7.如果我方成为成交供应商，保证在接到成交通知书后，向采购代理机构缴纳</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文件规定的采购代理服务费。</w:t>
      </w:r>
    </w:p>
    <w:p w14:paraId="29545CFA">
      <w:pPr>
        <w:pStyle w:val="23"/>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8.我方未为采购项目提供整体设计、规范编制或者项目管理、监理、检测等服务。</w:t>
      </w:r>
    </w:p>
    <w:p w14:paraId="6920F663">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供应商（公章）或自然人签署：</w:t>
      </w:r>
    </w:p>
    <w:p w14:paraId="463CCDF0">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2412C4A9">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电话：                                             传真：</w:t>
      </w:r>
    </w:p>
    <w:p w14:paraId="4860EA7A">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网址：                                             邮编：</w:t>
      </w:r>
    </w:p>
    <w:p w14:paraId="1EC2D33A">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p>
    <w:p w14:paraId="08859FE2">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sectPr>
          <w:pgSz w:w="11907" w:h="16840"/>
          <w:pgMar w:top="1134" w:right="1191" w:bottom="1134" w:left="1304" w:header="851" w:footer="992" w:gutter="0"/>
          <w:pgNumType w:fmt="decimal"/>
          <w:cols w:space="720" w:num="1"/>
          <w:docGrid w:linePitch="380" w:charSpace="-5735"/>
        </w:sectPr>
      </w:pPr>
      <w:r>
        <w:rPr>
          <w:rFonts w:hint="eastAsia" w:ascii="宋体" w:hAnsi="宋体" w:cs="宋体"/>
          <w:color w:val="auto"/>
          <w:sz w:val="24"/>
          <w:szCs w:val="24"/>
          <w:highlight w:val="none"/>
        </w:rPr>
        <w:t xml:space="preserve">                                                  年   月   日</w:t>
      </w:r>
    </w:p>
    <w:bookmarkEnd w:id="1850"/>
    <w:p w14:paraId="348CD344">
      <w:pPr>
        <w:keepNext w:val="0"/>
        <w:keepLines w:val="0"/>
        <w:pageBreakBefore w:val="0"/>
        <w:widowControl w:val="0"/>
        <w:tabs>
          <w:tab w:val="left" w:pos="2895"/>
        </w:tabs>
        <w:kinsoku/>
        <w:wordWrap/>
        <w:topLinePunct w:val="0"/>
        <w:bidi w:val="0"/>
        <w:spacing w:line="400" w:lineRule="exact"/>
        <w:textAlignment w:val="auto"/>
        <w:outlineLvl w:val="9"/>
        <w:rPr>
          <w:rFonts w:hint="eastAsia" w:ascii="宋体" w:hAnsi="宋体" w:cs="宋体"/>
          <w:color w:val="auto"/>
          <w:sz w:val="24"/>
          <w:szCs w:val="24"/>
          <w:highlight w:val="none"/>
        </w:rPr>
      </w:pPr>
      <w:bookmarkStart w:id="1851" w:name="_Toc7522"/>
      <w:r>
        <w:rPr>
          <w:rFonts w:hint="eastAsia" w:ascii="宋体" w:hAnsi="宋体" w:cs="宋体"/>
          <w:color w:val="auto"/>
          <w:sz w:val="24"/>
          <w:szCs w:val="24"/>
          <w:highlight w:val="none"/>
        </w:rPr>
        <w:t>（二）明细报价表</w:t>
      </w:r>
      <w:bookmarkEnd w:id="1851"/>
    </w:p>
    <w:p w14:paraId="0AF388FD">
      <w:pPr>
        <w:pStyle w:val="39"/>
        <w:keepNext w:val="0"/>
        <w:keepLines w:val="0"/>
        <w:pageBreakBefore w:val="0"/>
        <w:widowControl w:val="0"/>
        <w:numPr>
          <w:ilvl w:val="0"/>
          <w:numId w:val="0"/>
        </w:numPr>
        <w:kinsoku/>
        <w:topLinePunct w:val="0"/>
        <w:bidi w:val="0"/>
        <w:spacing w:line="360" w:lineRule="auto"/>
        <w:ind w:left="753" w:leftChars="0"/>
        <w:jc w:val="center"/>
        <w:rPr>
          <w:rFonts w:hint="eastAsia" w:ascii="宋体" w:hAnsi="宋体" w:eastAsia="宋体" w:cs="宋体"/>
          <w:color w:val="auto"/>
          <w:kern w:val="2"/>
          <w:sz w:val="24"/>
          <w:szCs w:val="24"/>
          <w:highlight w:val="none"/>
          <w:lang w:val="en-US" w:eastAsia="zh-CN" w:bidi="ar-SA"/>
        </w:rPr>
      </w:pPr>
      <w:bookmarkStart w:id="1852" w:name="_Toc6818912"/>
      <w:bookmarkStart w:id="1853" w:name="_Toc20656410"/>
      <w:bookmarkStart w:id="1854" w:name="_Toc51660751"/>
      <w:bookmarkStart w:id="1855" w:name="_Toc21936039"/>
      <w:bookmarkStart w:id="1856" w:name="_Toc29985638"/>
      <w:bookmarkStart w:id="1857" w:name="_Toc23185487"/>
      <w:bookmarkStart w:id="1858" w:name="_Toc433792170"/>
      <w:bookmarkStart w:id="1859" w:name="_Toc30668158"/>
      <w:bookmarkStart w:id="1860" w:name="_Toc29582"/>
      <w:bookmarkStart w:id="1861" w:name="_Toc313008357"/>
      <w:bookmarkStart w:id="1862" w:name="_Toc4111"/>
      <w:bookmarkStart w:id="1863" w:name="_Toc7071"/>
      <w:bookmarkStart w:id="1864" w:name="_Toc25493"/>
      <w:bookmarkStart w:id="1865" w:name="_Toc18490"/>
      <w:bookmarkStart w:id="1866" w:name="_Toc11754"/>
      <w:bookmarkStart w:id="1867" w:name="_Toc16376"/>
      <w:bookmarkStart w:id="1868" w:name="_Toc25411"/>
      <w:bookmarkStart w:id="1869" w:name="_Toc12788"/>
      <w:bookmarkStart w:id="1870" w:name="_Toc31255"/>
      <w:bookmarkStart w:id="1871" w:name="_Toc313888361"/>
      <w:bookmarkStart w:id="1872" w:name="_Toc28779"/>
      <w:bookmarkStart w:id="1873" w:name="_Toc23625"/>
      <w:bookmarkStart w:id="1874" w:name="_Toc25494"/>
      <w:bookmarkStart w:id="1875" w:name="_Toc76462351"/>
      <w:bookmarkStart w:id="1876" w:name="_Toc32746"/>
      <w:bookmarkStart w:id="1877" w:name="_Toc342913420"/>
      <w:bookmarkStart w:id="1878" w:name="_Toc21397"/>
      <w:bookmarkStart w:id="1879" w:name="_Toc19994"/>
      <w:bookmarkStart w:id="1880" w:name="_Toc22313"/>
      <w:bookmarkStart w:id="1881" w:name="_Toc26593"/>
      <w:r>
        <w:rPr>
          <w:rFonts w:hint="eastAsia" w:ascii="宋体" w:hAnsi="宋体" w:eastAsia="宋体" w:cs="宋体"/>
          <w:color w:val="auto"/>
          <w:kern w:val="2"/>
          <w:sz w:val="24"/>
          <w:szCs w:val="24"/>
          <w:highlight w:val="none"/>
          <w:lang w:val="en-US" w:eastAsia="zh-CN" w:bidi="ar-SA"/>
        </w:rPr>
        <w:t>（供应商提供已标价工程量清单）</w:t>
      </w:r>
    </w:p>
    <w:p w14:paraId="3FA73720">
      <w:pPr>
        <w:keepNext w:val="0"/>
        <w:keepLines w:val="0"/>
        <w:pageBreakBefore w:val="0"/>
        <w:widowControl w:val="0"/>
        <w:kinsoku/>
        <w:topLinePunct w:val="0"/>
        <w:bidi w:val="0"/>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p>
    <w:bookmarkEnd w:id="1852"/>
    <w:bookmarkEnd w:id="1853"/>
    <w:bookmarkEnd w:id="1854"/>
    <w:bookmarkEnd w:id="1855"/>
    <w:bookmarkEnd w:id="1856"/>
    <w:bookmarkEnd w:id="1857"/>
    <w:bookmarkEnd w:id="1858"/>
    <w:bookmarkEnd w:id="1859"/>
    <w:p w14:paraId="158AE09D">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二、服务部分</w:t>
      </w:r>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p>
    <w:p w14:paraId="6CF4301F">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outlineLvl w:val="9"/>
        <w:rPr>
          <w:rFonts w:hint="eastAsia" w:ascii="宋体" w:hAnsi="宋体" w:cs="宋体"/>
          <w:color w:val="auto"/>
          <w:szCs w:val="24"/>
          <w:highlight w:val="none"/>
        </w:rPr>
      </w:pPr>
      <w:bookmarkStart w:id="1882" w:name="_Toc28182"/>
      <w:r>
        <w:rPr>
          <w:rFonts w:hint="eastAsia" w:ascii="宋体" w:hAnsi="宋体" w:cs="宋体"/>
          <w:color w:val="auto"/>
          <w:sz w:val="24"/>
          <w:szCs w:val="24"/>
          <w:highlight w:val="none"/>
        </w:rPr>
        <w:t>（一）</w:t>
      </w:r>
      <w:r>
        <w:rPr>
          <w:rFonts w:hint="eastAsia" w:ascii="宋体" w:hAnsi="宋体" w:cs="宋体"/>
          <w:color w:val="auto"/>
          <w:sz w:val="24"/>
          <w:szCs w:val="24"/>
          <w:highlight w:val="none"/>
          <w:lang w:val="en-US" w:eastAsia="zh-CN"/>
        </w:rPr>
        <w:t>技术</w:t>
      </w:r>
      <w:r>
        <w:rPr>
          <w:rFonts w:hint="eastAsia" w:ascii="宋体" w:hAnsi="宋体" w:cs="宋体"/>
          <w:color w:val="auto"/>
          <w:sz w:val="24"/>
          <w:szCs w:val="24"/>
          <w:highlight w:val="none"/>
        </w:rPr>
        <w:t>响应偏离表</w:t>
      </w:r>
      <w:bookmarkEnd w:id="1882"/>
    </w:p>
    <w:p w14:paraId="26E169B0">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 xml:space="preserve">：                                </w:t>
      </w:r>
    </w:p>
    <w:p w14:paraId="40677171">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4B07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noWrap w:val="0"/>
            <w:vAlign w:val="center"/>
          </w:tcPr>
          <w:p w14:paraId="191552B5">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bookmarkStart w:id="1883" w:name="_Toc13765"/>
            <w:r>
              <w:rPr>
                <w:rFonts w:hint="eastAsia" w:ascii="宋体" w:hAnsi="宋体" w:cs="宋体"/>
                <w:color w:val="auto"/>
                <w:sz w:val="21"/>
                <w:szCs w:val="21"/>
                <w:highlight w:val="none"/>
              </w:rPr>
              <w:t>序号</w:t>
            </w:r>
            <w:bookmarkEnd w:id="1883"/>
          </w:p>
        </w:tc>
        <w:tc>
          <w:tcPr>
            <w:tcW w:w="2967" w:type="dxa"/>
            <w:noWrap w:val="0"/>
            <w:vAlign w:val="center"/>
          </w:tcPr>
          <w:p w14:paraId="093380C4">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bookmarkStart w:id="1884" w:name="_Toc5459"/>
            <w:r>
              <w:rPr>
                <w:rFonts w:hint="eastAsia" w:ascii="宋体" w:hAnsi="宋体" w:cs="宋体"/>
                <w:color w:val="auto"/>
                <w:sz w:val="21"/>
                <w:szCs w:val="21"/>
                <w:highlight w:val="none"/>
              </w:rPr>
              <w:t>项目</w:t>
            </w:r>
            <w:r>
              <w:rPr>
                <w:rFonts w:hint="eastAsia" w:ascii="宋体" w:hAnsi="宋体" w:cs="宋体"/>
                <w:color w:val="auto"/>
                <w:sz w:val="21"/>
                <w:szCs w:val="21"/>
                <w:highlight w:val="none"/>
                <w:lang w:val="en-US" w:eastAsia="zh-CN"/>
              </w:rPr>
              <w:t>技术</w:t>
            </w:r>
            <w:r>
              <w:rPr>
                <w:rFonts w:hint="eastAsia" w:ascii="宋体" w:hAnsi="宋体" w:cs="宋体"/>
                <w:color w:val="auto"/>
                <w:sz w:val="21"/>
                <w:szCs w:val="21"/>
                <w:highlight w:val="none"/>
              </w:rPr>
              <w:t>需求</w:t>
            </w:r>
            <w:bookmarkEnd w:id="1884"/>
          </w:p>
        </w:tc>
        <w:tc>
          <w:tcPr>
            <w:tcW w:w="3081" w:type="dxa"/>
            <w:noWrap w:val="0"/>
            <w:vAlign w:val="center"/>
          </w:tcPr>
          <w:p w14:paraId="6F35F3DC">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bookmarkStart w:id="1885" w:name="_Toc7749"/>
            <w:r>
              <w:rPr>
                <w:rFonts w:hint="eastAsia" w:ascii="宋体" w:hAnsi="宋体" w:cs="宋体"/>
                <w:color w:val="auto"/>
                <w:sz w:val="21"/>
                <w:szCs w:val="21"/>
                <w:highlight w:val="none"/>
              </w:rPr>
              <w:t>响应情况</w:t>
            </w:r>
            <w:bookmarkEnd w:id="1885"/>
          </w:p>
        </w:tc>
        <w:tc>
          <w:tcPr>
            <w:tcW w:w="2309" w:type="dxa"/>
            <w:noWrap w:val="0"/>
            <w:vAlign w:val="center"/>
          </w:tcPr>
          <w:p w14:paraId="1B4656F9">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bookmarkStart w:id="1886" w:name="_Toc27213"/>
            <w:r>
              <w:rPr>
                <w:rFonts w:hint="eastAsia" w:ascii="宋体" w:hAnsi="宋体" w:cs="宋体"/>
                <w:color w:val="auto"/>
                <w:sz w:val="21"/>
                <w:szCs w:val="21"/>
                <w:highlight w:val="none"/>
              </w:rPr>
              <w:t>差异说明</w:t>
            </w:r>
            <w:bookmarkEnd w:id="1886"/>
          </w:p>
        </w:tc>
      </w:tr>
      <w:tr w14:paraId="3065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2340B64C">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38C45C85">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0744F5D9">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1"/>
                <w:szCs w:val="21"/>
                <w:highlight w:val="none"/>
              </w:rPr>
            </w:pPr>
          </w:p>
        </w:tc>
        <w:tc>
          <w:tcPr>
            <w:tcW w:w="2309" w:type="dxa"/>
            <w:noWrap w:val="0"/>
            <w:vAlign w:val="center"/>
          </w:tcPr>
          <w:p w14:paraId="30393DB1">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2E358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2F33A57A">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01B9F2F6">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73B1FDC7">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31B60782">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51EF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02787E54">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0488231A">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6292623B">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46BEBB0D">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0D08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2D312421">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2284203C">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7D77304B">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7FCE4095">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3B48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7D6B487B">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5B9E8105">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2DC2A96E">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773998CA">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4D29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2C27F127">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4D0C677D">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4C259226">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1E9B9ABF">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6114C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4637DC23">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5D38EB03">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6574741D">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3A8CD707">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12B0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143EEFC9">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13F777E6">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66EE5420">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4AACE2A5">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72E5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1601FA58">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5E49829F">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43C06F95">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2FA79EE4">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7B91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48F99CDF">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50BF0BE2">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78A7763B">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41137AFF">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bl>
    <w:p w14:paraId="0D9D0CEA">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5C6F3A17">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682EF6D2">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525D65AD">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6B6B9EF2">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78059692">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注：</w:t>
      </w:r>
    </w:p>
    <w:p w14:paraId="5E759664">
      <w:pPr>
        <w:keepNext w:val="0"/>
        <w:keepLines w:val="0"/>
        <w:pageBreakBefore w:val="0"/>
        <w:widowControl w:val="0"/>
        <w:kinsoku/>
        <w:wordWrap/>
        <w:topLinePunct w:val="0"/>
        <w:bidi w:val="0"/>
        <w:snapToGrid w:val="0"/>
        <w:spacing w:line="40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1.本表即为对本项目“第二篇  项目</w:t>
      </w:r>
      <w:r>
        <w:rPr>
          <w:rFonts w:hint="eastAsia" w:ascii="宋体" w:hAnsi="宋体" w:cs="宋体"/>
          <w:color w:val="auto"/>
          <w:sz w:val="24"/>
          <w:highlight w:val="none"/>
          <w:lang w:val="en-US" w:eastAsia="zh-CN"/>
        </w:rPr>
        <w:t>技术</w:t>
      </w:r>
      <w:r>
        <w:rPr>
          <w:rFonts w:hint="eastAsia" w:ascii="宋体" w:hAnsi="宋体" w:eastAsia="宋体" w:cs="宋体"/>
          <w:color w:val="auto"/>
          <w:sz w:val="24"/>
          <w:highlight w:val="none"/>
        </w:rPr>
        <w:t>需求”中所列条款进行比较和响应</w:t>
      </w:r>
      <w:r>
        <w:rPr>
          <w:rFonts w:hint="eastAsia" w:ascii="宋体" w:hAnsi="宋体" w:eastAsia="宋体" w:cs="宋体"/>
          <w:color w:val="auto"/>
          <w:sz w:val="24"/>
          <w:highlight w:val="none"/>
          <w:lang w:eastAsia="zh-CN"/>
        </w:rPr>
        <w:t>；</w:t>
      </w:r>
    </w:p>
    <w:p w14:paraId="1DAB9837">
      <w:pPr>
        <w:keepNext w:val="0"/>
        <w:keepLines w:val="0"/>
        <w:pageBreakBefore w:val="0"/>
        <w:widowControl w:val="0"/>
        <w:kinsoku/>
        <w:wordWrap/>
        <w:topLinePunct w:val="0"/>
        <w:bidi w:val="0"/>
        <w:snapToGrid w:val="0"/>
        <w:spacing w:line="40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2.本表可扩展</w:t>
      </w:r>
      <w:r>
        <w:rPr>
          <w:rFonts w:hint="eastAsia" w:ascii="宋体" w:hAnsi="宋体" w:eastAsia="宋体" w:cs="宋体"/>
          <w:color w:val="auto"/>
          <w:sz w:val="24"/>
          <w:highlight w:val="none"/>
          <w:lang w:eastAsia="zh-CN"/>
        </w:rPr>
        <w:t>；</w:t>
      </w:r>
    </w:p>
    <w:p w14:paraId="344085AB">
      <w:pPr>
        <w:keepNext w:val="0"/>
        <w:keepLines w:val="0"/>
        <w:pageBreakBefore w:val="0"/>
        <w:widowControl w:val="0"/>
        <w:kinsoku/>
        <w:wordWrap/>
        <w:topLinePunct w:val="0"/>
        <w:bidi w:val="0"/>
        <w:snapToGrid w:val="0"/>
        <w:spacing w:line="40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3.可附相关技术（服务）支撑材料（格式自定）</w:t>
      </w:r>
      <w:r>
        <w:rPr>
          <w:rFonts w:hint="eastAsia" w:ascii="宋体" w:hAnsi="宋体" w:eastAsia="宋体" w:cs="宋体"/>
          <w:color w:val="auto"/>
          <w:sz w:val="24"/>
          <w:highlight w:val="none"/>
          <w:lang w:eastAsia="zh-CN"/>
        </w:rPr>
        <w:t>；</w:t>
      </w:r>
    </w:p>
    <w:p w14:paraId="5DBF1F00">
      <w:pPr>
        <w:keepNext w:val="0"/>
        <w:keepLines w:val="0"/>
        <w:pageBreakBefore w:val="0"/>
        <w:widowControl w:val="0"/>
        <w:kinsoku/>
        <w:wordWrap/>
        <w:topLinePunct w:val="0"/>
        <w:bidi w:val="0"/>
        <w:snapToGrid w:val="0"/>
        <w:spacing w:line="4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szCs w:val="24"/>
          <w:highlight w:val="none"/>
        </w:rPr>
        <w:t>响应</w:t>
      </w:r>
      <w:r>
        <w:rPr>
          <w:rFonts w:hint="eastAsia" w:ascii="宋体" w:hAnsi="宋体" w:cs="宋体"/>
          <w:color w:val="auto"/>
          <w:sz w:val="24"/>
          <w:szCs w:val="28"/>
          <w:highlight w:val="none"/>
        </w:rPr>
        <w:t>情况栏中</w:t>
      </w:r>
      <w:r>
        <w:rPr>
          <w:rFonts w:hint="eastAsia" w:ascii="宋体" w:hAnsi="宋体" w:eastAsia="宋体" w:cs="宋体"/>
          <w:color w:val="auto"/>
          <w:sz w:val="24"/>
          <w:highlight w:val="none"/>
        </w:rPr>
        <w:t>应当注明技术参数或具体内容。</w:t>
      </w:r>
    </w:p>
    <w:p w14:paraId="42D94FA0">
      <w:pPr>
        <w:keepNext w:val="0"/>
        <w:keepLines w:val="0"/>
        <w:pageBreakBefore w:val="0"/>
        <w:widowControl w:val="0"/>
        <w:tabs>
          <w:tab w:val="left" w:pos="6300"/>
        </w:tabs>
        <w:kinsoku/>
        <w:wordWrap/>
        <w:topLinePunct w:val="0"/>
        <w:bidi w:val="0"/>
        <w:snapToGrid w:val="0"/>
        <w:spacing w:line="400" w:lineRule="exact"/>
        <w:ind w:firstLine="560" w:firstLineChars="200"/>
        <w:textAlignment w:val="auto"/>
        <w:outlineLvl w:val="9"/>
        <w:rPr>
          <w:rFonts w:hint="eastAsia" w:ascii="宋体" w:hAnsi="宋体" w:cs="宋体"/>
          <w:color w:val="auto"/>
          <w:szCs w:val="24"/>
          <w:highlight w:val="none"/>
        </w:rPr>
      </w:pPr>
      <w:r>
        <w:rPr>
          <w:rFonts w:hint="eastAsia" w:ascii="宋体" w:hAnsi="宋体" w:cs="宋体"/>
          <w:color w:val="auto"/>
          <w:szCs w:val="24"/>
          <w:highlight w:val="none"/>
        </w:rPr>
        <w:br w:type="page"/>
      </w:r>
      <w:bookmarkStart w:id="1887" w:name="_Toc16878"/>
      <w:r>
        <w:rPr>
          <w:rFonts w:hint="eastAsia" w:ascii="宋体" w:hAnsi="宋体" w:cs="宋体"/>
          <w:color w:val="auto"/>
          <w:sz w:val="24"/>
          <w:szCs w:val="24"/>
          <w:highlight w:val="none"/>
        </w:rPr>
        <w:t>（二）其他资料（格式自定）</w:t>
      </w:r>
      <w:bookmarkEnd w:id="1887"/>
    </w:p>
    <w:p w14:paraId="66C500D8">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760E0724">
      <w:pPr>
        <w:keepNext w:val="0"/>
        <w:keepLines w:val="0"/>
        <w:pageBreakBefore w:val="0"/>
        <w:widowControl w:val="0"/>
        <w:kinsoku/>
        <w:wordWrap/>
        <w:topLinePunct w:val="0"/>
        <w:bidi w:val="0"/>
        <w:adjustRightInd w:val="0"/>
        <w:snapToGrid w:val="0"/>
        <w:spacing w:line="400" w:lineRule="exact"/>
        <w:textAlignment w:val="auto"/>
        <w:outlineLvl w:val="9"/>
        <w:rPr>
          <w:rFonts w:hint="eastAsia" w:ascii="宋体" w:hAnsi="宋体" w:cs="宋体"/>
          <w:color w:val="auto"/>
          <w:sz w:val="24"/>
          <w:highlight w:val="none"/>
        </w:rPr>
      </w:pPr>
      <w:r>
        <w:rPr>
          <w:rFonts w:hint="eastAsia" w:ascii="宋体" w:hAnsi="宋体" w:cs="宋体"/>
          <w:b/>
          <w:color w:val="auto"/>
          <w:highlight w:val="none"/>
        </w:rPr>
        <w:br w:type="page"/>
      </w:r>
      <w:bookmarkStart w:id="1888" w:name="_Toc520"/>
      <w:bookmarkStart w:id="1889" w:name="_Toc19297"/>
      <w:bookmarkStart w:id="1890" w:name="_Toc26576"/>
      <w:bookmarkStart w:id="1891" w:name="_Toc21538"/>
      <w:bookmarkStart w:id="1892" w:name="_Toc313888362"/>
      <w:bookmarkStart w:id="1893" w:name="_Toc342913421"/>
      <w:bookmarkStart w:id="1894" w:name="_Toc6238"/>
      <w:bookmarkStart w:id="1895" w:name="_Toc29841"/>
      <w:bookmarkStart w:id="1896" w:name="_Toc573"/>
      <w:bookmarkStart w:id="1897" w:name="_Toc313008358"/>
      <w:bookmarkStart w:id="1898" w:name="_Toc76462352"/>
      <w:bookmarkStart w:id="1899" w:name="_Toc28099"/>
      <w:bookmarkStart w:id="1900" w:name="_Toc29102"/>
      <w:bookmarkStart w:id="1901" w:name="_Toc9093"/>
      <w:bookmarkStart w:id="1902" w:name="_Toc2576"/>
      <w:bookmarkStart w:id="1903" w:name="_Toc9936"/>
      <w:bookmarkStart w:id="1904" w:name="_Toc28240"/>
      <w:bookmarkStart w:id="1905" w:name="_Toc21216"/>
      <w:bookmarkStart w:id="1906" w:name="_Toc26398"/>
      <w:bookmarkStart w:id="1907" w:name="_Toc29761"/>
      <w:bookmarkStart w:id="1908" w:name="_Toc22505"/>
      <w:bookmarkStart w:id="1909" w:name="_Toc26647"/>
      <w:r>
        <w:rPr>
          <w:rFonts w:hint="eastAsia" w:ascii="宋体" w:hAnsi="宋体" w:cs="宋体"/>
          <w:color w:val="auto"/>
          <w:sz w:val="24"/>
          <w:highlight w:val="none"/>
        </w:rPr>
        <w:t>三、商务部分</w:t>
      </w:r>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p>
    <w:p w14:paraId="76B62AC1">
      <w:pPr>
        <w:keepNext w:val="0"/>
        <w:keepLines w:val="0"/>
        <w:pageBreakBefore w:val="0"/>
        <w:widowControl w:val="0"/>
        <w:kinsoku/>
        <w:wordWrap/>
        <w:topLinePunct w:val="0"/>
        <w:bidi w:val="0"/>
        <w:snapToGrid w:val="0"/>
        <w:spacing w:line="400" w:lineRule="exact"/>
        <w:ind w:firstLine="480" w:firstLineChars="200"/>
        <w:textAlignment w:val="auto"/>
        <w:outlineLvl w:val="9"/>
        <w:rPr>
          <w:rFonts w:hint="eastAsia" w:ascii="宋体" w:hAnsi="宋体" w:cs="宋体"/>
          <w:color w:val="auto"/>
          <w:sz w:val="24"/>
          <w:szCs w:val="24"/>
          <w:highlight w:val="none"/>
        </w:rPr>
      </w:pPr>
      <w:bookmarkStart w:id="1910" w:name="_Toc5334"/>
      <w:r>
        <w:rPr>
          <w:rFonts w:hint="eastAsia" w:ascii="宋体" w:hAnsi="宋体" w:cs="宋体"/>
          <w:color w:val="auto"/>
          <w:sz w:val="24"/>
          <w:szCs w:val="24"/>
          <w:highlight w:val="none"/>
        </w:rPr>
        <w:t>（一）商务响应偏离表</w:t>
      </w:r>
      <w:bookmarkEnd w:id="1910"/>
    </w:p>
    <w:p w14:paraId="1A5FDD1F">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 xml:space="preserve">：                                </w:t>
      </w:r>
    </w:p>
    <w:p w14:paraId="61695CAC">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项目名称： </w:t>
      </w:r>
    </w:p>
    <w:tbl>
      <w:tblPr>
        <w:tblStyle w:val="6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68A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19E7498C">
            <w:pPr>
              <w:keepNext w:val="0"/>
              <w:keepLines w:val="0"/>
              <w:pageBreakBefore w:val="0"/>
              <w:widowControl w:val="0"/>
              <w:kinsoku/>
              <w:wordWrap/>
              <w:topLinePunct w:val="0"/>
              <w:bidi w:val="0"/>
              <w:snapToGrid w:val="0"/>
              <w:spacing w:line="400" w:lineRule="exact"/>
              <w:ind w:firstLine="465"/>
              <w:textAlignment w:val="auto"/>
              <w:rPr>
                <w:rFonts w:hint="eastAsia" w:ascii="宋体" w:hAnsi="宋体" w:cs="宋体"/>
                <w:color w:val="auto"/>
                <w:sz w:val="21"/>
                <w:szCs w:val="24"/>
                <w:highlight w:val="none"/>
              </w:rPr>
            </w:pPr>
            <w:r>
              <w:rPr>
                <w:rFonts w:hint="eastAsia" w:ascii="宋体" w:hAnsi="宋体" w:cs="宋体"/>
                <w:color w:val="auto"/>
                <w:sz w:val="21"/>
                <w:szCs w:val="24"/>
                <w:highlight w:val="none"/>
              </w:rPr>
              <w:t>序号</w:t>
            </w:r>
          </w:p>
        </w:tc>
        <w:tc>
          <w:tcPr>
            <w:tcW w:w="3179" w:type="dxa"/>
            <w:noWrap w:val="0"/>
            <w:vAlign w:val="center"/>
          </w:tcPr>
          <w:p w14:paraId="61B4E78F">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bookmarkStart w:id="1911" w:name="_Toc945"/>
            <w:r>
              <w:rPr>
                <w:rFonts w:hint="eastAsia" w:ascii="宋体" w:hAnsi="宋体" w:cs="宋体"/>
                <w:color w:val="auto"/>
                <w:sz w:val="21"/>
                <w:szCs w:val="24"/>
                <w:highlight w:val="none"/>
              </w:rPr>
              <w:t>项目商务需求</w:t>
            </w:r>
            <w:bookmarkEnd w:id="1911"/>
          </w:p>
        </w:tc>
        <w:tc>
          <w:tcPr>
            <w:tcW w:w="2434" w:type="dxa"/>
            <w:noWrap w:val="0"/>
            <w:vAlign w:val="center"/>
          </w:tcPr>
          <w:p w14:paraId="3D3C9187">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bookmarkStart w:id="1912" w:name="_Toc8075"/>
            <w:r>
              <w:rPr>
                <w:rFonts w:hint="eastAsia" w:ascii="宋体" w:hAnsi="宋体" w:cs="宋体"/>
                <w:color w:val="auto"/>
                <w:sz w:val="21"/>
                <w:szCs w:val="24"/>
                <w:highlight w:val="none"/>
              </w:rPr>
              <w:t>响应情况</w:t>
            </w:r>
            <w:bookmarkEnd w:id="1912"/>
          </w:p>
        </w:tc>
        <w:tc>
          <w:tcPr>
            <w:tcW w:w="2355" w:type="dxa"/>
            <w:noWrap w:val="0"/>
            <w:vAlign w:val="center"/>
          </w:tcPr>
          <w:p w14:paraId="590D5BBE">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bookmarkStart w:id="1913" w:name="_Toc29743"/>
            <w:r>
              <w:rPr>
                <w:rFonts w:hint="eastAsia" w:ascii="宋体" w:hAnsi="宋体" w:cs="宋体"/>
                <w:color w:val="auto"/>
                <w:sz w:val="21"/>
                <w:szCs w:val="24"/>
                <w:highlight w:val="none"/>
              </w:rPr>
              <w:t>差异说明</w:t>
            </w:r>
            <w:bookmarkEnd w:id="1913"/>
          </w:p>
        </w:tc>
      </w:tr>
      <w:tr w14:paraId="0FB8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F4ED373">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3179" w:type="dxa"/>
            <w:noWrap w:val="0"/>
            <w:vAlign w:val="center"/>
          </w:tcPr>
          <w:p w14:paraId="5A2A7D5F">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434" w:type="dxa"/>
            <w:noWrap w:val="0"/>
            <w:vAlign w:val="center"/>
          </w:tcPr>
          <w:p w14:paraId="69ED862C">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1"/>
                <w:szCs w:val="24"/>
                <w:highlight w:val="none"/>
              </w:rPr>
            </w:pPr>
          </w:p>
        </w:tc>
        <w:tc>
          <w:tcPr>
            <w:tcW w:w="2355" w:type="dxa"/>
            <w:noWrap w:val="0"/>
            <w:vAlign w:val="center"/>
          </w:tcPr>
          <w:p w14:paraId="0686FD4D">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r>
      <w:tr w14:paraId="76A6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B96F859">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3179" w:type="dxa"/>
            <w:noWrap w:val="0"/>
            <w:vAlign w:val="center"/>
          </w:tcPr>
          <w:p w14:paraId="2621F5A9">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434" w:type="dxa"/>
            <w:noWrap w:val="0"/>
            <w:vAlign w:val="center"/>
          </w:tcPr>
          <w:p w14:paraId="79ABFC67">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355" w:type="dxa"/>
            <w:noWrap w:val="0"/>
            <w:vAlign w:val="center"/>
          </w:tcPr>
          <w:p w14:paraId="3F4EBCD3">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r>
      <w:tr w14:paraId="7091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14FAC2D">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3179" w:type="dxa"/>
            <w:noWrap w:val="0"/>
            <w:vAlign w:val="center"/>
          </w:tcPr>
          <w:p w14:paraId="053752C2">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434" w:type="dxa"/>
            <w:noWrap w:val="0"/>
            <w:vAlign w:val="center"/>
          </w:tcPr>
          <w:p w14:paraId="67A80194">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355" w:type="dxa"/>
            <w:noWrap w:val="0"/>
            <w:vAlign w:val="center"/>
          </w:tcPr>
          <w:p w14:paraId="1ACC5A24">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r>
      <w:tr w14:paraId="05A5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81601A7">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3179" w:type="dxa"/>
            <w:noWrap w:val="0"/>
            <w:vAlign w:val="center"/>
          </w:tcPr>
          <w:p w14:paraId="440E5205">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434" w:type="dxa"/>
            <w:noWrap w:val="0"/>
            <w:vAlign w:val="center"/>
          </w:tcPr>
          <w:p w14:paraId="36C0590B">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355" w:type="dxa"/>
            <w:noWrap w:val="0"/>
            <w:vAlign w:val="center"/>
          </w:tcPr>
          <w:p w14:paraId="5CE384B6">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r>
      <w:tr w14:paraId="7046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F7DF750">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3179" w:type="dxa"/>
            <w:noWrap w:val="0"/>
            <w:vAlign w:val="center"/>
          </w:tcPr>
          <w:p w14:paraId="43494177">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434" w:type="dxa"/>
            <w:noWrap w:val="0"/>
            <w:vAlign w:val="center"/>
          </w:tcPr>
          <w:p w14:paraId="114AAC49">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355" w:type="dxa"/>
            <w:noWrap w:val="0"/>
            <w:vAlign w:val="center"/>
          </w:tcPr>
          <w:p w14:paraId="448473F4">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r>
      <w:tr w14:paraId="2046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13C6A58">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3179" w:type="dxa"/>
            <w:noWrap w:val="0"/>
            <w:vAlign w:val="center"/>
          </w:tcPr>
          <w:p w14:paraId="47F7EBE8">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434" w:type="dxa"/>
            <w:noWrap w:val="0"/>
            <w:vAlign w:val="center"/>
          </w:tcPr>
          <w:p w14:paraId="29CD6970">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355" w:type="dxa"/>
            <w:noWrap w:val="0"/>
            <w:vAlign w:val="center"/>
          </w:tcPr>
          <w:p w14:paraId="5AEE6B90">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r>
    </w:tbl>
    <w:p w14:paraId="073A2CC7">
      <w:pPr>
        <w:keepNext w:val="0"/>
        <w:keepLines w:val="0"/>
        <w:pageBreakBefore w:val="0"/>
        <w:widowControl w:val="0"/>
        <w:kinsoku/>
        <w:wordWrap/>
        <w:topLinePunct w:val="0"/>
        <w:bidi w:val="0"/>
        <w:snapToGrid w:val="0"/>
        <w:spacing w:line="400" w:lineRule="exact"/>
        <w:ind w:firstLine="465"/>
        <w:textAlignment w:val="auto"/>
        <w:rPr>
          <w:rFonts w:hint="eastAsia" w:ascii="宋体" w:hAnsi="宋体" w:cs="宋体"/>
          <w:color w:val="auto"/>
          <w:sz w:val="24"/>
          <w:szCs w:val="24"/>
          <w:highlight w:val="none"/>
        </w:rPr>
      </w:pPr>
    </w:p>
    <w:p w14:paraId="156B83C8">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744D35E0">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7EF04855">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5739C2F0">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393C44D0">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5579BF45">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注：</w:t>
      </w:r>
    </w:p>
    <w:p w14:paraId="2570E9E9">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1.本表即为对本项目“第三篇 项目商务需求”中所列条款进行比较和响应；</w:t>
      </w:r>
    </w:p>
    <w:p w14:paraId="24CBA246">
      <w:pPr>
        <w:keepNext w:val="0"/>
        <w:keepLines w:val="0"/>
        <w:pageBreakBefore w:val="0"/>
        <w:widowControl w:val="0"/>
        <w:kinsoku/>
        <w:wordWrap/>
        <w:topLinePunct w:val="0"/>
        <w:bidi w:val="0"/>
        <w:snapToGrid w:val="0"/>
        <w:spacing w:line="40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2.本表可扩展</w:t>
      </w:r>
      <w:r>
        <w:rPr>
          <w:rFonts w:hint="eastAsia" w:ascii="宋体" w:hAnsi="宋体" w:eastAsia="宋体" w:cs="宋体"/>
          <w:color w:val="auto"/>
          <w:sz w:val="24"/>
          <w:highlight w:val="none"/>
          <w:lang w:eastAsia="zh-CN"/>
        </w:rPr>
        <w:t>；</w:t>
      </w:r>
    </w:p>
    <w:p w14:paraId="71782239">
      <w:pPr>
        <w:keepNext w:val="0"/>
        <w:keepLines w:val="0"/>
        <w:pageBreakBefore w:val="0"/>
        <w:widowControl w:val="0"/>
        <w:kinsoku/>
        <w:wordWrap/>
        <w:topLinePunct w:val="0"/>
        <w:bidi w:val="0"/>
        <w:snapToGrid w:val="0"/>
        <w:spacing w:line="4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cs="宋体"/>
          <w:color w:val="auto"/>
          <w:sz w:val="24"/>
          <w:szCs w:val="24"/>
          <w:highlight w:val="none"/>
        </w:rPr>
        <w:t>响应</w:t>
      </w:r>
      <w:r>
        <w:rPr>
          <w:rFonts w:hint="eastAsia" w:ascii="宋体" w:hAnsi="宋体" w:cs="宋体"/>
          <w:color w:val="auto"/>
          <w:sz w:val="24"/>
          <w:szCs w:val="28"/>
          <w:highlight w:val="none"/>
        </w:rPr>
        <w:t>情况栏中</w:t>
      </w:r>
      <w:r>
        <w:rPr>
          <w:rFonts w:hint="eastAsia" w:ascii="宋体" w:hAnsi="宋体" w:eastAsia="宋体" w:cs="宋体"/>
          <w:color w:val="auto"/>
          <w:sz w:val="24"/>
          <w:highlight w:val="none"/>
        </w:rPr>
        <w:t>应当注明技术参数或具体内容。</w:t>
      </w:r>
    </w:p>
    <w:p w14:paraId="57F59129">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sectPr>
          <w:headerReference r:id="rId13" w:type="default"/>
          <w:pgSz w:w="11907" w:h="16840"/>
          <w:pgMar w:top="1134" w:right="1191" w:bottom="1134" w:left="1304" w:header="851" w:footer="992" w:gutter="0"/>
          <w:pgNumType w:fmt="decimal"/>
          <w:cols w:space="720" w:num="1"/>
          <w:docGrid w:linePitch="380" w:charSpace="-5735"/>
        </w:sectPr>
      </w:pPr>
    </w:p>
    <w:p w14:paraId="59D65EEF">
      <w:pPr>
        <w:keepNext w:val="0"/>
        <w:keepLines w:val="0"/>
        <w:pageBreakBefore w:val="0"/>
        <w:widowControl w:val="0"/>
        <w:kinsoku/>
        <w:wordWrap/>
        <w:topLinePunct w:val="0"/>
        <w:bidi w:val="0"/>
        <w:snapToGrid w:val="0"/>
        <w:spacing w:line="400" w:lineRule="exact"/>
        <w:ind w:firstLine="480" w:firstLineChars="200"/>
        <w:textAlignment w:val="auto"/>
        <w:outlineLvl w:val="9"/>
        <w:rPr>
          <w:rFonts w:hint="eastAsia" w:ascii="宋体" w:hAnsi="宋体" w:cs="宋体"/>
          <w:color w:val="auto"/>
          <w:sz w:val="24"/>
          <w:szCs w:val="24"/>
          <w:highlight w:val="none"/>
        </w:rPr>
      </w:pPr>
      <w:bookmarkStart w:id="1914" w:name="_Toc11658"/>
      <w:bookmarkStart w:id="1915" w:name="_Toc283382459"/>
      <w:r>
        <w:rPr>
          <w:rFonts w:hint="eastAsia" w:ascii="宋体" w:hAnsi="宋体" w:cs="宋体"/>
          <w:color w:val="auto"/>
          <w:sz w:val="24"/>
          <w:szCs w:val="24"/>
          <w:highlight w:val="none"/>
        </w:rPr>
        <w:t>（二）其它</w:t>
      </w:r>
      <w:r>
        <w:rPr>
          <w:rFonts w:hint="eastAsia" w:ascii="宋体" w:hAnsi="宋体" w:cs="宋体"/>
          <w:color w:val="auto"/>
          <w:sz w:val="24"/>
          <w:szCs w:val="24"/>
          <w:highlight w:val="none"/>
          <w:lang w:val="en-US" w:eastAsia="zh-CN"/>
        </w:rPr>
        <w:t>商务资料</w:t>
      </w:r>
      <w:r>
        <w:rPr>
          <w:rFonts w:hint="eastAsia" w:ascii="宋体" w:hAnsi="宋体" w:cs="宋体"/>
          <w:color w:val="auto"/>
          <w:sz w:val="24"/>
          <w:szCs w:val="24"/>
          <w:highlight w:val="none"/>
        </w:rPr>
        <w:t>（格式自定）</w:t>
      </w:r>
      <w:bookmarkEnd w:id="1914"/>
    </w:p>
    <w:p w14:paraId="40E0DDE4">
      <w:pPr>
        <w:keepNext w:val="0"/>
        <w:keepLines w:val="0"/>
        <w:pageBreakBefore w:val="0"/>
        <w:widowControl w:val="0"/>
        <w:kinsoku/>
        <w:wordWrap/>
        <w:topLinePunct w:val="0"/>
        <w:bidi w:val="0"/>
        <w:adjustRightInd w:val="0"/>
        <w:snapToGrid w:val="0"/>
        <w:spacing w:line="400" w:lineRule="exact"/>
        <w:textAlignment w:val="auto"/>
        <w:outlineLvl w:val="9"/>
        <w:rPr>
          <w:rFonts w:hint="eastAsia" w:ascii="宋体" w:hAnsi="宋体" w:cs="宋体"/>
          <w:color w:val="auto"/>
          <w:sz w:val="24"/>
          <w:highlight w:val="none"/>
        </w:rPr>
      </w:pPr>
      <w:r>
        <w:rPr>
          <w:rFonts w:hint="eastAsia" w:ascii="宋体" w:hAnsi="宋体" w:cs="宋体"/>
          <w:color w:val="auto"/>
          <w:sz w:val="24"/>
          <w:szCs w:val="24"/>
          <w:highlight w:val="none"/>
        </w:rPr>
        <w:br w:type="page"/>
      </w:r>
      <w:bookmarkEnd w:id="1915"/>
      <w:bookmarkStart w:id="1916" w:name="_Toc21368"/>
      <w:bookmarkStart w:id="1917" w:name="_Toc6829"/>
      <w:bookmarkStart w:id="1918" w:name="_Toc313008359"/>
      <w:bookmarkStart w:id="1919" w:name="_Toc12319"/>
      <w:bookmarkStart w:id="1920" w:name="_Toc313888363"/>
      <w:bookmarkStart w:id="1921" w:name="_Toc1742"/>
      <w:bookmarkStart w:id="1922" w:name="_Toc25332"/>
      <w:bookmarkStart w:id="1923" w:name="_Toc19652"/>
      <w:bookmarkStart w:id="1924" w:name="_Toc342913422"/>
      <w:bookmarkStart w:id="1925" w:name="_Toc76462353"/>
      <w:bookmarkStart w:id="1926" w:name="_Toc10729"/>
      <w:bookmarkStart w:id="1927" w:name="_Toc23426"/>
      <w:bookmarkStart w:id="1928" w:name="_Toc6268"/>
      <w:bookmarkStart w:id="1929" w:name="_Toc10514"/>
      <w:bookmarkStart w:id="1930" w:name="_Toc9472"/>
      <w:bookmarkStart w:id="1931" w:name="_Toc190"/>
      <w:bookmarkStart w:id="1932" w:name="_Toc20384"/>
      <w:bookmarkStart w:id="1933" w:name="_Toc22916"/>
      <w:bookmarkStart w:id="1934" w:name="_Toc4499"/>
      <w:bookmarkStart w:id="1935" w:name="_Toc28090"/>
      <w:bookmarkStart w:id="1936" w:name="_Toc14005"/>
      <w:bookmarkStart w:id="1937" w:name="_Toc24352"/>
      <w:r>
        <w:rPr>
          <w:rFonts w:hint="eastAsia" w:ascii="宋体" w:hAnsi="宋体" w:cs="宋体"/>
          <w:color w:val="auto"/>
          <w:sz w:val="24"/>
          <w:highlight w:val="none"/>
        </w:rPr>
        <w:t>四、资格条件</w:t>
      </w:r>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r>
        <w:rPr>
          <w:rFonts w:hint="eastAsia" w:ascii="宋体" w:hAnsi="宋体" w:cs="宋体"/>
          <w:color w:val="auto"/>
          <w:sz w:val="24"/>
          <w:highlight w:val="none"/>
        </w:rPr>
        <w:t>及其他</w:t>
      </w:r>
      <w:bookmarkEnd w:id="1935"/>
      <w:bookmarkEnd w:id="1936"/>
      <w:bookmarkEnd w:id="1937"/>
    </w:p>
    <w:p w14:paraId="0A3063F9">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41CBCDD9">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highlight w:val="none"/>
        </w:rPr>
      </w:pPr>
    </w:p>
    <w:p w14:paraId="48211334">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highlight w:val="none"/>
        </w:rPr>
      </w:pPr>
    </w:p>
    <w:p w14:paraId="761B0632">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highlight w:val="none"/>
        </w:rPr>
      </w:pPr>
    </w:p>
    <w:p w14:paraId="777EF0A0">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highlight w:val="none"/>
        </w:rPr>
      </w:pPr>
    </w:p>
    <w:p w14:paraId="10AA6F25">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highlight w:val="none"/>
        </w:rPr>
      </w:pPr>
    </w:p>
    <w:p w14:paraId="53733906">
      <w:pPr>
        <w:keepNext w:val="0"/>
        <w:keepLines w:val="0"/>
        <w:pageBreakBefore w:val="0"/>
        <w:widowControl w:val="0"/>
        <w:kinsoku/>
        <w:wordWrap/>
        <w:topLinePunct w:val="0"/>
        <w:bidi w:val="0"/>
        <w:snapToGrid w:val="0"/>
        <w:spacing w:line="400" w:lineRule="exact"/>
        <w:ind w:firstLine="560" w:firstLineChars="200"/>
        <w:textAlignment w:val="auto"/>
        <w:rPr>
          <w:rFonts w:hint="eastAsia" w:ascii="宋体" w:hAnsi="宋体" w:cs="宋体"/>
          <w:color w:val="auto"/>
          <w:sz w:val="24"/>
          <w:szCs w:val="24"/>
          <w:highlight w:val="none"/>
        </w:rPr>
      </w:pPr>
      <w:r>
        <w:rPr>
          <w:rFonts w:hint="eastAsia" w:ascii="宋体" w:hAnsi="宋体" w:cs="宋体"/>
          <w:color w:val="auto"/>
          <w:highlight w:val="none"/>
        </w:rPr>
        <w:br w:type="page"/>
      </w:r>
      <w:bookmarkStart w:id="1938" w:name="_Toc21583"/>
      <w:r>
        <w:rPr>
          <w:rFonts w:hint="eastAsia" w:ascii="宋体" w:hAnsi="宋体" w:cs="宋体"/>
          <w:color w:val="auto"/>
          <w:sz w:val="24"/>
          <w:szCs w:val="24"/>
          <w:highlight w:val="none"/>
        </w:rPr>
        <w:t>（二）法定代表人身份证明书（格式）</w:t>
      </w:r>
      <w:bookmarkEnd w:id="1938"/>
    </w:p>
    <w:p w14:paraId="5FFC571B">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4047F9A6">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18024714">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5AFFAE8D">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eastAsia="宋体" w:cs="宋体"/>
          <w:color w:val="000000"/>
          <w:sz w:val="24"/>
          <w:szCs w:val="24"/>
          <w:highlight w:val="none"/>
          <w:u w:val="none"/>
        </w:rPr>
        <w:t>采购人名称</w:t>
      </w:r>
      <w:r>
        <w:rPr>
          <w:rFonts w:hint="eastAsia" w:ascii="宋体" w:hAnsi="宋体" w:cs="宋体"/>
          <w:color w:val="auto"/>
          <w:sz w:val="24"/>
          <w:highlight w:val="none"/>
        </w:rPr>
        <w:t>）：</w:t>
      </w:r>
    </w:p>
    <w:p w14:paraId="378205F8">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11BFE500">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49C6E5F2">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特此证明。</w:t>
      </w:r>
    </w:p>
    <w:p w14:paraId="42510DF7">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73E101F3">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024CAB17">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6100A416">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（供应商公章）</w:t>
      </w:r>
    </w:p>
    <w:p w14:paraId="71F45C92">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50378161">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38AA9F53">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法定代表人电话：XXXXXXX      电子邮箱：XXXXXX@XXXXX（若授权他人办理并签署响应文件的可不填写）</w:t>
      </w:r>
    </w:p>
    <w:p w14:paraId="1D84D865">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75B74728">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5CE631ED">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72FF2281">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05586594">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18E3A279">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4C7D8F2A">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051DC814">
      <w:pPr>
        <w:keepNext w:val="0"/>
        <w:keepLines w:val="0"/>
        <w:pageBreakBefore w:val="0"/>
        <w:widowControl w:val="0"/>
        <w:kinsoku/>
        <w:wordWrap/>
        <w:topLinePunct w:val="0"/>
        <w:bidi w:val="0"/>
        <w:snapToGrid w:val="0"/>
        <w:spacing w:line="400" w:lineRule="exact"/>
        <w:ind w:firstLine="560" w:firstLineChars="200"/>
        <w:textAlignment w:val="auto"/>
        <w:rPr>
          <w:rFonts w:hint="eastAsia" w:ascii="宋体" w:hAnsi="宋体" w:cs="宋体"/>
          <w:color w:val="auto"/>
          <w:sz w:val="24"/>
          <w:szCs w:val="24"/>
          <w:highlight w:val="none"/>
        </w:rPr>
      </w:pPr>
      <w:bookmarkStart w:id="1939" w:name="_Toc6560"/>
      <w:r>
        <w:rPr>
          <w:rFonts w:hint="eastAsia" w:ascii="宋体" w:hAnsi="宋体" w:cs="宋体"/>
          <w:color w:val="auto"/>
          <w:highlight w:val="none"/>
        </w:rPr>
        <w:br w:type="column"/>
      </w:r>
      <w:r>
        <w:rPr>
          <w:rFonts w:hint="eastAsia" w:ascii="宋体" w:hAnsi="宋体" w:cs="宋体"/>
          <w:color w:val="auto"/>
          <w:sz w:val="24"/>
          <w:szCs w:val="24"/>
          <w:highlight w:val="none"/>
        </w:rPr>
        <w:t>（三）法定代表人授权委托书（格式）</w:t>
      </w:r>
      <w:bookmarkEnd w:id="1939"/>
    </w:p>
    <w:p w14:paraId="056DE27E">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1F78D9B4">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szCs w:val="28"/>
          <w:highlight w:val="none"/>
        </w:rPr>
        <w:t>项目名称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50400620">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7354138F">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eastAsia="宋体" w:cs="宋体"/>
          <w:color w:val="000000"/>
          <w:sz w:val="24"/>
          <w:szCs w:val="24"/>
          <w:highlight w:val="none"/>
          <w:u w:val="none"/>
        </w:rPr>
        <w:t>采购人名称</w:t>
      </w:r>
      <w:r>
        <w:rPr>
          <w:rFonts w:hint="eastAsia" w:ascii="宋体" w:hAnsi="宋体" w:cs="宋体"/>
          <w:color w:val="auto"/>
          <w:sz w:val="24"/>
          <w:highlight w:val="none"/>
        </w:rPr>
        <w:t>）：</w:t>
      </w:r>
    </w:p>
    <w:p w14:paraId="2ECCFBB8">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（被授权人姓名及身份证代码）代表我单位全权办理上述项目的</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、签约等具体工作，并签署全部有关文件、协议及合同。</w:t>
      </w:r>
    </w:p>
    <w:p w14:paraId="7C2A82B0">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我单位对被授权人的</w:t>
      </w:r>
      <w:r>
        <w:rPr>
          <w:rFonts w:hint="eastAsia" w:ascii="宋体" w:hAnsi="宋体" w:cs="宋体"/>
          <w:color w:val="auto"/>
          <w:sz w:val="24"/>
          <w:szCs w:val="28"/>
          <w:highlight w:val="none"/>
        </w:rPr>
        <w:t>签署</w:t>
      </w:r>
      <w:r>
        <w:rPr>
          <w:rFonts w:hint="eastAsia" w:ascii="宋体" w:hAnsi="宋体" w:cs="宋体"/>
          <w:color w:val="auto"/>
          <w:sz w:val="24"/>
          <w:highlight w:val="none"/>
        </w:rPr>
        <w:t>负全部责任。</w:t>
      </w:r>
    </w:p>
    <w:p w14:paraId="109040EF">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78BD7080">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5CD19A01">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7DC425E8">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被授权人：                                 供应商法定代表人：</w:t>
      </w:r>
    </w:p>
    <w:p w14:paraId="4AB6E2EA">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15D91EA6">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8"/>
          <w:highlight w:val="none"/>
        </w:rPr>
      </w:pPr>
    </w:p>
    <w:p w14:paraId="7FD10F0D">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51E456E4">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（附：被授权人身份证正反面复印件）</w:t>
      </w:r>
    </w:p>
    <w:p w14:paraId="659AF8B9">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332E85DF">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12EE44B3">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306814AE">
      <w:pPr>
        <w:keepNext w:val="0"/>
        <w:keepLines w:val="0"/>
        <w:pageBreakBefore w:val="0"/>
        <w:widowControl w:val="0"/>
        <w:tabs>
          <w:tab w:val="left" w:pos="6300"/>
        </w:tabs>
        <w:kinsoku/>
        <w:wordWrap/>
        <w:topLinePunct w:val="0"/>
        <w:bidi w:val="0"/>
        <w:snapToGrid w:val="0"/>
        <w:spacing w:line="400" w:lineRule="exact"/>
        <w:ind w:right="480" w:firstLine="570"/>
        <w:jc w:val="right"/>
        <w:textAlignment w:val="auto"/>
        <w:rPr>
          <w:rFonts w:hint="eastAsia" w:ascii="宋体" w:hAnsi="宋体" w:cs="宋体"/>
          <w:color w:val="auto"/>
          <w:sz w:val="24"/>
          <w:highlight w:val="none"/>
        </w:rPr>
      </w:pPr>
      <w:r>
        <w:rPr>
          <w:rFonts w:hint="eastAsia" w:ascii="宋体" w:hAnsi="宋体" w:cs="宋体"/>
          <w:color w:val="auto"/>
          <w:sz w:val="24"/>
          <w:highlight w:val="none"/>
        </w:rPr>
        <w:t>（供应商公章）</w:t>
      </w:r>
    </w:p>
    <w:p w14:paraId="3BB28714">
      <w:pPr>
        <w:keepNext w:val="0"/>
        <w:keepLines w:val="0"/>
        <w:pageBreakBefore w:val="0"/>
        <w:widowControl w:val="0"/>
        <w:tabs>
          <w:tab w:val="left" w:pos="6300"/>
        </w:tabs>
        <w:kinsoku/>
        <w:wordWrap/>
        <w:topLinePunct w:val="0"/>
        <w:bidi w:val="0"/>
        <w:snapToGrid w:val="0"/>
        <w:spacing w:line="400" w:lineRule="exact"/>
        <w:ind w:right="480" w:firstLine="570"/>
        <w:jc w:val="right"/>
        <w:textAlignment w:val="auto"/>
        <w:rPr>
          <w:rFonts w:hint="eastAsia" w:ascii="宋体" w:hAnsi="宋体" w:cs="宋体"/>
          <w:color w:val="auto"/>
          <w:sz w:val="24"/>
          <w:highlight w:val="none"/>
        </w:rPr>
      </w:pPr>
      <w:r>
        <w:rPr>
          <w:rFonts w:hint="eastAsia" w:ascii="宋体" w:hAnsi="宋体" w:cs="宋体"/>
          <w:color w:val="auto"/>
          <w:sz w:val="24"/>
          <w:highlight w:val="none"/>
        </w:rPr>
        <w:t>年   月   日</w:t>
      </w:r>
    </w:p>
    <w:p w14:paraId="6C33C81C">
      <w:pPr>
        <w:keepNext w:val="0"/>
        <w:keepLines w:val="0"/>
        <w:pageBreakBefore w:val="0"/>
        <w:widowControl w:val="0"/>
        <w:tabs>
          <w:tab w:val="left" w:pos="6300"/>
        </w:tabs>
        <w:kinsoku/>
        <w:wordWrap/>
        <w:topLinePunct w:val="0"/>
        <w:bidi w:val="0"/>
        <w:snapToGrid w:val="0"/>
        <w:spacing w:line="400" w:lineRule="exact"/>
        <w:ind w:right="480" w:firstLine="57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被授权人电话：XXXXXXX     电子邮箱：XXXXXX@XXXXX（若法定代表人办理并签署响应文件的可不填写）</w:t>
      </w:r>
    </w:p>
    <w:p w14:paraId="7822037C">
      <w:pPr>
        <w:keepNext w:val="0"/>
        <w:keepLines w:val="0"/>
        <w:pageBreakBefore w:val="0"/>
        <w:widowControl w:val="0"/>
        <w:tabs>
          <w:tab w:val="left" w:pos="6300"/>
        </w:tabs>
        <w:kinsoku/>
        <w:wordWrap/>
        <w:topLinePunct w:val="0"/>
        <w:bidi w:val="0"/>
        <w:snapToGrid w:val="0"/>
        <w:spacing w:line="400" w:lineRule="exact"/>
        <w:ind w:right="480" w:firstLine="57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注：</w:t>
      </w:r>
    </w:p>
    <w:p w14:paraId="77C0F829">
      <w:pPr>
        <w:keepNext w:val="0"/>
        <w:keepLines w:val="0"/>
        <w:pageBreakBefore w:val="0"/>
        <w:widowControl w:val="0"/>
        <w:tabs>
          <w:tab w:val="left" w:pos="6300"/>
        </w:tabs>
        <w:kinsoku/>
        <w:wordWrap/>
        <w:topLinePunct w:val="0"/>
        <w:bidi w:val="0"/>
        <w:snapToGrid w:val="0"/>
        <w:spacing w:line="400" w:lineRule="exact"/>
        <w:ind w:right="480" w:firstLine="57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1.若为法定代表人办理并签署响应文件的，不提供此文件。</w:t>
      </w:r>
    </w:p>
    <w:p w14:paraId="5ED337BC">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4"/>
          <w:highlight w:val="none"/>
        </w:rPr>
      </w:pPr>
      <w:bookmarkStart w:id="1940" w:name="_Toc21253"/>
      <w:r>
        <w:rPr>
          <w:rFonts w:hint="eastAsia" w:ascii="宋体" w:hAnsi="宋体" w:cs="宋体"/>
          <w:color w:val="auto"/>
          <w:highlight w:val="none"/>
        </w:rPr>
        <w:br w:type="column"/>
      </w:r>
      <w:r>
        <w:rPr>
          <w:rFonts w:hint="eastAsia" w:ascii="宋体" w:hAnsi="宋体" w:cs="宋体"/>
          <w:color w:val="auto"/>
          <w:sz w:val="24"/>
          <w:szCs w:val="24"/>
          <w:highlight w:val="none"/>
        </w:rPr>
        <w:t>（四）基本资格条件承诺函（格式）</w:t>
      </w:r>
      <w:bookmarkEnd w:id="1940"/>
    </w:p>
    <w:p w14:paraId="0EE23CD3">
      <w:pPr>
        <w:keepNext w:val="0"/>
        <w:keepLines w:val="0"/>
        <w:pageBreakBefore w:val="0"/>
        <w:widowControl w:val="0"/>
        <w:tabs>
          <w:tab w:val="left" w:pos="6300"/>
        </w:tabs>
        <w:kinsoku/>
        <w:wordWrap/>
        <w:topLinePunct w:val="0"/>
        <w:bidi w:val="0"/>
        <w:snapToGrid w:val="0"/>
        <w:spacing w:line="400" w:lineRule="exact"/>
        <w:ind w:firstLine="570"/>
        <w:jc w:val="center"/>
        <w:textAlignment w:val="auto"/>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基本资格条件承诺函</w:t>
      </w:r>
    </w:p>
    <w:p w14:paraId="70D0FA9C">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4"/>
          <w:highlight w:val="none"/>
        </w:rPr>
      </w:pPr>
    </w:p>
    <w:p w14:paraId="28F156E9">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eastAsia="宋体" w:cs="宋体"/>
          <w:color w:val="000000"/>
          <w:sz w:val="24"/>
          <w:szCs w:val="24"/>
          <w:highlight w:val="none"/>
          <w:u w:val="none"/>
        </w:rPr>
        <w:t>采购人名称</w:t>
      </w:r>
      <w:r>
        <w:rPr>
          <w:rFonts w:hint="eastAsia" w:ascii="宋体" w:hAnsi="宋体" w:cs="宋体"/>
          <w:color w:val="auto"/>
          <w:sz w:val="24"/>
          <w:szCs w:val="24"/>
          <w:highlight w:val="none"/>
        </w:rPr>
        <w:t>）：</w:t>
      </w:r>
    </w:p>
    <w:p w14:paraId="5DF87094">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（供应商名称）郑重承诺：</w:t>
      </w:r>
    </w:p>
    <w:p w14:paraId="0A44A7DE">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1.我方具有良好的商业信誉和健全的财务会计制度，具有履行合同所必需的设备和专业技术能力，具</w:t>
      </w:r>
      <w:r>
        <w:rPr>
          <w:rFonts w:hint="eastAsia" w:ascii="宋体" w:hAnsi="宋体" w:cs="宋体"/>
          <w:color w:val="auto"/>
          <w:sz w:val="24"/>
          <w:szCs w:val="24"/>
          <w:highlight w:val="none"/>
          <w:lang w:val="zh-CN"/>
        </w:rPr>
        <w:t>有依法缴纳税收和社会保障金的良好记录</w:t>
      </w:r>
      <w:r>
        <w:rPr>
          <w:rFonts w:hint="eastAsia" w:ascii="宋体" w:hAnsi="宋体" w:cs="宋体"/>
          <w:color w:val="auto"/>
          <w:sz w:val="24"/>
          <w:szCs w:val="24"/>
          <w:highlight w:val="none"/>
        </w:rPr>
        <w:t>，参加本项目采购活动前三年内无重大违法活动记录。</w:t>
      </w:r>
    </w:p>
    <w:p w14:paraId="6B6AA11D">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23C2CCE9">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25D5FB3E">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我方对以上承诺负全部法律责任。</w:t>
      </w:r>
    </w:p>
    <w:p w14:paraId="6FD5114F">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2DB5B835">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4"/>
          <w:szCs w:val="24"/>
          <w:highlight w:val="none"/>
        </w:rPr>
      </w:pPr>
    </w:p>
    <w:p w14:paraId="294FB417">
      <w:pPr>
        <w:keepNext w:val="0"/>
        <w:keepLines w:val="0"/>
        <w:pageBreakBefore w:val="0"/>
        <w:widowControl w:val="0"/>
        <w:tabs>
          <w:tab w:val="left" w:pos="6300"/>
        </w:tabs>
        <w:kinsoku/>
        <w:wordWrap/>
        <w:topLinePunct w:val="0"/>
        <w:bidi w:val="0"/>
        <w:snapToGrid w:val="0"/>
        <w:spacing w:line="400" w:lineRule="exact"/>
        <w:ind w:right="424" w:firstLine="570"/>
        <w:jc w:val="righ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（供应商公章）</w:t>
      </w:r>
    </w:p>
    <w:p w14:paraId="56E744DC">
      <w:pPr>
        <w:keepNext w:val="0"/>
        <w:keepLines w:val="0"/>
        <w:pageBreakBefore w:val="0"/>
        <w:widowControl w:val="0"/>
        <w:tabs>
          <w:tab w:val="left" w:pos="6300"/>
        </w:tabs>
        <w:kinsoku/>
        <w:wordWrap/>
        <w:topLinePunct w:val="0"/>
        <w:bidi w:val="0"/>
        <w:snapToGrid w:val="0"/>
        <w:spacing w:line="400" w:lineRule="exact"/>
        <w:ind w:firstLine="7442" w:firstLineChars="3101"/>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年   月   日</w:t>
      </w:r>
    </w:p>
    <w:p w14:paraId="417E5CA3">
      <w:pPr>
        <w:keepNext w:val="0"/>
        <w:keepLines w:val="0"/>
        <w:pageBreakBefore w:val="0"/>
        <w:widowControl w:val="0"/>
        <w:numPr>
          <w:ilvl w:val="0"/>
          <w:numId w:val="19"/>
        </w:numPr>
        <w:kinsoku/>
        <w:wordWrap/>
        <w:topLinePunct w:val="0"/>
        <w:bidi w:val="0"/>
        <w:snapToGrid w:val="0"/>
        <w:spacing w:line="400" w:lineRule="exact"/>
        <w:ind w:firstLine="56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highlight w:val="none"/>
        </w:rPr>
        <w:br w:type="page"/>
      </w:r>
      <w:bookmarkStart w:id="1941" w:name="_Toc25340"/>
      <w:r>
        <w:rPr>
          <w:rFonts w:hint="eastAsia" w:ascii="宋体" w:hAnsi="宋体" w:cs="宋体"/>
          <w:color w:val="auto"/>
          <w:sz w:val="24"/>
          <w:szCs w:val="24"/>
          <w:highlight w:val="none"/>
        </w:rPr>
        <w:t>特定资格条件</w:t>
      </w:r>
      <w:bookmarkEnd w:id="1941"/>
      <w:r>
        <w:rPr>
          <w:rFonts w:hint="eastAsia" w:ascii="宋体" w:hAnsi="宋体" w:cs="宋体"/>
          <w:color w:val="auto"/>
          <w:sz w:val="24"/>
          <w:szCs w:val="24"/>
          <w:highlight w:val="none"/>
          <w:lang w:val="en-US" w:eastAsia="zh-CN"/>
        </w:rPr>
        <w:t>证书或证明文件</w:t>
      </w:r>
    </w:p>
    <w:p w14:paraId="5AA3E5DF">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45C10D77">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71E7D599">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6A2E4406">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1B4624E3">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2593A643">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5D2DE68C">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2E7307DB">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6734322F">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36206CD7">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3BAE2646">
      <w:pPr>
        <w:pStyle w:val="23"/>
        <w:rPr>
          <w:rFonts w:hint="default" w:ascii="宋体" w:hAnsi="宋体" w:cs="宋体"/>
          <w:color w:val="auto"/>
          <w:sz w:val="24"/>
          <w:szCs w:val="24"/>
          <w:highlight w:val="none"/>
          <w:lang w:val="en-US" w:eastAsia="zh-CN"/>
        </w:rPr>
      </w:pPr>
    </w:p>
    <w:p w14:paraId="48B61E81">
      <w:pPr>
        <w:rPr>
          <w:rFonts w:hint="default" w:ascii="宋体" w:hAnsi="宋体" w:cs="宋体"/>
          <w:color w:val="auto"/>
          <w:sz w:val="24"/>
          <w:szCs w:val="24"/>
          <w:highlight w:val="none"/>
          <w:lang w:val="en-US" w:eastAsia="zh-CN"/>
        </w:rPr>
      </w:pPr>
    </w:p>
    <w:p w14:paraId="0D537486">
      <w:pPr>
        <w:pStyle w:val="23"/>
        <w:rPr>
          <w:rFonts w:hint="default" w:ascii="宋体" w:hAnsi="宋体" w:cs="宋体"/>
          <w:color w:val="auto"/>
          <w:sz w:val="24"/>
          <w:szCs w:val="24"/>
          <w:highlight w:val="none"/>
          <w:lang w:val="en-US" w:eastAsia="zh-CN"/>
        </w:rPr>
      </w:pPr>
    </w:p>
    <w:p w14:paraId="1350AC67">
      <w:pPr>
        <w:rPr>
          <w:rFonts w:hint="default" w:ascii="宋体" w:hAnsi="宋体" w:cs="宋体"/>
          <w:color w:val="auto"/>
          <w:sz w:val="24"/>
          <w:szCs w:val="24"/>
          <w:highlight w:val="none"/>
          <w:lang w:val="en-US" w:eastAsia="zh-CN"/>
        </w:rPr>
      </w:pPr>
    </w:p>
    <w:p w14:paraId="61E55596">
      <w:pPr>
        <w:pStyle w:val="23"/>
        <w:rPr>
          <w:rFonts w:hint="default" w:ascii="宋体" w:hAnsi="宋体" w:cs="宋体"/>
          <w:color w:val="auto"/>
          <w:sz w:val="24"/>
          <w:szCs w:val="24"/>
          <w:highlight w:val="none"/>
          <w:lang w:val="en-US" w:eastAsia="zh-CN"/>
        </w:rPr>
      </w:pPr>
    </w:p>
    <w:p w14:paraId="4A6FDBAF">
      <w:pPr>
        <w:rPr>
          <w:rFonts w:hint="default" w:ascii="宋体" w:hAnsi="宋体" w:cs="宋体"/>
          <w:color w:val="auto"/>
          <w:sz w:val="24"/>
          <w:szCs w:val="24"/>
          <w:highlight w:val="none"/>
          <w:lang w:val="en-US" w:eastAsia="zh-CN"/>
        </w:rPr>
      </w:pPr>
    </w:p>
    <w:p w14:paraId="5BB362BD">
      <w:pPr>
        <w:pStyle w:val="23"/>
        <w:rPr>
          <w:rFonts w:hint="default" w:ascii="宋体" w:hAnsi="宋体" w:cs="宋体"/>
          <w:color w:val="auto"/>
          <w:sz w:val="24"/>
          <w:szCs w:val="24"/>
          <w:highlight w:val="none"/>
          <w:lang w:val="en-US" w:eastAsia="zh-CN"/>
        </w:rPr>
      </w:pPr>
    </w:p>
    <w:p w14:paraId="0E5B6585">
      <w:pPr>
        <w:rPr>
          <w:rFonts w:hint="default" w:ascii="宋体" w:hAnsi="宋体" w:cs="宋体"/>
          <w:color w:val="auto"/>
          <w:sz w:val="24"/>
          <w:szCs w:val="24"/>
          <w:highlight w:val="none"/>
          <w:lang w:val="en-US" w:eastAsia="zh-CN"/>
        </w:rPr>
      </w:pPr>
    </w:p>
    <w:p w14:paraId="5EFC3C5B">
      <w:pPr>
        <w:pStyle w:val="23"/>
        <w:rPr>
          <w:rFonts w:hint="default" w:ascii="宋体" w:hAnsi="宋体" w:cs="宋体"/>
          <w:color w:val="auto"/>
          <w:sz w:val="24"/>
          <w:szCs w:val="24"/>
          <w:highlight w:val="none"/>
          <w:lang w:val="en-US" w:eastAsia="zh-CN"/>
        </w:rPr>
      </w:pPr>
    </w:p>
    <w:p w14:paraId="56FBE058">
      <w:pPr>
        <w:rPr>
          <w:rFonts w:hint="default" w:ascii="宋体" w:hAnsi="宋体" w:cs="宋体"/>
          <w:color w:val="auto"/>
          <w:sz w:val="24"/>
          <w:szCs w:val="24"/>
          <w:highlight w:val="none"/>
          <w:lang w:val="en-US" w:eastAsia="zh-CN"/>
        </w:rPr>
      </w:pPr>
    </w:p>
    <w:p w14:paraId="1D37F692">
      <w:pPr>
        <w:pStyle w:val="23"/>
        <w:rPr>
          <w:rFonts w:hint="default" w:ascii="宋体" w:hAnsi="宋体" w:cs="宋体"/>
          <w:color w:val="auto"/>
          <w:sz w:val="24"/>
          <w:szCs w:val="24"/>
          <w:highlight w:val="none"/>
          <w:lang w:val="en-US" w:eastAsia="zh-CN"/>
        </w:rPr>
      </w:pPr>
    </w:p>
    <w:p w14:paraId="356FA87D">
      <w:pPr>
        <w:rPr>
          <w:rFonts w:hint="default" w:ascii="宋体" w:hAnsi="宋体" w:cs="宋体"/>
          <w:color w:val="auto"/>
          <w:sz w:val="24"/>
          <w:szCs w:val="24"/>
          <w:highlight w:val="none"/>
          <w:lang w:val="en-US" w:eastAsia="zh-CN"/>
        </w:rPr>
      </w:pPr>
    </w:p>
    <w:p w14:paraId="08EDA2FB">
      <w:pPr>
        <w:pStyle w:val="23"/>
        <w:rPr>
          <w:rFonts w:hint="default" w:ascii="宋体" w:hAnsi="宋体" w:cs="宋体"/>
          <w:color w:val="auto"/>
          <w:sz w:val="24"/>
          <w:szCs w:val="24"/>
          <w:highlight w:val="none"/>
          <w:lang w:val="en-US" w:eastAsia="zh-CN"/>
        </w:rPr>
      </w:pPr>
    </w:p>
    <w:p w14:paraId="1DAB132A">
      <w:pPr>
        <w:rPr>
          <w:rFonts w:hint="default" w:ascii="宋体" w:hAnsi="宋体" w:cs="宋体"/>
          <w:color w:val="auto"/>
          <w:sz w:val="24"/>
          <w:szCs w:val="24"/>
          <w:highlight w:val="none"/>
          <w:lang w:val="en-US" w:eastAsia="zh-CN"/>
        </w:rPr>
      </w:pPr>
    </w:p>
    <w:p w14:paraId="75D53CDB">
      <w:pPr>
        <w:pStyle w:val="23"/>
        <w:rPr>
          <w:rFonts w:hint="default" w:ascii="宋体" w:hAnsi="宋体" w:cs="宋体"/>
          <w:color w:val="auto"/>
          <w:sz w:val="24"/>
          <w:szCs w:val="24"/>
          <w:highlight w:val="none"/>
          <w:lang w:val="en-US" w:eastAsia="zh-CN"/>
        </w:rPr>
      </w:pPr>
    </w:p>
    <w:p w14:paraId="11FB95DD">
      <w:pPr>
        <w:rPr>
          <w:rFonts w:hint="default" w:ascii="宋体" w:hAnsi="宋体" w:cs="宋体"/>
          <w:color w:val="auto"/>
          <w:sz w:val="24"/>
          <w:szCs w:val="24"/>
          <w:highlight w:val="none"/>
          <w:lang w:val="en-US" w:eastAsia="zh-CN"/>
        </w:rPr>
      </w:pPr>
    </w:p>
    <w:p w14:paraId="6A7CE6BA">
      <w:pPr>
        <w:pStyle w:val="23"/>
        <w:rPr>
          <w:rFonts w:hint="default" w:ascii="宋体" w:hAnsi="宋体" w:cs="宋体"/>
          <w:color w:val="auto"/>
          <w:sz w:val="24"/>
          <w:szCs w:val="24"/>
          <w:highlight w:val="none"/>
          <w:lang w:val="en-US" w:eastAsia="zh-CN"/>
        </w:rPr>
      </w:pPr>
    </w:p>
    <w:p w14:paraId="0E5D01A5">
      <w:pPr>
        <w:rPr>
          <w:rFonts w:hint="default" w:ascii="宋体" w:hAnsi="宋体" w:cs="宋体"/>
          <w:color w:val="auto"/>
          <w:sz w:val="24"/>
          <w:szCs w:val="24"/>
          <w:highlight w:val="none"/>
          <w:lang w:val="en-US" w:eastAsia="zh-CN"/>
        </w:rPr>
      </w:pPr>
    </w:p>
    <w:p w14:paraId="0BD6F8FA">
      <w:pPr>
        <w:pStyle w:val="23"/>
        <w:rPr>
          <w:rFonts w:hint="default" w:ascii="宋体" w:hAnsi="宋体" w:cs="宋体"/>
          <w:color w:val="auto"/>
          <w:sz w:val="24"/>
          <w:szCs w:val="24"/>
          <w:highlight w:val="none"/>
          <w:lang w:val="en-US" w:eastAsia="zh-CN"/>
        </w:rPr>
      </w:pPr>
    </w:p>
    <w:p w14:paraId="44874BC5">
      <w:pPr>
        <w:rPr>
          <w:rFonts w:hint="default" w:ascii="宋体" w:hAnsi="宋体" w:cs="宋体"/>
          <w:color w:val="auto"/>
          <w:sz w:val="24"/>
          <w:szCs w:val="24"/>
          <w:highlight w:val="none"/>
          <w:lang w:val="en-US" w:eastAsia="zh-CN"/>
        </w:rPr>
      </w:pPr>
    </w:p>
    <w:p w14:paraId="47627FFA">
      <w:pPr>
        <w:pStyle w:val="23"/>
        <w:rPr>
          <w:rFonts w:hint="default" w:ascii="宋体" w:hAnsi="宋体" w:cs="宋体"/>
          <w:color w:val="auto"/>
          <w:sz w:val="24"/>
          <w:szCs w:val="24"/>
          <w:highlight w:val="none"/>
          <w:lang w:val="en-US" w:eastAsia="zh-CN"/>
        </w:rPr>
      </w:pPr>
    </w:p>
    <w:p w14:paraId="74AF94F5">
      <w:pPr>
        <w:rPr>
          <w:rFonts w:hint="default" w:ascii="宋体" w:hAnsi="宋体" w:cs="宋体"/>
          <w:color w:val="auto"/>
          <w:sz w:val="24"/>
          <w:szCs w:val="24"/>
          <w:highlight w:val="none"/>
          <w:lang w:val="en-US" w:eastAsia="zh-CN"/>
        </w:rPr>
      </w:pPr>
    </w:p>
    <w:p w14:paraId="0EF01C6B">
      <w:pPr>
        <w:pStyle w:val="23"/>
        <w:rPr>
          <w:rFonts w:hint="default" w:ascii="宋体" w:hAnsi="宋体" w:cs="宋体"/>
          <w:color w:val="auto"/>
          <w:sz w:val="24"/>
          <w:szCs w:val="24"/>
          <w:highlight w:val="none"/>
          <w:lang w:val="en-US" w:eastAsia="zh-CN"/>
        </w:rPr>
      </w:pPr>
    </w:p>
    <w:p w14:paraId="04ED5A19">
      <w:pPr>
        <w:rPr>
          <w:rFonts w:hint="default" w:ascii="宋体" w:hAnsi="宋体" w:cs="宋体"/>
          <w:color w:val="auto"/>
          <w:sz w:val="24"/>
          <w:szCs w:val="24"/>
          <w:highlight w:val="none"/>
          <w:lang w:val="en-US" w:eastAsia="zh-CN"/>
        </w:rPr>
      </w:pPr>
    </w:p>
    <w:p w14:paraId="200D7CCD">
      <w:pPr>
        <w:pStyle w:val="23"/>
        <w:rPr>
          <w:rFonts w:hint="default" w:ascii="宋体" w:hAnsi="宋体" w:cs="宋体"/>
          <w:color w:val="auto"/>
          <w:sz w:val="24"/>
          <w:szCs w:val="24"/>
          <w:highlight w:val="none"/>
          <w:lang w:val="en-US" w:eastAsia="zh-CN"/>
        </w:rPr>
      </w:pPr>
    </w:p>
    <w:p w14:paraId="05BB1E1B">
      <w:pPr>
        <w:rPr>
          <w:rFonts w:hint="default" w:ascii="宋体" w:hAnsi="宋体" w:cs="宋体"/>
          <w:color w:val="auto"/>
          <w:sz w:val="24"/>
          <w:szCs w:val="24"/>
          <w:highlight w:val="none"/>
          <w:lang w:val="en-US" w:eastAsia="zh-CN"/>
        </w:rPr>
      </w:pPr>
    </w:p>
    <w:p w14:paraId="7CDAC4C6">
      <w:pPr>
        <w:pStyle w:val="23"/>
        <w:rPr>
          <w:rFonts w:hint="default" w:ascii="宋体" w:hAnsi="宋体" w:cs="宋体"/>
          <w:color w:val="auto"/>
          <w:sz w:val="24"/>
          <w:szCs w:val="24"/>
          <w:highlight w:val="none"/>
          <w:lang w:val="en-US" w:eastAsia="zh-CN"/>
        </w:rPr>
      </w:pPr>
    </w:p>
    <w:p w14:paraId="0D26E33A">
      <w:pPr>
        <w:rPr>
          <w:rFonts w:hint="default" w:ascii="宋体" w:hAnsi="宋体" w:cs="宋体"/>
          <w:color w:val="auto"/>
          <w:sz w:val="24"/>
          <w:szCs w:val="24"/>
          <w:highlight w:val="none"/>
          <w:lang w:val="en-US" w:eastAsia="zh-CN"/>
        </w:rPr>
      </w:pPr>
    </w:p>
    <w:p w14:paraId="5C452CA9">
      <w:pPr>
        <w:pStyle w:val="23"/>
        <w:rPr>
          <w:rFonts w:hint="default" w:ascii="宋体" w:hAnsi="宋体" w:cs="宋体"/>
          <w:color w:val="auto"/>
          <w:sz w:val="24"/>
          <w:szCs w:val="24"/>
          <w:highlight w:val="none"/>
          <w:lang w:val="en-US" w:eastAsia="zh-CN"/>
        </w:rPr>
      </w:pPr>
    </w:p>
    <w:p w14:paraId="7C742971">
      <w:pPr>
        <w:rPr>
          <w:rFonts w:hint="default"/>
          <w:color w:val="auto"/>
          <w:highlight w:val="none"/>
          <w:lang w:val="en-US" w:eastAsia="zh-CN"/>
        </w:rPr>
      </w:pPr>
    </w:p>
    <w:p w14:paraId="38491027">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2ACC526C">
      <w:pPr>
        <w:keepNext w:val="0"/>
        <w:keepLines w:val="0"/>
        <w:pageBreakBefore w:val="0"/>
        <w:widowControl w:val="0"/>
        <w:kinsoku/>
        <w:wordWrap/>
        <w:topLinePunct w:val="0"/>
        <w:bidi w:val="0"/>
        <w:spacing w:line="400" w:lineRule="exact"/>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五、其他资料</w:t>
      </w:r>
    </w:p>
    <w:p w14:paraId="55600F88">
      <w:pPr>
        <w:keepNext w:val="0"/>
        <w:keepLines w:val="0"/>
        <w:pageBreakBefore w:val="0"/>
        <w:widowControl w:val="0"/>
        <w:kinsoku/>
        <w:wordWrap/>
        <w:topLinePunct w:val="0"/>
        <w:bidi w:val="0"/>
        <w:adjustRightInd w:val="0"/>
        <w:snapToGrid w:val="0"/>
        <w:spacing w:line="400" w:lineRule="exact"/>
        <w:ind w:firstLine="960" w:firstLineChars="4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其他与项目有关的资料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自附）</w:t>
      </w:r>
    </w:p>
    <w:p w14:paraId="04D2900D">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15A214E3">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25AFC15D">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72BA3E8C">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30771C61">
      <w:pPr>
        <w:pStyle w:val="23"/>
        <w:keepNext w:val="0"/>
        <w:keepLines w:val="0"/>
        <w:pageBreakBefore w:val="0"/>
        <w:widowControl w:val="0"/>
        <w:kinsoku/>
        <w:wordWrap/>
        <w:topLinePunct w:val="0"/>
        <w:bidi w:val="0"/>
        <w:spacing w:line="40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（结束）</w:t>
      </w:r>
    </w:p>
    <w:p w14:paraId="0DACFFBB">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2AA04AF9">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6314B87C">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51DACA10">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01FFE3C3">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58DBBB4F">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6A5125B5">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77BC3B40">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54EF15D5">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1B703D0B">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5E21E44A">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55C55B9F">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6FA4EE00">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34F22470">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66F81C71">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5B9BD42E">
      <w:pPr>
        <w:pStyle w:val="23"/>
        <w:rPr>
          <w:rFonts w:hint="eastAsia" w:ascii="宋体" w:hAnsi="宋体" w:cs="宋体"/>
          <w:color w:val="auto"/>
          <w:sz w:val="24"/>
          <w:szCs w:val="24"/>
          <w:highlight w:val="none"/>
          <w:lang w:val="en-US" w:eastAsia="zh-CN"/>
        </w:rPr>
      </w:pPr>
    </w:p>
    <w:p w14:paraId="644720BD">
      <w:pPr>
        <w:rPr>
          <w:rFonts w:hint="eastAsia" w:ascii="宋体" w:hAnsi="宋体" w:cs="宋体"/>
          <w:color w:val="auto"/>
          <w:sz w:val="24"/>
          <w:szCs w:val="24"/>
          <w:highlight w:val="none"/>
          <w:lang w:val="en-US" w:eastAsia="zh-CN"/>
        </w:rPr>
      </w:pPr>
    </w:p>
    <w:p w14:paraId="15C8EC8A">
      <w:pPr>
        <w:pStyle w:val="23"/>
        <w:rPr>
          <w:rFonts w:hint="eastAsia" w:ascii="宋体" w:hAnsi="宋体" w:cs="宋体"/>
          <w:color w:val="auto"/>
          <w:sz w:val="24"/>
          <w:szCs w:val="24"/>
          <w:highlight w:val="none"/>
          <w:lang w:val="en-US" w:eastAsia="zh-CN"/>
        </w:rPr>
      </w:pPr>
    </w:p>
    <w:p w14:paraId="65EE9C1A">
      <w:pPr>
        <w:rPr>
          <w:rFonts w:hint="eastAsia" w:ascii="宋体" w:hAnsi="宋体" w:cs="宋体"/>
          <w:color w:val="auto"/>
          <w:sz w:val="24"/>
          <w:szCs w:val="24"/>
          <w:highlight w:val="none"/>
          <w:lang w:val="en-US" w:eastAsia="zh-CN"/>
        </w:rPr>
      </w:pPr>
    </w:p>
    <w:p w14:paraId="3F0D727A">
      <w:pPr>
        <w:pStyle w:val="23"/>
        <w:rPr>
          <w:rFonts w:hint="eastAsia" w:ascii="宋体" w:hAnsi="宋体" w:cs="宋体"/>
          <w:color w:val="auto"/>
          <w:sz w:val="24"/>
          <w:szCs w:val="24"/>
          <w:highlight w:val="none"/>
          <w:lang w:val="en-US" w:eastAsia="zh-CN"/>
        </w:rPr>
      </w:pPr>
    </w:p>
    <w:p w14:paraId="347F96C7">
      <w:pPr>
        <w:rPr>
          <w:rFonts w:hint="eastAsia" w:ascii="宋体" w:hAnsi="宋体" w:cs="宋体"/>
          <w:color w:val="auto"/>
          <w:sz w:val="24"/>
          <w:szCs w:val="24"/>
          <w:highlight w:val="none"/>
          <w:lang w:val="en-US" w:eastAsia="zh-CN"/>
        </w:rPr>
      </w:pPr>
    </w:p>
    <w:p w14:paraId="26B079C7">
      <w:pPr>
        <w:pStyle w:val="23"/>
        <w:rPr>
          <w:rFonts w:hint="eastAsia" w:ascii="宋体" w:hAnsi="宋体" w:cs="宋体"/>
          <w:color w:val="auto"/>
          <w:sz w:val="24"/>
          <w:szCs w:val="24"/>
          <w:highlight w:val="none"/>
          <w:lang w:val="en-US" w:eastAsia="zh-CN"/>
        </w:rPr>
      </w:pPr>
    </w:p>
    <w:p w14:paraId="1F38F46D">
      <w:pPr>
        <w:rPr>
          <w:rFonts w:hint="eastAsia" w:ascii="宋体" w:hAnsi="宋体" w:cs="宋体"/>
          <w:color w:val="auto"/>
          <w:sz w:val="24"/>
          <w:szCs w:val="24"/>
          <w:highlight w:val="none"/>
          <w:lang w:val="en-US" w:eastAsia="zh-CN"/>
        </w:rPr>
      </w:pPr>
    </w:p>
    <w:p w14:paraId="6967FBDD">
      <w:pPr>
        <w:pStyle w:val="23"/>
        <w:rPr>
          <w:rFonts w:hint="eastAsia" w:ascii="宋体" w:hAnsi="宋体" w:cs="宋体"/>
          <w:color w:val="auto"/>
          <w:sz w:val="24"/>
          <w:szCs w:val="24"/>
          <w:highlight w:val="none"/>
          <w:lang w:val="en-US" w:eastAsia="zh-CN"/>
        </w:rPr>
      </w:pPr>
    </w:p>
    <w:p w14:paraId="699C4273">
      <w:pPr>
        <w:rPr>
          <w:rFonts w:hint="eastAsia" w:ascii="宋体" w:hAnsi="宋体" w:cs="宋体"/>
          <w:color w:val="auto"/>
          <w:sz w:val="24"/>
          <w:szCs w:val="24"/>
          <w:highlight w:val="none"/>
          <w:lang w:val="en-US" w:eastAsia="zh-CN"/>
        </w:rPr>
      </w:pPr>
    </w:p>
    <w:p w14:paraId="78443C5D">
      <w:pPr>
        <w:pStyle w:val="23"/>
        <w:rPr>
          <w:rFonts w:hint="eastAsia" w:ascii="宋体" w:hAnsi="宋体" w:cs="宋体"/>
          <w:color w:val="auto"/>
          <w:sz w:val="24"/>
          <w:szCs w:val="24"/>
          <w:highlight w:val="none"/>
          <w:lang w:val="en-US" w:eastAsia="zh-CN"/>
        </w:rPr>
      </w:pPr>
    </w:p>
    <w:p w14:paraId="5C21C42E">
      <w:pPr>
        <w:rPr>
          <w:rFonts w:hint="eastAsia" w:ascii="宋体" w:hAnsi="宋体" w:cs="宋体"/>
          <w:color w:val="auto"/>
          <w:sz w:val="24"/>
          <w:szCs w:val="24"/>
          <w:highlight w:val="none"/>
          <w:lang w:val="en-US" w:eastAsia="zh-CN"/>
        </w:rPr>
      </w:pPr>
    </w:p>
    <w:p w14:paraId="3BD6808A">
      <w:pPr>
        <w:pStyle w:val="23"/>
        <w:rPr>
          <w:rFonts w:hint="eastAsia" w:ascii="宋体" w:hAnsi="宋体" w:cs="宋体"/>
          <w:color w:val="auto"/>
          <w:sz w:val="24"/>
          <w:szCs w:val="24"/>
          <w:highlight w:val="none"/>
          <w:lang w:val="en-US" w:eastAsia="zh-CN"/>
        </w:rPr>
      </w:pPr>
    </w:p>
    <w:p w14:paraId="2D4CDDDC">
      <w:pPr>
        <w:rPr>
          <w:rFonts w:hint="eastAsia" w:ascii="宋体" w:hAnsi="宋体" w:cs="宋体"/>
          <w:color w:val="auto"/>
          <w:sz w:val="24"/>
          <w:szCs w:val="24"/>
          <w:highlight w:val="none"/>
          <w:lang w:val="en-US" w:eastAsia="zh-CN"/>
        </w:rPr>
      </w:pPr>
    </w:p>
    <w:p w14:paraId="2B056B6B">
      <w:pPr>
        <w:pStyle w:val="23"/>
        <w:rPr>
          <w:rFonts w:hint="eastAsia" w:ascii="宋体" w:hAnsi="宋体" w:cs="宋体"/>
          <w:color w:val="auto"/>
          <w:sz w:val="24"/>
          <w:szCs w:val="24"/>
          <w:highlight w:val="none"/>
          <w:lang w:val="en-US" w:eastAsia="zh-CN"/>
        </w:rPr>
      </w:pPr>
    </w:p>
    <w:p w14:paraId="5C070704">
      <w:pPr>
        <w:pStyle w:val="378"/>
        <w:keepNext w:val="0"/>
        <w:keepLines w:val="0"/>
        <w:pageBreakBefore w:val="0"/>
        <w:widowControl w:val="0"/>
        <w:tabs>
          <w:tab w:val="right" w:leader="dot" w:pos="9402"/>
        </w:tabs>
        <w:kinsoku/>
        <w:wordWrap/>
        <w:topLinePunct w:val="0"/>
        <w:bidi w:val="0"/>
        <w:spacing w:line="400" w:lineRule="exact"/>
        <w:jc w:val="center"/>
        <w:textAlignment w:val="auto"/>
        <w:outlineLvl w:val="9"/>
        <w:rPr>
          <w:rFonts w:hint="eastAsia" w:ascii="宋体" w:hAnsi="宋体" w:eastAsia="宋体" w:cs="宋体"/>
          <w:color w:val="auto"/>
          <w:sz w:val="24"/>
          <w:szCs w:val="24"/>
          <w:highlight w:val="none"/>
        </w:rPr>
      </w:pPr>
      <w:bookmarkStart w:id="1942" w:name="_Toc27634"/>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信息卡</w:t>
      </w:r>
      <w:bookmarkEnd w:id="1942"/>
    </w:p>
    <w:p w14:paraId="0FFEF8A5">
      <w:pPr>
        <w:pStyle w:val="386"/>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14:paraId="3980063E">
      <w:pPr>
        <w:pStyle w:val="386"/>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w:t>
      </w:r>
    </w:p>
    <w:p w14:paraId="3A60E2F5">
      <w:pPr>
        <w:keepNext w:val="0"/>
        <w:keepLines w:val="0"/>
        <w:pageBreakBefore w:val="0"/>
        <w:widowControl w:val="0"/>
        <w:kinsoku/>
        <w:wordWrap/>
        <w:topLinePunct w:val="0"/>
        <w:bidi w:val="0"/>
        <w:spacing w:line="400" w:lineRule="exact"/>
        <w:ind w:right="561"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供应商名称：</w:t>
      </w:r>
    </w:p>
    <w:p w14:paraId="476B9921">
      <w:pPr>
        <w:keepNext w:val="0"/>
        <w:keepLines w:val="0"/>
        <w:pageBreakBefore w:val="0"/>
        <w:widowControl w:val="0"/>
        <w:kinsoku/>
        <w:wordWrap/>
        <w:topLinePunct w:val="0"/>
        <w:bidi w:val="0"/>
        <w:spacing w:line="400" w:lineRule="exact"/>
        <w:ind w:right="561"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w:t>
      </w:r>
    </w:p>
    <w:p w14:paraId="159A98A1">
      <w:pPr>
        <w:keepNext w:val="0"/>
        <w:keepLines w:val="0"/>
        <w:pageBreakBefore w:val="0"/>
        <w:widowControl w:val="0"/>
        <w:kinsoku/>
        <w:wordWrap/>
        <w:topLinePunct w:val="0"/>
        <w:bidi w:val="0"/>
        <w:spacing w:line="400" w:lineRule="exact"/>
        <w:ind w:right="561"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w:t>
      </w:r>
    </w:p>
    <w:p w14:paraId="166E0DE4">
      <w:pPr>
        <w:keepNext w:val="0"/>
        <w:keepLines w:val="0"/>
        <w:pageBreakBefore w:val="0"/>
        <w:widowControl w:val="0"/>
        <w:kinsoku/>
        <w:wordWrap/>
        <w:topLinePunct w:val="0"/>
        <w:bidi w:val="0"/>
        <w:spacing w:line="400" w:lineRule="exact"/>
        <w:ind w:right="561"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授权代表：</w:t>
      </w:r>
    </w:p>
    <w:p w14:paraId="007443A4">
      <w:pPr>
        <w:keepNext w:val="0"/>
        <w:keepLines w:val="0"/>
        <w:pageBreakBefore w:val="0"/>
        <w:widowControl w:val="0"/>
        <w:kinsoku/>
        <w:wordWrap/>
        <w:topLinePunct w:val="0"/>
        <w:bidi w:val="0"/>
        <w:spacing w:line="400" w:lineRule="exact"/>
        <w:ind w:right="561"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w:t>
      </w:r>
    </w:p>
    <w:p w14:paraId="16126E72">
      <w:pPr>
        <w:pStyle w:val="380"/>
        <w:keepNext w:val="0"/>
        <w:keepLines w:val="0"/>
        <w:pageBreakBefore w:val="0"/>
        <w:widowControl w:val="0"/>
        <w:kinsoku/>
        <w:wordWrap/>
        <w:topLinePunct w:val="0"/>
        <w:bidi w:val="0"/>
        <w:spacing w:line="400" w:lineRule="exact"/>
        <w:ind w:left="480" w:hanging="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A0E30EC">
      <w:pPr>
        <w:pStyle w:val="380"/>
        <w:keepNext w:val="0"/>
        <w:keepLines w:val="0"/>
        <w:pageBreakBefore w:val="0"/>
        <w:widowControl w:val="0"/>
        <w:kinsoku/>
        <w:wordWrap/>
        <w:topLinePunct w:val="0"/>
        <w:bidi w:val="0"/>
        <w:spacing w:line="400" w:lineRule="exact"/>
        <w:ind w:left="480" w:hanging="480"/>
        <w:textAlignment w:val="auto"/>
        <w:rPr>
          <w:rFonts w:hint="eastAsia" w:ascii="宋体" w:hAnsi="宋体" w:eastAsia="宋体" w:cs="宋体"/>
          <w:color w:val="auto"/>
          <w:sz w:val="24"/>
          <w:szCs w:val="24"/>
          <w:highlight w:val="none"/>
        </w:rPr>
      </w:pPr>
    </w:p>
    <w:p w14:paraId="241A3676">
      <w:pPr>
        <w:pStyle w:val="380"/>
        <w:keepNext w:val="0"/>
        <w:keepLines w:val="0"/>
        <w:pageBreakBefore w:val="0"/>
        <w:widowControl w:val="0"/>
        <w:kinsoku/>
        <w:wordWrap/>
        <w:topLinePunct w:val="0"/>
        <w:bidi w:val="0"/>
        <w:spacing w:line="400" w:lineRule="exact"/>
        <w:ind w:left="480" w:hanging="480"/>
        <w:textAlignment w:val="auto"/>
        <w:rPr>
          <w:rFonts w:hint="eastAsia" w:ascii="宋体" w:hAnsi="宋体" w:eastAsia="宋体" w:cs="宋体"/>
          <w:color w:val="auto"/>
          <w:sz w:val="24"/>
          <w:szCs w:val="24"/>
          <w:highlight w:val="none"/>
        </w:rPr>
      </w:pPr>
    </w:p>
    <w:p w14:paraId="20FFF75F">
      <w:pPr>
        <w:pStyle w:val="380"/>
        <w:keepNext w:val="0"/>
        <w:keepLines w:val="0"/>
        <w:pageBreakBefore w:val="0"/>
        <w:widowControl w:val="0"/>
        <w:kinsoku/>
        <w:wordWrap/>
        <w:topLinePunct w:val="0"/>
        <w:bidi w:val="0"/>
        <w:spacing w:line="400" w:lineRule="exact"/>
        <w:ind w:left="480" w:hanging="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(公章):</w:t>
      </w:r>
    </w:p>
    <w:p w14:paraId="39857C35">
      <w:pPr>
        <w:pStyle w:val="380"/>
        <w:keepNext w:val="0"/>
        <w:keepLines w:val="0"/>
        <w:pageBreakBefore w:val="0"/>
        <w:widowControl w:val="0"/>
        <w:kinsoku/>
        <w:wordWrap/>
        <w:topLinePunct w:val="0"/>
        <w:bidi w:val="0"/>
        <w:spacing w:line="400" w:lineRule="exact"/>
        <w:ind w:left="480" w:hanging="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42A3BC48">
      <w:pPr>
        <w:keepNext w:val="0"/>
        <w:keepLines w:val="0"/>
        <w:pageBreakBefore w:val="0"/>
        <w:widowControl w:val="0"/>
        <w:kinsoku/>
        <w:wordWrap/>
        <w:topLinePunct w:val="0"/>
        <w:bidi w:val="0"/>
        <w:spacing w:line="400" w:lineRule="exact"/>
        <w:ind w:left="716" w:hanging="716" w:hangingChars="297"/>
        <w:textAlignment w:val="auto"/>
        <w:rPr>
          <w:rFonts w:hint="eastAsia" w:ascii="宋体" w:hAnsi="宋体" w:eastAsia="宋体" w:cs="宋体"/>
          <w:b/>
          <w:color w:val="auto"/>
          <w:sz w:val="24"/>
          <w:szCs w:val="24"/>
          <w:highlight w:val="none"/>
        </w:rPr>
      </w:pPr>
    </w:p>
    <w:p w14:paraId="73E03576">
      <w:pPr>
        <w:keepNext w:val="0"/>
        <w:keepLines w:val="0"/>
        <w:pageBreakBefore w:val="0"/>
        <w:widowControl w:val="0"/>
        <w:kinsoku/>
        <w:wordWrap/>
        <w:topLinePunct w:val="0"/>
        <w:bidi w:val="0"/>
        <w:spacing w:line="400" w:lineRule="exact"/>
        <w:ind w:left="716" w:hanging="716" w:hangingChars="297"/>
        <w:textAlignment w:val="auto"/>
        <w:rPr>
          <w:rFonts w:hint="eastAsia" w:ascii="宋体" w:hAnsi="宋体" w:eastAsia="宋体" w:cs="宋体"/>
          <w:b/>
          <w:color w:val="auto"/>
          <w:sz w:val="24"/>
          <w:szCs w:val="24"/>
          <w:highlight w:val="none"/>
        </w:rPr>
      </w:pPr>
    </w:p>
    <w:p w14:paraId="00BC3302">
      <w:pPr>
        <w:keepNext w:val="0"/>
        <w:keepLines w:val="0"/>
        <w:pageBreakBefore w:val="0"/>
        <w:widowControl w:val="0"/>
        <w:kinsoku/>
        <w:wordWrap/>
        <w:topLinePunct w:val="0"/>
        <w:bidi w:val="0"/>
        <w:spacing w:line="400" w:lineRule="exact"/>
        <w:ind w:firstLine="480"/>
        <w:textAlignment w:val="auto"/>
        <w:rPr>
          <w:rFonts w:hint="eastAsia" w:ascii="宋体" w:hAnsi="宋体" w:eastAsia="宋体" w:cs="宋体"/>
          <w:color w:val="auto"/>
          <w:sz w:val="24"/>
          <w:szCs w:val="24"/>
          <w:highlight w:val="none"/>
        </w:rPr>
      </w:pPr>
    </w:p>
    <w:p w14:paraId="6CF056EC">
      <w:pPr>
        <w:keepNext w:val="0"/>
        <w:keepLines w:val="0"/>
        <w:pageBreakBefore w:val="0"/>
        <w:widowControl w:val="0"/>
        <w:kinsoku/>
        <w:wordWrap/>
        <w:topLinePunct w:val="0"/>
        <w:bidi w:val="0"/>
        <w:spacing w:line="400" w:lineRule="exact"/>
        <w:ind w:firstLine="480"/>
        <w:textAlignment w:val="auto"/>
        <w:rPr>
          <w:rFonts w:hint="eastAsia" w:ascii="宋体" w:hAnsi="宋体" w:eastAsia="宋体" w:cs="宋体"/>
          <w:color w:val="auto"/>
          <w:sz w:val="24"/>
          <w:szCs w:val="24"/>
          <w:highlight w:val="none"/>
        </w:rPr>
      </w:pPr>
    </w:p>
    <w:p w14:paraId="5A5E0FB0">
      <w:pPr>
        <w:keepNext w:val="0"/>
        <w:keepLines w:val="0"/>
        <w:pageBreakBefore w:val="0"/>
        <w:widowControl w:val="0"/>
        <w:kinsoku/>
        <w:wordWrap/>
        <w:topLinePunct w:val="0"/>
        <w:bidi w:val="0"/>
        <w:spacing w:line="400" w:lineRule="exact"/>
        <w:ind w:firstLine="480"/>
        <w:textAlignment w:val="auto"/>
        <w:rPr>
          <w:rFonts w:hint="eastAsia" w:ascii="宋体" w:hAnsi="宋体" w:eastAsia="宋体" w:cs="宋体"/>
          <w:color w:val="auto"/>
          <w:sz w:val="24"/>
          <w:szCs w:val="24"/>
          <w:highlight w:val="none"/>
        </w:rPr>
      </w:pPr>
    </w:p>
    <w:p w14:paraId="55452C48">
      <w:pPr>
        <w:keepNext w:val="0"/>
        <w:keepLines w:val="0"/>
        <w:pageBreakBefore w:val="0"/>
        <w:widowControl w:val="0"/>
        <w:kinsoku/>
        <w:wordWrap/>
        <w:topLinePunct w:val="0"/>
        <w:bidi w:val="0"/>
        <w:spacing w:line="400" w:lineRule="exact"/>
        <w:ind w:firstLine="480"/>
        <w:textAlignment w:val="auto"/>
        <w:rPr>
          <w:rFonts w:hint="eastAsia" w:ascii="宋体" w:hAnsi="宋体" w:eastAsia="宋体" w:cs="宋体"/>
          <w:color w:val="auto"/>
          <w:sz w:val="24"/>
          <w:szCs w:val="24"/>
          <w:highlight w:val="none"/>
        </w:rPr>
      </w:pPr>
    </w:p>
    <w:p w14:paraId="07E8BA5E">
      <w:pPr>
        <w:keepNext w:val="0"/>
        <w:keepLines w:val="0"/>
        <w:pageBreakBefore w:val="0"/>
        <w:widowControl w:val="0"/>
        <w:kinsoku/>
        <w:wordWrap/>
        <w:topLinePunct w:val="0"/>
        <w:bidi w:val="0"/>
        <w:spacing w:line="400" w:lineRule="exact"/>
        <w:ind w:firstLine="480"/>
        <w:textAlignment w:val="auto"/>
        <w:rPr>
          <w:rFonts w:hint="eastAsia" w:ascii="宋体" w:hAnsi="宋体" w:eastAsia="宋体" w:cs="宋体"/>
          <w:color w:val="auto"/>
          <w:sz w:val="24"/>
          <w:szCs w:val="24"/>
          <w:highlight w:val="none"/>
        </w:rPr>
      </w:pPr>
    </w:p>
    <w:p w14:paraId="46E9102E">
      <w:pPr>
        <w:keepNext w:val="0"/>
        <w:keepLines w:val="0"/>
        <w:pageBreakBefore w:val="0"/>
        <w:widowControl w:val="0"/>
        <w:kinsoku/>
        <w:wordWrap/>
        <w:topLinePunct w:val="0"/>
        <w:bidi w:val="0"/>
        <w:spacing w:line="40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注：该“</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信息卡”由</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在投标时现场递交（内容填写完整或打印并加盖公章，不得装入密封投标文件内）。</w:t>
      </w:r>
    </w:p>
    <w:p w14:paraId="011A90E6">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05FB1904">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79734E41">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1E184C73">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785BC41A">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694B15DC">
      <w:pPr>
        <w:pStyle w:val="23"/>
        <w:keepNext w:val="0"/>
        <w:keepLines w:val="0"/>
        <w:pageBreakBefore w:val="0"/>
        <w:widowControl w:val="0"/>
        <w:kinsoku/>
        <w:topLinePunct w:val="0"/>
        <w:bidi w:val="0"/>
        <w:rPr>
          <w:rFonts w:hint="eastAsia" w:ascii="宋体" w:hAnsi="宋体" w:cs="宋体"/>
          <w:color w:val="auto"/>
          <w:sz w:val="24"/>
          <w:szCs w:val="24"/>
          <w:highlight w:val="none"/>
          <w:lang w:val="en-US" w:eastAsia="zh-CN"/>
        </w:rPr>
      </w:pPr>
    </w:p>
    <w:p w14:paraId="22C94172">
      <w:pPr>
        <w:keepNext w:val="0"/>
        <w:keepLines w:val="0"/>
        <w:pageBreakBefore w:val="0"/>
        <w:widowControl w:val="0"/>
        <w:kinsoku/>
        <w:topLinePunct w:val="0"/>
        <w:bidi w:val="0"/>
        <w:rPr>
          <w:rFonts w:hint="eastAsia" w:ascii="宋体" w:hAnsi="宋体" w:cs="宋体"/>
          <w:color w:val="auto"/>
          <w:sz w:val="24"/>
          <w:szCs w:val="24"/>
          <w:highlight w:val="none"/>
          <w:lang w:val="en-US" w:eastAsia="zh-CN"/>
        </w:rPr>
      </w:pPr>
    </w:p>
    <w:p w14:paraId="515886DD">
      <w:pPr>
        <w:pStyle w:val="23"/>
        <w:keepNext w:val="0"/>
        <w:keepLines w:val="0"/>
        <w:pageBreakBefore w:val="0"/>
        <w:widowControl w:val="0"/>
        <w:kinsoku/>
        <w:topLinePunct w:val="0"/>
        <w:bidi w:val="0"/>
        <w:rPr>
          <w:rFonts w:hint="eastAsia" w:ascii="宋体" w:hAnsi="宋体" w:cs="宋体"/>
          <w:color w:val="auto"/>
          <w:sz w:val="24"/>
          <w:szCs w:val="24"/>
          <w:highlight w:val="none"/>
          <w:lang w:val="en-US" w:eastAsia="zh-CN"/>
        </w:rPr>
      </w:pPr>
    </w:p>
    <w:p w14:paraId="5A9B9568">
      <w:pPr>
        <w:keepNext w:val="0"/>
        <w:keepLines w:val="0"/>
        <w:pageBreakBefore w:val="0"/>
        <w:widowControl w:val="0"/>
        <w:kinsoku/>
        <w:topLinePunct w:val="0"/>
        <w:bidi w:val="0"/>
        <w:rPr>
          <w:rFonts w:hint="eastAsia" w:ascii="宋体" w:hAnsi="宋体" w:cs="宋体"/>
          <w:color w:val="auto"/>
          <w:sz w:val="24"/>
          <w:szCs w:val="24"/>
          <w:highlight w:val="none"/>
          <w:lang w:val="en-US" w:eastAsia="zh-CN"/>
        </w:rPr>
      </w:pPr>
    </w:p>
    <w:p w14:paraId="0B852A8B">
      <w:pPr>
        <w:pStyle w:val="23"/>
        <w:keepNext w:val="0"/>
        <w:keepLines w:val="0"/>
        <w:pageBreakBefore w:val="0"/>
        <w:widowControl w:val="0"/>
        <w:kinsoku/>
        <w:topLinePunct w:val="0"/>
        <w:bidi w:val="0"/>
        <w:rPr>
          <w:rFonts w:hint="eastAsia" w:ascii="宋体" w:hAnsi="宋体" w:cs="宋体"/>
          <w:color w:val="auto"/>
          <w:sz w:val="24"/>
          <w:szCs w:val="24"/>
          <w:highlight w:val="none"/>
          <w:lang w:val="en-US" w:eastAsia="zh-CN"/>
        </w:rPr>
      </w:pPr>
    </w:p>
    <w:p w14:paraId="5A0833CC">
      <w:pPr>
        <w:keepNext w:val="0"/>
        <w:keepLines w:val="0"/>
        <w:pageBreakBefore w:val="0"/>
        <w:widowControl w:val="0"/>
        <w:kinsoku/>
        <w:topLinePunct w:val="0"/>
        <w:bidi w:val="0"/>
        <w:rPr>
          <w:rFonts w:hint="eastAsia" w:ascii="宋体" w:hAnsi="宋体" w:cs="宋体"/>
          <w:color w:val="auto"/>
          <w:sz w:val="24"/>
          <w:szCs w:val="24"/>
          <w:highlight w:val="none"/>
          <w:lang w:val="en-US" w:eastAsia="zh-CN"/>
        </w:rPr>
      </w:pPr>
    </w:p>
    <w:p w14:paraId="2C5063B8">
      <w:pPr>
        <w:pStyle w:val="23"/>
        <w:keepNext w:val="0"/>
        <w:keepLines w:val="0"/>
        <w:pageBreakBefore w:val="0"/>
        <w:widowControl w:val="0"/>
        <w:kinsoku/>
        <w:topLinePunct w:val="0"/>
        <w:bidi w:val="0"/>
        <w:rPr>
          <w:rFonts w:hint="eastAsia" w:ascii="宋体" w:hAnsi="宋体" w:cs="宋体"/>
          <w:color w:val="auto"/>
          <w:sz w:val="24"/>
          <w:szCs w:val="24"/>
          <w:highlight w:val="none"/>
          <w:lang w:val="en-US" w:eastAsia="zh-CN"/>
        </w:rPr>
      </w:pPr>
    </w:p>
    <w:p w14:paraId="1A9B4450">
      <w:pPr>
        <w:keepNext w:val="0"/>
        <w:keepLines w:val="0"/>
        <w:pageBreakBefore w:val="0"/>
        <w:widowControl w:val="0"/>
        <w:kinsoku/>
        <w:topLinePunct w:val="0"/>
        <w:bidi w:val="0"/>
        <w:rPr>
          <w:rFonts w:hint="eastAsia"/>
          <w:color w:val="auto"/>
          <w:highlight w:val="none"/>
          <w:lang w:val="en-US" w:eastAsia="zh-CN"/>
        </w:rPr>
      </w:pPr>
    </w:p>
    <w:p w14:paraId="50AEECE1">
      <w:pPr>
        <w:pStyle w:val="23"/>
        <w:keepNext w:val="0"/>
        <w:keepLines w:val="0"/>
        <w:pageBreakBefore w:val="0"/>
        <w:widowControl w:val="0"/>
        <w:kinsoku/>
        <w:topLinePunct w:val="0"/>
        <w:bidi w:val="0"/>
        <w:rPr>
          <w:rFonts w:hint="eastAsia"/>
          <w:color w:val="auto"/>
          <w:highlight w:val="none"/>
          <w:lang w:val="en-US" w:eastAsia="zh-CN"/>
        </w:rPr>
      </w:pPr>
    </w:p>
    <w:p w14:paraId="0A0F2A13">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r>
        <w:rPr>
          <w:rFonts w:hint="eastAsia" w:ascii="宋体" w:hAnsi="宋体" w:cs="宋体"/>
          <w:color w:val="auto"/>
          <w:sz w:val="24"/>
          <w:szCs w:val="24"/>
          <w:highlight w:val="none"/>
          <w:lang w:val="en-US" w:eastAsia="zh-CN"/>
        </w:rPr>
        <w:t>附件二：报名表</w:t>
      </w:r>
    </w:p>
    <w:tbl>
      <w:tblPr>
        <w:tblStyle w:val="6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152CA2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2" w:type="dxa"/>
            <w:noWrap w:val="0"/>
            <w:vAlign w:val="center"/>
          </w:tcPr>
          <w:p w14:paraId="25A54B48">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p>
        </w:tc>
        <w:tc>
          <w:tcPr>
            <w:tcW w:w="7407" w:type="dxa"/>
            <w:gridSpan w:val="3"/>
            <w:noWrap w:val="0"/>
            <w:vAlign w:val="center"/>
          </w:tcPr>
          <w:p w14:paraId="381630F1">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p>
        </w:tc>
      </w:tr>
      <w:tr w14:paraId="2907C4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noWrap w:val="0"/>
            <w:vAlign w:val="center"/>
          </w:tcPr>
          <w:p w14:paraId="4EFB4F2B">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407" w:type="dxa"/>
            <w:gridSpan w:val="3"/>
            <w:noWrap w:val="0"/>
            <w:vAlign w:val="center"/>
          </w:tcPr>
          <w:p w14:paraId="650E620A">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p>
        </w:tc>
      </w:tr>
      <w:tr w14:paraId="539550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noWrap w:val="0"/>
            <w:vAlign w:val="center"/>
          </w:tcPr>
          <w:p w14:paraId="65376B3C">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7407" w:type="dxa"/>
            <w:gridSpan w:val="3"/>
            <w:noWrap w:val="0"/>
            <w:vAlign w:val="center"/>
          </w:tcPr>
          <w:p w14:paraId="1F1885FA">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（供应商公章）</w:t>
            </w:r>
          </w:p>
        </w:tc>
      </w:tr>
      <w:tr w14:paraId="0B3DEA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noWrap w:val="0"/>
            <w:vAlign w:val="center"/>
          </w:tcPr>
          <w:p w14:paraId="76B70D70">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391" w:type="dxa"/>
            <w:noWrap w:val="0"/>
            <w:vAlign w:val="center"/>
          </w:tcPr>
          <w:p w14:paraId="24F85DE9">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1051" w:type="dxa"/>
            <w:noWrap w:val="0"/>
            <w:vAlign w:val="center"/>
          </w:tcPr>
          <w:p w14:paraId="5F1C09E1">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p>
        </w:tc>
        <w:tc>
          <w:tcPr>
            <w:tcW w:w="3965" w:type="dxa"/>
            <w:noWrap w:val="0"/>
            <w:vAlign w:val="center"/>
          </w:tcPr>
          <w:p w14:paraId="674DEBF9">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r>
      <w:tr w14:paraId="0DC095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noWrap w:val="0"/>
            <w:vAlign w:val="center"/>
          </w:tcPr>
          <w:p w14:paraId="3FBCADE3">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办公电话</w:t>
            </w:r>
          </w:p>
        </w:tc>
        <w:tc>
          <w:tcPr>
            <w:tcW w:w="2391" w:type="dxa"/>
            <w:noWrap w:val="0"/>
            <w:vAlign w:val="center"/>
          </w:tcPr>
          <w:p w14:paraId="6DAE70C6">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1051" w:type="dxa"/>
            <w:noWrap w:val="0"/>
            <w:vAlign w:val="center"/>
          </w:tcPr>
          <w:p w14:paraId="610160C2">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3965" w:type="dxa"/>
            <w:noWrap w:val="0"/>
            <w:vAlign w:val="center"/>
          </w:tcPr>
          <w:p w14:paraId="40EB7E19">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r>
      <w:tr w14:paraId="4FB0DC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noWrap w:val="0"/>
            <w:vAlign w:val="center"/>
          </w:tcPr>
          <w:p w14:paraId="737692AE">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p>
        </w:tc>
        <w:tc>
          <w:tcPr>
            <w:tcW w:w="7407" w:type="dxa"/>
            <w:gridSpan w:val="3"/>
            <w:noWrap w:val="0"/>
            <w:vAlign w:val="center"/>
          </w:tcPr>
          <w:p w14:paraId="4113C553">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r>
      <w:tr w14:paraId="6006CA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noWrap w:val="0"/>
            <w:vAlign w:val="center"/>
          </w:tcPr>
          <w:p w14:paraId="67CC8E34">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c>
          <w:tcPr>
            <w:tcW w:w="7407" w:type="dxa"/>
            <w:gridSpan w:val="3"/>
            <w:noWrap w:val="0"/>
            <w:vAlign w:val="center"/>
          </w:tcPr>
          <w:p w14:paraId="7239517F">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r>
    </w:tbl>
    <w:p w14:paraId="4A5168CC">
      <w:pPr>
        <w:keepNext w:val="0"/>
        <w:keepLines w:val="0"/>
        <w:pageBreakBefore w:val="0"/>
        <w:widowControl w:val="0"/>
        <w:kinsoku/>
        <w:wordWrap/>
        <w:topLinePunct w:val="0"/>
        <w:bidi w:val="0"/>
        <w:spacing w:line="400" w:lineRule="exact"/>
        <w:ind w:right="-372" w:rightChars="-133"/>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采购文件售价</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500</w:t>
      </w:r>
      <w:r>
        <w:rPr>
          <w:rFonts w:hint="eastAsia" w:ascii="宋体" w:hAnsi="宋体" w:eastAsia="宋体" w:cs="宋体"/>
          <w:color w:val="auto"/>
          <w:sz w:val="24"/>
          <w:szCs w:val="24"/>
          <w:highlight w:val="none"/>
          <w:lang w:eastAsia="zh-CN"/>
        </w:rPr>
        <w:t>元/份</w:t>
      </w:r>
      <w:r>
        <w:rPr>
          <w:rFonts w:hint="eastAsia" w:ascii="宋体" w:hAnsi="宋体" w:eastAsia="宋体" w:cs="宋体"/>
          <w:color w:val="auto"/>
          <w:sz w:val="24"/>
          <w:szCs w:val="24"/>
          <w:highlight w:val="none"/>
          <w:lang w:val="en-US" w:eastAsia="zh-CN"/>
        </w:rPr>
        <w:t xml:space="preserve">             代理机构</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重庆福源工程管理有限公司</w:t>
      </w:r>
      <w:r>
        <w:rPr>
          <w:rFonts w:hint="eastAsia" w:ascii="宋体" w:hAnsi="宋体" w:eastAsia="宋体" w:cs="宋体"/>
          <w:color w:val="auto"/>
          <w:sz w:val="24"/>
          <w:szCs w:val="24"/>
          <w:highlight w:val="none"/>
          <w:lang w:val="en-US" w:eastAsia="zh-CN"/>
        </w:rPr>
        <w:t xml:space="preserve">  </w:t>
      </w:r>
    </w:p>
    <w:p w14:paraId="14385122">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p>
    <w:p w14:paraId="26420D58">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相关说明：</w:t>
      </w:r>
    </w:p>
    <w:p w14:paraId="76BBDC0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drawing>
          <wp:anchor distT="0" distB="0" distL="114300" distR="114300" simplePos="0" relativeHeight="251660288" behindDoc="0" locked="0" layoutInCell="1" allowOverlap="1">
            <wp:simplePos x="0" y="0"/>
            <wp:positionH relativeFrom="column">
              <wp:posOffset>5024755</wp:posOffset>
            </wp:positionH>
            <wp:positionV relativeFrom="paragraph">
              <wp:posOffset>133350</wp:posOffset>
            </wp:positionV>
            <wp:extent cx="1074420" cy="1463040"/>
            <wp:effectExtent l="0" t="0" r="11430" b="3810"/>
            <wp:wrapSquare wrapText="bothSides"/>
            <wp:docPr id="9" name="图片 9" descr="cd4674aad431de8772de6ea007356a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d4674aad431de8772de6ea007356ae1"/>
                    <pic:cNvPicPr>
                      <a:picLocks noChangeAspect="1"/>
                    </pic:cNvPicPr>
                  </pic:nvPicPr>
                  <pic:blipFill>
                    <a:blip r:embed="rId22"/>
                    <a:stretch>
                      <a:fillRect/>
                    </a:stretch>
                  </pic:blipFill>
                  <pic:spPr>
                    <a:xfrm>
                      <a:off x="0" y="0"/>
                      <a:ext cx="1074420" cy="1463040"/>
                    </a:xfrm>
                    <a:prstGeom prst="rect">
                      <a:avLst/>
                    </a:prstGeom>
                  </pic:spPr>
                </pic:pic>
              </a:graphicData>
            </a:graphic>
          </wp:anchor>
        </w:drawing>
      </w:r>
    </w:p>
    <w:p w14:paraId="57214D1B">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在规定的</w:t>
      </w:r>
      <w:r>
        <w:rPr>
          <w:rFonts w:hint="eastAsia" w:ascii="宋体" w:hAnsi="宋体" w:eastAsia="宋体" w:cs="宋体"/>
          <w:color w:val="auto"/>
          <w:sz w:val="24"/>
          <w:szCs w:val="24"/>
          <w:highlight w:val="none"/>
          <w:lang w:val="en-US" w:eastAsia="zh-CN"/>
        </w:rPr>
        <w:t>报名和采购文件发售期内，供应商将文件购买费转入下方二维码中，转账时需注明“供应商简称—</w:t>
      </w:r>
      <w:r>
        <w:rPr>
          <w:rFonts w:hint="eastAsia" w:ascii="宋体" w:hAnsi="宋体" w:cs="宋体"/>
          <w:color w:val="auto"/>
          <w:sz w:val="24"/>
          <w:szCs w:val="24"/>
          <w:highlight w:val="none"/>
          <w:lang w:val="en-US" w:eastAsia="zh-CN"/>
        </w:rPr>
        <w:t>CQFY-HC-20260522</w:t>
      </w:r>
      <w:r>
        <w:rPr>
          <w:rFonts w:hint="eastAsia" w:ascii="宋体" w:hAnsi="宋体" w:eastAsia="宋体" w:cs="宋体"/>
          <w:color w:val="auto"/>
          <w:sz w:val="24"/>
          <w:szCs w:val="24"/>
          <w:highlight w:val="none"/>
          <w:lang w:val="en-US" w:eastAsia="zh-CN"/>
        </w:rPr>
        <w:t>”，并报名表（格式详见附件）填写完整加盖供应商公章扫描后同文件购买费转账截图一起发送至指定邮箱</w:t>
      </w:r>
      <w:r>
        <w:rPr>
          <w:rFonts w:hint="eastAsia" w:ascii="宋体" w:hAnsi="宋体" w:cs="宋体"/>
          <w:color w:val="auto"/>
          <w:sz w:val="24"/>
          <w:szCs w:val="24"/>
          <w:highlight w:val="none"/>
          <w:lang w:val="en-US" w:eastAsia="zh-CN"/>
        </w:rPr>
        <w:t>3809723776@qq.com</w:t>
      </w:r>
      <w:r>
        <w:rPr>
          <w:rFonts w:hint="eastAsia" w:ascii="宋体" w:hAnsi="宋体" w:eastAsia="宋体" w:cs="宋体"/>
          <w:color w:val="auto"/>
          <w:sz w:val="24"/>
          <w:szCs w:val="24"/>
          <w:highlight w:val="none"/>
          <w:lang w:val="en-US" w:eastAsia="zh-CN"/>
        </w:rPr>
        <w:t>，按要求发送邮箱后方才报名成功。</w:t>
      </w:r>
    </w:p>
    <w:p w14:paraId="1B475A62">
      <w:pPr>
        <w:keepNext w:val="0"/>
        <w:keepLines w:val="0"/>
        <w:pageBreakBefore w:val="0"/>
        <w:widowControl w:val="0"/>
        <w:kinsoku/>
        <w:wordWrap/>
        <w:topLinePunct w:val="0"/>
        <w:bidi w:val="0"/>
        <w:spacing w:line="400" w:lineRule="exact"/>
        <w:jc w:val="both"/>
        <w:textAlignment w:val="auto"/>
        <w:rPr>
          <w:rFonts w:hint="eastAsia" w:ascii="宋体" w:hAnsi="宋体" w:eastAsia="宋体" w:cs="宋体"/>
          <w:b w:val="0"/>
          <w:smallCaps w:val="0"/>
          <w:color w:val="auto"/>
          <w:kern w:val="2"/>
          <w:sz w:val="24"/>
          <w:szCs w:val="24"/>
          <w:highlight w:val="none"/>
          <w:lang w:val="en-US" w:eastAsia="zh-CN" w:bidi="ar-SA"/>
        </w:rPr>
      </w:pPr>
    </w:p>
    <w:p w14:paraId="65A7BAF1">
      <w:pPr>
        <w:keepNext w:val="0"/>
        <w:keepLines w:val="0"/>
        <w:pageBreakBefore w:val="0"/>
        <w:widowControl w:val="0"/>
        <w:kinsoku/>
        <w:wordWrap/>
        <w:topLinePunct w:val="0"/>
        <w:bidi w:val="0"/>
        <w:spacing w:line="240" w:lineRule="auto"/>
        <w:textAlignment w:val="auto"/>
        <w:rPr>
          <w:rFonts w:hint="default"/>
          <w:color w:val="auto"/>
          <w:highlight w:val="none"/>
          <w:lang w:val="en-US" w:eastAsia="zh-CN"/>
        </w:rPr>
      </w:pPr>
    </w:p>
    <w:p w14:paraId="590849D5">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229E4356">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378A5E44">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26075930">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2868CD1C">
      <w:pPr>
        <w:pStyle w:val="23"/>
        <w:rPr>
          <w:rFonts w:ascii="宋体" w:hAnsi="宋体" w:eastAsia="宋体" w:cs="宋体"/>
          <w:color w:val="auto"/>
          <w:sz w:val="20"/>
          <w:szCs w:val="20"/>
          <w:highlight w:val="none"/>
        </w:rPr>
      </w:pPr>
    </w:p>
    <w:p w14:paraId="405C6764">
      <w:pPr>
        <w:rPr>
          <w:rFonts w:ascii="宋体" w:hAnsi="宋体" w:eastAsia="宋体" w:cs="宋体"/>
          <w:color w:val="auto"/>
          <w:sz w:val="20"/>
          <w:szCs w:val="20"/>
          <w:highlight w:val="none"/>
        </w:rPr>
      </w:pPr>
    </w:p>
    <w:p w14:paraId="4A44F294">
      <w:pPr>
        <w:pStyle w:val="23"/>
        <w:rPr>
          <w:rFonts w:ascii="宋体" w:hAnsi="宋体" w:eastAsia="宋体" w:cs="宋体"/>
          <w:color w:val="auto"/>
          <w:sz w:val="20"/>
          <w:szCs w:val="20"/>
          <w:highlight w:val="none"/>
        </w:rPr>
      </w:pPr>
    </w:p>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14:paraId="7FDA55AA">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bookmarkStart w:id="1943" w:name="bookmark258"/>
      <w:bookmarkEnd w:id="1943"/>
    </w:p>
    <w:sectPr>
      <w:headerReference r:id="rId14" w:type="default"/>
      <w:footerReference r:id="rId15" w:type="default"/>
      <w:pgSz w:w="11907" w:h="16840"/>
      <w:pgMar w:top="1440" w:right="1080" w:bottom="1440" w:left="1080" w:header="1077" w:footer="794" w:gutter="0"/>
      <w:pgNumType w:fmt="decimal"/>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script"/>
    <w:pitch w:val="default"/>
    <w:sig w:usb0="00000001" w:usb1="0800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文鼎粗黑">
    <w:altName w:val="黑体"/>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Microsoft Sans Serif">
    <w:panose1 w:val="020B0604020202020204"/>
    <w:charset w:val="00"/>
    <w:family w:val="swiss"/>
    <w:pitch w:val="default"/>
    <w:sig w:usb0="E5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42D09">
    <w:pPr>
      <w:pStyle w:val="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B400A">
    <w:pPr>
      <w:pStyle w:val="40"/>
      <w:tabs>
        <w:tab w:val="center" w:pos="4535"/>
        <w:tab w:val="left" w:pos="5646"/>
        <w:tab w:val="clear" w:pos="4153"/>
        <w:tab w:val="clear" w:pos="8306"/>
      </w:tabs>
    </w:pPr>
    <w:r>
      <w:rPr>
        <w:rFonts w:hint="eastAsia"/>
        <w:lang w:eastAsia="zh-CN"/>
      </w:rPr>
      <w:tab/>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E55F4">
    <w:pPr>
      <w:pStyle w:val="4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408B3">
                          <w:pPr>
                            <w:pStyle w:val="4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39408B3">
                    <w:pPr>
                      <w:pStyle w:val="4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635E3">
    <w:pPr>
      <w:pStyle w:val="4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2453C">
    <w:pPr>
      <w:pStyle w:val="40"/>
      <w:tabs>
        <w:tab w:val="center" w:pos="4535"/>
        <w:tab w:val="left" w:pos="5646"/>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60CD9">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6F60CD9">
                    <w:pPr>
                      <w:pStyle w:val="4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9FDC0">
    <w:pPr>
      <w:pStyle w:val="4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CF695">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4CCF695">
                    <w:pPr>
                      <w:pStyle w:val="4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EF92">
    <w:pPr>
      <w:pStyle w:val="4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9108B">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D69108B">
                    <w:pPr>
                      <w:pStyle w:val="40"/>
                    </w:pPr>
                    <w:r>
                      <w:fldChar w:fldCharType="begin"/>
                    </w:r>
                    <w:r>
                      <w:instrText xml:space="preserve"> PAGE  \* MERGEFORMAT </w:instrText>
                    </w:r>
                    <w:r>
                      <w:fldChar w:fldCharType="separate"/>
                    </w:r>
                    <w:r>
                      <w:t>1</w:t>
                    </w:r>
                    <w:r>
                      <w:fldChar w:fldCharType="end"/>
                    </w:r>
                  </w:p>
                </w:txbxContent>
              </v:textbox>
            </v:shape>
          </w:pict>
        </mc:Fallback>
      </mc:AlternateContent>
    </w:r>
  </w:p>
  <w:p w14:paraId="18EA977A">
    <w:pPr>
      <w:pStyle w:val="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AC0AB">
    <w:pPr>
      <w:pStyle w:val="41"/>
      <w:pBdr>
        <w:bottom w:val="none" w:color="auto" w:sz="0" w:space="1"/>
      </w:pBdr>
      <w:jc w:val="both"/>
      <w:rPr>
        <w:rFonts w:hint="defau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052D2">
    <w:pPr>
      <w:pStyle w:val="4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F2977">
    <w:pPr>
      <w:pStyle w:val="4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3D9C">
    <w:pPr>
      <w:pStyle w:val="4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3275A">
    <w:pPr>
      <w:pStyle w:val="41"/>
      <w:rPr>
        <w:rFonts w:hint="default"/>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2190D">
    <w:pPr>
      <w:pStyle w:val="41"/>
      <w:pBdr>
        <w:bottom w:val="none" w:color="auto" w:sz="0" w:space="1"/>
      </w:pBdr>
      <w:jc w:val="both"/>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C9B1CF"/>
    <w:multiLevelType w:val="singleLevel"/>
    <w:tmpl w:val="B4C9B1CF"/>
    <w:lvl w:ilvl="0" w:tentative="0">
      <w:start w:val="5"/>
      <w:numFmt w:val="chineseCounting"/>
      <w:suff w:val="nothing"/>
      <w:lvlText w:val="（%1）"/>
      <w:lvlJc w:val="left"/>
      <w:rPr>
        <w:rFonts w:hint="eastAsia"/>
      </w:rPr>
    </w:lvl>
  </w:abstractNum>
  <w:abstractNum w:abstractNumId="1">
    <w:nsid w:val="BF0EC2E2"/>
    <w:multiLevelType w:val="singleLevel"/>
    <w:tmpl w:val="BF0EC2E2"/>
    <w:lvl w:ilvl="0" w:tentative="0">
      <w:start w:val="1"/>
      <w:numFmt w:val="chineseCounting"/>
      <w:suff w:val="space"/>
      <w:lvlText w:val="第%1篇"/>
      <w:lvlJc w:val="left"/>
      <w:rPr>
        <w:rFonts w:hint="eastAsia"/>
      </w:rPr>
    </w:lvl>
  </w:abstractNum>
  <w:abstractNum w:abstractNumId="2">
    <w:nsid w:val="00000001"/>
    <w:multiLevelType w:val="multilevel"/>
    <w:tmpl w:val="00000001"/>
    <w:lvl w:ilvl="0" w:tentative="0">
      <w:start w:val="1"/>
      <w:numFmt w:val="bullet"/>
      <w:pStyle w:val="181"/>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2"/>
    <w:multiLevelType w:val="singleLevel"/>
    <w:tmpl w:val="00000002"/>
    <w:lvl w:ilvl="0" w:tentative="0">
      <w:start w:val="1"/>
      <w:numFmt w:val="bullet"/>
      <w:pStyle w:val="200"/>
      <w:lvlText w:val=""/>
      <w:lvlJc w:val="left"/>
      <w:pPr>
        <w:tabs>
          <w:tab w:val="left" w:pos="360"/>
        </w:tabs>
        <w:ind w:left="360" w:hanging="360"/>
      </w:pPr>
      <w:rPr>
        <w:rFonts w:hint="default" w:ascii="Wingdings" w:hAnsi="Wingdings"/>
      </w:rPr>
    </w:lvl>
  </w:abstractNum>
  <w:abstractNum w:abstractNumId="4">
    <w:nsid w:val="00000004"/>
    <w:multiLevelType w:val="singleLevel"/>
    <w:tmpl w:val="00000004"/>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5">
    <w:nsid w:val="00000005"/>
    <w:multiLevelType w:val="multilevel"/>
    <w:tmpl w:val="00000005"/>
    <w:lvl w:ilvl="0" w:tentative="0">
      <w:start w:val="1"/>
      <w:numFmt w:val="bullet"/>
      <w:pStyle w:val="242"/>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06"/>
    <w:multiLevelType w:val="singleLevel"/>
    <w:tmpl w:val="00000006"/>
    <w:lvl w:ilvl="0" w:tentative="0">
      <w:start w:val="1"/>
      <w:numFmt w:val="bullet"/>
      <w:pStyle w:val="362"/>
      <w:lvlText w:val=""/>
      <w:lvlJc w:val="left"/>
      <w:pPr>
        <w:tabs>
          <w:tab w:val="left" w:pos="1620"/>
        </w:tabs>
        <w:ind w:left="1620" w:hanging="360"/>
      </w:pPr>
      <w:rPr>
        <w:rFonts w:hint="default" w:ascii="Wingdings" w:hAnsi="Wingdings"/>
      </w:rPr>
    </w:lvl>
  </w:abstractNum>
  <w:abstractNum w:abstractNumId="7">
    <w:nsid w:val="00000007"/>
    <w:multiLevelType w:val="multilevel"/>
    <w:tmpl w:val="00000007"/>
    <w:lvl w:ilvl="0" w:tentative="0">
      <w:start w:val="1"/>
      <w:numFmt w:val="decimal"/>
      <w:pStyle w:val="22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8"/>
    <w:multiLevelType w:val="multilevel"/>
    <w:tmpl w:val="00000008"/>
    <w:lvl w:ilvl="0" w:tentative="0">
      <w:start w:val="1"/>
      <w:numFmt w:val="bullet"/>
      <w:pStyle w:val="30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09"/>
    <w:multiLevelType w:val="singleLevel"/>
    <w:tmpl w:val="00000009"/>
    <w:lvl w:ilvl="0" w:tentative="0">
      <w:start w:val="1"/>
      <w:numFmt w:val="decimal"/>
      <w:pStyle w:val="13"/>
      <w:lvlText w:val="%1."/>
      <w:lvlJc w:val="left"/>
      <w:pPr>
        <w:tabs>
          <w:tab w:val="left" w:pos="425"/>
        </w:tabs>
        <w:ind w:left="425" w:hanging="425"/>
      </w:pPr>
      <w:rPr>
        <w:rFonts w:hint="default"/>
      </w:rPr>
    </w:lvl>
  </w:abstractNum>
  <w:abstractNum w:abstractNumId="10">
    <w:nsid w:val="0000000A"/>
    <w:multiLevelType w:val="singleLevel"/>
    <w:tmpl w:val="0000000A"/>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11">
    <w:nsid w:val="0000000B"/>
    <w:multiLevelType w:val="singleLevel"/>
    <w:tmpl w:val="0000000B"/>
    <w:lvl w:ilvl="0" w:tentative="0">
      <w:start w:val="1"/>
      <w:numFmt w:val="decimal"/>
      <w:pStyle w:val="334"/>
      <w:lvlText w:val="%1)"/>
      <w:lvlJc w:val="left"/>
      <w:pPr>
        <w:tabs>
          <w:tab w:val="left" w:pos="425"/>
        </w:tabs>
        <w:ind w:left="425" w:hanging="425"/>
      </w:pPr>
      <w:rPr>
        <w:rFonts w:hint="eastAsia"/>
      </w:rPr>
    </w:lvl>
  </w:abstractNum>
  <w:abstractNum w:abstractNumId="12">
    <w:nsid w:val="0000000C"/>
    <w:multiLevelType w:val="multilevel"/>
    <w:tmpl w:val="0000000C"/>
    <w:lvl w:ilvl="0" w:tentative="0">
      <w:start w:val="1"/>
      <w:numFmt w:val="chineseCountingThousand"/>
      <w:pStyle w:val="27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5CC2599"/>
    <w:multiLevelType w:val="singleLevel"/>
    <w:tmpl w:val="05CC2599"/>
    <w:lvl w:ilvl="0" w:tentative="0">
      <w:start w:val="2"/>
      <w:numFmt w:val="decimal"/>
      <w:suff w:val="nothing"/>
      <w:lvlText w:val="%1、"/>
      <w:lvlJc w:val="left"/>
    </w:lvl>
  </w:abstractNum>
  <w:abstractNum w:abstractNumId="14">
    <w:nsid w:val="3BF13F35"/>
    <w:multiLevelType w:val="multilevel"/>
    <w:tmpl w:val="3BF13F35"/>
    <w:lvl w:ilvl="0" w:tentative="0">
      <w:start w:val="2"/>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8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6">
    <w:nsid w:val="441A600C"/>
    <w:multiLevelType w:val="multilevel"/>
    <w:tmpl w:val="441A600C"/>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54F865DB"/>
    <w:multiLevelType w:val="multilevel"/>
    <w:tmpl w:val="54F865DB"/>
    <w:lvl w:ilvl="0" w:tentative="0">
      <w:start w:val="1"/>
      <w:numFmt w:val="upperLetter"/>
      <w:pStyle w:val="304"/>
      <w:suff w:val="nothing"/>
      <w:lvlText w:val="附　录　%1"/>
      <w:lvlJc w:val="left"/>
      <w:pPr>
        <w:ind w:left="0" w:firstLine="0"/>
      </w:pPr>
      <w:rPr>
        <w:rFonts w:hint="eastAsia" w:ascii="黑体" w:hAnsi="Times New Roman" w:eastAsia="黑体"/>
        <w:b w:val="0"/>
        <w:i w:val="0"/>
        <w:sz w:val="21"/>
      </w:rPr>
    </w:lvl>
    <w:lvl w:ilvl="1" w:tentative="0">
      <w:start w:val="1"/>
      <w:numFmt w:val="decimal"/>
      <w:pStyle w:val="255"/>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7EE563B9"/>
    <w:multiLevelType w:val="multilevel"/>
    <w:tmpl w:val="7EE563B9"/>
    <w:lvl w:ilvl="0" w:tentative="0">
      <w:start w:val="12"/>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9"/>
  </w:num>
  <w:num w:numId="2">
    <w:abstractNumId w:val="4"/>
  </w:num>
  <w:num w:numId="3">
    <w:abstractNumId w:val="10"/>
  </w:num>
  <w:num w:numId="4">
    <w:abstractNumId w:val="2"/>
  </w:num>
  <w:num w:numId="5">
    <w:abstractNumId w:val="3"/>
  </w:num>
  <w:num w:numId="6">
    <w:abstractNumId w:val="7"/>
  </w:num>
  <w:num w:numId="7">
    <w:abstractNumId w:val="5"/>
  </w:num>
  <w:num w:numId="8">
    <w:abstractNumId w:val="17"/>
  </w:num>
  <w:num w:numId="9">
    <w:abstractNumId w:val="12"/>
  </w:num>
  <w:num w:numId="10">
    <w:abstractNumId w:val="8"/>
  </w:num>
  <w:num w:numId="11">
    <w:abstractNumId w:val="11"/>
  </w:num>
  <w:num w:numId="12">
    <w:abstractNumId w:val="6"/>
  </w:num>
  <w:num w:numId="13">
    <w:abstractNumId w:val="15"/>
  </w:num>
  <w:num w:numId="14">
    <w:abstractNumId w:val="1"/>
  </w:num>
  <w:num w:numId="15">
    <w:abstractNumId w:val="13"/>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lZDkxNmU2OTg3NGRiMTk4NDAxZDg5NDc5MTRjNmYifQ=="/>
  </w:docVars>
  <w:rsids>
    <w:rsidRoot w:val="00EE39AB"/>
    <w:rsid w:val="00001A5C"/>
    <w:rsid w:val="00016789"/>
    <w:rsid w:val="00021097"/>
    <w:rsid w:val="00021376"/>
    <w:rsid w:val="000B0533"/>
    <w:rsid w:val="000D1A37"/>
    <w:rsid w:val="000D35DA"/>
    <w:rsid w:val="000D4234"/>
    <w:rsid w:val="000E1AE2"/>
    <w:rsid w:val="00100DE5"/>
    <w:rsid w:val="001A1D2C"/>
    <w:rsid w:val="001A73E8"/>
    <w:rsid w:val="001C3FA0"/>
    <w:rsid w:val="001E38AE"/>
    <w:rsid w:val="001E4F72"/>
    <w:rsid w:val="00220F89"/>
    <w:rsid w:val="0023346B"/>
    <w:rsid w:val="00237757"/>
    <w:rsid w:val="00260A05"/>
    <w:rsid w:val="00272367"/>
    <w:rsid w:val="0028454A"/>
    <w:rsid w:val="00290503"/>
    <w:rsid w:val="002B3EA7"/>
    <w:rsid w:val="002D4D4A"/>
    <w:rsid w:val="002E0F55"/>
    <w:rsid w:val="002E4450"/>
    <w:rsid w:val="002F4077"/>
    <w:rsid w:val="002F6837"/>
    <w:rsid w:val="00317660"/>
    <w:rsid w:val="00332D22"/>
    <w:rsid w:val="00341E21"/>
    <w:rsid w:val="00345439"/>
    <w:rsid w:val="00351E62"/>
    <w:rsid w:val="00365688"/>
    <w:rsid w:val="00367923"/>
    <w:rsid w:val="003958B8"/>
    <w:rsid w:val="003B09E9"/>
    <w:rsid w:val="003E6FB9"/>
    <w:rsid w:val="003F39E8"/>
    <w:rsid w:val="003F70B7"/>
    <w:rsid w:val="00404E37"/>
    <w:rsid w:val="00424DE7"/>
    <w:rsid w:val="00435477"/>
    <w:rsid w:val="00475A35"/>
    <w:rsid w:val="004D4DC6"/>
    <w:rsid w:val="004E1E77"/>
    <w:rsid w:val="00502E26"/>
    <w:rsid w:val="00520A37"/>
    <w:rsid w:val="00530199"/>
    <w:rsid w:val="005429D6"/>
    <w:rsid w:val="00556CFD"/>
    <w:rsid w:val="00563FE1"/>
    <w:rsid w:val="0056505F"/>
    <w:rsid w:val="00572F39"/>
    <w:rsid w:val="005B3372"/>
    <w:rsid w:val="005B3E42"/>
    <w:rsid w:val="005C69A9"/>
    <w:rsid w:val="005D488F"/>
    <w:rsid w:val="005F2760"/>
    <w:rsid w:val="005F7820"/>
    <w:rsid w:val="0060488D"/>
    <w:rsid w:val="00612B73"/>
    <w:rsid w:val="006242FF"/>
    <w:rsid w:val="00634D57"/>
    <w:rsid w:val="00642E0B"/>
    <w:rsid w:val="006515E6"/>
    <w:rsid w:val="0065233F"/>
    <w:rsid w:val="00656692"/>
    <w:rsid w:val="0069160B"/>
    <w:rsid w:val="006A52DB"/>
    <w:rsid w:val="006A6BFA"/>
    <w:rsid w:val="006C1F82"/>
    <w:rsid w:val="006C2038"/>
    <w:rsid w:val="006F24CA"/>
    <w:rsid w:val="00700074"/>
    <w:rsid w:val="007232C2"/>
    <w:rsid w:val="00725EBC"/>
    <w:rsid w:val="007368C7"/>
    <w:rsid w:val="00743FFC"/>
    <w:rsid w:val="00762959"/>
    <w:rsid w:val="00771FD2"/>
    <w:rsid w:val="0078143C"/>
    <w:rsid w:val="00785AE3"/>
    <w:rsid w:val="00794DF8"/>
    <w:rsid w:val="007B70CE"/>
    <w:rsid w:val="007F7C05"/>
    <w:rsid w:val="00820881"/>
    <w:rsid w:val="00824069"/>
    <w:rsid w:val="0082440E"/>
    <w:rsid w:val="00825BDF"/>
    <w:rsid w:val="008324C6"/>
    <w:rsid w:val="0084202F"/>
    <w:rsid w:val="00861617"/>
    <w:rsid w:val="00871673"/>
    <w:rsid w:val="008875EF"/>
    <w:rsid w:val="008A4F28"/>
    <w:rsid w:val="008C6761"/>
    <w:rsid w:val="008E104D"/>
    <w:rsid w:val="008F1039"/>
    <w:rsid w:val="009069F3"/>
    <w:rsid w:val="00921F30"/>
    <w:rsid w:val="00952CB5"/>
    <w:rsid w:val="00960355"/>
    <w:rsid w:val="0097627C"/>
    <w:rsid w:val="0097682E"/>
    <w:rsid w:val="009817B3"/>
    <w:rsid w:val="00984EB8"/>
    <w:rsid w:val="009A3FA1"/>
    <w:rsid w:val="009B406F"/>
    <w:rsid w:val="009B6F4B"/>
    <w:rsid w:val="009D57E3"/>
    <w:rsid w:val="009D5FD5"/>
    <w:rsid w:val="009E18A4"/>
    <w:rsid w:val="00A129DE"/>
    <w:rsid w:val="00A21857"/>
    <w:rsid w:val="00A6451E"/>
    <w:rsid w:val="00A96FC2"/>
    <w:rsid w:val="00AB3462"/>
    <w:rsid w:val="00AD0D07"/>
    <w:rsid w:val="00B27E42"/>
    <w:rsid w:val="00B318E4"/>
    <w:rsid w:val="00B34550"/>
    <w:rsid w:val="00B53B5E"/>
    <w:rsid w:val="00B70B23"/>
    <w:rsid w:val="00B90154"/>
    <w:rsid w:val="00BB5E15"/>
    <w:rsid w:val="00BE0F17"/>
    <w:rsid w:val="00BE49BE"/>
    <w:rsid w:val="00BF2D45"/>
    <w:rsid w:val="00BF33C0"/>
    <w:rsid w:val="00BF704E"/>
    <w:rsid w:val="00C10A27"/>
    <w:rsid w:val="00C264F3"/>
    <w:rsid w:val="00C31C40"/>
    <w:rsid w:val="00C66BB9"/>
    <w:rsid w:val="00C85F9F"/>
    <w:rsid w:val="00CB3C44"/>
    <w:rsid w:val="00CB7EE0"/>
    <w:rsid w:val="00CD3C6A"/>
    <w:rsid w:val="00CD6898"/>
    <w:rsid w:val="00D142D4"/>
    <w:rsid w:val="00D245EF"/>
    <w:rsid w:val="00D3528B"/>
    <w:rsid w:val="00D563B3"/>
    <w:rsid w:val="00D71AB3"/>
    <w:rsid w:val="00D81573"/>
    <w:rsid w:val="00D819B7"/>
    <w:rsid w:val="00D92153"/>
    <w:rsid w:val="00DA56D5"/>
    <w:rsid w:val="00DE0B8D"/>
    <w:rsid w:val="00E0280B"/>
    <w:rsid w:val="00E3346D"/>
    <w:rsid w:val="00E47A61"/>
    <w:rsid w:val="00E532FF"/>
    <w:rsid w:val="00E725A7"/>
    <w:rsid w:val="00E81CAF"/>
    <w:rsid w:val="00E9358F"/>
    <w:rsid w:val="00EA1D12"/>
    <w:rsid w:val="00EA306B"/>
    <w:rsid w:val="00EE355B"/>
    <w:rsid w:val="00EE39AB"/>
    <w:rsid w:val="00F301EA"/>
    <w:rsid w:val="00F36616"/>
    <w:rsid w:val="00F404D4"/>
    <w:rsid w:val="00F45106"/>
    <w:rsid w:val="00F6637A"/>
    <w:rsid w:val="00F674AB"/>
    <w:rsid w:val="00F8714C"/>
    <w:rsid w:val="00F95481"/>
    <w:rsid w:val="00FB3DBC"/>
    <w:rsid w:val="00FC5F2E"/>
    <w:rsid w:val="010E14F5"/>
    <w:rsid w:val="011252A5"/>
    <w:rsid w:val="0120510D"/>
    <w:rsid w:val="01251184"/>
    <w:rsid w:val="0147153B"/>
    <w:rsid w:val="015D329E"/>
    <w:rsid w:val="016622FC"/>
    <w:rsid w:val="016C149F"/>
    <w:rsid w:val="016F4DA6"/>
    <w:rsid w:val="017C0E40"/>
    <w:rsid w:val="01897993"/>
    <w:rsid w:val="01914DAD"/>
    <w:rsid w:val="0193166C"/>
    <w:rsid w:val="01A66C10"/>
    <w:rsid w:val="01AD28EF"/>
    <w:rsid w:val="01B14C06"/>
    <w:rsid w:val="01B916AE"/>
    <w:rsid w:val="01CF7329"/>
    <w:rsid w:val="020967F0"/>
    <w:rsid w:val="02217FDE"/>
    <w:rsid w:val="0255229F"/>
    <w:rsid w:val="0275233D"/>
    <w:rsid w:val="028265A2"/>
    <w:rsid w:val="02A426AA"/>
    <w:rsid w:val="02A904A1"/>
    <w:rsid w:val="02AE7397"/>
    <w:rsid w:val="02BF6684"/>
    <w:rsid w:val="02CA1EB1"/>
    <w:rsid w:val="02D45AC0"/>
    <w:rsid w:val="02EB3C7C"/>
    <w:rsid w:val="02EE1086"/>
    <w:rsid w:val="02FC758B"/>
    <w:rsid w:val="030527A6"/>
    <w:rsid w:val="03052C5C"/>
    <w:rsid w:val="03123DCA"/>
    <w:rsid w:val="03136C76"/>
    <w:rsid w:val="03164EFB"/>
    <w:rsid w:val="03217B69"/>
    <w:rsid w:val="032B082C"/>
    <w:rsid w:val="034B55DC"/>
    <w:rsid w:val="03804B57"/>
    <w:rsid w:val="03984DFB"/>
    <w:rsid w:val="03A013D6"/>
    <w:rsid w:val="03A16859"/>
    <w:rsid w:val="03C1660E"/>
    <w:rsid w:val="03CC434A"/>
    <w:rsid w:val="03DE21C1"/>
    <w:rsid w:val="043833BC"/>
    <w:rsid w:val="044031CE"/>
    <w:rsid w:val="0446618F"/>
    <w:rsid w:val="04471852"/>
    <w:rsid w:val="04775B53"/>
    <w:rsid w:val="047C6AF9"/>
    <w:rsid w:val="04A42800"/>
    <w:rsid w:val="04BA2023"/>
    <w:rsid w:val="04D05CEB"/>
    <w:rsid w:val="050B2A70"/>
    <w:rsid w:val="050E530B"/>
    <w:rsid w:val="052F2A11"/>
    <w:rsid w:val="05306B0B"/>
    <w:rsid w:val="05420D44"/>
    <w:rsid w:val="055C132D"/>
    <w:rsid w:val="056B70F6"/>
    <w:rsid w:val="057B0424"/>
    <w:rsid w:val="057D6F2B"/>
    <w:rsid w:val="05C945A2"/>
    <w:rsid w:val="05EF3F4F"/>
    <w:rsid w:val="05F25272"/>
    <w:rsid w:val="05F872A7"/>
    <w:rsid w:val="06071198"/>
    <w:rsid w:val="060D1105"/>
    <w:rsid w:val="06135E8F"/>
    <w:rsid w:val="06831F7D"/>
    <w:rsid w:val="068E19BA"/>
    <w:rsid w:val="069A1BF8"/>
    <w:rsid w:val="069A210C"/>
    <w:rsid w:val="06B449B9"/>
    <w:rsid w:val="06BE20C2"/>
    <w:rsid w:val="06D118A6"/>
    <w:rsid w:val="06E5236E"/>
    <w:rsid w:val="071445D6"/>
    <w:rsid w:val="07171649"/>
    <w:rsid w:val="07367D1C"/>
    <w:rsid w:val="0745490B"/>
    <w:rsid w:val="07A11279"/>
    <w:rsid w:val="07CD4764"/>
    <w:rsid w:val="07F12200"/>
    <w:rsid w:val="07F17F5D"/>
    <w:rsid w:val="080A4163"/>
    <w:rsid w:val="08314CF2"/>
    <w:rsid w:val="08341433"/>
    <w:rsid w:val="08600069"/>
    <w:rsid w:val="08713341"/>
    <w:rsid w:val="089352D4"/>
    <w:rsid w:val="08957B56"/>
    <w:rsid w:val="08960800"/>
    <w:rsid w:val="089C2F11"/>
    <w:rsid w:val="08A869F8"/>
    <w:rsid w:val="08B4685D"/>
    <w:rsid w:val="08C416C3"/>
    <w:rsid w:val="08CC67C9"/>
    <w:rsid w:val="08D93A2A"/>
    <w:rsid w:val="08DF64FD"/>
    <w:rsid w:val="08F31FA8"/>
    <w:rsid w:val="091066B6"/>
    <w:rsid w:val="09271C52"/>
    <w:rsid w:val="09287EA3"/>
    <w:rsid w:val="09333501"/>
    <w:rsid w:val="09451F87"/>
    <w:rsid w:val="095435C4"/>
    <w:rsid w:val="09677181"/>
    <w:rsid w:val="096B1B3E"/>
    <w:rsid w:val="096C6849"/>
    <w:rsid w:val="097012C6"/>
    <w:rsid w:val="09970B85"/>
    <w:rsid w:val="09C90306"/>
    <w:rsid w:val="09EF2623"/>
    <w:rsid w:val="0A0869AB"/>
    <w:rsid w:val="0A432ABB"/>
    <w:rsid w:val="0A661CB2"/>
    <w:rsid w:val="0A673DA7"/>
    <w:rsid w:val="0A696D2F"/>
    <w:rsid w:val="0A6F565E"/>
    <w:rsid w:val="0A826D85"/>
    <w:rsid w:val="0AB37C41"/>
    <w:rsid w:val="0AC91CF5"/>
    <w:rsid w:val="0ACA7CCE"/>
    <w:rsid w:val="0AD41965"/>
    <w:rsid w:val="0ADE52FB"/>
    <w:rsid w:val="0B21104E"/>
    <w:rsid w:val="0B440899"/>
    <w:rsid w:val="0B5A4560"/>
    <w:rsid w:val="0B5D0F23"/>
    <w:rsid w:val="0B636D50"/>
    <w:rsid w:val="0B725656"/>
    <w:rsid w:val="0B845139"/>
    <w:rsid w:val="0B863E1B"/>
    <w:rsid w:val="0B8D2240"/>
    <w:rsid w:val="0B996E37"/>
    <w:rsid w:val="0BB319DF"/>
    <w:rsid w:val="0BB83FB6"/>
    <w:rsid w:val="0BDB09C6"/>
    <w:rsid w:val="0BE300B2"/>
    <w:rsid w:val="0BE43E2A"/>
    <w:rsid w:val="0BE62571"/>
    <w:rsid w:val="0BE8618A"/>
    <w:rsid w:val="0BF84FAD"/>
    <w:rsid w:val="0C08040B"/>
    <w:rsid w:val="0C0C0F43"/>
    <w:rsid w:val="0C3A5E22"/>
    <w:rsid w:val="0C41127C"/>
    <w:rsid w:val="0C5953CC"/>
    <w:rsid w:val="0C8344D6"/>
    <w:rsid w:val="0CA628FD"/>
    <w:rsid w:val="0CAA59E7"/>
    <w:rsid w:val="0CAD06C0"/>
    <w:rsid w:val="0CB55E9D"/>
    <w:rsid w:val="0CBF0B1F"/>
    <w:rsid w:val="0CD56232"/>
    <w:rsid w:val="0CEC23AD"/>
    <w:rsid w:val="0CF87E14"/>
    <w:rsid w:val="0CF956B3"/>
    <w:rsid w:val="0CFC0E63"/>
    <w:rsid w:val="0D057296"/>
    <w:rsid w:val="0D1F511A"/>
    <w:rsid w:val="0D344206"/>
    <w:rsid w:val="0D4234FE"/>
    <w:rsid w:val="0D5325AB"/>
    <w:rsid w:val="0D827C67"/>
    <w:rsid w:val="0D9F0822"/>
    <w:rsid w:val="0DAD4E1B"/>
    <w:rsid w:val="0DAE46EF"/>
    <w:rsid w:val="0DB1662B"/>
    <w:rsid w:val="0DC92BD9"/>
    <w:rsid w:val="0DED6FC6"/>
    <w:rsid w:val="0DFA7935"/>
    <w:rsid w:val="0E493C18"/>
    <w:rsid w:val="0E4D215A"/>
    <w:rsid w:val="0E8813E4"/>
    <w:rsid w:val="0E8A01E0"/>
    <w:rsid w:val="0E8B2881"/>
    <w:rsid w:val="0EC046DA"/>
    <w:rsid w:val="0EC341CA"/>
    <w:rsid w:val="0EC47A9B"/>
    <w:rsid w:val="0ECA4388"/>
    <w:rsid w:val="0EDE591C"/>
    <w:rsid w:val="0EEF1133"/>
    <w:rsid w:val="0F16254C"/>
    <w:rsid w:val="0F2033CB"/>
    <w:rsid w:val="0F4A3109"/>
    <w:rsid w:val="0F5D63CD"/>
    <w:rsid w:val="0F673371"/>
    <w:rsid w:val="0F7D4C2A"/>
    <w:rsid w:val="0F82150A"/>
    <w:rsid w:val="0F823732"/>
    <w:rsid w:val="0F8B4CE8"/>
    <w:rsid w:val="0F9D2C6D"/>
    <w:rsid w:val="0FA855DC"/>
    <w:rsid w:val="0FB00BA1"/>
    <w:rsid w:val="0FC93BAC"/>
    <w:rsid w:val="0FCE5AA7"/>
    <w:rsid w:val="0FDA06AA"/>
    <w:rsid w:val="0FE71E38"/>
    <w:rsid w:val="0FED59A3"/>
    <w:rsid w:val="0FFD1F8A"/>
    <w:rsid w:val="10260C4A"/>
    <w:rsid w:val="103B6780"/>
    <w:rsid w:val="103C2486"/>
    <w:rsid w:val="10521CAA"/>
    <w:rsid w:val="1053332C"/>
    <w:rsid w:val="106A6870"/>
    <w:rsid w:val="109C2F25"/>
    <w:rsid w:val="10AA73F0"/>
    <w:rsid w:val="10D64E3F"/>
    <w:rsid w:val="10D821AF"/>
    <w:rsid w:val="10E402D3"/>
    <w:rsid w:val="11195D33"/>
    <w:rsid w:val="11421D1E"/>
    <w:rsid w:val="1143454A"/>
    <w:rsid w:val="114478F3"/>
    <w:rsid w:val="11497791"/>
    <w:rsid w:val="114B275F"/>
    <w:rsid w:val="114C66F9"/>
    <w:rsid w:val="114F61E9"/>
    <w:rsid w:val="11625F1D"/>
    <w:rsid w:val="117619C8"/>
    <w:rsid w:val="11B175BA"/>
    <w:rsid w:val="11C35425"/>
    <w:rsid w:val="11D0732A"/>
    <w:rsid w:val="11DF30C9"/>
    <w:rsid w:val="120D5F1A"/>
    <w:rsid w:val="12462A13"/>
    <w:rsid w:val="125A21BA"/>
    <w:rsid w:val="12BE4CF0"/>
    <w:rsid w:val="12BE7514"/>
    <w:rsid w:val="12C45546"/>
    <w:rsid w:val="12CA1FCB"/>
    <w:rsid w:val="12F23667"/>
    <w:rsid w:val="13142914"/>
    <w:rsid w:val="13182D37"/>
    <w:rsid w:val="131A5D86"/>
    <w:rsid w:val="13450785"/>
    <w:rsid w:val="13492C3E"/>
    <w:rsid w:val="13541895"/>
    <w:rsid w:val="135B0E75"/>
    <w:rsid w:val="136832FB"/>
    <w:rsid w:val="136C13C9"/>
    <w:rsid w:val="137B1518"/>
    <w:rsid w:val="137D5290"/>
    <w:rsid w:val="1380268A"/>
    <w:rsid w:val="138A3509"/>
    <w:rsid w:val="139B3968"/>
    <w:rsid w:val="13D824C6"/>
    <w:rsid w:val="1423361E"/>
    <w:rsid w:val="142414F0"/>
    <w:rsid w:val="14414227"/>
    <w:rsid w:val="148B71F2"/>
    <w:rsid w:val="14AC506E"/>
    <w:rsid w:val="14B758D9"/>
    <w:rsid w:val="14C17C2E"/>
    <w:rsid w:val="14CD18FF"/>
    <w:rsid w:val="14DC2624"/>
    <w:rsid w:val="14EC2D5C"/>
    <w:rsid w:val="14EC556C"/>
    <w:rsid w:val="14ED4C07"/>
    <w:rsid w:val="150A6C50"/>
    <w:rsid w:val="150E6FDB"/>
    <w:rsid w:val="152622CD"/>
    <w:rsid w:val="152B4878"/>
    <w:rsid w:val="156C1313"/>
    <w:rsid w:val="15777BAE"/>
    <w:rsid w:val="159D6AB8"/>
    <w:rsid w:val="15A10682"/>
    <w:rsid w:val="15BB103C"/>
    <w:rsid w:val="15CC520E"/>
    <w:rsid w:val="15EA028F"/>
    <w:rsid w:val="15EC53BE"/>
    <w:rsid w:val="160010AB"/>
    <w:rsid w:val="16037773"/>
    <w:rsid w:val="161926EB"/>
    <w:rsid w:val="162639BD"/>
    <w:rsid w:val="164D5A97"/>
    <w:rsid w:val="165B045C"/>
    <w:rsid w:val="16AB496B"/>
    <w:rsid w:val="16AD13EE"/>
    <w:rsid w:val="16D2243E"/>
    <w:rsid w:val="16F13FCB"/>
    <w:rsid w:val="16F95C2F"/>
    <w:rsid w:val="173C2D6C"/>
    <w:rsid w:val="17553257"/>
    <w:rsid w:val="175F4DEF"/>
    <w:rsid w:val="17667DE9"/>
    <w:rsid w:val="176D3360"/>
    <w:rsid w:val="177F29F5"/>
    <w:rsid w:val="1783602D"/>
    <w:rsid w:val="178960E8"/>
    <w:rsid w:val="178E7A6B"/>
    <w:rsid w:val="17A41BF6"/>
    <w:rsid w:val="17BE4FC6"/>
    <w:rsid w:val="17D71D32"/>
    <w:rsid w:val="17EE22B8"/>
    <w:rsid w:val="17F3777E"/>
    <w:rsid w:val="17FA5A9D"/>
    <w:rsid w:val="18056756"/>
    <w:rsid w:val="184053F5"/>
    <w:rsid w:val="185E4CC5"/>
    <w:rsid w:val="187A0187"/>
    <w:rsid w:val="18AD6299"/>
    <w:rsid w:val="18E51BB8"/>
    <w:rsid w:val="190074CB"/>
    <w:rsid w:val="19043EF9"/>
    <w:rsid w:val="1904741C"/>
    <w:rsid w:val="191A15F5"/>
    <w:rsid w:val="192D205B"/>
    <w:rsid w:val="19474DFF"/>
    <w:rsid w:val="1948712E"/>
    <w:rsid w:val="1976106E"/>
    <w:rsid w:val="19801636"/>
    <w:rsid w:val="19B54B1C"/>
    <w:rsid w:val="19DB6F92"/>
    <w:rsid w:val="19E8093A"/>
    <w:rsid w:val="19F03933"/>
    <w:rsid w:val="19F175EA"/>
    <w:rsid w:val="19F24683"/>
    <w:rsid w:val="19F35727"/>
    <w:rsid w:val="1A026D2C"/>
    <w:rsid w:val="1A231FC1"/>
    <w:rsid w:val="1A614337"/>
    <w:rsid w:val="1A686637"/>
    <w:rsid w:val="1A6B4094"/>
    <w:rsid w:val="1A974E89"/>
    <w:rsid w:val="1A9810B8"/>
    <w:rsid w:val="1A9D3CF0"/>
    <w:rsid w:val="1AAB2622"/>
    <w:rsid w:val="1AAB4490"/>
    <w:rsid w:val="1AEA23F8"/>
    <w:rsid w:val="1AF851FC"/>
    <w:rsid w:val="1AFE2976"/>
    <w:rsid w:val="1B017B61"/>
    <w:rsid w:val="1B3C44E1"/>
    <w:rsid w:val="1B3C77DE"/>
    <w:rsid w:val="1B55319F"/>
    <w:rsid w:val="1B806CE9"/>
    <w:rsid w:val="1B83540D"/>
    <w:rsid w:val="1B9A3A81"/>
    <w:rsid w:val="1BA230F4"/>
    <w:rsid w:val="1BBB5839"/>
    <w:rsid w:val="1BBD7954"/>
    <w:rsid w:val="1BE90209"/>
    <w:rsid w:val="1BEA58FD"/>
    <w:rsid w:val="1BEE60E6"/>
    <w:rsid w:val="1BF04D31"/>
    <w:rsid w:val="1BFC4701"/>
    <w:rsid w:val="1C2D2DA0"/>
    <w:rsid w:val="1C5D17BA"/>
    <w:rsid w:val="1C67088B"/>
    <w:rsid w:val="1C766D20"/>
    <w:rsid w:val="1C9606E0"/>
    <w:rsid w:val="1CA83733"/>
    <w:rsid w:val="1CCB785F"/>
    <w:rsid w:val="1CE30315"/>
    <w:rsid w:val="1CF3211F"/>
    <w:rsid w:val="1D195886"/>
    <w:rsid w:val="1D2572EE"/>
    <w:rsid w:val="1D2E7027"/>
    <w:rsid w:val="1D4604A0"/>
    <w:rsid w:val="1D4D182F"/>
    <w:rsid w:val="1D69418F"/>
    <w:rsid w:val="1D8E1D40"/>
    <w:rsid w:val="1D9C4564"/>
    <w:rsid w:val="1DA90A2F"/>
    <w:rsid w:val="1DD97567"/>
    <w:rsid w:val="1DEF3AA5"/>
    <w:rsid w:val="1E1B5FBF"/>
    <w:rsid w:val="1E472722"/>
    <w:rsid w:val="1E764DB5"/>
    <w:rsid w:val="1E7A4EA8"/>
    <w:rsid w:val="1E8705EE"/>
    <w:rsid w:val="1E935967"/>
    <w:rsid w:val="1EBB4EBE"/>
    <w:rsid w:val="1ECD36FB"/>
    <w:rsid w:val="1ED40414"/>
    <w:rsid w:val="1EE75CB3"/>
    <w:rsid w:val="1EE81F68"/>
    <w:rsid w:val="1F036880"/>
    <w:rsid w:val="1F0C74C8"/>
    <w:rsid w:val="1F1A70F4"/>
    <w:rsid w:val="1F2A46BF"/>
    <w:rsid w:val="1F2B4AC3"/>
    <w:rsid w:val="1F4C5B16"/>
    <w:rsid w:val="1F4D3D68"/>
    <w:rsid w:val="1F7A1E98"/>
    <w:rsid w:val="1F996C3D"/>
    <w:rsid w:val="1FA55A2E"/>
    <w:rsid w:val="1FB33A33"/>
    <w:rsid w:val="1FDE2C12"/>
    <w:rsid w:val="1FE223E3"/>
    <w:rsid w:val="1FFC5694"/>
    <w:rsid w:val="1FFF695C"/>
    <w:rsid w:val="202B1BD0"/>
    <w:rsid w:val="20397D96"/>
    <w:rsid w:val="20477F87"/>
    <w:rsid w:val="204D1B46"/>
    <w:rsid w:val="20752BA2"/>
    <w:rsid w:val="207E61A3"/>
    <w:rsid w:val="208D41D2"/>
    <w:rsid w:val="209F2433"/>
    <w:rsid w:val="20B6593D"/>
    <w:rsid w:val="20DB35F6"/>
    <w:rsid w:val="20DB4653"/>
    <w:rsid w:val="20E95D13"/>
    <w:rsid w:val="21350F58"/>
    <w:rsid w:val="213F215E"/>
    <w:rsid w:val="213F520D"/>
    <w:rsid w:val="214D3D79"/>
    <w:rsid w:val="216E1D7D"/>
    <w:rsid w:val="216E446A"/>
    <w:rsid w:val="21BF051D"/>
    <w:rsid w:val="21C65FE8"/>
    <w:rsid w:val="21EE3AEA"/>
    <w:rsid w:val="221B014E"/>
    <w:rsid w:val="221B0E79"/>
    <w:rsid w:val="223167BE"/>
    <w:rsid w:val="224270DA"/>
    <w:rsid w:val="2282521A"/>
    <w:rsid w:val="22895006"/>
    <w:rsid w:val="22923AD3"/>
    <w:rsid w:val="22B67E76"/>
    <w:rsid w:val="22BC3B4B"/>
    <w:rsid w:val="22C45A5A"/>
    <w:rsid w:val="22C5067A"/>
    <w:rsid w:val="23103A2A"/>
    <w:rsid w:val="23113D47"/>
    <w:rsid w:val="231177A3"/>
    <w:rsid w:val="2341295B"/>
    <w:rsid w:val="23436FC0"/>
    <w:rsid w:val="23514CF6"/>
    <w:rsid w:val="235605DC"/>
    <w:rsid w:val="23720241"/>
    <w:rsid w:val="239E4995"/>
    <w:rsid w:val="23AC084C"/>
    <w:rsid w:val="23C640E9"/>
    <w:rsid w:val="23F0469B"/>
    <w:rsid w:val="23F073B8"/>
    <w:rsid w:val="23FD5146"/>
    <w:rsid w:val="24047B49"/>
    <w:rsid w:val="24181880"/>
    <w:rsid w:val="24257BFD"/>
    <w:rsid w:val="243F148B"/>
    <w:rsid w:val="24572F93"/>
    <w:rsid w:val="247D028C"/>
    <w:rsid w:val="248A0A3D"/>
    <w:rsid w:val="24B2657A"/>
    <w:rsid w:val="24C3625D"/>
    <w:rsid w:val="24D31D0B"/>
    <w:rsid w:val="24DD3C24"/>
    <w:rsid w:val="24FC62EF"/>
    <w:rsid w:val="250273A3"/>
    <w:rsid w:val="250451AE"/>
    <w:rsid w:val="25063B0E"/>
    <w:rsid w:val="25274F1B"/>
    <w:rsid w:val="2527505B"/>
    <w:rsid w:val="25276704"/>
    <w:rsid w:val="252E2902"/>
    <w:rsid w:val="25435F18"/>
    <w:rsid w:val="2576348C"/>
    <w:rsid w:val="25801278"/>
    <w:rsid w:val="258778A8"/>
    <w:rsid w:val="25B3069D"/>
    <w:rsid w:val="25C358B5"/>
    <w:rsid w:val="25D028D1"/>
    <w:rsid w:val="25D961D0"/>
    <w:rsid w:val="25F018F1"/>
    <w:rsid w:val="25F24769"/>
    <w:rsid w:val="26020F30"/>
    <w:rsid w:val="261C26E6"/>
    <w:rsid w:val="26217CFD"/>
    <w:rsid w:val="26307DFC"/>
    <w:rsid w:val="266521B4"/>
    <w:rsid w:val="26B166FF"/>
    <w:rsid w:val="26CD7528"/>
    <w:rsid w:val="26D1527F"/>
    <w:rsid w:val="271617F6"/>
    <w:rsid w:val="27363334"/>
    <w:rsid w:val="27475541"/>
    <w:rsid w:val="27676AF8"/>
    <w:rsid w:val="27735A1F"/>
    <w:rsid w:val="27AC1848"/>
    <w:rsid w:val="27B20A9C"/>
    <w:rsid w:val="27C36786"/>
    <w:rsid w:val="27C43035"/>
    <w:rsid w:val="27CC0673"/>
    <w:rsid w:val="284C2C15"/>
    <w:rsid w:val="284C4C3E"/>
    <w:rsid w:val="285A2C3A"/>
    <w:rsid w:val="289B0711"/>
    <w:rsid w:val="289C2F2E"/>
    <w:rsid w:val="28A45B9D"/>
    <w:rsid w:val="28AF339E"/>
    <w:rsid w:val="28C123B1"/>
    <w:rsid w:val="28C657AC"/>
    <w:rsid w:val="28C72DDD"/>
    <w:rsid w:val="28DE0127"/>
    <w:rsid w:val="28FE70EC"/>
    <w:rsid w:val="2908744F"/>
    <w:rsid w:val="290B39DC"/>
    <w:rsid w:val="29253660"/>
    <w:rsid w:val="2927387C"/>
    <w:rsid w:val="295470C2"/>
    <w:rsid w:val="295C30F4"/>
    <w:rsid w:val="296C74E1"/>
    <w:rsid w:val="2978504E"/>
    <w:rsid w:val="297A7E50"/>
    <w:rsid w:val="29954C89"/>
    <w:rsid w:val="299E4EE5"/>
    <w:rsid w:val="29B24674"/>
    <w:rsid w:val="29C61A3E"/>
    <w:rsid w:val="29E51041"/>
    <w:rsid w:val="2A220A40"/>
    <w:rsid w:val="2A445EEB"/>
    <w:rsid w:val="2A5812C3"/>
    <w:rsid w:val="2A6B59EA"/>
    <w:rsid w:val="2A915D79"/>
    <w:rsid w:val="2AB718E1"/>
    <w:rsid w:val="2AB845D9"/>
    <w:rsid w:val="2AB9599B"/>
    <w:rsid w:val="2AB962FC"/>
    <w:rsid w:val="2AED4651"/>
    <w:rsid w:val="2AF459E0"/>
    <w:rsid w:val="2AFC6642"/>
    <w:rsid w:val="2AFE23BA"/>
    <w:rsid w:val="2B0674C1"/>
    <w:rsid w:val="2B0B4AD7"/>
    <w:rsid w:val="2B1D21E4"/>
    <w:rsid w:val="2B30453E"/>
    <w:rsid w:val="2B3B716B"/>
    <w:rsid w:val="2B481ECE"/>
    <w:rsid w:val="2B8F5708"/>
    <w:rsid w:val="2B9A4002"/>
    <w:rsid w:val="2B9E2D39"/>
    <w:rsid w:val="2BAA69F8"/>
    <w:rsid w:val="2BD22280"/>
    <w:rsid w:val="2BDD15B2"/>
    <w:rsid w:val="2C1861F1"/>
    <w:rsid w:val="2C222FE3"/>
    <w:rsid w:val="2C327ED5"/>
    <w:rsid w:val="2C5F5FDF"/>
    <w:rsid w:val="2C6646BB"/>
    <w:rsid w:val="2C766949"/>
    <w:rsid w:val="2CB2349D"/>
    <w:rsid w:val="2CD76BE7"/>
    <w:rsid w:val="2CD8693B"/>
    <w:rsid w:val="2CFA64EC"/>
    <w:rsid w:val="2D095047"/>
    <w:rsid w:val="2D0B5263"/>
    <w:rsid w:val="2D23435A"/>
    <w:rsid w:val="2D261C60"/>
    <w:rsid w:val="2D316684"/>
    <w:rsid w:val="2D354E16"/>
    <w:rsid w:val="2D6B05ED"/>
    <w:rsid w:val="2D737F53"/>
    <w:rsid w:val="2D767BAD"/>
    <w:rsid w:val="2D7C1CBC"/>
    <w:rsid w:val="2D863DFC"/>
    <w:rsid w:val="2DB11966"/>
    <w:rsid w:val="2DCB1063"/>
    <w:rsid w:val="2DD34DB1"/>
    <w:rsid w:val="2DD37B2E"/>
    <w:rsid w:val="2DDA4C9A"/>
    <w:rsid w:val="2DFD3E6B"/>
    <w:rsid w:val="2E1819E5"/>
    <w:rsid w:val="2E187C37"/>
    <w:rsid w:val="2E1F0887"/>
    <w:rsid w:val="2E242797"/>
    <w:rsid w:val="2E3A138A"/>
    <w:rsid w:val="2E5642BC"/>
    <w:rsid w:val="2E7E42B1"/>
    <w:rsid w:val="2E9A75B6"/>
    <w:rsid w:val="2EA11A78"/>
    <w:rsid w:val="2EA8720D"/>
    <w:rsid w:val="2EA96AE1"/>
    <w:rsid w:val="2EC622A9"/>
    <w:rsid w:val="2EE542C4"/>
    <w:rsid w:val="2F083152"/>
    <w:rsid w:val="2F0E0EF2"/>
    <w:rsid w:val="2F103898"/>
    <w:rsid w:val="2F1C638E"/>
    <w:rsid w:val="2F1F5442"/>
    <w:rsid w:val="2F4F7689"/>
    <w:rsid w:val="2F7505E9"/>
    <w:rsid w:val="2F807568"/>
    <w:rsid w:val="2FAD18CF"/>
    <w:rsid w:val="2FCE4F9E"/>
    <w:rsid w:val="2FD23E16"/>
    <w:rsid w:val="2FDB1971"/>
    <w:rsid w:val="2FF41FDE"/>
    <w:rsid w:val="2FF65D56"/>
    <w:rsid w:val="301C78C6"/>
    <w:rsid w:val="3037083C"/>
    <w:rsid w:val="3038011D"/>
    <w:rsid w:val="30466CDD"/>
    <w:rsid w:val="30495DF7"/>
    <w:rsid w:val="309335A5"/>
    <w:rsid w:val="309D4424"/>
    <w:rsid w:val="30A12166"/>
    <w:rsid w:val="30CE0A81"/>
    <w:rsid w:val="30DC319E"/>
    <w:rsid w:val="30EB7F92"/>
    <w:rsid w:val="30EC0F07"/>
    <w:rsid w:val="30F71601"/>
    <w:rsid w:val="30F82B8D"/>
    <w:rsid w:val="30FB754E"/>
    <w:rsid w:val="31540F86"/>
    <w:rsid w:val="316D5680"/>
    <w:rsid w:val="319C0B7F"/>
    <w:rsid w:val="31C1669D"/>
    <w:rsid w:val="31D41125"/>
    <w:rsid w:val="32095D09"/>
    <w:rsid w:val="321275D6"/>
    <w:rsid w:val="32211576"/>
    <w:rsid w:val="32477518"/>
    <w:rsid w:val="32541BBF"/>
    <w:rsid w:val="32695F1B"/>
    <w:rsid w:val="326A5C72"/>
    <w:rsid w:val="327B7B6B"/>
    <w:rsid w:val="32851613"/>
    <w:rsid w:val="328865F4"/>
    <w:rsid w:val="328E07F0"/>
    <w:rsid w:val="329B0E37"/>
    <w:rsid w:val="32AB107A"/>
    <w:rsid w:val="32AD41D4"/>
    <w:rsid w:val="32FE5BCA"/>
    <w:rsid w:val="330811E7"/>
    <w:rsid w:val="331D0913"/>
    <w:rsid w:val="331D35FA"/>
    <w:rsid w:val="33242BDA"/>
    <w:rsid w:val="33356B95"/>
    <w:rsid w:val="33460500"/>
    <w:rsid w:val="336134F5"/>
    <w:rsid w:val="336E1E5D"/>
    <w:rsid w:val="3384518C"/>
    <w:rsid w:val="33890C8F"/>
    <w:rsid w:val="339A66C5"/>
    <w:rsid w:val="33A37FA3"/>
    <w:rsid w:val="33E95D1A"/>
    <w:rsid w:val="33F32DD8"/>
    <w:rsid w:val="33FF71DA"/>
    <w:rsid w:val="34012F1B"/>
    <w:rsid w:val="34043A46"/>
    <w:rsid w:val="340B58B2"/>
    <w:rsid w:val="341516C9"/>
    <w:rsid w:val="34382A36"/>
    <w:rsid w:val="344B78F6"/>
    <w:rsid w:val="34563E00"/>
    <w:rsid w:val="345F3534"/>
    <w:rsid w:val="34677222"/>
    <w:rsid w:val="346E0638"/>
    <w:rsid w:val="34A27DAC"/>
    <w:rsid w:val="34AA5361"/>
    <w:rsid w:val="34AD033F"/>
    <w:rsid w:val="34AD165D"/>
    <w:rsid w:val="34CE091C"/>
    <w:rsid w:val="34E56399"/>
    <w:rsid w:val="34FC3E0F"/>
    <w:rsid w:val="350C5BF4"/>
    <w:rsid w:val="350E3B42"/>
    <w:rsid w:val="353C06AF"/>
    <w:rsid w:val="353D3E4A"/>
    <w:rsid w:val="353E0CA5"/>
    <w:rsid w:val="35694E5F"/>
    <w:rsid w:val="3589693D"/>
    <w:rsid w:val="35B068EC"/>
    <w:rsid w:val="35FC0710"/>
    <w:rsid w:val="361B0C42"/>
    <w:rsid w:val="366754AB"/>
    <w:rsid w:val="36753BF9"/>
    <w:rsid w:val="36873BAC"/>
    <w:rsid w:val="369B1C26"/>
    <w:rsid w:val="369B739F"/>
    <w:rsid w:val="369E4A52"/>
    <w:rsid w:val="36AA33F6"/>
    <w:rsid w:val="36B95E63"/>
    <w:rsid w:val="36BD11DA"/>
    <w:rsid w:val="36CE3FBF"/>
    <w:rsid w:val="36E0150E"/>
    <w:rsid w:val="36EC2893"/>
    <w:rsid w:val="37023232"/>
    <w:rsid w:val="37176727"/>
    <w:rsid w:val="37270EEB"/>
    <w:rsid w:val="37296A11"/>
    <w:rsid w:val="37404D66"/>
    <w:rsid w:val="374750E9"/>
    <w:rsid w:val="374C137A"/>
    <w:rsid w:val="378400EB"/>
    <w:rsid w:val="37C07B1C"/>
    <w:rsid w:val="37E312B6"/>
    <w:rsid w:val="37ED5899"/>
    <w:rsid w:val="37FB3D3C"/>
    <w:rsid w:val="382C6504"/>
    <w:rsid w:val="382E7B37"/>
    <w:rsid w:val="3848736B"/>
    <w:rsid w:val="38512329"/>
    <w:rsid w:val="386046B4"/>
    <w:rsid w:val="387C7014"/>
    <w:rsid w:val="38904F84"/>
    <w:rsid w:val="38A65E3F"/>
    <w:rsid w:val="38E321C8"/>
    <w:rsid w:val="38EB631B"/>
    <w:rsid w:val="38F372D7"/>
    <w:rsid w:val="38F566EC"/>
    <w:rsid w:val="391E1E7A"/>
    <w:rsid w:val="392A6A70"/>
    <w:rsid w:val="392E6561"/>
    <w:rsid w:val="39365BED"/>
    <w:rsid w:val="395732EF"/>
    <w:rsid w:val="396D2EF0"/>
    <w:rsid w:val="39895909"/>
    <w:rsid w:val="3995038E"/>
    <w:rsid w:val="39981C2C"/>
    <w:rsid w:val="39A4356C"/>
    <w:rsid w:val="39D55FF8"/>
    <w:rsid w:val="39FE4185"/>
    <w:rsid w:val="3A041A9A"/>
    <w:rsid w:val="3A1714B2"/>
    <w:rsid w:val="3A1944AD"/>
    <w:rsid w:val="3A235B6E"/>
    <w:rsid w:val="3A377697"/>
    <w:rsid w:val="3A3A5DC4"/>
    <w:rsid w:val="3A683CF4"/>
    <w:rsid w:val="3A695377"/>
    <w:rsid w:val="3A75715F"/>
    <w:rsid w:val="3A7E0E9C"/>
    <w:rsid w:val="3AA21D55"/>
    <w:rsid w:val="3AA42CDA"/>
    <w:rsid w:val="3ACC6031"/>
    <w:rsid w:val="3AD37316"/>
    <w:rsid w:val="3AEA6013"/>
    <w:rsid w:val="3AF6663D"/>
    <w:rsid w:val="3B176B54"/>
    <w:rsid w:val="3B1A3AF1"/>
    <w:rsid w:val="3B556027"/>
    <w:rsid w:val="3B6547D3"/>
    <w:rsid w:val="3BA548F3"/>
    <w:rsid w:val="3BAA2C3A"/>
    <w:rsid w:val="3BC44F5A"/>
    <w:rsid w:val="3BD4795A"/>
    <w:rsid w:val="3BFA549D"/>
    <w:rsid w:val="3BFB6994"/>
    <w:rsid w:val="3C1250CC"/>
    <w:rsid w:val="3C2854E9"/>
    <w:rsid w:val="3C2D124D"/>
    <w:rsid w:val="3C4165AB"/>
    <w:rsid w:val="3C556055"/>
    <w:rsid w:val="3C830972"/>
    <w:rsid w:val="3C886C7E"/>
    <w:rsid w:val="3C973023"/>
    <w:rsid w:val="3CA52FDE"/>
    <w:rsid w:val="3CAC7CC8"/>
    <w:rsid w:val="3CAD324B"/>
    <w:rsid w:val="3CBE2F7F"/>
    <w:rsid w:val="3CC55133"/>
    <w:rsid w:val="3D2757A1"/>
    <w:rsid w:val="3D4D0D5E"/>
    <w:rsid w:val="3D5A3DC8"/>
    <w:rsid w:val="3D786894"/>
    <w:rsid w:val="3D7D263D"/>
    <w:rsid w:val="3D932E36"/>
    <w:rsid w:val="3D9646D4"/>
    <w:rsid w:val="3DB80AEF"/>
    <w:rsid w:val="3DB9219A"/>
    <w:rsid w:val="3DBD311F"/>
    <w:rsid w:val="3DBE3F84"/>
    <w:rsid w:val="3DDB1067"/>
    <w:rsid w:val="3DE67F9A"/>
    <w:rsid w:val="3E534BC2"/>
    <w:rsid w:val="3E582C65"/>
    <w:rsid w:val="3E5E1696"/>
    <w:rsid w:val="3E683F2A"/>
    <w:rsid w:val="3E774506"/>
    <w:rsid w:val="3E904F2C"/>
    <w:rsid w:val="3E9055C8"/>
    <w:rsid w:val="3E911D3D"/>
    <w:rsid w:val="3EC61739"/>
    <w:rsid w:val="3ED41958"/>
    <w:rsid w:val="3EE719CC"/>
    <w:rsid w:val="3EED6576"/>
    <w:rsid w:val="3EFB14C6"/>
    <w:rsid w:val="3F062386"/>
    <w:rsid w:val="3F0A5895"/>
    <w:rsid w:val="3F1C1719"/>
    <w:rsid w:val="3F253F62"/>
    <w:rsid w:val="3F2C2D48"/>
    <w:rsid w:val="3F2D72BA"/>
    <w:rsid w:val="3F42776D"/>
    <w:rsid w:val="3F4E170B"/>
    <w:rsid w:val="3F6E3B5B"/>
    <w:rsid w:val="3F89006D"/>
    <w:rsid w:val="3FA66610"/>
    <w:rsid w:val="3FA96941"/>
    <w:rsid w:val="3FC47810"/>
    <w:rsid w:val="3FE1127E"/>
    <w:rsid w:val="3FF14667"/>
    <w:rsid w:val="4009481A"/>
    <w:rsid w:val="401E31BF"/>
    <w:rsid w:val="405C1A5F"/>
    <w:rsid w:val="40810433"/>
    <w:rsid w:val="409672FB"/>
    <w:rsid w:val="40AE762D"/>
    <w:rsid w:val="40C33F68"/>
    <w:rsid w:val="40C90B3F"/>
    <w:rsid w:val="40E90910"/>
    <w:rsid w:val="40EB6FE9"/>
    <w:rsid w:val="41313477"/>
    <w:rsid w:val="41410DFB"/>
    <w:rsid w:val="414A4DB7"/>
    <w:rsid w:val="41560B72"/>
    <w:rsid w:val="41571E7B"/>
    <w:rsid w:val="415B28B8"/>
    <w:rsid w:val="417B7C89"/>
    <w:rsid w:val="41801923"/>
    <w:rsid w:val="418D6647"/>
    <w:rsid w:val="419F70A0"/>
    <w:rsid w:val="41CB5A31"/>
    <w:rsid w:val="41FD2F74"/>
    <w:rsid w:val="41FF76F5"/>
    <w:rsid w:val="42072F7D"/>
    <w:rsid w:val="420C64FE"/>
    <w:rsid w:val="421107CE"/>
    <w:rsid w:val="421B6974"/>
    <w:rsid w:val="422229DB"/>
    <w:rsid w:val="42415965"/>
    <w:rsid w:val="42703746"/>
    <w:rsid w:val="42734B21"/>
    <w:rsid w:val="42843BD2"/>
    <w:rsid w:val="42997141"/>
    <w:rsid w:val="42B17904"/>
    <w:rsid w:val="42B51AA1"/>
    <w:rsid w:val="42CF2B62"/>
    <w:rsid w:val="42F75C15"/>
    <w:rsid w:val="4300323D"/>
    <w:rsid w:val="43052F92"/>
    <w:rsid w:val="431C567C"/>
    <w:rsid w:val="434F77FF"/>
    <w:rsid w:val="43505313"/>
    <w:rsid w:val="43555FBF"/>
    <w:rsid w:val="437F2153"/>
    <w:rsid w:val="43AC15BA"/>
    <w:rsid w:val="43AD2778"/>
    <w:rsid w:val="43B05365"/>
    <w:rsid w:val="43C156DA"/>
    <w:rsid w:val="43D67F21"/>
    <w:rsid w:val="43E837B0"/>
    <w:rsid w:val="442778D7"/>
    <w:rsid w:val="442F6B74"/>
    <w:rsid w:val="444B56D1"/>
    <w:rsid w:val="444D132B"/>
    <w:rsid w:val="446763F9"/>
    <w:rsid w:val="447B48FF"/>
    <w:rsid w:val="44A40D42"/>
    <w:rsid w:val="44A92F3F"/>
    <w:rsid w:val="44BB52FF"/>
    <w:rsid w:val="44D658C9"/>
    <w:rsid w:val="44D9323B"/>
    <w:rsid w:val="44DF2E05"/>
    <w:rsid w:val="44FD5A52"/>
    <w:rsid w:val="45036AF3"/>
    <w:rsid w:val="45126D36"/>
    <w:rsid w:val="451F7738"/>
    <w:rsid w:val="45281C10"/>
    <w:rsid w:val="45367494"/>
    <w:rsid w:val="45375E5B"/>
    <w:rsid w:val="45592BB7"/>
    <w:rsid w:val="455B11FA"/>
    <w:rsid w:val="45682DFA"/>
    <w:rsid w:val="457847A0"/>
    <w:rsid w:val="457F34E4"/>
    <w:rsid w:val="45811A13"/>
    <w:rsid w:val="458D2861"/>
    <w:rsid w:val="45922779"/>
    <w:rsid w:val="45986A36"/>
    <w:rsid w:val="459D4DD2"/>
    <w:rsid w:val="45A353F2"/>
    <w:rsid w:val="45C20653"/>
    <w:rsid w:val="45EB4900"/>
    <w:rsid w:val="45FF47F0"/>
    <w:rsid w:val="460960BC"/>
    <w:rsid w:val="461940F5"/>
    <w:rsid w:val="46241A0F"/>
    <w:rsid w:val="462C3E28"/>
    <w:rsid w:val="46303A88"/>
    <w:rsid w:val="46342CDD"/>
    <w:rsid w:val="464253F9"/>
    <w:rsid w:val="464E0242"/>
    <w:rsid w:val="465A1C7B"/>
    <w:rsid w:val="465E6322"/>
    <w:rsid w:val="467B7B0D"/>
    <w:rsid w:val="46BF14ED"/>
    <w:rsid w:val="46C64056"/>
    <w:rsid w:val="46D71FE6"/>
    <w:rsid w:val="46E22739"/>
    <w:rsid w:val="46E6575F"/>
    <w:rsid w:val="46E82445"/>
    <w:rsid w:val="46F74436"/>
    <w:rsid w:val="46FA2F17"/>
    <w:rsid w:val="46FC1253"/>
    <w:rsid w:val="4703102D"/>
    <w:rsid w:val="4723347D"/>
    <w:rsid w:val="47596E9F"/>
    <w:rsid w:val="475B1636"/>
    <w:rsid w:val="475B1642"/>
    <w:rsid w:val="47800ECE"/>
    <w:rsid w:val="479F2405"/>
    <w:rsid w:val="47BA5463"/>
    <w:rsid w:val="47D46525"/>
    <w:rsid w:val="48053C7E"/>
    <w:rsid w:val="480F57AF"/>
    <w:rsid w:val="48286871"/>
    <w:rsid w:val="486F19CC"/>
    <w:rsid w:val="48943F06"/>
    <w:rsid w:val="48BB7EDC"/>
    <w:rsid w:val="48BD345D"/>
    <w:rsid w:val="48BE1AC7"/>
    <w:rsid w:val="48C91E02"/>
    <w:rsid w:val="48CA19D1"/>
    <w:rsid w:val="48D16C6E"/>
    <w:rsid w:val="48E629B4"/>
    <w:rsid w:val="48E63F75"/>
    <w:rsid w:val="49331BA1"/>
    <w:rsid w:val="495468E5"/>
    <w:rsid w:val="496F0653"/>
    <w:rsid w:val="497A134E"/>
    <w:rsid w:val="49EE4CC3"/>
    <w:rsid w:val="4A0518B9"/>
    <w:rsid w:val="4A095D85"/>
    <w:rsid w:val="4A145D21"/>
    <w:rsid w:val="4A227A1C"/>
    <w:rsid w:val="4A3E2B7F"/>
    <w:rsid w:val="4A4C4A99"/>
    <w:rsid w:val="4A58790A"/>
    <w:rsid w:val="4A630FB1"/>
    <w:rsid w:val="4A7519D3"/>
    <w:rsid w:val="4A835FE1"/>
    <w:rsid w:val="4AD7199F"/>
    <w:rsid w:val="4ADE279D"/>
    <w:rsid w:val="4AF76EC2"/>
    <w:rsid w:val="4AFB0936"/>
    <w:rsid w:val="4B014DB7"/>
    <w:rsid w:val="4B040FB2"/>
    <w:rsid w:val="4B06733D"/>
    <w:rsid w:val="4B107F25"/>
    <w:rsid w:val="4B517E8D"/>
    <w:rsid w:val="4B756271"/>
    <w:rsid w:val="4BA13982"/>
    <w:rsid w:val="4BB06DB8"/>
    <w:rsid w:val="4BBA4483"/>
    <w:rsid w:val="4BCC4733"/>
    <w:rsid w:val="4BD41354"/>
    <w:rsid w:val="4BD42F98"/>
    <w:rsid w:val="4C101AF6"/>
    <w:rsid w:val="4C1F546B"/>
    <w:rsid w:val="4C32039C"/>
    <w:rsid w:val="4C4C2744"/>
    <w:rsid w:val="4C4E4E5E"/>
    <w:rsid w:val="4C4F6AC2"/>
    <w:rsid w:val="4C673E0C"/>
    <w:rsid w:val="4C681932"/>
    <w:rsid w:val="4C924171"/>
    <w:rsid w:val="4C9241D9"/>
    <w:rsid w:val="4C9269AF"/>
    <w:rsid w:val="4C934C01"/>
    <w:rsid w:val="4CAE2D8B"/>
    <w:rsid w:val="4CCA5657"/>
    <w:rsid w:val="4CD34FFD"/>
    <w:rsid w:val="4CDE4BDB"/>
    <w:rsid w:val="4CE076EB"/>
    <w:rsid w:val="4D0E4287"/>
    <w:rsid w:val="4D30575A"/>
    <w:rsid w:val="4D3B091F"/>
    <w:rsid w:val="4D3C7046"/>
    <w:rsid w:val="4D413338"/>
    <w:rsid w:val="4D675EDB"/>
    <w:rsid w:val="4D897DB2"/>
    <w:rsid w:val="4D924EB8"/>
    <w:rsid w:val="4DA61D05"/>
    <w:rsid w:val="4DAD3AA0"/>
    <w:rsid w:val="4DB41D5F"/>
    <w:rsid w:val="4DC96400"/>
    <w:rsid w:val="4DE4148C"/>
    <w:rsid w:val="4E015B9A"/>
    <w:rsid w:val="4E146D0E"/>
    <w:rsid w:val="4E152BE6"/>
    <w:rsid w:val="4E1C315D"/>
    <w:rsid w:val="4E203E45"/>
    <w:rsid w:val="4E224F4B"/>
    <w:rsid w:val="4E2D4CA9"/>
    <w:rsid w:val="4E424566"/>
    <w:rsid w:val="4E4812DB"/>
    <w:rsid w:val="4E4B5AA0"/>
    <w:rsid w:val="4E571C5E"/>
    <w:rsid w:val="4E5E2FEC"/>
    <w:rsid w:val="4E83512E"/>
    <w:rsid w:val="4EA02D52"/>
    <w:rsid w:val="4EBF6917"/>
    <w:rsid w:val="4EC47B64"/>
    <w:rsid w:val="4EC72940"/>
    <w:rsid w:val="4ECC43FA"/>
    <w:rsid w:val="4ED603EE"/>
    <w:rsid w:val="4EDB0D1F"/>
    <w:rsid w:val="4EDB63EB"/>
    <w:rsid w:val="4EEC23A6"/>
    <w:rsid w:val="4F2A2ECF"/>
    <w:rsid w:val="4F2E29BF"/>
    <w:rsid w:val="4F3B50DC"/>
    <w:rsid w:val="4F495A4B"/>
    <w:rsid w:val="4F4F0A39"/>
    <w:rsid w:val="4F7C5E20"/>
    <w:rsid w:val="4FD712A8"/>
    <w:rsid w:val="50025BF9"/>
    <w:rsid w:val="5012408F"/>
    <w:rsid w:val="502B6EFE"/>
    <w:rsid w:val="5030468B"/>
    <w:rsid w:val="503675D1"/>
    <w:rsid w:val="50384490"/>
    <w:rsid w:val="50540473"/>
    <w:rsid w:val="50697210"/>
    <w:rsid w:val="5079410E"/>
    <w:rsid w:val="508C359C"/>
    <w:rsid w:val="509F5F83"/>
    <w:rsid w:val="50F46DCC"/>
    <w:rsid w:val="50FA5635"/>
    <w:rsid w:val="511856D5"/>
    <w:rsid w:val="511B51C5"/>
    <w:rsid w:val="511C2EB9"/>
    <w:rsid w:val="5124051D"/>
    <w:rsid w:val="512F2A1E"/>
    <w:rsid w:val="51391784"/>
    <w:rsid w:val="513D38B6"/>
    <w:rsid w:val="51581F75"/>
    <w:rsid w:val="51612A46"/>
    <w:rsid w:val="51772B2B"/>
    <w:rsid w:val="51AE18CA"/>
    <w:rsid w:val="51B75E38"/>
    <w:rsid w:val="51BC6678"/>
    <w:rsid w:val="51C5755B"/>
    <w:rsid w:val="51CE781B"/>
    <w:rsid w:val="51E657D3"/>
    <w:rsid w:val="522462FB"/>
    <w:rsid w:val="52612F1E"/>
    <w:rsid w:val="52AB2578"/>
    <w:rsid w:val="52BB415A"/>
    <w:rsid w:val="52DB3467"/>
    <w:rsid w:val="530E3233"/>
    <w:rsid w:val="532540D9"/>
    <w:rsid w:val="53281E1B"/>
    <w:rsid w:val="532D7B72"/>
    <w:rsid w:val="533B1B4E"/>
    <w:rsid w:val="53403699"/>
    <w:rsid w:val="534F0C9B"/>
    <w:rsid w:val="537E1DC9"/>
    <w:rsid w:val="53C90F08"/>
    <w:rsid w:val="53DC50DF"/>
    <w:rsid w:val="53F3442D"/>
    <w:rsid w:val="54057813"/>
    <w:rsid w:val="540B1A2E"/>
    <w:rsid w:val="5412080D"/>
    <w:rsid w:val="54411362"/>
    <w:rsid w:val="544D6654"/>
    <w:rsid w:val="54547C25"/>
    <w:rsid w:val="545B6505"/>
    <w:rsid w:val="54933F1F"/>
    <w:rsid w:val="549A694D"/>
    <w:rsid w:val="54A11EB4"/>
    <w:rsid w:val="54A6447C"/>
    <w:rsid w:val="54FA3343"/>
    <w:rsid w:val="55145697"/>
    <w:rsid w:val="552503C0"/>
    <w:rsid w:val="552A0593"/>
    <w:rsid w:val="55603898"/>
    <w:rsid w:val="556919D2"/>
    <w:rsid w:val="55786DF3"/>
    <w:rsid w:val="557944D6"/>
    <w:rsid w:val="558C043F"/>
    <w:rsid w:val="558E065B"/>
    <w:rsid w:val="558F1CDD"/>
    <w:rsid w:val="55A16DE2"/>
    <w:rsid w:val="55A33E57"/>
    <w:rsid w:val="55AC0AE1"/>
    <w:rsid w:val="55B6522E"/>
    <w:rsid w:val="55C0185C"/>
    <w:rsid w:val="55CC1183"/>
    <w:rsid w:val="55DD6EED"/>
    <w:rsid w:val="55E76AFC"/>
    <w:rsid w:val="55F5798E"/>
    <w:rsid w:val="56552EF1"/>
    <w:rsid w:val="56581F0E"/>
    <w:rsid w:val="56743027"/>
    <w:rsid w:val="5681005E"/>
    <w:rsid w:val="569577C7"/>
    <w:rsid w:val="569B45F1"/>
    <w:rsid w:val="56B040AF"/>
    <w:rsid w:val="56B94728"/>
    <w:rsid w:val="56D95906"/>
    <w:rsid w:val="56DF4C61"/>
    <w:rsid w:val="570B7A8A"/>
    <w:rsid w:val="57141815"/>
    <w:rsid w:val="571D488D"/>
    <w:rsid w:val="572C4367"/>
    <w:rsid w:val="57931F59"/>
    <w:rsid w:val="579B705F"/>
    <w:rsid w:val="57A2219C"/>
    <w:rsid w:val="57A8352A"/>
    <w:rsid w:val="57BF2D4E"/>
    <w:rsid w:val="57C42BD2"/>
    <w:rsid w:val="57CA6292"/>
    <w:rsid w:val="57D46B1C"/>
    <w:rsid w:val="57E83060"/>
    <w:rsid w:val="57EA3B43"/>
    <w:rsid w:val="57FB24AF"/>
    <w:rsid w:val="581A0D29"/>
    <w:rsid w:val="581F5768"/>
    <w:rsid w:val="583E0E16"/>
    <w:rsid w:val="58496ABB"/>
    <w:rsid w:val="58580FB7"/>
    <w:rsid w:val="58684AEE"/>
    <w:rsid w:val="587530F2"/>
    <w:rsid w:val="587C43CC"/>
    <w:rsid w:val="587D0513"/>
    <w:rsid w:val="588F375F"/>
    <w:rsid w:val="5898534D"/>
    <w:rsid w:val="58A40196"/>
    <w:rsid w:val="58C074B6"/>
    <w:rsid w:val="58DC16DE"/>
    <w:rsid w:val="58EE6FF9"/>
    <w:rsid w:val="5904145C"/>
    <w:rsid w:val="592554A0"/>
    <w:rsid w:val="592E180D"/>
    <w:rsid w:val="59387D46"/>
    <w:rsid w:val="5949081C"/>
    <w:rsid w:val="59771E25"/>
    <w:rsid w:val="598700A8"/>
    <w:rsid w:val="598B321A"/>
    <w:rsid w:val="59B47051"/>
    <w:rsid w:val="59C81C62"/>
    <w:rsid w:val="59CD5A4A"/>
    <w:rsid w:val="59E925D2"/>
    <w:rsid w:val="5A0C7DA1"/>
    <w:rsid w:val="5A162510"/>
    <w:rsid w:val="5A1F7AD4"/>
    <w:rsid w:val="5A696FA1"/>
    <w:rsid w:val="5ACE769D"/>
    <w:rsid w:val="5ADD2164"/>
    <w:rsid w:val="5B19774E"/>
    <w:rsid w:val="5B3F116D"/>
    <w:rsid w:val="5B527A35"/>
    <w:rsid w:val="5B781C73"/>
    <w:rsid w:val="5B7D784B"/>
    <w:rsid w:val="5B7F45A2"/>
    <w:rsid w:val="5BD248F1"/>
    <w:rsid w:val="5BF742CE"/>
    <w:rsid w:val="5C05719D"/>
    <w:rsid w:val="5C0C50F0"/>
    <w:rsid w:val="5C4A2E02"/>
    <w:rsid w:val="5C530746"/>
    <w:rsid w:val="5C594DF3"/>
    <w:rsid w:val="5C642116"/>
    <w:rsid w:val="5C6A7000"/>
    <w:rsid w:val="5C8059A1"/>
    <w:rsid w:val="5CC93A47"/>
    <w:rsid w:val="5CE07E1D"/>
    <w:rsid w:val="5CEC1141"/>
    <w:rsid w:val="5D0A0C24"/>
    <w:rsid w:val="5D3D17A2"/>
    <w:rsid w:val="5D621292"/>
    <w:rsid w:val="5DA22E1F"/>
    <w:rsid w:val="5DC6517F"/>
    <w:rsid w:val="5DDE5652"/>
    <w:rsid w:val="5DFE3466"/>
    <w:rsid w:val="5E0C65C1"/>
    <w:rsid w:val="5E2002BE"/>
    <w:rsid w:val="5E3E4D98"/>
    <w:rsid w:val="5E4915C3"/>
    <w:rsid w:val="5E554AE4"/>
    <w:rsid w:val="5E7F1E4C"/>
    <w:rsid w:val="5EB05E08"/>
    <w:rsid w:val="5EE25574"/>
    <w:rsid w:val="5F0E6369"/>
    <w:rsid w:val="5F1C5490"/>
    <w:rsid w:val="5F2731DB"/>
    <w:rsid w:val="5F434264"/>
    <w:rsid w:val="5F50072F"/>
    <w:rsid w:val="5F751F44"/>
    <w:rsid w:val="5F9F1AF5"/>
    <w:rsid w:val="5FAA4E53"/>
    <w:rsid w:val="5FDE3F8D"/>
    <w:rsid w:val="5FE62E42"/>
    <w:rsid w:val="5FF145BC"/>
    <w:rsid w:val="5FFD535B"/>
    <w:rsid w:val="60026CA8"/>
    <w:rsid w:val="60340A02"/>
    <w:rsid w:val="603B7746"/>
    <w:rsid w:val="603D5158"/>
    <w:rsid w:val="6044205E"/>
    <w:rsid w:val="604638E0"/>
    <w:rsid w:val="6048560F"/>
    <w:rsid w:val="608363D1"/>
    <w:rsid w:val="60876579"/>
    <w:rsid w:val="6090729E"/>
    <w:rsid w:val="60980A56"/>
    <w:rsid w:val="60C60DF5"/>
    <w:rsid w:val="60E23609"/>
    <w:rsid w:val="60E3042B"/>
    <w:rsid w:val="61070F6D"/>
    <w:rsid w:val="612D5A66"/>
    <w:rsid w:val="6131633F"/>
    <w:rsid w:val="6146003C"/>
    <w:rsid w:val="61521DAB"/>
    <w:rsid w:val="6171504A"/>
    <w:rsid w:val="61811074"/>
    <w:rsid w:val="61860438"/>
    <w:rsid w:val="61907509"/>
    <w:rsid w:val="61962114"/>
    <w:rsid w:val="61AB1046"/>
    <w:rsid w:val="61AE2690"/>
    <w:rsid w:val="61CD465C"/>
    <w:rsid w:val="61EA4E6B"/>
    <w:rsid w:val="61F65E83"/>
    <w:rsid w:val="61F96E5C"/>
    <w:rsid w:val="61FC694D"/>
    <w:rsid w:val="62131E29"/>
    <w:rsid w:val="622532E5"/>
    <w:rsid w:val="62302A18"/>
    <w:rsid w:val="62436329"/>
    <w:rsid w:val="62485429"/>
    <w:rsid w:val="625000DD"/>
    <w:rsid w:val="627729BD"/>
    <w:rsid w:val="627A5057"/>
    <w:rsid w:val="62A212A2"/>
    <w:rsid w:val="62A274F4"/>
    <w:rsid w:val="62C95C8A"/>
    <w:rsid w:val="62D56107"/>
    <w:rsid w:val="62D60F4C"/>
    <w:rsid w:val="62DD7F01"/>
    <w:rsid w:val="630B3168"/>
    <w:rsid w:val="633D147A"/>
    <w:rsid w:val="634B193A"/>
    <w:rsid w:val="634E7E04"/>
    <w:rsid w:val="635C295A"/>
    <w:rsid w:val="635D3BD6"/>
    <w:rsid w:val="6368271D"/>
    <w:rsid w:val="637013A0"/>
    <w:rsid w:val="637D1D0F"/>
    <w:rsid w:val="638853C9"/>
    <w:rsid w:val="638F2C01"/>
    <w:rsid w:val="63906262"/>
    <w:rsid w:val="63BC6393"/>
    <w:rsid w:val="63BF40D6"/>
    <w:rsid w:val="63CC1F45"/>
    <w:rsid w:val="63F465B9"/>
    <w:rsid w:val="641B0143"/>
    <w:rsid w:val="642A16AE"/>
    <w:rsid w:val="643A0529"/>
    <w:rsid w:val="6472739A"/>
    <w:rsid w:val="648F78A0"/>
    <w:rsid w:val="64910871"/>
    <w:rsid w:val="649965F2"/>
    <w:rsid w:val="64A20939"/>
    <w:rsid w:val="64B41760"/>
    <w:rsid w:val="64D67FEA"/>
    <w:rsid w:val="64EC4654"/>
    <w:rsid w:val="64F16511"/>
    <w:rsid w:val="65085608"/>
    <w:rsid w:val="65311CBD"/>
    <w:rsid w:val="653A1C66"/>
    <w:rsid w:val="653F727C"/>
    <w:rsid w:val="65607CAE"/>
    <w:rsid w:val="656D0202"/>
    <w:rsid w:val="65716E00"/>
    <w:rsid w:val="658166E9"/>
    <w:rsid w:val="65817895"/>
    <w:rsid w:val="6598479E"/>
    <w:rsid w:val="65A842A2"/>
    <w:rsid w:val="65B25CA0"/>
    <w:rsid w:val="65B85280"/>
    <w:rsid w:val="65D379C4"/>
    <w:rsid w:val="66306D14"/>
    <w:rsid w:val="664B1055"/>
    <w:rsid w:val="664F13E5"/>
    <w:rsid w:val="664F7DBA"/>
    <w:rsid w:val="665E7BD6"/>
    <w:rsid w:val="66612BA8"/>
    <w:rsid w:val="6695111E"/>
    <w:rsid w:val="66B5531C"/>
    <w:rsid w:val="66BF1B5F"/>
    <w:rsid w:val="66FE4F15"/>
    <w:rsid w:val="67112E9A"/>
    <w:rsid w:val="67154518"/>
    <w:rsid w:val="674C7A2E"/>
    <w:rsid w:val="678F3DBF"/>
    <w:rsid w:val="67957182"/>
    <w:rsid w:val="67CB00B6"/>
    <w:rsid w:val="67D7311C"/>
    <w:rsid w:val="67F31013"/>
    <w:rsid w:val="68097EB5"/>
    <w:rsid w:val="680B1697"/>
    <w:rsid w:val="6812125B"/>
    <w:rsid w:val="68262975"/>
    <w:rsid w:val="683E38D4"/>
    <w:rsid w:val="68425130"/>
    <w:rsid w:val="68464DC5"/>
    <w:rsid w:val="685257B7"/>
    <w:rsid w:val="686A1038"/>
    <w:rsid w:val="686E2A42"/>
    <w:rsid w:val="687A24AE"/>
    <w:rsid w:val="689C20DC"/>
    <w:rsid w:val="689C3E04"/>
    <w:rsid w:val="689F6BEB"/>
    <w:rsid w:val="68B0298D"/>
    <w:rsid w:val="68BC03CD"/>
    <w:rsid w:val="68CB0FAF"/>
    <w:rsid w:val="691602F4"/>
    <w:rsid w:val="692A062E"/>
    <w:rsid w:val="694A3FCB"/>
    <w:rsid w:val="69535ADA"/>
    <w:rsid w:val="695E1C9B"/>
    <w:rsid w:val="69707BA9"/>
    <w:rsid w:val="69900F8C"/>
    <w:rsid w:val="69977D10"/>
    <w:rsid w:val="69B34AB5"/>
    <w:rsid w:val="69BD1270"/>
    <w:rsid w:val="69DA16C4"/>
    <w:rsid w:val="69DC3A7E"/>
    <w:rsid w:val="69E568B5"/>
    <w:rsid w:val="69E71C90"/>
    <w:rsid w:val="69E80EAC"/>
    <w:rsid w:val="69FC427E"/>
    <w:rsid w:val="6A1B69D6"/>
    <w:rsid w:val="6A2E78BF"/>
    <w:rsid w:val="6A3C1FDC"/>
    <w:rsid w:val="6A462E5B"/>
    <w:rsid w:val="6A62349D"/>
    <w:rsid w:val="6A8A36D6"/>
    <w:rsid w:val="6ABC6BD6"/>
    <w:rsid w:val="6AC16985"/>
    <w:rsid w:val="6AC709BE"/>
    <w:rsid w:val="6B077BD1"/>
    <w:rsid w:val="6B1765A5"/>
    <w:rsid w:val="6B177FC7"/>
    <w:rsid w:val="6B19546A"/>
    <w:rsid w:val="6B317667"/>
    <w:rsid w:val="6B46267A"/>
    <w:rsid w:val="6B613F56"/>
    <w:rsid w:val="6B621F16"/>
    <w:rsid w:val="6B6978AC"/>
    <w:rsid w:val="6B824366"/>
    <w:rsid w:val="6BA0659B"/>
    <w:rsid w:val="6BB12556"/>
    <w:rsid w:val="6BB32155"/>
    <w:rsid w:val="6BB77467"/>
    <w:rsid w:val="6BE835A9"/>
    <w:rsid w:val="6C0407D9"/>
    <w:rsid w:val="6C223454"/>
    <w:rsid w:val="6C2471CC"/>
    <w:rsid w:val="6C54194D"/>
    <w:rsid w:val="6CEC57A5"/>
    <w:rsid w:val="6CFC710B"/>
    <w:rsid w:val="6D0A63C2"/>
    <w:rsid w:val="6D0D3AC3"/>
    <w:rsid w:val="6D0E2A1B"/>
    <w:rsid w:val="6D2D0302"/>
    <w:rsid w:val="6D527D69"/>
    <w:rsid w:val="6D6526B8"/>
    <w:rsid w:val="6D986FCA"/>
    <w:rsid w:val="6DAD5461"/>
    <w:rsid w:val="6DBE0F5A"/>
    <w:rsid w:val="6DC5678C"/>
    <w:rsid w:val="6DF26DC9"/>
    <w:rsid w:val="6E0A7816"/>
    <w:rsid w:val="6E0E3C8F"/>
    <w:rsid w:val="6E1E6CF4"/>
    <w:rsid w:val="6E3909F4"/>
    <w:rsid w:val="6E3E054B"/>
    <w:rsid w:val="6E8C2E06"/>
    <w:rsid w:val="6EAD7350"/>
    <w:rsid w:val="6F097400"/>
    <w:rsid w:val="6F250433"/>
    <w:rsid w:val="6F6600C1"/>
    <w:rsid w:val="6F6A770B"/>
    <w:rsid w:val="6F6F723A"/>
    <w:rsid w:val="6F7E35BE"/>
    <w:rsid w:val="6F830FE7"/>
    <w:rsid w:val="6F9208F0"/>
    <w:rsid w:val="6F9D2906"/>
    <w:rsid w:val="6FA046F1"/>
    <w:rsid w:val="6FBB7D0C"/>
    <w:rsid w:val="6FBE7937"/>
    <w:rsid w:val="6FC50DC7"/>
    <w:rsid w:val="6FDC16BA"/>
    <w:rsid w:val="6FF27C19"/>
    <w:rsid w:val="700A3F6D"/>
    <w:rsid w:val="70293003"/>
    <w:rsid w:val="706202C3"/>
    <w:rsid w:val="706F7915"/>
    <w:rsid w:val="707513EF"/>
    <w:rsid w:val="70A74260"/>
    <w:rsid w:val="70A93AEA"/>
    <w:rsid w:val="70B63C4E"/>
    <w:rsid w:val="70B7060E"/>
    <w:rsid w:val="70BA1EAD"/>
    <w:rsid w:val="70C43D1A"/>
    <w:rsid w:val="70CC0E40"/>
    <w:rsid w:val="70D23FCC"/>
    <w:rsid w:val="70EB4587"/>
    <w:rsid w:val="70EB50D1"/>
    <w:rsid w:val="71061F26"/>
    <w:rsid w:val="710B08D3"/>
    <w:rsid w:val="711202DA"/>
    <w:rsid w:val="712839BA"/>
    <w:rsid w:val="71287D44"/>
    <w:rsid w:val="71300AFA"/>
    <w:rsid w:val="714B6FA9"/>
    <w:rsid w:val="716562BC"/>
    <w:rsid w:val="716A5126"/>
    <w:rsid w:val="71796B75"/>
    <w:rsid w:val="717C3606"/>
    <w:rsid w:val="71866233"/>
    <w:rsid w:val="71881FAB"/>
    <w:rsid w:val="71944BCE"/>
    <w:rsid w:val="71964BB2"/>
    <w:rsid w:val="71A66149"/>
    <w:rsid w:val="71DC62F5"/>
    <w:rsid w:val="71DF3877"/>
    <w:rsid w:val="71F94C57"/>
    <w:rsid w:val="720D4729"/>
    <w:rsid w:val="72143A86"/>
    <w:rsid w:val="72294E91"/>
    <w:rsid w:val="72361A07"/>
    <w:rsid w:val="7249173A"/>
    <w:rsid w:val="725549C1"/>
    <w:rsid w:val="72563136"/>
    <w:rsid w:val="7257109D"/>
    <w:rsid w:val="726D1462"/>
    <w:rsid w:val="727E762B"/>
    <w:rsid w:val="72864AB1"/>
    <w:rsid w:val="72AE315C"/>
    <w:rsid w:val="72AF46AD"/>
    <w:rsid w:val="72BE0C98"/>
    <w:rsid w:val="72BF19FC"/>
    <w:rsid w:val="72EF6671"/>
    <w:rsid w:val="73326672"/>
    <w:rsid w:val="73660D5D"/>
    <w:rsid w:val="7372081D"/>
    <w:rsid w:val="73877A65"/>
    <w:rsid w:val="73894DC1"/>
    <w:rsid w:val="739D4008"/>
    <w:rsid w:val="73A15439"/>
    <w:rsid w:val="73A429A0"/>
    <w:rsid w:val="73A806E2"/>
    <w:rsid w:val="73C53042"/>
    <w:rsid w:val="73C90867"/>
    <w:rsid w:val="73D22833"/>
    <w:rsid w:val="73E76CA0"/>
    <w:rsid w:val="744B3D4C"/>
    <w:rsid w:val="7467237E"/>
    <w:rsid w:val="746D4A6F"/>
    <w:rsid w:val="747F700B"/>
    <w:rsid w:val="74813359"/>
    <w:rsid w:val="749018A2"/>
    <w:rsid w:val="74B8390C"/>
    <w:rsid w:val="74BD58E3"/>
    <w:rsid w:val="74CA4688"/>
    <w:rsid w:val="750202C6"/>
    <w:rsid w:val="7546337F"/>
    <w:rsid w:val="75575F1C"/>
    <w:rsid w:val="7565081D"/>
    <w:rsid w:val="756B19C7"/>
    <w:rsid w:val="757A60AE"/>
    <w:rsid w:val="75902036"/>
    <w:rsid w:val="75983717"/>
    <w:rsid w:val="75AA0651"/>
    <w:rsid w:val="75AC1FED"/>
    <w:rsid w:val="75C65F01"/>
    <w:rsid w:val="75F41B02"/>
    <w:rsid w:val="760836BA"/>
    <w:rsid w:val="76290390"/>
    <w:rsid w:val="762C7EDF"/>
    <w:rsid w:val="763F6A80"/>
    <w:rsid w:val="76400D44"/>
    <w:rsid w:val="764014B5"/>
    <w:rsid w:val="765B285F"/>
    <w:rsid w:val="76654669"/>
    <w:rsid w:val="76860973"/>
    <w:rsid w:val="76966F18"/>
    <w:rsid w:val="76A01B45"/>
    <w:rsid w:val="76A9033B"/>
    <w:rsid w:val="76BD06C9"/>
    <w:rsid w:val="76BD4232"/>
    <w:rsid w:val="76E41157"/>
    <w:rsid w:val="7718792D"/>
    <w:rsid w:val="77291B3A"/>
    <w:rsid w:val="773301BF"/>
    <w:rsid w:val="773D6EF4"/>
    <w:rsid w:val="774150D6"/>
    <w:rsid w:val="775C4879"/>
    <w:rsid w:val="77757724"/>
    <w:rsid w:val="778F6F79"/>
    <w:rsid w:val="77B708BA"/>
    <w:rsid w:val="77B764C5"/>
    <w:rsid w:val="77C17FC5"/>
    <w:rsid w:val="77E250AD"/>
    <w:rsid w:val="782C432F"/>
    <w:rsid w:val="78564BB1"/>
    <w:rsid w:val="78760DAF"/>
    <w:rsid w:val="78A75E67"/>
    <w:rsid w:val="78BF024C"/>
    <w:rsid w:val="78CC11E9"/>
    <w:rsid w:val="78D350B2"/>
    <w:rsid w:val="78F93787"/>
    <w:rsid w:val="7931273F"/>
    <w:rsid w:val="79393B8B"/>
    <w:rsid w:val="793F73F3"/>
    <w:rsid w:val="7950681C"/>
    <w:rsid w:val="798526BF"/>
    <w:rsid w:val="79BB2FBE"/>
    <w:rsid w:val="79D00993"/>
    <w:rsid w:val="79D0629D"/>
    <w:rsid w:val="79F76A7E"/>
    <w:rsid w:val="7A0A5C53"/>
    <w:rsid w:val="7A432F13"/>
    <w:rsid w:val="7A601D17"/>
    <w:rsid w:val="7A684E53"/>
    <w:rsid w:val="7A78473D"/>
    <w:rsid w:val="7A8F26F0"/>
    <w:rsid w:val="7AB705A7"/>
    <w:rsid w:val="7ABA37B7"/>
    <w:rsid w:val="7B230961"/>
    <w:rsid w:val="7B31700F"/>
    <w:rsid w:val="7B350BB3"/>
    <w:rsid w:val="7B424F78"/>
    <w:rsid w:val="7B767318"/>
    <w:rsid w:val="7B863568"/>
    <w:rsid w:val="7B8707E1"/>
    <w:rsid w:val="7B9003DA"/>
    <w:rsid w:val="7BDA3A46"/>
    <w:rsid w:val="7BDD546D"/>
    <w:rsid w:val="7BF4022C"/>
    <w:rsid w:val="7C1C5187"/>
    <w:rsid w:val="7C240B22"/>
    <w:rsid w:val="7C5D4D89"/>
    <w:rsid w:val="7C63164A"/>
    <w:rsid w:val="7C8F68E3"/>
    <w:rsid w:val="7C923227"/>
    <w:rsid w:val="7C977546"/>
    <w:rsid w:val="7C9D3FBE"/>
    <w:rsid w:val="7CAF640A"/>
    <w:rsid w:val="7CB776DA"/>
    <w:rsid w:val="7CBF1EE2"/>
    <w:rsid w:val="7CD24A22"/>
    <w:rsid w:val="7CD32D5E"/>
    <w:rsid w:val="7CDC31AB"/>
    <w:rsid w:val="7CDC60CE"/>
    <w:rsid w:val="7CDE6741"/>
    <w:rsid w:val="7D0660BB"/>
    <w:rsid w:val="7D0C4147"/>
    <w:rsid w:val="7D21384A"/>
    <w:rsid w:val="7D8724A6"/>
    <w:rsid w:val="7D8A0E59"/>
    <w:rsid w:val="7D8A2C07"/>
    <w:rsid w:val="7DB008BF"/>
    <w:rsid w:val="7DE652B4"/>
    <w:rsid w:val="7DF4755D"/>
    <w:rsid w:val="7E0D4209"/>
    <w:rsid w:val="7E196BE2"/>
    <w:rsid w:val="7E4C3DC1"/>
    <w:rsid w:val="7E891110"/>
    <w:rsid w:val="7E8A7362"/>
    <w:rsid w:val="7E90249F"/>
    <w:rsid w:val="7E9B156F"/>
    <w:rsid w:val="7EA62E94"/>
    <w:rsid w:val="7EA73190"/>
    <w:rsid w:val="7EC02BB2"/>
    <w:rsid w:val="7ECD1661"/>
    <w:rsid w:val="7ED30C88"/>
    <w:rsid w:val="7F115983"/>
    <w:rsid w:val="7F2506AA"/>
    <w:rsid w:val="7F41310A"/>
    <w:rsid w:val="7F473ACE"/>
    <w:rsid w:val="7F5370A1"/>
    <w:rsid w:val="7F5E7533"/>
    <w:rsid w:val="7F623E3B"/>
    <w:rsid w:val="7F6B4E3B"/>
    <w:rsid w:val="7F7138CD"/>
    <w:rsid w:val="7F767DA4"/>
    <w:rsid w:val="7F78637A"/>
    <w:rsid w:val="7F790A0F"/>
    <w:rsid w:val="7F9E0BEB"/>
    <w:rsid w:val="7FC06DB4"/>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81"/>
    <w:qFormat/>
    <w:uiPriority w:val="0"/>
    <w:pPr>
      <w:keepNext/>
      <w:snapToGrid w:val="0"/>
      <w:spacing w:line="360" w:lineRule="atLeast"/>
      <w:outlineLvl w:val="0"/>
    </w:pPr>
    <w:rPr>
      <w:rFonts w:ascii="宋体"/>
    </w:rPr>
  </w:style>
  <w:style w:type="paragraph" w:styleId="3">
    <w:name w:val="heading 2"/>
    <w:basedOn w:val="1"/>
    <w:next w:val="1"/>
    <w:link w:val="82"/>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8"/>
    <w:qFormat/>
    <w:uiPriority w:val="0"/>
    <w:pPr>
      <w:keepNext/>
      <w:keepLines/>
      <w:spacing w:before="200" w:after="200"/>
      <w:outlineLvl w:val="2"/>
    </w:pPr>
    <w:rPr>
      <w:rFonts w:ascii="Times New Roman" w:hAnsi="Times New Roman" w:eastAsia="宋体"/>
      <w:b/>
      <w:sz w:val="24"/>
      <w:szCs w:val="24"/>
    </w:rPr>
  </w:style>
  <w:style w:type="paragraph" w:styleId="5">
    <w:name w:val="heading 4"/>
    <w:basedOn w:val="1"/>
    <w:next w:val="1"/>
    <w:link w:val="83"/>
    <w:qFormat/>
    <w:uiPriority w:val="0"/>
    <w:pPr>
      <w:keepNext/>
      <w:keepLines/>
      <w:spacing w:before="280" w:after="290" w:line="372" w:lineRule="auto"/>
      <w:outlineLvl w:val="3"/>
    </w:pPr>
    <w:rPr>
      <w:rFonts w:ascii="Arial" w:hAnsi="Arial" w:eastAsia="黑体"/>
      <w:b/>
    </w:rPr>
  </w:style>
  <w:style w:type="paragraph" w:styleId="6">
    <w:name w:val="heading 5"/>
    <w:basedOn w:val="1"/>
    <w:next w:val="1"/>
    <w:link w:val="84"/>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link w:val="85"/>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link w:val="86"/>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link w:val="87"/>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link w:val="88"/>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7">
    <w:name w:val="Default Paragraph Font"/>
    <w:semiHidden/>
    <w:unhideWhenUsed/>
    <w:qFormat/>
    <w:uiPriority w:val="1"/>
  </w:style>
  <w:style w:type="table" w:default="1" w:styleId="65">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39"/>
    <w:pPr>
      <w:ind w:left="2520" w:leftChars="1200"/>
    </w:pPr>
  </w:style>
  <w:style w:type="paragraph" w:styleId="13">
    <w:name w:val="List Number 2"/>
    <w:basedOn w:val="1"/>
    <w:qFormat/>
    <w:uiPriority w:val="0"/>
    <w:pPr>
      <w:numPr>
        <w:ilvl w:val="0"/>
        <w:numId w:val="1"/>
      </w:numPr>
      <w:tabs>
        <w:tab w:val="clear" w:pos="425"/>
      </w:tabs>
      <w:spacing w:line="360" w:lineRule="auto"/>
    </w:pPr>
    <w:rPr>
      <w:sz w:val="24"/>
    </w:rPr>
  </w:style>
  <w:style w:type="paragraph" w:styleId="14">
    <w:name w:val="table of authorities"/>
    <w:basedOn w:val="1"/>
    <w:next w:val="1"/>
    <w:qFormat/>
    <w:uiPriority w:val="0"/>
    <w:pPr>
      <w:ind w:left="420" w:leftChars="200"/>
    </w:p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link w:val="161"/>
    <w:qFormat/>
    <w:uiPriority w:val="0"/>
    <w:pPr>
      <w:adjustRightInd w:val="0"/>
      <w:snapToGrid w:val="0"/>
      <w:spacing w:line="360" w:lineRule="auto"/>
      <w:ind w:firstLine="420"/>
    </w:pPr>
    <w:rPr>
      <w:rFonts w:ascii="Calibri" w:hAnsi="Calibri" w:cs="宋体"/>
      <w:sz w:val="24"/>
      <w:szCs w:val="22"/>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link w:val="91"/>
    <w:qFormat/>
    <w:uiPriority w:val="0"/>
    <w:pPr>
      <w:shd w:val="clear" w:color="auto" w:fill="000080"/>
    </w:pPr>
    <w:rPr>
      <w:rFonts w:ascii="Calibri" w:hAnsi="Calibri" w:cs="宋体"/>
      <w:szCs w:val="22"/>
    </w:r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187"/>
    <w:qFormat/>
    <w:uiPriority w:val="0"/>
    <w:pPr>
      <w:jc w:val="left"/>
    </w:pPr>
  </w:style>
  <w:style w:type="paragraph" w:styleId="21">
    <w:name w:val="Body Text 3"/>
    <w:basedOn w:val="1"/>
    <w:link w:val="94"/>
    <w:qFormat/>
    <w:uiPriority w:val="0"/>
    <w:pPr>
      <w:adjustRightInd w:val="0"/>
      <w:snapToGrid w:val="0"/>
      <w:spacing w:after="120" w:line="360" w:lineRule="auto"/>
    </w:pPr>
    <w:rPr>
      <w:rFonts w:ascii="Calibri" w:hAnsi="Calibri" w:cs="宋体"/>
      <w:sz w:val="16"/>
      <w:szCs w:val="22"/>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w:basedOn w:val="1"/>
    <w:next w:val="1"/>
    <w:link w:val="130"/>
    <w:qFormat/>
    <w:uiPriority w:val="0"/>
    <w:rPr>
      <w:rFonts w:ascii="仿宋_GB2312" w:hAnsi="Calibri" w:eastAsia="仿宋_GB2312" w:cs="宋体"/>
      <w:sz w:val="32"/>
      <w:szCs w:val="22"/>
    </w:rPr>
  </w:style>
  <w:style w:type="paragraph" w:styleId="24">
    <w:name w:val="Body Text Indent"/>
    <w:basedOn w:val="1"/>
    <w:next w:val="25"/>
    <w:link w:val="176"/>
    <w:qFormat/>
    <w:uiPriority w:val="0"/>
    <w:pPr>
      <w:spacing w:after="120"/>
      <w:ind w:left="420" w:leftChars="200"/>
    </w:pPr>
  </w:style>
  <w:style w:type="paragraph" w:styleId="25">
    <w:name w:val="envelope return"/>
    <w:basedOn w:val="1"/>
    <w:qFormat/>
    <w:uiPriority w:val="0"/>
    <w:pPr>
      <w:snapToGrid w:val="0"/>
    </w:pPr>
    <w:rPr>
      <w:rFonts w:ascii="Arial" w:hAnsi="Arial"/>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line="360" w:lineRule="auto"/>
      <w:ind w:left="420" w:leftChars="200"/>
    </w:pPr>
    <w:rPr>
      <w:sz w:val="24"/>
    </w:rPr>
  </w:style>
  <w:style w:type="paragraph" w:styleId="29">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4"/>
    </w:rPr>
  </w:style>
  <w:style w:type="paragraph" w:styleId="30">
    <w:name w:val="List Bullet 2"/>
    <w:basedOn w:val="1"/>
    <w:qFormat/>
    <w:uiPriority w:val="0"/>
    <w:pPr>
      <w:numPr>
        <w:ilvl w:val="0"/>
        <w:numId w:val="3"/>
      </w:numPr>
      <w:adjustRightInd w:val="0"/>
      <w:snapToGrid w:val="0"/>
      <w:spacing w:line="360" w:lineRule="auto"/>
    </w:pPr>
    <w:rPr>
      <w:sz w:val="24"/>
    </w:rPr>
  </w:style>
  <w:style w:type="paragraph" w:styleId="31">
    <w:name w:val="index 4"/>
    <w:basedOn w:val="1"/>
    <w:next w:val="1"/>
    <w:qFormat/>
    <w:uiPriority w:val="0"/>
    <w:pPr>
      <w:ind w:left="600" w:leftChars="600"/>
    </w:pPr>
    <w:rPr>
      <w:rFonts w:ascii="Calibri" w:hAnsi="Calibri"/>
      <w:sz w:val="21"/>
      <w:szCs w:val="24"/>
    </w:rPr>
  </w:style>
  <w:style w:type="paragraph" w:styleId="32">
    <w:name w:val="toc 5"/>
    <w:basedOn w:val="1"/>
    <w:next w:val="1"/>
    <w:qFormat/>
    <w:uiPriority w:val="39"/>
    <w:pPr>
      <w:ind w:left="1680" w:leftChars="800"/>
    </w:pPr>
  </w:style>
  <w:style w:type="paragraph" w:styleId="33">
    <w:name w:val="toc 3"/>
    <w:basedOn w:val="1"/>
    <w:next w:val="1"/>
    <w:qFormat/>
    <w:uiPriority w:val="39"/>
    <w:pPr>
      <w:ind w:left="840" w:leftChars="400"/>
    </w:pPr>
  </w:style>
  <w:style w:type="paragraph" w:styleId="34">
    <w:name w:val="Plain Text"/>
    <w:basedOn w:val="1"/>
    <w:link w:val="164"/>
    <w:qFormat/>
    <w:uiPriority w:val="0"/>
    <w:rPr>
      <w:rFonts w:ascii="宋体" w:hAnsi="Courier New" w:cs="宋体"/>
      <w:sz w:val="21"/>
      <w:szCs w:val="22"/>
    </w:rPr>
  </w:style>
  <w:style w:type="paragraph" w:styleId="35">
    <w:name w:val="toc 8"/>
    <w:basedOn w:val="1"/>
    <w:next w:val="1"/>
    <w:qFormat/>
    <w:uiPriority w:val="39"/>
    <w:pPr>
      <w:ind w:left="2940" w:leftChars="1400"/>
    </w:pPr>
  </w:style>
  <w:style w:type="paragraph" w:styleId="36">
    <w:name w:val="Date"/>
    <w:basedOn w:val="1"/>
    <w:next w:val="1"/>
    <w:link w:val="115"/>
    <w:qFormat/>
    <w:uiPriority w:val="0"/>
    <w:rPr>
      <w:rFonts w:ascii="Calibri" w:hAnsi="Calibri" w:cs="宋体"/>
      <w:szCs w:val="22"/>
    </w:rPr>
  </w:style>
  <w:style w:type="paragraph" w:styleId="37">
    <w:name w:val="Body Text Indent 2"/>
    <w:basedOn w:val="1"/>
    <w:link w:val="154"/>
    <w:qFormat/>
    <w:uiPriority w:val="0"/>
    <w:pPr>
      <w:snapToGrid w:val="0"/>
      <w:spacing w:line="560" w:lineRule="atLeast"/>
      <w:ind w:firstLine="540"/>
    </w:pPr>
    <w:rPr>
      <w:rFonts w:ascii="Calibri" w:hAnsi="Calibri" w:cs="宋体"/>
      <w:szCs w:val="22"/>
    </w:rPr>
  </w:style>
  <w:style w:type="paragraph" w:styleId="38">
    <w:name w:val="endnote text"/>
    <w:basedOn w:val="1"/>
    <w:link w:val="169"/>
    <w:qFormat/>
    <w:uiPriority w:val="0"/>
    <w:pPr>
      <w:widowControl/>
      <w:snapToGrid w:val="0"/>
      <w:jc w:val="left"/>
    </w:pPr>
    <w:rPr>
      <w:rFonts w:ascii="Arial" w:hAnsi="Arial" w:cs="Arial"/>
      <w:sz w:val="21"/>
      <w:szCs w:val="24"/>
      <w:lang w:eastAsia="en-US"/>
    </w:rPr>
  </w:style>
  <w:style w:type="paragraph" w:styleId="39">
    <w:name w:val="Balloon Text"/>
    <w:basedOn w:val="1"/>
    <w:link w:val="99"/>
    <w:qFormat/>
    <w:uiPriority w:val="0"/>
    <w:rPr>
      <w:rFonts w:ascii="Calibri" w:hAnsi="Calibri" w:cs="宋体"/>
      <w:sz w:val="18"/>
      <w:szCs w:val="22"/>
    </w:rPr>
  </w:style>
  <w:style w:type="paragraph" w:styleId="40">
    <w:name w:val="footer"/>
    <w:basedOn w:val="1"/>
    <w:link w:val="168"/>
    <w:qFormat/>
    <w:uiPriority w:val="99"/>
    <w:pPr>
      <w:tabs>
        <w:tab w:val="center" w:pos="4153"/>
        <w:tab w:val="right" w:pos="8306"/>
      </w:tabs>
      <w:snapToGrid w:val="0"/>
      <w:jc w:val="left"/>
    </w:pPr>
    <w:rPr>
      <w:rFonts w:ascii="Calibri" w:hAnsi="Calibri" w:cs="宋体"/>
      <w:sz w:val="18"/>
      <w:szCs w:val="22"/>
    </w:rPr>
  </w:style>
  <w:style w:type="paragraph" w:styleId="41">
    <w:name w:val="header"/>
    <w:basedOn w:val="1"/>
    <w:link w:val="155"/>
    <w:qFormat/>
    <w:uiPriority w:val="99"/>
    <w:pPr>
      <w:pBdr>
        <w:bottom w:val="single" w:color="auto" w:sz="6" w:space="1"/>
      </w:pBdr>
      <w:tabs>
        <w:tab w:val="center" w:pos="4153"/>
        <w:tab w:val="right" w:pos="8306"/>
      </w:tabs>
      <w:snapToGrid w:val="0"/>
      <w:jc w:val="center"/>
    </w:pPr>
    <w:rPr>
      <w:rFonts w:ascii="Calibri" w:hAnsi="Calibri" w:cs="宋体"/>
      <w:sz w:val="18"/>
      <w:szCs w:val="22"/>
    </w:rPr>
  </w:style>
  <w:style w:type="paragraph" w:styleId="42">
    <w:name w:val="toc 1"/>
    <w:basedOn w:val="1"/>
    <w:next w:val="1"/>
    <w:qFormat/>
    <w:uiPriority w:val="39"/>
    <w:pPr>
      <w:spacing w:line="180" w:lineRule="auto"/>
      <w:jc w:val="center"/>
    </w:pPr>
    <w:rPr>
      <w:sz w:val="30"/>
    </w:rPr>
  </w:style>
  <w:style w:type="paragraph" w:styleId="43">
    <w:name w:val="List Continue 4"/>
    <w:basedOn w:val="1"/>
    <w:qFormat/>
    <w:uiPriority w:val="0"/>
    <w:pPr>
      <w:adjustRightInd w:val="0"/>
      <w:snapToGrid w:val="0"/>
      <w:spacing w:after="120" w:line="360" w:lineRule="auto"/>
      <w:ind w:left="1680" w:leftChars="800"/>
    </w:pPr>
    <w:rPr>
      <w:sz w:val="24"/>
    </w:rPr>
  </w:style>
  <w:style w:type="paragraph" w:styleId="44">
    <w:name w:val="toc 4"/>
    <w:basedOn w:val="1"/>
    <w:next w:val="1"/>
    <w:qFormat/>
    <w:uiPriority w:val="39"/>
    <w:pPr>
      <w:ind w:left="1260" w:leftChars="600"/>
    </w:pPr>
  </w:style>
  <w:style w:type="paragraph" w:styleId="45">
    <w:name w:val="Subtitle"/>
    <w:basedOn w:val="1"/>
    <w:next w:val="1"/>
    <w:link w:val="152"/>
    <w:qFormat/>
    <w:uiPriority w:val="0"/>
    <w:pPr>
      <w:spacing w:before="240" w:after="60" w:line="312" w:lineRule="auto"/>
      <w:jc w:val="center"/>
      <w:outlineLvl w:val="1"/>
    </w:pPr>
    <w:rPr>
      <w:rFonts w:ascii="Cambria" w:hAnsi="Cambria" w:cs="宋体"/>
      <w:b/>
      <w:bCs/>
      <w:kern w:val="28"/>
      <w:sz w:val="32"/>
      <w:szCs w:val="32"/>
    </w:rPr>
  </w:style>
  <w:style w:type="paragraph" w:styleId="46">
    <w:name w:val="List"/>
    <w:basedOn w:val="1"/>
    <w:semiHidden/>
    <w:qFormat/>
    <w:uiPriority w:val="0"/>
    <w:pPr>
      <w:ind w:left="200" w:hanging="200" w:hangingChars="200"/>
    </w:pPr>
  </w:style>
  <w:style w:type="paragraph" w:styleId="47">
    <w:name w:val="footnote text"/>
    <w:basedOn w:val="1"/>
    <w:link w:val="95"/>
    <w:qFormat/>
    <w:uiPriority w:val="0"/>
    <w:pPr>
      <w:spacing w:line="360" w:lineRule="auto"/>
    </w:pPr>
    <w:rPr>
      <w:rFonts w:ascii="Calibri" w:hAnsi="Calibri" w:cs="宋体"/>
      <w:sz w:val="18"/>
      <w:szCs w:val="22"/>
    </w:rPr>
  </w:style>
  <w:style w:type="paragraph" w:styleId="48">
    <w:name w:val="toc 6"/>
    <w:basedOn w:val="1"/>
    <w:next w:val="1"/>
    <w:qFormat/>
    <w:uiPriority w:val="39"/>
    <w:pPr>
      <w:ind w:left="2100" w:leftChars="1000"/>
    </w:pPr>
  </w:style>
  <w:style w:type="paragraph" w:styleId="49">
    <w:name w:val="List 5"/>
    <w:basedOn w:val="1"/>
    <w:qFormat/>
    <w:uiPriority w:val="0"/>
    <w:pPr>
      <w:adjustRightInd w:val="0"/>
      <w:snapToGrid w:val="0"/>
      <w:spacing w:line="360" w:lineRule="auto"/>
      <w:ind w:left="100" w:leftChars="800" w:hanging="200" w:hangingChars="200"/>
    </w:pPr>
    <w:rPr>
      <w:sz w:val="24"/>
    </w:rPr>
  </w:style>
  <w:style w:type="paragraph" w:styleId="50">
    <w:name w:val="Body Text Indent 3"/>
    <w:basedOn w:val="1"/>
    <w:link w:val="132"/>
    <w:qFormat/>
    <w:uiPriority w:val="0"/>
    <w:pPr>
      <w:spacing w:line="360" w:lineRule="auto"/>
      <w:ind w:firstLine="632"/>
    </w:pPr>
    <w:rPr>
      <w:rFonts w:ascii="黑体" w:hAnsi="Calibri" w:eastAsia="黑体" w:cs="宋体"/>
      <w:szCs w:val="22"/>
    </w:rPr>
  </w:style>
  <w:style w:type="paragraph" w:styleId="51">
    <w:name w:val="table of figures"/>
    <w:basedOn w:val="1"/>
    <w:next w:val="1"/>
    <w:qFormat/>
    <w:uiPriority w:val="0"/>
    <w:pPr>
      <w:tabs>
        <w:tab w:val="right" w:leader="dot" w:pos="8640"/>
      </w:tabs>
      <w:spacing w:line="360" w:lineRule="auto"/>
      <w:ind w:left="400" w:hanging="400"/>
    </w:pPr>
    <w:rPr>
      <w:sz w:val="24"/>
    </w:rPr>
  </w:style>
  <w:style w:type="paragraph" w:styleId="52">
    <w:name w:val="toc 2"/>
    <w:basedOn w:val="1"/>
    <w:next w:val="1"/>
    <w:qFormat/>
    <w:uiPriority w:val="39"/>
    <w:pPr>
      <w:ind w:left="420" w:leftChars="200"/>
    </w:pPr>
  </w:style>
  <w:style w:type="paragraph" w:styleId="53">
    <w:name w:val="toc 9"/>
    <w:basedOn w:val="1"/>
    <w:next w:val="1"/>
    <w:qFormat/>
    <w:uiPriority w:val="39"/>
    <w:pPr>
      <w:ind w:left="3360" w:leftChars="1600"/>
    </w:pPr>
  </w:style>
  <w:style w:type="paragraph" w:styleId="54">
    <w:name w:val="Body Text 2"/>
    <w:basedOn w:val="1"/>
    <w:link w:val="184"/>
    <w:qFormat/>
    <w:uiPriority w:val="0"/>
    <w:pPr>
      <w:adjustRightInd w:val="0"/>
      <w:snapToGrid w:val="0"/>
      <w:spacing w:after="120" w:line="480" w:lineRule="auto"/>
    </w:pPr>
    <w:rPr>
      <w:sz w:val="24"/>
    </w:rPr>
  </w:style>
  <w:style w:type="paragraph" w:styleId="55">
    <w:name w:val="List 4"/>
    <w:basedOn w:val="1"/>
    <w:qFormat/>
    <w:uiPriority w:val="0"/>
    <w:pPr>
      <w:adjustRightInd w:val="0"/>
      <w:snapToGrid w:val="0"/>
      <w:spacing w:line="360" w:lineRule="auto"/>
      <w:ind w:left="100" w:leftChars="600" w:hanging="200" w:hangingChars="200"/>
    </w:pPr>
    <w:rPr>
      <w:sz w:val="24"/>
    </w:rPr>
  </w:style>
  <w:style w:type="paragraph" w:styleId="56">
    <w:name w:val="List Continue 2"/>
    <w:basedOn w:val="1"/>
    <w:qFormat/>
    <w:uiPriority w:val="0"/>
    <w:pPr>
      <w:adjustRightInd w:val="0"/>
      <w:snapToGrid w:val="0"/>
      <w:spacing w:after="120" w:line="360" w:lineRule="auto"/>
      <w:ind w:left="840" w:leftChars="400"/>
    </w:pPr>
    <w:rPr>
      <w:sz w:val="24"/>
    </w:rPr>
  </w:style>
  <w:style w:type="paragraph" w:styleId="57">
    <w:name w:val="HTML Preformatted"/>
    <w:basedOn w:val="1"/>
    <w:link w:val="12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List Continue 3"/>
    <w:basedOn w:val="1"/>
    <w:qFormat/>
    <w:uiPriority w:val="0"/>
    <w:pPr>
      <w:adjustRightInd w:val="0"/>
      <w:snapToGrid w:val="0"/>
      <w:spacing w:after="120" w:line="360" w:lineRule="auto"/>
      <w:ind w:left="1260" w:leftChars="600"/>
    </w:pPr>
    <w:rPr>
      <w:sz w:val="24"/>
    </w:rPr>
  </w:style>
  <w:style w:type="paragraph" w:styleId="60">
    <w:name w:val="index 1"/>
    <w:basedOn w:val="1"/>
    <w:next w:val="1"/>
    <w:qFormat/>
    <w:uiPriority w:val="0"/>
    <w:pPr>
      <w:adjustRightInd w:val="0"/>
      <w:spacing w:line="240" w:lineRule="atLeast"/>
      <w:textAlignment w:val="baseline"/>
    </w:pPr>
    <w:rPr>
      <w:rFonts w:ascii="宋体"/>
      <w:kern w:val="0"/>
      <w:sz w:val="21"/>
    </w:rPr>
  </w:style>
  <w:style w:type="paragraph" w:styleId="61">
    <w:name w:val="Title"/>
    <w:basedOn w:val="1"/>
    <w:next w:val="1"/>
    <w:link w:val="129"/>
    <w:qFormat/>
    <w:uiPriority w:val="0"/>
    <w:pPr>
      <w:widowControl/>
      <w:spacing w:after="240" w:line="360" w:lineRule="auto"/>
      <w:jc w:val="center"/>
    </w:pPr>
    <w:rPr>
      <w:rFonts w:ascii="Arial" w:hAnsi="Arial" w:cs="宋体"/>
      <w:b/>
      <w:smallCaps/>
      <w:kern w:val="28"/>
      <w:sz w:val="36"/>
      <w:szCs w:val="22"/>
      <w:lang w:eastAsia="en-US"/>
    </w:rPr>
  </w:style>
  <w:style w:type="paragraph" w:styleId="62">
    <w:name w:val="annotation subject"/>
    <w:basedOn w:val="20"/>
    <w:next w:val="20"/>
    <w:link w:val="140"/>
    <w:qFormat/>
    <w:uiPriority w:val="0"/>
    <w:rPr>
      <w:rFonts w:ascii="Calibri" w:hAnsi="Calibri" w:cs="宋体"/>
      <w:sz w:val="24"/>
      <w:szCs w:val="22"/>
    </w:rPr>
  </w:style>
  <w:style w:type="paragraph" w:styleId="63">
    <w:name w:val="Body Text First Indent"/>
    <w:basedOn w:val="23"/>
    <w:link w:val="199"/>
    <w:qFormat/>
    <w:uiPriority w:val="0"/>
    <w:pPr>
      <w:spacing w:line="360" w:lineRule="auto"/>
      <w:ind w:firstLine="420"/>
    </w:pPr>
    <w:rPr>
      <w:rFonts w:ascii="宋体" w:hAnsi="宋体"/>
      <w:sz w:val="24"/>
    </w:rPr>
  </w:style>
  <w:style w:type="paragraph" w:styleId="64">
    <w:name w:val="Body Text First Indent 2"/>
    <w:basedOn w:val="24"/>
    <w:link w:val="121"/>
    <w:qFormat/>
    <w:uiPriority w:val="0"/>
    <w:pPr>
      <w:ind w:firstLine="420" w:firstLineChars="200"/>
    </w:pPr>
    <w:rPr>
      <w:rFonts w:ascii="Calibri" w:hAnsi="Calibri" w:cs="宋体"/>
      <w:sz w:val="44"/>
      <w:szCs w:val="22"/>
    </w:rPr>
  </w:style>
  <w:style w:type="table" w:styleId="66">
    <w:name w:val="Table Grid"/>
    <w:basedOn w:val="6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8">
    <w:name w:val="Strong"/>
    <w:qFormat/>
    <w:uiPriority w:val="0"/>
    <w:rPr>
      <w:b/>
    </w:rPr>
  </w:style>
  <w:style w:type="character" w:styleId="69">
    <w:name w:val="endnote reference"/>
    <w:qFormat/>
    <w:uiPriority w:val="0"/>
    <w:rPr>
      <w:vertAlign w:val="superscript"/>
    </w:rPr>
  </w:style>
  <w:style w:type="character" w:styleId="70">
    <w:name w:val="page number"/>
    <w:basedOn w:val="67"/>
    <w:qFormat/>
    <w:uiPriority w:val="0"/>
  </w:style>
  <w:style w:type="character" w:styleId="71">
    <w:name w:val="FollowedHyperlink"/>
    <w:qFormat/>
    <w:uiPriority w:val="0"/>
    <w:rPr>
      <w:color w:val="800080"/>
      <w:u w:val="single"/>
    </w:rPr>
  </w:style>
  <w:style w:type="character" w:styleId="72">
    <w:name w:val="Emphasis"/>
    <w:qFormat/>
    <w:uiPriority w:val="0"/>
    <w:rPr>
      <w:i/>
    </w:rPr>
  </w:style>
  <w:style w:type="character" w:styleId="73">
    <w:name w:val="Hyperlink"/>
    <w:qFormat/>
    <w:uiPriority w:val="99"/>
    <w:rPr>
      <w:color w:val="0000FF"/>
      <w:u w:val="single"/>
    </w:rPr>
  </w:style>
  <w:style w:type="character" w:styleId="74">
    <w:name w:val="annotation reference"/>
    <w:qFormat/>
    <w:uiPriority w:val="0"/>
    <w:rPr>
      <w:sz w:val="21"/>
      <w:szCs w:val="21"/>
    </w:rPr>
  </w:style>
  <w:style w:type="character" w:styleId="75">
    <w:name w:val="footnote reference"/>
    <w:qFormat/>
    <w:uiPriority w:val="0"/>
    <w:rPr>
      <w:position w:val="6"/>
      <w:sz w:val="14"/>
      <w:vertAlign w:val="superscript"/>
    </w:rPr>
  </w:style>
  <w:style w:type="paragraph" w:customStyle="1" w:styleId="76">
    <w:name w:val="引用1"/>
    <w:basedOn w:val="1"/>
    <w:next w:val="1"/>
    <w:link w:val="105"/>
    <w:qFormat/>
    <w:uiPriority w:val="0"/>
    <w:rPr>
      <w:rFonts w:ascii="Calibri" w:hAnsi="Calibri" w:cs="宋体"/>
      <w:i/>
      <w:iCs/>
      <w:color w:val="000000"/>
      <w:sz w:val="21"/>
      <w:szCs w:val="22"/>
    </w:rPr>
  </w:style>
  <w:style w:type="paragraph" w:customStyle="1" w:styleId="7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8">
    <w:name w:val="标题 3 Char"/>
    <w:basedOn w:val="67"/>
    <w:link w:val="4"/>
    <w:qFormat/>
    <w:uiPriority w:val="0"/>
    <w:rPr>
      <w:rFonts w:ascii="Times New Roman" w:hAnsi="Times New Roman" w:eastAsia="宋体"/>
      <w:b/>
      <w:kern w:val="2"/>
      <w:sz w:val="24"/>
      <w:szCs w:val="24"/>
    </w:rPr>
  </w:style>
  <w:style w:type="paragraph" w:customStyle="1" w:styleId="79">
    <w:name w:val="电建正文"/>
    <w:basedOn w:val="80"/>
    <w:qFormat/>
    <w:uiPriority w:val="0"/>
    <w:pPr>
      <w:tabs>
        <w:tab w:val="left" w:pos="720"/>
      </w:tabs>
      <w:spacing w:line="360" w:lineRule="auto"/>
      <w:ind w:firstLine="200" w:firstLineChars="200"/>
    </w:pPr>
    <w:rPr>
      <w:rFonts w:ascii="Tahoma" w:hAnsi="Tahoma"/>
      <w:sz w:val="24"/>
    </w:rPr>
  </w:style>
  <w:style w:type="paragraph" w:customStyle="1" w:styleId="80">
    <w:name w:val="List First"/>
    <w:basedOn w:val="46"/>
    <w:next w:val="46"/>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character" w:customStyle="1" w:styleId="81">
    <w:name w:val="标题 1 Char"/>
    <w:basedOn w:val="67"/>
    <w:link w:val="2"/>
    <w:qFormat/>
    <w:uiPriority w:val="0"/>
    <w:rPr>
      <w:rFonts w:ascii="宋体" w:hAnsi="Times New Roman" w:eastAsia="宋体" w:cs="Times New Roman"/>
      <w:sz w:val="28"/>
      <w:szCs w:val="20"/>
    </w:rPr>
  </w:style>
  <w:style w:type="character" w:customStyle="1" w:styleId="82">
    <w:name w:val="标题 2 Char"/>
    <w:basedOn w:val="67"/>
    <w:link w:val="3"/>
    <w:qFormat/>
    <w:uiPriority w:val="0"/>
    <w:rPr>
      <w:rFonts w:ascii="Arial" w:hAnsi="Arial" w:eastAsia="黑体" w:cs="Times New Roman"/>
      <w:b/>
      <w:sz w:val="32"/>
      <w:szCs w:val="20"/>
    </w:rPr>
  </w:style>
  <w:style w:type="character" w:customStyle="1" w:styleId="83">
    <w:name w:val="标题 4 Char"/>
    <w:basedOn w:val="67"/>
    <w:link w:val="5"/>
    <w:qFormat/>
    <w:uiPriority w:val="0"/>
    <w:rPr>
      <w:rFonts w:ascii="Arial" w:hAnsi="Arial" w:eastAsia="黑体" w:cs="Times New Roman"/>
      <w:b/>
      <w:sz w:val="28"/>
      <w:szCs w:val="20"/>
    </w:rPr>
  </w:style>
  <w:style w:type="character" w:customStyle="1" w:styleId="84">
    <w:name w:val="标题 5 Char"/>
    <w:basedOn w:val="67"/>
    <w:link w:val="6"/>
    <w:qFormat/>
    <w:uiPriority w:val="0"/>
    <w:rPr>
      <w:rFonts w:ascii="Times New Roman" w:hAnsi="Times New Roman" w:eastAsia="宋体" w:cs="Times New Roman"/>
      <w:b/>
      <w:sz w:val="28"/>
      <w:szCs w:val="20"/>
    </w:rPr>
  </w:style>
  <w:style w:type="character" w:customStyle="1" w:styleId="85">
    <w:name w:val="标题 6 Char"/>
    <w:basedOn w:val="67"/>
    <w:link w:val="7"/>
    <w:qFormat/>
    <w:uiPriority w:val="0"/>
    <w:rPr>
      <w:rFonts w:ascii="Arial" w:hAnsi="Arial" w:eastAsia="黑体" w:cs="Times New Roman"/>
      <w:b/>
      <w:sz w:val="24"/>
      <w:szCs w:val="20"/>
    </w:rPr>
  </w:style>
  <w:style w:type="character" w:customStyle="1" w:styleId="86">
    <w:name w:val="标题 7 Char"/>
    <w:basedOn w:val="67"/>
    <w:link w:val="8"/>
    <w:qFormat/>
    <w:uiPriority w:val="0"/>
    <w:rPr>
      <w:rFonts w:ascii="Arial" w:hAnsi="Arial" w:eastAsia="黑体" w:cs="Times New Roman"/>
      <w:b/>
      <w:sz w:val="24"/>
      <w:szCs w:val="20"/>
    </w:rPr>
  </w:style>
  <w:style w:type="character" w:customStyle="1" w:styleId="87">
    <w:name w:val="标题 8 Char"/>
    <w:basedOn w:val="67"/>
    <w:link w:val="9"/>
    <w:qFormat/>
    <w:uiPriority w:val="0"/>
    <w:rPr>
      <w:rFonts w:ascii="Arial" w:hAnsi="Arial" w:eastAsia="黑体" w:cs="Times New Roman"/>
      <w:b/>
      <w:sz w:val="24"/>
      <w:szCs w:val="20"/>
    </w:rPr>
  </w:style>
  <w:style w:type="character" w:customStyle="1" w:styleId="88">
    <w:name w:val="标题 9 Char"/>
    <w:basedOn w:val="67"/>
    <w:link w:val="10"/>
    <w:qFormat/>
    <w:uiPriority w:val="0"/>
    <w:rPr>
      <w:rFonts w:ascii="Arial" w:hAnsi="Arial" w:eastAsia="黑体" w:cs="Times New Roman"/>
      <w:b/>
      <w:sz w:val="24"/>
      <w:szCs w:val="20"/>
    </w:rPr>
  </w:style>
  <w:style w:type="character" w:customStyle="1" w:styleId="89">
    <w:name w:val="Table Text Char"/>
    <w:link w:val="90"/>
    <w:qFormat/>
    <w:uiPriority w:val="0"/>
    <w:rPr>
      <w:rFonts w:ascii="Arial" w:hAnsi="Arial"/>
      <w:sz w:val="18"/>
    </w:rPr>
  </w:style>
  <w:style w:type="paragraph" w:customStyle="1" w:styleId="90">
    <w:name w:val="Table Text"/>
    <w:link w:val="89"/>
    <w:qFormat/>
    <w:uiPriority w:val="0"/>
    <w:pPr>
      <w:snapToGrid w:val="0"/>
      <w:spacing w:before="80" w:after="80"/>
    </w:pPr>
    <w:rPr>
      <w:rFonts w:ascii="Arial" w:hAnsi="Arial" w:eastAsia="宋体" w:cs="宋体"/>
      <w:kern w:val="2"/>
      <w:sz w:val="18"/>
      <w:szCs w:val="22"/>
      <w:lang w:val="en-US" w:eastAsia="zh-CN" w:bidi="ar-SA"/>
    </w:rPr>
  </w:style>
  <w:style w:type="character" w:customStyle="1" w:styleId="91">
    <w:name w:val="文档结构图 Char"/>
    <w:link w:val="18"/>
    <w:qFormat/>
    <w:uiPriority w:val="0"/>
    <w:rPr>
      <w:sz w:val="28"/>
      <w:shd w:val="clear" w:color="auto" w:fill="000080"/>
    </w:rPr>
  </w:style>
  <w:style w:type="character" w:customStyle="1" w:styleId="92">
    <w:name w:val="批注文字 Char"/>
    <w:qFormat/>
    <w:uiPriority w:val="0"/>
    <w:rPr>
      <w:sz w:val="24"/>
    </w:rPr>
  </w:style>
  <w:style w:type="character" w:customStyle="1" w:styleId="93">
    <w:name w:val="14t1"/>
    <w:qFormat/>
    <w:uiPriority w:val="0"/>
    <w:rPr>
      <w:rFonts w:hint="eastAsia" w:ascii="宋体" w:hAnsi="宋体" w:eastAsia="宋体"/>
      <w:sz w:val="11"/>
      <w:szCs w:val="11"/>
    </w:rPr>
  </w:style>
  <w:style w:type="character" w:customStyle="1" w:styleId="94">
    <w:name w:val="正文文本 3 Char"/>
    <w:link w:val="21"/>
    <w:qFormat/>
    <w:uiPriority w:val="0"/>
    <w:rPr>
      <w:sz w:val="16"/>
    </w:rPr>
  </w:style>
  <w:style w:type="character" w:customStyle="1" w:styleId="95">
    <w:name w:val="脚注文本 Char"/>
    <w:link w:val="47"/>
    <w:qFormat/>
    <w:uiPriority w:val="0"/>
    <w:rPr>
      <w:sz w:val="18"/>
    </w:rPr>
  </w:style>
  <w:style w:type="character" w:customStyle="1" w:styleId="96">
    <w:name w:val="docpro"/>
    <w:qFormat/>
    <w:uiPriority w:val="0"/>
  </w:style>
  <w:style w:type="character" w:customStyle="1" w:styleId="97">
    <w:name w:val="正文缩进2格 Char"/>
    <w:link w:val="98"/>
    <w:qFormat/>
    <w:uiPriority w:val="99"/>
    <w:rPr>
      <w:rFonts w:ascii="仿宋_GB2312" w:hAnsi="宋体" w:eastAsia="仿宋_GB2312"/>
      <w:sz w:val="28"/>
    </w:rPr>
  </w:style>
  <w:style w:type="paragraph" w:customStyle="1" w:styleId="98">
    <w:name w:val="正文缩进2格"/>
    <w:basedOn w:val="1"/>
    <w:link w:val="97"/>
    <w:qFormat/>
    <w:uiPriority w:val="99"/>
    <w:pPr>
      <w:spacing w:line="600" w:lineRule="exact"/>
      <w:ind w:firstLine="639" w:firstLineChars="206"/>
    </w:pPr>
    <w:rPr>
      <w:rFonts w:ascii="仿宋_GB2312" w:hAnsi="宋体" w:eastAsia="仿宋_GB2312" w:cs="宋体"/>
      <w:szCs w:val="22"/>
    </w:rPr>
  </w:style>
  <w:style w:type="character" w:customStyle="1" w:styleId="99">
    <w:name w:val="批注框文本 Char"/>
    <w:link w:val="39"/>
    <w:qFormat/>
    <w:uiPriority w:val="0"/>
    <w:rPr>
      <w:sz w:val="18"/>
    </w:rPr>
  </w:style>
  <w:style w:type="character" w:customStyle="1" w:styleId="100">
    <w:name w:val="Table Text Char Char Char Char"/>
    <w:link w:val="101"/>
    <w:qFormat/>
    <w:uiPriority w:val="0"/>
    <w:rPr>
      <w:rFonts w:ascii="Arial" w:hAnsi="Arial"/>
      <w:sz w:val="18"/>
    </w:rPr>
  </w:style>
  <w:style w:type="paragraph" w:customStyle="1" w:styleId="101">
    <w:name w:val="Table Text Char Char Char"/>
    <w:link w:val="100"/>
    <w:qFormat/>
    <w:uiPriority w:val="0"/>
    <w:pPr>
      <w:snapToGrid w:val="0"/>
      <w:spacing w:before="80" w:after="80"/>
    </w:pPr>
    <w:rPr>
      <w:rFonts w:ascii="Arial" w:hAnsi="Arial" w:eastAsia="宋体" w:cs="宋体"/>
      <w:kern w:val="2"/>
      <w:sz w:val="18"/>
      <w:szCs w:val="22"/>
      <w:lang w:val="en-US" w:eastAsia="zh-CN" w:bidi="ar-SA"/>
    </w:rPr>
  </w:style>
  <w:style w:type="character" w:customStyle="1" w:styleId="102">
    <w:name w:val="font161"/>
    <w:qFormat/>
    <w:uiPriority w:val="0"/>
    <w:rPr>
      <w:b/>
      <w:bCs/>
      <w:sz w:val="32"/>
      <w:szCs w:val="32"/>
    </w:rPr>
  </w:style>
  <w:style w:type="character" w:customStyle="1" w:styleId="103">
    <w:name w:val="文字 Char"/>
    <w:link w:val="104"/>
    <w:qFormat/>
    <w:uiPriority w:val="0"/>
    <w:rPr>
      <w:rFonts w:ascii="宋体"/>
      <w:sz w:val="28"/>
    </w:rPr>
  </w:style>
  <w:style w:type="paragraph" w:customStyle="1" w:styleId="104">
    <w:name w:val="文字"/>
    <w:basedOn w:val="1"/>
    <w:link w:val="103"/>
    <w:qFormat/>
    <w:uiPriority w:val="0"/>
    <w:pPr>
      <w:tabs>
        <w:tab w:val="left" w:pos="8520"/>
      </w:tabs>
      <w:spacing w:line="312" w:lineRule="auto"/>
      <w:ind w:right="-210" w:firstLine="556"/>
    </w:pPr>
    <w:rPr>
      <w:rFonts w:ascii="宋体" w:hAnsi="Calibri" w:cs="宋体"/>
      <w:szCs w:val="22"/>
    </w:rPr>
  </w:style>
  <w:style w:type="character" w:customStyle="1" w:styleId="105">
    <w:name w:val="引用 Char"/>
    <w:link w:val="76"/>
    <w:qFormat/>
    <w:uiPriority w:val="0"/>
    <w:rPr>
      <w:i/>
      <w:iCs/>
      <w:color w:val="000000"/>
    </w:rPr>
  </w:style>
  <w:style w:type="character" w:customStyle="1" w:styleId="106">
    <w:name w:val="0d1471"/>
    <w:qFormat/>
    <w:uiPriority w:val="0"/>
    <w:rPr>
      <w:color w:val="000000"/>
      <w:sz w:val="11"/>
      <w:szCs w:val="11"/>
      <w:u w:val="none"/>
    </w:rPr>
  </w:style>
  <w:style w:type="character" w:customStyle="1" w:styleId="107">
    <w:name w:val="*正文 Char"/>
    <w:link w:val="108"/>
    <w:qFormat/>
    <w:uiPriority w:val="0"/>
    <w:rPr>
      <w:rFonts w:ascii="仿宋_GB2312" w:eastAsia="仿宋_GB2312"/>
      <w:sz w:val="24"/>
      <w:szCs w:val="28"/>
    </w:rPr>
  </w:style>
  <w:style w:type="paragraph" w:customStyle="1" w:styleId="108">
    <w:name w:val="*正文"/>
    <w:basedOn w:val="1"/>
    <w:link w:val="107"/>
    <w:qFormat/>
    <w:uiPriority w:val="0"/>
    <w:pPr>
      <w:widowControl/>
      <w:ind w:firstLine="200" w:firstLineChars="200"/>
    </w:pPr>
    <w:rPr>
      <w:rFonts w:ascii="仿宋_GB2312" w:hAnsi="Calibri" w:eastAsia="仿宋_GB2312" w:cs="宋体"/>
      <w:sz w:val="24"/>
      <w:szCs w:val="28"/>
    </w:rPr>
  </w:style>
  <w:style w:type="character" w:customStyle="1" w:styleId="109">
    <w:name w:val="intel3"/>
    <w:qFormat/>
    <w:uiPriority w:val="0"/>
  </w:style>
  <w:style w:type="character" w:customStyle="1" w:styleId="110">
    <w:name w:val="Table Text Char1 Char"/>
    <w:qFormat/>
    <w:uiPriority w:val="0"/>
    <w:rPr>
      <w:rFonts w:ascii="Arial" w:hAnsi="Arial"/>
      <w:kern w:val="2"/>
      <w:sz w:val="18"/>
      <w:lang w:val="en-US" w:eastAsia="zh-CN" w:bidi="ar-SA"/>
    </w:rPr>
  </w:style>
  <w:style w:type="character" w:customStyle="1" w:styleId="111">
    <w:name w:val="标题5 Char Char"/>
    <w:link w:val="112"/>
    <w:qFormat/>
    <w:uiPriority w:val="0"/>
    <w:rPr>
      <w:rFonts w:ascii="宋体"/>
    </w:rPr>
  </w:style>
  <w:style w:type="paragraph" w:customStyle="1" w:styleId="112">
    <w:name w:val="标题5"/>
    <w:basedOn w:val="1"/>
    <w:link w:val="111"/>
    <w:qFormat/>
    <w:uiPriority w:val="0"/>
    <w:pPr>
      <w:tabs>
        <w:tab w:val="left" w:pos="0"/>
      </w:tabs>
      <w:autoSpaceDE w:val="0"/>
      <w:autoSpaceDN w:val="0"/>
      <w:adjustRightInd w:val="0"/>
      <w:snapToGrid w:val="0"/>
      <w:spacing w:line="320" w:lineRule="atLeast"/>
    </w:pPr>
    <w:rPr>
      <w:rFonts w:ascii="宋体" w:hAnsi="Calibri" w:cs="宋体"/>
      <w:sz w:val="21"/>
      <w:szCs w:val="22"/>
    </w:rPr>
  </w:style>
  <w:style w:type="character" w:customStyle="1" w:styleId="113">
    <w:name w:val="main_tdbg_7601"/>
    <w:qFormat/>
    <w:uiPriority w:val="0"/>
    <w:rPr>
      <w:sz w:val="14"/>
      <w:szCs w:val="14"/>
    </w:rPr>
  </w:style>
  <w:style w:type="character" w:customStyle="1" w:styleId="114">
    <w:name w:val="font1"/>
    <w:qFormat/>
    <w:uiPriority w:val="0"/>
    <w:rPr>
      <w:color w:val="000000"/>
      <w:sz w:val="18"/>
    </w:rPr>
  </w:style>
  <w:style w:type="character" w:customStyle="1" w:styleId="115">
    <w:name w:val="日期 Char"/>
    <w:link w:val="36"/>
    <w:qFormat/>
    <w:uiPriority w:val="0"/>
    <w:rPr>
      <w:sz w:val="28"/>
    </w:rPr>
  </w:style>
  <w:style w:type="character" w:customStyle="1" w:styleId="116">
    <w:name w:val="Char Char6"/>
    <w:qFormat/>
    <w:uiPriority w:val="0"/>
    <w:rPr>
      <w:rFonts w:ascii="仿宋_GB2312" w:eastAsia="仿宋_GB2312"/>
      <w:kern w:val="2"/>
      <w:sz w:val="32"/>
    </w:rPr>
  </w:style>
  <w:style w:type="character" w:customStyle="1" w:styleId="117">
    <w:name w:val="title_emph1"/>
    <w:qFormat/>
    <w:uiPriority w:val="0"/>
    <w:rPr>
      <w:rFonts w:hint="default" w:ascii="Arial" w:hAnsi="Arial"/>
      <w:b/>
      <w:sz w:val="20"/>
    </w:rPr>
  </w:style>
  <w:style w:type="character" w:customStyle="1" w:styleId="118">
    <w:name w:val="未命名11"/>
    <w:qFormat/>
    <w:uiPriority w:val="0"/>
    <w:rPr>
      <w:color w:val="77FFFF"/>
      <w:sz w:val="24"/>
    </w:rPr>
  </w:style>
  <w:style w:type="character" w:customStyle="1" w:styleId="119">
    <w:name w:val="ca-141"/>
    <w:qFormat/>
    <w:uiPriority w:val="0"/>
    <w:rPr>
      <w:rFonts w:hint="eastAsia" w:ascii="仿宋_GB2312" w:eastAsia="仿宋_GB2312"/>
      <w:sz w:val="21"/>
      <w:szCs w:val="21"/>
    </w:rPr>
  </w:style>
  <w:style w:type="character" w:customStyle="1" w:styleId="120">
    <w:name w:val="Table Heading Char Char"/>
    <w:qFormat/>
    <w:uiPriority w:val="0"/>
    <w:rPr>
      <w:rFonts w:ascii="Arial" w:hAnsi="Arial" w:eastAsia="黑体"/>
      <w:kern w:val="2"/>
      <w:sz w:val="18"/>
      <w:lang w:val="en-US" w:eastAsia="zh-CN"/>
    </w:rPr>
  </w:style>
  <w:style w:type="character" w:customStyle="1" w:styleId="121">
    <w:name w:val="正文首行缩进 2 Char"/>
    <w:basedOn w:val="122"/>
    <w:link w:val="64"/>
    <w:qFormat/>
    <w:uiPriority w:val="0"/>
    <w:rPr>
      <w:kern w:val="2"/>
      <w:sz w:val="44"/>
    </w:rPr>
  </w:style>
  <w:style w:type="character" w:customStyle="1" w:styleId="122">
    <w:name w:val="正文文本缩进 Char"/>
    <w:qFormat/>
    <w:uiPriority w:val="0"/>
    <w:rPr>
      <w:kern w:val="2"/>
      <w:sz w:val="44"/>
    </w:rPr>
  </w:style>
  <w:style w:type="character" w:customStyle="1" w:styleId="123">
    <w:name w:val="l1"/>
    <w:qFormat/>
    <w:uiPriority w:val="0"/>
  </w:style>
  <w:style w:type="character" w:customStyle="1" w:styleId="124">
    <w:name w:val="标题4 Char Char"/>
    <w:link w:val="125"/>
    <w:qFormat/>
    <w:uiPriority w:val="0"/>
    <w:rPr>
      <w:rFonts w:ascii="Arial" w:hAnsi="Arial"/>
      <w:b/>
      <w:bCs/>
      <w:sz w:val="24"/>
      <w:szCs w:val="32"/>
    </w:rPr>
  </w:style>
  <w:style w:type="paragraph" w:customStyle="1" w:styleId="125">
    <w:name w:val="标题4"/>
    <w:basedOn w:val="3"/>
    <w:next w:val="31"/>
    <w:link w:val="124"/>
    <w:qFormat/>
    <w:uiPriority w:val="0"/>
    <w:rPr>
      <w:rFonts w:eastAsia="宋体" w:cs="宋体"/>
      <w:bCs/>
      <w:sz w:val="24"/>
      <w:szCs w:val="32"/>
    </w:rPr>
  </w:style>
  <w:style w:type="character" w:customStyle="1" w:styleId="126">
    <w:name w:val="HTML 预设格式 Char"/>
    <w:link w:val="57"/>
    <w:qFormat/>
    <w:uiPriority w:val="0"/>
    <w:rPr>
      <w:rFonts w:ascii="宋体" w:hAnsi="宋体" w:cs="宋体"/>
      <w:color w:val="000000"/>
      <w:sz w:val="24"/>
      <w:szCs w:val="24"/>
    </w:rPr>
  </w:style>
  <w:style w:type="character" w:customStyle="1" w:styleId="127">
    <w:name w:val="Char Char2"/>
    <w:qFormat/>
    <w:uiPriority w:val="0"/>
    <w:rPr>
      <w:rFonts w:eastAsia="宋体"/>
      <w:kern w:val="2"/>
      <w:sz w:val="18"/>
      <w:lang w:val="en-US" w:eastAsia="zh-CN"/>
    </w:rPr>
  </w:style>
  <w:style w:type="character" w:customStyle="1" w:styleId="128">
    <w:name w:val="ht1"/>
    <w:qFormat/>
    <w:uiPriority w:val="0"/>
    <w:rPr>
      <w:rFonts w:ascii="黑体" w:eastAsia="黑体"/>
      <w:b/>
      <w:bCs/>
    </w:rPr>
  </w:style>
  <w:style w:type="character" w:customStyle="1" w:styleId="129">
    <w:name w:val="标题 Char"/>
    <w:link w:val="61"/>
    <w:qFormat/>
    <w:uiPriority w:val="0"/>
    <w:rPr>
      <w:rFonts w:ascii="Arial" w:hAnsi="Arial"/>
      <w:b/>
      <w:smallCaps/>
      <w:kern w:val="28"/>
      <w:sz w:val="36"/>
      <w:lang w:eastAsia="en-US"/>
    </w:rPr>
  </w:style>
  <w:style w:type="character" w:customStyle="1" w:styleId="130">
    <w:name w:val="正文文本 Char"/>
    <w:link w:val="23"/>
    <w:qFormat/>
    <w:uiPriority w:val="0"/>
    <w:rPr>
      <w:rFonts w:ascii="仿宋_GB2312" w:eastAsia="仿宋_GB2312"/>
      <w:sz w:val="32"/>
    </w:rPr>
  </w:style>
  <w:style w:type="character" w:customStyle="1" w:styleId="131">
    <w:name w:val="Char Char11"/>
    <w:qFormat/>
    <w:uiPriority w:val="0"/>
    <w:rPr>
      <w:rFonts w:ascii="宋体"/>
      <w:kern w:val="2"/>
      <w:sz w:val="28"/>
    </w:rPr>
  </w:style>
  <w:style w:type="character" w:customStyle="1" w:styleId="132">
    <w:name w:val="正文文本缩进 3 Char"/>
    <w:link w:val="50"/>
    <w:qFormat/>
    <w:uiPriority w:val="0"/>
    <w:rPr>
      <w:rFonts w:ascii="黑体" w:eastAsia="黑体"/>
      <w:sz w:val="28"/>
    </w:rPr>
  </w:style>
  <w:style w:type="character" w:customStyle="1" w:styleId="133">
    <w:name w:val="Char Char111"/>
    <w:qFormat/>
    <w:uiPriority w:val="0"/>
    <w:rPr>
      <w:rFonts w:eastAsia="黑体"/>
      <w:kern w:val="2"/>
      <w:sz w:val="44"/>
      <w:szCs w:val="44"/>
      <w:lang w:val="en-US" w:eastAsia="zh-CN" w:bidi="ar-SA"/>
    </w:rPr>
  </w:style>
  <w:style w:type="character" w:customStyle="1" w:styleId="134">
    <w:name w:val="style31"/>
    <w:qFormat/>
    <w:uiPriority w:val="0"/>
    <w:rPr>
      <w:sz w:val="10"/>
      <w:szCs w:val="10"/>
    </w:rPr>
  </w:style>
  <w:style w:type="character" w:customStyle="1" w:styleId="135">
    <w:name w:val="top-det1"/>
    <w:qFormat/>
    <w:uiPriority w:val="0"/>
    <w:rPr>
      <w:b/>
      <w:color w:val="000000"/>
    </w:rPr>
  </w:style>
  <w:style w:type="character" w:customStyle="1" w:styleId="136">
    <w:name w:val="明显引用 Char"/>
    <w:link w:val="137"/>
    <w:qFormat/>
    <w:uiPriority w:val="0"/>
    <w:rPr>
      <w:b/>
      <w:bCs/>
      <w:i/>
      <w:iCs/>
      <w:color w:val="4F81BD"/>
    </w:rPr>
  </w:style>
  <w:style w:type="paragraph" w:customStyle="1" w:styleId="137">
    <w:name w:val="明显引用1"/>
    <w:basedOn w:val="1"/>
    <w:next w:val="1"/>
    <w:link w:val="136"/>
    <w:qFormat/>
    <w:uiPriority w:val="0"/>
    <w:pPr>
      <w:pBdr>
        <w:bottom w:val="single" w:color="4F81BD" w:sz="4" w:space="4"/>
      </w:pBdr>
      <w:spacing w:before="200" w:after="280"/>
      <w:ind w:left="936" w:right="936"/>
    </w:pPr>
    <w:rPr>
      <w:rFonts w:ascii="Calibri" w:hAnsi="Calibri" w:cs="宋体"/>
      <w:b/>
      <w:bCs/>
      <w:i/>
      <w:iCs/>
      <w:color w:val="4F81BD"/>
      <w:sz w:val="21"/>
      <w:szCs w:val="22"/>
    </w:rPr>
  </w:style>
  <w:style w:type="character" w:customStyle="1" w:styleId="138">
    <w:name w:val="normaltext1"/>
    <w:qFormat/>
    <w:uiPriority w:val="0"/>
    <w:rPr>
      <w:rFonts w:hint="default" w:ascii="ˎ̥" w:hAnsi="ˎ̥"/>
      <w:sz w:val="9"/>
      <w:szCs w:val="9"/>
    </w:rPr>
  </w:style>
  <w:style w:type="character" w:customStyle="1" w:styleId="139">
    <w:name w:val="Char Char3"/>
    <w:qFormat/>
    <w:uiPriority w:val="0"/>
    <w:rPr>
      <w:rFonts w:eastAsia="宋体"/>
      <w:kern w:val="2"/>
      <w:sz w:val="18"/>
      <w:lang w:val="en-US" w:eastAsia="zh-CN"/>
    </w:rPr>
  </w:style>
  <w:style w:type="character" w:customStyle="1" w:styleId="140">
    <w:name w:val="批注主题 Char"/>
    <w:basedOn w:val="92"/>
    <w:link w:val="62"/>
    <w:qFormat/>
    <w:uiPriority w:val="0"/>
    <w:rPr>
      <w:sz w:val="24"/>
    </w:rPr>
  </w:style>
  <w:style w:type="character" w:customStyle="1" w:styleId="141">
    <w:name w:val="正文缩进 Char1"/>
    <w:qFormat/>
    <w:uiPriority w:val="99"/>
    <w:rPr>
      <w:rFonts w:ascii="Times New Roman" w:hAnsi="Times New Roman" w:eastAsia="仿宋_GB2312" w:cs="Times New Roman"/>
      <w:sz w:val="24"/>
      <w:szCs w:val="24"/>
    </w:rPr>
  </w:style>
  <w:style w:type="character" w:customStyle="1" w:styleId="142">
    <w:name w:val="HTML 预设格式 Char1"/>
    <w:qFormat/>
    <w:uiPriority w:val="0"/>
    <w:rPr>
      <w:rFonts w:ascii="Courier New" w:hAnsi="Courier New" w:cs="Courier New"/>
      <w:kern w:val="2"/>
    </w:rPr>
  </w:style>
  <w:style w:type="character" w:customStyle="1" w:styleId="143">
    <w:name w:val="Char Char"/>
    <w:qFormat/>
    <w:uiPriority w:val="0"/>
    <w:rPr>
      <w:rFonts w:ascii="宋体" w:hAnsi="宋体" w:eastAsia="宋体"/>
      <w:kern w:val="2"/>
      <w:sz w:val="24"/>
      <w:lang w:val="en-US" w:eastAsia="zh-CN" w:bidi="ar-SA"/>
    </w:rPr>
  </w:style>
  <w:style w:type="character" w:customStyle="1" w:styleId="144">
    <w:name w:val="v151"/>
    <w:qFormat/>
    <w:uiPriority w:val="0"/>
    <w:rPr>
      <w:sz w:val="18"/>
    </w:rPr>
  </w:style>
  <w:style w:type="character" w:customStyle="1" w:styleId="145">
    <w:name w:val="color_red1"/>
    <w:qFormat/>
    <w:uiPriority w:val="0"/>
    <w:rPr>
      <w:color w:val="FA0004"/>
    </w:rPr>
  </w:style>
  <w:style w:type="character" w:customStyle="1" w:styleId="146">
    <w:name w:val="1[858D7CFB-ED40-4347-BF05-701D383B685F]"/>
    <w:link w:val="147"/>
    <w:qFormat/>
    <w:uiPriority w:val="0"/>
    <w:rPr>
      <w:rFonts w:ascii="宋体" w:hAnsi="Courier New"/>
    </w:rPr>
  </w:style>
  <w:style w:type="paragraph" w:customStyle="1" w:styleId="147">
    <w:name w:val="1"/>
    <w:basedOn w:val="1"/>
    <w:next w:val="34"/>
    <w:link w:val="146"/>
    <w:qFormat/>
    <w:uiPriority w:val="0"/>
    <w:rPr>
      <w:rFonts w:ascii="宋体" w:hAnsi="Courier New" w:cs="宋体"/>
      <w:sz w:val="21"/>
      <w:szCs w:val="22"/>
    </w:rPr>
  </w:style>
  <w:style w:type="character" w:customStyle="1" w:styleId="148">
    <w:name w:val="尾注文本 Char1"/>
    <w:qFormat/>
    <w:uiPriority w:val="0"/>
    <w:rPr>
      <w:kern w:val="2"/>
      <w:sz w:val="28"/>
    </w:rPr>
  </w:style>
  <w:style w:type="character" w:customStyle="1" w:styleId="149">
    <w:name w:val="content-white1"/>
    <w:qFormat/>
    <w:uiPriority w:val="0"/>
    <w:rPr>
      <w:color w:val="auto"/>
      <w:sz w:val="18"/>
      <w:u w:val="none"/>
    </w:rPr>
  </w:style>
  <w:style w:type="character" w:customStyle="1" w:styleId="150">
    <w:name w:val="unnamed1"/>
    <w:qFormat/>
    <w:uiPriority w:val="0"/>
  </w:style>
  <w:style w:type="character" w:customStyle="1" w:styleId="151">
    <w:name w:val="批注主题 Char1"/>
    <w:qFormat/>
    <w:uiPriority w:val="0"/>
    <w:rPr>
      <w:rFonts w:eastAsia="宋体"/>
      <w:b/>
      <w:bCs/>
      <w:kern w:val="2"/>
      <w:sz w:val="21"/>
      <w:szCs w:val="24"/>
      <w:lang w:val="en-US" w:eastAsia="zh-CN" w:bidi="ar-SA"/>
    </w:rPr>
  </w:style>
  <w:style w:type="character" w:customStyle="1" w:styleId="152">
    <w:name w:val="副标题 Char"/>
    <w:link w:val="45"/>
    <w:qFormat/>
    <w:uiPriority w:val="0"/>
    <w:rPr>
      <w:rFonts w:ascii="Cambria" w:hAnsi="Cambria"/>
      <w:b/>
      <w:bCs/>
      <w:kern w:val="28"/>
      <w:sz w:val="32"/>
      <w:szCs w:val="32"/>
    </w:rPr>
  </w:style>
  <w:style w:type="character" w:customStyle="1" w:styleId="153">
    <w:name w:val="style161"/>
    <w:qFormat/>
    <w:uiPriority w:val="0"/>
    <w:rPr>
      <w:b/>
      <w:bCs/>
      <w:color w:val="333333"/>
    </w:rPr>
  </w:style>
  <w:style w:type="character" w:customStyle="1" w:styleId="154">
    <w:name w:val="正文文本缩进 2 Char"/>
    <w:link w:val="37"/>
    <w:qFormat/>
    <w:uiPriority w:val="0"/>
    <w:rPr>
      <w:sz w:val="28"/>
    </w:rPr>
  </w:style>
  <w:style w:type="character" w:customStyle="1" w:styleId="155">
    <w:name w:val="页眉 Char"/>
    <w:link w:val="41"/>
    <w:qFormat/>
    <w:uiPriority w:val="99"/>
    <w:rPr>
      <w:sz w:val="18"/>
    </w:rPr>
  </w:style>
  <w:style w:type="character" w:customStyle="1" w:styleId="156">
    <w:name w:val="样式 宋体"/>
    <w:qFormat/>
    <w:uiPriority w:val="0"/>
    <w:rPr>
      <w:rFonts w:ascii="宋体" w:hAnsi="宋体" w:eastAsia="宋体"/>
      <w:sz w:val="28"/>
    </w:rPr>
  </w:style>
  <w:style w:type="character" w:customStyle="1" w:styleId="157">
    <w:name w:val="小 Char"/>
    <w:qFormat/>
    <w:uiPriority w:val="0"/>
    <w:rPr>
      <w:rFonts w:ascii="宋体" w:hAnsi="Courier New" w:eastAsia="宋体"/>
      <w:kern w:val="2"/>
      <w:sz w:val="21"/>
      <w:lang w:val="en-US" w:eastAsia="zh-CN" w:bidi="ar-SA"/>
    </w:rPr>
  </w:style>
  <w:style w:type="character" w:customStyle="1" w:styleId="158">
    <w:name w:val="正文 + 三号 Char"/>
    <w:qFormat/>
    <w:uiPriority w:val="0"/>
    <w:rPr>
      <w:rFonts w:eastAsia="宋体"/>
      <w:kern w:val="2"/>
      <w:sz w:val="21"/>
      <w:lang w:val="en-US" w:eastAsia="zh-CN"/>
    </w:rPr>
  </w:style>
  <w:style w:type="character" w:customStyle="1" w:styleId="159">
    <w:name w:val="H2 Char"/>
    <w:qFormat/>
    <w:uiPriority w:val="0"/>
    <w:rPr>
      <w:rFonts w:ascii="Arial" w:hAnsi="Arial" w:eastAsia="宋体"/>
      <w:kern w:val="2"/>
      <w:sz w:val="28"/>
      <w:lang w:val="en-US" w:eastAsia="zh-CN"/>
    </w:rPr>
  </w:style>
  <w:style w:type="character" w:customStyle="1" w:styleId="160">
    <w:name w:val="副标题 Char1"/>
    <w:qFormat/>
    <w:uiPriority w:val="0"/>
    <w:rPr>
      <w:rFonts w:ascii="Calibri Light" w:hAnsi="Calibri Light" w:cs="Times New Roman"/>
      <w:b/>
      <w:bCs/>
      <w:kern w:val="28"/>
      <w:sz w:val="32"/>
      <w:szCs w:val="32"/>
    </w:rPr>
  </w:style>
  <w:style w:type="character" w:customStyle="1" w:styleId="161">
    <w:name w:val="正文缩进 Char"/>
    <w:link w:val="16"/>
    <w:qFormat/>
    <w:uiPriority w:val="0"/>
    <w:rPr>
      <w:sz w:val="24"/>
    </w:rPr>
  </w:style>
  <w:style w:type="character" w:customStyle="1" w:styleId="162">
    <w:name w:val="crowed11"/>
    <w:qFormat/>
    <w:uiPriority w:val="0"/>
    <w:rPr>
      <w:rFonts w:hint="default"/>
      <w:sz w:val="24"/>
    </w:rPr>
  </w:style>
  <w:style w:type="character" w:customStyle="1" w:styleId="163">
    <w:name w:val="title11"/>
    <w:qFormat/>
    <w:uiPriority w:val="0"/>
    <w:rPr>
      <w:b/>
      <w:bCs/>
      <w:color w:val="FFFFFF"/>
      <w:sz w:val="11"/>
      <w:szCs w:val="11"/>
    </w:rPr>
  </w:style>
  <w:style w:type="character" w:customStyle="1" w:styleId="164">
    <w:name w:val="纯文本 Char"/>
    <w:link w:val="34"/>
    <w:qFormat/>
    <w:uiPriority w:val="99"/>
    <w:rPr>
      <w:rFonts w:ascii="宋体" w:hAnsi="Courier New"/>
    </w:rPr>
  </w:style>
  <w:style w:type="character" w:customStyle="1" w:styleId="165">
    <w:name w:val="ss16"/>
    <w:qFormat/>
    <w:uiPriority w:val="0"/>
    <w:rPr>
      <w:rFonts w:hint="eastAsia" w:ascii="宋体" w:hAnsi="宋体" w:eastAsia="宋体"/>
      <w:color w:val="000000"/>
      <w:sz w:val="9"/>
      <w:szCs w:val="9"/>
    </w:rPr>
  </w:style>
  <w:style w:type="character" w:customStyle="1" w:styleId="166">
    <w:name w:val="Char Char7"/>
    <w:qFormat/>
    <w:uiPriority w:val="0"/>
    <w:rPr>
      <w:rFonts w:ascii="宋体" w:hAnsi="宋体" w:eastAsia="宋体"/>
      <w:kern w:val="2"/>
      <w:sz w:val="28"/>
    </w:rPr>
  </w:style>
  <w:style w:type="character" w:customStyle="1" w:styleId="167">
    <w:name w:val="Char Char5"/>
    <w:qFormat/>
    <w:uiPriority w:val="0"/>
    <w:rPr>
      <w:rFonts w:ascii="Arial" w:hAnsi="Arial" w:eastAsia="宋体"/>
      <w:b/>
      <w:smallCaps/>
      <w:kern w:val="28"/>
      <w:sz w:val="36"/>
      <w:lang w:val="en-US" w:eastAsia="en-US"/>
    </w:rPr>
  </w:style>
  <w:style w:type="character" w:customStyle="1" w:styleId="168">
    <w:name w:val="页脚 Char"/>
    <w:link w:val="40"/>
    <w:qFormat/>
    <w:uiPriority w:val="99"/>
    <w:rPr>
      <w:sz w:val="18"/>
    </w:rPr>
  </w:style>
  <w:style w:type="character" w:customStyle="1" w:styleId="169">
    <w:name w:val="尾注文本 Char"/>
    <w:link w:val="38"/>
    <w:qFormat/>
    <w:uiPriority w:val="0"/>
    <w:rPr>
      <w:rFonts w:ascii="Arial" w:hAnsi="Arial" w:cs="Arial"/>
      <w:szCs w:val="24"/>
      <w:lang w:eastAsia="en-US"/>
    </w:rPr>
  </w:style>
  <w:style w:type="character" w:customStyle="1" w:styleId="170">
    <w:name w:val="style21"/>
    <w:qFormat/>
    <w:uiPriority w:val="0"/>
    <w:rPr>
      <w:b/>
      <w:bCs/>
      <w:sz w:val="28"/>
      <w:szCs w:val="28"/>
    </w:rPr>
  </w:style>
  <w:style w:type="character" w:customStyle="1" w:styleId="171">
    <w:name w:val="标书正文:  0.74 厘米 Char1"/>
    <w:qFormat/>
    <w:uiPriority w:val="0"/>
    <w:rPr>
      <w:rFonts w:eastAsia="宋体"/>
      <w:kern w:val="2"/>
      <w:sz w:val="24"/>
      <w:lang w:val="en-US" w:eastAsia="zh-CN"/>
    </w:rPr>
  </w:style>
  <w:style w:type="character" w:customStyle="1" w:styleId="172">
    <w:name w:val="Char Char4"/>
    <w:qFormat/>
    <w:uiPriority w:val="0"/>
    <w:rPr>
      <w:rFonts w:eastAsia="宋体"/>
      <w:b/>
      <w:kern w:val="2"/>
      <w:sz w:val="21"/>
      <w:lang w:val="en-US" w:eastAsia="zh-CN"/>
    </w:rPr>
  </w:style>
  <w:style w:type="character" w:customStyle="1" w:styleId="173">
    <w:name w:val="style121"/>
    <w:qFormat/>
    <w:uiPriority w:val="0"/>
    <w:rPr>
      <w:rFonts w:hint="eastAsia" w:ascii="宋体" w:hAnsi="宋体" w:eastAsia="宋体"/>
      <w:sz w:val="18"/>
      <w:szCs w:val="18"/>
    </w:rPr>
  </w:style>
  <w:style w:type="character" w:customStyle="1" w:styleId="174">
    <w:name w:val="引用 Char1"/>
    <w:qFormat/>
    <w:uiPriority w:val="99"/>
    <w:rPr>
      <w:i/>
      <w:iCs/>
      <w:color w:val="404040"/>
      <w:kern w:val="2"/>
      <w:sz w:val="28"/>
    </w:rPr>
  </w:style>
  <w:style w:type="character" w:customStyle="1" w:styleId="175">
    <w:name w:val="明显引用 Char1"/>
    <w:qFormat/>
    <w:uiPriority w:val="99"/>
    <w:rPr>
      <w:i/>
      <w:iCs/>
      <w:color w:val="5B9BD5"/>
      <w:kern w:val="2"/>
      <w:sz w:val="28"/>
    </w:rPr>
  </w:style>
  <w:style w:type="character" w:customStyle="1" w:styleId="176">
    <w:name w:val="正文文本缩进 Char1"/>
    <w:basedOn w:val="67"/>
    <w:link w:val="24"/>
    <w:qFormat/>
    <w:uiPriority w:val="99"/>
    <w:rPr>
      <w:rFonts w:ascii="Times New Roman" w:hAnsi="Times New Roman" w:eastAsia="宋体" w:cs="Times New Roman"/>
      <w:sz w:val="28"/>
      <w:szCs w:val="20"/>
    </w:rPr>
  </w:style>
  <w:style w:type="character" w:customStyle="1" w:styleId="177">
    <w:name w:val="正文首行缩进 2 Char1"/>
    <w:basedOn w:val="176"/>
    <w:qFormat/>
    <w:uiPriority w:val="99"/>
    <w:rPr>
      <w:rFonts w:ascii="Times New Roman" w:hAnsi="Times New Roman" w:eastAsia="宋体" w:cs="Times New Roman"/>
      <w:sz w:val="28"/>
      <w:szCs w:val="20"/>
    </w:rPr>
  </w:style>
  <w:style w:type="character" w:customStyle="1" w:styleId="178">
    <w:name w:val="正文文本缩进 3 Char1"/>
    <w:basedOn w:val="67"/>
    <w:qFormat/>
    <w:uiPriority w:val="99"/>
    <w:rPr>
      <w:rFonts w:ascii="Times New Roman" w:hAnsi="Times New Roman" w:eastAsia="宋体" w:cs="Times New Roman"/>
      <w:sz w:val="16"/>
      <w:szCs w:val="16"/>
    </w:rPr>
  </w:style>
  <w:style w:type="character" w:customStyle="1" w:styleId="179">
    <w:name w:val="副标题 Char2"/>
    <w:basedOn w:val="67"/>
    <w:qFormat/>
    <w:uiPriority w:val="11"/>
    <w:rPr>
      <w:rFonts w:ascii="Calibri Light" w:hAnsi="Calibri Light" w:eastAsia="宋体" w:cs="宋体"/>
      <w:b/>
      <w:bCs/>
      <w:kern w:val="28"/>
      <w:sz w:val="32"/>
      <w:szCs w:val="32"/>
    </w:rPr>
  </w:style>
  <w:style w:type="paragraph" w:customStyle="1" w:styleId="180">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81">
    <w:name w:val="样式 正文首行缩进 2 + 首行缩进:  2 字符"/>
    <w:basedOn w:val="1"/>
    <w:qFormat/>
    <w:uiPriority w:val="0"/>
    <w:pPr>
      <w:numPr>
        <w:ilvl w:val="0"/>
        <w:numId w:val="4"/>
      </w:numPr>
      <w:adjustRightInd w:val="0"/>
      <w:snapToGrid w:val="0"/>
      <w:spacing w:line="360" w:lineRule="auto"/>
    </w:pPr>
    <w:rPr>
      <w:rFonts w:ascii="Arial" w:hAnsi="Arial"/>
      <w:b/>
      <w:sz w:val="24"/>
    </w:rPr>
  </w:style>
  <w:style w:type="character" w:customStyle="1" w:styleId="182">
    <w:name w:val="页眉 Char1"/>
    <w:basedOn w:val="67"/>
    <w:qFormat/>
    <w:uiPriority w:val="99"/>
    <w:rPr>
      <w:rFonts w:ascii="Times New Roman" w:hAnsi="Times New Roman" w:eastAsia="宋体" w:cs="Times New Roman"/>
      <w:sz w:val="18"/>
      <w:szCs w:val="18"/>
    </w:rPr>
  </w:style>
  <w:style w:type="character" w:customStyle="1" w:styleId="183">
    <w:name w:val="标题 Char1"/>
    <w:basedOn w:val="67"/>
    <w:qFormat/>
    <w:uiPriority w:val="10"/>
    <w:rPr>
      <w:rFonts w:ascii="Calibri Light" w:hAnsi="Calibri Light" w:eastAsia="宋体" w:cs="宋体"/>
      <w:b/>
      <w:bCs/>
      <w:sz w:val="32"/>
      <w:szCs w:val="32"/>
    </w:rPr>
  </w:style>
  <w:style w:type="character" w:customStyle="1" w:styleId="184">
    <w:name w:val="正文文本 2 Char"/>
    <w:basedOn w:val="67"/>
    <w:link w:val="54"/>
    <w:qFormat/>
    <w:uiPriority w:val="0"/>
    <w:rPr>
      <w:rFonts w:ascii="Times New Roman" w:hAnsi="Times New Roman" w:eastAsia="宋体" w:cs="Times New Roman"/>
      <w:sz w:val="24"/>
      <w:szCs w:val="20"/>
    </w:rPr>
  </w:style>
  <w:style w:type="character" w:customStyle="1" w:styleId="185">
    <w:name w:val="日期 Char1"/>
    <w:basedOn w:val="67"/>
    <w:qFormat/>
    <w:uiPriority w:val="99"/>
    <w:rPr>
      <w:rFonts w:ascii="Times New Roman" w:hAnsi="Times New Roman" w:eastAsia="宋体" w:cs="Times New Roman"/>
      <w:sz w:val="28"/>
      <w:szCs w:val="20"/>
    </w:rPr>
  </w:style>
  <w:style w:type="paragraph" w:customStyle="1" w:styleId="186">
    <w:name w:val="正文字缩2字"/>
    <w:basedOn w:val="1"/>
    <w:qFormat/>
    <w:uiPriority w:val="0"/>
    <w:pPr>
      <w:spacing w:before="60" w:after="60" w:line="360" w:lineRule="auto"/>
      <w:ind w:left="200" w:leftChars="200" w:firstLine="200" w:firstLineChars="200"/>
    </w:pPr>
    <w:rPr>
      <w:sz w:val="24"/>
    </w:rPr>
  </w:style>
  <w:style w:type="character" w:customStyle="1" w:styleId="187">
    <w:name w:val="批注文字 Char1"/>
    <w:basedOn w:val="67"/>
    <w:link w:val="20"/>
    <w:qFormat/>
    <w:uiPriority w:val="99"/>
    <w:rPr>
      <w:rFonts w:ascii="Times New Roman" w:hAnsi="Times New Roman" w:eastAsia="宋体" w:cs="Times New Roman"/>
      <w:sz w:val="28"/>
      <w:szCs w:val="20"/>
    </w:rPr>
  </w:style>
  <w:style w:type="character" w:customStyle="1" w:styleId="188">
    <w:name w:val="批注主题 Char2"/>
    <w:basedOn w:val="187"/>
    <w:qFormat/>
    <w:uiPriority w:val="99"/>
    <w:rPr>
      <w:rFonts w:ascii="Times New Roman" w:hAnsi="Times New Roman" w:eastAsia="宋体" w:cs="Times New Roman"/>
      <w:b/>
      <w:bCs/>
      <w:sz w:val="28"/>
      <w:szCs w:val="20"/>
    </w:rPr>
  </w:style>
  <w:style w:type="character" w:customStyle="1" w:styleId="189">
    <w:name w:val="正文文本 Char1"/>
    <w:basedOn w:val="67"/>
    <w:qFormat/>
    <w:uiPriority w:val="99"/>
    <w:rPr>
      <w:rFonts w:ascii="Times New Roman" w:hAnsi="Times New Roman" w:eastAsia="宋体" w:cs="Times New Roman"/>
      <w:sz w:val="28"/>
      <w:szCs w:val="20"/>
    </w:rPr>
  </w:style>
  <w:style w:type="paragraph" w:customStyle="1" w:styleId="190">
    <w:name w:val="文章正文"/>
    <w:basedOn w:val="1"/>
    <w:qFormat/>
    <w:uiPriority w:val="0"/>
    <w:pPr>
      <w:ind w:firstLine="560" w:firstLineChars="200"/>
    </w:pPr>
    <w:rPr>
      <w:rFonts w:ascii="仿宋_GB2312" w:hAnsi="宋体" w:eastAsia="仿宋_GB2312"/>
      <w:color w:val="000000"/>
    </w:rPr>
  </w:style>
  <w:style w:type="character" w:customStyle="1" w:styleId="191">
    <w:name w:val="正文文本 3 Char1"/>
    <w:basedOn w:val="67"/>
    <w:qFormat/>
    <w:uiPriority w:val="99"/>
    <w:rPr>
      <w:rFonts w:ascii="Times New Roman" w:hAnsi="Times New Roman" w:eastAsia="宋体" w:cs="Times New Roman"/>
      <w:sz w:val="16"/>
      <w:szCs w:val="16"/>
    </w:rPr>
  </w:style>
  <w:style w:type="character" w:customStyle="1" w:styleId="192">
    <w:name w:val="文档结构图 Char1"/>
    <w:basedOn w:val="67"/>
    <w:qFormat/>
    <w:uiPriority w:val="99"/>
    <w:rPr>
      <w:rFonts w:ascii="Microsoft YaHei UI" w:hAnsi="Times New Roman" w:eastAsia="Microsoft YaHei UI" w:cs="Times New Roman"/>
      <w:sz w:val="18"/>
      <w:szCs w:val="18"/>
    </w:rPr>
  </w:style>
  <w:style w:type="paragraph" w:customStyle="1" w:styleId="193">
    <w:name w:val="表头样式"/>
    <w:basedOn w:val="1"/>
    <w:qFormat/>
    <w:uiPriority w:val="0"/>
    <w:pPr>
      <w:autoSpaceDE w:val="0"/>
      <w:autoSpaceDN w:val="0"/>
      <w:adjustRightInd w:val="0"/>
      <w:spacing w:line="360" w:lineRule="auto"/>
      <w:jc w:val="left"/>
    </w:pPr>
    <w:rPr>
      <w:b/>
      <w:kern w:val="0"/>
      <w:sz w:val="21"/>
    </w:rPr>
  </w:style>
  <w:style w:type="character" w:customStyle="1" w:styleId="194">
    <w:name w:val="纯文本 Char1"/>
    <w:basedOn w:val="67"/>
    <w:qFormat/>
    <w:uiPriority w:val="99"/>
    <w:rPr>
      <w:rFonts w:ascii="宋体" w:hAnsi="Courier New" w:eastAsia="宋体" w:cs="Courier New"/>
      <w:szCs w:val="21"/>
    </w:rPr>
  </w:style>
  <w:style w:type="character" w:customStyle="1" w:styleId="195">
    <w:name w:val="批注框文本 Char1"/>
    <w:basedOn w:val="67"/>
    <w:qFormat/>
    <w:uiPriority w:val="99"/>
    <w:rPr>
      <w:rFonts w:ascii="Times New Roman" w:hAnsi="Times New Roman" w:eastAsia="宋体" w:cs="Times New Roman"/>
      <w:sz w:val="18"/>
      <w:szCs w:val="18"/>
    </w:rPr>
  </w:style>
  <w:style w:type="paragraph" w:customStyle="1" w:styleId="196">
    <w:name w:val="WW-表格标题"/>
    <w:basedOn w:val="197"/>
    <w:qFormat/>
    <w:uiPriority w:val="0"/>
  </w:style>
  <w:style w:type="paragraph" w:customStyle="1" w:styleId="197">
    <w:name w:val="WW-表格内容"/>
    <w:basedOn w:val="1"/>
    <w:qFormat/>
    <w:uiPriority w:val="0"/>
    <w:pPr>
      <w:suppressLineNumbers/>
      <w:suppressAutoHyphens/>
    </w:pPr>
    <w:rPr>
      <w:rFonts w:ascii="Calibri" w:hAnsi="Calibri"/>
      <w:sz w:val="21"/>
      <w:szCs w:val="24"/>
    </w:rPr>
  </w:style>
  <w:style w:type="character" w:customStyle="1" w:styleId="198">
    <w:name w:val="正文文本缩进 2 Char1"/>
    <w:basedOn w:val="67"/>
    <w:qFormat/>
    <w:uiPriority w:val="99"/>
    <w:rPr>
      <w:rFonts w:ascii="Times New Roman" w:hAnsi="Times New Roman" w:eastAsia="宋体" w:cs="Times New Roman"/>
      <w:sz w:val="28"/>
      <w:szCs w:val="20"/>
    </w:rPr>
  </w:style>
  <w:style w:type="character" w:customStyle="1" w:styleId="199">
    <w:name w:val="正文首行缩进 Char"/>
    <w:basedOn w:val="189"/>
    <w:link w:val="63"/>
    <w:qFormat/>
    <w:uiPriority w:val="0"/>
    <w:rPr>
      <w:rFonts w:ascii="宋体" w:hAnsi="宋体" w:eastAsia="宋体" w:cs="Times New Roman"/>
      <w:sz w:val="24"/>
      <w:szCs w:val="20"/>
    </w:rPr>
  </w:style>
  <w:style w:type="paragraph" w:customStyle="1" w:styleId="200">
    <w:name w:val="表号"/>
    <w:basedOn w:val="1"/>
    <w:qFormat/>
    <w:uiPriority w:val="0"/>
    <w:pPr>
      <w:numPr>
        <w:ilvl w:val="0"/>
        <w:numId w:val="5"/>
      </w:numPr>
      <w:tabs>
        <w:tab w:val="clear" w:pos="360"/>
      </w:tabs>
      <w:autoSpaceDE w:val="0"/>
      <w:autoSpaceDN w:val="0"/>
      <w:adjustRightInd w:val="0"/>
      <w:spacing w:before="210" w:after="210"/>
      <w:ind w:left="425" w:hanging="137"/>
      <w:jc w:val="center"/>
    </w:pPr>
    <w:rPr>
      <w:kern w:val="0"/>
      <w:sz w:val="21"/>
      <w:lang w:eastAsia="en-US"/>
    </w:rPr>
  </w:style>
  <w:style w:type="character" w:customStyle="1" w:styleId="201">
    <w:name w:val="脚注文本 Char1"/>
    <w:basedOn w:val="67"/>
    <w:qFormat/>
    <w:uiPriority w:val="99"/>
    <w:rPr>
      <w:rFonts w:ascii="Times New Roman" w:hAnsi="Times New Roman" w:eastAsia="宋体" w:cs="Times New Roman"/>
      <w:sz w:val="18"/>
      <w:szCs w:val="18"/>
    </w:rPr>
  </w:style>
  <w:style w:type="character" w:customStyle="1" w:styleId="202">
    <w:name w:val="尾注文本 Char2"/>
    <w:basedOn w:val="67"/>
    <w:qFormat/>
    <w:uiPriority w:val="99"/>
    <w:rPr>
      <w:rFonts w:ascii="Times New Roman" w:hAnsi="Times New Roman" w:eastAsia="宋体" w:cs="Times New Roman"/>
      <w:sz w:val="28"/>
      <w:szCs w:val="20"/>
    </w:rPr>
  </w:style>
  <w:style w:type="character" w:customStyle="1" w:styleId="203">
    <w:name w:val="HTML 预设格式 Char2"/>
    <w:basedOn w:val="67"/>
    <w:qFormat/>
    <w:uiPriority w:val="99"/>
    <w:rPr>
      <w:rFonts w:ascii="Courier New" w:hAnsi="Courier New" w:eastAsia="宋体" w:cs="Courier New"/>
      <w:sz w:val="20"/>
      <w:szCs w:val="20"/>
    </w:rPr>
  </w:style>
  <w:style w:type="character" w:customStyle="1" w:styleId="204">
    <w:name w:val="页脚 Char1"/>
    <w:basedOn w:val="67"/>
    <w:qFormat/>
    <w:uiPriority w:val="99"/>
    <w:rPr>
      <w:rFonts w:ascii="Times New Roman" w:hAnsi="Times New Roman" w:eastAsia="宋体" w:cs="Times New Roman"/>
      <w:sz w:val="18"/>
      <w:szCs w:val="18"/>
    </w:rPr>
  </w:style>
  <w:style w:type="paragraph" w:customStyle="1" w:styleId="205">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06">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207">
    <w:name w:val="表格标题"/>
    <w:basedOn w:val="208"/>
    <w:qFormat/>
    <w:uiPriority w:val="0"/>
  </w:style>
  <w:style w:type="paragraph" w:customStyle="1" w:styleId="208">
    <w:name w:val="表格内容"/>
    <w:basedOn w:val="1"/>
    <w:qFormat/>
    <w:uiPriority w:val="0"/>
    <w:pPr>
      <w:suppressLineNumbers/>
      <w:suppressAutoHyphens/>
    </w:pPr>
    <w:rPr>
      <w:rFonts w:ascii="Calibri" w:hAnsi="Calibri"/>
      <w:sz w:val="21"/>
      <w:szCs w:val="24"/>
    </w:rPr>
  </w:style>
  <w:style w:type="paragraph" w:customStyle="1" w:styleId="209">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10">
    <w:name w:val="Title - Revision"/>
    <w:basedOn w:val="61"/>
    <w:qFormat/>
    <w:uiPriority w:val="0"/>
    <w:pPr>
      <w:spacing w:before="720"/>
    </w:pPr>
  </w:style>
  <w:style w:type="paragraph" w:customStyle="1" w:styleId="211">
    <w:name w:val="Char Char Char Char Char Char Char Char Char Char Char Char Char Char Char Char"/>
    <w:basedOn w:val="1"/>
    <w:qFormat/>
    <w:uiPriority w:val="0"/>
    <w:pPr>
      <w:tabs>
        <w:tab w:val="left" w:pos="360"/>
      </w:tabs>
    </w:pPr>
    <w:rPr>
      <w:sz w:val="24"/>
    </w:rPr>
  </w:style>
  <w:style w:type="paragraph" w:customStyle="1" w:styleId="212">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13">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4">
    <w:name w:val="样式1xz"/>
    <w:basedOn w:val="1"/>
    <w:qFormat/>
    <w:uiPriority w:val="0"/>
    <w:pPr>
      <w:tabs>
        <w:tab w:val="left" w:pos="1050"/>
        <w:tab w:val="right" w:leader="dot" w:pos="8296"/>
      </w:tabs>
    </w:pPr>
    <w:rPr>
      <w:caps/>
      <w:spacing w:val="20"/>
      <w:sz w:val="24"/>
    </w:rPr>
  </w:style>
  <w:style w:type="paragraph" w:customStyle="1" w:styleId="215">
    <w:name w:val="Char Char Char Char Char"/>
    <w:basedOn w:val="1"/>
    <w:qFormat/>
    <w:uiPriority w:val="0"/>
    <w:pPr>
      <w:tabs>
        <w:tab w:val="left" w:pos="425"/>
      </w:tabs>
      <w:ind w:left="1620" w:hanging="360"/>
    </w:pPr>
    <w:rPr>
      <w:rFonts w:ascii="Tahoma" w:hAnsi="Tahoma"/>
      <w:sz w:val="24"/>
    </w:rPr>
  </w:style>
  <w:style w:type="paragraph" w:customStyle="1" w:styleId="21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17">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18">
    <w:name w:val="标准正文"/>
    <w:basedOn w:val="24"/>
    <w:qFormat/>
    <w:uiPriority w:val="0"/>
    <w:pPr>
      <w:spacing w:before="60" w:after="60" w:line="360" w:lineRule="auto"/>
      <w:ind w:left="0" w:leftChars="0" w:firstLine="482"/>
    </w:pPr>
    <w:rPr>
      <w:rFonts w:ascii="Arial" w:hAnsi="Arial"/>
      <w:sz w:val="24"/>
    </w:rPr>
  </w:style>
  <w:style w:type="paragraph" w:customStyle="1" w:styleId="219">
    <w:name w:val="样式 宋体 五号 行距: 单倍行距"/>
    <w:basedOn w:val="1"/>
    <w:qFormat/>
    <w:uiPriority w:val="0"/>
    <w:pPr>
      <w:adjustRightInd w:val="0"/>
      <w:jc w:val="left"/>
    </w:pPr>
    <w:rPr>
      <w:rFonts w:ascii="宋体" w:hAnsi="宋体"/>
      <w:kern w:val="0"/>
      <w:sz w:val="21"/>
    </w:rPr>
  </w:style>
  <w:style w:type="paragraph" w:customStyle="1" w:styleId="220">
    <w:name w:val="Char1 Char Char Char"/>
    <w:basedOn w:val="1"/>
    <w:qFormat/>
    <w:uiPriority w:val="0"/>
    <w:rPr>
      <w:rFonts w:ascii="Tahoma" w:hAnsi="Tahoma"/>
      <w:sz w:val="24"/>
    </w:rPr>
  </w:style>
  <w:style w:type="paragraph" w:customStyle="1" w:styleId="221">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22">
    <w:name w:val="段落正文"/>
    <w:basedOn w:val="1"/>
    <w:qFormat/>
    <w:uiPriority w:val="0"/>
    <w:pPr>
      <w:spacing w:before="156" w:beforeLines="50" w:line="360" w:lineRule="auto"/>
      <w:ind w:firstLine="200" w:firstLineChars="200"/>
    </w:pPr>
    <w:rPr>
      <w:spacing w:val="2"/>
      <w:sz w:val="24"/>
    </w:rPr>
  </w:style>
  <w:style w:type="paragraph" w:customStyle="1" w:styleId="223">
    <w:name w:val="Title - Date"/>
    <w:basedOn w:val="61"/>
    <w:next w:val="1"/>
    <w:qFormat/>
    <w:uiPriority w:val="0"/>
    <w:pPr>
      <w:spacing w:before="240" w:after="720"/>
    </w:pPr>
    <w:rPr>
      <w:sz w:val="28"/>
    </w:rPr>
  </w:style>
  <w:style w:type="paragraph" w:customStyle="1" w:styleId="224">
    <w:name w:val="00"/>
    <w:basedOn w:val="1"/>
    <w:qFormat/>
    <w:uiPriority w:val="0"/>
    <w:pPr>
      <w:autoSpaceDE w:val="0"/>
      <w:autoSpaceDN w:val="0"/>
      <w:adjustRightInd w:val="0"/>
      <w:jc w:val="left"/>
    </w:pPr>
    <w:rPr>
      <w:rFonts w:ascii="黑体" w:eastAsia="黑体"/>
      <w:b/>
      <w:kern w:val="0"/>
      <w:sz w:val="20"/>
    </w:rPr>
  </w:style>
  <w:style w:type="paragraph" w:customStyle="1" w:styleId="225">
    <w:name w:val="pa-27"/>
    <w:basedOn w:val="1"/>
    <w:qFormat/>
    <w:uiPriority w:val="0"/>
    <w:pPr>
      <w:widowControl/>
      <w:spacing w:line="360" w:lineRule="atLeast"/>
      <w:ind w:firstLine="420"/>
    </w:pPr>
    <w:rPr>
      <w:rFonts w:ascii="宋体" w:hAnsi="宋体" w:cs="宋体"/>
      <w:kern w:val="0"/>
      <w:sz w:val="24"/>
      <w:szCs w:val="24"/>
    </w:rPr>
  </w:style>
  <w:style w:type="paragraph" w:customStyle="1" w:styleId="226">
    <w:name w:val="正文4"/>
    <w:basedOn w:val="1"/>
    <w:qFormat/>
    <w:uiPriority w:val="0"/>
    <w:pPr>
      <w:tabs>
        <w:tab w:val="left" w:pos="1275"/>
      </w:tabs>
      <w:spacing w:before="60" w:after="60" w:line="360" w:lineRule="auto"/>
      <w:ind w:left="820" w:leftChars="400" w:hanging="705"/>
    </w:pPr>
    <w:rPr>
      <w:sz w:val="24"/>
    </w:rPr>
  </w:style>
  <w:style w:type="paragraph" w:customStyle="1" w:styleId="227">
    <w:name w:val="TOC Heading_628a5cda-1b0f-415f-b4e5-c21c51a3073f"/>
    <w:basedOn w:val="2"/>
    <w:next w:val="1"/>
    <w:qFormat/>
    <w:uiPriority w:val="0"/>
    <w:pPr>
      <w:keepLines/>
      <w:widowControl/>
      <w:snapToGrid/>
      <w:spacing w:before="480" w:line="276" w:lineRule="auto"/>
      <w:jc w:val="left"/>
      <w:outlineLvl w:val="9"/>
    </w:pPr>
    <w:rPr>
      <w:rFonts w:ascii="Cambria" w:hAnsi="Cambria"/>
      <w:b/>
      <w:bCs/>
      <w:color w:val="365F91"/>
      <w:kern w:val="0"/>
      <w:szCs w:val="28"/>
    </w:rPr>
  </w:style>
  <w:style w:type="paragraph" w:customStyle="1" w:styleId="228">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229">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30">
    <w:name w:val="af"/>
    <w:basedOn w:val="1"/>
    <w:qFormat/>
    <w:uiPriority w:val="0"/>
    <w:pPr>
      <w:widowControl/>
      <w:spacing w:line="300" w:lineRule="atLeast"/>
      <w:jc w:val="left"/>
    </w:pPr>
    <w:rPr>
      <w:rFonts w:ascii="宋体" w:hAnsi="宋体"/>
      <w:kern w:val="0"/>
      <w:sz w:val="18"/>
    </w:rPr>
  </w:style>
  <w:style w:type="paragraph" w:customStyle="1" w:styleId="231">
    <w:name w:val="Table Contents"/>
    <w:basedOn w:val="23"/>
    <w:qFormat/>
    <w:uiPriority w:val="0"/>
    <w:pPr>
      <w:suppressAutoHyphens/>
      <w:jc w:val="left"/>
    </w:pPr>
    <w:rPr>
      <w:rFonts w:ascii="Times New Roman" w:eastAsia="Times New Roman"/>
      <w:kern w:val="0"/>
      <w:sz w:val="24"/>
    </w:rPr>
  </w:style>
  <w:style w:type="paragraph" w:customStyle="1" w:styleId="232">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3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34">
    <w:name w:val="文本框样式1"/>
    <w:basedOn w:val="1"/>
    <w:qFormat/>
    <w:uiPriority w:val="0"/>
    <w:pPr>
      <w:adjustRightInd w:val="0"/>
      <w:snapToGrid w:val="0"/>
      <w:spacing w:before="60" w:line="180" w:lineRule="exact"/>
      <w:jc w:val="center"/>
    </w:pPr>
    <w:rPr>
      <w:sz w:val="21"/>
    </w:rPr>
  </w:style>
  <w:style w:type="paragraph" w:customStyle="1" w:styleId="235">
    <w:name w:val="正文表格"/>
    <w:basedOn w:val="1"/>
    <w:qFormat/>
    <w:uiPriority w:val="0"/>
    <w:pPr>
      <w:adjustRightInd w:val="0"/>
      <w:spacing w:before="40" w:after="40"/>
    </w:pPr>
    <w:rPr>
      <w:sz w:val="24"/>
    </w:rPr>
  </w:style>
  <w:style w:type="paragraph" w:customStyle="1" w:styleId="236">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 w:val="21"/>
    </w:rPr>
  </w:style>
  <w:style w:type="paragraph" w:customStyle="1" w:styleId="23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38">
    <w:name w:val="zz"/>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239">
    <w:name w:val="样式1"/>
    <w:basedOn w:val="5"/>
    <w:qFormat/>
    <w:uiPriority w:val="0"/>
    <w:pPr>
      <w:tabs>
        <w:tab w:val="left" w:pos="720"/>
      </w:tabs>
      <w:spacing w:before="500" w:after="260" w:line="560" w:lineRule="atLeast"/>
      <w:ind w:left="420" w:hanging="420"/>
    </w:pPr>
  </w:style>
  <w:style w:type="paragraph" w:customStyle="1" w:styleId="240">
    <w:name w:val="Char Char Char Char Char Char Char"/>
    <w:basedOn w:val="18"/>
    <w:qFormat/>
    <w:uiPriority w:val="0"/>
    <w:rPr>
      <w:rFonts w:ascii="宋体" w:hAnsi="Tahoma"/>
    </w:rPr>
  </w:style>
  <w:style w:type="paragraph" w:customStyle="1" w:styleId="241">
    <w:name w:val="样式 正文文本缩进 + 左  0 字符"/>
    <w:basedOn w:val="1"/>
    <w:qFormat/>
    <w:uiPriority w:val="0"/>
    <w:pPr>
      <w:spacing w:line="360" w:lineRule="auto"/>
      <w:ind w:firstLine="250" w:firstLineChars="250"/>
    </w:pPr>
    <w:rPr>
      <w:rFonts w:cs="宋体"/>
      <w:sz w:val="24"/>
    </w:rPr>
  </w:style>
  <w:style w:type="paragraph" w:customStyle="1" w:styleId="242">
    <w:name w:val="首行缩进"/>
    <w:basedOn w:val="1"/>
    <w:qFormat/>
    <w:uiPriority w:val="0"/>
    <w:pPr>
      <w:numPr>
        <w:ilvl w:val="0"/>
        <w:numId w:val="7"/>
      </w:numPr>
      <w:spacing w:line="360" w:lineRule="auto"/>
    </w:pPr>
    <w:rPr>
      <w:rFonts w:eastAsia="仿宋_GB2312"/>
    </w:rPr>
  </w:style>
  <w:style w:type="paragraph" w:customStyle="1" w:styleId="243">
    <w:name w:val="3"/>
    <w:next w:val="1"/>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244">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45">
    <w:name w:val="可研正文"/>
    <w:basedOn w:val="23"/>
    <w:qFormat/>
    <w:uiPriority w:val="0"/>
    <w:pPr>
      <w:adjustRightInd w:val="0"/>
      <w:snapToGrid w:val="0"/>
      <w:spacing w:line="440" w:lineRule="exact"/>
      <w:ind w:firstLine="567"/>
    </w:pPr>
    <w:rPr>
      <w:sz w:val="28"/>
    </w:rPr>
  </w:style>
  <w:style w:type="paragraph" w:customStyle="1" w:styleId="246">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47">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48">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49">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50">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5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53">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54">
    <w:name w:val="标题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5">
    <w:name w:val="章标题"/>
    <w:next w:val="1"/>
    <w:qFormat/>
    <w:uiPriority w:val="0"/>
    <w:pPr>
      <w:numPr>
        <w:ilvl w:val="1"/>
        <w:numId w:val="8"/>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256">
    <w:name w:val="rw"/>
    <w:basedOn w:val="1"/>
    <w:qFormat/>
    <w:uiPriority w:val="0"/>
    <w:pPr>
      <w:widowControl/>
      <w:spacing w:before="30"/>
      <w:ind w:left="100" w:right="100"/>
      <w:jc w:val="right"/>
    </w:pPr>
    <w:rPr>
      <w:rFonts w:ascii="方正仿宋简体" w:hAnsi="宋体" w:eastAsia="方正仿宋简体"/>
      <w:color w:val="000000"/>
      <w:kern w:val="0"/>
      <w:sz w:val="21"/>
      <w:szCs w:val="21"/>
    </w:rPr>
  </w:style>
  <w:style w:type="paragraph" w:customStyle="1" w:styleId="257">
    <w:name w:val="Note"/>
    <w:basedOn w:val="1"/>
    <w:qFormat/>
    <w:uiPriority w:val="0"/>
    <w:pPr>
      <w:pBdr>
        <w:top w:val="single" w:color="auto" w:sz="12" w:space="3"/>
        <w:bottom w:val="single" w:color="auto" w:sz="12" w:space="3"/>
      </w:pBdr>
      <w:spacing w:line="360" w:lineRule="auto"/>
    </w:pPr>
    <w:rPr>
      <w:sz w:val="24"/>
    </w:rPr>
  </w:style>
  <w:style w:type="paragraph" w:customStyle="1" w:styleId="258">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5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0">
    <w:name w:val="列出段落1"/>
    <w:basedOn w:val="1"/>
    <w:qFormat/>
    <w:uiPriority w:val="34"/>
    <w:pPr>
      <w:ind w:firstLine="420" w:firstLineChars="200"/>
    </w:pPr>
    <w:rPr>
      <w:rFonts w:ascii="Calibri" w:hAnsi="Calibri"/>
      <w:sz w:val="21"/>
      <w:szCs w:val="24"/>
    </w:rPr>
  </w:style>
  <w:style w:type="paragraph" w:customStyle="1" w:styleId="261">
    <w:name w:val="样式 正文缩进正文（首行缩进两字）表正文正文非缩进特点标题4段1 + 首行缩进:  2 字符"/>
    <w:basedOn w:val="16"/>
    <w:qFormat/>
    <w:uiPriority w:val="0"/>
    <w:pPr>
      <w:ind w:firstLine="480" w:firstLineChars="200"/>
    </w:pPr>
  </w:style>
  <w:style w:type="paragraph" w:customStyle="1" w:styleId="262">
    <w:name w:val="Char Char 字元 字元 字元 Char Char Char Char"/>
    <w:basedOn w:val="1"/>
    <w:qFormat/>
    <w:uiPriority w:val="0"/>
    <w:pPr>
      <w:adjustRightInd w:val="0"/>
      <w:spacing w:line="360" w:lineRule="auto"/>
    </w:pPr>
    <w:rPr>
      <w:kern w:val="0"/>
      <w:sz w:val="24"/>
    </w:rPr>
  </w:style>
  <w:style w:type="paragraph" w:customStyle="1" w:styleId="263">
    <w:name w:val="表格"/>
    <w:basedOn w:val="1"/>
    <w:qFormat/>
    <w:uiPriority w:val="0"/>
    <w:pPr>
      <w:jc w:val="center"/>
      <w:textAlignment w:val="center"/>
    </w:pPr>
    <w:rPr>
      <w:rFonts w:ascii="华文细黑" w:hAnsi="华文细黑"/>
      <w:kern w:val="0"/>
      <w:sz w:val="21"/>
    </w:rPr>
  </w:style>
  <w:style w:type="paragraph" w:customStyle="1" w:styleId="264">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6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6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67">
    <w:name w:val="标书正文:  0.74 厘米"/>
    <w:basedOn w:val="1"/>
    <w:qFormat/>
    <w:uiPriority w:val="0"/>
    <w:pPr>
      <w:snapToGrid w:val="0"/>
      <w:spacing w:line="360" w:lineRule="auto"/>
      <w:ind w:firstLine="420"/>
    </w:pPr>
    <w:rPr>
      <w:sz w:val="24"/>
    </w:rPr>
  </w:style>
  <w:style w:type="paragraph" w:customStyle="1" w:styleId="268">
    <w:name w:val="默认段落字体 Para Char Char Char Char Char Char Char"/>
    <w:basedOn w:val="1"/>
    <w:qFormat/>
    <w:uiPriority w:val="0"/>
    <w:rPr>
      <w:rFonts w:ascii="Tahoma" w:hAnsi="Tahoma"/>
      <w:sz w:val="24"/>
    </w:rPr>
  </w:style>
  <w:style w:type="paragraph" w:customStyle="1" w:styleId="269">
    <w:name w:val="Char"/>
    <w:basedOn w:val="1"/>
    <w:qFormat/>
    <w:uiPriority w:val="0"/>
    <w:pPr>
      <w:spacing w:line="240" w:lineRule="atLeast"/>
      <w:ind w:left="420" w:firstLine="420"/>
    </w:pPr>
    <w:rPr>
      <w:kern w:val="0"/>
      <w:sz w:val="21"/>
    </w:rPr>
  </w:style>
  <w:style w:type="paragraph" w:customStyle="1" w:styleId="270">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271">
    <w:name w:val="一级条标题"/>
    <w:basedOn w:val="255"/>
    <w:next w:val="272"/>
    <w:qFormat/>
    <w:uiPriority w:val="0"/>
    <w:pPr>
      <w:numPr>
        <w:ilvl w:val="0"/>
        <w:numId w:val="0"/>
      </w:numPr>
      <w:spacing w:before="0" w:after="0"/>
      <w:ind w:left="525"/>
      <w:outlineLvl w:val="2"/>
    </w:pPr>
    <w:rPr>
      <w:sz w:val="21"/>
    </w:rPr>
  </w:style>
  <w:style w:type="paragraph" w:customStyle="1" w:styleId="27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3">
    <w:name w:val="p15"/>
    <w:basedOn w:val="1"/>
    <w:qFormat/>
    <w:uiPriority w:val="0"/>
    <w:pPr>
      <w:widowControl/>
      <w:spacing w:after="120"/>
    </w:pPr>
    <w:rPr>
      <w:rFonts w:ascii="Calibri" w:hAnsi="Calibri"/>
      <w:kern w:val="0"/>
      <w:sz w:val="21"/>
      <w:szCs w:val="21"/>
    </w:rPr>
  </w:style>
  <w:style w:type="paragraph" w:customStyle="1" w:styleId="274">
    <w:name w:val="表格文本"/>
    <w:qFormat/>
    <w:uiPriority w:val="0"/>
    <w:pPr>
      <w:tabs>
        <w:tab w:val="decimal" w:pos="0"/>
      </w:tabs>
    </w:pPr>
    <w:rPr>
      <w:rFonts w:ascii="Arial" w:hAnsi="Arial" w:eastAsia="宋体" w:cs="Times New Roman"/>
      <w:sz w:val="21"/>
      <w:lang w:val="en-US" w:eastAsia="zh-CN" w:bidi="ar-SA"/>
    </w:rPr>
  </w:style>
  <w:style w:type="paragraph" w:customStyle="1" w:styleId="275">
    <w:name w:val="样式2"/>
    <w:basedOn w:val="5"/>
    <w:qFormat/>
    <w:uiPriority w:val="0"/>
    <w:pPr>
      <w:numPr>
        <w:ilvl w:val="0"/>
        <w:numId w:val="9"/>
      </w:numPr>
      <w:spacing w:before="560" w:line="400" w:lineRule="exact"/>
      <w:jc w:val="center"/>
      <w:outlineLvl w:val="0"/>
    </w:pPr>
    <w:rPr>
      <w:b w:val="0"/>
      <w:sz w:val="44"/>
    </w:rPr>
  </w:style>
  <w:style w:type="paragraph" w:customStyle="1" w:styleId="276">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77">
    <w:name w:val="首行缩进 1"/>
    <w:basedOn w:val="1"/>
    <w:qFormat/>
    <w:uiPriority w:val="0"/>
    <w:pPr>
      <w:spacing w:after="120" w:line="360" w:lineRule="auto"/>
      <w:ind w:firstLine="200" w:firstLineChars="200"/>
    </w:pPr>
    <w:rPr>
      <w:sz w:val="24"/>
    </w:rPr>
  </w:style>
  <w:style w:type="paragraph" w:customStyle="1" w:styleId="278">
    <w:name w:val="g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9">
    <w:name w:val="表头"/>
    <w:basedOn w:val="1"/>
    <w:qFormat/>
    <w:uiPriority w:val="0"/>
    <w:pPr>
      <w:keepNext/>
      <w:autoSpaceDE w:val="0"/>
      <w:autoSpaceDN w:val="0"/>
      <w:adjustRightInd w:val="0"/>
      <w:spacing w:line="200" w:lineRule="atLeast"/>
    </w:pPr>
    <w:rPr>
      <w:rFonts w:ascii="黑体" w:hAnsi="Calibri" w:eastAsia="黑体"/>
      <w:kern w:val="0"/>
      <w:sz w:val="24"/>
      <w:szCs w:val="24"/>
    </w:rPr>
  </w:style>
  <w:style w:type="paragraph" w:customStyle="1" w:styleId="280">
    <w:name w:val="二级列表"/>
    <w:basedOn w:val="222"/>
    <w:next w:val="222"/>
    <w:qFormat/>
    <w:uiPriority w:val="0"/>
    <w:pPr>
      <w:tabs>
        <w:tab w:val="left" w:pos="2120"/>
      </w:tabs>
      <w:ind w:firstLine="0" w:firstLineChars="0"/>
    </w:pPr>
    <w:rPr>
      <w:b/>
    </w:rPr>
  </w:style>
  <w:style w:type="paragraph" w:customStyle="1" w:styleId="281">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82">
    <w:name w:val="rr"/>
    <w:basedOn w:val="1"/>
    <w:qFormat/>
    <w:uiPriority w:val="0"/>
    <w:pPr>
      <w:widowControl/>
      <w:spacing w:before="100" w:beforeAutospacing="1" w:after="100" w:afterAutospacing="1"/>
      <w:jc w:val="left"/>
    </w:pPr>
    <w:rPr>
      <w:rFonts w:hint="eastAsia" w:ascii="宋体" w:hAnsi="宋体"/>
      <w:kern w:val="0"/>
      <w:sz w:val="21"/>
      <w:szCs w:val="21"/>
    </w:rPr>
  </w:style>
  <w:style w:type="paragraph" w:customStyle="1" w:styleId="283">
    <w:name w:val="列表项目"/>
    <w:basedOn w:val="1"/>
    <w:qFormat/>
    <w:uiPriority w:val="0"/>
    <w:pPr>
      <w:tabs>
        <w:tab w:val="left" w:pos="420"/>
      </w:tabs>
      <w:spacing w:line="288" w:lineRule="auto"/>
      <w:ind w:left="840" w:leftChars="200" w:hanging="420" w:hangingChars="200"/>
    </w:pPr>
    <w:rPr>
      <w:sz w:val="21"/>
    </w:rPr>
  </w:style>
  <w:style w:type="paragraph" w:customStyle="1" w:styleId="284">
    <w:name w:val="Char Char14 Char Char"/>
    <w:basedOn w:val="1"/>
    <w:qFormat/>
    <w:uiPriority w:val="0"/>
    <w:rPr>
      <w:sz w:val="21"/>
      <w:szCs w:val="24"/>
    </w:rPr>
  </w:style>
  <w:style w:type="paragraph" w:customStyle="1" w:styleId="285">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8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87">
    <w:name w:val="表头文本"/>
    <w:qFormat/>
    <w:uiPriority w:val="0"/>
    <w:pPr>
      <w:jc w:val="center"/>
    </w:pPr>
    <w:rPr>
      <w:rFonts w:ascii="Arial" w:hAnsi="Arial" w:eastAsia="宋体" w:cs="Times New Roman"/>
      <w:b/>
      <w:sz w:val="21"/>
      <w:lang w:val="en-US" w:eastAsia="zh-CN" w:bidi="ar-SA"/>
    </w:rPr>
  </w:style>
  <w:style w:type="paragraph" w:customStyle="1" w:styleId="288">
    <w:name w:val="Char Char1 Char"/>
    <w:basedOn w:val="1"/>
    <w:qFormat/>
    <w:uiPriority w:val="0"/>
    <w:rPr>
      <w:rFonts w:ascii="Tahoma" w:hAnsi="Tahoma"/>
      <w:sz w:val="24"/>
      <w:szCs w:val="24"/>
    </w:rPr>
  </w:style>
  <w:style w:type="paragraph" w:customStyle="1" w:styleId="28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90">
    <w:name w:val="列出段落1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291">
    <w:name w:val="表文字"/>
    <w:qFormat/>
    <w:uiPriority w:val="0"/>
    <w:rPr>
      <w:rFonts w:ascii="宋体" w:hAnsi="Times New Roman" w:eastAsia="宋体" w:cs="Times New Roman"/>
      <w:kern w:val="2"/>
      <w:lang w:val="en-US" w:eastAsia="zh-CN" w:bidi="ar-SA"/>
    </w:rPr>
  </w:style>
  <w:style w:type="paragraph" w:customStyle="1" w:styleId="292">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93">
    <w:name w:val="关键词"/>
    <w:basedOn w:val="1"/>
    <w:next w:val="1"/>
    <w:qFormat/>
    <w:uiPriority w:val="0"/>
    <w:pPr>
      <w:spacing w:line="360" w:lineRule="auto"/>
    </w:pPr>
    <w:rPr>
      <w:rFonts w:eastAsia="黑体"/>
      <w:sz w:val="20"/>
    </w:rPr>
  </w:style>
  <w:style w:type="paragraph" w:customStyle="1" w:styleId="294">
    <w:name w:val="样式 标题 3 + (中文) 黑体 小四 非加粗 段前: 7.8 磅 段后: 0 磅 行距: 固定值 20 磅"/>
    <w:basedOn w:val="4"/>
    <w:next w:val="1"/>
    <w:qFormat/>
    <w:uiPriority w:val="0"/>
    <w:pPr>
      <w:spacing w:before="0" w:after="0" w:line="400" w:lineRule="exact"/>
    </w:pPr>
    <w:rPr>
      <w:rFonts w:ascii="Calibri" w:hAnsi="Calibri" w:eastAsia="黑体" w:cs="宋体"/>
      <w:b w:val="0"/>
    </w:rPr>
  </w:style>
  <w:style w:type="paragraph" w:customStyle="1" w:styleId="295">
    <w:name w:val="列出段落2"/>
    <w:basedOn w:val="1"/>
    <w:qFormat/>
    <w:uiPriority w:val="34"/>
    <w:pPr>
      <w:adjustRightInd w:val="0"/>
      <w:snapToGrid w:val="0"/>
      <w:spacing w:line="360" w:lineRule="auto"/>
      <w:ind w:firstLine="420" w:firstLineChars="200"/>
      <w:jc w:val="left"/>
    </w:pPr>
    <w:rPr>
      <w:rFonts w:ascii="宋体" w:hAnsi="宋体"/>
      <w:sz w:val="24"/>
    </w:rPr>
  </w:style>
  <w:style w:type="paragraph" w:customStyle="1" w:styleId="29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customStyle="1" w:styleId="297">
    <w:name w:val="1.正文"/>
    <w:basedOn w:val="1"/>
    <w:qFormat/>
    <w:uiPriority w:val="0"/>
    <w:pPr>
      <w:spacing w:line="360" w:lineRule="auto"/>
      <w:ind w:left="540" w:leftChars="225" w:firstLine="540" w:firstLineChars="225"/>
    </w:pPr>
    <w:rPr>
      <w:sz w:val="24"/>
    </w:rPr>
  </w:style>
  <w:style w:type="paragraph" w:customStyle="1" w:styleId="298">
    <w:name w:val="Char1 Char Char Char1"/>
    <w:basedOn w:val="1"/>
    <w:qFormat/>
    <w:uiPriority w:val="0"/>
    <w:rPr>
      <w:rFonts w:ascii="Tahoma" w:hAnsi="Tahoma"/>
      <w:sz w:val="30"/>
    </w:rPr>
  </w:style>
  <w:style w:type="paragraph" w:customStyle="1" w:styleId="299">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300">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301">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302">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303">
    <w:name w:val="p1"/>
    <w:basedOn w:val="1"/>
    <w:qFormat/>
    <w:uiPriority w:val="0"/>
    <w:pPr>
      <w:widowControl/>
      <w:jc w:val="left"/>
    </w:pPr>
    <w:rPr>
      <w:rFonts w:ascii="仿宋" w:hAnsi="仿宋" w:eastAsia="仿宋"/>
      <w:kern w:val="0"/>
      <w:sz w:val="21"/>
      <w:szCs w:val="21"/>
      <w:lang w:eastAsia="zh-TW"/>
    </w:rPr>
  </w:style>
  <w:style w:type="paragraph" w:customStyle="1" w:styleId="304">
    <w:name w:val="Item Step in Tabl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305">
    <w:name w:val="ly"/>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30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307">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308">
    <w:name w:val="二级条标题"/>
    <w:basedOn w:val="271"/>
    <w:next w:val="272"/>
    <w:qFormat/>
    <w:uiPriority w:val="0"/>
    <w:pPr>
      <w:ind w:left="840"/>
      <w:outlineLvl w:val="3"/>
    </w:pPr>
  </w:style>
  <w:style w:type="paragraph" w:customStyle="1" w:styleId="30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310">
    <w:name w:val="列出段落21"/>
    <w:basedOn w:val="1"/>
    <w:qFormat/>
    <w:uiPriority w:val="34"/>
    <w:pPr>
      <w:spacing w:line="360" w:lineRule="auto"/>
      <w:ind w:firstLine="420" w:firstLineChars="200"/>
    </w:pPr>
    <w:rPr>
      <w:rFonts w:ascii="Calibri" w:hAnsi="Calibri"/>
      <w:sz w:val="21"/>
      <w:szCs w:val="22"/>
    </w:rPr>
  </w:style>
  <w:style w:type="paragraph" w:customStyle="1" w:styleId="311">
    <w:name w:val="正文（首行不缩进）"/>
    <w:basedOn w:val="1"/>
    <w:qFormat/>
    <w:uiPriority w:val="0"/>
    <w:pPr>
      <w:autoSpaceDE w:val="0"/>
      <w:autoSpaceDN w:val="0"/>
      <w:adjustRightInd w:val="0"/>
      <w:spacing w:line="360" w:lineRule="auto"/>
      <w:jc w:val="left"/>
    </w:pPr>
    <w:rPr>
      <w:kern w:val="0"/>
      <w:sz w:val="21"/>
    </w:rPr>
  </w:style>
  <w:style w:type="paragraph" w:customStyle="1" w:styleId="312">
    <w:name w:val="IN Feature"/>
    <w:next w:val="246"/>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313">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314">
    <w:name w:val="附录3"/>
    <w:basedOn w:val="1"/>
    <w:next w:val="1"/>
    <w:qFormat/>
    <w:uiPriority w:val="0"/>
    <w:pPr>
      <w:tabs>
        <w:tab w:val="left" w:pos="851"/>
      </w:tabs>
      <w:ind w:left="425" w:hanging="425"/>
      <w:outlineLvl w:val="2"/>
    </w:pPr>
    <w:rPr>
      <w:rFonts w:eastAsia="黑体"/>
      <w:b/>
      <w:sz w:val="32"/>
    </w:rPr>
  </w:style>
  <w:style w:type="paragraph" w:customStyle="1" w:styleId="315">
    <w:name w:val="Char2 Char Char Char Char Char Char"/>
    <w:basedOn w:val="1"/>
    <w:qFormat/>
    <w:uiPriority w:val="0"/>
    <w:rPr>
      <w:rFonts w:ascii="仿宋_GB2312"/>
      <w:b/>
      <w:sz w:val="30"/>
    </w:rPr>
  </w:style>
  <w:style w:type="character" w:customStyle="1" w:styleId="316">
    <w:name w:val="明显引用 Char2"/>
    <w:basedOn w:val="67"/>
    <w:qFormat/>
    <w:uiPriority w:val="30"/>
    <w:rPr>
      <w:rFonts w:ascii="Times New Roman" w:hAnsi="Times New Roman" w:eastAsia="宋体" w:cs="Times New Roman"/>
      <w:i/>
      <w:iCs/>
      <w:color w:val="5B9BD5"/>
      <w:sz w:val="28"/>
      <w:szCs w:val="20"/>
    </w:rPr>
  </w:style>
  <w:style w:type="paragraph" w:customStyle="1" w:styleId="317">
    <w:name w:val="_"/>
    <w:basedOn w:val="1"/>
    <w:qFormat/>
    <w:uiPriority w:val="0"/>
    <w:pPr>
      <w:adjustRightInd w:val="0"/>
      <w:spacing w:line="360" w:lineRule="auto"/>
      <w:ind w:left="480" w:firstLine="200" w:firstLineChars="200"/>
      <w:textAlignment w:val="baseline"/>
    </w:pPr>
    <w:rPr>
      <w:kern w:val="0"/>
      <w:sz w:val="24"/>
    </w:rPr>
  </w:style>
  <w:style w:type="paragraph" w:customStyle="1" w:styleId="318">
    <w:name w:val="图片文字"/>
    <w:basedOn w:val="1"/>
    <w:qFormat/>
    <w:uiPriority w:val="0"/>
    <w:pPr>
      <w:spacing w:line="240" w:lineRule="atLeast"/>
      <w:jc w:val="center"/>
    </w:pPr>
    <w:rPr>
      <w:sz w:val="21"/>
    </w:rPr>
  </w:style>
  <w:style w:type="paragraph" w:customStyle="1" w:styleId="319">
    <w:name w:val="Char2"/>
    <w:basedOn w:val="1"/>
    <w:qFormat/>
    <w:uiPriority w:val="0"/>
    <w:pPr>
      <w:spacing w:line="240" w:lineRule="atLeast"/>
      <w:ind w:left="420" w:firstLine="420"/>
    </w:pPr>
    <w:rPr>
      <w:kern w:val="0"/>
      <w:sz w:val="21"/>
    </w:rPr>
  </w:style>
  <w:style w:type="paragraph" w:customStyle="1" w:styleId="320">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321">
    <w:name w:val="正文文本缩进 21"/>
    <w:basedOn w:val="1"/>
    <w:qFormat/>
    <w:uiPriority w:val="0"/>
    <w:pPr>
      <w:adjustRightInd w:val="0"/>
      <w:spacing w:before="120"/>
      <w:ind w:firstLine="420"/>
      <w:textAlignment w:val="baseline"/>
    </w:pPr>
    <w:rPr>
      <w:sz w:val="24"/>
    </w:rPr>
  </w:style>
  <w:style w:type="paragraph" w:customStyle="1" w:styleId="322">
    <w:name w:val="标题3——2"/>
    <w:basedOn w:val="4"/>
    <w:next w:val="63"/>
    <w:qFormat/>
    <w:uiPriority w:val="0"/>
    <w:pPr>
      <w:tabs>
        <w:tab w:val="left" w:pos="1280"/>
        <w:tab w:val="right" w:leader="dot" w:pos="8777"/>
      </w:tabs>
      <w:spacing w:before="312" w:beforeLines="100" w:after="0"/>
      <w:ind w:left="851" w:hanging="851"/>
      <w:outlineLvl w:val="9"/>
    </w:pPr>
    <w:rPr>
      <w:rFonts w:ascii="黑体" w:hAnsi="宋体" w:eastAsia="黑体"/>
      <w:sz w:val="30"/>
    </w:rPr>
  </w:style>
  <w:style w:type="paragraph" w:customStyle="1" w:styleId="323">
    <w:name w:val="样式 首行缩进:  0.74 厘米"/>
    <w:basedOn w:val="1"/>
    <w:qFormat/>
    <w:uiPriority w:val="0"/>
    <w:pPr>
      <w:spacing w:line="360" w:lineRule="auto"/>
      <w:ind w:firstLine="420"/>
    </w:pPr>
    <w:rPr>
      <w:sz w:val="24"/>
    </w:rPr>
  </w:style>
  <w:style w:type="paragraph" w:customStyle="1" w:styleId="324">
    <w:name w:val="内容标题"/>
    <w:basedOn w:val="18"/>
    <w:qFormat/>
    <w:uiPriority w:val="0"/>
    <w:rPr>
      <w:rFonts w:ascii="Tahoma" w:hAnsi="Tahoma"/>
      <w:sz w:val="24"/>
    </w:rPr>
  </w:style>
  <w:style w:type="paragraph" w:customStyle="1" w:styleId="325">
    <w:name w:val="正文 + 三号"/>
    <w:basedOn w:val="1"/>
    <w:qFormat/>
    <w:uiPriority w:val="0"/>
    <w:rPr>
      <w:sz w:val="21"/>
    </w:rPr>
  </w:style>
  <w:style w:type="paragraph" w:customStyle="1" w:styleId="326">
    <w:name w:val="正文文本 21"/>
    <w:basedOn w:val="1"/>
    <w:qFormat/>
    <w:uiPriority w:val="0"/>
    <w:pPr>
      <w:adjustRightInd w:val="0"/>
      <w:spacing w:before="120" w:line="360" w:lineRule="auto"/>
      <w:ind w:firstLine="480"/>
      <w:textAlignment w:val="baseline"/>
    </w:pPr>
    <w:rPr>
      <w:sz w:val="24"/>
    </w:rPr>
  </w:style>
  <w:style w:type="paragraph" w:customStyle="1" w:styleId="327">
    <w:name w:val="标题无"/>
    <w:basedOn w:val="1"/>
    <w:qFormat/>
    <w:uiPriority w:val="0"/>
    <w:pPr>
      <w:spacing w:line="360" w:lineRule="auto"/>
    </w:pPr>
    <w:rPr>
      <w:sz w:val="24"/>
    </w:rPr>
  </w:style>
  <w:style w:type="paragraph" w:customStyle="1" w:styleId="328">
    <w:name w:val="摘要"/>
    <w:basedOn w:val="1"/>
    <w:next w:val="3"/>
    <w:qFormat/>
    <w:uiPriority w:val="0"/>
    <w:pPr>
      <w:spacing w:line="360" w:lineRule="auto"/>
    </w:pPr>
    <w:rPr>
      <w:rFonts w:eastAsia="黑体"/>
      <w:sz w:val="20"/>
    </w:rPr>
  </w:style>
  <w:style w:type="paragraph" w:customStyle="1" w:styleId="329">
    <w:name w:val="Char1"/>
    <w:basedOn w:val="1"/>
    <w:qFormat/>
    <w:uiPriority w:val="0"/>
    <w:rPr>
      <w:sz w:val="21"/>
    </w:rPr>
  </w:style>
  <w:style w:type="paragraph" w:customStyle="1" w:styleId="330">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331">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332">
    <w:name w:val="intel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3">
    <w:name w:val="没有缩进（为图形使用）"/>
    <w:basedOn w:val="1"/>
    <w:qFormat/>
    <w:uiPriority w:val="0"/>
    <w:pPr>
      <w:spacing w:before="120" w:after="120" w:line="360" w:lineRule="auto"/>
    </w:pPr>
    <w:rPr>
      <w:sz w:val="24"/>
    </w:rPr>
  </w:style>
  <w:style w:type="paragraph" w:customStyle="1" w:styleId="334">
    <w:name w:val="操作步骤"/>
    <w:basedOn w:val="1"/>
    <w:qFormat/>
    <w:uiPriority w:val="0"/>
    <w:pPr>
      <w:numPr>
        <w:ilvl w:val="0"/>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33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336">
    <w:name w:val="图例"/>
    <w:basedOn w:val="1"/>
    <w:qFormat/>
    <w:uiPriority w:val="0"/>
    <w:pPr>
      <w:spacing w:before="120" w:after="120" w:line="360" w:lineRule="auto"/>
      <w:jc w:val="center"/>
    </w:pPr>
    <w:rPr>
      <w:rFonts w:eastAsia="仿宋_GB2312"/>
      <w:b/>
      <w:sz w:val="24"/>
    </w:rPr>
  </w:style>
  <w:style w:type="paragraph" w:customStyle="1" w:styleId="33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33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339">
    <w:name w:val="Char Char Char Char Char Char Char1"/>
    <w:basedOn w:val="1"/>
    <w:qFormat/>
    <w:uiPriority w:val="0"/>
    <w:rPr>
      <w:rFonts w:ascii="Tahoma" w:hAnsi="Tahoma"/>
      <w:sz w:val="24"/>
    </w:rPr>
  </w:style>
  <w:style w:type="paragraph" w:customStyle="1" w:styleId="340">
    <w:name w:val="表格内文字"/>
    <w:basedOn w:val="34"/>
    <w:qFormat/>
    <w:uiPriority w:val="0"/>
    <w:pPr>
      <w:adjustRightInd w:val="0"/>
    </w:pPr>
    <w:rPr>
      <w:color w:val="000000"/>
      <w:lang w:val="en-GB"/>
    </w:rPr>
  </w:style>
  <w:style w:type="paragraph" w:customStyle="1" w:styleId="341">
    <w:name w:val="正文1"/>
    <w:basedOn w:val="1"/>
    <w:qFormat/>
    <w:uiPriority w:val="0"/>
    <w:pPr>
      <w:spacing w:line="300" w:lineRule="auto"/>
      <w:ind w:firstLine="200" w:firstLineChars="200"/>
    </w:pPr>
    <w:rPr>
      <w:sz w:val="24"/>
    </w:rPr>
  </w:style>
  <w:style w:type="paragraph" w:customStyle="1" w:styleId="342">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343">
    <w:name w:val="默认段落字体 Para Char Char Char Char Char Char Char Char Char1 Char Char Char Char"/>
    <w:basedOn w:val="1"/>
    <w:qFormat/>
    <w:uiPriority w:val="0"/>
    <w:rPr>
      <w:rFonts w:ascii="Tahoma" w:hAnsi="Tahoma"/>
      <w:sz w:val="24"/>
    </w:rPr>
  </w:style>
  <w:style w:type="paragraph" w:customStyle="1" w:styleId="344">
    <w:name w:val="zw"/>
    <w:basedOn w:val="1"/>
    <w:qFormat/>
    <w:uiPriority w:val="0"/>
    <w:pPr>
      <w:widowControl/>
      <w:spacing w:before="30"/>
      <w:ind w:left="100" w:right="100"/>
    </w:pPr>
    <w:rPr>
      <w:rFonts w:ascii="方正书宋简体" w:hAnsi="宋体" w:eastAsia="方正书宋简体"/>
      <w:color w:val="000000"/>
      <w:kern w:val="0"/>
      <w:sz w:val="21"/>
      <w:szCs w:val="21"/>
    </w:rPr>
  </w:style>
  <w:style w:type="paragraph" w:customStyle="1" w:styleId="345">
    <w:name w:val="样式 行距: 1.5 倍行距1"/>
    <w:basedOn w:val="1"/>
    <w:qFormat/>
    <w:uiPriority w:val="0"/>
    <w:pPr>
      <w:snapToGrid w:val="0"/>
    </w:pPr>
    <w:rPr>
      <w:sz w:val="21"/>
    </w:rPr>
  </w:style>
  <w:style w:type="paragraph" w:customStyle="1" w:styleId="346">
    <w:name w:val="样式4"/>
    <w:basedOn w:val="5"/>
    <w:qFormat/>
    <w:uiPriority w:val="0"/>
    <w:pPr>
      <w:adjustRightInd w:val="0"/>
      <w:snapToGrid w:val="0"/>
    </w:pPr>
  </w:style>
  <w:style w:type="paragraph" w:customStyle="1" w:styleId="34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348">
    <w:name w:val="缺省文本"/>
    <w:basedOn w:val="1"/>
    <w:qFormat/>
    <w:uiPriority w:val="0"/>
    <w:pPr>
      <w:tabs>
        <w:tab w:val="left" w:pos="1260"/>
      </w:tabs>
      <w:autoSpaceDE w:val="0"/>
      <w:autoSpaceDN w:val="0"/>
      <w:adjustRightInd w:val="0"/>
      <w:spacing w:line="360" w:lineRule="auto"/>
      <w:jc w:val="left"/>
    </w:pPr>
    <w:rPr>
      <w:kern w:val="0"/>
      <w:sz w:val="24"/>
    </w:rPr>
  </w:style>
  <w:style w:type="character" w:customStyle="1" w:styleId="349">
    <w:name w:val="引用 Char2"/>
    <w:basedOn w:val="67"/>
    <w:qFormat/>
    <w:uiPriority w:val="29"/>
    <w:rPr>
      <w:rFonts w:ascii="Times New Roman" w:hAnsi="Times New Roman" w:eastAsia="宋体" w:cs="Times New Roman"/>
      <w:i/>
      <w:iCs/>
      <w:color w:val="3F3F3F"/>
      <w:sz w:val="28"/>
      <w:szCs w:val="20"/>
    </w:rPr>
  </w:style>
  <w:style w:type="paragraph" w:customStyle="1" w:styleId="350">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1">
    <w:name w:val="pa-34"/>
    <w:basedOn w:val="1"/>
    <w:qFormat/>
    <w:uiPriority w:val="0"/>
    <w:pPr>
      <w:widowControl/>
      <w:spacing w:line="360" w:lineRule="atLeast"/>
      <w:ind w:firstLine="420"/>
      <w:jc w:val="left"/>
    </w:pPr>
    <w:rPr>
      <w:rFonts w:ascii="宋体" w:hAnsi="宋体" w:cs="宋体"/>
      <w:kern w:val="0"/>
      <w:sz w:val="24"/>
      <w:szCs w:val="24"/>
    </w:rPr>
  </w:style>
  <w:style w:type="paragraph" w:customStyle="1" w:styleId="352">
    <w:name w:val="文本1"/>
    <w:basedOn w:val="1"/>
    <w:qFormat/>
    <w:uiPriority w:val="0"/>
    <w:pPr>
      <w:adjustRightInd w:val="0"/>
      <w:spacing w:line="312" w:lineRule="atLeast"/>
      <w:jc w:val="center"/>
      <w:textAlignment w:val="baseline"/>
    </w:pPr>
    <w:rPr>
      <w:kern w:val="0"/>
      <w:sz w:val="18"/>
    </w:rPr>
  </w:style>
  <w:style w:type="paragraph" w:customStyle="1" w:styleId="35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4">
    <w:name w:val="Revision_c3942d1e-39bf-49dd-9576-7632bac9555f"/>
    <w:qFormat/>
    <w:uiPriority w:val="0"/>
    <w:rPr>
      <w:rFonts w:ascii="Times New Roman" w:hAnsi="Times New Roman" w:eastAsia="宋体" w:cs="Times New Roman"/>
      <w:kern w:val="2"/>
      <w:sz w:val="21"/>
      <w:lang w:val="en-US" w:eastAsia="zh-CN" w:bidi="ar-SA"/>
    </w:rPr>
  </w:style>
  <w:style w:type="paragraph" w:customStyle="1" w:styleId="355">
    <w:name w:val="Char Char Char"/>
    <w:basedOn w:val="1"/>
    <w:qFormat/>
    <w:uiPriority w:val="0"/>
    <w:rPr>
      <w:rFonts w:ascii="Tahoma" w:hAnsi="Tahoma"/>
      <w:sz w:val="24"/>
    </w:rPr>
  </w:style>
  <w:style w:type="paragraph" w:customStyle="1" w:styleId="356">
    <w:name w:val="自定样式1"/>
    <w:basedOn w:val="1"/>
    <w:qFormat/>
    <w:uiPriority w:val="0"/>
    <w:pPr>
      <w:suppressAutoHyphens/>
      <w:jc w:val="center"/>
    </w:pPr>
    <w:rPr>
      <w:rFonts w:ascii="宋体" w:hAnsi="宋体"/>
      <w:color w:val="000000"/>
      <w:sz w:val="18"/>
      <w:szCs w:val="24"/>
    </w:rPr>
  </w:style>
  <w:style w:type="paragraph" w:customStyle="1" w:styleId="357">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358">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59">
    <w:name w:val="样式 标题 1 + 黑体 三号 非加粗 居中 段前: 6 磅 段后: 6 磅 行距: 固定值 20 磅"/>
    <w:basedOn w:val="2"/>
    <w:qFormat/>
    <w:uiPriority w:val="0"/>
    <w:pPr>
      <w:keepLines/>
      <w:snapToGrid/>
      <w:spacing w:before="120" w:after="120" w:line="400" w:lineRule="exact"/>
      <w:jc w:val="center"/>
    </w:pPr>
    <w:rPr>
      <w:rFonts w:ascii="黑体" w:hAnsi="黑体" w:eastAsia="黑体" w:cs="宋体"/>
      <w:kern w:val="44"/>
      <w:sz w:val="32"/>
    </w:rPr>
  </w:style>
  <w:style w:type="paragraph" w:customStyle="1" w:styleId="360">
    <w:name w:val="简单回函地址"/>
    <w:basedOn w:val="1"/>
    <w:qFormat/>
    <w:uiPriority w:val="0"/>
    <w:pPr>
      <w:adjustRightInd w:val="0"/>
      <w:snapToGrid w:val="0"/>
      <w:spacing w:line="360" w:lineRule="auto"/>
    </w:pPr>
    <w:rPr>
      <w:sz w:val="24"/>
    </w:rPr>
  </w:style>
  <w:style w:type="paragraph" w:customStyle="1" w:styleId="361">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362">
    <w:name w:val="Style Heading 3h3Heading 3 - oldLevel 3 HeadH3level_3PIM 3se..."/>
    <w:basedOn w:val="4"/>
    <w:qFormat/>
    <w:uiPriority w:val="0"/>
    <w:pPr>
      <w:numPr>
        <w:ilvl w:val="0"/>
        <w:numId w:val="12"/>
      </w:numPr>
      <w:tabs>
        <w:tab w:val="left" w:pos="709"/>
      </w:tabs>
    </w:pPr>
  </w:style>
  <w:style w:type="paragraph" w:customStyle="1" w:styleId="363">
    <w:name w:val="表格文字"/>
    <w:basedOn w:val="1"/>
    <w:qFormat/>
    <w:uiPriority w:val="0"/>
    <w:pPr>
      <w:adjustRightInd w:val="0"/>
      <w:spacing w:line="420" w:lineRule="atLeast"/>
      <w:jc w:val="left"/>
      <w:textAlignment w:val="baseline"/>
    </w:pPr>
    <w:rPr>
      <w:rFonts w:ascii="Calibri" w:hAnsi="Calibri"/>
      <w:kern w:val="0"/>
      <w:sz w:val="21"/>
    </w:rPr>
  </w:style>
  <w:style w:type="paragraph" w:customStyle="1" w:styleId="364">
    <w:name w:val="编号正文"/>
    <w:basedOn w:val="335"/>
    <w:qFormat/>
    <w:uiPriority w:val="0"/>
    <w:pPr>
      <w:snapToGrid/>
      <w:spacing w:line="360" w:lineRule="auto"/>
      <w:ind w:left="1407" w:hanging="1047"/>
      <w:jc w:val="left"/>
    </w:pPr>
    <w:rPr>
      <w:rFonts w:eastAsia="仿宋_GB2312"/>
    </w:rPr>
  </w:style>
  <w:style w:type="paragraph" w:customStyle="1" w:styleId="365">
    <w:name w:val="标书正文1"/>
    <w:basedOn w:val="1"/>
    <w:qFormat/>
    <w:uiPriority w:val="0"/>
    <w:pPr>
      <w:spacing w:line="520" w:lineRule="exact"/>
      <w:ind w:firstLine="640" w:firstLineChars="200"/>
    </w:pPr>
  </w:style>
  <w:style w:type="paragraph" w:customStyle="1" w:styleId="366">
    <w:name w:val="无间隔1"/>
    <w:qFormat/>
    <w:uiPriority w:val="1"/>
    <w:pPr>
      <w:jc w:val="both"/>
    </w:pPr>
    <w:rPr>
      <w:rFonts w:ascii="Times New Roman" w:hAnsi="Times New Roman" w:eastAsia="Times New Roman" w:cs="Times New Roman"/>
      <w:lang w:val="en-US" w:eastAsia="zh-CN" w:bidi="ar-SA"/>
    </w:rPr>
  </w:style>
  <w:style w:type="paragraph" w:customStyle="1" w:styleId="367">
    <w:name w:val="正文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368">
    <w:name w:val="招标节"/>
    <w:basedOn w:val="1"/>
    <w:next w:val="1"/>
    <w:link w:val="372"/>
    <w:qFormat/>
    <w:uiPriority w:val="0"/>
    <w:pPr>
      <w:spacing w:before="156" w:beforeLines="50" w:after="156" w:afterLines="50"/>
      <w:outlineLvl w:val="1"/>
    </w:pPr>
    <w:rPr>
      <w:rFonts w:ascii="宋体" w:hAnsi="宋体"/>
      <w:b/>
      <w:sz w:val="24"/>
    </w:rPr>
  </w:style>
  <w:style w:type="paragraph" w:styleId="369">
    <w:name w:val="List Paragraph"/>
    <w:basedOn w:val="1"/>
    <w:qFormat/>
    <w:uiPriority w:val="99"/>
    <w:pPr>
      <w:ind w:firstLine="420" w:firstLineChars="200"/>
    </w:pPr>
  </w:style>
  <w:style w:type="character" w:customStyle="1" w:styleId="370">
    <w:name w:val="招标正文 Char"/>
    <w:basedOn w:val="67"/>
    <w:link w:val="371"/>
    <w:qFormat/>
    <w:uiPriority w:val="0"/>
    <w:rPr>
      <w:rFonts w:ascii="宋体" w:hAnsi="宋体"/>
      <w:kern w:val="2"/>
      <w:sz w:val="21"/>
      <w:szCs w:val="21"/>
    </w:rPr>
  </w:style>
  <w:style w:type="paragraph" w:customStyle="1" w:styleId="371">
    <w:name w:val="招标正文"/>
    <w:basedOn w:val="1"/>
    <w:link w:val="370"/>
    <w:qFormat/>
    <w:uiPriority w:val="0"/>
    <w:pPr>
      <w:spacing w:line="300" w:lineRule="auto"/>
      <w:ind w:firstLine="420" w:firstLineChars="200"/>
    </w:pPr>
    <w:rPr>
      <w:rFonts w:ascii="宋体" w:hAnsi="宋体"/>
      <w:sz w:val="21"/>
      <w:szCs w:val="21"/>
    </w:rPr>
  </w:style>
  <w:style w:type="character" w:customStyle="1" w:styleId="372">
    <w:name w:val="招标节 Char"/>
    <w:basedOn w:val="67"/>
    <w:link w:val="368"/>
    <w:qFormat/>
    <w:uiPriority w:val="0"/>
    <w:rPr>
      <w:rFonts w:ascii="宋体" w:hAnsi="宋体"/>
      <w:b/>
      <w:kern w:val="2"/>
      <w:sz w:val="24"/>
    </w:rPr>
  </w:style>
  <w:style w:type="character" w:customStyle="1" w:styleId="373">
    <w:name w:val="小标题 Char"/>
    <w:basedOn w:val="370"/>
    <w:link w:val="374"/>
    <w:qFormat/>
    <w:uiPriority w:val="0"/>
    <w:rPr>
      <w:rFonts w:ascii="宋体" w:hAnsi="宋体"/>
      <w:kern w:val="2"/>
      <w:sz w:val="21"/>
      <w:szCs w:val="21"/>
    </w:rPr>
  </w:style>
  <w:style w:type="paragraph" w:customStyle="1" w:styleId="374">
    <w:name w:val="小标题"/>
    <w:basedOn w:val="371"/>
    <w:next w:val="371"/>
    <w:link w:val="373"/>
    <w:qFormat/>
    <w:uiPriority w:val="0"/>
    <w:pPr>
      <w:outlineLvl w:val="2"/>
    </w:pPr>
  </w:style>
  <w:style w:type="character" w:customStyle="1" w:styleId="375">
    <w:name w:val="招标章 Char"/>
    <w:basedOn w:val="67"/>
    <w:link w:val="376"/>
    <w:qFormat/>
    <w:uiPriority w:val="0"/>
    <w:rPr>
      <w:rFonts w:eastAsia="黑体"/>
      <w:b/>
      <w:kern w:val="2"/>
      <w:sz w:val="32"/>
      <w:szCs w:val="24"/>
    </w:rPr>
  </w:style>
  <w:style w:type="paragraph" w:customStyle="1" w:styleId="376">
    <w:name w:val="招标章"/>
    <w:basedOn w:val="1"/>
    <w:link w:val="375"/>
    <w:qFormat/>
    <w:uiPriority w:val="0"/>
    <w:pPr>
      <w:spacing w:line="360" w:lineRule="auto"/>
      <w:jc w:val="center"/>
      <w:outlineLvl w:val="0"/>
    </w:pPr>
    <w:rPr>
      <w:rFonts w:eastAsia="黑体"/>
      <w:b/>
      <w:sz w:val="32"/>
      <w:szCs w:val="24"/>
    </w:rPr>
  </w:style>
  <w:style w:type="paragraph" w:customStyle="1" w:styleId="377">
    <w:name w:val="标准节"/>
    <w:basedOn w:val="368"/>
    <w:qFormat/>
    <w:uiPriority w:val="0"/>
    <w:pPr>
      <w:jc w:val="center"/>
    </w:pPr>
    <w:rPr>
      <w:rFonts w:ascii="Times New Roman" w:hAnsi="Times New Roman"/>
      <w:sz w:val="30"/>
      <w:szCs w:val="32"/>
    </w:rPr>
  </w:style>
  <w:style w:type="paragraph" w:customStyle="1" w:styleId="378">
    <w:name w:val="附件"/>
    <w:basedOn w:val="368"/>
    <w:next w:val="1"/>
    <w:qFormat/>
    <w:uiPriority w:val="0"/>
    <w:pPr>
      <w:spacing w:before="0" w:beforeLines="0" w:after="0" w:afterLines="0"/>
    </w:pPr>
    <w:rPr>
      <w:rFonts w:ascii="Times New Roman" w:hAnsi="Times New Roman" w:eastAsia="黑体"/>
      <w:szCs w:val="28"/>
    </w:rPr>
  </w:style>
  <w:style w:type="paragraph" w:customStyle="1" w:styleId="379">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380">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character" w:customStyle="1" w:styleId="381">
    <w:name w:val="16"/>
    <w:qFormat/>
    <w:uiPriority w:val="0"/>
    <w:rPr>
      <w:rFonts w:hint="eastAsia" w:ascii="宋体" w:hAnsi="宋体" w:eastAsia="Times New Roman"/>
      <w:spacing w:val="0"/>
      <w:sz w:val="20"/>
      <w:szCs w:val="20"/>
      <w:shd w:val="clear" w:color="auto" w:fill="FFFFFF"/>
    </w:rPr>
  </w:style>
  <w:style w:type="paragraph" w:customStyle="1" w:styleId="382">
    <w:name w:val="No Spacing"/>
    <w:basedOn w:val="1"/>
    <w:qFormat/>
    <w:uiPriority w:val="1"/>
    <w:pPr>
      <w:spacing w:line="400" w:lineRule="exact"/>
    </w:pPr>
    <w:rPr>
      <w:sz w:val="24"/>
      <w:szCs w:val="20"/>
    </w:rPr>
  </w:style>
  <w:style w:type="character" w:customStyle="1" w:styleId="383">
    <w:name w:val="NormalCharacter"/>
    <w:semiHidden/>
    <w:qFormat/>
    <w:uiPriority w:val="0"/>
  </w:style>
  <w:style w:type="paragraph" w:customStyle="1" w:styleId="384">
    <w:name w:val="标题 5（有编号）（绿盟科技）"/>
    <w:basedOn w:val="1"/>
    <w:next w:val="385"/>
    <w:qFormat/>
    <w:uiPriority w:val="0"/>
    <w:pPr>
      <w:keepNext/>
      <w:keepLines/>
      <w:numPr>
        <w:ilvl w:val="4"/>
        <w:numId w:val="13"/>
      </w:numPr>
      <w:spacing w:before="280" w:after="156" w:line="377" w:lineRule="auto"/>
      <w:jc w:val="left"/>
      <w:outlineLvl w:val="4"/>
    </w:pPr>
    <w:rPr>
      <w:rFonts w:ascii="Arial" w:hAnsi="Arial" w:eastAsia="黑体"/>
      <w:b/>
      <w:kern w:val="0"/>
      <w:szCs w:val="28"/>
    </w:rPr>
  </w:style>
  <w:style w:type="paragraph" w:customStyle="1" w:styleId="38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86">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387">
    <w:name w:val="正文（缩进）"/>
    <w:basedOn w:val="1"/>
    <w:qFormat/>
    <w:uiPriority w:val="0"/>
    <w:pPr>
      <w:spacing w:line="594" w:lineRule="exact"/>
      <w:ind w:firstLine="482"/>
    </w:pPr>
    <w:rPr>
      <w:rFonts w:eastAsia="方正仿宋_GBK"/>
      <w:sz w:val="32"/>
    </w:rPr>
  </w:style>
  <w:style w:type="paragraph" w:customStyle="1" w:styleId="388">
    <w:name w:val="WPSOffice手动目录 1"/>
    <w:qFormat/>
    <w:uiPriority w:val="0"/>
    <w:pPr>
      <w:ind w:leftChars="0"/>
    </w:pPr>
    <w:rPr>
      <w:rFonts w:ascii="Times New Roman" w:hAnsi="Times New Roman" w:eastAsia="宋体" w:cs="Times New Roman"/>
      <w:sz w:val="20"/>
      <w:szCs w:val="20"/>
    </w:rPr>
  </w:style>
  <w:style w:type="paragraph" w:customStyle="1" w:styleId="389">
    <w:name w:val="WPSOffice手动目录 2"/>
    <w:qFormat/>
    <w:uiPriority w:val="0"/>
    <w:pPr>
      <w:ind w:leftChars="200"/>
    </w:pPr>
    <w:rPr>
      <w:rFonts w:ascii="Times New Roman" w:hAnsi="Times New Roman" w:eastAsia="宋体" w:cs="Times New Roman"/>
      <w:sz w:val="20"/>
      <w:szCs w:val="20"/>
    </w:rPr>
  </w:style>
  <w:style w:type="paragraph" w:customStyle="1" w:styleId="390">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6.jpe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142</Pages>
  <Words>24137</Words>
  <Characters>25201</Characters>
  <Lines>261</Lines>
  <Paragraphs>73</Paragraphs>
  <TotalTime>2</TotalTime>
  <ScaleCrop>false</ScaleCrop>
  <LinksUpToDate>false</LinksUpToDate>
  <CharactersWithSpaces>26434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2022-03-07T01:34:00Z</dcterms:created>
  <dc:creator>Sky123.Org</dc:creator>
  <cp:lastModifiedBy>谢宝宝</cp:lastModifiedBy>
  <cp:lastPrinted>2026-04-08T05:25:00Z</cp:lastPrinted>
  <dcterms:modified xsi:type="dcterms:W3CDTF">2026-05-22T03:45:27Z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C6B20B7841204CB0BF97B96098A075FD_13</vt:lpwstr>
  </property>
  <property fmtid="{D5CDD505-2E9C-101B-9397-08002B2CF9AE}" pid="4" name="KSOTemplateDocerSaveRecord">
    <vt:lpwstr>eyJoZGlkIjoiMjUzMzAxNTBhNWUzZGE4YmE4MWI4M2E1MTMzNzAyYzkiLCJ1c2VySWQiOiI1MjIxOTAzNjgifQ==</vt:lpwstr>
  </property>
</Properties>
</file>