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4E51F">
      <w:pPr>
        <w:rPr>
          <w:rFonts w:ascii="宋体" w:hAnsi="宋体"/>
          <w:b/>
          <w:color w:val="auto"/>
          <w:sz w:val="44"/>
          <w:szCs w:val="44"/>
          <w:highlight w:val="none"/>
        </w:rPr>
      </w:pPr>
      <w:bookmarkStart w:id="0" w:name="_Toc287620665"/>
    </w:p>
    <w:p w14:paraId="590D57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olor w:val="auto"/>
          <w:kern w:val="0"/>
          <w:sz w:val="20"/>
          <w:szCs w:val="20"/>
          <w:highlight w:val="none"/>
          <w:u w:val="single"/>
          <w:lang w:val="en-US" w:eastAsia="zh-CN"/>
        </w:rPr>
      </w:pPr>
      <w:r>
        <w:rPr>
          <w:rFonts w:hint="eastAsia" w:ascii="仿宋" w:hAnsi="仿宋" w:eastAsia="仿宋" w:cs="仿宋"/>
          <w:color w:val="auto"/>
          <w:sz w:val="32"/>
          <w:szCs w:val="32"/>
          <w:highlight w:val="none"/>
          <w:lang w:val="en-US" w:eastAsia="zh-CN"/>
        </w:rPr>
        <w:t>南坪片区老旧小区改造配套基础设施项目（二标段）工程检测服务</w:t>
      </w:r>
    </w:p>
    <w:p w14:paraId="5137873D">
      <w:pPr>
        <w:spacing w:line="360" w:lineRule="auto"/>
        <w:jc w:val="center"/>
        <w:rPr>
          <w:rFonts w:hint="eastAsia" w:ascii="宋体" w:hAnsi="宋体" w:eastAsia="宋体"/>
          <w:color w:val="auto"/>
          <w:kern w:val="0"/>
          <w:sz w:val="32"/>
          <w:szCs w:val="32"/>
          <w:highlight w:val="none"/>
          <w:u w:val="single"/>
          <w:lang w:eastAsia="zh-CN"/>
        </w:rPr>
      </w:pPr>
    </w:p>
    <w:p w14:paraId="51EB96A4">
      <w:pPr>
        <w:autoSpaceDE w:val="0"/>
        <w:autoSpaceDN w:val="0"/>
        <w:adjustRightInd w:val="0"/>
        <w:snapToGrid w:val="0"/>
        <w:spacing w:line="360" w:lineRule="auto"/>
        <w:jc w:val="left"/>
        <w:rPr>
          <w:rFonts w:ascii="宋体" w:hAnsi="宋体"/>
          <w:color w:val="auto"/>
          <w:kern w:val="0"/>
          <w:sz w:val="20"/>
          <w:szCs w:val="20"/>
          <w:highlight w:val="none"/>
        </w:rPr>
      </w:pPr>
    </w:p>
    <w:p w14:paraId="76C4457C">
      <w:pPr>
        <w:autoSpaceDE w:val="0"/>
        <w:autoSpaceDN w:val="0"/>
        <w:adjustRightInd w:val="0"/>
        <w:snapToGrid w:val="0"/>
        <w:spacing w:line="360" w:lineRule="auto"/>
        <w:jc w:val="left"/>
        <w:rPr>
          <w:rFonts w:ascii="宋体" w:hAnsi="宋体"/>
          <w:color w:val="auto"/>
          <w:kern w:val="0"/>
          <w:sz w:val="20"/>
          <w:szCs w:val="20"/>
          <w:highlight w:val="none"/>
        </w:rPr>
      </w:pPr>
    </w:p>
    <w:p w14:paraId="0FF6A749">
      <w:pPr>
        <w:autoSpaceDE w:val="0"/>
        <w:autoSpaceDN w:val="0"/>
        <w:adjustRightInd w:val="0"/>
        <w:snapToGrid w:val="0"/>
        <w:spacing w:line="360" w:lineRule="auto"/>
        <w:jc w:val="left"/>
        <w:rPr>
          <w:rFonts w:ascii="宋体" w:hAnsi="宋体"/>
          <w:color w:val="auto"/>
          <w:kern w:val="0"/>
          <w:sz w:val="20"/>
          <w:szCs w:val="20"/>
          <w:highlight w:val="none"/>
        </w:rPr>
      </w:pPr>
    </w:p>
    <w:p w14:paraId="0A1486F6">
      <w:pPr>
        <w:autoSpaceDE w:val="0"/>
        <w:autoSpaceDN w:val="0"/>
        <w:adjustRightInd w:val="0"/>
        <w:snapToGrid w:val="0"/>
        <w:spacing w:line="360" w:lineRule="auto"/>
        <w:jc w:val="left"/>
        <w:rPr>
          <w:rFonts w:ascii="宋体" w:hAnsi="宋体"/>
          <w:color w:val="auto"/>
          <w:kern w:val="0"/>
          <w:sz w:val="20"/>
          <w:szCs w:val="20"/>
          <w:highlight w:val="none"/>
        </w:rPr>
      </w:pPr>
    </w:p>
    <w:p w14:paraId="041C2D22">
      <w:pPr>
        <w:bidi w:val="0"/>
        <w:rPr>
          <w:color w:val="auto"/>
        </w:rPr>
      </w:pPr>
    </w:p>
    <w:p w14:paraId="410D40C4">
      <w:pPr>
        <w:rPr>
          <w:color w:val="auto"/>
          <w:highlight w:val="none"/>
        </w:rPr>
      </w:pPr>
    </w:p>
    <w:p w14:paraId="58EA86A1">
      <w:pPr>
        <w:autoSpaceDE w:val="0"/>
        <w:autoSpaceDN w:val="0"/>
        <w:adjustRightInd w:val="0"/>
        <w:snapToGrid w:val="0"/>
        <w:spacing w:line="360" w:lineRule="auto"/>
        <w:jc w:val="left"/>
        <w:rPr>
          <w:rFonts w:ascii="宋体" w:hAnsi="宋体"/>
          <w:color w:val="auto"/>
          <w:kern w:val="0"/>
          <w:sz w:val="20"/>
          <w:szCs w:val="20"/>
          <w:highlight w:val="none"/>
        </w:rPr>
      </w:pPr>
    </w:p>
    <w:p w14:paraId="0C71DE08">
      <w:pPr>
        <w:autoSpaceDE w:val="0"/>
        <w:autoSpaceDN w:val="0"/>
        <w:adjustRightInd w:val="0"/>
        <w:snapToGrid w:val="0"/>
        <w:spacing w:line="360" w:lineRule="auto"/>
        <w:jc w:val="left"/>
        <w:rPr>
          <w:rFonts w:ascii="宋体" w:hAnsi="宋体"/>
          <w:color w:val="auto"/>
          <w:kern w:val="0"/>
          <w:sz w:val="20"/>
          <w:szCs w:val="20"/>
          <w:highlight w:val="none"/>
        </w:rPr>
      </w:pPr>
    </w:p>
    <w:p w14:paraId="077D8CCF">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竞争性比选</w:t>
      </w:r>
      <w:r>
        <w:rPr>
          <w:rFonts w:ascii="宋体" w:hAnsi="宋体"/>
          <w:color w:val="auto"/>
          <w:kern w:val="0"/>
          <w:sz w:val="72"/>
          <w:szCs w:val="72"/>
          <w:highlight w:val="none"/>
        </w:rPr>
        <w:t>文件</w:t>
      </w:r>
    </w:p>
    <w:p w14:paraId="1F05315E">
      <w:pPr>
        <w:autoSpaceDE w:val="0"/>
        <w:autoSpaceDN w:val="0"/>
        <w:adjustRightInd w:val="0"/>
        <w:snapToGrid w:val="0"/>
        <w:spacing w:line="360" w:lineRule="auto"/>
        <w:jc w:val="left"/>
        <w:rPr>
          <w:rFonts w:ascii="宋体" w:hAnsi="宋体"/>
          <w:color w:val="auto"/>
          <w:kern w:val="0"/>
          <w:sz w:val="10"/>
          <w:szCs w:val="10"/>
          <w:highlight w:val="none"/>
        </w:rPr>
      </w:pPr>
    </w:p>
    <w:p w14:paraId="5033D671">
      <w:pPr>
        <w:autoSpaceDE w:val="0"/>
        <w:autoSpaceDN w:val="0"/>
        <w:adjustRightInd w:val="0"/>
        <w:snapToGrid w:val="0"/>
        <w:spacing w:line="360" w:lineRule="auto"/>
        <w:jc w:val="left"/>
        <w:rPr>
          <w:rFonts w:ascii="宋体" w:hAnsi="宋体"/>
          <w:color w:val="auto"/>
          <w:kern w:val="0"/>
          <w:sz w:val="20"/>
          <w:szCs w:val="20"/>
          <w:highlight w:val="none"/>
        </w:rPr>
      </w:pPr>
    </w:p>
    <w:p w14:paraId="0C9B66F3">
      <w:pPr>
        <w:autoSpaceDE w:val="0"/>
        <w:autoSpaceDN w:val="0"/>
        <w:adjustRightInd w:val="0"/>
        <w:snapToGrid w:val="0"/>
        <w:spacing w:line="360" w:lineRule="auto"/>
        <w:jc w:val="left"/>
        <w:rPr>
          <w:rFonts w:ascii="宋体" w:hAnsi="宋体"/>
          <w:color w:val="auto"/>
          <w:kern w:val="0"/>
          <w:sz w:val="20"/>
          <w:szCs w:val="20"/>
          <w:highlight w:val="none"/>
        </w:rPr>
      </w:pPr>
    </w:p>
    <w:p w14:paraId="7BBDE328">
      <w:pPr>
        <w:autoSpaceDE w:val="0"/>
        <w:autoSpaceDN w:val="0"/>
        <w:adjustRightInd w:val="0"/>
        <w:snapToGrid w:val="0"/>
        <w:spacing w:line="360" w:lineRule="auto"/>
        <w:jc w:val="left"/>
        <w:rPr>
          <w:rFonts w:ascii="宋体" w:hAnsi="宋体"/>
          <w:color w:val="auto"/>
          <w:kern w:val="0"/>
          <w:sz w:val="20"/>
          <w:szCs w:val="20"/>
          <w:highlight w:val="none"/>
        </w:rPr>
      </w:pPr>
    </w:p>
    <w:p w14:paraId="503A086F">
      <w:pPr>
        <w:autoSpaceDE w:val="0"/>
        <w:autoSpaceDN w:val="0"/>
        <w:adjustRightInd w:val="0"/>
        <w:snapToGrid w:val="0"/>
        <w:spacing w:line="360" w:lineRule="auto"/>
        <w:jc w:val="left"/>
        <w:rPr>
          <w:rFonts w:ascii="宋体" w:hAnsi="宋体"/>
          <w:color w:val="auto"/>
          <w:kern w:val="0"/>
          <w:sz w:val="20"/>
          <w:szCs w:val="20"/>
          <w:highlight w:val="none"/>
        </w:rPr>
      </w:pPr>
    </w:p>
    <w:p w14:paraId="794E8B1D">
      <w:pPr>
        <w:autoSpaceDE w:val="0"/>
        <w:autoSpaceDN w:val="0"/>
        <w:adjustRightInd w:val="0"/>
        <w:snapToGrid w:val="0"/>
        <w:spacing w:line="360" w:lineRule="auto"/>
        <w:jc w:val="left"/>
        <w:rPr>
          <w:rFonts w:ascii="宋体" w:hAnsi="宋体"/>
          <w:color w:val="auto"/>
          <w:kern w:val="0"/>
          <w:sz w:val="20"/>
          <w:szCs w:val="20"/>
          <w:highlight w:val="none"/>
        </w:rPr>
      </w:pPr>
    </w:p>
    <w:p w14:paraId="611E7DF4">
      <w:pPr>
        <w:autoSpaceDE w:val="0"/>
        <w:autoSpaceDN w:val="0"/>
        <w:adjustRightInd w:val="0"/>
        <w:snapToGrid w:val="0"/>
        <w:spacing w:line="360" w:lineRule="auto"/>
        <w:rPr>
          <w:rFonts w:ascii="宋体" w:hAnsi="宋体"/>
          <w:color w:val="auto"/>
          <w:kern w:val="0"/>
          <w:sz w:val="20"/>
          <w:szCs w:val="20"/>
          <w:highlight w:val="none"/>
        </w:rPr>
      </w:pPr>
    </w:p>
    <w:p w14:paraId="1E8FD23A">
      <w:pPr>
        <w:autoSpaceDE w:val="0"/>
        <w:autoSpaceDN w:val="0"/>
        <w:adjustRightInd w:val="0"/>
        <w:snapToGrid w:val="0"/>
        <w:spacing w:line="360" w:lineRule="auto"/>
        <w:jc w:val="left"/>
        <w:rPr>
          <w:rFonts w:ascii="宋体" w:hAnsi="宋体"/>
          <w:color w:val="auto"/>
          <w:kern w:val="0"/>
          <w:sz w:val="20"/>
          <w:szCs w:val="20"/>
          <w:highlight w:val="none"/>
        </w:rPr>
      </w:pPr>
    </w:p>
    <w:p w14:paraId="721D7D79">
      <w:pPr>
        <w:autoSpaceDE w:val="0"/>
        <w:autoSpaceDN w:val="0"/>
        <w:adjustRightInd w:val="0"/>
        <w:snapToGrid w:val="0"/>
        <w:spacing w:line="360" w:lineRule="auto"/>
        <w:rPr>
          <w:rFonts w:ascii="宋体" w:hAnsi="宋体"/>
          <w:color w:val="auto"/>
          <w:kern w:val="0"/>
          <w:sz w:val="20"/>
          <w:szCs w:val="20"/>
          <w:highlight w:val="none"/>
        </w:rPr>
      </w:pPr>
    </w:p>
    <w:p w14:paraId="2800E745">
      <w:pPr>
        <w:autoSpaceDE w:val="0"/>
        <w:autoSpaceDN w:val="0"/>
        <w:adjustRightInd w:val="0"/>
        <w:snapToGrid w:val="0"/>
        <w:spacing w:line="360" w:lineRule="auto"/>
        <w:rPr>
          <w:rFonts w:ascii="宋体" w:hAnsi="宋体"/>
          <w:color w:val="auto"/>
          <w:kern w:val="0"/>
          <w:sz w:val="20"/>
          <w:szCs w:val="20"/>
          <w:highlight w:val="none"/>
        </w:rPr>
      </w:pPr>
    </w:p>
    <w:p w14:paraId="77564D9D">
      <w:pPr>
        <w:autoSpaceDE w:val="0"/>
        <w:autoSpaceDN w:val="0"/>
        <w:adjustRightInd w:val="0"/>
        <w:snapToGrid w:val="0"/>
        <w:spacing w:line="360" w:lineRule="auto"/>
        <w:rPr>
          <w:rFonts w:ascii="宋体" w:hAnsi="宋体"/>
          <w:color w:val="auto"/>
          <w:kern w:val="0"/>
          <w:sz w:val="20"/>
          <w:szCs w:val="20"/>
          <w:highlight w:val="none"/>
        </w:rPr>
      </w:pPr>
    </w:p>
    <w:p w14:paraId="592AC1F8">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w w:val="99"/>
          <w:kern w:val="0"/>
          <w:sz w:val="28"/>
          <w:szCs w:val="28"/>
          <w:highlight w:val="none"/>
        </w:rPr>
        <w:t>比选</w:t>
      </w:r>
      <w:r>
        <w:rPr>
          <w:rFonts w:ascii="宋体" w:hAnsi="宋体"/>
          <w:b/>
          <w:color w:val="auto"/>
          <w:w w:val="99"/>
          <w:kern w:val="0"/>
          <w:sz w:val="28"/>
          <w:szCs w:val="28"/>
          <w:highlight w:val="none"/>
        </w:rPr>
        <w:t>人：</w:t>
      </w:r>
      <w:r>
        <w:rPr>
          <w:rFonts w:hint="eastAsia" w:ascii="宋体" w:hAnsi="宋体"/>
          <w:b/>
          <w:color w:val="auto"/>
          <w:spacing w:val="8"/>
          <w:sz w:val="28"/>
          <w:highlight w:val="none"/>
          <w:u w:val="single"/>
          <w:lang w:eastAsia="zh-CN"/>
        </w:rPr>
        <w:t>重庆市江南城市建设发展(集团)有限公司</w:t>
      </w:r>
      <w:r>
        <w:rPr>
          <w:rFonts w:ascii="宋体" w:hAnsi="宋体"/>
          <w:b/>
          <w:color w:val="auto"/>
          <w:w w:val="99"/>
          <w:kern w:val="0"/>
          <w:sz w:val="28"/>
          <w:szCs w:val="28"/>
          <w:highlight w:val="none"/>
        </w:rPr>
        <w:t>（盖单位法人章）</w:t>
      </w:r>
    </w:p>
    <w:p w14:paraId="255ADBD4">
      <w:pPr>
        <w:pStyle w:val="18"/>
        <w:rPr>
          <w:color w:val="auto"/>
          <w:highlight w:val="none"/>
        </w:rPr>
      </w:pPr>
    </w:p>
    <w:p w14:paraId="40B9C4CC">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rPr>
        <w:t>比选</w:t>
      </w:r>
      <w:r>
        <w:rPr>
          <w:rFonts w:ascii="宋体" w:hAnsi="宋体"/>
          <w:b/>
          <w:color w:val="auto"/>
          <w:spacing w:val="8"/>
          <w:kern w:val="0"/>
          <w:sz w:val="28"/>
          <w:szCs w:val="28"/>
          <w:highlight w:val="none"/>
        </w:rPr>
        <w:t>代理机构：</w:t>
      </w:r>
      <w:r>
        <w:rPr>
          <w:rFonts w:hint="eastAsia"/>
          <w:b/>
          <w:bCs/>
          <w:color w:val="auto"/>
          <w:sz w:val="28"/>
          <w:szCs w:val="28"/>
          <w:highlight w:val="none"/>
          <w:u w:val="single"/>
          <w:lang w:val="en-US" w:eastAsia="zh-CN"/>
        </w:rPr>
        <w:t>重庆修为工程咨询有限公司</w:t>
      </w:r>
      <w:r>
        <w:rPr>
          <w:rFonts w:ascii="宋体" w:hAnsi="宋体"/>
          <w:b/>
          <w:color w:val="auto"/>
          <w:w w:val="99"/>
          <w:kern w:val="0"/>
          <w:sz w:val="28"/>
          <w:szCs w:val="28"/>
          <w:highlight w:val="none"/>
        </w:rPr>
        <w:t>（盖单位法人章）</w:t>
      </w:r>
    </w:p>
    <w:p w14:paraId="056A9AEE">
      <w:pPr>
        <w:autoSpaceDE w:val="0"/>
        <w:autoSpaceDN w:val="0"/>
        <w:adjustRightInd w:val="0"/>
        <w:snapToGrid w:val="0"/>
        <w:spacing w:line="360" w:lineRule="auto"/>
        <w:rPr>
          <w:rFonts w:ascii="宋体" w:hAnsi="宋体"/>
          <w:b/>
          <w:color w:val="auto"/>
          <w:kern w:val="0"/>
          <w:sz w:val="28"/>
          <w:szCs w:val="28"/>
          <w:highlight w:val="none"/>
        </w:rPr>
      </w:pPr>
    </w:p>
    <w:p w14:paraId="1D671D82">
      <w:pPr>
        <w:autoSpaceDE w:val="0"/>
        <w:autoSpaceDN w:val="0"/>
        <w:adjustRightInd w:val="0"/>
        <w:snapToGrid w:val="0"/>
        <w:spacing w:line="360" w:lineRule="auto"/>
        <w:rPr>
          <w:rFonts w:ascii="宋体" w:hAnsi="宋体"/>
          <w:b/>
          <w:color w:val="auto"/>
          <w:kern w:val="0"/>
          <w:sz w:val="20"/>
          <w:szCs w:val="20"/>
          <w:highlight w:val="none"/>
        </w:rPr>
      </w:pPr>
    </w:p>
    <w:p w14:paraId="38067BC3">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13210649"/>
      <w:bookmarkStart w:id="2" w:name="_Toc536796736"/>
      <w:bookmarkStart w:id="3" w:name="_Toc536621766"/>
      <w:bookmarkStart w:id="4" w:name="_Toc536797277"/>
      <w:bookmarkStart w:id="5" w:name="_Toc509218549"/>
      <w:r>
        <w:rPr>
          <w:rFonts w:hint="eastAsia" w:ascii="宋体" w:hAnsi="宋体"/>
          <w:b/>
          <w:color w:val="auto"/>
          <w:spacing w:val="8"/>
          <w:kern w:val="0"/>
          <w:sz w:val="28"/>
          <w:szCs w:val="28"/>
          <w:highlight w:val="none"/>
          <w:u w:val="single"/>
        </w:rPr>
        <w:t>2025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 xml:space="preserve"> 12 </w:t>
      </w:r>
      <w:r>
        <w:rPr>
          <w:rFonts w:ascii="宋体" w:hAnsi="宋体"/>
          <w:b/>
          <w:color w:val="auto"/>
          <w:spacing w:val="8"/>
          <w:kern w:val="0"/>
          <w:sz w:val="28"/>
          <w:szCs w:val="28"/>
          <w:highlight w:val="none"/>
        </w:rPr>
        <w:t>月</w:t>
      </w:r>
      <w:bookmarkEnd w:id="1"/>
      <w:bookmarkEnd w:id="2"/>
      <w:bookmarkEnd w:id="3"/>
      <w:bookmarkEnd w:id="4"/>
      <w:bookmarkEnd w:id="5"/>
    </w:p>
    <w:p w14:paraId="0E02E90A">
      <w:pPr>
        <w:pStyle w:val="2"/>
        <w:spacing w:line="360" w:lineRule="auto"/>
        <w:jc w:val="center"/>
        <w:rPr>
          <w:rFonts w:ascii="宋体" w:hAnsi="宋体"/>
          <w:color w:val="auto"/>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p>
    <w:p w14:paraId="6DDD3F0F">
      <w:pPr>
        <w:pStyle w:val="132"/>
        <w:jc w:val="center"/>
        <w:rPr>
          <w:rFonts w:ascii="宋体" w:hAnsi="宋体"/>
          <w:color w:val="auto"/>
          <w:sz w:val="44"/>
          <w:szCs w:val="44"/>
          <w:highlight w:val="none"/>
        </w:rPr>
      </w:pPr>
      <w:bookmarkStart w:id="6" w:name="_Toc5767"/>
      <w:bookmarkStart w:id="7"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0777292F">
      <w:pPr>
        <w:pStyle w:val="32"/>
        <w:tabs>
          <w:tab w:val="right" w:leader="dot" w:pos="9469"/>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\l _Toc11755 </w:instrText>
      </w:r>
      <w:r>
        <w:rPr>
          <w:rFonts w:ascii="宋体" w:hAnsi="宋体"/>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_Toc11755 \h </w:instrText>
      </w:r>
      <w:r>
        <w:rPr>
          <w:color w:val="auto"/>
          <w:highlight w:val="none"/>
        </w:rPr>
        <w:fldChar w:fldCharType="separate"/>
      </w:r>
      <w:r>
        <w:rPr>
          <w:color w:val="auto"/>
          <w:highlight w:val="none"/>
        </w:rPr>
        <w:t>2</w:t>
      </w:r>
      <w:r>
        <w:rPr>
          <w:color w:val="auto"/>
          <w:highlight w:val="none"/>
        </w:rPr>
        <w:fldChar w:fldCharType="end"/>
      </w:r>
      <w:r>
        <w:rPr>
          <w:rFonts w:ascii="宋体" w:hAnsi="宋体"/>
          <w:color w:val="auto"/>
          <w:highlight w:val="none"/>
        </w:rPr>
        <w:fldChar w:fldCharType="end"/>
      </w:r>
    </w:p>
    <w:p w14:paraId="663B0F2D">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_Toc6051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r>
        <w:rPr>
          <w:color w:val="auto"/>
          <w:highlight w:val="none"/>
        </w:rPr>
        <w:tab/>
      </w:r>
      <w:r>
        <w:rPr>
          <w:color w:val="auto"/>
          <w:highlight w:val="none"/>
        </w:rPr>
        <w:fldChar w:fldCharType="begin"/>
      </w:r>
      <w:r>
        <w:rPr>
          <w:color w:val="auto"/>
          <w:highlight w:val="none"/>
        </w:rPr>
        <w:instrText xml:space="preserve"> PAGEREF _Toc6051 \h </w:instrText>
      </w:r>
      <w:r>
        <w:rPr>
          <w:color w:val="auto"/>
          <w:highlight w:val="none"/>
        </w:rPr>
        <w:fldChar w:fldCharType="separate"/>
      </w:r>
      <w:r>
        <w:rPr>
          <w:color w:val="auto"/>
          <w:highlight w:val="none"/>
        </w:rPr>
        <w:t>3</w:t>
      </w:r>
      <w:r>
        <w:rPr>
          <w:color w:val="auto"/>
          <w:highlight w:val="none"/>
        </w:rPr>
        <w:fldChar w:fldCharType="end"/>
      </w:r>
      <w:r>
        <w:rPr>
          <w:rFonts w:ascii="宋体" w:hAnsi="宋体"/>
          <w:bCs/>
          <w:color w:val="auto"/>
          <w:szCs w:val="20"/>
          <w:highlight w:val="none"/>
          <w:lang w:val="zh-CN"/>
        </w:rPr>
        <w:fldChar w:fldCharType="end"/>
      </w:r>
    </w:p>
    <w:p w14:paraId="1A0D6A4C">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_Toc29973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竞标人</w:t>
      </w:r>
      <w:r>
        <w:rPr>
          <w:rFonts w:ascii="宋体" w:hAnsi="宋体"/>
          <w:snapToGrid w:val="0"/>
          <w:color w:val="auto"/>
          <w:kern w:val="0"/>
          <w:highlight w:val="none"/>
        </w:rPr>
        <w:t>须知</w:t>
      </w:r>
      <w:r>
        <w:rPr>
          <w:color w:val="auto"/>
          <w:highlight w:val="none"/>
        </w:rPr>
        <w:tab/>
      </w:r>
      <w:r>
        <w:rPr>
          <w:color w:val="auto"/>
          <w:highlight w:val="none"/>
        </w:rPr>
        <w:fldChar w:fldCharType="begin"/>
      </w:r>
      <w:r>
        <w:rPr>
          <w:color w:val="auto"/>
          <w:highlight w:val="none"/>
        </w:rPr>
        <w:instrText xml:space="preserve"> PAGEREF _Toc29973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14:paraId="163BB01F">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_Toc10400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_Toc10400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14:paraId="106E96A4">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_Toc13682 </w:instrText>
      </w:r>
      <w:r>
        <w:rPr>
          <w:rFonts w:ascii="宋体" w:hAnsi="宋体"/>
          <w:bCs/>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_Toc13682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color w:val="auto"/>
          <w:szCs w:val="20"/>
          <w:highlight w:val="none"/>
          <w:lang w:val="zh-CN"/>
        </w:rPr>
        <w:fldChar w:fldCharType="end"/>
      </w:r>
    </w:p>
    <w:p w14:paraId="270049FD">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_Toc8183 </w:instrText>
      </w:r>
      <w:r>
        <w:rPr>
          <w:rFonts w:ascii="宋体" w:hAnsi="宋体"/>
          <w:bCs/>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_Toc8183 \h </w:instrText>
      </w:r>
      <w:r>
        <w:rPr>
          <w:color w:val="auto"/>
          <w:highlight w:val="none"/>
        </w:rPr>
        <w:fldChar w:fldCharType="separate"/>
      </w:r>
      <w:r>
        <w:rPr>
          <w:color w:val="auto"/>
          <w:highlight w:val="none"/>
        </w:rPr>
        <w:t>47</w:t>
      </w:r>
      <w:r>
        <w:rPr>
          <w:color w:val="auto"/>
          <w:highlight w:val="none"/>
        </w:rPr>
        <w:fldChar w:fldCharType="end"/>
      </w:r>
      <w:r>
        <w:rPr>
          <w:rFonts w:ascii="宋体" w:hAnsi="宋体"/>
          <w:bCs/>
          <w:color w:val="auto"/>
          <w:szCs w:val="20"/>
          <w:highlight w:val="none"/>
          <w:lang w:val="zh-CN"/>
        </w:rPr>
        <w:fldChar w:fldCharType="end"/>
      </w:r>
    </w:p>
    <w:p w14:paraId="391B0456">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_Toc6385 </w:instrText>
      </w:r>
      <w:r>
        <w:rPr>
          <w:rFonts w:ascii="宋体" w:hAnsi="宋体"/>
          <w:bCs/>
          <w:color w:val="auto"/>
          <w:szCs w:val="20"/>
          <w:highlight w:val="none"/>
          <w:lang w:val="zh-CN"/>
        </w:rPr>
        <w:fldChar w:fldCharType="separate"/>
      </w:r>
      <w:r>
        <w:rPr>
          <w:rFonts w:hint="eastAsia" w:ascii="宋体" w:hAnsi="宋体"/>
          <w:color w:val="auto"/>
          <w:highlight w:val="none"/>
        </w:rPr>
        <w:t>第</w:t>
      </w:r>
      <w:r>
        <w:rPr>
          <w:rFonts w:hint="eastAsia" w:ascii="宋体" w:hAnsi="宋体"/>
          <w:color w:val="auto"/>
          <w:highlight w:val="none"/>
          <w:lang w:val="en-US" w:eastAsia="zh-CN"/>
        </w:rPr>
        <w:t>五</w:t>
      </w:r>
      <w:r>
        <w:rPr>
          <w:rFonts w:hint="eastAsia" w:ascii="宋体" w:hAnsi="宋体"/>
          <w:color w:val="auto"/>
          <w:highlight w:val="none"/>
        </w:rPr>
        <w:t>章  发包人要求</w:t>
      </w:r>
      <w:r>
        <w:rPr>
          <w:color w:val="auto"/>
          <w:highlight w:val="none"/>
        </w:rPr>
        <w:tab/>
      </w:r>
      <w:r>
        <w:rPr>
          <w:color w:val="auto"/>
          <w:highlight w:val="none"/>
        </w:rPr>
        <w:fldChar w:fldCharType="begin"/>
      </w:r>
      <w:r>
        <w:rPr>
          <w:color w:val="auto"/>
          <w:highlight w:val="none"/>
        </w:rPr>
        <w:instrText xml:space="preserve"> PAGEREF _Toc6385 \h </w:instrText>
      </w:r>
      <w:r>
        <w:rPr>
          <w:color w:val="auto"/>
          <w:highlight w:val="none"/>
        </w:rPr>
        <w:fldChar w:fldCharType="separate"/>
      </w:r>
      <w:r>
        <w:rPr>
          <w:color w:val="auto"/>
          <w:highlight w:val="none"/>
        </w:rPr>
        <w:t>48</w:t>
      </w:r>
      <w:r>
        <w:rPr>
          <w:color w:val="auto"/>
          <w:highlight w:val="none"/>
        </w:rPr>
        <w:fldChar w:fldCharType="end"/>
      </w:r>
      <w:r>
        <w:rPr>
          <w:rFonts w:ascii="宋体" w:hAnsi="宋体"/>
          <w:bCs/>
          <w:color w:val="auto"/>
          <w:szCs w:val="20"/>
          <w:highlight w:val="none"/>
          <w:lang w:val="zh-CN"/>
        </w:rPr>
        <w:fldChar w:fldCharType="end"/>
      </w:r>
    </w:p>
    <w:p w14:paraId="782DF16B">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_Toc17367 </w:instrText>
      </w:r>
      <w:r>
        <w:rPr>
          <w:rFonts w:ascii="宋体" w:hAnsi="宋体"/>
          <w:bCs/>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_Toc17367 \h </w:instrText>
      </w:r>
      <w:r>
        <w:rPr>
          <w:color w:val="auto"/>
          <w:highlight w:val="none"/>
        </w:rPr>
        <w:fldChar w:fldCharType="separate"/>
      </w:r>
      <w:r>
        <w:rPr>
          <w:color w:val="auto"/>
          <w:highlight w:val="none"/>
        </w:rPr>
        <w:t>49</w:t>
      </w:r>
      <w:r>
        <w:rPr>
          <w:color w:val="auto"/>
          <w:highlight w:val="none"/>
        </w:rPr>
        <w:fldChar w:fldCharType="end"/>
      </w:r>
      <w:r>
        <w:rPr>
          <w:rFonts w:ascii="宋体" w:hAnsi="宋体"/>
          <w:bCs/>
          <w:color w:val="auto"/>
          <w:szCs w:val="20"/>
          <w:highlight w:val="none"/>
          <w:lang w:val="zh-CN"/>
        </w:rPr>
        <w:fldChar w:fldCharType="end"/>
      </w:r>
    </w:p>
    <w:p w14:paraId="31480DB9">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_Toc855 </w:instrText>
      </w:r>
      <w:r>
        <w:rPr>
          <w:rFonts w:ascii="宋体" w:hAnsi="宋体"/>
          <w:bCs/>
          <w:color w:val="auto"/>
          <w:szCs w:val="20"/>
          <w:highlight w:val="none"/>
          <w:lang w:val="zh-CN"/>
        </w:rPr>
        <w:fldChar w:fldCharType="separate"/>
      </w:r>
      <w:r>
        <w:rPr>
          <w:rFonts w:hint="eastAsia" w:ascii="宋体" w:hAnsi="宋体"/>
          <w:color w:val="auto"/>
          <w:highlight w:val="none"/>
        </w:rPr>
        <w:t>第六章  竞标文件格式</w:t>
      </w:r>
      <w:r>
        <w:rPr>
          <w:color w:val="auto"/>
          <w:highlight w:val="none"/>
        </w:rPr>
        <w:tab/>
      </w:r>
      <w:r>
        <w:rPr>
          <w:color w:val="auto"/>
          <w:highlight w:val="none"/>
        </w:rPr>
        <w:fldChar w:fldCharType="begin"/>
      </w:r>
      <w:r>
        <w:rPr>
          <w:color w:val="auto"/>
          <w:highlight w:val="none"/>
        </w:rPr>
        <w:instrText xml:space="preserve"> PAGEREF _Toc855 \h </w:instrText>
      </w:r>
      <w:r>
        <w:rPr>
          <w:color w:val="auto"/>
          <w:highlight w:val="none"/>
        </w:rPr>
        <w:fldChar w:fldCharType="separate"/>
      </w:r>
      <w:r>
        <w:rPr>
          <w:color w:val="auto"/>
          <w:highlight w:val="none"/>
        </w:rPr>
        <w:t>50</w:t>
      </w:r>
      <w:r>
        <w:rPr>
          <w:color w:val="auto"/>
          <w:highlight w:val="none"/>
        </w:rPr>
        <w:fldChar w:fldCharType="end"/>
      </w:r>
      <w:r>
        <w:rPr>
          <w:rFonts w:ascii="宋体" w:hAnsi="宋体"/>
          <w:bCs/>
          <w:color w:val="auto"/>
          <w:szCs w:val="20"/>
          <w:highlight w:val="none"/>
          <w:lang w:val="zh-CN"/>
        </w:rPr>
        <w:fldChar w:fldCharType="end"/>
      </w:r>
    </w:p>
    <w:p w14:paraId="4D4C32DC">
      <w:pPr>
        <w:rPr>
          <w:rFonts w:ascii="宋体" w:hAnsi="宋体"/>
          <w:color w:val="auto"/>
          <w:highlight w:val="none"/>
        </w:rPr>
      </w:pPr>
      <w:r>
        <w:rPr>
          <w:rFonts w:ascii="宋体" w:hAnsi="宋体"/>
          <w:bCs/>
          <w:color w:val="auto"/>
          <w:szCs w:val="20"/>
          <w:highlight w:val="none"/>
          <w:lang w:val="zh-CN"/>
        </w:rPr>
        <w:fldChar w:fldCharType="end"/>
      </w:r>
    </w:p>
    <w:bookmarkEnd w:id="0"/>
    <w:p w14:paraId="014C8DF3">
      <w:pPr>
        <w:spacing w:line="20" w:lineRule="exact"/>
        <w:rPr>
          <w:rFonts w:ascii="宋体" w:hAnsi="宋体"/>
          <w:color w:val="auto"/>
          <w:highlight w:val="none"/>
        </w:rPr>
      </w:pPr>
      <w:bookmarkStart w:id="8" w:name="_Toc430530414"/>
    </w:p>
    <w:p w14:paraId="4D64FD06">
      <w:pPr>
        <w:spacing w:line="20" w:lineRule="exact"/>
        <w:jc w:val="left"/>
        <w:rPr>
          <w:rFonts w:ascii="宋体" w:hAnsi="宋体"/>
          <w:color w:val="auto"/>
          <w:highlight w:val="none"/>
        </w:rPr>
        <w:sectPr>
          <w:footerReference r:id="rId4" w:type="default"/>
          <w:pgSz w:w="11907" w:h="16840"/>
          <w:pgMar w:top="1304" w:right="1134" w:bottom="1304" w:left="1304" w:header="851" w:footer="992" w:gutter="0"/>
          <w:pgNumType w:fmt="numberInDash" w:start="1"/>
          <w:cols w:space="720" w:num="1"/>
          <w:docGrid w:linePitch="312" w:charSpace="0"/>
        </w:sectPr>
      </w:pPr>
    </w:p>
    <w:bookmarkEnd w:id="8"/>
    <w:p w14:paraId="394C5B37">
      <w:pPr>
        <w:spacing w:line="360" w:lineRule="auto"/>
        <w:rPr>
          <w:rFonts w:ascii="宋体" w:hAnsi="宋体"/>
          <w:color w:val="auto"/>
          <w:highlight w:val="none"/>
        </w:rPr>
      </w:pPr>
    </w:p>
    <w:p w14:paraId="7B1B69AA">
      <w:pPr>
        <w:pStyle w:val="2"/>
        <w:spacing w:before="0" w:after="0" w:line="480" w:lineRule="auto"/>
        <w:jc w:val="center"/>
        <w:rPr>
          <w:rFonts w:ascii="宋体" w:hAnsi="宋体"/>
          <w:color w:val="auto"/>
          <w:sz w:val="52"/>
          <w:szCs w:val="52"/>
          <w:highlight w:val="none"/>
        </w:rPr>
      </w:pPr>
      <w:bookmarkStart w:id="9" w:name="_Toc11755"/>
      <w:bookmarkStart w:id="10" w:name="_Toc509218690"/>
      <w:bookmarkStart w:id="11" w:name="_Toc9936"/>
      <w:r>
        <w:rPr>
          <w:rFonts w:hint="eastAsia" w:ascii="宋体" w:hAnsi="宋体"/>
          <w:color w:val="auto"/>
          <w:sz w:val="52"/>
          <w:szCs w:val="52"/>
          <w:highlight w:val="none"/>
        </w:rPr>
        <w:t>第 一 卷</w:t>
      </w:r>
      <w:bookmarkEnd w:id="9"/>
      <w:bookmarkEnd w:id="10"/>
      <w:bookmarkEnd w:id="11"/>
    </w:p>
    <w:p w14:paraId="238DB9A2">
      <w:pPr>
        <w:spacing w:line="200" w:lineRule="exact"/>
        <w:rPr>
          <w:rFonts w:ascii="宋体" w:hAnsi="宋体"/>
          <w:color w:val="auto"/>
          <w:highlight w:val="none"/>
        </w:rPr>
      </w:pPr>
      <w:r>
        <w:rPr>
          <w:rFonts w:ascii="宋体" w:hAnsi="宋体"/>
          <w:color w:val="auto"/>
          <w:highlight w:val="none"/>
        </w:rPr>
        <w:br w:type="page"/>
      </w:r>
    </w:p>
    <w:p w14:paraId="7C6BC4B2">
      <w:pPr>
        <w:pStyle w:val="2"/>
        <w:spacing w:line="360" w:lineRule="auto"/>
        <w:jc w:val="center"/>
        <w:rPr>
          <w:rFonts w:ascii="宋体" w:hAnsi="宋体"/>
          <w:snapToGrid w:val="0"/>
          <w:color w:val="auto"/>
          <w:kern w:val="0"/>
          <w:highlight w:val="none"/>
        </w:rPr>
      </w:pPr>
      <w:bookmarkStart w:id="12" w:name="_Toc287620666"/>
      <w:bookmarkStart w:id="13" w:name="_Toc277082535"/>
      <w:bookmarkStart w:id="14" w:name="_Toc6051"/>
      <w:bookmarkStart w:id="15" w:name="_Toc224103298"/>
      <w:bookmarkStart w:id="16" w:name="_Toc430530415"/>
      <w:bookmarkStart w:id="17" w:name="_Toc509218691"/>
      <w:bookmarkStart w:id="18" w:name="_Toc12819"/>
      <w:bookmarkStart w:id="19" w:name="_Toc287607727"/>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bookmarkEnd w:id="12"/>
      <w:bookmarkEnd w:id="13"/>
      <w:bookmarkEnd w:id="14"/>
      <w:bookmarkEnd w:id="15"/>
      <w:bookmarkEnd w:id="16"/>
      <w:bookmarkEnd w:id="17"/>
      <w:bookmarkEnd w:id="18"/>
      <w:bookmarkEnd w:id="19"/>
    </w:p>
    <w:p w14:paraId="6994B5B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bCs/>
          <w:snapToGrid w:val="0"/>
          <w:color w:val="auto"/>
          <w:kern w:val="0"/>
          <w:sz w:val="24"/>
          <w:szCs w:val="24"/>
          <w:highlight w:val="none"/>
          <w:u w:val="none"/>
          <w:lang w:val="en-US" w:eastAsia="zh-CN"/>
        </w:rPr>
      </w:pPr>
      <w:r>
        <w:rPr>
          <w:rFonts w:hint="eastAsia" w:ascii="宋体" w:hAnsi="宋体"/>
          <w:b/>
          <w:bCs/>
          <w:snapToGrid w:val="0"/>
          <w:color w:val="auto"/>
          <w:kern w:val="0"/>
          <w:sz w:val="24"/>
          <w:szCs w:val="24"/>
          <w:highlight w:val="none"/>
          <w:u w:val="none"/>
          <w:lang w:val="en-US" w:eastAsia="zh-CN"/>
        </w:rPr>
        <w:t>南坪片区老旧小区改造配套基础设施项目（二标段）工程检测服务</w:t>
      </w:r>
    </w:p>
    <w:p w14:paraId="2BD971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bCs/>
          <w:snapToGrid w:val="0"/>
          <w:color w:val="auto"/>
          <w:kern w:val="0"/>
          <w:sz w:val="24"/>
          <w:szCs w:val="24"/>
          <w:highlight w:val="none"/>
          <w:u w:val="none"/>
          <w:lang w:val="en-US" w:eastAsia="zh-CN"/>
        </w:rPr>
      </w:pPr>
      <w:r>
        <w:rPr>
          <w:rFonts w:hint="eastAsia" w:ascii="宋体" w:hAnsi="宋体"/>
          <w:b/>
          <w:bCs/>
          <w:snapToGrid w:val="0"/>
          <w:color w:val="auto"/>
          <w:kern w:val="0"/>
          <w:sz w:val="24"/>
          <w:szCs w:val="24"/>
          <w:highlight w:val="none"/>
          <w:u w:val="none"/>
          <w:lang w:val="en-US" w:eastAsia="zh-CN"/>
        </w:rPr>
        <w:t>比选公告</w:t>
      </w:r>
    </w:p>
    <w:p w14:paraId="03C60E97">
      <w:pPr>
        <w:pStyle w:val="3"/>
        <w:spacing w:before="100" w:after="100" w:line="460" w:lineRule="exact"/>
        <w:rPr>
          <w:rFonts w:ascii="宋体" w:hAnsi="宋体"/>
          <w:snapToGrid w:val="0"/>
          <w:color w:val="auto"/>
          <w:sz w:val="28"/>
          <w:szCs w:val="28"/>
          <w:highlight w:val="none"/>
        </w:rPr>
      </w:pPr>
      <w:bookmarkStart w:id="20" w:name="_Toc287607728"/>
      <w:bookmarkStart w:id="21" w:name="_Toc430530416"/>
      <w:bookmarkStart w:id="22" w:name="_Toc200359427"/>
      <w:bookmarkStart w:id="23" w:name="_Toc509218692"/>
      <w:bookmarkStart w:id="24" w:name="_Toc224103299"/>
      <w:bookmarkStart w:id="25" w:name="_Toc25664"/>
      <w:bookmarkStart w:id="26" w:name="_Toc287620667"/>
      <w:bookmarkStart w:id="27" w:name="_Toc27491"/>
      <w:bookmarkStart w:id="28" w:name="_Toc277082536"/>
      <w:bookmarkStart w:id="29" w:name="_Toc200359238"/>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比选</w:t>
      </w:r>
      <w:r>
        <w:rPr>
          <w:rFonts w:ascii="宋体" w:hAnsi="宋体"/>
          <w:snapToGrid w:val="0"/>
          <w:color w:val="auto"/>
          <w:sz w:val="28"/>
          <w:szCs w:val="28"/>
          <w:highlight w:val="none"/>
        </w:rPr>
        <w:t>条件</w:t>
      </w:r>
      <w:bookmarkEnd w:id="20"/>
      <w:bookmarkEnd w:id="21"/>
      <w:bookmarkEnd w:id="22"/>
      <w:bookmarkEnd w:id="23"/>
      <w:bookmarkEnd w:id="24"/>
      <w:bookmarkEnd w:id="25"/>
      <w:bookmarkEnd w:id="26"/>
      <w:bookmarkEnd w:id="27"/>
      <w:bookmarkEnd w:id="28"/>
      <w:bookmarkEnd w:id="29"/>
    </w:p>
    <w:p w14:paraId="4D6A24E7">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u w:val="single"/>
          <w:lang w:val="en-US" w:eastAsia="zh-CN"/>
        </w:rPr>
        <w:t>南坪片区老旧小区改造配套基础设施项目（二标段）工程检测服务</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业主为</w:t>
      </w:r>
      <w:r>
        <w:rPr>
          <w:rFonts w:hint="eastAsia" w:ascii="宋体" w:hAnsi="宋体"/>
          <w:color w:val="auto"/>
          <w:highlight w:val="none"/>
          <w:u w:val="single"/>
          <w:lang w:eastAsia="zh-CN"/>
        </w:rPr>
        <w:t>重庆市江南城市建设发展(集团)有限公司</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hint="eastAsia" w:ascii="宋体" w:hAnsi="宋体" w:eastAsia="宋体" w:cs="Times New Roman"/>
          <w:snapToGrid w:val="0"/>
          <w:color w:val="auto"/>
          <w:kern w:val="0"/>
          <w:szCs w:val="21"/>
          <w:highlight w:val="none"/>
        </w:rPr>
        <w:t>为</w:t>
      </w:r>
      <w:r>
        <w:rPr>
          <w:rFonts w:hint="eastAsia" w:ascii="宋体" w:hAnsi="宋体"/>
          <w:color w:val="auto"/>
          <w:highlight w:val="none"/>
          <w:u w:val="single"/>
          <w:lang w:eastAsia="zh-CN"/>
        </w:rPr>
        <w:t>重庆市江南城市建设发展(集团)有限公司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hint="eastAsia" w:ascii="宋体" w:hAnsi="宋体"/>
          <w:snapToGrid w:val="0"/>
          <w:color w:val="auto"/>
          <w:kern w:val="0"/>
          <w:position w:val="-2"/>
          <w:szCs w:val="21"/>
          <w:highlight w:val="none"/>
          <w:u w:val="single"/>
          <w:lang w:val="en-US" w:eastAsia="zh-CN"/>
        </w:rPr>
        <w:t>检测</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rPr>
        <w:t>竞争性比选</w:t>
      </w:r>
      <w:r>
        <w:rPr>
          <w:rFonts w:ascii="宋体" w:hAnsi="宋体"/>
          <w:snapToGrid w:val="0"/>
          <w:color w:val="auto"/>
          <w:kern w:val="0"/>
          <w:position w:val="-2"/>
          <w:szCs w:val="21"/>
          <w:highlight w:val="none"/>
        </w:rPr>
        <w:t>。</w:t>
      </w:r>
    </w:p>
    <w:p w14:paraId="414B9EEB">
      <w:pPr>
        <w:pStyle w:val="3"/>
        <w:spacing w:before="100" w:after="100" w:line="460" w:lineRule="exact"/>
        <w:rPr>
          <w:rFonts w:ascii="宋体" w:hAnsi="宋体"/>
          <w:snapToGrid w:val="0"/>
          <w:color w:val="auto"/>
          <w:sz w:val="28"/>
          <w:szCs w:val="28"/>
          <w:highlight w:val="none"/>
        </w:rPr>
      </w:pPr>
      <w:bookmarkStart w:id="30" w:name="_Toc287607729"/>
      <w:bookmarkStart w:id="31" w:name="_Toc430530417"/>
      <w:bookmarkStart w:id="32" w:name="_Toc509218693"/>
      <w:bookmarkStart w:id="33" w:name="_Toc200359428"/>
      <w:bookmarkStart w:id="34" w:name="_Toc277082537"/>
      <w:bookmarkStart w:id="35" w:name="_Toc287620668"/>
      <w:bookmarkStart w:id="36" w:name="_Toc18954"/>
      <w:bookmarkStart w:id="37" w:name="_Toc224103300"/>
      <w:bookmarkStart w:id="38" w:name="_Toc16344"/>
      <w:bookmarkStart w:id="39" w:name="_Toc200359239"/>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r>
        <w:rPr>
          <w:rFonts w:hint="eastAsia" w:ascii="宋体" w:hAnsi="宋体"/>
          <w:snapToGrid w:val="0"/>
          <w:color w:val="auto"/>
          <w:sz w:val="28"/>
          <w:szCs w:val="28"/>
          <w:highlight w:val="none"/>
        </w:rPr>
        <w:t>比选</w:t>
      </w:r>
      <w:r>
        <w:rPr>
          <w:rFonts w:ascii="宋体" w:hAnsi="宋体"/>
          <w:snapToGrid w:val="0"/>
          <w:color w:val="auto"/>
          <w:sz w:val="28"/>
          <w:szCs w:val="28"/>
          <w:highlight w:val="none"/>
        </w:rPr>
        <w:t>范围</w:t>
      </w:r>
      <w:bookmarkEnd w:id="30"/>
      <w:bookmarkEnd w:id="31"/>
      <w:bookmarkEnd w:id="32"/>
      <w:bookmarkEnd w:id="33"/>
      <w:bookmarkEnd w:id="34"/>
      <w:bookmarkEnd w:id="35"/>
      <w:bookmarkEnd w:id="36"/>
      <w:bookmarkEnd w:id="37"/>
      <w:bookmarkEnd w:id="38"/>
      <w:bookmarkEnd w:id="39"/>
    </w:p>
    <w:p w14:paraId="734A0BB0">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none"/>
          <w:lang w:eastAsia="zh-CN"/>
        </w:rPr>
        <w:t>2.1 建设地点：南岸区。</w:t>
      </w:r>
    </w:p>
    <w:p w14:paraId="5A5188E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none"/>
          <w:lang w:eastAsia="zh-CN"/>
        </w:rPr>
        <w:t>2.2 项目概况与建设规模：</w:t>
      </w:r>
      <w:bookmarkStart w:id="40" w:name="OLE_LINK3"/>
      <w:r>
        <w:rPr>
          <w:rFonts w:hint="eastAsia" w:ascii="宋体" w:hAnsi="宋体"/>
          <w:snapToGrid w:val="0"/>
          <w:color w:val="auto"/>
          <w:kern w:val="0"/>
          <w:szCs w:val="21"/>
          <w:highlight w:val="none"/>
          <w:u w:val="none"/>
          <w:lang w:val="zh-CN" w:eastAsia="zh-CN"/>
        </w:rPr>
        <w:t>南坪片区老旧小区改造配套基础设施项目（二标段）位于</w:t>
      </w:r>
      <w:r>
        <w:rPr>
          <w:rFonts w:hint="eastAsia" w:ascii="宋体" w:hAnsi="宋体"/>
          <w:snapToGrid w:val="0"/>
          <w:color w:val="auto"/>
          <w:kern w:val="0"/>
          <w:szCs w:val="21"/>
          <w:highlight w:val="none"/>
          <w:u w:val="none"/>
          <w:lang w:val="en-US" w:eastAsia="zh-CN"/>
        </w:rPr>
        <w:t>重庆市南岸区</w:t>
      </w:r>
      <w:r>
        <w:rPr>
          <w:rFonts w:hint="eastAsia" w:ascii="宋体" w:hAnsi="宋体"/>
          <w:snapToGrid w:val="0"/>
          <w:color w:val="auto"/>
          <w:kern w:val="0"/>
          <w:szCs w:val="21"/>
          <w:highlight w:val="none"/>
          <w:u w:val="none"/>
          <w:lang w:val="zh-CN" w:eastAsia="zh-CN"/>
        </w:rPr>
        <w:t>南坪片区，</w:t>
      </w:r>
      <w:r>
        <w:rPr>
          <w:rFonts w:hint="eastAsia" w:ascii="宋体" w:hAnsi="宋体"/>
          <w:snapToGrid w:val="0"/>
          <w:color w:val="auto"/>
          <w:kern w:val="0"/>
          <w:szCs w:val="21"/>
          <w:highlight w:val="none"/>
          <w:u w:val="none"/>
          <w:lang w:val="en-US" w:eastAsia="zh-CN"/>
        </w:rPr>
        <w:t>主要内容包括：古楼、后堡、宁静小区、团圆堡等老旧小区的绿化工程、景观工程、弱电工程、电气工程、给排水工程等配套基础设施改造。</w:t>
      </w:r>
    </w:p>
    <w:bookmarkEnd w:id="40"/>
    <w:p w14:paraId="252AB84F">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eastAsia="宋体" w:cs="Times New Roman"/>
          <w:snapToGrid w:val="0"/>
          <w:color w:val="auto"/>
          <w:kern w:val="0"/>
          <w:szCs w:val="21"/>
          <w:highlight w:val="none"/>
          <w:u w:val="single"/>
          <w:lang w:eastAsia="zh-CN"/>
        </w:rPr>
      </w:pPr>
      <w:r>
        <w:rPr>
          <w:rFonts w:hint="eastAsia" w:ascii="宋体" w:hAnsi="宋体" w:eastAsia="宋体" w:cs="Times New Roman"/>
          <w:snapToGrid w:val="0"/>
          <w:color w:val="auto"/>
          <w:kern w:val="0"/>
          <w:szCs w:val="21"/>
          <w:highlight w:val="none"/>
          <w:u w:val="none"/>
          <w:lang w:eastAsia="zh-CN"/>
        </w:rPr>
        <w:t>2.</w:t>
      </w:r>
      <w:r>
        <w:rPr>
          <w:rFonts w:hint="eastAsia" w:ascii="宋体" w:hAnsi="宋体" w:eastAsia="宋体" w:cs="Times New Roman"/>
          <w:snapToGrid w:val="0"/>
          <w:color w:val="auto"/>
          <w:kern w:val="0"/>
          <w:szCs w:val="21"/>
          <w:highlight w:val="none"/>
          <w:u w:val="none"/>
          <w:lang w:val="en-US" w:eastAsia="zh-CN"/>
        </w:rPr>
        <w:t>3</w:t>
      </w:r>
      <w:r>
        <w:rPr>
          <w:rFonts w:hint="eastAsia" w:ascii="宋体" w:hAnsi="宋体" w:eastAsia="宋体" w:cs="Times New Roman"/>
          <w:snapToGrid w:val="0"/>
          <w:color w:val="auto"/>
          <w:kern w:val="0"/>
          <w:szCs w:val="21"/>
          <w:highlight w:val="none"/>
          <w:u w:val="none"/>
          <w:lang w:eastAsia="zh-CN"/>
        </w:rPr>
        <w:t>比选范围：</w:t>
      </w:r>
      <w:r>
        <w:rPr>
          <w:rFonts w:hint="eastAsia" w:ascii="宋体" w:hAnsi="宋体" w:eastAsia="宋体" w:cs="Times New Roman"/>
          <w:snapToGrid w:val="0"/>
          <w:color w:val="auto"/>
          <w:kern w:val="0"/>
          <w:szCs w:val="21"/>
          <w:highlight w:val="none"/>
          <w:u w:val="single"/>
          <w:lang w:eastAsia="zh-CN"/>
        </w:rPr>
        <w:t>根据国家、地方和行业相关规定以及设计施工图要求，完成项目施工阶段及缺陷责任期所需的全部工程检测，并按照工程进度需求出具相应的检测报告。具体包括施工阶段及竣工验收全阶段的见证取样检测、一般质量检测、专项质量检测、特殊质量检测等所有检测内容（不包含工程结构鉴定），试验要求以该项目施工图及房屋建筑相关检测规范为准。</w:t>
      </w:r>
    </w:p>
    <w:p w14:paraId="116AD2C2">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eastAsia="宋体" w:cs="Times New Roman"/>
          <w:snapToGrid w:val="0"/>
          <w:color w:val="auto"/>
          <w:kern w:val="0"/>
          <w:szCs w:val="21"/>
          <w:highlight w:val="none"/>
          <w:u w:val="none"/>
          <w:lang w:eastAsia="zh-CN"/>
        </w:rPr>
      </w:pPr>
      <w:r>
        <w:rPr>
          <w:rFonts w:hint="eastAsia" w:ascii="宋体" w:hAnsi="宋体" w:eastAsia="宋体" w:cs="Times New Roman"/>
          <w:snapToGrid w:val="0"/>
          <w:color w:val="auto"/>
          <w:kern w:val="0"/>
          <w:szCs w:val="21"/>
          <w:highlight w:val="none"/>
          <w:u w:val="none"/>
          <w:lang w:eastAsia="zh-CN"/>
        </w:rPr>
        <w:t>2.</w:t>
      </w:r>
      <w:r>
        <w:rPr>
          <w:rFonts w:hint="eastAsia" w:ascii="宋体" w:hAnsi="宋体" w:eastAsia="宋体" w:cs="Times New Roman"/>
          <w:snapToGrid w:val="0"/>
          <w:color w:val="auto"/>
          <w:kern w:val="0"/>
          <w:szCs w:val="21"/>
          <w:highlight w:val="none"/>
          <w:u w:val="none"/>
          <w:lang w:val="en-US" w:eastAsia="zh-CN"/>
        </w:rPr>
        <w:t>4</w:t>
      </w:r>
      <w:r>
        <w:rPr>
          <w:rFonts w:hint="eastAsia" w:ascii="宋体" w:hAnsi="宋体" w:eastAsia="宋体" w:cs="Times New Roman"/>
          <w:snapToGrid w:val="0"/>
          <w:color w:val="auto"/>
          <w:kern w:val="0"/>
          <w:szCs w:val="21"/>
          <w:highlight w:val="none"/>
          <w:u w:val="none"/>
          <w:lang w:eastAsia="zh-CN"/>
        </w:rPr>
        <w:t xml:space="preserve"> 服务期限：</w:t>
      </w:r>
      <w:bookmarkStart w:id="41" w:name="_Toc19513"/>
      <w:bookmarkStart w:id="42" w:name="_Toc287620669"/>
      <w:bookmarkStart w:id="43" w:name="_Toc200359429"/>
      <w:bookmarkStart w:id="44" w:name="_Toc224103301"/>
      <w:bookmarkStart w:id="45" w:name="_Toc15101"/>
      <w:bookmarkStart w:id="46" w:name="_Toc287607730"/>
      <w:bookmarkStart w:id="47" w:name="_Toc277082538"/>
      <w:bookmarkStart w:id="48" w:name="_Toc430530418"/>
      <w:bookmarkStart w:id="49" w:name="_Toc200359240"/>
      <w:bookmarkStart w:id="50" w:name="_Toc509218694"/>
      <w:r>
        <w:rPr>
          <w:rFonts w:hint="eastAsia" w:ascii="宋体" w:hAnsi="宋体"/>
          <w:color w:val="auto"/>
          <w:szCs w:val="21"/>
          <w:highlight w:val="none"/>
          <w:u w:val="single"/>
        </w:rPr>
        <w:t>合同签订之日起至全部检测工作完成之日止</w:t>
      </w:r>
      <w:r>
        <w:rPr>
          <w:rFonts w:hint="eastAsia" w:ascii="宋体" w:hAnsi="宋体" w:eastAsia="宋体" w:cs="Times New Roman"/>
          <w:snapToGrid w:val="0"/>
          <w:color w:val="auto"/>
          <w:kern w:val="0"/>
          <w:szCs w:val="21"/>
          <w:highlight w:val="none"/>
          <w:u w:val="none"/>
          <w:lang w:val="en-US" w:eastAsia="zh-CN"/>
        </w:rPr>
        <w:t>。</w:t>
      </w:r>
    </w:p>
    <w:p w14:paraId="6526809D">
      <w:pPr>
        <w:pStyle w:val="3"/>
        <w:spacing w:before="100" w:after="100" w:line="460" w:lineRule="exact"/>
        <w:rPr>
          <w:rFonts w:ascii="宋体" w:hAnsi="宋体"/>
          <w:snapToGrid w:val="0"/>
          <w:color w:val="auto"/>
          <w:sz w:val="28"/>
          <w:szCs w:val="28"/>
          <w:highlight w:val="none"/>
        </w:rPr>
      </w:pPr>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竞标</w:t>
      </w:r>
      <w:r>
        <w:rPr>
          <w:rFonts w:ascii="宋体" w:hAnsi="宋体"/>
          <w:snapToGrid w:val="0"/>
          <w:color w:val="auto"/>
          <w:sz w:val="28"/>
          <w:szCs w:val="28"/>
          <w:highlight w:val="none"/>
        </w:rPr>
        <w:t>人资格要求</w:t>
      </w:r>
      <w:bookmarkEnd w:id="41"/>
      <w:bookmarkEnd w:id="42"/>
      <w:bookmarkEnd w:id="43"/>
      <w:bookmarkEnd w:id="44"/>
      <w:bookmarkEnd w:id="45"/>
      <w:bookmarkEnd w:id="46"/>
      <w:bookmarkEnd w:id="47"/>
      <w:bookmarkEnd w:id="48"/>
      <w:bookmarkEnd w:id="49"/>
      <w:bookmarkEnd w:id="50"/>
    </w:p>
    <w:p w14:paraId="3BCDB57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0E3E2159">
      <w:pPr>
        <w:tabs>
          <w:tab w:val="left" w:pos="3045"/>
          <w:tab w:val="left" w:pos="8310"/>
        </w:tabs>
        <w:autoSpaceDE w:val="0"/>
        <w:autoSpaceDN w:val="0"/>
        <w:adjustRightInd w:val="0"/>
        <w:snapToGrid w:val="0"/>
        <w:spacing w:line="460" w:lineRule="exact"/>
        <w:ind w:firstLine="420" w:firstLineChars="200"/>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 xml:space="preserve">3.1.1 </w:t>
      </w:r>
      <w:r>
        <w:rPr>
          <w:rFonts w:hint="eastAsia" w:ascii="宋体" w:hAnsi="宋体" w:eastAsia="宋体" w:cs="Times New Roman"/>
          <w:snapToGrid w:val="0"/>
          <w:color w:val="auto"/>
          <w:kern w:val="0"/>
          <w:szCs w:val="21"/>
          <w:highlight w:val="none"/>
        </w:rPr>
        <w:t>本次招标要求竞选人具备以下资质条件：</w:t>
      </w:r>
    </w:p>
    <w:p w14:paraId="44960E45">
      <w:pPr>
        <w:tabs>
          <w:tab w:val="left" w:pos="3045"/>
          <w:tab w:val="left" w:pos="8310"/>
        </w:tabs>
        <w:autoSpaceDE w:val="0"/>
        <w:autoSpaceDN w:val="0"/>
        <w:adjustRightInd w:val="0"/>
        <w:snapToGrid w:val="0"/>
        <w:spacing w:line="460" w:lineRule="exact"/>
        <w:ind w:firstLine="420" w:firstLineChars="200"/>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①重庆市市场监督管理局颁发的CMA检验检测机构资质认定证书；</w:t>
      </w:r>
    </w:p>
    <w:p w14:paraId="00162EE5">
      <w:pPr>
        <w:tabs>
          <w:tab w:val="left" w:pos="3045"/>
          <w:tab w:val="left" w:pos="8310"/>
        </w:tabs>
        <w:autoSpaceDE w:val="0"/>
        <w:autoSpaceDN w:val="0"/>
        <w:adjustRightInd w:val="0"/>
        <w:snapToGrid w:val="0"/>
        <w:spacing w:line="460" w:lineRule="exact"/>
        <w:ind w:firstLine="420" w:firstLineChars="200"/>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②建设行政主管部门颁发的建设工程质量检测机构资质证书，具体资质如下：</w:t>
      </w:r>
      <w:r>
        <w:rPr>
          <w:rFonts w:hint="eastAsia" w:ascii="宋体" w:hAnsi="宋体" w:eastAsia="宋体" w:cs="Times New Roman"/>
          <w:snapToGrid w:val="0"/>
          <w:color w:val="auto"/>
          <w:kern w:val="0"/>
          <w:szCs w:val="21"/>
          <w:highlight w:val="none"/>
          <w:u w:val="single"/>
        </w:rPr>
        <w:t>专项资质（包含建筑材料及构配件、主体结构及装饰装修、钢结构、地基基础、建筑节能、道路工程）。</w:t>
      </w:r>
    </w:p>
    <w:p w14:paraId="6608AA8B">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3.1.2 竞标人还应在人员、设备、资金等方面具有相应的</w:t>
      </w:r>
      <w:r>
        <w:rPr>
          <w:rFonts w:hint="eastAsia" w:ascii="宋体" w:hAnsi="宋体"/>
          <w:snapToGrid w:val="0"/>
          <w:color w:val="auto"/>
          <w:kern w:val="0"/>
          <w:szCs w:val="21"/>
          <w:highlight w:val="none"/>
          <w:lang w:val="en-US" w:eastAsia="zh-CN"/>
        </w:rPr>
        <w:t>服务</w:t>
      </w:r>
      <w:r>
        <w:rPr>
          <w:rFonts w:hint="eastAsia" w:ascii="宋体" w:hAnsi="宋体"/>
          <w:snapToGrid w:val="0"/>
          <w:color w:val="auto"/>
          <w:kern w:val="0"/>
          <w:szCs w:val="21"/>
          <w:highlight w:val="none"/>
        </w:rPr>
        <w:t>能力，详见竞争性比选文件第二章竞标人须知前附表第1.4.1项内容。</w:t>
      </w:r>
    </w:p>
    <w:p w14:paraId="297A9325">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w:t>
      </w:r>
      <w:r>
        <w:rPr>
          <w:rFonts w:hint="eastAsia" w:ascii="宋体" w:hAnsi="宋体"/>
          <w:snapToGrid w:val="0"/>
          <w:color w:val="auto"/>
          <w:kern w:val="0"/>
          <w:szCs w:val="21"/>
          <w:highlight w:val="none"/>
        </w:rPr>
        <w:t>比选</w:t>
      </w:r>
      <w:r>
        <w:rPr>
          <w:rFonts w:hint="eastAsia" w:ascii="宋体" w:hAnsi="宋体"/>
          <w:snapToGrid w:val="0"/>
          <w:color w:val="auto"/>
          <w:kern w:val="0"/>
          <w:szCs w:val="21"/>
          <w:highlight w:val="none"/>
          <w:u w:val="single"/>
          <w:lang w:val="en-US" w:eastAsia="zh-CN"/>
        </w:rPr>
        <w:t xml:space="preserve"> </w:t>
      </w:r>
      <w:r>
        <w:rPr>
          <w:rFonts w:hint="eastAsia" w:ascii="宋体" w:hAnsi="宋体" w:eastAsia="宋体"/>
          <w:snapToGrid w:val="0"/>
          <w:color w:val="auto"/>
          <w:kern w:val="0"/>
          <w:szCs w:val="21"/>
          <w:highlight w:val="none"/>
          <w:u w:val="single"/>
          <w:lang w:val="en-US" w:eastAsia="zh-CN"/>
        </w:rPr>
        <w:t>不</w:t>
      </w:r>
      <w:r>
        <w:rPr>
          <w:rFonts w:hint="eastAsia" w:ascii="宋体" w:hAnsi="宋体"/>
          <w:snapToGrid w:val="0"/>
          <w:color w:val="auto"/>
          <w:kern w:val="0"/>
          <w:szCs w:val="21"/>
          <w:highlight w:val="none"/>
          <w:u w:val="single"/>
        </w:rPr>
        <w:t>接受</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联合体</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w:t>
      </w:r>
    </w:p>
    <w:p w14:paraId="5AE3E0AD">
      <w:pPr>
        <w:pStyle w:val="3"/>
        <w:spacing w:before="100" w:after="100" w:line="460" w:lineRule="exact"/>
        <w:rPr>
          <w:rFonts w:ascii="宋体" w:hAnsi="宋体"/>
          <w:snapToGrid w:val="0"/>
          <w:color w:val="auto"/>
          <w:sz w:val="28"/>
          <w:szCs w:val="28"/>
          <w:highlight w:val="none"/>
        </w:rPr>
      </w:pPr>
      <w:bookmarkStart w:id="51" w:name="_Toc509218695"/>
      <w:bookmarkStart w:id="52" w:name="_Toc12705"/>
      <w:bookmarkStart w:id="53" w:name="_Toc200359241"/>
      <w:bookmarkStart w:id="54" w:name="_Toc287620670"/>
      <w:bookmarkStart w:id="55" w:name="_Toc200359430"/>
      <w:bookmarkStart w:id="56" w:name="_Toc287607731"/>
      <w:bookmarkStart w:id="57" w:name="_Toc224103302"/>
      <w:bookmarkStart w:id="58" w:name="_Toc430530419"/>
      <w:bookmarkStart w:id="59" w:name="_Toc277082539"/>
      <w:bookmarkStart w:id="60" w:name="_Toc10508"/>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竞争性比选文件</w:t>
      </w:r>
      <w:r>
        <w:rPr>
          <w:rFonts w:ascii="宋体" w:hAnsi="宋体"/>
          <w:snapToGrid w:val="0"/>
          <w:color w:val="auto"/>
          <w:sz w:val="28"/>
          <w:szCs w:val="28"/>
          <w:highlight w:val="none"/>
        </w:rPr>
        <w:t>的获取</w:t>
      </w:r>
      <w:bookmarkEnd w:id="51"/>
      <w:bookmarkEnd w:id="52"/>
      <w:bookmarkEnd w:id="53"/>
      <w:bookmarkEnd w:id="54"/>
      <w:bookmarkEnd w:id="55"/>
      <w:bookmarkEnd w:id="56"/>
      <w:bookmarkEnd w:id="57"/>
      <w:bookmarkEnd w:id="58"/>
      <w:bookmarkEnd w:id="59"/>
      <w:bookmarkEnd w:id="60"/>
    </w:p>
    <w:p w14:paraId="78E2303E">
      <w:pPr>
        <w:spacing w:line="360" w:lineRule="auto"/>
        <w:ind w:firstLine="420" w:firstLineChars="200"/>
        <w:rPr>
          <w:rFonts w:ascii="宋体" w:hAnsi="宋体" w:cs="宋体"/>
          <w:color w:val="auto"/>
          <w:szCs w:val="21"/>
          <w:highlight w:val="none"/>
        </w:rPr>
      </w:pPr>
      <w:bookmarkStart w:id="61" w:name="_Toc277082540"/>
      <w:bookmarkStart w:id="62" w:name="_Toc287607732"/>
      <w:bookmarkStart w:id="63" w:name="_Toc28449"/>
      <w:bookmarkStart w:id="64" w:name="_Toc200359242"/>
      <w:bookmarkStart w:id="65" w:name="_Toc287620671"/>
      <w:bookmarkStart w:id="66" w:name="_Toc509218696"/>
      <w:bookmarkStart w:id="67" w:name="_Toc200359431"/>
      <w:bookmarkStart w:id="68" w:name="_Toc430530420"/>
      <w:bookmarkStart w:id="69" w:name="_Toc224103303"/>
      <w:r>
        <w:rPr>
          <w:rFonts w:hint="eastAsia" w:ascii="宋体" w:hAnsi="宋体" w:cs="宋体"/>
          <w:color w:val="auto"/>
          <w:szCs w:val="21"/>
          <w:highlight w:val="none"/>
        </w:rPr>
        <w:t>4.1竞标人在竞标前可在行采家（https://www.gec123.com/）进行注册。</w:t>
      </w:r>
    </w:p>
    <w:p w14:paraId="48AAC2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4.2潜在竞标人请在“行采家”网上下载本项目竞争性比选文件以及补遗等开标前公布的所有项目资料，无论竞标人下载与否，均视为已知晓所有比选内容。</w:t>
      </w:r>
    </w:p>
    <w:p w14:paraId="5A4142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4.3凡有意参加比选的竞标人，请于2025年</w:t>
      </w:r>
      <w:r>
        <w:rPr>
          <w:rFonts w:hint="eastAsia" w:ascii="宋体" w:hAnsi="宋体" w:cs="宋体"/>
          <w:color w:val="auto"/>
          <w:szCs w:val="21"/>
          <w:highlight w:val="none"/>
          <w:lang w:val="en-US" w:eastAsia="zh-CN"/>
        </w:rPr>
        <w:t xml:space="preserve"> 12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23 </w:t>
      </w:r>
      <w:r>
        <w:rPr>
          <w:rFonts w:hint="eastAsia" w:ascii="宋体" w:hAnsi="宋体" w:cs="宋体"/>
          <w:color w:val="auto"/>
          <w:szCs w:val="21"/>
          <w:highlight w:val="none"/>
        </w:rPr>
        <w:t>日起-2025年</w:t>
      </w:r>
      <w:r>
        <w:rPr>
          <w:rFonts w:hint="eastAsia" w:ascii="宋体" w:hAnsi="宋体" w:cs="宋体"/>
          <w:color w:val="auto"/>
          <w:szCs w:val="21"/>
          <w:highlight w:val="none"/>
          <w:lang w:val="en-US" w:eastAsia="zh-CN"/>
        </w:rPr>
        <w:t xml:space="preserve"> 12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25 </w:t>
      </w:r>
      <w:r>
        <w:rPr>
          <w:rFonts w:hint="eastAsia" w:ascii="宋体" w:hAnsi="宋体" w:cs="宋体"/>
          <w:color w:val="auto"/>
          <w:szCs w:val="21"/>
          <w:highlight w:val="none"/>
        </w:rPr>
        <w:t>日（9:00-17:00）内完成报名，未在规定时间内完成报名不得参与竞标。报名方式为：</w:t>
      </w:r>
    </w:p>
    <w:p w14:paraId="033DFA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4.3.1比选文件售价：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00元/</w:t>
      </w:r>
      <w:r>
        <w:rPr>
          <w:rFonts w:hint="eastAsia" w:ascii="宋体" w:hAnsi="宋体" w:cs="宋体"/>
          <w:color w:val="auto"/>
          <w:szCs w:val="21"/>
          <w:highlight w:val="none"/>
          <w:lang w:val="en-US" w:eastAsia="zh-CN"/>
        </w:rPr>
        <w:t>份</w:t>
      </w:r>
      <w:r>
        <w:rPr>
          <w:rFonts w:hint="eastAsia" w:ascii="宋体" w:hAnsi="宋体" w:cs="宋体"/>
          <w:color w:val="auto"/>
          <w:szCs w:val="21"/>
          <w:highlight w:val="none"/>
        </w:rPr>
        <w:t>（售后不退），在递交竞标文件时支付比选文件费用，售后不退。</w:t>
      </w:r>
    </w:p>
    <w:p w14:paraId="13764E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4.3.2潜在竞标人将《比选文件发售登记表》（加盖竞标人公章）扫描后发送至2450444027@qq.com邮箱进行报名。</w:t>
      </w:r>
    </w:p>
    <w:p w14:paraId="73C9DB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须满足以下要求，其竞标文件才被接受：</w:t>
      </w:r>
    </w:p>
    <w:p w14:paraId="761DC6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（1）按时报名；</w:t>
      </w:r>
    </w:p>
    <w:p w14:paraId="24625E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（2）按时签到并递交竞标文件。</w:t>
      </w:r>
    </w:p>
    <w:p w14:paraId="0AE9F0CA">
      <w:pPr>
        <w:pStyle w:val="3"/>
        <w:spacing w:before="100" w:after="100" w:line="460" w:lineRule="exact"/>
        <w:rPr>
          <w:rFonts w:ascii="宋体" w:hAnsi="宋体"/>
          <w:snapToGrid w:val="0"/>
          <w:color w:val="auto"/>
          <w:sz w:val="28"/>
          <w:szCs w:val="28"/>
          <w:highlight w:val="none"/>
        </w:rPr>
      </w:pPr>
      <w:bookmarkStart w:id="70" w:name="_Toc8176"/>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竞标</w:t>
      </w:r>
      <w:r>
        <w:rPr>
          <w:rFonts w:ascii="宋体" w:hAnsi="宋体"/>
          <w:snapToGrid w:val="0"/>
          <w:color w:val="auto"/>
          <w:sz w:val="28"/>
          <w:szCs w:val="28"/>
          <w:highlight w:val="none"/>
        </w:rPr>
        <w:t>文件的递交</w:t>
      </w:r>
      <w:bookmarkEnd w:id="61"/>
      <w:bookmarkEnd w:id="62"/>
      <w:bookmarkEnd w:id="63"/>
      <w:bookmarkEnd w:id="64"/>
      <w:bookmarkEnd w:id="65"/>
      <w:bookmarkEnd w:id="66"/>
      <w:bookmarkEnd w:id="67"/>
      <w:bookmarkEnd w:id="68"/>
      <w:bookmarkEnd w:id="69"/>
      <w:bookmarkEnd w:id="70"/>
    </w:p>
    <w:p w14:paraId="50A228E5">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文件递交的截止时间（</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截止时间，下同）为</w:t>
      </w:r>
      <w:r>
        <w:rPr>
          <w:rFonts w:hint="eastAsia" w:ascii="宋体" w:hAnsi="宋体"/>
          <w:snapToGrid w:val="0"/>
          <w:color w:val="auto"/>
          <w:kern w:val="0"/>
          <w:szCs w:val="21"/>
          <w:highlight w:val="none"/>
          <w:u w:val="single"/>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12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29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14</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3</w:t>
      </w:r>
      <w:r>
        <w:rPr>
          <w:rFonts w:hint="eastAsia" w:ascii="宋体" w:hAnsi="宋体"/>
          <w:snapToGrid w:val="0"/>
          <w:color w:val="auto"/>
          <w:kern w:val="0"/>
          <w:szCs w:val="21"/>
          <w:highlight w:val="none"/>
          <w:u w:val="single"/>
        </w:rPr>
        <w:t>0</w:t>
      </w:r>
      <w:r>
        <w:rPr>
          <w:rFonts w:ascii="宋体" w:hAnsi="宋体"/>
          <w:snapToGrid w:val="0"/>
          <w:color w:val="auto"/>
          <w:kern w:val="0"/>
          <w:szCs w:val="21"/>
          <w:highlight w:val="none"/>
        </w:rPr>
        <w:t>分，地点为</w:t>
      </w:r>
      <w:r>
        <w:rPr>
          <w:rFonts w:hint="eastAsia" w:ascii="宋体" w:hAnsi="宋体" w:cs="宋体"/>
          <w:b/>
          <w:snapToGrid w:val="0"/>
          <w:color w:val="auto"/>
          <w:kern w:val="0"/>
          <w:highlight w:val="none"/>
          <w:u w:val="single"/>
          <w:lang w:val="en-US" w:eastAsia="zh-CN"/>
        </w:rPr>
        <w:t>南岸区公共资源交易平台（汇南公司）（地址：重庆市南岸区茶园新区广福大道12号行政中心B区2号楼4楼）</w:t>
      </w:r>
      <w:r>
        <w:rPr>
          <w:rFonts w:ascii="宋体" w:hAnsi="宋体"/>
          <w:snapToGrid w:val="0"/>
          <w:color w:val="auto"/>
          <w:kern w:val="0"/>
          <w:szCs w:val="21"/>
          <w:highlight w:val="none"/>
        </w:rPr>
        <w:t>。</w:t>
      </w:r>
    </w:p>
    <w:p w14:paraId="2E722D87">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rPr>
        <w:t>竞标文件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人不予受理。</w:t>
      </w:r>
    </w:p>
    <w:p w14:paraId="26E7B146">
      <w:pPr>
        <w:pStyle w:val="3"/>
        <w:spacing w:before="100" w:after="100" w:line="460" w:lineRule="exact"/>
        <w:rPr>
          <w:rFonts w:ascii="宋体" w:hAnsi="宋体"/>
          <w:snapToGrid w:val="0"/>
          <w:color w:val="auto"/>
          <w:sz w:val="28"/>
          <w:szCs w:val="28"/>
          <w:highlight w:val="none"/>
        </w:rPr>
      </w:pPr>
      <w:bookmarkStart w:id="71" w:name="_Toc277082541"/>
      <w:bookmarkStart w:id="72" w:name="_Toc8166"/>
      <w:bookmarkStart w:id="73" w:name="_Toc509218697"/>
      <w:bookmarkStart w:id="74" w:name="_Toc287607733"/>
      <w:bookmarkStart w:id="75" w:name="_Toc224103304"/>
      <w:bookmarkStart w:id="76" w:name="_Toc4671"/>
      <w:bookmarkStart w:id="77" w:name="_Toc200359432"/>
      <w:bookmarkStart w:id="78" w:name="_Toc430530421"/>
      <w:bookmarkStart w:id="79" w:name="_Toc287620672"/>
      <w:bookmarkStart w:id="80" w:name="_Toc200359243"/>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71"/>
      <w:bookmarkEnd w:id="72"/>
      <w:bookmarkEnd w:id="73"/>
      <w:bookmarkEnd w:id="74"/>
      <w:bookmarkEnd w:id="75"/>
      <w:bookmarkEnd w:id="76"/>
      <w:bookmarkEnd w:id="77"/>
      <w:bookmarkEnd w:id="78"/>
      <w:bookmarkEnd w:id="79"/>
      <w:bookmarkEnd w:id="80"/>
    </w:p>
    <w:p w14:paraId="3ADBAB00">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本次公告同时在</w:t>
      </w:r>
      <w:r>
        <w:rPr>
          <w:rFonts w:hint="eastAsia" w:ascii="宋体" w:hAnsi="宋体"/>
          <w:snapToGrid w:val="0"/>
          <w:color w:val="auto"/>
          <w:kern w:val="0"/>
          <w:szCs w:val="21"/>
          <w:highlight w:val="none"/>
          <w:u w:val="single"/>
        </w:rPr>
        <w:t xml:space="preserve"> 行采家（https://www.gec123.com/）</w:t>
      </w:r>
      <w:r>
        <w:rPr>
          <w:rFonts w:ascii="宋体" w:hAnsi="宋体"/>
          <w:snapToGrid w:val="0"/>
          <w:color w:val="auto"/>
          <w:kern w:val="0"/>
          <w:szCs w:val="21"/>
          <w:highlight w:val="none"/>
        </w:rPr>
        <w:t>上发布。</w:t>
      </w:r>
    </w:p>
    <w:p w14:paraId="601D8FB9">
      <w:pPr>
        <w:pStyle w:val="3"/>
        <w:spacing w:before="100" w:after="100" w:line="460" w:lineRule="exact"/>
        <w:rPr>
          <w:rFonts w:ascii="宋体" w:hAnsi="宋体"/>
          <w:snapToGrid w:val="0"/>
          <w:color w:val="auto"/>
          <w:sz w:val="28"/>
          <w:szCs w:val="28"/>
          <w:highlight w:val="none"/>
        </w:rPr>
      </w:pPr>
      <w:bookmarkStart w:id="81" w:name="_Toc14240"/>
      <w:bookmarkStart w:id="82" w:name="_Toc31352"/>
      <w:bookmarkStart w:id="83" w:name="_Toc287607734"/>
      <w:bookmarkStart w:id="84" w:name="_Toc430530422"/>
      <w:bookmarkStart w:id="85" w:name="_Toc509218698"/>
      <w:bookmarkStart w:id="86" w:name="_Toc277082542"/>
      <w:bookmarkStart w:id="87" w:name="_Toc224103305"/>
      <w:bookmarkStart w:id="88" w:name="_Toc10191"/>
      <w:bookmarkStart w:id="89" w:name="_Toc287620673"/>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81"/>
      <w:bookmarkEnd w:id="82"/>
      <w:bookmarkStart w:id="90" w:name="_Toc589"/>
      <w:r>
        <w:rPr>
          <w:rFonts w:ascii="宋体" w:hAnsi="宋体"/>
          <w:snapToGrid w:val="0"/>
          <w:color w:val="auto"/>
          <w:sz w:val="28"/>
          <w:szCs w:val="28"/>
          <w:highlight w:val="none"/>
        </w:rPr>
        <w:t>联系方式</w:t>
      </w:r>
      <w:bookmarkEnd w:id="83"/>
      <w:bookmarkEnd w:id="84"/>
      <w:bookmarkEnd w:id="85"/>
      <w:bookmarkEnd w:id="86"/>
      <w:bookmarkEnd w:id="87"/>
      <w:bookmarkEnd w:id="88"/>
      <w:bookmarkEnd w:id="89"/>
      <w:bookmarkEnd w:id="90"/>
    </w:p>
    <w:p w14:paraId="017B6959">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比选人：</w:t>
      </w:r>
      <w:r>
        <w:rPr>
          <w:rFonts w:hint="eastAsia" w:ascii="宋体"/>
          <w:color w:val="auto"/>
          <w:szCs w:val="21"/>
          <w:highlight w:val="none"/>
          <w:lang w:eastAsia="zh-CN"/>
        </w:rPr>
        <w:t>重庆市江南城市建设发展(集团)有限公司</w:t>
      </w:r>
    </w:p>
    <w:p w14:paraId="131921E3">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地址：</w:t>
      </w:r>
      <w:r>
        <w:rPr>
          <w:rFonts w:hint="eastAsia" w:ascii="宋体" w:hAnsi="宋体"/>
          <w:color w:val="auto"/>
          <w:kern w:val="0"/>
          <w:highlight w:val="none"/>
        </w:rPr>
        <w:t>重庆市南岸区茶园花街二期A栋(长生桥地铁站东)</w:t>
      </w:r>
    </w:p>
    <w:p w14:paraId="2A659377">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联系人：赵老师</w:t>
      </w:r>
    </w:p>
    <w:p w14:paraId="1072BADA">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联系电话：</w:t>
      </w:r>
      <w:r>
        <w:rPr>
          <w:rFonts w:hint="eastAsia" w:ascii="宋体" w:hAnsi="宋体"/>
          <w:color w:val="auto"/>
          <w:kern w:val="0"/>
          <w:highlight w:val="none"/>
        </w:rPr>
        <w:t>023-62820331</w:t>
      </w:r>
    </w:p>
    <w:p w14:paraId="1735B54B">
      <w:pPr>
        <w:tabs>
          <w:tab w:val="left" w:pos="1425"/>
        </w:tabs>
        <w:spacing w:line="360" w:lineRule="auto"/>
        <w:ind w:left="5985" w:leftChars="200" w:hanging="5565" w:hangingChars="2650"/>
        <w:rPr>
          <w:rFonts w:hint="eastAsia" w:ascii="宋体" w:eastAsia="宋体"/>
          <w:color w:val="auto"/>
          <w:szCs w:val="21"/>
          <w:highlight w:val="none"/>
          <w:lang w:eastAsia="zh-CN"/>
        </w:rPr>
      </w:pPr>
      <w:r>
        <w:rPr>
          <w:rFonts w:hint="eastAsia" w:ascii="宋体"/>
          <w:color w:val="auto"/>
          <w:szCs w:val="21"/>
          <w:highlight w:val="none"/>
          <w:lang w:val="en-US" w:eastAsia="zh-CN"/>
        </w:rPr>
        <w:t>比选</w:t>
      </w:r>
      <w:r>
        <w:rPr>
          <w:rFonts w:hint="eastAsia" w:ascii="宋体"/>
          <w:color w:val="auto"/>
          <w:szCs w:val="21"/>
          <w:highlight w:val="none"/>
        </w:rPr>
        <w:t>代理机构：</w:t>
      </w:r>
      <w:r>
        <w:rPr>
          <w:rFonts w:hint="eastAsia" w:ascii="宋体" w:hAnsi="宋体"/>
          <w:color w:val="auto"/>
          <w:kern w:val="0"/>
          <w:szCs w:val="21"/>
          <w:highlight w:val="none"/>
          <w:lang w:eastAsia="zh-CN"/>
        </w:rPr>
        <w:t>重庆修为工程咨询有限公司</w:t>
      </w:r>
    </w:p>
    <w:p w14:paraId="34929806">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地址：</w:t>
      </w:r>
      <w:r>
        <w:rPr>
          <w:rFonts w:hint="eastAsia" w:ascii="宋体"/>
          <w:color w:val="auto"/>
          <w:szCs w:val="21"/>
          <w:highlight w:val="none"/>
          <w:lang w:val="en-US" w:eastAsia="zh-CN"/>
        </w:rPr>
        <w:t>重庆市两江新区天宫殿街道财富中心A座28-7</w:t>
      </w:r>
    </w:p>
    <w:p w14:paraId="70D8AA1A">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联系人：</w:t>
      </w:r>
      <w:r>
        <w:rPr>
          <w:rFonts w:hint="eastAsia" w:ascii="宋体"/>
          <w:color w:val="auto"/>
          <w:szCs w:val="21"/>
          <w:highlight w:val="none"/>
          <w:lang w:val="en-US" w:eastAsia="zh-CN"/>
        </w:rPr>
        <w:t>冉</w:t>
      </w:r>
      <w:r>
        <w:rPr>
          <w:rFonts w:hint="eastAsia" w:ascii="宋体" w:cs="宋体"/>
          <w:snapToGrid w:val="0"/>
          <w:color w:val="auto"/>
          <w:szCs w:val="21"/>
          <w:highlight w:val="none"/>
        </w:rPr>
        <w:t>老师</w:t>
      </w:r>
    </w:p>
    <w:p w14:paraId="3B654F9E">
      <w:pPr>
        <w:tabs>
          <w:tab w:val="left" w:pos="1425"/>
        </w:tabs>
        <w:spacing w:line="360" w:lineRule="auto"/>
        <w:ind w:left="5985" w:leftChars="200" w:hanging="5565" w:hangingChars="2650"/>
        <w:rPr>
          <w:rFonts w:ascii="宋体" w:hAnsi="宋体"/>
          <w:snapToGrid w:val="0"/>
          <w:color w:val="auto"/>
          <w:kern w:val="0"/>
          <w:szCs w:val="21"/>
          <w:highlight w:val="none"/>
          <w:u w:val="single"/>
        </w:rPr>
      </w:pPr>
      <w:r>
        <w:rPr>
          <w:rFonts w:hint="eastAsia" w:ascii="宋体"/>
          <w:color w:val="auto"/>
          <w:szCs w:val="21"/>
          <w:highlight w:val="none"/>
        </w:rPr>
        <w:t>联系电话：</w:t>
      </w:r>
      <w:r>
        <w:rPr>
          <w:rFonts w:hint="eastAsia" w:ascii="宋体"/>
          <w:color w:val="auto"/>
          <w:szCs w:val="21"/>
          <w:highlight w:val="none"/>
          <w:lang w:val="en-US" w:eastAsia="zh-CN"/>
        </w:rPr>
        <w:t>13618301214</w:t>
      </w:r>
    </w:p>
    <w:p w14:paraId="17181528">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12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23 </w:t>
      </w:r>
      <w:r>
        <w:rPr>
          <w:rFonts w:ascii="宋体" w:hAnsi="宋体"/>
          <w:snapToGrid w:val="0"/>
          <w:color w:val="auto"/>
          <w:kern w:val="0"/>
          <w:szCs w:val="21"/>
          <w:highlight w:val="none"/>
        </w:rPr>
        <w:t>日</w:t>
      </w:r>
    </w:p>
    <w:p w14:paraId="680C5260">
      <w:pPr>
        <w:bidi w:val="0"/>
        <w:rPr>
          <w:color w:val="auto"/>
        </w:rPr>
      </w:pPr>
      <w:r>
        <w:rPr>
          <w:color w:val="auto"/>
        </w:rPr>
        <w:br w:type="page"/>
      </w:r>
      <w:bookmarkStart w:id="91" w:name="_Toc430530423"/>
      <w:bookmarkStart w:id="92" w:name="_Toc224103306"/>
      <w:bookmarkStart w:id="93" w:name="_Toc287620674"/>
      <w:bookmarkStart w:id="94" w:name="_Toc287607735"/>
    </w:p>
    <w:bookmarkEnd w:id="91"/>
    <w:bookmarkEnd w:id="92"/>
    <w:bookmarkEnd w:id="93"/>
    <w:bookmarkEnd w:id="94"/>
    <w:p w14:paraId="1A0A5777">
      <w:pPr>
        <w:pStyle w:val="2"/>
        <w:spacing w:line="360" w:lineRule="auto"/>
        <w:jc w:val="center"/>
        <w:rPr>
          <w:rFonts w:ascii="宋体" w:hAnsi="宋体"/>
          <w:bCs w:val="0"/>
          <w:snapToGrid w:val="0"/>
          <w:color w:val="auto"/>
          <w:kern w:val="0"/>
          <w:highlight w:val="none"/>
        </w:rPr>
      </w:pPr>
      <w:bookmarkStart w:id="95" w:name="_Toc224103315"/>
      <w:bookmarkStart w:id="96" w:name="_Toc430530432"/>
      <w:bookmarkStart w:id="97" w:name="_Toc32148"/>
      <w:bookmarkStart w:id="98" w:name="_Toc287620683"/>
      <w:bookmarkStart w:id="99" w:name="_Toc29973"/>
      <w:bookmarkStart w:id="100" w:name="_Toc287607744"/>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竞标人</w:t>
      </w:r>
      <w:r>
        <w:rPr>
          <w:rFonts w:ascii="宋体" w:hAnsi="宋体"/>
          <w:snapToGrid w:val="0"/>
          <w:color w:val="auto"/>
          <w:kern w:val="0"/>
          <w:highlight w:val="none"/>
        </w:rPr>
        <w:t>须知</w:t>
      </w:r>
      <w:bookmarkEnd w:id="95"/>
      <w:bookmarkEnd w:id="96"/>
      <w:bookmarkEnd w:id="97"/>
      <w:bookmarkEnd w:id="98"/>
      <w:bookmarkEnd w:id="99"/>
      <w:bookmarkEnd w:id="100"/>
      <w:bookmarkStart w:id="101" w:name="_Toc287607745"/>
      <w:bookmarkStart w:id="102" w:name="_Toc430530433"/>
      <w:bookmarkStart w:id="103" w:name="_Toc277082551"/>
      <w:bookmarkStart w:id="104" w:name="_Toc287620684"/>
      <w:bookmarkStart w:id="105" w:name="_Toc224103316"/>
    </w:p>
    <w:p w14:paraId="20B22C17">
      <w:pPr>
        <w:pStyle w:val="3"/>
        <w:spacing w:before="100" w:after="100" w:line="360" w:lineRule="auto"/>
        <w:rPr>
          <w:rFonts w:ascii="宋体" w:hAnsi="宋体"/>
          <w:color w:val="auto"/>
          <w:highlight w:val="none"/>
        </w:rPr>
      </w:pPr>
      <w:bookmarkStart w:id="106" w:name="_Toc10513"/>
      <w:bookmarkStart w:id="107" w:name="_Toc8005"/>
      <w:bookmarkStart w:id="108" w:name="_Toc509218708"/>
      <w:r>
        <w:rPr>
          <w:rFonts w:hint="eastAsia" w:ascii="宋体" w:hAnsi="宋体"/>
          <w:color w:val="auto"/>
          <w:highlight w:val="none"/>
        </w:rPr>
        <w:t>竞标人须知前附表</w:t>
      </w:r>
      <w:bookmarkEnd w:id="101"/>
      <w:bookmarkEnd w:id="102"/>
      <w:bookmarkEnd w:id="103"/>
      <w:bookmarkEnd w:id="104"/>
      <w:bookmarkEnd w:id="105"/>
      <w:bookmarkEnd w:id="106"/>
      <w:bookmarkEnd w:id="107"/>
      <w:bookmarkEnd w:id="108"/>
    </w:p>
    <w:p w14:paraId="342E1A94">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rPr>
        <w:t>竞标人</w:t>
      </w:r>
      <w:r>
        <w:rPr>
          <w:rFonts w:ascii="宋体" w:hAnsi="宋体"/>
          <w:color w:val="auto"/>
          <w:szCs w:val="21"/>
          <w:highlight w:val="none"/>
        </w:rPr>
        <w:t>须知前附表与正文不一致的地方，以</w:t>
      </w:r>
      <w:r>
        <w:rPr>
          <w:rFonts w:hint="eastAsia" w:ascii="宋体" w:hAnsi="宋体"/>
          <w:color w:val="auto"/>
          <w:szCs w:val="21"/>
          <w:highlight w:val="none"/>
        </w:rPr>
        <w:t>竞标人</w:t>
      </w:r>
      <w:r>
        <w:rPr>
          <w:rFonts w:ascii="宋体" w:hAnsi="宋体"/>
          <w:color w:val="auto"/>
          <w:szCs w:val="21"/>
          <w:highlight w:val="none"/>
        </w:rPr>
        <w:t>须知前附表为准。</w:t>
      </w:r>
    </w:p>
    <w:tbl>
      <w:tblPr>
        <w:tblStyle w:val="48"/>
        <w:tblW w:w="98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919"/>
      </w:tblGrid>
      <w:tr w14:paraId="33EA7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A22503F">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47C477B8">
            <w:pPr>
              <w:keepNext w:val="0"/>
              <w:keepLines w:val="0"/>
              <w:pageBreakBefore w:val="0"/>
              <w:widowControl w:val="0"/>
              <w:kinsoku/>
              <w:wordWrap/>
              <w:overflowPunct/>
              <w:topLinePunct w:val="0"/>
              <w:bidi w:val="0"/>
              <w:snapToGrid w:val="0"/>
              <w:spacing w:line="240" w:lineRule="auto"/>
              <w:jc w:val="center"/>
              <w:textAlignment w:val="auto"/>
              <w:rPr>
                <w:rFonts w:ascii="宋体" w:hAnsi="宋体"/>
                <w:b/>
                <w:color w:val="auto"/>
                <w:kern w:val="0"/>
                <w:szCs w:val="21"/>
                <w:highlight w:val="none"/>
              </w:rPr>
            </w:pPr>
            <w:r>
              <w:rPr>
                <w:rFonts w:ascii="宋体" w:hAnsi="宋体"/>
                <w:b/>
                <w:color w:val="auto"/>
                <w:kern w:val="0"/>
                <w:szCs w:val="21"/>
                <w:highlight w:val="none"/>
              </w:rPr>
              <w:t>条款名称</w:t>
            </w:r>
          </w:p>
        </w:tc>
        <w:tc>
          <w:tcPr>
            <w:tcW w:w="6919" w:type="dxa"/>
            <w:vAlign w:val="center"/>
          </w:tcPr>
          <w:p w14:paraId="4B57862A">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09977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75C1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1F93CF8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比选人</w:t>
            </w:r>
          </w:p>
        </w:tc>
        <w:tc>
          <w:tcPr>
            <w:tcW w:w="6919" w:type="dxa"/>
            <w:vAlign w:val="center"/>
          </w:tcPr>
          <w:p w14:paraId="30F5E63D">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名称：</w:t>
            </w:r>
            <w:r>
              <w:rPr>
                <w:rFonts w:hint="eastAsia" w:ascii="宋体" w:hAnsi="宋体"/>
                <w:color w:val="auto"/>
                <w:kern w:val="0"/>
                <w:szCs w:val="21"/>
                <w:highlight w:val="none"/>
                <w:lang w:eastAsia="zh-CN"/>
              </w:rPr>
              <w:t>重庆市江南城市建设发展(集团)有限公司</w:t>
            </w:r>
          </w:p>
          <w:p w14:paraId="714DEADA">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地址：：重庆市南岸区茶园花街二期A栋(长生桥地铁站东)</w:t>
            </w:r>
          </w:p>
          <w:p w14:paraId="243802F3">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联系人：赵老师</w:t>
            </w:r>
          </w:p>
          <w:p w14:paraId="32783CC1">
            <w:pPr>
              <w:snapToGrid w:val="0"/>
              <w:spacing w:line="400" w:lineRule="exact"/>
              <w:rPr>
                <w:rFonts w:ascii="宋体" w:hAnsi="宋体"/>
                <w:color w:val="auto"/>
                <w:kern w:val="0"/>
                <w:szCs w:val="21"/>
                <w:highlight w:val="none"/>
              </w:rPr>
            </w:pPr>
            <w:r>
              <w:rPr>
                <w:rFonts w:hint="eastAsia" w:ascii="宋体" w:hAnsi="宋体" w:eastAsia="宋体"/>
                <w:color w:val="auto"/>
                <w:kern w:val="0"/>
                <w:szCs w:val="21"/>
                <w:highlight w:val="none"/>
                <w:lang w:eastAsia="zh-CN"/>
              </w:rPr>
              <w:t>联系电话：023-62820331</w:t>
            </w:r>
          </w:p>
        </w:tc>
      </w:tr>
      <w:tr w14:paraId="6F166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FF8C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72DAB034">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代理机构</w:t>
            </w:r>
          </w:p>
        </w:tc>
        <w:tc>
          <w:tcPr>
            <w:tcW w:w="6919" w:type="dxa"/>
            <w:vAlign w:val="center"/>
          </w:tcPr>
          <w:p w14:paraId="27FEA0C5">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比选代理机构：</w:t>
            </w:r>
            <w:r>
              <w:rPr>
                <w:rFonts w:hint="eastAsia" w:ascii="宋体" w:hAnsi="宋体"/>
                <w:color w:val="auto"/>
                <w:kern w:val="0"/>
                <w:szCs w:val="21"/>
                <w:highlight w:val="none"/>
                <w:lang w:eastAsia="zh-CN"/>
              </w:rPr>
              <w:t>重庆修为工程咨询有限公司</w:t>
            </w:r>
          </w:p>
          <w:p w14:paraId="1E7C514A">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地址：</w:t>
            </w:r>
            <w:r>
              <w:rPr>
                <w:rFonts w:hint="eastAsia" w:ascii="宋体" w:hAnsi="宋体"/>
                <w:color w:val="auto"/>
                <w:kern w:val="0"/>
                <w:szCs w:val="21"/>
                <w:highlight w:val="none"/>
                <w:lang w:val="en-US" w:eastAsia="zh-CN"/>
              </w:rPr>
              <w:t>重庆市两江新区天宫殿街道财富中心A座28-7</w:t>
            </w:r>
          </w:p>
          <w:p w14:paraId="0E7BB57F">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rPr>
              <w:t>联系人：</w:t>
            </w:r>
            <w:r>
              <w:rPr>
                <w:rFonts w:hint="eastAsia" w:ascii="宋体" w:hAnsi="宋体"/>
                <w:color w:val="auto"/>
                <w:kern w:val="0"/>
                <w:szCs w:val="21"/>
                <w:highlight w:val="none"/>
                <w:lang w:val="en-US" w:eastAsia="zh-CN"/>
              </w:rPr>
              <w:t>冉</w:t>
            </w:r>
            <w:r>
              <w:rPr>
                <w:rFonts w:hint="eastAsia" w:ascii="宋体" w:hAnsi="宋体"/>
                <w:color w:val="auto"/>
                <w:kern w:val="0"/>
                <w:szCs w:val="21"/>
                <w:highlight w:val="none"/>
              </w:rPr>
              <w:t>老师</w:t>
            </w:r>
          </w:p>
          <w:p w14:paraId="24229B87">
            <w:pPr>
              <w:snapToGrid w:val="0"/>
              <w:spacing w:line="400" w:lineRule="exac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13618301214</w:t>
            </w:r>
          </w:p>
        </w:tc>
      </w:tr>
      <w:tr w14:paraId="68BC9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A9039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66F6773D">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项目名称</w:t>
            </w:r>
          </w:p>
        </w:tc>
        <w:tc>
          <w:tcPr>
            <w:tcW w:w="6919" w:type="dxa"/>
            <w:vAlign w:val="center"/>
          </w:tcPr>
          <w:p w14:paraId="20F18BEE">
            <w:pPr>
              <w:snapToGrid w:val="0"/>
              <w:spacing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南坪片区老旧小区改造配套基础设施项目（二标段）工程</w:t>
            </w:r>
            <w:r>
              <w:rPr>
                <w:rFonts w:hint="eastAsia" w:ascii="宋体" w:hAnsi="宋体"/>
                <w:color w:val="auto"/>
                <w:szCs w:val="21"/>
                <w:highlight w:val="none"/>
                <w:lang w:val="en-US" w:eastAsia="zh-CN"/>
              </w:rPr>
              <w:t>检测</w:t>
            </w:r>
            <w:r>
              <w:rPr>
                <w:rFonts w:hint="eastAsia" w:ascii="宋体" w:hAnsi="宋体" w:eastAsia="宋体"/>
                <w:color w:val="auto"/>
                <w:szCs w:val="21"/>
                <w:highlight w:val="none"/>
                <w:lang w:val="en-US" w:eastAsia="zh-CN"/>
              </w:rPr>
              <w:t>服务</w:t>
            </w:r>
          </w:p>
        </w:tc>
      </w:tr>
      <w:tr w14:paraId="499DF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70B00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799F5A40">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建设地点</w:t>
            </w:r>
          </w:p>
        </w:tc>
        <w:tc>
          <w:tcPr>
            <w:tcW w:w="6919" w:type="dxa"/>
            <w:vAlign w:val="center"/>
          </w:tcPr>
          <w:p w14:paraId="1681C503">
            <w:pPr>
              <w:snapToGrid w:val="0"/>
              <w:spacing w:line="40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南岸区。</w:t>
            </w:r>
          </w:p>
        </w:tc>
      </w:tr>
      <w:tr w14:paraId="1A483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A58CF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1EBD1E45">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建设规模</w:t>
            </w:r>
          </w:p>
        </w:tc>
        <w:tc>
          <w:tcPr>
            <w:tcW w:w="6919" w:type="dxa"/>
            <w:vAlign w:val="center"/>
          </w:tcPr>
          <w:p w14:paraId="578EE0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u w:val="none"/>
                <w:lang w:val="zh-CN" w:eastAsia="zh-CN"/>
              </w:rPr>
              <w:t>南坪片区老旧小区改造配套基础设施项目（二标段）位于</w:t>
            </w:r>
            <w:r>
              <w:rPr>
                <w:rFonts w:hint="eastAsia" w:ascii="宋体" w:hAnsi="宋体"/>
                <w:snapToGrid w:val="0"/>
                <w:color w:val="auto"/>
                <w:kern w:val="0"/>
                <w:szCs w:val="21"/>
                <w:highlight w:val="none"/>
                <w:u w:val="none"/>
                <w:lang w:val="en-US" w:eastAsia="zh-CN"/>
              </w:rPr>
              <w:t>重庆市南岸区</w:t>
            </w:r>
            <w:r>
              <w:rPr>
                <w:rFonts w:hint="eastAsia" w:ascii="宋体" w:hAnsi="宋体"/>
                <w:snapToGrid w:val="0"/>
                <w:color w:val="auto"/>
                <w:kern w:val="0"/>
                <w:szCs w:val="21"/>
                <w:highlight w:val="none"/>
                <w:u w:val="none"/>
                <w:lang w:val="zh-CN" w:eastAsia="zh-CN"/>
              </w:rPr>
              <w:t>南坪片区，</w:t>
            </w:r>
            <w:r>
              <w:rPr>
                <w:rFonts w:hint="eastAsia" w:ascii="宋体" w:hAnsi="宋体"/>
                <w:snapToGrid w:val="0"/>
                <w:color w:val="auto"/>
                <w:kern w:val="0"/>
                <w:szCs w:val="21"/>
                <w:highlight w:val="none"/>
                <w:u w:val="none"/>
                <w:lang w:val="en-US" w:eastAsia="zh-CN"/>
              </w:rPr>
              <w:t>主要内容包括：古楼、后堡、宁静小区、团圆堡等老旧小区的绿化工程、景观工程、弱电工程、电气工程、给排水工程等配套基础设施改造。</w:t>
            </w:r>
          </w:p>
        </w:tc>
      </w:tr>
      <w:tr w14:paraId="1BF3F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749DA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632299CE">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资金来源</w:t>
            </w:r>
          </w:p>
        </w:tc>
        <w:tc>
          <w:tcPr>
            <w:tcW w:w="6919" w:type="dxa"/>
            <w:vAlign w:val="center"/>
          </w:tcPr>
          <w:p w14:paraId="49309579">
            <w:pPr>
              <w:snapToGrid w:val="0"/>
              <w:spacing w:line="40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自筹资金</w:t>
            </w:r>
          </w:p>
        </w:tc>
      </w:tr>
      <w:tr w14:paraId="0C475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D7842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1EF3E973">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出资比例</w:t>
            </w:r>
          </w:p>
        </w:tc>
        <w:tc>
          <w:tcPr>
            <w:tcW w:w="6919" w:type="dxa"/>
            <w:vAlign w:val="center"/>
          </w:tcPr>
          <w:p w14:paraId="396960A2">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55A21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7C430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2B8C6B1F">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资金落实情况</w:t>
            </w:r>
          </w:p>
        </w:tc>
        <w:tc>
          <w:tcPr>
            <w:tcW w:w="6919" w:type="dxa"/>
            <w:vAlign w:val="center"/>
          </w:tcPr>
          <w:p w14:paraId="3FB89220">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12347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35" w:type="dxa"/>
            <w:vAlign w:val="center"/>
          </w:tcPr>
          <w:p w14:paraId="34FE225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52168F46">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范围</w:t>
            </w:r>
          </w:p>
        </w:tc>
        <w:tc>
          <w:tcPr>
            <w:tcW w:w="6919" w:type="dxa"/>
            <w:vAlign w:val="center"/>
          </w:tcPr>
          <w:p w14:paraId="2C8F1734">
            <w:pPr>
              <w:keepNext w:val="0"/>
              <w:keepLines w:val="0"/>
              <w:widowControl/>
              <w:suppressLineNumbers w:val="0"/>
              <w:ind w:firstLine="420" w:firstLineChars="200"/>
              <w:jc w:val="left"/>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
              </w:rPr>
              <w:t>根据国家、地方和行业相关规定以及设计施工图要求，完成项目施工阶段及缺陷责任期所需的全部工程检测，并按照工程进度需求出具相应的检测报告。具体包括施工阶段及竣工验收全阶段的见证取样检测、一般质量检测、专项质量检测、特殊质量检测等所有检测内容（不包含工程结构鉴定），试验要求以该项目施工图及房屋建筑相关检测规范为准。</w:t>
            </w:r>
          </w:p>
        </w:tc>
      </w:tr>
      <w:tr w14:paraId="310F4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85BC2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0360887A">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cs="宋体" w:asciiTheme="minorEastAsia" w:hAnsiTheme="minorEastAsia" w:eastAsiaTheme="minorEastAsia"/>
                <w:color w:val="auto"/>
                <w:szCs w:val="21"/>
                <w:highlight w:val="none"/>
              </w:rPr>
              <w:t>服务期限</w:t>
            </w:r>
          </w:p>
        </w:tc>
        <w:tc>
          <w:tcPr>
            <w:tcW w:w="6919" w:type="dxa"/>
            <w:vAlign w:val="center"/>
          </w:tcPr>
          <w:p w14:paraId="025B0887">
            <w:pPr>
              <w:keepNext w:val="0"/>
              <w:keepLines w:val="0"/>
              <w:widowControl/>
              <w:suppressLineNumbers w:val="0"/>
              <w:ind w:firstLine="420" w:firstLineChars="200"/>
              <w:jc w:val="left"/>
              <w:rPr>
                <w:rFonts w:hint="eastAsia" w:cs="宋体" w:asciiTheme="minorEastAsia" w:hAnsiTheme="minorEastAsia" w:eastAsiaTheme="minorEastAsia"/>
                <w:color w:val="auto"/>
                <w:szCs w:val="21"/>
                <w:highlight w:val="none"/>
                <w:u w:val="none"/>
                <w:lang w:val="en-US" w:eastAsia="zh-CN"/>
              </w:rPr>
            </w:pPr>
            <w:r>
              <w:rPr>
                <w:rFonts w:hint="eastAsia" w:ascii="宋体" w:hAnsi="宋体" w:eastAsia="宋体" w:cs="宋体"/>
                <w:color w:val="auto"/>
                <w:kern w:val="0"/>
                <w:sz w:val="21"/>
                <w:szCs w:val="21"/>
                <w:highlight w:val="none"/>
                <w:lang w:val="en-US" w:eastAsia="zh-CN" w:bidi="ar"/>
              </w:rPr>
              <w:t>合同签订之日起至全部检测工作完成之日止</w:t>
            </w:r>
          </w:p>
        </w:tc>
      </w:tr>
      <w:tr w14:paraId="72364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0021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2EE6202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质量要求</w:t>
            </w:r>
          </w:p>
        </w:tc>
        <w:tc>
          <w:tcPr>
            <w:tcW w:w="6919" w:type="dxa"/>
            <w:vAlign w:val="center"/>
          </w:tcPr>
          <w:p w14:paraId="32AA5650">
            <w:pPr>
              <w:keepNext w:val="0"/>
              <w:keepLines w:val="0"/>
              <w:widowControl/>
              <w:suppressLineNumbers w:val="0"/>
              <w:ind w:firstLine="420" w:firstLineChars="200"/>
              <w:jc w:val="left"/>
              <w:rPr>
                <w:rFonts w:hint="default" w:cs="宋体" w:asciiTheme="minorEastAsia" w:hAnsiTheme="minorEastAsia" w:eastAsiaTheme="minorEastAsia"/>
                <w:color w:val="auto"/>
                <w:szCs w:val="21"/>
                <w:highlight w:val="none"/>
                <w:u w:val="none"/>
                <w:lang w:val="en-US" w:eastAsia="zh-CN"/>
              </w:rPr>
            </w:pPr>
            <w:r>
              <w:rPr>
                <w:rFonts w:hint="eastAsia" w:ascii="宋体" w:hAnsi="宋体" w:eastAsia="宋体" w:cs="宋体"/>
                <w:color w:val="auto"/>
                <w:kern w:val="0"/>
                <w:sz w:val="21"/>
                <w:szCs w:val="21"/>
                <w:highlight w:val="none"/>
                <w:lang w:val="en-US" w:eastAsia="zh-CN" w:bidi="ar"/>
              </w:rPr>
              <w:t>服务质量达到</w:t>
            </w:r>
            <w:bookmarkStart w:id="109" w:name="OLE_LINK1"/>
            <w:bookmarkStart w:id="110" w:name="OLE_LINK2"/>
            <w:r>
              <w:rPr>
                <w:rFonts w:hint="eastAsia" w:ascii="宋体" w:hAnsi="宋体" w:eastAsia="宋体" w:cs="宋体"/>
                <w:color w:val="auto"/>
                <w:kern w:val="0"/>
                <w:sz w:val="21"/>
                <w:szCs w:val="21"/>
                <w:highlight w:val="none"/>
                <w:lang w:val="en-US" w:eastAsia="zh-CN" w:bidi="ar"/>
              </w:rPr>
              <w:t>《重庆建设工程检测管理办法》</w:t>
            </w:r>
            <w:bookmarkEnd w:id="109"/>
            <w:bookmarkEnd w:id="110"/>
            <w:r>
              <w:rPr>
                <w:rFonts w:hint="eastAsia" w:ascii="宋体" w:hAnsi="宋体" w:eastAsia="宋体" w:cs="宋体"/>
                <w:color w:val="auto"/>
                <w:kern w:val="0"/>
                <w:sz w:val="21"/>
                <w:szCs w:val="21"/>
                <w:highlight w:val="none"/>
                <w:lang w:val="en-US" w:eastAsia="zh-CN" w:bidi="ar"/>
              </w:rPr>
              <w:t>重庆市住房和城乡建设委员会 ，2024年4月）等国家有关法规要求。</w:t>
            </w:r>
          </w:p>
        </w:tc>
      </w:tr>
      <w:tr w14:paraId="0600E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35" w:type="dxa"/>
            <w:vAlign w:val="center"/>
          </w:tcPr>
          <w:p w14:paraId="497498B9">
            <w:pPr>
              <w:snapToGrid w:val="0"/>
              <w:spacing w:line="400" w:lineRule="exact"/>
              <w:jc w:val="center"/>
              <w:rPr>
                <w:rFonts w:ascii="宋体" w:hAnsi="宋体"/>
                <w:color w:val="auto"/>
                <w:kern w:val="0"/>
                <w:szCs w:val="21"/>
                <w:highlight w:val="none"/>
              </w:rPr>
            </w:pPr>
          </w:p>
          <w:p w14:paraId="2A88FB78">
            <w:pPr>
              <w:snapToGrid w:val="0"/>
              <w:spacing w:line="400" w:lineRule="exact"/>
              <w:jc w:val="center"/>
              <w:rPr>
                <w:rFonts w:ascii="宋体" w:hAnsi="宋体"/>
                <w:color w:val="auto"/>
                <w:kern w:val="0"/>
                <w:szCs w:val="21"/>
                <w:highlight w:val="none"/>
              </w:rPr>
            </w:pPr>
          </w:p>
          <w:p w14:paraId="04619F96">
            <w:pPr>
              <w:snapToGrid w:val="0"/>
              <w:spacing w:line="400" w:lineRule="exact"/>
              <w:jc w:val="center"/>
              <w:rPr>
                <w:rFonts w:ascii="宋体" w:hAnsi="宋体"/>
                <w:color w:val="auto"/>
                <w:kern w:val="0"/>
                <w:szCs w:val="21"/>
                <w:highlight w:val="none"/>
              </w:rPr>
            </w:pPr>
          </w:p>
          <w:p w14:paraId="06495C08">
            <w:pPr>
              <w:snapToGrid w:val="0"/>
              <w:spacing w:line="400" w:lineRule="exact"/>
              <w:jc w:val="center"/>
              <w:rPr>
                <w:rFonts w:ascii="宋体" w:hAnsi="宋体"/>
                <w:color w:val="auto"/>
                <w:kern w:val="0"/>
                <w:szCs w:val="21"/>
                <w:highlight w:val="none"/>
              </w:rPr>
            </w:pPr>
          </w:p>
          <w:p w14:paraId="115921A6">
            <w:pPr>
              <w:snapToGrid w:val="0"/>
              <w:spacing w:line="400" w:lineRule="exact"/>
              <w:jc w:val="center"/>
              <w:rPr>
                <w:rFonts w:ascii="宋体" w:hAnsi="宋体"/>
                <w:color w:val="auto"/>
                <w:kern w:val="0"/>
                <w:szCs w:val="21"/>
                <w:highlight w:val="none"/>
              </w:rPr>
            </w:pPr>
          </w:p>
          <w:p w14:paraId="305154CF">
            <w:pPr>
              <w:snapToGrid w:val="0"/>
              <w:spacing w:line="400" w:lineRule="exact"/>
              <w:jc w:val="center"/>
              <w:rPr>
                <w:rFonts w:ascii="宋体" w:hAnsi="宋体"/>
                <w:color w:val="auto"/>
                <w:kern w:val="0"/>
                <w:szCs w:val="21"/>
                <w:highlight w:val="none"/>
              </w:rPr>
            </w:pPr>
          </w:p>
          <w:p w14:paraId="5B16421E">
            <w:pPr>
              <w:snapToGrid w:val="0"/>
              <w:spacing w:line="400" w:lineRule="exact"/>
              <w:jc w:val="center"/>
              <w:rPr>
                <w:rFonts w:ascii="宋体" w:hAnsi="宋体"/>
                <w:color w:val="auto"/>
                <w:kern w:val="0"/>
                <w:szCs w:val="21"/>
                <w:highlight w:val="none"/>
              </w:rPr>
            </w:pPr>
          </w:p>
          <w:p w14:paraId="12729C06">
            <w:pPr>
              <w:snapToGrid w:val="0"/>
              <w:spacing w:line="400" w:lineRule="exact"/>
              <w:jc w:val="center"/>
              <w:rPr>
                <w:rFonts w:ascii="宋体" w:hAnsi="宋体"/>
                <w:color w:val="auto"/>
                <w:kern w:val="0"/>
                <w:szCs w:val="21"/>
                <w:highlight w:val="none"/>
              </w:rPr>
            </w:pPr>
          </w:p>
          <w:p w14:paraId="2E2DEE59">
            <w:pPr>
              <w:snapToGrid w:val="0"/>
              <w:spacing w:line="400" w:lineRule="exact"/>
              <w:jc w:val="center"/>
              <w:rPr>
                <w:rFonts w:ascii="宋体" w:hAnsi="宋体"/>
                <w:color w:val="auto"/>
                <w:kern w:val="0"/>
                <w:szCs w:val="21"/>
                <w:highlight w:val="none"/>
              </w:rPr>
            </w:pPr>
          </w:p>
          <w:p w14:paraId="7903CA20">
            <w:pPr>
              <w:snapToGrid w:val="0"/>
              <w:spacing w:line="400" w:lineRule="exact"/>
              <w:jc w:val="center"/>
              <w:rPr>
                <w:rFonts w:ascii="宋体" w:hAnsi="宋体"/>
                <w:color w:val="auto"/>
                <w:kern w:val="0"/>
                <w:szCs w:val="21"/>
                <w:highlight w:val="none"/>
              </w:rPr>
            </w:pPr>
          </w:p>
          <w:p w14:paraId="688A1D83">
            <w:pPr>
              <w:snapToGrid w:val="0"/>
              <w:spacing w:line="400" w:lineRule="exact"/>
              <w:jc w:val="center"/>
              <w:rPr>
                <w:rFonts w:ascii="宋体" w:hAnsi="宋体"/>
                <w:color w:val="auto"/>
                <w:kern w:val="0"/>
                <w:szCs w:val="21"/>
                <w:highlight w:val="none"/>
              </w:rPr>
            </w:pPr>
          </w:p>
          <w:p w14:paraId="51DFAA17">
            <w:pPr>
              <w:snapToGrid w:val="0"/>
              <w:spacing w:line="400" w:lineRule="exact"/>
              <w:jc w:val="center"/>
              <w:rPr>
                <w:rFonts w:ascii="宋体" w:hAnsi="宋体"/>
                <w:color w:val="auto"/>
                <w:kern w:val="0"/>
                <w:szCs w:val="21"/>
                <w:highlight w:val="none"/>
              </w:rPr>
            </w:pPr>
          </w:p>
          <w:p w14:paraId="735DB324">
            <w:pPr>
              <w:snapToGrid w:val="0"/>
              <w:spacing w:line="400" w:lineRule="exact"/>
              <w:jc w:val="center"/>
              <w:rPr>
                <w:rFonts w:ascii="宋体" w:hAnsi="宋体"/>
                <w:color w:val="auto"/>
                <w:kern w:val="0"/>
                <w:szCs w:val="21"/>
                <w:highlight w:val="none"/>
              </w:rPr>
            </w:pPr>
          </w:p>
          <w:p w14:paraId="3C39AC79">
            <w:pPr>
              <w:snapToGrid w:val="0"/>
              <w:spacing w:line="400" w:lineRule="exact"/>
              <w:jc w:val="center"/>
              <w:rPr>
                <w:rFonts w:ascii="宋体" w:hAnsi="宋体"/>
                <w:color w:val="auto"/>
                <w:kern w:val="0"/>
                <w:szCs w:val="21"/>
                <w:highlight w:val="none"/>
              </w:rPr>
            </w:pPr>
          </w:p>
          <w:p w14:paraId="51F5DC37">
            <w:pPr>
              <w:snapToGrid w:val="0"/>
              <w:spacing w:line="400" w:lineRule="exact"/>
              <w:jc w:val="center"/>
              <w:rPr>
                <w:rFonts w:ascii="宋体" w:hAnsi="宋体"/>
                <w:color w:val="auto"/>
                <w:kern w:val="0"/>
                <w:szCs w:val="21"/>
                <w:highlight w:val="none"/>
              </w:rPr>
            </w:pPr>
          </w:p>
          <w:p w14:paraId="515F1E2E">
            <w:pPr>
              <w:snapToGrid w:val="0"/>
              <w:spacing w:line="400" w:lineRule="exact"/>
              <w:jc w:val="center"/>
              <w:rPr>
                <w:rFonts w:ascii="宋体" w:hAnsi="宋体"/>
                <w:color w:val="auto"/>
                <w:kern w:val="0"/>
                <w:szCs w:val="21"/>
                <w:highlight w:val="none"/>
              </w:rPr>
            </w:pPr>
          </w:p>
          <w:p w14:paraId="22949B7E">
            <w:pPr>
              <w:snapToGrid w:val="0"/>
              <w:spacing w:line="400" w:lineRule="exact"/>
              <w:jc w:val="center"/>
              <w:rPr>
                <w:rFonts w:ascii="宋体" w:hAnsi="宋体"/>
                <w:color w:val="auto"/>
                <w:kern w:val="0"/>
                <w:szCs w:val="21"/>
                <w:highlight w:val="none"/>
              </w:rPr>
            </w:pPr>
          </w:p>
          <w:p w14:paraId="6FDFA7E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73768C3E">
            <w:pPr>
              <w:snapToGrid w:val="0"/>
              <w:spacing w:line="400" w:lineRule="exact"/>
              <w:jc w:val="center"/>
              <w:rPr>
                <w:rFonts w:ascii="宋体" w:hAnsi="宋体"/>
                <w:color w:val="auto"/>
                <w:kern w:val="0"/>
                <w:szCs w:val="21"/>
                <w:highlight w:val="none"/>
              </w:rPr>
            </w:pPr>
          </w:p>
          <w:p w14:paraId="0F9D3D0B">
            <w:pPr>
              <w:snapToGrid w:val="0"/>
              <w:spacing w:line="400" w:lineRule="exact"/>
              <w:jc w:val="center"/>
              <w:rPr>
                <w:rFonts w:ascii="宋体" w:hAnsi="宋体"/>
                <w:color w:val="auto"/>
                <w:kern w:val="0"/>
                <w:szCs w:val="21"/>
                <w:highlight w:val="none"/>
              </w:rPr>
            </w:pPr>
          </w:p>
          <w:p w14:paraId="7BBCD593">
            <w:pPr>
              <w:snapToGrid w:val="0"/>
              <w:spacing w:line="400" w:lineRule="exact"/>
              <w:jc w:val="center"/>
              <w:rPr>
                <w:rFonts w:ascii="宋体" w:hAnsi="宋体"/>
                <w:color w:val="auto"/>
                <w:kern w:val="0"/>
                <w:szCs w:val="21"/>
                <w:highlight w:val="none"/>
              </w:rPr>
            </w:pPr>
          </w:p>
          <w:p w14:paraId="12FD40A3">
            <w:pPr>
              <w:snapToGrid w:val="0"/>
              <w:spacing w:line="400" w:lineRule="exact"/>
              <w:jc w:val="center"/>
              <w:rPr>
                <w:rFonts w:ascii="宋体" w:hAnsi="宋体"/>
                <w:color w:val="auto"/>
                <w:kern w:val="0"/>
                <w:szCs w:val="21"/>
                <w:highlight w:val="none"/>
              </w:rPr>
            </w:pPr>
          </w:p>
          <w:p w14:paraId="3F29DA89">
            <w:pPr>
              <w:snapToGrid w:val="0"/>
              <w:spacing w:line="400" w:lineRule="exact"/>
              <w:jc w:val="center"/>
              <w:rPr>
                <w:rFonts w:ascii="宋体" w:hAnsi="宋体"/>
                <w:color w:val="auto"/>
                <w:kern w:val="0"/>
                <w:szCs w:val="21"/>
                <w:highlight w:val="none"/>
              </w:rPr>
            </w:pPr>
          </w:p>
          <w:p w14:paraId="52E62DC0">
            <w:pPr>
              <w:snapToGrid w:val="0"/>
              <w:spacing w:line="400" w:lineRule="exact"/>
              <w:jc w:val="center"/>
              <w:rPr>
                <w:rFonts w:ascii="宋体" w:hAnsi="宋体"/>
                <w:color w:val="auto"/>
                <w:kern w:val="0"/>
                <w:szCs w:val="21"/>
                <w:highlight w:val="none"/>
              </w:rPr>
            </w:pPr>
          </w:p>
          <w:p w14:paraId="6C6F7141">
            <w:pPr>
              <w:snapToGrid w:val="0"/>
              <w:spacing w:line="400" w:lineRule="exact"/>
              <w:jc w:val="center"/>
              <w:rPr>
                <w:rFonts w:ascii="宋体" w:hAnsi="宋体"/>
                <w:color w:val="auto"/>
                <w:kern w:val="0"/>
                <w:szCs w:val="21"/>
                <w:highlight w:val="none"/>
              </w:rPr>
            </w:pPr>
          </w:p>
          <w:p w14:paraId="76FE56C1">
            <w:pPr>
              <w:snapToGrid w:val="0"/>
              <w:spacing w:line="400" w:lineRule="exact"/>
              <w:jc w:val="center"/>
              <w:rPr>
                <w:rFonts w:ascii="宋体" w:hAnsi="宋体"/>
                <w:color w:val="auto"/>
                <w:kern w:val="0"/>
                <w:szCs w:val="21"/>
                <w:highlight w:val="none"/>
              </w:rPr>
            </w:pPr>
          </w:p>
          <w:p w14:paraId="5B3DAE22">
            <w:pPr>
              <w:snapToGrid w:val="0"/>
              <w:spacing w:line="400" w:lineRule="exact"/>
              <w:jc w:val="center"/>
              <w:rPr>
                <w:rFonts w:ascii="宋体" w:hAnsi="宋体"/>
                <w:color w:val="auto"/>
                <w:kern w:val="0"/>
                <w:szCs w:val="21"/>
                <w:highlight w:val="none"/>
              </w:rPr>
            </w:pPr>
          </w:p>
          <w:p w14:paraId="3A4F469E">
            <w:pPr>
              <w:snapToGrid w:val="0"/>
              <w:spacing w:line="400" w:lineRule="exact"/>
              <w:jc w:val="center"/>
              <w:rPr>
                <w:rFonts w:ascii="宋体" w:hAnsi="宋体"/>
                <w:color w:val="auto"/>
                <w:kern w:val="0"/>
                <w:szCs w:val="21"/>
                <w:highlight w:val="none"/>
              </w:rPr>
            </w:pPr>
          </w:p>
          <w:p w14:paraId="4B4AA771">
            <w:pPr>
              <w:snapToGrid w:val="0"/>
              <w:spacing w:line="400" w:lineRule="exact"/>
              <w:jc w:val="center"/>
              <w:rPr>
                <w:rFonts w:ascii="宋体" w:hAnsi="宋体"/>
                <w:color w:val="auto"/>
                <w:kern w:val="0"/>
                <w:szCs w:val="21"/>
                <w:highlight w:val="none"/>
              </w:rPr>
            </w:pPr>
          </w:p>
          <w:p w14:paraId="11801FCD">
            <w:pPr>
              <w:snapToGrid w:val="0"/>
              <w:spacing w:line="400" w:lineRule="exact"/>
              <w:jc w:val="center"/>
              <w:rPr>
                <w:rFonts w:ascii="宋体" w:hAnsi="宋体"/>
                <w:color w:val="auto"/>
                <w:kern w:val="0"/>
                <w:szCs w:val="21"/>
                <w:highlight w:val="none"/>
              </w:rPr>
            </w:pPr>
          </w:p>
          <w:p w14:paraId="49AABB77">
            <w:pPr>
              <w:snapToGrid w:val="0"/>
              <w:spacing w:line="400" w:lineRule="exact"/>
              <w:jc w:val="center"/>
              <w:rPr>
                <w:rFonts w:ascii="宋体" w:hAnsi="宋体"/>
                <w:color w:val="auto"/>
                <w:kern w:val="0"/>
                <w:szCs w:val="21"/>
                <w:highlight w:val="none"/>
              </w:rPr>
            </w:pPr>
          </w:p>
          <w:p w14:paraId="3182C6B6">
            <w:pPr>
              <w:snapToGrid w:val="0"/>
              <w:spacing w:line="400" w:lineRule="exact"/>
              <w:jc w:val="center"/>
              <w:rPr>
                <w:rFonts w:ascii="宋体" w:hAnsi="宋体"/>
                <w:color w:val="auto"/>
                <w:kern w:val="0"/>
                <w:szCs w:val="21"/>
                <w:highlight w:val="none"/>
              </w:rPr>
            </w:pPr>
          </w:p>
          <w:p w14:paraId="33720799">
            <w:pPr>
              <w:snapToGrid w:val="0"/>
              <w:spacing w:line="400" w:lineRule="exact"/>
              <w:jc w:val="center"/>
              <w:rPr>
                <w:rFonts w:ascii="宋体" w:hAnsi="宋体"/>
                <w:color w:val="auto"/>
                <w:kern w:val="0"/>
                <w:szCs w:val="21"/>
                <w:highlight w:val="none"/>
              </w:rPr>
            </w:pPr>
          </w:p>
          <w:p w14:paraId="62A6C655">
            <w:pPr>
              <w:snapToGrid w:val="0"/>
              <w:spacing w:line="400" w:lineRule="exact"/>
              <w:jc w:val="center"/>
              <w:rPr>
                <w:rFonts w:ascii="宋体" w:hAnsi="宋体"/>
                <w:color w:val="auto"/>
                <w:kern w:val="0"/>
                <w:szCs w:val="21"/>
                <w:highlight w:val="none"/>
              </w:rPr>
            </w:pPr>
          </w:p>
          <w:p w14:paraId="2200492E">
            <w:pPr>
              <w:snapToGrid w:val="0"/>
              <w:spacing w:line="400" w:lineRule="exact"/>
              <w:jc w:val="center"/>
              <w:rPr>
                <w:rFonts w:ascii="宋体" w:hAnsi="宋体"/>
                <w:color w:val="auto"/>
                <w:kern w:val="0"/>
                <w:szCs w:val="21"/>
                <w:highlight w:val="none"/>
              </w:rPr>
            </w:pPr>
          </w:p>
          <w:p w14:paraId="7E2145D7">
            <w:pPr>
              <w:snapToGrid w:val="0"/>
              <w:spacing w:line="400" w:lineRule="exact"/>
              <w:jc w:val="center"/>
              <w:rPr>
                <w:rFonts w:ascii="宋体" w:hAnsi="宋体"/>
                <w:color w:val="auto"/>
                <w:kern w:val="0"/>
                <w:szCs w:val="21"/>
                <w:highlight w:val="none"/>
              </w:rPr>
            </w:pPr>
          </w:p>
          <w:p w14:paraId="7B71A0E0">
            <w:pPr>
              <w:snapToGrid w:val="0"/>
              <w:spacing w:line="400" w:lineRule="exact"/>
              <w:jc w:val="center"/>
              <w:rPr>
                <w:rFonts w:ascii="宋体" w:hAnsi="宋体"/>
                <w:color w:val="auto"/>
                <w:kern w:val="0"/>
                <w:szCs w:val="21"/>
                <w:highlight w:val="none"/>
              </w:rPr>
            </w:pPr>
          </w:p>
          <w:p w14:paraId="42395990">
            <w:pPr>
              <w:snapToGrid w:val="0"/>
              <w:spacing w:line="400" w:lineRule="exact"/>
              <w:jc w:val="center"/>
              <w:rPr>
                <w:rFonts w:ascii="宋体" w:hAnsi="宋体"/>
                <w:color w:val="auto"/>
                <w:kern w:val="0"/>
                <w:szCs w:val="21"/>
                <w:highlight w:val="none"/>
              </w:rPr>
            </w:pPr>
          </w:p>
          <w:p w14:paraId="0C126FCF">
            <w:pPr>
              <w:snapToGrid w:val="0"/>
              <w:spacing w:line="400" w:lineRule="exact"/>
              <w:jc w:val="center"/>
              <w:rPr>
                <w:rFonts w:ascii="宋体" w:hAnsi="宋体"/>
                <w:color w:val="auto"/>
                <w:kern w:val="0"/>
                <w:szCs w:val="21"/>
                <w:highlight w:val="none"/>
              </w:rPr>
            </w:pPr>
          </w:p>
          <w:p w14:paraId="32879915">
            <w:pPr>
              <w:snapToGrid w:val="0"/>
              <w:spacing w:line="400" w:lineRule="exact"/>
              <w:jc w:val="center"/>
              <w:rPr>
                <w:rFonts w:ascii="宋体" w:hAnsi="宋体"/>
                <w:color w:val="auto"/>
                <w:kern w:val="0"/>
                <w:szCs w:val="21"/>
                <w:highlight w:val="none"/>
              </w:rPr>
            </w:pPr>
          </w:p>
          <w:p w14:paraId="50AB81E2">
            <w:pPr>
              <w:snapToGrid w:val="0"/>
              <w:spacing w:line="400" w:lineRule="exact"/>
              <w:jc w:val="center"/>
              <w:rPr>
                <w:rFonts w:ascii="宋体" w:hAnsi="宋体"/>
                <w:color w:val="auto"/>
                <w:kern w:val="0"/>
                <w:szCs w:val="21"/>
                <w:highlight w:val="none"/>
              </w:rPr>
            </w:pPr>
          </w:p>
          <w:p w14:paraId="4437F500">
            <w:pPr>
              <w:snapToGrid w:val="0"/>
              <w:spacing w:line="400" w:lineRule="exact"/>
              <w:jc w:val="center"/>
              <w:rPr>
                <w:rFonts w:ascii="宋体" w:hAnsi="宋体"/>
                <w:color w:val="auto"/>
                <w:kern w:val="0"/>
                <w:szCs w:val="21"/>
                <w:highlight w:val="none"/>
              </w:rPr>
            </w:pPr>
          </w:p>
          <w:p w14:paraId="6986AD9C">
            <w:pPr>
              <w:snapToGrid w:val="0"/>
              <w:spacing w:line="400" w:lineRule="exact"/>
              <w:jc w:val="center"/>
              <w:rPr>
                <w:rFonts w:ascii="宋体" w:hAnsi="宋体"/>
                <w:color w:val="auto"/>
                <w:kern w:val="0"/>
                <w:szCs w:val="21"/>
                <w:highlight w:val="none"/>
              </w:rPr>
            </w:pPr>
          </w:p>
          <w:p w14:paraId="13D201FC">
            <w:pPr>
              <w:snapToGrid w:val="0"/>
              <w:spacing w:line="400" w:lineRule="exact"/>
              <w:jc w:val="center"/>
              <w:rPr>
                <w:rFonts w:ascii="宋体" w:hAnsi="宋体"/>
                <w:color w:val="auto"/>
                <w:kern w:val="0"/>
                <w:szCs w:val="21"/>
                <w:highlight w:val="none"/>
              </w:rPr>
            </w:pPr>
          </w:p>
          <w:p w14:paraId="310C7FA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6C0AAB48">
            <w:pPr>
              <w:snapToGrid w:val="0"/>
              <w:spacing w:line="400" w:lineRule="exact"/>
              <w:jc w:val="center"/>
              <w:rPr>
                <w:rFonts w:ascii="宋体" w:hAnsi="宋体"/>
                <w:color w:val="auto"/>
                <w:kern w:val="0"/>
                <w:szCs w:val="21"/>
                <w:highlight w:val="none"/>
              </w:rPr>
            </w:pPr>
          </w:p>
          <w:p w14:paraId="547CB88A">
            <w:pPr>
              <w:snapToGrid w:val="0"/>
              <w:spacing w:line="400" w:lineRule="exact"/>
              <w:jc w:val="both"/>
              <w:rPr>
                <w:rFonts w:ascii="宋体" w:hAnsi="宋体"/>
                <w:color w:val="auto"/>
                <w:kern w:val="0"/>
                <w:szCs w:val="21"/>
                <w:highlight w:val="none"/>
              </w:rPr>
            </w:pPr>
          </w:p>
        </w:tc>
        <w:tc>
          <w:tcPr>
            <w:tcW w:w="1644" w:type="dxa"/>
            <w:vAlign w:val="center"/>
          </w:tcPr>
          <w:p w14:paraId="55901948">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71F64D1E">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71169402">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01897E9E">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7F56161A">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79BFAE3A">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355566AF">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140A15EF">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29EEE018">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4A790A07">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5907F147">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1F80013D">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406D091F">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27617AC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32764D12">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42CFA170">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2FD793AC">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596942D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385FEDD4">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786285BA">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19DB0FA8">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356E4491">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65C2EFBC">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4626AF90">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1B788336">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4B8F0602">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资质条件、能力和信誉</w:t>
            </w:r>
          </w:p>
          <w:p w14:paraId="2AD6AE08">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1E5ED567">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471633C0">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2BF60E04">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697D4CFD">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24EE42FF">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08369AC5">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180FC480">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6B67EE28">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6DD5CAC7">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0C8FA32E">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1BB5CD92">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427740EE">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1B013269">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7C98090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569B1E98">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0D9EC109">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5EBC9D30">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66F4C105">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445BE628">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0D837E96">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7BACE5C2">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62A597CD">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726736C1">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3BFD09E1">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37FAA9CD">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2522EB89">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5962DA4D">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0C17BB8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3D6D0A91">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6CBDA3FA">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22C824DD">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6608ED61">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6C1F0973">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22950699">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01AEC3E3">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6FFA46E0">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7493178E">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004E91C7">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资质条件、能力和信誉</w:t>
            </w:r>
          </w:p>
          <w:p w14:paraId="65A27F4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572E17C9">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p w14:paraId="349BF73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p>
        </w:tc>
        <w:tc>
          <w:tcPr>
            <w:tcW w:w="6919" w:type="dxa"/>
            <w:vAlign w:val="center"/>
          </w:tcPr>
          <w:p w14:paraId="03715FF0">
            <w:pPr>
              <w:keepNext w:val="0"/>
              <w:keepLines w:val="0"/>
              <w:widowControl/>
              <w:suppressLineNumbers w:val="0"/>
              <w:ind w:firstLine="420" w:firstLineChars="200"/>
              <w:jc w:val="left"/>
              <w:rPr>
                <w:color w:val="auto"/>
                <w:highlight w:val="none"/>
              </w:rPr>
            </w:pPr>
            <w:r>
              <w:rPr>
                <w:rFonts w:hint="eastAsia" w:ascii="宋体" w:hAnsi="宋体" w:eastAsia="宋体" w:cs="宋体"/>
                <w:color w:val="auto"/>
                <w:kern w:val="0"/>
                <w:sz w:val="21"/>
                <w:szCs w:val="21"/>
                <w:highlight w:val="none"/>
                <w:lang w:val="en-US" w:eastAsia="zh-CN" w:bidi="ar"/>
              </w:rPr>
              <w:t>本工程施工比选实行资格后审，要求比选申请人须具备以下资格条件：</w:t>
            </w:r>
          </w:p>
          <w:p w14:paraId="18F9DC08">
            <w:pPr>
              <w:keepNext w:val="0"/>
              <w:keepLines w:val="0"/>
              <w:widowControl/>
              <w:suppressLineNumbers w:val="0"/>
              <w:ind w:firstLine="422" w:firstLineChars="200"/>
              <w:jc w:val="left"/>
              <w:rPr>
                <w:rFonts w:hint="default"/>
                <w:color w:val="auto"/>
                <w:highlight w:val="none"/>
                <w:lang w:val="en-US"/>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资质条件</w:t>
            </w:r>
            <w:r>
              <w:rPr>
                <w:rFonts w:hint="eastAsia" w:ascii="宋体" w:hAnsi="宋体" w:cs="宋体"/>
                <w:b/>
                <w:bCs/>
                <w:color w:val="auto"/>
                <w:kern w:val="0"/>
                <w:sz w:val="21"/>
                <w:szCs w:val="21"/>
                <w:highlight w:val="none"/>
                <w:lang w:val="en-US" w:eastAsia="zh-CN" w:bidi="ar"/>
              </w:rPr>
              <w:t>、营业执照</w:t>
            </w:r>
          </w:p>
          <w:p w14:paraId="1DE2DB91">
            <w:pPr>
              <w:snapToGrid w:val="0"/>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（1）竞选人须具备以下资质条件之一：</w:t>
            </w:r>
          </w:p>
          <w:p w14:paraId="0826DEC9">
            <w:pPr>
              <w:snapToGrid w:val="0"/>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①重庆市市场监督管理局颁发的CMA检验检测机构资质认定证书；</w:t>
            </w:r>
          </w:p>
          <w:p w14:paraId="0E90DA1E">
            <w:pPr>
              <w:snapToGrid w:val="0"/>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②建设行政主管部门颁发的建设工程质量检测机构资质证书，具体资质如下：专项资质（包含建筑材料及构配件、主体结构及装饰装修、钢结构、地基基础、建筑节能、道路工程）。</w:t>
            </w:r>
          </w:p>
          <w:p w14:paraId="2A415165">
            <w:pPr>
              <w:keepNext w:val="0"/>
              <w:keepLines w:val="0"/>
              <w:widowControl/>
              <w:suppressLineNumbers w:val="0"/>
              <w:ind w:firstLine="420" w:firstLineChars="200"/>
              <w:jc w:val="left"/>
              <w:rPr>
                <w:color w:val="auto"/>
                <w:highlight w:val="none"/>
              </w:rPr>
            </w:pPr>
            <w:r>
              <w:rPr>
                <w:rFonts w:hint="eastAsia" w:ascii="宋体" w:hAnsi="宋体" w:eastAsia="宋体" w:cs="宋体"/>
                <w:color w:val="auto"/>
                <w:kern w:val="0"/>
                <w:sz w:val="21"/>
                <w:szCs w:val="21"/>
                <w:highlight w:val="none"/>
                <w:lang w:val="en-US" w:eastAsia="zh-CN" w:bidi="ar"/>
              </w:rPr>
              <w:t>竞选人须在竞选文件资格审查部分提供有效的资质证书。</w:t>
            </w:r>
          </w:p>
          <w:p w14:paraId="7BC1C474">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（2）具备有效的营业执照。</w:t>
            </w:r>
          </w:p>
          <w:p w14:paraId="6C657137">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宋体" w:hAnsi="宋体" w:cs="宋体"/>
                <w:color w:val="auto"/>
                <w:highlight w:val="none"/>
              </w:rPr>
              <w:t>竞选人须在竞选文件资格审查部分</w:t>
            </w:r>
            <w:r>
              <w:rPr>
                <w:rFonts w:hint="eastAsia" w:asciiTheme="minorEastAsia" w:hAnsiTheme="minorEastAsia" w:eastAsiaTheme="minorEastAsia" w:cstheme="minorEastAsia"/>
                <w:color w:val="auto"/>
                <w:szCs w:val="21"/>
                <w:highlight w:val="none"/>
              </w:rPr>
              <w:t>提供有效的营业执照。</w:t>
            </w:r>
          </w:p>
          <w:p w14:paraId="281B2457">
            <w:pPr>
              <w:snapToGrid w:val="0"/>
              <w:spacing w:line="400" w:lineRule="exact"/>
              <w:ind w:firstLine="420" w:firstLineChars="200"/>
              <w:rPr>
                <w:rFonts w:ascii="宋体" w:hAnsi="宋体" w:cs="宋体"/>
                <w:color w:val="auto"/>
                <w:highlight w:val="none"/>
              </w:rPr>
            </w:pPr>
            <w:r>
              <w:rPr>
                <w:rFonts w:hint="eastAsia" w:asciiTheme="minorEastAsia" w:hAnsiTheme="minorEastAsia" w:eastAsiaTheme="minorEastAsia" w:cstheme="minorEastAsia"/>
                <w:color w:val="auto"/>
                <w:szCs w:val="21"/>
                <w:highlight w:val="none"/>
              </w:rPr>
              <w:t>注：不得将</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营业执照记载的经营范围作为评审因素。</w:t>
            </w:r>
          </w:p>
          <w:p w14:paraId="54680039">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竞标</w:t>
            </w:r>
            <w:r>
              <w:rPr>
                <w:rFonts w:ascii="宋体" w:hAnsi="宋体"/>
                <w:b/>
                <w:color w:val="auto"/>
                <w:szCs w:val="21"/>
                <w:highlight w:val="none"/>
              </w:rPr>
              <w:t>截止日</w:t>
            </w:r>
            <w:r>
              <w:rPr>
                <w:rFonts w:hint="eastAsia" w:ascii="宋体" w:hAnsi="宋体"/>
                <w:b/>
                <w:color w:val="auto"/>
                <w:szCs w:val="21"/>
                <w:highlight w:val="none"/>
              </w:rPr>
              <w:t>竞标</w:t>
            </w:r>
            <w:r>
              <w:rPr>
                <w:rFonts w:ascii="宋体" w:hAnsi="宋体"/>
                <w:b/>
                <w:color w:val="auto"/>
                <w:szCs w:val="21"/>
                <w:highlight w:val="none"/>
              </w:rPr>
              <w:t>资格情况</w:t>
            </w:r>
          </w:p>
          <w:p w14:paraId="6162F8F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竞标人自行承诺（格式见第六章竞标文件格式）不得存在下列情形之一：</w:t>
            </w:r>
          </w:p>
          <w:p w14:paraId="5CC15BB4">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48F29D7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4FD54BB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1C66F51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08BD179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7827C73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竞标人须在竞标文件资格审查部分提供承诺。</w:t>
            </w:r>
          </w:p>
          <w:p w14:paraId="4812DC8A">
            <w:pPr>
              <w:autoSpaceDE w:val="0"/>
              <w:autoSpaceDN w:val="0"/>
              <w:adjustRightInd w:val="0"/>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lang w:val="en-US" w:eastAsia="zh-CN"/>
              </w:rPr>
              <w:t>3</w:t>
            </w:r>
            <w:r>
              <w:rPr>
                <w:rFonts w:hint="eastAsia" w:ascii="宋体" w:hAnsi="宋体" w:cs="宋体"/>
                <w:b/>
                <w:bCs/>
                <w:color w:val="auto"/>
                <w:highlight w:val="none"/>
              </w:rPr>
              <w:t>.拟派项目人员</w:t>
            </w:r>
          </w:p>
          <w:p w14:paraId="57DB4932">
            <w:pPr>
              <w:numPr>
                <w:ilvl w:val="1"/>
                <w:numId w:val="0"/>
              </w:numPr>
              <w:snapToGrid w:val="0"/>
              <w:spacing w:line="360" w:lineRule="auto"/>
              <w:ind w:left="0" w:leftChars="0"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u w:val="single"/>
              </w:rPr>
              <w:t>项目负责人1人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技术</w:t>
            </w:r>
            <w:r>
              <w:rPr>
                <w:rFonts w:hint="eastAsia" w:ascii="宋体" w:hAnsi="宋体" w:cs="宋体"/>
                <w:color w:val="auto"/>
                <w:szCs w:val="21"/>
                <w:highlight w:val="none"/>
                <w:u w:val="single"/>
                <w:lang w:val="en-US" w:eastAsia="zh-CN"/>
              </w:rPr>
              <w:t>负责人</w:t>
            </w:r>
            <w:r>
              <w:rPr>
                <w:rFonts w:hint="eastAsia" w:ascii="宋体" w:hAnsi="宋体" w:cs="宋体"/>
                <w:color w:val="auto"/>
                <w:szCs w:val="21"/>
                <w:highlight w:val="none"/>
                <w:u w:val="single"/>
              </w:rPr>
              <w:t>：1人</w:t>
            </w:r>
            <w:r>
              <w:rPr>
                <w:rFonts w:hint="eastAsia" w:ascii="宋体" w:hAnsi="宋体" w:cs="宋体"/>
                <w:color w:val="auto"/>
                <w:szCs w:val="21"/>
                <w:highlight w:val="none"/>
                <w:u w:val="single"/>
                <w:lang w:eastAsia="zh-CN"/>
              </w:rPr>
              <w:t>。</w:t>
            </w:r>
          </w:p>
          <w:p w14:paraId="168E31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均为竞选人本单位在职人员，具备建设行政主管部门颁发的重庆市建设工程质量检测人员岗位证书，并在竞选人本单位注册执业，工程类</w:t>
            </w:r>
            <w:r>
              <w:rPr>
                <w:rFonts w:hint="eastAsia" w:ascii="宋体" w:hAnsi="宋体" w:cs="宋体"/>
                <w:color w:val="auto"/>
                <w:szCs w:val="21"/>
                <w:highlight w:val="none"/>
                <w:u w:val="single"/>
              </w:rPr>
              <w:t>高级技术</w:t>
            </w:r>
            <w:r>
              <w:rPr>
                <w:rFonts w:hint="eastAsia" w:ascii="宋体" w:hAnsi="宋体" w:cs="宋体"/>
                <w:color w:val="auto"/>
                <w:szCs w:val="21"/>
                <w:highlight w:val="none"/>
              </w:rPr>
              <w:t>职称。</w:t>
            </w:r>
          </w:p>
          <w:p w14:paraId="1D2DF0A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竞选人须在竞选人资格审查部分提供拟派项目负责人、技术</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有效的身份证、</w:t>
            </w:r>
            <w:r>
              <w:rPr>
                <w:rFonts w:hint="eastAsia" w:ascii="宋体" w:hAnsi="宋体" w:cs="宋体"/>
                <w:color w:val="auto"/>
                <w:szCs w:val="21"/>
                <w:highlight w:val="none"/>
                <w:lang w:val="en-US" w:eastAsia="zh-CN"/>
              </w:rPr>
              <w:t>岗位证</w:t>
            </w:r>
            <w:r>
              <w:rPr>
                <w:rFonts w:hint="eastAsia" w:ascii="宋体" w:hAnsi="宋体" w:cs="宋体"/>
                <w:color w:val="auto"/>
                <w:szCs w:val="21"/>
                <w:highlight w:val="none"/>
              </w:rPr>
              <w:t>书、职称证书、竞选人为其缴纳的养老保险证明材料。</w:t>
            </w:r>
          </w:p>
          <w:p w14:paraId="425E6DBC">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4</w:t>
            </w:r>
            <w:r>
              <w:rPr>
                <w:rFonts w:ascii="宋体" w:hAnsi="宋体"/>
                <w:b/>
                <w:color w:val="auto"/>
                <w:szCs w:val="21"/>
                <w:highlight w:val="none"/>
              </w:rPr>
              <w:t>.其他要求</w:t>
            </w:r>
          </w:p>
          <w:p w14:paraId="048911CD">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宋体" w:hAnsi="宋体"/>
                <w:color w:val="auto"/>
                <w:kern w:val="0"/>
                <w:szCs w:val="21"/>
                <w:highlight w:val="none"/>
                <w:lang w:val="en-US" w:eastAsia="zh-CN"/>
              </w:rPr>
              <w:t>法定代表人或</w:t>
            </w:r>
            <w:r>
              <w:rPr>
                <w:rFonts w:hint="eastAsia" w:asciiTheme="minorEastAsia" w:hAnsiTheme="minorEastAsia" w:eastAsiaTheme="minorEastAsia" w:cstheme="minorEastAsia"/>
                <w:color w:val="auto"/>
                <w:kern w:val="0"/>
                <w:szCs w:val="21"/>
                <w:highlight w:val="none"/>
              </w:rPr>
              <w:t>委托代理人：</w:t>
            </w:r>
          </w:p>
          <w:p w14:paraId="02273E32">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宋体" w:hAnsi="宋体"/>
                <w:color w:val="auto"/>
                <w:kern w:val="0"/>
                <w:szCs w:val="21"/>
                <w:highlight w:val="none"/>
                <w:lang w:val="en-US" w:eastAsia="zh-CN"/>
              </w:rPr>
              <w:t>法定代表人或</w:t>
            </w:r>
            <w:r>
              <w:rPr>
                <w:rFonts w:hint="eastAsia" w:ascii="宋体" w:hAnsi="宋体"/>
                <w:i w:val="0"/>
                <w:iCs/>
                <w:color w:val="auto"/>
                <w:kern w:val="0"/>
                <w:szCs w:val="21"/>
                <w:highlight w:val="none"/>
              </w:rPr>
              <w:t>委托代理人</w:t>
            </w:r>
            <w:r>
              <w:rPr>
                <w:rFonts w:hint="eastAsia" w:ascii="宋体" w:hAnsi="宋体"/>
                <w:i w:val="0"/>
                <w:iCs/>
                <w:color w:val="auto"/>
                <w:kern w:val="0"/>
                <w:szCs w:val="21"/>
                <w:highlight w:val="none"/>
                <w:lang w:val="en-US" w:eastAsia="zh-CN"/>
              </w:rPr>
              <w:t>代表</w:t>
            </w:r>
            <w:r>
              <w:rPr>
                <w:rFonts w:hint="eastAsia" w:ascii="宋体" w:hAnsi="宋体"/>
                <w:i w:val="0"/>
                <w:iCs/>
                <w:color w:val="auto"/>
                <w:kern w:val="0"/>
                <w:szCs w:val="21"/>
                <w:highlight w:val="none"/>
              </w:rPr>
              <w:t>投标人签署、澄清、说明、补正、递交、撤回、修改本项目</w:t>
            </w:r>
            <w:r>
              <w:rPr>
                <w:rFonts w:hint="eastAsia" w:ascii="宋体" w:hAnsi="宋体"/>
                <w:color w:val="auto"/>
                <w:szCs w:val="21"/>
                <w:highlight w:val="none"/>
              </w:rPr>
              <w:t>竞标文件</w:t>
            </w:r>
            <w:r>
              <w:rPr>
                <w:rFonts w:hint="eastAsia" w:ascii="宋体" w:hAnsi="宋体"/>
                <w:i w:val="0"/>
                <w:iCs/>
                <w:color w:val="auto"/>
                <w:kern w:val="0"/>
                <w:szCs w:val="21"/>
                <w:highlight w:val="none"/>
              </w:rPr>
              <w:t>、签订合同和处理有关事宜，其法律后果由投标人承担。</w:t>
            </w:r>
            <w:r>
              <w:rPr>
                <w:rFonts w:ascii="宋体" w:hAnsi="宋体"/>
                <w:color w:val="auto"/>
                <w:kern w:val="0"/>
                <w:szCs w:val="21"/>
                <w:highlight w:val="none"/>
              </w:rPr>
              <w:t>委托代理人</w:t>
            </w:r>
            <w:r>
              <w:rPr>
                <w:rFonts w:hint="eastAsia" w:ascii="宋体" w:hAnsi="宋体"/>
                <w:color w:val="auto"/>
                <w:kern w:val="0"/>
                <w:szCs w:val="21"/>
                <w:highlight w:val="none"/>
                <w:lang w:val="en-US" w:eastAsia="zh-CN"/>
              </w:rPr>
              <w:t>须是</w:t>
            </w:r>
            <w:r>
              <w:rPr>
                <w:rFonts w:ascii="宋体" w:hAnsi="宋体"/>
                <w:color w:val="auto"/>
                <w:kern w:val="0"/>
                <w:szCs w:val="21"/>
                <w:highlight w:val="none"/>
              </w:rPr>
              <w:t>投标单位</w:t>
            </w:r>
            <w:r>
              <w:rPr>
                <w:rFonts w:hint="eastAsia" w:ascii="宋体" w:hAnsi="宋体"/>
                <w:color w:val="auto"/>
                <w:kern w:val="0"/>
                <w:szCs w:val="21"/>
                <w:highlight w:val="none"/>
              </w:rPr>
              <w:t>人员</w:t>
            </w:r>
            <w:r>
              <w:rPr>
                <w:rFonts w:hint="eastAsia" w:asciiTheme="minorEastAsia" w:hAnsiTheme="minorEastAsia" w:eastAsiaTheme="minorEastAsia" w:cstheme="minorEastAsia"/>
                <w:color w:val="auto"/>
                <w:kern w:val="0"/>
                <w:szCs w:val="21"/>
                <w:highlight w:val="none"/>
              </w:rPr>
              <w:t>。</w:t>
            </w:r>
          </w:p>
          <w:p w14:paraId="3927EBE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提供：</w:t>
            </w:r>
            <w:r>
              <w:rPr>
                <w:rFonts w:hint="eastAsia" w:ascii="宋体" w:hAnsi="宋体"/>
                <w:color w:val="auto"/>
                <w:kern w:val="0"/>
                <w:szCs w:val="21"/>
                <w:highlight w:val="none"/>
              </w:rPr>
              <w:t>法定代表人身份证明</w:t>
            </w:r>
            <w:r>
              <w:rPr>
                <w:rFonts w:hint="eastAsia" w:ascii="宋体" w:hAnsi="宋体"/>
                <w:color w:val="auto"/>
                <w:szCs w:val="21"/>
                <w:highlight w:val="none"/>
              </w:rPr>
              <w:t>（格式见第</w:t>
            </w:r>
            <w:r>
              <w:rPr>
                <w:rFonts w:hint="eastAsia" w:ascii="宋体" w:hAnsi="宋体"/>
                <w:color w:val="auto"/>
                <w:szCs w:val="21"/>
                <w:highlight w:val="none"/>
                <w:lang w:val="en-US" w:eastAsia="zh-CN"/>
              </w:rPr>
              <w:t>六</w:t>
            </w:r>
            <w:r>
              <w:rPr>
                <w:rFonts w:hint="eastAsia" w:ascii="宋体" w:hAnsi="宋体"/>
                <w:color w:val="auto"/>
                <w:szCs w:val="21"/>
                <w:highlight w:val="none"/>
              </w:rPr>
              <w:t>章竞标文件格式）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法定代表人委托代理人投标的，还须提供</w:t>
            </w:r>
            <w:r>
              <w:rPr>
                <w:rFonts w:hint="eastAsia" w:ascii="宋体" w:hAnsi="宋体"/>
                <w:color w:val="auto"/>
                <w:kern w:val="0"/>
                <w:szCs w:val="21"/>
                <w:highlight w:val="none"/>
              </w:rPr>
              <w:t>授权委托书</w:t>
            </w:r>
            <w:r>
              <w:rPr>
                <w:rFonts w:hint="eastAsia" w:ascii="宋体" w:hAnsi="宋体"/>
                <w:color w:val="auto"/>
                <w:szCs w:val="21"/>
                <w:highlight w:val="none"/>
              </w:rPr>
              <w:t>（格式见第</w:t>
            </w:r>
            <w:r>
              <w:rPr>
                <w:rFonts w:hint="eastAsia" w:ascii="宋体" w:hAnsi="宋体"/>
                <w:color w:val="auto"/>
                <w:szCs w:val="21"/>
                <w:highlight w:val="none"/>
                <w:lang w:val="en-US" w:eastAsia="zh-CN"/>
              </w:rPr>
              <w:t>六</w:t>
            </w:r>
            <w:r>
              <w:rPr>
                <w:rFonts w:hint="eastAsia" w:ascii="宋体" w:hAnsi="宋体"/>
                <w:color w:val="auto"/>
                <w:szCs w:val="21"/>
                <w:highlight w:val="none"/>
              </w:rPr>
              <w:t>章竞标文件格式）</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投标人为该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w:t>
            </w:r>
            <w:r>
              <w:rPr>
                <w:rFonts w:hint="eastAsia" w:asciiTheme="minorEastAsia" w:hAnsiTheme="minorEastAsia" w:eastAsiaTheme="minorEastAsia" w:cstheme="minorEastAsia"/>
                <w:color w:val="auto"/>
                <w:kern w:val="0"/>
                <w:szCs w:val="21"/>
                <w:highlight w:val="none"/>
              </w:rPr>
              <w:t>。</w:t>
            </w:r>
          </w:p>
          <w:p w14:paraId="4A9E18DE">
            <w:pPr>
              <w:pStyle w:val="16"/>
              <w:spacing w:line="400" w:lineRule="exact"/>
              <w:ind w:firstLine="420" w:firstLineChars="200"/>
              <w:rPr>
                <w:rFonts w:hint="eastAsia" w:ascii="宋体" w:hAnsi="宋体" w:eastAsia="宋体" w:cs="宋体"/>
                <w:color w:val="auto"/>
                <w:highlight w:val="none"/>
                <w:lang w:eastAsia="zh-CN"/>
              </w:rPr>
            </w:pPr>
            <w:r>
              <w:rPr>
                <w:rFonts w:ascii="宋体" w:hAnsi="宋体"/>
                <w:color w:val="auto"/>
                <w:kern w:val="0"/>
                <w:szCs w:val="21"/>
                <w:highlight w:val="none"/>
              </w:rPr>
              <w:t>（</w:t>
            </w:r>
            <w:r>
              <w:rPr>
                <w:rFonts w:hint="eastAsia" w:ascii="宋体" w:hAnsi="宋体"/>
                <w:color w:val="auto"/>
                <w:kern w:val="0"/>
                <w:szCs w:val="21"/>
                <w:highlight w:val="none"/>
                <w:lang w:val="en-US" w:eastAsia="zh-CN"/>
              </w:rPr>
              <w:t>2</w:t>
            </w:r>
            <w:r>
              <w:rPr>
                <w:rFonts w:ascii="宋体" w:hAnsi="宋体"/>
                <w:color w:val="auto"/>
                <w:kern w:val="0"/>
                <w:szCs w:val="21"/>
                <w:highlight w:val="none"/>
              </w:rPr>
              <w:t>）</w:t>
            </w:r>
            <w:r>
              <w:rPr>
                <w:rFonts w:hint="eastAsia" w:ascii="宋体" w:hAnsi="宋体" w:cs="宋体"/>
                <w:color w:val="auto"/>
                <w:highlight w:val="none"/>
                <w:lang w:eastAsia="zh-CN"/>
              </w:rPr>
              <w:t>检测</w:t>
            </w:r>
            <w:r>
              <w:rPr>
                <w:rFonts w:hint="eastAsia" w:ascii="宋体" w:hAnsi="宋体" w:cs="宋体"/>
                <w:color w:val="auto"/>
                <w:highlight w:val="none"/>
                <w:lang w:val="en-US" w:eastAsia="zh-CN"/>
              </w:rPr>
              <w:t>人</w:t>
            </w:r>
            <w:r>
              <w:rPr>
                <w:rFonts w:hint="eastAsia" w:ascii="宋体" w:hAnsi="宋体" w:cs="宋体"/>
                <w:color w:val="auto"/>
                <w:highlight w:val="none"/>
              </w:rPr>
              <w:t>员</w:t>
            </w:r>
            <w:r>
              <w:rPr>
                <w:rFonts w:hint="eastAsia" w:ascii="宋体" w:hAnsi="宋体" w:cs="宋体"/>
                <w:color w:val="auto"/>
                <w:highlight w:val="none"/>
                <w:lang w:eastAsia="zh-CN"/>
              </w:rPr>
              <w:t>：</w:t>
            </w:r>
          </w:p>
          <w:p w14:paraId="5418371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选人须承诺中标后在签订合同之前，按照有关行政部门的要求，配置项目专业检测人员。应当明确各人员的职责、岗位设置、人员配备，并书面通知比选人。各人员应持有有关行政部门要求的证书，并提供竞选人为其缴纳的养老保险证明材料。中标后不能满足该要求的，比选人可取消其中标资格；签订合同后不满足该要求的，比选人按合同相关条款要求竞选人承担责任并上报有关行政部门；给比选人造成损失的，竞选人依法承担赔偿责任或违约责任。未提供上述承诺或承诺内容不符合要求的，由评标委员会作否决竞标处理。</w:t>
            </w:r>
          </w:p>
          <w:p w14:paraId="425F92A2">
            <w:pPr>
              <w:pStyle w:val="16"/>
              <w:spacing w:line="400" w:lineRule="exact"/>
              <w:ind w:firstLine="420" w:firstLineChars="200"/>
              <w:rPr>
                <w:rFonts w:hint="eastAsia" w:ascii="宋体" w:hAnsi="宋体" w:cs="宋体"/>
                <w:b w:val="0"/>
                <w:bCs w:val="0"/>
                <w:color w:val="auto"/>
                <w:highlight w:val="none"/>
              </w:rPr>
            </w:pPr>
            <w:r>
              <w:rPr>
                <w:rFonts w:hint="eastAsia" w:ascii="宋体" w:hAnsi="宋体" w:cs="宋体"/>
                <w:b w:val="0"/>
                <w:bCs w:val="0"/>
                <w:color w:val="auto"/>
                <w:highlight w:val="none"/>
              </w:rPr>
              <w:t>竞选人须在竞选文件资格审查部分提供承诺。</w:t>
            </w:r>
          </w:p>
          <w:p w14:paraId="4FFE2526">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57750576">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上述要求须提交的相关证明材料复印件均应加盖竞标单位法人章并装入竞标文件资格审查部分中。上述要求</w:t>
            </w:r>
            <w:r>
              <w:rPr>
                <w:rFonts w:hint="eastAsia" w:ascii="宋体" w:hAnsi="宋体" w:cs="宋体"/>
                <w:color w:val="auto"/>
                <w:kern w:val="0"/>
                <w:szCs w:val="21"/>
                <w:highlight w:val="none"/>
              </w:rPr>
              <w:t>，有一条不满足则竞标文件由评标委员会</w:t>
            </w:r>
            <w:r>
              <w:rPr>
                <w:rFonts w:hint="eastAsia" w:ascii="宋体" w:hAnsi="宋体" w:cs="宋体"/>
                <w:color w:val="auto"/>
                <w:szCs w:val="21"/>
                <w:highlight w:val="none"/>
              </w:rPr>
              <w:t>作否决竞标处理</w:t>
            </w:r>
            <w:r>
              <w:rPr>
                <w:rFonts w:hint="eastAsia" w:ascii="宋体" w:hAnsi="宋体" w:cs="宋体"/>
                <w:color w:val="auto"/>
                <w:kern w:val="0"/>
                <w:szCs w:val="21"/>
                <w:highlight w:val="none"/>
              </w:rPr>
              <w:t>。</w:t>
            </w:r>
          </w:p>
          <w:p w14:paraId="70042CDD">
            <w:pPr>
              <w:autoSpaceDE w:val="0"/>
              <w:autoSpaceDN w:val="0"/>
              <w:adjustRightInd w:val="0"/>
              <w:snapToGrid w:val="0"/>
              <w:spacing w:line="40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竞标人须自行承诺其提供的上述相关证明材料真实有效，不存在弄虚作假情形（格式见第六章投标文件格式）。比选人在合同签订前均有权对投标人提供的资料进行核实，若发现弄虚作假，按相关规定取消其中标资格，并按相关法律法规报招标投标监督部门，其投标保证金不予退还，投标人承担因此造成的相关责任并赔偿相应损失。</w:t>
            </w:r>
          </w:p>
          <w:p w14:paraId="3C782649">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rPr>
              <w:t>竞争性比选文件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14B30E36">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32C5F825">
            <w:pPr>
              <w:spacing w:line="400" w:lineRule="exact"/>
              <w:ind w:firstLine="420" w:firstLineChars="200"/>
              <w:rPr>
                <w:rFonts w:ascii="宋体" w:hAnsi="宋体"/>
                <w:bCs/>
                <w:snapToGrid w:val="0"/>
                <w:color w:val="auto"/>
                <w:kern w:val="0"/>
                <w:szCs w:val="21"/>
                <w:highlight w:val="none"/>
              </w:rPr>
            </w:pPr>
            <w:r>
              <w:rPr>
                <w:rFonts w:hint="eastAsia" w:ascii="宋体" w:hAnsi="宋体"/>
                <w:bCs/>
                <w:color w:val="auto"/>
                <w:kern w:val="0"/>
                <w:szCs w:val="21"/>
                <w:highlight w:val="none"/>
              </w:rPr>
              <w:t>②</w:t>
            </w:r>
            <w:r>
              <w:rPr>
                <w:rFonts w:hint="eastAsia" w:ascii="宋体" w:hAnsi="宋体" w:cs="宋体"/>
                <w:b/>
                <w:bCs/>
                <w:color w:val="auto"/>
                <w:highlight w:val="none"/>
              </w:rPr>
              <w:t>拟派的项目负责人、技术</w:t>
            </w:r>
            <w:r>
              <w:rPr>
                <w:rFonts w:hint="eastAsia" w:ascii="宋体" w:hAnsi="宋体" w:cs="宋体"/>
                <w:b/>
                <w:bCs/>
                <w:color w:val="auto"/>
                <w:highlight w:val="none"/>
                <w:lang w:val="en-US" w:eastAsia="zh-CN"/>
              </w:rPr>
              <w:t>负责人</w:t>
            </w:r>
            <w:r>
              <w:rPr>
                <w:rFonts w:hint="eastAsia" w:ascii="宋体" w:hAnsi="宋体" w:cs="宋体"/>
                <w:color w:val="auto"/>
                <w:kern w:val="0"/>
                <w:szCs w:val="21"/>
                <w:highlight w:val="none"/>
              </w:rPr>
              <w:t>和委托代理人</w:t>
            </w:r>
            <w:r>
              <w:rPr>
                <w:rFonts w:ascii="宋体" w:hAnsi="宋体"/>
                <w:bCs/>
                <w:snapToGrid w:val="0"/>
                <w:color w:val="auto"/>
                <w:kern w:val="0"/>
                <w:szCs w:val="21"/>
                <w:highlight w:val="none"/>
              </w:rPr>
              <w:t>的</w:t>
            </w:r>
            <w:r>
              <w:rPr>
                <w:rFonts w:hint="eastAsia" w:ascii="宋体" w:hAnsi="宋体"/>
                <w:bCs/>
                <w:color w:val="auto"/>
                <w:kern w:val="0"/>
                <w:szCs w:val="21"/>
                <w:highlight w:val="none"/>
              </w:rPr>
              <w:t>连续养老保险证明期限须包含202</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年</w:t>
            </w:r>
            <w:r>
              <w:rPr>
                <w:rFonts w:hint="eastAsia" w:ascii="宋体" w:hAnsi="宋体"/>
                <w:bCs/>
                <w:color w:val="auto"/>
                <w:kern w:val="0"/>
                <w:szCs w:val="21"/>
                <w:highlight w:val="none"/>
                <w:lang w:val="en-US" w:eastAsia="zh-CN"/>
              </w:rPr>
              <w:t>9</w:t>
            </w:r>
            <w:r>
              <w:rPr>
                <w:rFonts w:hint="eastAsia" w:ascii="宋体" w:hAnsi="宋体"/>
                <w:bCs/>
                <w:color w:val="auto"/>
                <w:kern w:val="0"/>
                <w:szCs w:val="21"/>
                <w:highlight w:val="none"/>
              </w:rPr>
              <w:t>月至2025年</w:t>
            </w:r>
            <w:r>
              <w:rPr>
                <w:rFonts w:hint="eastAsia" w:ascii="宋体" w:hAnsi="宋体"/>
                <w:bCs/>
                <w:color w:val="auto"/>
                <w:kern w:val="0"/>
                <w:szCs w:val="21"/>
                <w:highlight w:val="none"/>
                <w:lang w:val="en-US" w:eastAsia="zh-CN"/>
              </w:rPr>
              <w:t>11</w:t>
            </w:r>
            <w:r>
              <w:rPr>
                <w:rFonts w:hint="eastAsia" w:ascii="宋体" w:hAnsi="宋体"/>
                <w:bCs/>
                <w:color w:val="auto"/>
                <w:kern w:val="0"/>
                <w:szCs w:val="21"/>
                <w:highlight w:val="none"/>
              </w:rPr>
              <w:t>月。提供的养老保险参保证明须体现上述人员的姓名、身份证号（或社保号）、单位名称、本单位参保时间（或起始参保时间），并带有社保部门公章或社保部门的有效电子印章。</w:t>
            </w:r>
          </w:p>
        </w:tc>
      </w:tr>
      <w:tr w14:paraId="62B16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EC934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6278F14E">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是否接受联合体</w:t>
            </w:r>
            <w:r>
              <w:rPr>
                <w:rFonts w:hint="eastAsia" w:ascii="宋体" w:hAnsi="宋体"/>
                <w:color w:val="auto"/>
                <w:kern w:val="0"/>
                <w:szCs w:val="21"/>
                <w:highlight w:val="none"/>
              </w:rPr>
              <w:t>竞标</w:t>
            </w:r>
          </w:p>
        </w:tc>
        <w:tc>
          <w:tcPr>
            <w:tcW w:w="6919" w:type="dxa"/>
            <w:vAlign w:val="center"/>
          </w:tcPr>
          <w:p w14:paraId="2BC39AB0">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w:t>
            </w:r>
            <w:r>
              <w:rPr>
                <w:rFonts w:ascii="宋体" w:hAnsi="宋体"/>
                <w:color w:val="auto"/>
                <w:kern w:val="0"/>
                <w:szCs w:val="21"/>
                <w:highlight w:val="none"/>
              </w:rPr>
              <w:t>不</w:t>
            </w:r>
            <w:r>
              <w:rPr>
                <w:rFonts w:hint="eastAsia" w:ascii="宋体" w:hAnsi="宋体"/>
                <w:color w:val="auto"/>
                <w:kern w:val="0"/>
                <w:szCs w:val="21"/>
                <w:highlight w:val="none"/>
                <w:lang w:val="en-US" w:eastAsia="zh-CN"/>
              </w:rPr>
              <w:t>接受</w:t>
            </w:r>
          </w:p>
        </w:tc>
      </w:tr>
      <w:tr w14:paraId="572AD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5058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2E305EF1">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踏勘现场</w:t>
            </w:r>
          </w:p>
        </w:tc>
        <w:tc>
          <w:tcPr>
            <w:tcW w:w="6919" w:type="dxa"/>
            <w:vAlign w:val="center"/>
          </w:tcPr>
          <w:p w14:paraId="724D6CC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不组织</w:t>
            </w:r>
          </w:p>
        </w:tc>
      </w:tr>
      <w:tr w14:paraId="63454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A1A67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564F454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预备会</w:t>
            </w:r>
          </w:p>
        </w:tc>
        <w:tc>
          <w:tcPr>
            <w:tcW w:w="6919" w:type="dxa"/>
            <w:vAlign w:val="center"/>
          </w:tcPr>
          <w:p w14:paraId="6AC57AD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不召开</w:t>
            </w:r>
          </w:p>
        </w:tc>
      </w:tr>
      <w:tr w14:paraId="326D4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1B7ED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26889398">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分包</w:t>
            </w:r>
          </w:p>
        </w:tc>
        <w:tc>
          <w:tcPr>
            <w:tcW w:w="6919" w:type="dxa"/>
            <w:vAlign w:val="center"/>
          </w:tcPr>
          <w:p w14:paraId="5AE12D64">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不允许</w:t>
            </w:r>
          </w:p>
        </w:tc>
      </w:tr>
      <w:tr w14:paraId="7DA42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7E50A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4E5DE08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竞争性比选文件</w:t>
            </w:r>
            <w:r>
              <w:rPr>
                <w:rFonts w:ascii="宋体" w:hAnsi="宋体"/>
                <w:color w:val="auto"/>
                <w:kern w:val="0"/>
                <w:szCs w:val="21"/>
                <w:highlight w:val="none"/>
              </w:rPr>
              <w:t>的其他材料</w:t>
            </w:r>
          </w:p>
        </w:tc>
        <w:tc>
          <w:tcPr>
            <w:tcW w:w="6919" w:type="dxa"/>
            <w:vAlign w:val="center"/>
          </w:tcPr>
          <w:p w14:paraId="10625439">
            <w:pPr>
              <w:snapToGrid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r>
              <w:rPr>
                <w:rFonts w:hint="eastAsia" w:ascii="宋体" w:hAnsi="宋体"/>
                <w:color w:val="auto"/>
                <w:szCs w:val="21"/>
                <w:highlight w:val="none"/>
                <w:lang w:eastAsia="zh-CN"/>
              </w:rPr>
              <w:t>。</w:t>
            </w:r>
          </w:p>
        </w:tc>
      </w:tr>
      <w:tr w14:paraId="4C35D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7A16F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1981B440">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对</w:t>
            </w:r>
            <w:r>
              <w:rPr>
                <w:rFonts w:hint="eastAsia" w:ascii="宋体" w:hAnsi="宋体"/>
                <w:color w:val="auto"/>
                <w:kern w:val="0"/>
                <w:szCs w:val="21"/>
                <w:highlight w:val="none"/>
              </w:rPr>
              <w:t>竞争性比选文件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919" w:type="dxa"/>
            <w:vAlign w:val="center"/>
          </w:tcPr>
          <w:p w14:paraId="1CB871B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竞选人在收到比选文件后，应仔细检查比选文件的所有内容，如有残缺或文字表述不清，图纸尺寸标注不明以及存在错、碰、漏、缺、概念模糊和有可能出现歧义或理解上的偏差的内容，清单工程量等应在</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12</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26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：00 </w:t>
            </w:r>
            <w:r>
              <w:rPr>
                <w:rFonts w:hint="eastAsia" w:ascii="宋体" w:hAnsi="宋体" w:cs="宋体"/>
                <w:color w:val="auto"/>
                <w:szCs w:val="21"/>
                <w:highlight w:val="none"/>
                <w:u w:val="none"/>
              </w:rPr>
              <w:t>前</w:t>
            </w:r>
            <w:r>
              <w:rPr>
                <w:rFonts w:hint="eastAsia" w:ascii="宋体" w:hAnsi="宋体"/>
                <w:color w:val="auto"/>
                <w:kern w:val="0"/>
                <w:szCs w:val="21"/>
                <w:highlight w:val="none"/>
              </w:rPr>
              <w:t>通过书面的形式向比选人提出疑问</w:t>
            </w:r>
            <w:r>
              <w:rPr>
                <w:rFonts w:ascii="宋体" w:hAnsi="宋体"/>
                <w:color w:val="auto"/>
                <w:kern w:val="0"/>
                <w:szCs w:val="21"/>
                <w:highlight w:val="none"/>
              </w:rPr>
              <w:t>。</w:t>
            </w:r>
          </w:p>
        </w:tc>
      </w:tr>
      <w:tr w14:paraId="22664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2B73B33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37323581">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对</w:t>
            </w:r>
            <w:r>
              <w:rPr>
                <w:rFonts w:hint="eastAsia" w:ascii="宋体" w:hAnsi="宋体"/>
                <w:color w:val="auto"/>
                <w:kern w:val="0"/>
                <w:szCs w:val="21"/>
                <w:highlight w:val="none"/>
              </w:rPr>
              <w:t>竞争性比选文件澄清</w:t>
            </w:r>
            <w:r>
              <w:rPr>
                <w:rFonts w:ascii="宋体" w:hAnsi="宋体"/>
                <w:color w:val="auto"/>
                <w:kern w:val="0"/>
                <w:szCs w:val="21"/>
                <w:highlight w:val="none"/>
              </w:rPr>
              <w:t>的截止时间</w:t>
            </w:r>
          </w:p>
        </w:tc>
        <w:tc>
          <w:tcPr>
            <w:tcW w:w="6919" w:type="dxa"/>
            <w:vAlign w:val="center"/>
          </w:tcPr>
          <w:p w14:paraId="2B05C817">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rPr>
              <w:t>比选人应在</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27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：00 </w:t>
            </w:r>
            <w:r>
              <w:rPr>
                <w:rFonts w:hint="eastAsia" w:ascii="宋体" w:hAnsi="宋体" w:cs="宋体"/>
                <w:color w:val="auto"/>
                <w:szCs w:val="21"/>
                <w:highlight w:val="none"/>
              </w:rPr>
              <w:t>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color w:val="auto"/>
                <w:kern w:val="0"/>
                <w:szCs w:val="21"/>
                <w:highlight w:val="none"/>
                <w:u w:val="single"/>
              </w:rPr>
              <w:t>“行采家”网站（https://www.gec123.com/）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2D32B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740DF56F">
            <w:pPr>
              <w:snapToGrid w:val="0"/>
              <w:spacing w:line="400" w:lineRule="exact"/>
              <w:jc w:val="center"/>
              <w:rPr>
                <w:rFonts w:ascii="宋体" w:hAnsi="宋体"/>
                <w:color w:val="auto"/>
                <w:kern w:val="0"/>
                <w:szCs w:val="21"/>
                <w:highlight w:val="none"/>
              </w:rPr>
            </w:pPr>
          </w:p>
        </w:tc>
        <w:tc>
          <w:tcPr>
            <w:tcW w:w="1644" w:type="dxa"/>
            <w:vAlign w:val="center"/>
          </w:tcPr>
          <w:p w14:paraId="4F524859">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竞标截止时间</w:t>
            </w:r>
          </w:p>
        </w:tc>
        <w:tc>
          <w:tcPr>
            <w:tcW w:w="6919" w:type="dxa"/>
            <w:vAlign w:val="center"/>
          </w:tcPr>
          <w:p w14:paraId="42540C41">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详见比选公告规定的竞标截止时间。</w:t>
            </w:r>
          </w:p>
        </w:tc>
      </w:tr>
      <w:tr w14:paraId="52D39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2FF21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0990ABF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竞标文件</w:t>
            </w:r>
            <w:r>
              <w:rPr>
                <w:rFonts w:ascii="宋体" w:hAnsi="宋体"/>
                <w:color w:val="auto"/>
                <w:kern w:val="0"/>
                <w:szCs w:val="21"/>
                <w:highlight w:val="none"/>
              </w:rPr>
              <w:t>的其他材料</w:t>
            </w:r>
          </w:p>
        </w:tc>
        <w:tc>
          <w:tcPr>
            <w:tcW w:w="6919" w:type="dxa"/>
            <w:vAlign w:val="center"/>
          </w:tcPr>
          <w:p w14:paraId="619643F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竞标人</w:t>
            </w:r>
            <w:r>
              <w:rPr>
                <w:rFonts w:ascii="宋体" w:hAnsi="宋体"/>
                <w:color w:val="auto"/>
                <w:szCs w:val="21"/>
                <w:highlight w:val="none"/>
              </w:rPr>
              <w:t>的书面澄清、说明和补正（但不得改变</w:t>
            </w:r>
            <w:r>
              <w:rPr>
                <w:rFonts w:hint="eastAsia" w:ascii="宋体" w:hAnsi="宋体"/>
                <w:color w:val="auto"/>
                <w:szCs w:val="21"/>
                <w:highlight w:val="none"/>
              </w:rPr>
              <w:t>竞标文件</w:t>
            </w:r>
            <w:r>
              <w:rPr>
                <w:rFonts w:ascii="宋体" w:hAnsi="宋体"/>
                <w:color w:val="auto"/>
                <w:szCs w:val="21"/>
                <w:highlight w:val="none"/>
              </w:rPr>
              <w:t>的实质性内容）</w:t>
            </w:r>
          </w:p>
        </w:tc>
      </w:tr>
      <w:tr w14:paraId="7B953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01EAB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.2.1</w:t>
            </w:r>
          </w:p>
        </w:tc>
        <w:tc>
          <w:tcPr>
            <w:tcW w:w="1644" w:type="dxa"/>
            <w:vAlign w:val="center"/>
          </w:tcPr>
          <w:p w14:paraId="23B51DB3">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增值税税金的计算方法</w:t>
            </w:r>
          </w:p>
        </w:tc>
        <w:tc>
          <w:tcPr>
            <w:tcW w:w="6919" w:type="dxa"/>
            <w:vAlign w:val="center"/>
          </w:tcPr>
          <w:p w14:paraId="79C36265">
            <w:pPr>
              <w:snapToGrid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一般计税法</w:t>
            </w:r>
            <w:r>
              <w:rPr>
                <w:rFonts w:hint="eastAsia" w:ascii="宋体" w:hAnsi="宋体"/>
                <w:color w:val="auto"/>
                <w:szCs w:val="21"/>
                <w:highlight w:val="none"/>
                <w:lang w:eastAsia="zh-CN"/>
              </w:rPr>
              <w:t>。</w:t>
            </w:r>
          </w:p>
        </w:tc>
      </w:tr>
      <w:tr w14:paraId="10706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C0F9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r>
              <w:rPr>
                <w:rFonts w:hint="eastAsia" w:ascii="宋体" w:hAnsi="宋体"/>
                <w:color w:val="auto"/>
                <w:kern w:val="0"/>
                <w:szCs w:val="21"/>
                <w:highlight w:val="none"/>
              </w:rPr>
              <w:t>.3</w:t>
            </w:r>
          </w:p>
        </w:tc>
        <w:tc>
          <w:tcPr>
            <w:tcW w:w="1644" w:type="dxa"/>
            <w:vAlign w:val="center"/>
          </w:tcPr>
          <w:p w14:paraId="09D08749">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报价</w:t>
            </w:r>
          </w:p>
        </w:tc>
        <w:tc>
          <w:tcPr>
            <w:tcW w:w="6919" w:type="dxa"/>
            <w:vAlign w:val="center"/>
          </w:tcPr>
          <w:p w14:paraId="3E9515E9">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1、报价方式：</w:t>
            </w:r>
            <w:r>
              <w:rPr>
                <w:rFonts w:hint="eastAsia" w:asciiTheme="minorEastAsia" w:hAnsiTheme="minorEastAsia" w:eastAsiaTheme="minorEastAsia" w:cstheme="minorEastAsia"/>
                <w:color w:val="auto"/>
                <w:szCs w:val="21"/>
                <w:highlight w:val="none"/>
              </w:rPr>
              <w:t>固定</w:t>
            </w:r>
            <w:r>
              <w:rPr>
                <w:rFonts w:hint="eastAsia" w:ascii="宋体" w:hAnsi="宋体" w:eastAsiaTheme="minorEastAsia"/>
                <w:color w:val="auto"/>
                <w:kern w:val="0"/>
                <w:szCs w:val="21"/>
                <w:highlight w:val="none"/>
                <w:lang w:val="en-US" w:eastAsia="zh-CN"/>
              </w:rPr>
              <w:t>总价。</w:t>
            </w:r>
          </w:p>
          <w:p w14:paraId="2629F642">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固定</w:t>
            </w:r>
            <w:r>
              <w:rPr>
                <w:rFonts w:hint="eastAsia" w:ascii="宋体" w:hAnsi="宋体" w:eastAsiaTheme="minorEastAsia"/>
                <w:color w:val="auto"/>
                <w:kern w:val="0"/>
                <w:szCs w:val="21"/>
                <w:highlight w:val="none"/>
                <w:lang w:val="en-US" w:eastAsia="zh-CN"/>
              </w:rPr>
              <w:t>总价</w:t>
            </w:r>
            <w:r>
              <w:rPr>
                <w:rFonts w:hint="eastAsia" w:asciiTheme="minorEastAsia" w:hAnsiTheme="minorEastAsia" w:eastAsiaTheme="minorEastAsia" w:cstheme="minorEastAsia"/>
                <w:color w:val="auto"/>
                <w:szCs w:val="21"/>
                <w:highlight w:val="none"/>
              </w:rPr>
              <w:t>报价</w:t>
            </w:r>
            <w:r>
              <w:rPr>
                <w:rFonts w:hint="eastAsia" w:asciiTheme="minorEastAsia" w:hAnsiTheme="minorEastAsia" w:eastAsiaTheme="minorEastAsia" w:cstheme="minorEastAsia"/>
                <w:color w:val="auto"/>
                <w:szCs w:val="21"/>
                <w:highlight w:val="none"/>
                <w:lang w:val="en-US" w:eastAsia="zh-CN"/>
              </w:rPr>
              <w:t>以元为单位，其数值</w:t>
            </w:r>
            <w:r>
              <w:rPr>
                <w:rFonts w:hint="eastAsia" w:asciiTheme="minorEastAsia" w:hAnsiTheme="minorEastAsia" w:eastAsiaTheme="minorEastAsia" w:cstheme="minorEastAsia"/>
                <w:color w:val="auto"/>
                <w:szCs w:val="21"/>
                <w:highlight w:val="none"/>
              </w:rPr>
              <w:t>保留小数点后两位，</w:t>
            </w:r>
            <w:r>
              <w:rPr>
                <w:rFonts w:hint="eastAsia" w:asciiTheme="minorEastAsia" w:hAnsiTheme="minorEastAsia" w:eastAsiaTheme="minorEastAsia" w:cstheme="minorEastAsia"/>
                <w:color w:val="auto"/>
                <w:szCs w:val="21"/>
                <w:highlight w:val="none"/>
                <w:lang w:val="en-US" w:eastAsia="zh-CN"/>
              </w:rPr>
              <w:t>小数点后</w:t>
            </w:r>
            <w:r>
              <w:rPr>
                <w:rFonts w:hint="eastAsia" w:asciiTheme="minorEastAsia" w:hAnsiTheme="minorEastAsia" w:eastAsiaTheme="minorEastAsia" w:cstheme="minorEastAsia"/>
                <w:color w:val="auto"/>
                <w:szCs w:val="21"/>
                <w:highlight w:val="none"/>
              </w:rPr>
              <w:t>第三位四舍五入，</w:t>
            </w:r>
            <w:r>
              <w:rPr>
                <w:rFonts w:hint="eastAsia" w:asciiTheme="minorEastAsia" w:hAnsiTheme="minorEastAsia" w:eastAsiaTheme="minorEastAsia" w:cstheme="minorEastAsia"/>
                <w:color w:val="auto"/>
                <w:szCs w:val="21"/>
                <w:highlight w:val="none"/>
                <w:lang w:val="en-US" w:eastAsia="zh-CN"/>
              </w:rPr>
              <w:t>小数点后</w:t>
            </w:r>
            <w:r>
              <w:rPr>
                <w:rFonts w:hint="eastAsia" w:asciiTheme="minorEastAsia" w:hAnsiTheme="minorEastAsia" w:eastAsiaTheme="minorEastAsia" w:cstheme="minorEastAsia"/>
                <w:color w:val="auto"/>
                <w:szCs w:val="21"/>
                <w:highlight w:val="none"/>
              </w:rPr>
              <w:t>不足两位的按实际位数保留</w:t>
            </w:r>
            <w:r>
              <w:rPr>
                <w:rFonts w:hint="eastAsia" w:asciiTheme="minorEastAsia" w:hAnsiTheme="minorEastAsia" w:eastAsiaTheme="minorEastAsia" w:cstheme="minorEastAsia"/>
                <w:color w:val="auto"/>
                <w:szCs w:val="21"/>
                <w:highlight w:val="none"/>
                <w:lang w:eastAsia="zh-CN"/>
              </w:rPr>
              <w:t>。</w:t>
            </w:r>
          </w:p>
          <w:p w14:paraId="271864C8">
            <w:pPr>
              <w:spacing w:line="400" w:lineRule="exact"/>
              <w:ind w:firstLine="420" w:firstLineChars="200"/>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2、本项目固定</w:t>
            </w:r>
            <w:r>
              <w:rPr>
                <w:rFonts w:hint="eastAsia" w:ascii="宋体" w:hAnsi="宋体"/>
                <w:color w:val="auto"/>
                <w:kern w:val="0"/>
                <w:szCs w:val="21"/>
                <w:highlight w:val="none"/>
              </w:rPr>
              <w:t>竞选报价</w:t>
            </w:r>
            <w:r>
              <w:rPr>
                <w:rFonts w:hint="eastAsia" w:asciiTheme="minorEastAsia" w:hAnsiTheme="minorEastAsia" w:eastAsiaTheme="minorEastAsia" w:cstheme="minorEastAsia"/>
                <w:color w:val="auto"/>
                <w:szCs w:val="21"/>
                <w:highlight w:val="none"/>
                <w:u w:val="none"/>
                <w:lang w:val="en-US" w:eastAsia="zh-CN"/>
              </w:rPr>
              <w:t>最高限价为：</w:t>
            </w:r>
            <w:r>
              <w:rPr>
                <w:rFonts w:hint="eastAsia" w:asciiTheme="minorEastAsia" w:hAnsiTheme="minorEastAsia" w:eastAsiaTheme="minorEastAsia" w:cstheme="minorEastAsia"/>
                <w:color w:val="auto"/>
                <w:szCs w:val="21"/>
                <w:highlight w:val="none"/>
                <w:u w:val="single"/>
                <w:lang w:val="en-US" w:eastAsia="zh-CN"/>
              </w:rPr>
              <w:t>260000</w:t>
            </w:r>
            <w:bookmarkStart w:id="390" w:name="_GoBack"/>
            <w:bookmarkEnd w:id="390"/>
            <w:r>
              <w:rPr>
                <w:rFonts w:hint="eastAsia" w:asciiTheme="minorEastAsia" w:hAnsiTheme="minorEastAsia" w:eastAsiaTheme="minorEastAsia" w:cstheme="minorEastAsia"/>
                <w:color w:val="auto"/>
                <w:szCs w:val="21"/>
                <w:highlight w:val="none"/>
                <w:u w:val="single"/>
                <w:lang w:val="en-US" w:eastAsia="zh-CN"/>
              </w:rPr>
              <w:t>.00</w:t>
            </w:r>
            <w:r>
              <w:rPr>
                <w:rFonts w:hint="eastAsia" w:asciiTheme="minorEastAsia" w:hAnsiTheme="minorEastAsia" w:eastAsiaTheme="minorEastAsia" w:cstheme="minorEastAsia"/>
                <w:color w:val="auto"/>
                <w:szCs w:val="21"/>
                <w:highlight w:val="none"/>
                <w:u w:val="none"/>
                <w:lang w:val="en-US" w:eastAsia="zh-CN"/>
              </w:rPr>
              <w:t>元。</w:t>
            </w:r>
          </w:p>
          <w:p w14:paraId="6F1DB91A">
            <w:pPr>
              <w:spacing w:line="400" w:lineRule="exact"/>
              <w:ind w:firstLine="420" w:firstLineChars="200"/>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投标人的投标报价不得超过其最高限价，否则由评标委员会作否决投标处理。</w:t>
            </w:r>
          </w:p>
          <w:p w14:paraId="012E324B">
            <w:pPr>
              <w:spacing w:line="400" w:lineRule="exact"/>
              <w:ind w:firstLine="420" w:firstLineChars="200"/>
              <w:rPr>
                <w:rFonts w:ascii="宋体" w:hAnsi="宋体"/>
                <w:color w:val="auto"/>
                <w:kern w:val="0"/>
                <w:szCs w:val="21"/>
                <w:highlight w:val="none"/>
              </w:rPr>
            </w:pPr>
            <w:r>
              <w:rPr>
                <w:rFonts w:hint="eastAsia" w:asciiTheme="minorEastAsia" w:hAnsiTheme="minorEastAsia" w:eastAsiaTheme="minorEastAsia" w:cstheme="minorEastAsia"/>
                <w:color w:val="auto"/>
                <w:szCs w:val="21"/>
                <w:highlight w:val="none"/>
                <w:u w:val="none"/>
                <w:lang w:val="en-US" w:eastAsia="zh-CN"/>
              </w:rPr>
              <w:t>3、</w:t>
            </w:r>
            <w:r>
              <w:rPr>
                <w:rFonts w:hint="eastAsia" w:ascii="宋体" w:hAnsi="宋体"/>
                <w:color w:val="auto"/>
                <w:kern w:val="0"/>
                <w:szCs w:val="21"/>
                <w:highlight w:val="none"/>
              </w:rPr>
              <w:t>竞选人的竞选报价为完成本次比选确定的</w:t>
            </w:r>
            <w:r>
              <w:rPr>
                <w:rFonts w:hint="eastAsia" w:ascii="宋体" w:hAnsi="宋体"/>
                <w:color w:val="auto"/>
                <w:kern w:val="0"/>
                <w:szCs w:val="21"/>
                <w:highlight w:val="none"/>
                <w:lang w:eastAsia="zh-CN"/>
              </w:rPr>
              <w:t>检测</w:t>
            </w:r>
            <w:r>
              <w:rPr>
                <w:rFonts w:hint="eastAsia" w:ascii="宋体" w:hAnsi="宋体"/>
                <w:color w:val="auto"/>
                <w:kern w:val="0"/>
                <w:szCs w:val="21"/>
                <w:highlight w:val="none"/>
              </w:rPr>
              <w:t>范围和</w:t>
            </w:r>
            <w:r>
              <w:rPr>
                <w:rFonts w:hint="eastAsia" w:ascii="宋体" w:hAnsi="宋体"/>
                <w:color w:val="auto"/>
                <w:kern w:val="0"/>
                <w:szCs w:val="21"/>
                <w:highlight w:val="none"/>
                <w:lang w:eastAsia="zh-CN"/>
              </w:rPr>
              <w:t>检测</w:t>
            </w:r>
            <w:r>
              <w:rPr>
                <w:rFonts w:hint="eastAsia" w:ascii="宋体" w:hAnsi="宋体"/>
                <w:color w:val="auto"/>
                <w:kern w:val="0"/>
                <w:szCs w:val="21"/>
                <w:highlight w:val="none"/>
              </w:rPr>
              <w:t>工作内容所需的全部费用。具体包括为实施和完成本项目全部</w:t>
            </w:r>
            <w:r>
              <w:rPr>
                <w:rFonts w:hint="eastAsia" w:ascii="宋体" w:hAnsi="宋体"/>
                <w:color w:val="auto"/>
                <w:kern w:val="0"/>
                <w:szCs w:val="21"/>
                <w:highlight w:val="none"/>
                <w:lang w:eastAsia="zh-CN"/>
              </w:rPr>
              <w:t>检测</w:t>
            </w:r>
            <w:r>
              <w:rPr>
                <w:rFonts w:hint="eastAsia" w:ascii="宋体" w:hAnsi="宋体"/>
                <w:color w:val="auto"/>
                <w:kern w:val="0"/>
                <w:szCs w:val="21"/>
                <w:highlight w:val="none"/>
              </w:rPr>
              <w:t>工作所需的劳务费、技术服务费、设备的使用和管理、</w:t>
            </w:r>
            <w:r>
              <w:rPr>
                <w:rFonts w:hint="eastAsia" w:ascii="宋体" w:hAnsi="宋体"/>
                <w:color w:val="auto"/>
                <w:kern w:val="0"/>
                <w:szCs w:val="21"/>
                <w:highlight w:val="none"/>
                <w:lang w:eastAsia="zh-CN"/>
              </w:rPr>
              <w:t>检测</w:t>
            </w:r>
            <w:r>
              <w:rPr>
                <w:rFonts w:hint="eastAsia" w:ascii="宋体" w:hAnsi="宋体"/>
                <w:color w:val="auto"/>
                <w:kern w:val="0"/>
                <w:szCs w:val="21"/>
                <w:highlight w:val="none"/>
              </w:rPr>
              <w:t>和试验费用、办公家具、办公设施、通讯工具、通讯费用、生活用房、生活设施及生活费用、交通工具、保险、税费、利润及协调费等实施工程</w:t>
            </w:r>
            <w:r>
              <w:rPr>
                <w:rFonts w:hint="eastAsia" w:ascii="宋体" w:hAnsi="宋体"/>
                <w:color w:val="auto"/>
                <w:kern w:val="0"/>
                <w:szCs w:val="21"/>
                <w:highlight w:val="none"/>
                <w:lang w:eastAsia="zh-CN"/>
              </w:rPr>
              <w:t>检测</w:t>
            </w:r>
            <w:r>
              <w:rPr>
                <w:rFonts w:hint="eastAsia" w:ascii="宋体" w:hAnsi="宋体"/>
                <w:color w:val="auto"/>
                <w:kern w:val="0"/>
                <w:szCs w:val="21"/>
                <w:highlight w:val="none"/>
              </w:rPr>
              <w:t>所产生的一切费用。比选人除此以外不支付其它费用，竞选人也不得与本项目的承包人发生任何经济关系。</w:t>
            </w:r>
          </w:p>
          <w:p w14:paraId="17FAD542">
            <w:pPr>
              <w:spacing w:line="400" w:lineRule="exact"/>
              <w:ind w:firstLine="420" w:firstLineChars="200"/>
              <w:rPr>
                <w:color w:val="auto"/>
                <w:highlight w:val="none"/>
              </w:rPr>
            </w:pPr>
            <w:r>
              <w:rPr>
                <w:rFonts w:ascii="宋体" w:hAnsi="宋体"/>
                <w:color w:val="auto"/>
                <w:kern w:val="0"/>
                <w:szCs w:val="21"/>
                <w:highlight w:val="none"/>
              </w:rPr>
              <w:t>竞选人的</w:t>
            </w:r>
            <w:r>
              <w:rPr>
                <w:rFonts w:hint="eastAsia" w:ascii="宋体" w:hAnsi="宋体"/>
                <w:color w:val="auto"/>
                <w:kern w:val="0"/>
                <w:szCs w:val="21"/>
                <w:highlight w:val="none"/>
                <w:lang w:eastAsia="zh-CN"/>
              </w:rPr>
              <w:t>检测</w:t>
            </w:r>
            <w:r>
              <w:rPr>
                <w:rFonts w:ascii="宋体" w:hAnsi="宋体"/>
                <w:color w:val="auto"/>
                <w:kern w:val="0"/>
                <w:szCs w:val="21"/>
                <w:highlight w:val="none"/>
              </w:rPr>
              <w:t>报酬包含</w:t>
            </w:r>
            <w:r>
              <w:rPr>
                <w:rFonts w:hint="eastAsia" w:ascii="宋体" w:hAnsi="宋体"/>
                <w:color w:val="auto"/>
                <w:kern w:val="0"/>
                <w:szCs w:val="21"/>
                <w:highlight w:val="none"/>
                <w:lang w:eastAsia="zh-CN"/>
              </w:rPr>
              <w:t>检测</w:t>
            </w:r>
            <w:r>
              <w:rPr>
                <w:rFonts w:ascii="宋体" w:hAnsi="宋体"/>
                <w:color w:val="auto"/>
                <w:kern w:val="0"/>
                <w:szCs w:val="21"/>
                <w:highlight w:val="none"/>
              </w:rPr>
              <w:t>机构按相关规范及要求利用必要的检查、</w:t>
            </w:r>
            <w:r>
              <w:rPr>
                <w:rFonts w:hint="eastAsia" w:ascii="宋体" w:hAnsi="宋体"/>
                <w:color w:val="auto"/>
                <w:kern w:val="0"/>
                <w:szCs w:val="21"/>
                <w:highlight w:val="none"/>
                <w:lang w:eastAsia="zh-CN"/>
              </w:rPr>
              <w:t>检测</w:t>
            </w:r>
            <w:r>
              <w:rPr>
                <w:rFonts w:ascii="宋体" w:hAnsi="宋体"/>
                <w:color w:val="auto"/>
                <w:kern w:val="0"/>
                <w:szCs w:val="21"/>
                <w:highlight w:val="none"/>
              </w:rPr>
              <w:t>手段或委托专业实验单位在</w:t>
            </w:r>
            <w:r>
              <w:rPr>
                <w:rFonts w:hint="eastAsia" w:ascii="宋体" w:hAnsi="宋体"/>
                <w:color w:val="auto"/>
                <w:kern w:val="0"/>
                <w:szCs w:val="21"/>
                <w:highlight w:val="none"/>
                <w:lang w:eastAsia="zh-CN"/>
              </w:rPr>
              <w:t>检测</w:t>
            </w:r>
            <w:r>
              <w:rPr>
                <w:rFonts w:ascii="宋体" w:hAnsi="宋体"/>
                <w:color w:val="auto"/>
                <w:kern w:val="0"/>
                <w:szCs w:val="21"/>
                <w:highlight w:val="none"/>
              </w:rPr>
              <w:t>单位自检的基础上，按比例独立进行平行抽检的相关费用及相应的试验</w:t>
            </w:r>
            <w:r>
              <w:rPr>
                <w:rFonts w:hint="eastAsia" w:ascii="宋体" w:hAnsi="宋体"/>
                <w:color w:val="auto"/>
                <w:kern w:val="0"/>
                <w:szCs w:val="21"/>
                <w:highlight w:val="none"/>
                <w:lang w:eastAsia="zh-CN"/>
              </w:rPr>
              <w:t>检测</w:t>
            </w:r>
            <w:r>
              <w:rPr>
                <w:rFonts w:ascii="宋体" w:hAnsi="宋体"/>
                <w:color w:val="auto"/>
                <w:kern w:val="0"/>
                <w:szCs w:val="21"/>
                <w:highlight w:val="none"/>
              </w:rPr>
              <w:t>费。</w:t>
            </w:r>
          </w:p>
          <w:p w14:paraId="11FCC7A4">
            <w:pPr>
              <w:numPr>
                <w:ilvl w:val="0"/>
                <w:numId w:val="0"/>
              </w:numPr>
              <w:spacing w:line="400" w:lineRule="exact"/>
              <w:ind w:left="0" w:leftChars="0"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4、现场条件</w:t>
            </w:r>
          </w:p>
          <w:p w14:paraId="63A76C3D">
            <w:pPr>
              <w:numPr>
                <w:ilvl w:val="0"/>
                <w:numId w:val="0"/>
              </w:numPr>
              <w:spacing w:line="400" w:lineRule="exact"/>
              <w:ind w:left="0" w:leftChars="0"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检测单位应根据工程范围内及周边的现有地方路网和现场情况，以及施工期间各路网及交通、航运变化情况，根据现场考察情况、地勘资料，结合总体平面布置，对施工单位施工过程中的进场道路和施工便道、栈桥布设、行车干扰及任何其它相关情况采用相应的检测方法及措施予以控制、协调，相关费用包含在检测费竞选总报价中。</w:t>
            </w:r>
          </w:p>
          <w:p w14:paraId="78750064">
            <w:pPr>
              <w:numPr>
                <w:ilvl w:val="0"/>
                <w:numId w:val="0"/>
              </w:numPr>
              <w:spacing w:line="400" w:lineRule="exact"/>
              <w:ind w:firstLine="420" w:firstLineChars="200"/>
              <w:rPr>
                <w:rFonts w:hint="default" w:ascii="宋体" w:hAnsi="宋体"/>
                <w:color w:val="auto"/>
                <w:kern w:val="0"/>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5、</w:t>
            </w:r>
            <w:r>
              <w:rPr>
                <w:rFonts w:hint="default" w:ascii="宋体" w:hAnsi="宋体"/>
                <w:color w:val="auto"/>
                <w:kern w:val="0"/>
                <w:szCs w:val="21"/>
                <w:highlight w:val="none"/>
                <w:lang w:val="en-US" w:eastAsia="zh-CN"/>
              </w:rPr>
              <w:t>结算原则</w:t>
            </w:r>
          </w:p>
          <w:p w14:paraId="6089CF45">
            <w:pPr>
              <w:spacing w:line="400" w:lineRule="exact"/>
              <w:ind w:firstLine="420" w:firstLineChars="200"/>
              <w:rPr>
                <w:rFonts w:hint="default"/>
                <w:color w:val="auto"/>
                <w:highlight w:val="none"/>
                <w:lang w:val="en-US" w:eastAsia="zh-CN"/>
              </w:rPr>
            </w:pPr>
            <w:r>
              <w:rPr>
                <w:rFonts w:hint="default" w:ascii="宋体" w:hAnsi="宋体"/>
                <w:color w:val="auto"/>
                <w:kern w:val="0"/>
                <w:szCs w:val="21"/>
                <w:highlight w:val="none"/>
                <w:lang w:val="en-US" w:eastAsia="zh-CN"/>
              </w:rPr>
              <w:t>本项目</w:t>
            </w:r>
            <w:r>
              <w:rPr>
                <w:rFonts w:hint="eastAsia" w:ascii="宋体" w:hAnsi="宋体"/>
                <w:color w:val="auto"/>
                <w:kern w:val="0"/>
                <w:szCs w:val="21"/>
                <w:highlight w:val="none"/>
                <w:lang w:val="en-US" w:eastAsia="zh-CN"/>
              </w:rPr>
              <w:t>检测</w:t>
            </w:r>
            <w:r>
              <w:rPr>
                <w:rFonts w:hint="default" w:ascii="宋体" w:hAnsi="宋体"/>
                <w:color w:val="auto"/>
                <w:kern w:val="0"/>
                <w:szCs w:val="21"/>
                <w:highlight w:val="none"/>
                <w:lang w:val="en-US" w:eastAsia="zh-CN"/>
              </w:rPr>
              <w:t>服务费结算价=</w:t>
            </w:r>
            <w:r>
              <w:rPr>
                <w:rFonts w:hint="eastAsia" w:asciiTheme="minorEastAsia" w:hAnsiTheme="minorEastAsia" w:eastAsiaTheme="minorEastAsia" w:cstheme="minorEastAsia"/>
                <w:color w:val="auto"/>
                <w:szCs w:val="21"/>
                <w:highlight w:val="none"/>
              </w:rPr>
              <w:t>固定</w:t>
            </w:r>
            <w:r>
              <w:rPr>
                <w:rFonts w:hint="eastAsia" w:ascii="宋体" w:hAnsi="宋体"/>
                <w:color w:val="auto"/>
                <w:kern w:val="0"/>
                <w:szCs w:val="21"/>
                <w:highlight w:val="none"/>
              </w:rPr>
              <w:t>竞选</w:t>
            </w:r>
            <w:r>
              <w:rPr>
                <w:rFonts w:hint="eastAsia" w:asciiTheme="minorEastAsia" w:hAnsiTheme="minorEastAsia" w:eastAsiaTheme="minorEastAsia" w:cstheme="minorEastAsia"/>
                <w:color w:val="auto"/>
                <w:szCs w:val="21"/>
                <w:highlight w:val="none"/>
              </w:rPr>
              <w:t>报价</w:t>
            </w:r>
            <w:r>
              <w:rPr>
                <w:rFonts w:hint="default" w:ascii="宋体" w:hAnsi="宋体"/>
                <w:color w:val="auto"/>
                <w:kern w:val="0"/>
                <w:szCs w:val="21"/>
                <w:highlight w:val="none"/>
                <w:lang w:val="en-US" w:eastAsia="zh-CN"/>
              </w:rPr>
              <w:t>。</w:t>
            </w:r>
          </w:p>
        </w:tc>
      </w:tr>
      <w:tr w14:paraId="1A6FE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CA34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6F42623C">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有效期</w:t>
            </w:r>
          </w:p>
        </w:tc>
        <w:tc>
          <w:tcPr>
            <w:tcW w:w="6919" w:type="dxa"/>
            <w:vAlign w:val="center"/>
          </w:tcPr>
          <w:p w14:paraId="23EBF110">
            <w:pPr>
              <w:snapToGrid w:val="0"/>
              <w:spacing w:line="400" w:lineRule="exact"/>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rPr>
              <w:t>竞标文件</w:t>
            </w:r>
            <w:r>
              <w:rPr>
                <w:rFonts w:ascii="宋体" w:hAnsi="宋体"/>
                <w:color w:val="auto"/>
                <w:szCs w:val="21"/>
                <w:highlight w:val="none"/>
              </w:rPr>
              <w:t>截止日起计算）</w:t>
            </w:r>
          </w:p>
        </w:tc>
      </w:tr>
      <w:tr w14:paraId="3CFED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3B6AC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353DC1F3">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保证金</w:t>
            </w:r>
          </w:p>
        </w:tc>
        <w:tc>
          <w:tcPr>
            <w:tcW w:w="6919" w:type="dxa"/>
            <w:vAlign w:val="center"/>
          </w:tcPr>
          <w:p w14:paraId="78822E48">
            <w:pPr>
              <w:widowControl w:val="0"/>
              <w:spacing w:line="360" w:lineRule="auto"/>
              <w:ind w:firstLine="420" w:firstLineChars="200"/>
              <w:jc w:val="left"/>
              <w:rPr>
                <w:rFonts w:hint="eastAsia" w:eastAsia="宋体"/>
                <w:color w:val="auto"/>
                <w:highlight w:val="none"/>
                <w:lang w:eastAsia="zh-CN"/>
              </w:rPr>
            </w:pPr>
            <w:r>
              <w:rPr>
                <w:rFonts w:hint="eastAsia" w:ascii="宋体" w:hAnsi="宋体" w:cs="宋体"/>
                <w:color w:val="auto"/>
                <w:highlight w:val="none"/>
                <w:lang w:val="en-US" w:eastAsia="zh-CN"/>
              </w:rPr>
              <w:t>无。</w:t>
            </w:r>
          </w:p>
        </w:tc>
      </w:tr>
      <w:tr w14:paraId="20A7C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083AC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631E35F6">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是否允许递交</w:t>
            </w:r>
          </w:p>
          <w:p w14:paraId="68CAD245">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备选</w:t>
            </w:r>
            <w:r>
              <w:rPr>
                <w:rFonts w:hint="eastAsia" w:ascii="宋体" w:hAnsi="宋体"/>
                <w:color w:val="auto"/>
                <w:kern w:val="0"/>
                <w:szCs w:val="21"/>
                <w:highlight w:val="none"/>
              </w:rPr>
              <w:t>竞标</w:t>
            </w:r>
            <w:r>
              <w:rPr>
                <w:rFonts w:ascii="宋体" w:hAnsi="宋体"/>
                <w:color w:val="auto"/>
                <w:kern w:val="0"/>
                <w:szCs w:val="21"/>
                <w:highlight w:val="none"/>
              </w:rPr>
              <w:t>方案</w:t>
            </w:r>
          </w:p>
        </w:tc>
        <w:tc>
          <w:tcPr>
            <w:tcW w:w="6919" w:type="dxa"/>
            <w:vAlign w:val="center"/>
          </w:tcPr>
          <w:p w14:paraId="34D8E8C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428E4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D4FFC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7F743F70">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竞标文件格式要求</w:t>
            </w:r>
          </w:p>
        </w:tc>
        <w:tc>
          <w:tcPr>
            <w:tcW w:w="6919" w:type="dxa"/>
            <w:vAlign w:val="center"/>
          </w:tcPr>
          <w:p w14:paraId="7C9466B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编制竞标文件时不得对第六章“竞标文件格式”的相应要素作实质性修改，否则由评标委员会作否决竞标处理。</w:t>
            </w:r>
          </w:p>
        </w:tc>
      </w:tr>
      <w:tr w14:paraId="65331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5D197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22CD02A0">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919" w:type="dxa"/>
            <w:vAlign w:val="center"/>
          </w:tcPr>
          <w:p w14:paraId="4EF2016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标文件应用不褪色的材料书写或打印，并由竞标人的法定代表人或其委托代理人在竞争性比选文件规定的位置按竞争性比选文件要求签名或盖章、盖单位法人章。委托代理人签名的，竞标文件应附法定代表人签署的授权委托书。竞标文件应尽量避免涂改、行间插字或删除。如果出现上述情况，改动之处应加盖单位法人章或由竞标人的法定代表人或其授权的代理人签名确认。</w:t>
            </w:r>
          </w:p>
          <w:p w14:paraId="44AF4411">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5CBCB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18626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6346C32C">
            <w:pPr>
              <w:keepNext w:val="0"/>
              <w:keepLines w:val="0"/>
              <w:pageBreakBefore w:val="0"/>
              <w:widowControl w:val="0"/>
              <w:kinsoku/>
              <w:wordWrap/>
              <w:overflowPunct/>
              <w:topLinePunct w:val="0"/>
              <w:bidi w:val="0"/>
              <w:snapToGrid w:val="0"/>
              <w:spacing w:line="240" w:lineRule="auto"/>
              <w:textAlignment w:val="auto"/>
              <w:rPr>
                <w:rFonts w:ascii="宋体" w:hAnsi="宋体"/>
                <w:color w:val="auto"/>
                <w:spacing w:val="-6"/>
                <w:kern w:val="0"/>
                <w:szCs w:val="21"/>
                <w:highlight w:val="none"/>
              </w:rPr>
            </w:pPr>
            <w:r>
              <w:rPr>
                <w:rFonts w:hint="eastAsia" w:ascii="宋体" w:hAnsi="宋体"/>
                <w:color w:val="auto"/>
                <w:spacing w:val="-6"/>
                <w:kern w:val="0"/>
                <w:szCs w:val="21"/>
                <w:highlight w:val="none"/>
              </w:rPr>
              <w:t>竞标文件</w:t>
            </w:r>
            <w:r>
              <w:rPr>
                <w:rFonts w:ascii="宋体" w:hAnsi="宋体"/>
                <w:color w:val="auto"/>
                <w:spacing w:val="-6"/>
                <w:kern w:val="0"/>
                <w:szCs w:val="21"/>
                <w:highlight w:val="none"/>
              </w:rPr>
              <w:t>的份数</w:t>
            </w:r>
          </w:p>
        </w:tc>
        <w:tc>
          <w:tcPr>
            <w:tcW w:w="6919" w:type="dxa"/>
            <w:vAlign w:val="center"/>
          </w:tcPr>
          <w:p w14:paraId="21EDDFF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竞标文件</w:t>
            </w:r>
            <w:r>
              <w:rPr>
                <w:rFonts w:ascii="宋体" w:hAnsi="宋体"/>
                <w:color w:val="auto"/>
                <w:kern w:val="0"/>
                <w:szCs w:val="21"/>
                <w:highlight w:val="none"/>
              </w:rPr>
              <w:t>正本</w:t>
            </w:r>
            <w:r>
              <w:rPr>
                <w:rFonts w:hint="eastAsia" w:ascii="宋体" w:hAnsi="宋体"/>
                <w:color w:val="auto"/>
                <w:kern w:val="0"/>
                <w:szCs w:val="21"/>
                <w:highlight w:val="none"/>
              </w:rPr>
              <w:t>1份、副本2份，电子版形式（</w:t>
            </w:r>
            <w:r>
              <w:rPr>
                <w:rFonts w:hint="eastAsia" w:ascii="宋体" w:hAnsi="宋体"/>
                <w:color w:val="auto"/>
                <w:kern w:val="0"/>
                <w:szCs w:val="21"/>
                <w:highlight w:val="none"/>
                <w:lang w:val="en-US" w:eastAsia="zh-CN"/>
              </w:rPr>
              <w:t>包含所有</w:t>
            </w:r>
            <w:r>
              <w:rPr>
                <w:rFonts w:hint="eastAsia" w:ascii="宋体" w:hAnsi="宋体"/>
                <w:color w:val="auto"/>
                <w:kern w:val="0"/>
                <w:szCs w:val="21"/>
                <w:highlight w:val="none"/>
              </w:rPr>
              <w:t>竞标文件</w:t>
            </w:r>
            <w:r>
              <w:rPr>
                <w:rFonts w:hint="eastAsia" w:ascii="宋体" w:hAnsi="宋体"/>
                <w:color w:val="auto"/>
                <w:kern w:val="0"/>
                <w:szCs w:val="21"/>
                <w:highlight w:val="none"/>
                <w:lang w:val="en-US" w:eastAsia="zh-CN"/>
              </w:rPr>
              <w:t>签字盖章后的扫描件</w:t>
            </w:r>
            <w:r>
              <w:rPr>
                <w:rFonts w:hint="eastAsia" w:ascii="宋体" w:hAnsi="宋体"/>
                <w:color w:val="auto"/>
                <w:kern w:val="0"/>
                <w:szCs w:val="21"/>
                <w:highlight w:val="none"/>
              </w:rPr>
              <w:t>）U盘1份。当副本和正本不一致时，以正本为准。否则由评标委员会作否决竞标处理。</w:t>
            </w:r>
          </w:p>
        </w:tc>
      </w:tr>
      <w:tr w14:paraId="4190D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12392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shd w:val="clear" w:color="auto" w:fill="auto"/>
            <w:vAlign w:val="center"/>
          </w:tcPr>
          <w:p w14:paraId="287E9A7E">
            <w:pPr>
              <w:keepNext w:val="0"/>
              <w:keepLines w:val="0"/>
              <w:pageBreakBefore w:val="0"/>
              <w:widowControl w:val="0"/>
              <w:kinsoku/>
              <w:wordWrap/>
              <w:overflowPunct/>
              <w:topLinePunct w:val="0"/>
              <w:bidi w:val="0"/>
              <w:snapToGrid w:val="0"/>
              <w:spacing w:line="240" w:lineRule="auto"/>
              <w:jc w:val="center"/>
              <w:textAlignment w:val="auto"/>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装订要求</w:t>
            </w:r>
          </w:p>
        </w:tc>
        <w:tc>
          <w:tcPr>
            <w:tcW w:w="6919" w:type="dxa"/>
            <w:shd w:val="clear" w:color="auto" w:fill="auto"/>
            <w:vAlign w:val="center"/>
          </w:tcPr>
          <w:p w14:paraId="68C1EA5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本工程技术部分采用明标评审，应将</w:t>
            </w:r>
            <w:r>
              <w:rPr>
                <w:rFonts w:hint="eastAsia" w:ascii="宋体" w:hAnsi="宋体"/>
                <w:color w:val="auto"/>
                <w:szCs w:val="21"/>
                <w:highlight w:val="none"/>
              </w:rPr>
              <w:t>竞标</w:t>
            </w:r>
            <w:r>
              <w:rPr>
                <w:rFonts w:ascii="宋体" w:hAnsi="宋体"/>
                <w:color w:val="auto"/>
                <w:szCs w:val="21"/>
                <w:highlight w:val="none"/>
              </w:rPr>
              <w:t>函部分、技术部分、</w:t>
            </w:r>
            <w:r>
              <w:rPr>
                <w:rFonts w:hint="eastAsia" w:ascii="宋体" w:hAnsi="宋体"/>
                <w:color w:val="auto"/>
                <w:szCs w:val="21"/>
                <w:highlight w:val="none"/>
              </w:rPr>
              <w:t>资格审查部分</w:t>
            </w:r>
            <w:r>
              <w:rPr>
                <w:rFonts w:ascii="宋体" w:hAnsi="宋体"/>
                <w:color w:val="auto"/>
                <w:szCs w:val="21"/>
                <w:highlight w:val="none"/>
              </w:rPr>
              <w:t>各自分别装订成册。</w:t>
            </w:r>
          </w:p>
          <w:p w14:paraId="654C1DB8">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装订</w:t>
            </w:r>
          </w:p>
          <w:p w14:paraId="53D2F01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rPr>
              <w:t>竞标</w:t>
            </w:r>
            <w:r>
              <w:rPr>
                <w:rFonts w:ascii="宋体" w:hAnsi="宋体"/>
                <w:color w:val="auto"/>
                <w:szCs w:val="21"/>
                <w:highlight w:val="none"/>
              </w:rPr>
              <w:t>函部分的装订要求</w:t>
            </w:r>
          </w:p>
          <w:p w14:paraId="397D7E7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6035564F">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）技术部分</w:t>
            </w:r>
            <w:r>
              <w:rPr>
                <w:rFonts w:hint="eastAsia" w:ascii="宋体" w:hAnsi="宋体"/>
                <w:color w:val="auto"/>
                <w:szCs w:val="21"/>
                <w:highlight w:val="none"/>
              </w:rPr>
              <w:t>（如有）</w:t>
            </w:r>
            <w:r>
              <w:rPr>
                <w:rFonts w:ascii="宋体" w:hAnsi="宋体"/>
                <w:color w:val="auto"/>
                <w:szCs w:val="21"/>
                <w:highlight w:val="none"/>
              </w:rPr>
              <w:t>的装订要求</w:t>
            </w:r>
          </w:p>
          <w:p w14:paraId="74ED78C3">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，逐页标注页码。</w:t>
            </w:r>
          </w:p>
          <w:p w14:paraId="3BB3D7B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注：技术部分采用明标评审时，不因形式评审的问题（包括但不限于封面、页码、目录、字体、格式等）而被否决竞标。</w:t>
            </w:r>
          </w:p>
          <w:p w14:paraId="676AA9D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（技术方案原则上不超过</w:t>
            </w:r>
            <w:r>
              <w:rPr>
                <w:rFonts w:hint="eastAsia" w:ascii="宋体" w:hAnsi="宋体"/>
                <w:color w:val="auto"/>
                <w:szCs w:val="21"/>
                <w:highlight w:val="none"/>
                <w:u w:val="single"/>
              </w:rPr>
              <w:t xml:space="preserve"> 200 </w:t>
            </w:r>
            <w:r>
              <w:rPr>
                <w:rFonts w:hint="eastAsia" w:ascii="宋体" w:hAnsi="宋体"/>
                <w:color w:val="auto"/>
                <w:szCs w:val="21"/>
                <w:highlight w:val="none"/>
              </w:rPr>
              <w:t>页。）</w:t>
            </w:r>
          </w:p>
          <w:p w14:paraId="22567A56">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14:paraId="6DE0B5AE">
            <w:pPr>
              <w:spacing w:line="400" w:lineRule="exact"/>
              <w:ind w:firstLine="420" w:firstLineChars="200"/>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w:t>
            </w:r>
            <w:r>
              <w:rPr>
                <w:rFonts w:ascii="宋体" w:hAnsi="宋体"/>
                <w:color w:val="auto"/>
                <w:kern w:val="0"/>
                <w:szCs w:val="21"/>
                <w:highlight w:val="none"/>
              </w:rPr>
              <w:t>码。</w:t>
            </w:r>
          </w:p>
        </w:tc>
      </w:tr>
      <w:tr w14:paraId="62454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4162F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shd w:val="clear" w:color="auto" w:fill="auto"/>
            <w:vAlign w:val="center"/>
          </w:tcPr>
          <w:p w14:paraId="2065397B">
            <w:pPr>
              <w:keepNext w:val="0"/>
              <w:keepLines w:val="0"/>
              <w:pageBreakBefore w:val="0"/>
              <w:widowControl w:val="0"/>
              <w:kinsoku/>
              <w:wordWrap/>
              <w:overflowPunct/>
              <w:topLinePunct w:val="0"/>
              <w:bidi w:val="0"/>
              <w:snapToGrid w:val="0"/>
              <w:spacing w:line="240" w:lineRule="auto"/>
              <w:jc w:val="center"/>
              <w:textAlignment w:val="auto"/>
              <w:rPr>
                <w:rFonts w:ascii="宋体" w:hAnsi="宋体" w:eastAsia="宋体" w:cs="Times New Roman"/>
                <w:color w:val="auto"/>
                <w:spacing w:val="-6"/>
                <w:kern w:val="0"/>
                <w:sz w:val="21"/>
                <w:szCs w:val="21"/>
                <w:highlight w:val="none"/>
                <w:lang w:val="en-US" w:eastAsia="zh-CN" w:bidi="ar-SA"/>
              </w:rPr>
            </w:pPr>
            <w:r>
              <w:rPr>
                <w:rFonts w:hint="eastAsia" w:ascii="宋体" w:hAnsi="宋体"/>
                <w:color w:val="auto"/>
                <w:spacing w:val="-6"/>
                <w:kern w:val="0"/>
                <w:szCs w:val="21"/>
                <w:highlight w:val="none"/>
              </w:rPr>
              <w:t>竞标文件</w:t>
            </w:r>
            <w:r>
              <w:rPr>
                <w:rFonts w:ascii="宋体" w:hAnsi="宋体"/>
                <w:color w:val="auto"/>
                <w:spacing w:val="-6"/>
                <w:kern w:val="0"/>
                <w:szCs w:val="21"/>
                <w:highlight w:val="none"/>
              </w:rPr>
              <w:t>的密封</w:t>
            </w:r>
          </w:p>
        </w:tc>
        <w:tc>
          <w:tcPr>
            <w:tcW w:w="6919" w:type="dxa"/>
            <w:shd w:val="clear" w:color="auto" w:fill="auto"/>
            <w:vAlign w:val="center"/>
          </w:tcPr>
          <w:p w14:paraId="3D6EBA9F">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竞标</w:t>
            </w:r>
            <w:r>
              <w:rPr>
                <w:rFonts w:ascii="宋体" w:hAnsi="宋体"/>
                <w:color w:val="auto"/>
                <w:szCs w:val="21"/>
                <w:highlight w:val="none"/>
              </w:rPr>
              <w:t>文件袋使用“</w:t>
            </w:r>
            <w:r>
              <w:rPr>
                <w:rFonts w:hint="eastAsia" w:ascii="宋体" w:hAnsi="宋体"/>
                <w:color w:val="auto"/>
                <w:szCs w:val="21"/>
                <w:highlight w:val="none"/>
              </w:rPr>
              <w:t>竞标</w:t>
            </w:r>
            <w:r>
              <w:rPr>
                <w:rFonts w:ascii="宋体" w:hAnsi="宋体"/>
                <w:color w:val="auto"/>
                <w:szCs w:val="21"/>
                <w:highlight w:val="none"/>
              </w:rPr>
              <w:t>函部分”袋、“技术部分”袋、“</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竞标</w:t>
            </w:r>
            <w:r>
              <w:rPr>
                <w:rFonts w:ascii="宋体" w:hAnsi="宋体"/>
                <w:color w:val="auto"/>
                <w:szCs w:val="21"/>
                <w:highlight w:val="none"/>
              </w:rPr>
              <w:t>文件”大袋。</w:t>
            </w:r>
          </w:p>
          <w:p w14:paraId="569595D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竞标</w:t>
            </w:r>
            <w:r>
              <w:rPr>
                <w:rFonts w:ascii="宋体" w:hAnsi="宋体"/>
                <w:color w:val="auto"/>
                <w:szCs w:val="21"/>
                <w:highlight w:val="none"/>
              </w:rPr>
              <w:t>函部分</w:t>
            </w:r>
            <w:r>
              <w:rPr>
                <w:rFonts w:hint="eastAsia" w:ascii="宋体" w:hAnsi="宋体"/>
                <w:color w:val="auto"/>
                <w:szCs w:val="21"/>
                <w:highlight w:val="none"/>
              </w:rPr>
              <w:t>和电子版形式（</w:t>
            </w:r>
            <w:r>
              <w:rPr>
                <w:rFonts w:hint="eastAsia" w:ascii="宋体" w:hAnsi="宋体"/>
                <w:color w:val="auto"/>
                <w:kern w:val="0"/>
                <w:szCs w:val="21"/>
                <w:highlight w:val="none"/>
              </w:rPr>
              <w:t>U盘</w:t>
            </w:r>
            <w:r>
              <w:rPr>
                <w:rFonts w:hint="eastAsia" w:ascii="宋体" w:hAnsi="宋体"/>
                <w:color w:val="auto"/>
                <w:szCs w:val="21"/>
                <w:highlight w:val="none"/>
              </w:rPr>
              <w:t>）</w:t>
            </w:r>
            <w:r>
              <w:rPr>
                <w:rFonts w:ascii="宋体" w:hAnsi="宋体"/>
                <w:color w:val="auto"/>
                <w:szCs w:val="21"/>
                <w:highlight w:val="none"/>
              </w:rPr>
              <w:t>装入“</w:t>
            </w:r>
            <w:r>
              <w:rPr>
                <w:rFonts w:hint="eastAsia" w:ascii="宋体" w:hAnsi="宋体"/>
                <w:color w:val="auto"/>
                <w:szCs w:val="21"/>
                <w:highlight w:val="none"/>
              </w:rPr>
              <w:t>竞标</w:t>
            </w:r>
            <w:r>
              <w:rPr>
                <w:rFonts w:ascii="宋体" w:hAnsi="宋体"/>
                <w:color w:val="auto"/>
                <w:szCs w:val="21"/>
                <w:highlight w:val="none"/>
              </w:rPr>
              <w:t>函部分”袋中，密封并在袋上加盖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6F9C09A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ascii="宋体" w:hAnsi="宋体"/>
                <w:color w:val="auto"/>
                <w:szCs w:val="21"/>
                <w:highlight w:val="none"/>
              </w:rPr>
              <w:t>本次招标技术部分采用明标评审，技术部分装入</w:t>
            </w:r>
            <w:r>
              <w:rPr>
                <w:rFonts w:hint="eastAsia" w:ascii="宋体" w:hAnsi="宋体"/>
                <w:color w:val="auto"/>
                <w:szCs w:val="21"/>
                <w:highlight w:val="none"/>
              </w:rPr>
              <w:t>“技术部分”袋中，密封</w:t>
            </w:r>
            <w:r>
              <w:rPr>
                <w:rFonts w:ascii="宋体" w:hAnsi="宋体"/>
                <w:color w:val="auto"/>
                <w:szCs w:val="21"/>
                <w:highlight w:val="none"/>
              </w:rPr>
              <w:t>并加盖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30DF640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 资格审查部分装入“资格审查部分”袋中，密封并在袋上加盖竞标人单位法人章。</w:t>
            </w:r>
          </w:p>
          <w:p w14:paraId="38B9BEA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竞标</w:t>
            </w:r>
            <w:r>
              <w:rPr>
                <w:rFonts w:ascii="宋体" w:hAnsi="宋体"/>
                <w:color w:val="auto"/>
                <w:szCs w:val="21"/>
                <w:highlight w:val="none"/>
              </w:rPr>
              <w:t>函部分”、“技术部分”</w:t>
            </w:r>
            <w:r>
              <w:rPr>
                <w:rFonts w:hint="eastAsia" w:ascii="宋体" w:hAnsi="宋体"/>
                <w:color w:val="auto"/>
                <w:szCs w:val="21"/>
                <w:highlight w:val="none"/>
              </w:rPr>
              <w:t>（如有）、“资格审查部分”</w:t>
            </w:r>
            <w:r>
              <w:rPr>
                <w:rFonts w:ascii="宋体" w:hAnsi="宋体"/>
                <w:color w:val="auto"/>
                <w:szCs w:val="21"/>
                <w:highlight w:val="none"/>
              </w:rPr>
              <w:t>等小袋装入“</w:t>
            </w:r>
            <w:r>
              <w:rPr>
                <w:rFonts w:hint="eastAsia" w:ascii="宋体" w:hAnsi="宋体"/>
                <w:color w:val="auto"/>
                <w:szCs w:val="21"/>
                <w:highlight w:val="none"/>
              </w:rPr>
              <w:t>竞标</w:t>
            </w:r>
            <w:r>
              <w:rPr>
                <w:rFonts w:ascii="宋体" w:hAnsi="宋体"/>
                <w:color w:val="auto"/>
                <w:szCs w:val="21"/>
                <w:highlight w:val="none"/>
              </w:rPr>
              <w:t>文件”大袋中，密封并在大袋上加盖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竞标</w:t>
            </w:r>
            <w:r>
              <w:rPr>
                <w:rFonts w:ascii="宋体" w:hAnsi="宋体"/>
                <w:color w:val="auto"/>
                <w:szCs w:val="21"/>
                <w:highlight w:val="none"/>
              </w:rPr>
              <w:t>文件”大袋应按本表第4.1.2项的规定写明相应内容。</w:t>
            </w:r>
            <w:r>
              <w:rPr>
                <w:rFonts w:hint="eastAsia" w:ascii="宋体" w:hAnsi="宋体"/>
                <w:color w:val="auto"/>
                <w:szCs w:val="21"/>
                <w:highlight w:val="none"/>
              </w:rPr>
              <w:t>一个大袋装不下的，可使用多个大袋分册封装。大袋未按要求密封的，招标人或代理机构应该拒收。</w:t>
            </w:r>
          </w:p>
          <w:p w14:paraId="58CE9472">
            <w:pPr>
              <w:adjustRightInd w:val="0"/>
              <w:snapToGrid w:val="0"/>
              <w:spacing w:line="400" w:lineRule="exact"/>
              <w:ind w:firstLine="420" w:firstLineChars="20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注：“竞标函部分”袋、“技术部分”袋、“资格审查部分”袋只为方便竞标文件分装，不作为判定密封合格与否的条件。但为了方便开标，请各竞标人主动配合，按要求分装。</w:t>
            </w:r>
          </w:p>
        </w:tc>
      </w:tr>
      <w:tr w14:paraId="522D4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8A94C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4BF6413A">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封套上写明</w:t>
            </w:r>
          </w:p>
        </w:tc>
        <w:tc>
          <w:tcPr>
            <w:tcW w:w="6919" w:type="dxa"/>
            <w:vAlign w:val="center"/>
          </w:tcPr>
          <w:p w14:paraId="7AEAC4AA">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rPr>
              <w:t>竞标文件</w:t>
            </w:r>
            <w:r>
              <w:rPr>
                <w:rFonts w:ascii="宋体" w:hAnsi="宋体"/>
                <w:color w:val="auto"/>
                <w:kern w:val="0"/>
                <w:szCs w:val="21"/>
                <w:highlight w:val="none"/>
              </w:rPr>
              <w:t>”大袋封套上写明如下内容：</w:t>
            </w:r>
          </w:p>
          <w:p w14:paraId="12B0193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24E2A61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竞标人名称：</w:t>
            </w:r>
            <w:r>
              <w:rPr>
                <w:rFonts w:hint="eastAsia" w:ascii="宋体" w:hAnsi="宋体"/>
                <w:color w:val="auto"/>
                <w:kern w:val="0"/>
                <w:szCs w:val="21"/>
                <w:highlight w:val="none"/>
                <w:u w:val="single"/>
              </w:rPr>
              <w:t xml:space="preserve">            </w:t>
            </w:r>
          </w:p>
          <w:p w14:paraId="0BBD166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rPr>
              <w:t>竞标文件</w:t>
            </w:r>
          </w:p>
          <w:p w14:paraId="74CC1AD1">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37636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7638B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3B1F9EA8">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rPr>
              <w:t>竞标文件</w:t>
            </w:r>
            <w:r>
              <w:rPr>
                <w:rFonts w:ascii="宋体" w:hAnsi="宋体"/>
                <w:color w:val="auto"/>
                <w:kern w:val="0"/>
                <w:szCs w:val="21"/>
                <w:highlight w:val="none"/>
              </w:rPr>
              <w:t>地点</w:t>
            </w:r>
          </w:p>
        </w:tc>
        <w:tc>
          <w:tcPr>
            <w:tcW w:w="6919" w:type="dxa"/>
            <w:vAlign w:val="center"/>
          </w:tcPr>
          <w:p w14:paraId="6C13BF3A">
            <w:pPr>
              <w:snapToGrid w:val="0"/>
              <w:spacing w:line="400" w:lineRule="exact"/>
              <w:ind w:firstLine="422" w:firstLineChars="200"/>
              <w:rPr>
                <w:rFonts w:ascii="宋体" w:hAnsi="宋体"/>
                <w:bCs/>
                <w:i/>
                <w:color w:val="auto"/>
                <w:szCs w:val="21"/>
                <w:highlight w:val="none"/>
              </w:rPr>
            </w:pPr>
            <w:r>
              <w:rPr>
                <w:rFonts w:hint="eastAsia" w:ascii="宋体" w:hAnsi="宋体" w:cs="宋体"/>
                <w:b/>
                <w:snapToGrid w:val="0"/>
                <w:color w:val="auto"/>
                <w:kern w:val="0"/>
                <w:highlight w:val="none"/>
                <w:u w:val="single"/>
                <w:lang w:eastAsia="zh-CN"/>
              </w:rPr>
              <w:t>线下指定开标地点：南岸区公共资源交易平台（汇南公司）（地址：重庆市南岸区茶园新区广福大道12号行政中心B区2号楼4楼）</w:t>
            </w:r>
          </w:p>
        </w:tc>
      </w:tr>
      <w:tr w14:paraId="64549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2E2A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69612EA1">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rPr>
              <w:t>竞标文件</w:t>
            </w:r>
          </w:p>
        </w:tc>
        <w:tc>
          <w:tcPr>
            <w:tcW w:w="6919" w:type="dxa"/>
            <w:vAlign w:val="center"/>
          </w:tcPr>
          <w:p w14:paraId="73976283">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rPr>
              <w:t>否</w:t>
            </w:r>
            <w:r>
              <w:rPr>
                <w:rFonts w:hint="eastAsia" w:ascii="宋体" w:hAnsi="宋体"/>
                <w:color w:val="auto"/>
                <w:kern w:val="0"/>
                <w:szCs w:val="21"/>
                <w:highlight w:val="none"/>
                <w:lang w:eastAsia="zh-CN"/>
              </w:rPr>
              <w:t>。</w:t>
            </w:r>
          </w:p>
        </w:tc>
      </w:tr>
      <w:tr w14:paraId="2446F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8765C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7B2804B1">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开标时间和</w:t>
            </w:r>
          </w:p>
          <w:p w14:paraId="7056F774">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地点</w:t>
            </w:r>
          </w:p>
        </w:tc>
        <w:tc>
          <w:tcPr>
            <w:tcW w:w="6919" w:type="dxa"/>
            <w:vAlign w:val="center"/>
          </w:tcPr>
          <w:p w14:paraId="383B62B7">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rPr>
              <w:t>开标时间：同</w:t>
            </w:r>
            <w:r>
              <w:rPr>
                <w:rFonts w:hint="eastAsia" w:ascii="宋体" w:hAnsi="宋体"/>
                <w:color w:val="auto"/>
                <w:kern w:val="0"/>
                <w:szCs w:val="21"/>
                <w:highlight w:val="none"/>
              </w:rPr>
              <w:t>竞标</w:t>
            </w:r>
            <w:r>
              <w:rPr>
                <w:rFonts w:ascii="宋体" w:hAnsi="宋体"/>
                <w:color w:val="auto"/>
                <w:kern w:val="0"/>
                <w:szCs w:val="21"/>
                <w:highlight w:val="none"/>
              </w:rPr>
              <w:t>截止时间</w:t>
            </w:r>
            <w:r>
              <w:rPr>
                <w:rFonts w:hint="eastAsia" w:ascii="宋体" w:hAnsi="宋体"/>
                <w:color w:val="auto"/>
                <w:kern w:val="0"/>
                <w:szCs w:val="21"/>
                <w:highlight w:val="none"/>
                <w:lang w:eastAsia="zh-CN"/>
              </w:rPr>
              <w:t>。</w:t>
            </w:r>
          </w:p>
          <w:p w14:paraId="2D7DC35B">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s="宋体"/>
                <w:b/>
                <w:snapToGrid w:val="0"/>
                <w:color w:val="auto"/>
                <w:kern w:val="0"/>
                <w:highlight w:val="none"/>
                <w:u w:val="single"/>
                <w:lang w:eastAsia="zh-CN"/>
              </w:rPr>
              <w:t>南岸区公共资源交易平台（汇南公司）（地址：重庆市南岸区茶园新区广福大道12号行政中心B区2号楼4楼）</w:t>
            </w:r>
          </w:p>
        </w:tc>
      </w:tr>
      <w:tr w14:paraId="0366C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6296F9">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07441F2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szCs w:val="21"/>
                <w:highlight w:val="none"/>
              </w:rPr>
            </w:pPr>
            <w:r>
              <w:rPr>
                <w:rFonts w:ascii="宋体" w:hAnsi="宋体"/>
                <w:color w:val="auto"/>
                <w:szCs w:val="21"/>
                <w:highlight w:val="none"/>
              </w:rPr>
              <w:t>开标程序</w:t>
            </w:r>
          </w:p>
        </w:tc>
        <w:tc>
          <w:tcPr>
            <w:tcW w:w="6919" w:type="dxa"/>
            <w:vAlign w:val="center"/>
          </w:tcPr>
          <w:p w14:paraId="79DA02E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022FAE7D">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rPr>
              <w:t>竞标人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w:t>
            </w:r>
            <w:r>
              <w:rPr>
                <w:rFonts w:hint="eastAsia" w:ascii="宋体" w:hAnsi="宋体"/>
                <w:color w:val="auto"/>
                <w:szCs w:val="21"/>
                <w:highlight w:val="none"/>
                <w:lang w:val="en-US" w:eastAsia="zh-CN"/>
              </w:rPr>
              <w:t>书</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6310C4C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0786735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423C59B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w:t>
            </w:r>
            <w:r>
              <w:rPr>
                <w:rFonts w:hint="eastAsia" w:ascii="宋体" w:hAnsi="宋体"/>
                <w:color w:val="auto"/>
                <w:szCs w:val="21"/>
                <w:highlight w:val="none"/>
              </w:rPr>
              <w:t>竞标</w:t>
            </w:r>
            <w:r>
              <w:rPr>
                <w:rFonts w:ascii="宋体" w:hAnsi="宋体"/>
                <w:color w:val="auto"/>
                <w:szCs w:val="21"/>
                <w:highlight w:val="none"/>
              </w:rPr>
              <w:t>截止时间前递交</w:t>
            </w:r>
            <w:r>
              <w:rPr>
                <w:rFonts w:hint="eastAsia" w:ascii="宋体" w:hAnsi="宋体"/>
                <w:color w:val="auto"/>
                <w:szCs w:val="21"/>
                <w:highlight w:val="none"/>
              </w:rPr>
              <w:t>竞标文件</w:t>
            </w:r>
            <w:r>
              <w:rPr>
                <w:rFonts w:ascii="宋体" w:hAnsi="宋体"/>
                <w:color w:val="auto"/>
                <w:szCs w:val="21"/>
                <w:highlight w:val="none"/>
              </w:rPr>
              <w:t>的</w:t>
            </w:r>
            <w:r>
              <w:rPr>
                <w:rFonts w:hint="eastAsia" w:ascii="宋体" w:hAnsi="宋体"/>
                <w:color w:val="auto"/>
                <w:szCs w:val="21"/>
                <w:highlight w:val="none"/>
              </w:rPr>
              <w:t>竞标人</w:t>
            </w:r>
            <w:r>
              <w:rPr>
                <w:rFonts w:ascii="宋体" w:hAnsi="宋体"/>
                <w:color w:val="auto"/>
                <w:szCs w:val="21"/>
                <w:highlight w:val="none"/>
              </w:rPr>
              <w:t>名称</w:t>
            </w:r>
            <w:r>
              <w:rPr>
                <w:rFonts w:hint="eastAsia" w:ascii="宋体" w:hAnsi="宋体"/>
                <w:color w:val="auto"/>
                <w:szCs w:val="21"/>
                <w:highlight w:val="none"/>
              </w:rPr>
              <w:t>。</w:t>
            </w:r>
          </w:p>
          <w:p w14:paraId="00092EC5">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竞标文件的密封检查：竞标人可对自己的竞标文件封装情况进行检查，以确认其竞标文件密封完好。</w:t>
            </w:r>
          </w:p>
          <w:p w14:paraId="1221921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汇总竞标保证金交纳情况</w:t>
            </w:r>
          </w:p>
          <w:p w14:paraId="6B65D5E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w:t>
            </w:r>
          </w:p>
          <w:p w14:paraId="387BD1A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rPr>
              <w:t>竞标文件</w:t>
            </w:r>
            <w:r>
              <w:rPr>
                <w:rFonts w:ascii="宋体" w:hAnsi="宋体"/>
                <w:color w:val="auto"/>
                <w:szCs w:val="21"/>
                <w:highlight w:val="none"/>
              </w:rPr>
              <w:t>。开启</w:t>
            </w:r>
            <w:r>
              <w:rPr>
                <w:rFonts w:hint="eastAsia" w:ascii="宋体" w:hAnsi="宋体"/>
                <w:color w:val="auto"/>
                <w:szCs w:val="21"/>
                <w:highlight w:val="none"/>
              </w:rPr>
              <w:t>竞标文件</w:t>
            </w:r>
            <w:r>
              <w:rPr>
                <w:rFonts w:ascii="宋体" w:hAnsi="宋体"/>
                <w:color w:val="auto"/>
                <w:szCs w:val="21"/>
                <w:highlight w:val="none"/>
              </w:rPr>
              <w:t>大袋及</w:t>
            </w:r>
            <w:r>
              <w:rPr>
                <w:rFonts w:hint="eastAsia" w:ascii="宋体" w:hAnsi="宋体"/>
                <w:color w:val="auto"/>
                <w:szCs w:val="21"/>
                <w:highlight w:val="none"/>
              </w:rPr>
              <w:t>竞标函</w:t>
            </w:r>
            <w:r>
              <w:rPr>
                <w:rFonts w:ascii="宋体" w:hAnsi="宋体"/>
                <w:color w:val="auto"/>
                <w:szCs w:val="21"/>
                <w:highlight w:val="none"/>
              </w:rPr>
              <w:t>部分袋、技术部分袋</w:t>
            </w:r>
            <w:r>
              <w:rPr>
                <w:rFonts w:hint="eastAsia" w:ascii="宋体" w:hAnsi="宋体"/>
                <w:color w:val="auto"/>
                <w:szCs w:val="21"/>
                <w:highlight w:val="none"/>
              </w:rPr>
              <w:t>、资格审查部分袋</w:t>
            </w:r>
            <w:r>
              <w:rPr>
                <w:rFonts w:ascii="宋体" w:hAnsi="宋体"/>
                <w:color w:val="auto"/>
                <w:szCs w:val="21"/>
                <w:highlight w:val="none"/>
              </w:rPr>
              <w:t>；公布</w:t>
            </w:r>
            <w:r>
              <w:rPr>
                <w:rFonts w:hint="eastAsia" w:ascii="宋体" w:hAnsi="宋体"/>
                <w:color w:val="auto"/>
                <w:szCs w:val="21"/>
                <w:highlight w:val="none"/>
              </w:rPr>
              <w:t>竞标人</w:t>
            </w:r>
            <w:r>
              <w:rPr>
                <w:rFonts w:ascii="宋体" w:hAnsi="宋体"/>
                <w:color w:val="auto"/>
                <w:szCs w:val="21"/>
                <w:highlight w:val="none"/>
              </w:rPr>
              <w:t>名称、</w:t>
            </w:r>
            <w:r>
              <w:rPr>
                <w:rFonts w:hint="eastAsia" w:ascii="宋体" w:hAnsi="宋体"/>
                <w:color w:val="auto"/>
                <w:szCs w:val="21"/>
                <w:highlight w:val="none"/>
              </w:rPr>
              <w:t>竞标</w:t>
            </w:r>
            <w:r>
              <w:rPr>
                <w:rFonts w:ascii="宋体" w:hAnsi="宋体"/>
                <w:color w:val="auto"/>
                <w:szCs w:val="21"/>
                <w:highlight w:val="none"/>
              </w:rPr>
              <w:t>报价、质量要求、工期及其他内容并记录在案</w:t>
            </w:r>
            <w:r>
              <w:rPr>
                <w:rFonts w:hint="eastAsia" w:ascii="宋体" w:hAnsi="宋体"/>
                <w:color w:val="auto"/>
                <w:szCs w:val="21"/>
                <w:highlight w:val="none"/>
              </w:rPr>
              <w:t>。</w:t>
            </w:r>
          </w:p>
          <w:p w14:paraId="7E27DB33">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 竞标人对开标有异议的，应当场提出，由比选人或代理机构当场答复，并记录到开标记录表中。异议处理完毕后，汇总开标情况，打印开标记录表。</w:t>
            </w:r>
          </w:p>
          <w:p w14:paraId="5BC49A50">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 xml:space="preserve">. </w:t>
            </w:r>
            <w:r>
              <w:rPr>
                <w:rFonts w:hint="eastAsia" w:ascii="宋体" w:hAnsi="宋体"/>
                <w:color w:val="auto"/>
                <w:szCs w:val="21"/>
                <w:highlight w:val="none"/>
              </w:rPr>
              <w:t>竞标人</w:t>
            </w:r>
            <w:r>
              <w:rPr>
                <w:rFonts w:ascii="宋体" w:hAnsi="宋体"/>
                <w:color w:val="auto"/>
                <w:szCs w:val="21"/>
                <w:highlight w:val="none"/>
              </w:rPr>
              <w:t>代表、</w:t>
            </w:r>
            <w:r>
              <w:rPr>
                <w:rFonts w:hint="eastAsia" w:ascii="宋体" w:hAnsi="宋体"/>
                <w:color w:val="auto"/>
                <w:szCs w:val="21"/>
                <w:highlight w:val="none"/>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0037A898">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 开标结束。</w:t>
            </w:r>
          </w:p>
        </w:tc>
      </w:tr>
      <w:tr w14:paraId="078F7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62D2A7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7DCCDD5E">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评标委员会的组建</w:t>
            </w:r>
          </w:p>
        </w:tc>
        <w:tc>
          <w:tcPr>
            <w:tcW w:w="6919" w:type="dxa"/>
            <w:vAlign w:val="center"/>
          </w:tcPr>
          <w:p w14:paraId="1EFDF5D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由比选人按法律法规及相关规定依法组建评标委员会。</w:t>
            </w:r>
          </w:p>
        </w:tc>
      </w:tr>
      <w:tr w14:paraId="27DF1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8ABF52">
            <w:pPr>
              <w:pStyle w:val="151"/>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6.2.5</w:t>
            </w:r>
          </w:p>
        </w:tc>
        <w:tc>
          <w:tcPr>
            <w:tcW w:w="1644" w:type="dxa"/>
            <w:vAlign w:val="center"/>
          </w:tcPr>
          <w:p w14:paraId="4D324EAD">
            <w:pPr>
              <w:pStyle w:val="151"/>
              <w:keepNext w:val="0"/>
              <w:keepLines w:val="0"/>
              <w:pageBreakBefore w:val="0"/>
              <w:widowControl w:val="0"/>
              <w:kinsoku/>
              <w:wordWrap/>
              <w:overflowPunct/>
              <w:topLinePunct w:val="0"/>
              <w:bidi w:val="0"/>
              <w:snapToGrid w:val="0"/>
              <w:spacing w:line="240" w:lineRule="auto"/>
              <w:jc w:val="center"/>
              <w:textAlignment w:val="auto"/>
              <w:rPr>
                <w:rFonts w:ascii="宋体" w:hAnsi="宋体" w:cs="Times New Roman"/>
                <w:color w:val="auto"/>
                <w:sz w:val="21"/>
                <w:szCs w:val="21"/>
                <w:highlight w:val="none"/>
              </w:rPr>
            </w:pPr>
            <w:r>
              <w:rPr>
                <w:rFonts w:ascii="宋体" w:hAnsi="宋体" w:cs="Times New Roman"/>
                <w:color w:val="auto"/>
                <w:sz w:val="21"/>
                <w:szCs w:val="21"/>
                <w:highlight w:val="none"/>
              </w:rPr>
              <w:t>有效</w:t>
            </w:r>
            <w:r>
              <w:rPr>
                <w:rFonts w:hint="eastAsia" w:ascii="宋体" w:hAnsi="宋体" w:cs="Times New Roman"/>
                <w:color w:val="auto"/>
                <w:sz w:val="21"/>
                <w:szCs w:val="21"/>
                <w:highlight w:val="none"/>
              </w:rPr>
              <w:t>竞标</w:t>
            </w:r>
            <w:r>
              <w:rPr>
                <w:rFonts w:ascii="宋体" w:hAnsi="宋体" w:cs="Times New Roman"/>
                <w:color w:val="auto"/>
                <w:sz w:val="21"/>
                <w:szCs w:val="21"/>
                <w:highlight w:val="none"/>
              </w:rPr>
              <w:t>不足</w:t>
            </w:r>
          </w:p>
          <w:p w14:paraId="605D2260">
            <w:pPr>
              <w:pStyle w:val="151"/>
              <w:keepNext w:val="0"/>
              <w:keepLines w:val="0"/>
              <w:pageBreakBefore w:val="0"/>
              <w:widowControl w:val="0"/>
              <w:kinsoku/>
              <w:wordWrap/>
              <w:overflowPunct/>
              <w:topLinePunct w:val="0"/>
              <w:bidi w:val="0"/>
              <w:snapToGrid w:val="0"/>
              <w:spacing w:line="240" w:lineRule="auto"/>
              <w:jc w:val="center"/>
              <w:textAlignment w:val="auto"/>
              <w:rPr>
                <w:rFonts w:ascii="宋体" w:hAnsi="宋体" w:cs="Times New Roman"/>
                <w:color w:val="auto"/>
                <w:sz w:val="21"/>
                <w:szCs w:val="21"/>
                <w:highlight w:val="none"/>
              </w:rPr>
            </w:pPr>
            <w:r>
              <w:rPr>
                <w:rFonts w:ascii="宋体" w:hAnsi="宋体" w:cs="Times New Roman"/>
                <w:color w:val="auto"/>
                <w:sz w:val="21"/>
                <w:szCs w:val="21"/>
                <w:highlight w:val="none"/>
              </w:rPr>
              <w:t>三人的处理</w:t>
            </w:r>
          </w:p>
        </w:tc>
        <w:tc>
          <w:tcPr>
            <w:tcW w:w="6919" w:type="dxa"/>
            <w:vAlign w:val="center"/>
          </w:tcPr>
          <w:p w14:paraId="79DC80EE">
            <w:pPr>
              <w:pStyle w:val="151"/>
              <w:spacing w:line="360" w:lineRule="auto"/>
              <w:ind w:firstLine="420" w:firstLineChars="200"/>
              <w:rPr>
                <w:rFonts w:ascii="宋体" w:hAnsi="宋体" w:cs="Times New Roman"/>
                <w:color w:val="auto"/>
                <w:sz w:val="21"/>
                <w:szCs w:val="21"/>
                <w:highlight w:val="none"/>
              </w:rPr>
            </w:pPr>
            <w:r>
              <w:rPr>
                <w:rFonts w:ascii="宋体" w:hAnsi="宋体" w:cs="Times New Roman"/>
                <w:color w:val="auto"/>
                <w:sz w:val="21"/>
                <w:szCs w:val="21"/>
                <w:highlight w:val="none"/>
              </w:rPr>
              <w:t>因评标委员会认定为</w:t>
            </w:r>
            <w:r>
              <w:rPr>
                <w:rFonts w:hint="eastAsia" w:ascii="宋体" w:hAnsi="宋体" w:cs="Times New Roman"/>
                <w:color w:val="auto"/>
                <w:sz w:val="21"/>
                <w:szCs w:val="21"/>
                <w:highlight w:val="none"/>
              </w:rPr>
              <w:t>否决竞标</w:t>
            </w:r>
            <w:r>
              <w:rPr>
                <w:rFonts w:ascii="宋体" w:hAnsi="宋体" w:cs="Times New Roman"/>
                <w:color w:val="auto"/>
                <w:sz w:val="21"/>
                <w:szCs w:val="21"/>
                <w:highlight w:val="none"/>
              </w:rPr>
              <w:t>导致有效</w:t>
            </w:r>
            <w:r>
              <w:rPr>
                <w:rFonts w:hint="eastAsia" w:ascii="宋体" w:hAnsi="宋体" w:cs="Times New Roman"/>
                <w:color w:val="auto"/>
                <w:sz w:val="21"/>
                <w:szCs w:val="21"/>
                <w:highlight w:val="none"/>
              </w:rPr>
              <w:t>竞标</w:t>
            </w:r>
            <w:r>
              <w:rPr>
                <w:rFonts w:ascii="宋体" w:hAnsi="宋体" w:cs="Times New Roman"/>
                <w:color w:val="auto"/>
                <w:sz w:val="21"/>
                <w:szCs w:val="21"/>
                <w:highlight w:val="none"/>
              </w:rPr>
              <w:t>不足三人时，</w:t>
            </w:r>
            <w:r>
              <w:rPr>
                <w:rFonts w:hint="eastAsia" w:ascii="宋体" w:hAnsi="宋体" w:cs="Times New Roman"/>
                <w:color w:val="auto"/>
                <w:sz w:val="21"/>
                <w:szCs w:val="21"/>
                <w:highlight w:val="none"/>
              </w:rPr>
              <w:t>如果有效竞标人的经济、技术等指标仍然具有市场竞争力，能够</w:t>
            </w:r>
            <w:r>
              <w:rPr>
                <w:rFonts w:ascii="宋体" w:hAnsi="宋体" w:cs="Times New Roman"/>
                <w:color w:val="auto"/>
                <w:sz w:val="21"/>
                <w:szCs w:val="21"/>
                <w:highlight w:val="none"/>
              </w:rPr>
              <w:t>满足</w:t>
            </w:r>
            <w:r>
              <w:rPr>
                <w:rFonts w:hint="eastAsia" w:ascii="宋体" w:hAnsi="宋体" w:cs="Times New Roman"/>
                <w:color w:val="auto"/>
                <w:sz w:val="21"/>
                <w:szCs w:val="21"/>
                <w:highlight w:val="none"/>
              </w:rPr>
              <w:t>竞争性比选文件</w:t>
            </w:r>
            <w:r>
              <w:rPr>
                <w:rFonts w:ascii="宋体" w:hAnsi="宋体" w:cs="Times New Roman"/>
                <w:color w:val="auto"/>
                <w:sz w:val="21"/>
                <w:szCs w:val="21"/>
                <w:highlight w:val="none"/>
              </w:rPr>
              <w:t>的要求</w:t>
            </w:r>
            <w:r>
              <w:rPr>
                <w:rFonts w:hint="eastAsia" w:ascii="宋体" w:hAnsi="宋体" w:cs="Times New Roman"/>
                <w:color w:val="auto"/>
                <w:sz w:val="21"/>
                <w:szCs w:val="21"/>
                <w:highlight w:val="none"/>
              </w:rPr>
              <w:t>，评标委员会可以继续</w:t>
            </w:r>
            <w:r>
              <w:rPr>
                <w:rFonts w:ascii="宋体" w:hAnsi="宋体" w:cs="Times New Roman"/>
                <w:color w:val="auto"/>
                <w:sz w:val="21"/>
                <w:szCs w:val="21"/>
                <w:highlight w:val="none"/>
              </w:rPr>
              <w:t>按</w:t>
            </w:r>
            <w:r>
              <w:rPr>
                <w:rFonts w:hint="eastAsia" w:ascii="宋体" w:hAnsi="宋体" w:cs="Times New Roman"/>
                <w:color w:val="auto"/>
                <w:sz w:val="21"/>
                <w:szCs w:val="21"/>
                <w:highlight w:val="none"/>
              </w:rPr>
              <w:t>竞争性比选文件</w:t>
            </w:r>
            <w:r>
              <w:rPr>
                <w:rFonts w:ascii="宋体" w:hAnsi="宋体" w:cs="Times New Roman"/>
                <w:color w:val="auto"/>
                <w:sz w:val="21"/>
                <w:szCs w:val="21"/>
                <w:highlight w:val="none"/>
              </w:rPr>
              <w:t>规定的程序评标，推荐</w:t>
            </w:r>
            <w:r>
              <w:rPr>
                <w:rFonts w:hint="eastAsia" w:ascii="宋体" w:hAnsi="宋体" w:cs="Times New Roman"/>
                <w:color w:val="auto"/>
                <w:sz w:val="21"/>
                <w:szCs w:val="21"/>
                <w:highlight w:val="none"/>
              </w:rPr>
              <w:t>中选</w:t>
            </w:r>
            <w:r>
              <w:rPr>
                <w:rFonts w:ascii="宋体" w:hAnsi="宋体" w:cs="Times New Roman"/>
                <w:color w:val="auto"/>
                <w:sz w:val="21"/>
                <w:szCs w:val="21"/>
                <w:highlight w:val="none"/>
              </w:rPr>
              <w:t>候选人。</w:t>
            </w:r>
          </w:p>
        </w:tc>
      </w:tr>
      <w:tr w14:paraId="55726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811D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5238154A">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是否授权评标委员会确定</w:t>
            </w:r>
            <w:r>
              <w:rPr>
                <w:rFonts w:hint="eastAsia" w:ascii="宋体" w:hAnsi="宋体"/>
                <w:color w:val="auto"/>
                <w:kern w:val="0"/>
                <w:szCs w:val="21"/>
                <w:highlight w:val="none"/>
              </w:rPr>
              <w:t>中选</w:t>
            </w:r>
            <w:r>
              <w:rPr>
                <w:rFonts w:ascii="宋体" w:hAnsi="宋体"/>
                <w:color w:val="auto"/>
                <w:kern w:val="0"/>
                <w:szCs w:val="21"/>
                <w:highlight w:val="none"/>
              </w:rPr>
              <w:t>人</w:t>
            </w:r>
          </w:p>
        </w:tc>
        <w:tc>
          <w:tcPr>
            <w:tcW w:w="6919" w:type="dxa"/>
            <w:vAlign w:val="center"/>
          </w:tcPr>
          <w:p w14:paraId="5C4C3C04">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7F8CB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77A5A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1FEE3C7B">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中选</w:t>
            </w:r>
            <w:r>
              <w:rPr>
                <w:rFonts w:ascii="宋体" w:hAnsi="宋体"/>
                <w:color w:val="auto"/>
                <w:kern w:val="0"/>
                <w:szCs w:val="21"/>
                <w:highlight w:val="none"/>
              </w:rPr>
              <w:t>公示</w:t>
            </w:r>
          </w:p>
        </w:tc>
        <w:tc>
          <w:tcPr>
            <w:tcW w:w="6919" w:type="dxa"/>
            <w:vAlign w:val="center"/>
          </w:tcPr>
          <w:p w14:paraId="650EE2CE">
            <w:pPr>
              <w:snapToGrid w:val="0"/>
              <w:spacing w:line="400" w:lineRule="exact"/>
              <w:ind w:firstLine="420" w:firstLineChars="200"/>
              <w:rPr>
                <w:rFonts w:ascii="宋体" w:hAnsi="宋体" w:cs="宋体"/>
                <w:color w:val="auto"/>
                <w:szCs w:val="21"/>
                <w:highlight w:val="none"/>
              </w:rPr>
            </w:pPr>
            <w:r>
              <w:rPr>
                <w:rFonts w:hint="eastAsia" w:asciiTheme="minorEastAsia" w:hAnsiTheme="minorEastAsia" w:eastAsiaTheme="minorEastAsia" w:cstheme="minorEastAsia"/>
                <w:color w:val="auto"/>
                <w:highlight w:val="none"/>
              </w:rPr>
              <w:t>比选人在收到评标报告后3日内将评标结果在</w:t>
            </w:r>
            <w:r>
              <w:rPr>
                <w:rFonts w:hint="eastAsia" w:asciiTheme="minorEastAsia" w:hAnsiTheme="minorEastAsia" w:eastAsiaTheme="minorEastAsia" w:cstheme="minorEastAsia"/>
                <w:color w:val="auto"/>
                <w:kern w:val="0"/>
                <w:highlight w:val="none"/>
                <w:u w:val="single"/>
              </w:rPr>
              <w:t>行采家（https://www.gec123.com/）</w:t>
            </w:r>
            <w:r>
              <w:rPr>
                <w:rFonts w:hint="eastAsia" w:asciiTheme="minorEastAsia" w:hAnsiTheme="minorEastAsia" w:eastAsiaTheme="minorEastAsia" w:cstheme="minorEastAsia"/>
                <w:color w:val="auto"/>
                <w:highlight w:val="none"/>
              </w:rPr>
              <w:t>上进行公示，公示期为3日。</w:t>
            </w:r>
          </w:p>
        </w:tc>
      </w:tr>
      <w:tr w14:paraId="11AFF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3A925B72">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7.3.1</w:t>
            </w:r>
          </w:p>
        </w:tc>
        <w:tc>
          <w:tcPr>
            <w:tcW w:w="1644" w:type="dxa"/>
            <w:shd w:val="clear" w:color="auto" w:fill="auto"/>
            <w:vAlign w:val="center"/>
          </w:tcPr>
          <w:p w14:paraId="380A65F3">
            <w:pPr>
              <w:keepNext w:val="0"/>
              <w:keepLines w:val="0"/>
              <w:pageBreakBefore w:val="0"/>
              <w:widowControl w:val="0"/>
              <w:kinsoku/>
              <w:wordWrap/>
              <w:overflowPunct/>
              <w:topLinePunct w:val="0"/>
              <w:bidi w:val="0"/>
              <w:snapToGrid w:val="0"/>
              <w:spacing w:line="240" w:lineRule="auto"/>
              <w:jc w:val="center"/>
              <w:textAlignment w:val="auto"/>
              <w:rPr>
                <w:rFonts w:hint="eastAsia"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履约担保</w:t>
            </w:r>
          </w:p>
        </w:tc>
        <w:tc>
          <w:tcPr>
            <w:tcW w:w="6919" w:type="dxa"/>
            <w:shd w:val="clear" w:color="auto" w:fill="auto"/>
            <w:vAlign w:val="center"/>
          </w:tcPr>
          <w:p w14:paraId="41BBD908">
            <w:pPr>
              <w:snapToGrid w:val="0"/>
              <w:spacing w:after="62" w:afterLines="20" w:line="400" w:lineRule="exact"/>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w:t>
            </w:r>
          </w:p>
        </w:tc>
      </w:tr>
      <w:tr w14:paraId="55D28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76EF1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57AA46B9">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签订合同</w:t>
            </w:r>
          </w:p>
        </w:tc>
        <w:tc>
          <w:tcPr>
            <w:tcW w:w="6919" w:type="dxa"/>
            <w:vAlign w:val="center"/>
          </w:tcPr>
          <w:p w14:paraId="5E4FD027">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一）比选人应当自中选通知书发出之日起三十日内，按照比选文件和中选人竞标文件的约定，与中选人签订书面合同。因中选人的缘故不能按期签订合同，则扣除全部履约保证金并视为放弃中选资格。所签订的合同不得对比选文件和中选人的竞标文件作实质性修改。</w:t>
            </w:r>
          </w:p>
          <w:p w14:paraId="4BBBB6AF">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（二）比选文件、中选人的竞标文件及澄清文件等，均为签订合同的依据。</w:t>
            </w:r>
          </w:p>
          <w:p w14:paraId="7FDD499C">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（三）合同生效条款由双方约定，法律、行政法规规定应当办理批准、登记等手续后生效的合同，依照其规定。</w:t>
            </w:r>
          </w:p>
          <w:p w14:paraId="65A83138">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（四）合同原则上应按照《本项目合同条款》签订，相关单位要求适用合同通用格式版本的，应按其要求另行签订其他合同。</w:t>
            </w:r>
          </w:p>
        </w:tc>
      </w:tr>
      <w:tr w14:paraId="50749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A47B5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8.1</w:t>
            </w:r>
          </w:p>
        </w:tc>
        <w:tc>
          <w:tcPr>
            <w:tcW w:w="1644" w:type="dxa"/>
            <w:vAlign w:val="center"/>
          </w:tcPr>
          <w:p w14:paraId="7F4883F6">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重新比选的情形</w:t>
            </w:r>
          </w:p>
        </w:tc>
        <w:tc>
          <w:tcPr>
            <w:tcW w:w="6919" w:type="dxa"/>
            <w:vAlign w:val="center"/>
          </w:tcPr>
          <w:p w14:paraId="695AA236">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1.按竞标人须知第8.1（1）执行；</w:t>
            </w:r>
          </w:p>
          <w:p w14:paraId="50811078">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2.按竞标人须知第8.1（2）执行；</w:t>
            </w:r>
          </w:p>
          <w:p w14:paraId="4CFD344E">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3.按竞标人须知第8.1（3）执行；</w:t>
            </w:r>
          </w:p>
          <w:p w14:paraId="369CD622">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4.按竞标人须知第8.1（4）执行；</w:t>
            </w:r>
          </w:p>
          <w:p w14:paraId="2212DEF6">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注：本款只适用于首次比选。</w:t>
            </w:r>
          </w:p>
        </w:tc>
      </w:tr>
      <w:tr w14:paraId="488ED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CD8AE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6F65E3A8">
            <w:pPr>
              <w:keepNext w:val="0"/>
              <w:keepLines w:val="0"/>
              <w:pageBreakBefore w:val="0"/>
              <w:widowControl w:val="0"/>
              <w:kinsoku/>
              <w:wordWrap/>
              <w:overflowPunct/>
              <w:topLinePunct w:val="0"/>
              <w:bidi w:val="0"/>
              <w:snapToGrid w:val="0"/>
              <w:spacing w:line="240" w:lineRule="auto"/>
              <w:jc w:val="center"/>
              <w:textAlignment w:val="auto"/>
              <w:rPr>
                <w:color w:val="auto"/>
                <w:highlight w:val="none"/>
              </w:rPr>
            </w:pPr>
            <w:bookmarkStart w:id="111" w:name="_Toc509218709"/>
            <w:bookmarkStart w:id="112" w:name="_Toc430530434"/>
            <w:bookmarkStart w:id="113" w:name="_Toc16930431"/>
            <w:bookmarkStart w:id="114" w:name="_Toc536628250"/>
            <w:bookmarkStart w:id="115" w:name="_Toc13210670"/>
            <w:r>
              <w:rPr>
                <w:rFonts w:hint="eastAsia" w:ascii="宋体" w:hAnsi="宋体"/>
                <w:color w:val="auto"/>
                <w:kern w:val="0"/>
                <w:szCs w:val="21"/>
                <w:highlight w:val="none"/>
              </w:rPr>
              <w:t>重新比选</w:t>
            </w:r>
            <w:r>
              <w:rPr>
                <w:rFonts w:ascii="宋体" w:hAnsi="宋体"/>
                <w:color w:val="auto"/>
                <w:kern w:val="0"/>
                <w:szCs w:val="21"/>
                <w:highlight w:val="none"/>
              </w:rPr>
              <w:t>和不再</w:t>
            </w:r>
            <w:bookmarkEnd w:id="111"/>
            <w:bookmarkEnd w:id="112"/>
            <w:bookmarkEnd w:id="113"/>
            <w:bookmarkEnd w:id="114"/>
            <w:bookmarkEnd w:id="115"/>
            <w:r>
              <w:rPr>
                <w:rFonts w:hint="eastAsia" w:ascii="宋体" w:hAnsi="宋体"/>
                <w:color w:val="auto"/>
                <w:kern w:val="0"/>
                <w:szCs w:val="21"/>
                <w:highlight w:val="none"/>
              </w:rPr>
              <w:t>比选</w:t>
            </w:r>
          </w:p>
        </w:tc>
        <w:tc>
          <w:tcPr>
            <w:tcW w:w="6919" w:type="dxa"/>
            <w:vAlign w:val="center"/>
          </w:tcPr>
          <w:p w14:paraId="73DF092D">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重新公开竞争性比选后竞标人仍少于3个，按法定程序开标和评标，确定中选人。经评审无合格竞标人，经监督部门批准可以不再比选。</w:t>
            </w:r>
          </w:p>
        </w:tc>
      </w:tr>
      <w:tr w14:paraId="595B2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46ACF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563" w:type="dxa"/>
            <w:gridSpan w:val="2"/>
            <w:vAlign w:val="center"/>
          </w:tcPr>
          <w:p w14:paraId="3FC86DC4">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ascii="宋体" w:hAnsi="宋体"/>
                <w:color w:val="auto"/>
                <w:kern w:val="0"/>
                <w:szCs w:val="21"/>
                <w:highlight w:val="none"/>
              </w:rPr>
              <w:t>需要补充的其他内容</w:t>
            </w:r>
          </w:p>
        </w:tc>
      </w:tr>
      <w:tr w14:paraId="4EA26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815A3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r>
              <w:rPr>
                <w:rFonts w:hint="eastAsia" w:ascii="宋体" w:hAnsi="宋体"/>
                <w:color w:val="auto"/>
                <w:kern w:val="0"/>
                <w:szCs w:val="21"/>
                <w:highlight w:val="none"/>
              </w:rPr>
              <w:t>.1</w:t>
            </w:r>
          </w:p>
        </w:tc>
        <w:tc>
          <w:tcPr>
            <w:tcW w:w="1644" w:type="dxa"/>
            <w:vAlign w:val="center"/>
          </w:tcPr>
          <w:p w14:paraId="40727873">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919" w:type="dxa"/>
            <w:vAlign w:val="center"/>
          </w:tcPr>
          <w:p w14:paraId="7FBFE558">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竞标人</w:t>
            </w:r>
            <w:r>
              <w:rPr>
                <w:rFonts w:ascii="宋体" w:hAnsi="宋体"/>
                <w:color w:val="auto"/>
                <w:kern w:val="0"/>
                <w:szCs w:val="21"/>
                <w:highlight w:val="none"/>
              </w:rPr>
              <w:t>或者其他利害关系人就本项目的</w:t>
            </w:r>
            <w:r>
              <w:rPr>
                <w:rFonts w:hint="eastAsia" w:ascii="宋体" w:hAnsi="宋体"/>
                <w:color w:val="auto"/>
                <w:kern w:val="0"/>
                <w:szCs w:val="21"/>
                <w:highlight w:val="none"/>
              </w:rPr>
              <w:t>竞争性比选文件（含澄清修改）、开标情况、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rPr>
              <w:t>比选人</w:t>
            </w:r>
            <w:r>
              <w:rPr>
                <w:rFonts w:ascii="宋体" w:hAnsi="宋体"/>
                <w:color w:val="auto"/>
                <w:kern w:val="0"/>
                <w:szCs w:val="21"/>
                <w:highlight w:val="none"/>
              </w:rPr>
              <w:t>提出异议；</w:t>
            </w:r>
            <w:r>
              <w:rPr>
                <w:rFonts w:hint="eastAsia" w:ascii="宋体" w:hAnsi="宋体"/>
                <w:color w:val="auto"/>
                <w:kern w:val="0"/>
                <w:szCs w:val="21"/>
                <w:highlight w:val="none"/>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rPr>
              <w:t>比选人</w:t>
            </w:r>
            <w:r>
              <w:rPr>
                <w:rFonts w:ascii="宋体" w:hAnsi="宋体"/>
                <w:color w:val="auto"/>
                <w:kern w:val="0"/>
                <w:szCs w:val="21"/>
                <w:highlight w:val="none"/>
              </w:rPr>
              <w:t>的答复不满意，可向行政监督部门投诉。</w:t>
            </w:r>
          </w:p>
          <w:p w14:paraId="339DDAEA">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74EE2753">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（1）异议人或投诉人的名称、地址及有效联系方式；</w:t>
            </w:r>
          </w:p>
          <w:p w14:paraId="610111B4">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（2）被异议人或被投诉人的名称、地址及有效联系方式；</w:t>
            </w:r>
          </w:p>
          <w:p w14:paraId="1138649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71EEDAD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5C495F73">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27BED109">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3B76C3D">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3DE1F9E8">
            <w:pPr>
              <w:snapToGrid w:val="0"/>
              <w:spacing w:after="124" w:afterLines="4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 根据《重庆市工程建设领域招标投标信用管理暂行办法》的规定，竞标人捏造事实、伪造材料，或者以非法手段获取证明材料进行质疑或者投诉的，将被列入黑名单管理；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p w14:paraId="4975FF41">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异议受理单位：</w:t>
            </w:r>
            <w:r>
              <w:rPr>
                <w:rFonts w:hint="eastAsia" w:ascii="宋体" w:hAnsi="宋体"/>
                <w:color w:val="auto"/>
                <w:kern w:val="0"/>
                <w:szCs w:val="21"/>
                <w:highlight w:val="none"/>
                <w:lang w:eastAsia="zh-CN"/>
              </w:rPr>
              <w:t>重庆市江南城市建设发展(集团)有限公司</w:t>
            </w:r>
          </w:p>
          <w:p w14:paraId="132E543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联系电话：</w:t>
            </w:r>
            <w:r>
              <w:rPr>
                <w:rFonts w:hint="eastAsia" w:ascii="宋体" w:hAnsi="宋体"/>
                <w:color w:val="auto"/>
                <w:kern w:val="0"/>
                <w:highlight w:val="none"/>
              </w:rPr>
              <w:t>023-62820331</w:t>
            </w:r>
          </w:p>
        </w:tc>
      </w:tr>
      <w:tr w14:paraId="1661F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6F2F3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10.2</w:t>
            </w:r>
          </w:p>
        </w:tc>
        <w:tc>
          <w:tcPr>
            <w:tcW w:w="1644" w:type="dxa"/>
            <w:vAlign w:val="center"/>
          </w:tcPr>
          <w:p w14:paraId="0ECD2D4D">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关于对竞争性比选文件及竞标争议的解释</w:t>
            </w:r>
          </w:p>
        </w:tc>
        <w:tc>
          <w:tcPr>
            <w:tcW w:w="6919" w:type="dxa"/>
            <w:vAlign w:val="center"/>
          </w:tcPr>
          <w:p w14:paraId="67503D9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对资格预审文件或者竞争性比选文件的评标标准和方法，以及资格审查和否决竞标条款理解有争议的，应当作出不利于比选人的解释，但违背国家利益、社会公共利益的除外。</w:t>
            </w:r>
          </w:p>
          <w:p w14:paraId="66FCF1B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对竞标文件理解有争议的，应当作出不利于提交该竞标文件的竞标人的解释。</w:t>
            </w:r>
          </w:p>
        </w:tc>
      </w:tr>
      <w:tr w14:paraId="3A8D7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4FD11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10.3</w:t>
            </w:r>
          </w:p>
        </w:tc>
        <w:tc>
          <w:tcPr>
            <w:tcW w:w="1644" w:type="dxa"/>
            <w:vAlign w:val="center"/>
          </w:tcPr>
          <w:p w14:paraId="64C43070">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交易服务费及代理服务费</w:t>
            </w:r>
          </w:p>
        </w:tc>
        <w:tc>
          <w:tcPr>
            <w:tcW w:w="6919" w:type="dxa"/>
            <w:vAlign w:val="center"/>
          </w:tcPr>
          <w:p w14:paraId="49C98166">
            <w:pPr>
              <w:numPr>
                <w:ilvl w:val="0"/>
                <w:numId w:val="1"/>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交易服务费：竞选人中标后向“重庆市汇南城市建设开发有限公司”缴纳交易服务费，服务费的收取标准按南岸发改【2025】130号执行，由中标人支付，该费用由中标人综合考虑在竞选总报价中。</w:t>
            </w:r>
          </w:p>
          <w:p w14:paraId="6ACF64A8">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收款单位：重庆市汇南城市建设开发有限公司</w:t>
            </w:r>
          </w:p>
          <w:p w14:paraId="763FDBC0">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开户银行：重庆农村商业银行股份有限公司南岸支行南坪分理处</w:t>
            </w:r>
          </w:p>
          <w:p w14:paraId="1148D2C9">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银行账号：0601110120010023958</w:t>
            </w:r>
          </w:p>
          <w:p w14:paraId="476336BB">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银行行号：314653000222</w:t>
            </w:r>
          </w:p>
          <w:p w14:paraId="06173503">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（咨询：何老师，电话：023-62948872）</w:t>
            </w:r>
          </w:p>
          <w:p w14:paraId="2AF9908F">
            <w:pPr>
              <w:numPr>
                <w:ilvl w:val="0"/>
                <w:numId w:val="0"/>
              </w:numPr>
              <w:snapToGrid w:val="0"/>
              <w:spacing w:line="400" w:lineRule="exact"/>
              <w:ind w:firstLine="420" w:firstLineChars="200"/>
              <w:jc w:val="left"/>
              <w:rPr>
                <w:color w:val="auto"/>
                <w:highlight w:val="none"/>
              </w:rPr>
            </w:pP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代理服务费：</w:t>
            </w:r>
            <w:r>
              <w:rPr>
                <w:rFonts w:hint="eastAsia" w:ascii="宋体" w:hAnsi="宋体"/>
                <w:color w:val="auto"/>
                <w:kern w:val="0"/>
                <w:szCs w:val="21"/>
                <w:highlight w:val="none"/>
                <w:lang w:val="en-US" w:eastAsia="zh-CN"/>
              </w:rPr>
              <w:t>招标代理费参照（发改办价格[2003]857号）、（计价格[2002]1980）文件收费标准下浮30%计取再下浮9.8%计取。由中标人在</w:t>
            </w:r>
            <w:r>
              <w:rPr>
                <w:rFonts w:hint="eastAsia" w:ascii="宋体" w:hAnsi="宋体" w:cs="Times New Roman"/>
                <w:color w:val="auto"/>
                <w:kern w:val="0"/>
                <w:szCs w:val="21"/>
                <w:highlight w:val="none"/>
                <w:lang w:val="en-US" w:eastAsia="zh-CN"/>
              </w:rPr>
              <w:t>领取中标通知书时一次性向代理机构支付。</w:t>
            </w:r>
          </w:p>
        </w:tc>
      </w:tr>
      <w:tr w14:paraId="1B91F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A6799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10.4</w:t>
            </w:r>
          </w:p>
        </w:tc>
        <w:tc>
          <w:tcPr>
            <w:tcW w:w="1644" w:type="dxa"/>
            <w:vAlign w:val="center"/>
          </w:tcPr>
          <w:p w14:paraId="437AA5A6">
            <w:pPr>
              <w:keepNext w:val="0"/>
              <w:keepLines w:val="0"/>
              <w:pageBreakBefore w:val="0"/>
              <w:widowControl w:val="0"/>
              <w:kinsoku/>
              <w:wordWrap/>
              <w:overflowPunct/>
              <w:topLinePunct w:val="0"/>
              <w:bidi w:val="0"/>
              <w:snapToGrid w:val="0"/>
              <w:spacing w:line="240" w:lineRule="auto"/>
              <w:jc w:val="center"/>
              <w:textAlignment w:val="auto"/>
              <w:rPr>
                <w:rFonts w:ascii="宋体" w:hAnsi="宋体"/>
                <w:color w:val="auto"/>
                <w:kern w:val="0"/>
                <w:szCs w:val="21"/>
                <w:highlight w:val="none"/>
              </w:rPr>
            </w:pPr>
            <w:r>
              <w:rPr>
                <w:rFonts w:hint="eastAsia" w:ascii="宋体" w:hAnsi="宋体"/>
                <w:color w:val="auto"/>
                <w:kern w:val="0"/>
                <w:szCs w:val="21"/>
                <w:highlight w:val="none"/>
              </w:rPr>
              <w:t>特别说明</w:t>
            </w:r>
          </w:p>
        </w:tc>
        <w:tc>
          <w:tcPr>
            <w:tcW w:w="6919" w:type="dxa"/>
            <w:vAlign w:val="center"/>
          </w:tcPr>
          <w:p w14:paraId="49CADCA4">
            <w:pPr>
              <w:snapToGrid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比选人有权在评标结束后对竞标人的竞标文件进行清标。若发现竞标人的竞标文件存在不完全响应竞争性比选文件（含竞争性比选文件补遗、答疑、澄清）实质性要求，经复核未响应竞争选比选文件实质性要求，则其竞标文件按否决竞标处理。</w:t>
            </w:r>
          </w:p>
        </w:tc>
      </w:tr>
    </w:tbl>
    <w:p w14:paraId="0759767C">
      <w:pPr>
        <w:bidi w:val="0"/>
        <w:rPr>
          <w:color w:val="auto"/>
        </w:rPr>
      </w:pPr>
      <w:bookmarkStart w:id="116" w:name="_Toc287620685"/>
      <w:bookmarkStart w:id="117" w:name="_Toc224103317"/>
      <w:bookmarkStart w:id="118" w:name="_Toc287607746"/>
      <w:bookmarkStart w:id="119" w:name="_Toc430530435"/>
      <w:bookmarkStart w:id="120" w:name="_Toc277082552"/>
      <w:bookmarkStart w:id="121" w:name="_Toc200513126"/>
    </w:p>
    <w:bookmarkEnd w:id="116"/>
    <w:bookmarkEnd w:id="117"/>
    <w:bookmarkEnd w:id="118"/>
    <w:bookmarkEnd w:id="119"/>
    <w:bookmarkEnd w:id="120"/>
    <w:bookmarkEnd w:id="121"/>
    <w:p w14:paraId="7D6A9A5F">
      <w:pPr>
        <w:rPr>
          <w:rFonts w:hint="eastAsia" w:asciiTheme="minorEastAsia" w:hAnsiTheme="minorEastAsia" w:eastAsiaTheme="minorEastAsia"/>
          <w:b/>
          <w:snapToGrid w:val="0"/>
          <w:color w:val="auto"/>
          <w:highlight w:val="none"/>
        </w:rPr>
      </w:pPr>
      <w:bookmarkStart w:id="122" w:name="A6"/>
      <w:bookmarkStart w:id="123" w:name="_Toc20466"/>
      <w:r>
        <w:rPr>
          <w:rFonts w:hint="eastAsia" w:asciiTheme="minorEastAsia" w:hAnsiTheme="minorEastAsia" w:eastAsiaTheme="minorEastAsia"/>
          <w:b/>
          <w:snapToGrid w:val="0"/>
          <w:color w:val="auto"/>
          <w:highlight w:val="none"/>
        </w:rPr>
        <w:br w:type="page"/>
      </w:r>
    </w:p>
    <w:p w14:paraId="2610FF83">
      <w:pPr>
        <w:widowControl/>
        <w:jc w:val="left"/>
        <w:rPr>
          <w:rFonts w:asciiTheme="minorEastAsia" w:hAnsiTheme="minorEastAsia" w:eastAsiaTheme="minorEastAsia"/>
          <w:b/>
          <w:snapToGrid w:val="0"/>
          <w:color w:val="auto"/>
          <w:highlight w:val="none"/>
        </w:rPr>
      </w:pPr>
      <w:r>
        <w:rPr>
          <w:rFonts w:hint="eastAsia" w:asciiTheme="minorEastAsia" w:hAnsiTheme="minorEastAsia" w:eastAsiaTheme="minorEastAsia"/>
          <w:b/>
          <w:snapToGrid w:val="0"/>
          <w:color w:val="auto"/>
          <w:highlight w:val="none"/>
        </w:rPr>
        <w:t>1.  总则</w:t>
      </w:r>
    </w:p>
    <w:p w14:paraId="02755DEE">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4" w:name="_Toc200513127"/>
      <w:bookmarkStart w:id="125" w:name="_Toc224103318"/>
      <w:r>
        <w:rPr>
          <w:rFonts w:hint="eastAsia" w:cs="宋体" w:asciiTheme="minorEastAsia" w:hAnsiTheme="minorEastAsia" w:eastAsiaTheme="minorEastAsia"/>
          <w:snapToGrid w:val="0"/>
          <w:color w:val="auto"/>
          <w:szCs w:val="21"/>
          <w:highlight w:val="none"/>
        </w:rPr>
        <w:t>1.1  项目概况</w:t>
      </w:r>
      <w:bookmarkEnd w:id="124"/>
      <w:bookmarkEnd w:id="125"/>
    </w:p>
    <w:p w14:paraId="1FD80048">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1.1.1  根据《中华人民共和国招标投标法》等有关法律、法规和规章的规定，本比选项目已具备比选条件，现对本项目进行比选。</w:t>
      </w:r>
    </w:p>
    <w:p w14:paraId="71D8CA6C">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1.1.2  本比选项目比选人：见竞选人须知前附表。</w:t>
      </w:r>
    </w:p>
    <w:p w14:paraId="180B10FD">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1.1.3  本比选代理机构：见竞选人须知前附表。</w:t>
      </w:r>
    </w:p>
    <w:p w14:paraId="34912D96">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1.1.4  本比选项目名称：见竞选人须知前附表。</w:t>
      </w:r>
    </w:p>
    <w:p w14:paraId="2A2D4DC1">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1.1.5  本项目建设地点：见竞选人须知前附表。</w:t>
      </w:r>
    </w:p>
    <w:p w14:paraId="1C5745B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6" w:name="_Toc224103319"/>
      <w:bookmarkStart w:id="127" w:name="_Toc200513128"/>
      <w:r>
        <w:rPr>
          <w:rFonts w:hint="eastAsia" w:cs="宋体" w:asciiTheme="minorEastAsia" w:hAnsiTheme="minorEastAsia" w:eastAsiaTheme="minorEastAsia"/>
          <w:snapToGrid w:val="0"/>
          <w:color w:val="auto"/>
          <w:szCs w:val="21"/>
          <w:highlight w:val="none"/>
        </w:rPr>
        <w:t>1.2  资金来源和落实情况</w:t>
      </w:r>
      <w:bookmarkEnd w:id="126"/>
      <w:bookmarkEnd w:id="127"/>
    </w:p>
    <w:p w14:paraId="680584F4">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1.2.1  本比选项目的资金来源：见竞选人须知前附表。</w:t>
      </w:r>
    </w:p>
    <w:p w14:paraId="271C02BE">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1.2.2  本比选项目的出资比例：见竞选人须知前附表。</w:t>
      </w:r>
    </w:p>
    <w:p w14:paraId="3FE153B0">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1.2.3  本比选项目的资金落实情况：见竞选人须知前附表。</w:t>
      </w:r>
    </w:p>
    <w:p w14:paraId="1A919B87">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8" w:name="_Toc224103320"/>
      <w:bookmarkStart w:id="129" w:name="_Toc200513129"/>
      <w:r>
        <w:rPr>
          <w:rFonts w:hint="eastAsia" w:cs="宋体" w:asciiTheme="minorEastAsia" w:hAnsiTheme="minorEastAsia" w:eastAsiaTheme="minorEastAsia"/>
          <w:snapToGrid w:val="0"/>
          <w:color w:val="auto"/>
          <w:szCs w:val="21"/>
          <w:highlight w:val="none"/>
        </w:rPr>
        <w:t>1.3  比选范围、</w:t>
      </w:r>
      <w:r>
        <w:rPr>
          <w:rFonts w:hint="eastAsia" w:cs="宋体" w:asciiTheme="minorEastAsia" w:hAnsiTheme="minorEastAsia" w:eastAsiaTheme="minorEastAsia"/>
          <w:snapToGrid w:val="0"/>
          <w:color w:val="auto"/>
          <w:szCs w:val="21"/>
          <w:highlight w:val="none"/>
          <w:lang w:val="en-US" w:eastAsia="zh-CN"/>
        </w:rPr>
        <w:t>服务期限</w:t>
      </w:r>
      <w:r>
        <w:rPr>
          <w:rFonts w:hint="eastAsia" w:cs="宋体" w:asciiTheme="minorEastAsia" w:hAnsiTheme="minorEastAsia" w:eastAsiaTheme="minorEastAsia"/>
          <w:snapToGrid w:val="0"/>
          <w:color w:val="auto"/>
          <w:szCs w:val="21"/>
          <w:highlight w:val="none"/>
        </w:rPr>
        <w:t>和质量要求</w:t>
      </w:r>
      <w:bookmarkEnd w:id="128"/>
      <w:bookmarkEnd w:id="129"/>
    </w:p>
    <w:p w14:paraId="1F5C7B56">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1.3.1  本次比选范围：见竞选人须知前附表。</w:t>
      </w:r>
    </w:p>
    <w:p w14:paraId="3EAB20DB">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1.3.2  本项目的</w:t>
      </w:r>
      <w:r>
        <w:rPr>
          <w:rFonts w:hint="eastAsia" w:cs="宋体" w:asciiTheme="minorEastAsia" w:hAnsiTheme="minorEastAsia" w:eastAsiaTheme="minorEastAsia"/>
          <w:snapToGrid w:val="0"/>
          <w:color w:val="auto"/>
          <w:szCs w:val="21"/>
          <w:highlight w:val="none"/>
          <w:lang w:val="en-US" w:eastAsia="zh-CN"/>
        </w:rPr>
        <w:t>服务期限</w:t>
      </w:r>
      <w:r>
        <w:rPr>
          <w:rFonts w:hint="eastAsia" w:cs="宋体" w:asciiTheme="minorEastAsia" w:hAnsiTheme="minorEastAsia" w:eastAsiaTheme="minorEastAsia"/>
          <w:snapToGrid w:val="0"/>
          <w:color w:val="auto"/>
          <w:kern w:val="0"/>
          <w:szCs w:val="21"/>
          <w:highlight w:val="none"/>
        </w:rPr>
        <w:t>：见竞选人须知前附表。</w:t>
      </w:r>
    </w:p>
    <w:p w14:paraId="26144063">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1.3.3  本项目的质量要求：见竞选人须知前附表。</w:t>
      </w:r>
    </w:p>
    <w:p w14:paraId="0BB5D42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0" w:name="_Toc200513131"/>
      <w:bookmarkStart w:id="131" w:name="_Toc224103322"/>
      <w:r>
        <w:rPr>
          <w:rFonts w:hint="eastAsia" w:cs="宋体" w:asciiTheme="minorEastAsia" w:hAnsiTheme="minorEastAsia" w:eastAsiaTheme="minorEastAsia"/>
          <w:snapToGrid w:val="0"/>
          <w:color w:val="auto"/>
          <w:szCs w:val="21"/>
          <w:highlight w:val="none"/>
        </w:rPr>
        <w:t>1.4  竞选人资格要求</w:t>
      </w:r>
      <w:bookmarkEnd w:id="130"/>
      <w:bookmarkEnd w:id="131"/>
    </w:p>
    <w:p w14:paraId="32B7368D">
      <w:pPr>
        <w:autoSpaceDE w:val="0"/>
        <w:autoSpaceDN w:val="0"/>
        <w:adjustRightInd w:val="0"/>
        <w:snapToGrid w:val="0"/>
        <w:spacing w:line="450" w:lineRule="exact"/>
        <w:ind w:firstLine="735" w:firstLineChars="3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1.4.1 竞选人应具备承担本项目的资质条件、能力和信誉。</w:t>
      </w:r>
    </w:p>
    <w:p w14:paraId="2AD0A42A">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w:t>
      </w:r>
      <w:r>
        <w:rPr>
          <w:rFonts w:hint="eastAsia" w:ascii="宋体" w:hAnsi="宋体" w:cs="宋体"/>
          <w:snapToGrid w:val="0"/>
          <w:color w:val="auto"/>
          <w:kern w:val="0"/>
          <w:szCs w:val="21"/>
          <w:highlight w:val="none"/>
        </w:rPr>
        <w:t>资质条件、营业执照</w:t>
      </w:r>
      <w:r>
        <w:rPr>
          <w:rFonts w:hint="eastAsia" w:cs="宋体" w:asciiTheme="minorEastAsia" w:hAnsiTheme="minorEastAsia" w:eastAsiaTheme="minorEastAsia"/>
          <w:snapToGrid w:val="0"/>
          <w:color w:val="auto"/>
          <w:kern w:val="0"/>
          <w:szCs w:val="21"/>
          <w:highlight w:val="none"/>
        </w:rPr>
        <w:t>：</w:t>
      </w:r>
      <w:r>
        <w:rPr>
          <w:rFonts w:hint="eastAsia" w:ascii="宋体" w:hAnsi="宋体" w:cs="宋体"/>
          <w:snapToGrid w:val="0"/>
          <w:color w:val="auto"/>
          <w:kern w:val="0"/>
          <w:szCs w:val="21"/>
          <w:highlight w:val="none"/>
        </w:rPr>
        <w:t>见竞选人须知前附表；</w:t>
      </w:r>
    </w:p>
    <w:p w14:paraId="260F3ADB">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cs="宋体" w:asciiTheme="minorEastAsia" w:hAnsiTheme="minorEastAsia" w:eastAsiaTheme="minorEastAsia"/>
          <w:snapToGrid w:val="0"/>
          <w:color w:val="auto"/>
          <w:kern w:val="0"/>
          <w:szCs w:val="21"/>
          <w:highlight w:val="none"/>
        </w:rPr>
        <w:t>2</w:t>
      </w:r>
      <w:r>
        <w:rPr>
          <w:rFonts w:hint="eastAsia" w:cs="宋体" w:asciiTheme="minorEastAsia" w:hAnsiTheme="minorEastAsia" w:eastAsiaTheme="minorEastAsia"/>
          <w:snapToGrid w:val="0"/>
          <w:color w:val="auto"/>
          <w:kern w:val="0"/>
          <w:szCs w:val="21"/>
          <w:highlight w:val="none"/>
        </w:rPr>
        <w:t>）竞选截止日竞选资格情况：</w:t>
      </w:r>
      <w:r>
        <w:rPr>
          <w:rFonts w:hint="eastAsia" w:ascii="宋体" w:hAnsi="宋体" w:cs="宋体"/>
          <w:snapToGrid w:val="0"/>
          <w:color w:val="auto"/>
          <w:kern w:val="0"/>
          <w:szCs w:val="21"/>
          <w:highlight w:val="none"/>
        </w:rPr>
        <w:t>见竞选人须知前附表</w:t>
      </w:r>
      <w:r>
        <w:rPr>
          <w:rFonts w:hint="eastAsia" w:cs="宋体" w:asciiTheme="minorEastAsia" w:hAnsiTheme="minorEastAsia" w:eastAsiaTheme="minorEastAsia"/>
          <w:snapToGrid w:val="0"/>
          <w:color w:val="auto"/>
          <w:kern w:val="0"/>
          <w:szCs w:val="21"/>
          <w:highlight w:val="none"/>
        </w:rPr>
        <w:t>；</w:t>
      </w:r>
    </w:p>
    <w:p w14:paraId="45B3FB7E">
      <w:pPr>
        <w:autoSpaceDE w:val="0"/>
        <w:autoSpaceDN w:val="0"/>
        <w:adjustRightInd w:val="0"/>
        <w:snapToGrid w:val="0"/>
        <w:spacing w:line="450" w:lineRule="exact"/>
        <w:ind w:firstLine="630" w:firstLineChars="300"/>
        <w:jc w:val="left"/>
        <w:rPr>
          <w:rFonts w:hint="eastAsia"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cs="宋体" w:asciiTheme="minorEastAsia" w:hAnsiTheme="minorEastAsia" w:eastAsiaTheme="minorEastAsia"/>
          <w:snapToGrid w:val="0"/>
          <w:color w:val="auto"/>
          <w:kern w:val="0"/>
          <w:szCs w:val="21"/>
          <w:highlight w:val="none"/>
        </w:rPr>
        <w:t>3</w:t>
      </w:r>
      <w:r>
        <w:rPr>
          <w:rFonts w:hint="eastAsia" w:cs="宋体" w:asciiTheme="minorEastAsia" w:hAnsiTheme="minorEastAsia" w:eastAsiaTheme="minorEastAsia"/>
          <w:snapToGrid w:val="0"/>
          <w:color w:val="auto"/>
          <w:kern w:val="0"/>
          <w:szCs w:val="21"/>
          <w:highlight w:val="none"/>
        </w:rPr>
        <w:t>）</w:t>
      </w:r>
      <w:r>
        <w:rPr>
          <w:rFonts w:hint="eastAsia" w:ascii="宋体" w:hAnsi="宋体" w:eastAsia="宋体" w:cs="宋体"/>
          <w:snapToGrid w:val="0"/>
          <w:color w:val="auto"/>
          <w:kern w:val="0"/>
          <w:szCs w:val="21"/>
          <w:highlight w:val="none"/>
        </w:rPr>
        <w:t>拟派项目人员要求：</w:t>
      </w:r>
      <w:r>
        <w:rPr>
          <w:rFonts w:hint="eastAsia" w:ascii="宋体" w:hAnsi="宋体" w:cs="宋体"/>
          <w:snapToGrid w:val="0"/>
          <w:color w:val="auto"/>
          <w:kern w:val="0"/>
          <w:szCs w:val="21"/>
          <w:highlight w:val="none"/>
        </w:rPr>
        <w:t>见竞选人须知前附表；</w:t>
      </w:r>
    </w:p>
    <w:p w14:paraId="565C446C">
      <w:pPr>
        <w:autoSpaceDE w:val="0"/>
        <w:autoSpaceDN w:val="0"/>
        <w:adjustRightInd w:val="0"/>
        <w:snapToGrid w:val="0"/>
        <w:spacing w:line="450" w:lineRule="exact"/>
        <w:ind w:firstLine="630" w:firstLineChars="300"/>
        <w:jc w:val="left"/>
        <w:rPr>
          <w:rFonts w:hint="eastAsia" w:eastAsia="宋体" w:cs="宋体" w:asciiTheme="minorEastAsia" w:hAnsiTheme="minorEastAsia"/>
          <w:snapToGrid w:val="0"/>
          <w:color w:val="auto"/>
          <w:kern w:val="0"/>
          <w:szCs w:val="21"/>
          <w:highlight w:val="none"/>
          <w:lang w:eastAsia="zh-CN"/>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4</w:t>
      </w:r>
      <w:r>
        <w:rPr>
          <w:rFonts w:hint="eastAsia" w:cs="宋体" w:asciiTheme="minorEastAsia" w:hAnsiTheme="minorEastAsia" w:eastAsiaTheme="minorEastAsia"/>
          <w:snapToGrid w:val="0"/>
          <w:color w:val="auto"/>
          <w:kern w:val="0"/>
          <w:szCs w:val="21"/>
          <w:highlight w:val="none"/>
        </w:rPr>
        <w:t>）其他要求：</w:t>
      </w:r>
      <w:r>
        <w:rPr>
          <w:rFonts w:hint="eastAsia" w:ascii="宋体" w:hAnsi="宋体" w:cs="宋体"/>
          <w:snapToGrid w:val="0"/>
          <w:color w:val="auto"/>
          <w:kern w:val="0"/>
          <w:szCs w:val="21"/>
          <w:highlight w:val="none"/>
        </w:rPr>
        <w:t>见竞选人须知前附表</w:t>
      </w:r>
      <w:r>
        <w:rPr>
          <w:rFonts w:hint="eastAsia" w:ascii="宋体" w:hAnsi="宋体" w:cs="宋体"/>
          <w:snapToGrid w:val="0"/>
          <w:color w:val="auto"/>
          <w:kern w:val="0"/>
          <w:szCs w:val="21"/>
          <w:highlight w:val="none"/>
          <w:lang w:eastAsia="zh-CN"/>
        </w:rPr>
        <w:t>。</w:t>
      </w:r>
    </w:p>
    <w:p w14:paraId="24908AC7">
      <w:pPr>
        <w:autoSpaceDE w:val="0"/>
        <w:autoSpaceDN w:val="0"/>
        <w:adjustRightInd w:val="0"/>
        <w:snapToGrid w:val="0"/>
        <w:spacing w:line="450" w:lineRule="exact"/>
        <w:ind w:firstLine="630" w:firstLineChars="300"/>
        <w:jc w:val="left"/>
        <w:rPr>
          <w:rFonts w:hint="eastAsia"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1.4.2 本项目不接受联合体竞标。</w:t>
      </w:r>
    </w:p>
    <w:p w14:paraId="21E6327E">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1.4.3  竞选人不得存在下列情形之一：</w:t>
      </w:r>
    </w:p>
    <w:p w14:paraId="68CECE44">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bookmarkStart w:id="132" w:name="_Toc200513132"/>
      <w:bookmarkStart w:id="133" w:name="_Toc224103323"/>
      <w:r>
        <w:rPr>
          <w:rFonts w:hint="eastAsia" w:ascii="宋体" w:hAnsi="宋体" w:eastAsia="宋体" w:cs="宋体"/>
          <w:snapToGrid w:val="0"/>
          <w:color w:val="auto"/>
          <w:kern w:val="0"/>
          <w:szCs w:val="21"/>
          <w:highlight w:val="none"/>
        </w:rPr>
        <w:t>（1）为比选人不具有独立法人资格的附属机构（单位）；</w:t>
      </w:r>
    </w:p>
    <w:p w14:paraId="5120B897">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（2）与比选人存在利害关系且可能影响比选公正性；</w:t>
      </w:r>
    </w:p>
    <w:p w14:paraId="57876037">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（3）与本比选项目的其他竞选人为同一个单位负责人；</w:t>
      </w:r>
    </w:p>
    <w:p w14:paraId="27E813C4">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（4）与本比选项目的其他竞选人存在控股、管理关系；</w:t>
      </w:r>
    </w:p>
    <w:p w14:paraId="287FB169">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（5）为本比选项目的代建人；</w:t>
      </w:r>
    </w:p>
    <w:p w14:paraId="6DBC9AEC">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（6）为本比选项目的比选代理机构；</w:t>
      </w:r>
    </w:p>
    <w:p w14:paraId="11B61AF2">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（7）与本比选项目的代建人或比选代理机构同为一个法定代表人；</w:t>
      </w:r>
    </w:p>
    <w:p w14:paraId="045C1179">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（8）与本比选项目的代建人或比选代理机构存在控股或参股关系；</w:t>
      </w:r>
    </w:p>
    <w:p w14:paraId="30926301">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（9）被依法暂停或者取消竞标资格；</w:t>
      </w:r>
    </w:p>
    <w:p w14:paraId="118FCC4F">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（10）被责令停业，暂扣或吊销执照，或吊销资质证书；</w:t>
      </w:r>
    </w:p>
    <w:p w14:paraId="055E91A5">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（11）进入清算程序，或被宣告破产，或其他丧失履约能力的情形；</w:t>
      </w:r>
    </w:p>
    <w:p w14:paraId="026DDAA5">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（12）在最近三年内发生重大质量问题（以相关行业主管部门的行政处罚决定或司法机关出具的有关法律文书为准）；</w:t>
      </w:r>
    </w:p>
    <w:p w14:paraId="54C59349">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（13）被市场监督管理机关在全国企业信用信息公示系统中列入严重违法失信企业名单；</w:t>
      </w:r>
    </w:p>
    <w:p w14:paraId="71D02491">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（14）被人民法院列入失信被执行人名单且在被执行期内；</w:t>
      </w:r>
    </w:p>
    <w:p w14:paraId="5D656DF6">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（15）在近两年内竞选人人或其法定代表人、拟委任的项目负责人有行贿犯罪行为的；</w:t>
      </w:r>
    </w:p>
    <w:p w14:paraId="38B1194C">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（16）被国家、重庆市（含市或任意区县）有关行政部门处以取消竞标资格处罚或禁止从业处罚，且在处罚期限内的；</w:t>
      </w:r>
    </w:p>
    <w:p w14:paraId="65141E2C">
      <w:pPr>
        <w:autoSpaceDE w:val="0"/>
        <w:autoSpaceDN w:val="0"/>
        <w:adjustRightInd w:val="0"/>
        <w:snapToGrid w:val="0"/>
        <w:spacing w:line="450" w:lineRule="exact"/>
        <w:ind w:firstLine="630" w:firstLineChars="3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（17）法律法规或竞选人须知前附表规定的其他情形。</w:t>
      </w:r>
    </w:p>
    <w:p w14:paraId="2C2827F2">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1.5  费用承担</w:t>
      </w:r>
      <w:bookmarkEnd w:id="132"/>
      <w:bookmarkEnd w:id="133"/>
    </w:p>
    <w:p w14:paraId="64B7F6E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竞选人准备和参加竞选活动发生的费用自理。</w:t>
      </w:r>
    </w:p>
    <w:p w14:paraId="6CF0CCEE">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4" w:name="_Toc224103324"/>
      <w:bookmarkStart w:id="135" w:name="_Toc200513133"/>
      <w:r>
        <w:rPr>
          <w:rFonts w:hint="eastAsia" w:cs="宋体" w:asciiTheme="minorEastAsia" w:hAnsiTheme="minorEastAsia" w:eastAsiaTheme="minorEastAsia"/>
          <w:snapToGrid w:val="0"/>
          <w:color w:val="auto"/>
          <w:szCs w:val="21"/>
          <w:highlight w:val="none"/>
        </w:rPr>
        <w:t>1.6  保密</w:t>
      </w:r>
      <w:bookmarkEnd w:id="134"/>
      <w:bookmarkEnd w:id="135"/>
    </w:p>
    <w:p w14:paraId="5148782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参与比选竞选活动的各方应对比选文件和竞选文件中的商业和技术等秘密保密，未经比选人书面同意而违反保密义务的，违者应对由此造成的后果承担法律责任。</w:t>
      </w:r>
    </w:p>
    <w:p w14:paraId="35B49DA6">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6" w:name="_Toc200513134"/>
      <w:bookmarkStart w:id="137" w:name="_Toc224103325"/>
      <w:r>
        <w:rPr>
          <w:rFonts w:hint="eastAsia" w:cs="宋体" w:asciiTheme="minorEastAsia" w:hAnsiTheme="minorEastAsia" w:eastAsiaTheme="minorEastAsia"/>
          <w:snapToGrid w:val="0"/>
          <w:color w:val="auto"/>
          <w:szCs w:val="21"/>
          <w:highlight w:val="none"/>
        </w:rPr>
        <w:t>1.7  语言文字</w:t>
      </w:r>
      <w:bookmarkEnd w:id="136"/>
      <w:bookmarkEnd w:id="137"/>
    </w:p>
    <w:p w14:paraId="47554D6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除专用术语外，与比选竞选有关的语言均使用中文。必要时专用术语应附有中文注释，且内容以中文版本为准。</w:t>
      </w:r>
    </w:p>
    <w:p w14:paraId="3727178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8" w:name="_Toc224103326"/>
      <w:bookmarkStart w:id="139" w:name="_Toc200513135"/>
      <w:r>
        <w:rPr>
          <w:rFonts w:hint="eastAsia" w:cs="宋体" w:asciiTheme="minorEastAsia" w:hAnsiTheme="minorEastAsia" w:eastAsiaTheme="minorEastAsia"/>
          <w:snapToGrid w:val="0"/>
          <w:color w:val="auto"/>
          <w:szCs w:val="21"/>
          <w:highlight w:val="none"/>
        </w:rPr>
        <w:t>1.8  计量单位</w:t>
      </w:r>
      <w:bookmarkEnd w:id="138"/>
      <w:bookmarkEnd w:id="139"/>
    </w:p>
    <w:p w14:paraId="60E880E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所有计量均采用中华人民共和国法定计量单位。</w:t>
      </w:r>
    </w:p>
    <w:p w14:paraId="6698986B">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0" w:name="_Toc224103327"/>
      <w:bookmarkStart w:id="141" w:name="_Toc200513136"/>
      <w:r>
        <w:rPr>
          <w:rFonts w:hint="eastAsia" w:cs="宋体" w:asciiTheme="minorEastAsia" w:hAnsiTheme="minorEastAsia" w:eastAsiaTheme="minorEastAsia"/>
          <w:snapToGrid w:val="0"/>
          <w:color w:val="auto"/>
          <w:szCs w:val="21"/>
          <w:highlight w:val="none"/>
        </w:rPr>
        <w:t>1.9  踏勘现场</w:t>
      </w:r>
      <w:bookmarkEnd w:id="140"/>
      <w:bookmarkEnd w:id="141"/>
    </w:p>
    <w:p w14:paraId="4F621F4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无。</w:t>
      </w:r>
    </w:p>
    <w:p w14:paraId="108FE35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2" w:name="_Toc224103328"/>
      <w:bookmarkStart w:id="143" w:name="_Toc200513137"/>
      <w:r>
        <w:rPr>
          <w:rFonts w:hint="eastAsia" w:cs="宋体" w:asciiTheme="minorEastAsia" w:hAnsiTheme="minorEastAsia" w:eastAsiaTheme="minorEastAsia"/>
          <w:snapToGrid w:val="0"/>
          <w:color w:val="auto"/>
          <w:szCs w:val="21"/>
          <w:highlight w:val="none"/>
        </w:rPr>
        <w:t>1.10  竞选预备会</w:t>
      </w:r>
      <w:bookmarkEnd w:id="142"/>
      <w:bookmarkEnd w:id="143"/>
    </w:p>
    <w:p w14:paraId="76B6B42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无。</w:t>
      </w:r>
    </w:p>
    <w:p w14:paraId="7807AE0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4" w:name="_Toc200513139"/>
      <w:bookmarkStart w:id="145" w:name="_Toc224103330"/>
      <w:r>
        <w:rPr>
          <w:rFonts w:hint="eastAsia" w:cs="宋体" w:asciiTheme="minorEastAsia" w:hAnsiTheme="minorEastAsia" w:eastAsiaTheme="minorEastAsia"/>
          <w:snapToGrid w:val="0"/>
          <w:color w:val="auto"/>
          <w:szCs w:val="21"/>
          <w:highlight w:val="none"/>
        </w:rPr>
        <w:t>1.11  偏离</w:t>
      </w:r>
      <w:bookmarkEnd w:id="144"/>
      <w:bookmarkEnd w:id="145"/>
    </w:p>
    <w:p w14:paraId="4EB56FC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竞选人须知前附表允许竞选文件偏离比选文件某些要求的，偏离应当符合比选文件规定的偏离范围和幅度。</w:t>
      </w:r>
    </w:p>
    <w:p w14:paraId="16A77FE0">
      <w:pPr>
        <w:pStyle w:val="42"/>
        <w:rPr>
          <w:rFonts w:asciiTheme="minorEastAsia" w:hAnsiTheme="minorEastAsia" w:eastAsiaTheme="minorEastAsia"/>
          <w:b/>
          <w:snapToGrid w:val="0"/>
          <w:color w:val="auto"/>
          <w:highlight w:val="none"/>
        </w:rPr>
      </w:pPr>
      <w:bookmarkStart w:id="146" w:name="_Toc224103331"/>
      <w:bookmarkStart w:id="147" w:name="_Toc200513140"/>
      <w:r>
        <w:rPr>
          <w:rFonts w:hint="eastAsia" w:asciiTheme="minorEastAsia" w:hAnsiTheme="minorEastAsia" w:eastAsiaTheme="minorEastAsia"/>
          <w:b/>
          <w:snapToGrid w:val="0"/>
          <w:color w:val="auto"/>
          <w:highlight w:val="none"/>
        </w:rPr>
        <w:t>2.  比选文件</w:t>
      </w:r>
      <w:bookmarkEnd w:id="146"/>
      <w:bookmarkEnd w:id="147"/>
    </w:p>
    <w:p w14:paraId="74F8118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8" w:name="_Toc200513141"/>
      <w:bookmarkStart w:id="149" w:name="_Toc224103332"/>
      <w:r>
        <w:rPr>
          <w:rFonts w:hint="eastAsia" w:cs="宋体" w:asciiTheme="minorEastAsia" w:hAnsiTheme="minorEastAsia" w:eastAsiaTheme="minorEastAsia"/>
          <w:snapToGrid w:val="0"/>
          <w:color w:val="auto"/>
          <w:szCs w:val="21"/>
          <w:highlight w:val="none"/>
        </w:rPr>
        <w:t>2.1  比选文件的组成</w:t>
      </w:r>
      <w:bookmarkEnd w:id="148"/>
      <w:bookmarkEnd w:id="149"/>
    </w:p>
    <w:p w14:paraId="08C8BA69">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本比选文件包括：</w:t>
      </w:r>
    </w:p>
    <w:p w14:paraId="30734FA1">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（1）比选公告；</w:t>
      </w:r>
    </w:p>
    <w:p w14:paraId="1AB6D0AC">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（2）竞选人须知；</w:t>
      </w:r>
    </w:p>
    <w:p w14:paraId="767B8F0E">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（3）评选办法；</w:t>
      </w:r>
    </w:p>
    <w:p w14:paraId="6DF85CF2">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（4）合同条款；</w:t>
      </w:r>
    </w:p>
    <w:p w14:paraId="3C12EE68">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（5）技术标准和要求；</w:t>
      </w:r>
    </w:p>
    <w:p w14:paraId="27A7AE65">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（6）竞选文件格式；</w:t>
      </w:r>
    </w:p>
    <w:p w14:paraId="52224F35">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（7）竞选人须知前附表规定的其他材料。</w:t>
      </w:r>
    </w:p>
    <w:p w14:paraId="5E0CDB44">
      <w:pPr>
        <w:autoSpaceDE w:val="0"/>
        <w:autoSpaceDN w:val="0"/>
        <w:adjustRightInd w:val="0"/>
        <w:snapToGrid w:val="0"/>
        <w:spacing w:line="450" w:lineRule="exact"/>
        <w:ind w:firstLine="735" w:firstLineChars="3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根据本章第1.10款、第2.2款和第2.3款对比选文件所作的澄清、修改，构成比选文件的组成部分。</w:t>
      </w:r>
    </w:p>
    <w:p w14:paraId="56D24C58">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0" w:name="_Toc224103333"/>
      <w:bookmarkStart w:id="151" w:name="_Toc200513142"/>
      <w:r>
        <w:rPr>
          <w:rFonts w:hint="eastAsia" w:cs="宋体" w:asciiTheme="minorEastAsia" w:hAnsiTheme="minorEastAsia" w:eastAsiaTheme="minorEastAsia"/>
          <w:snapToGrid w:val="0"/>
          <w:color w:val="auto"/>
          <w:szCs w:val="21"/>
          <w:highlight w:val="none"/>
        </w:rPr>
        <w:t>2.2  比选文件的澄清</w:t>
      </w:r>
      <w:bookmarkEnd w:id="150"/>
      <w:bookmarkEnd w:id="151"/>
    </w:p>
    <w:p w14:paraId="34C8F82F">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2.2.1  竞选人应仔细阅读和检查比选文件的全部内容。如发现缺页或附件不全，应及时向比选人提出，以便补齐。如有疑问，应在竞选人须知前附表规定的时间前以书面形式（包括信函、电报、传真等可以有形地表现所载内容的形式，下同），要求比选人对比选文件予以澄清。</w:t>
      </w:r>
    </w:p>
    <w:p w14:paraId="3FB35FA5">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2.2.2  比选文件的澄清将在竞选人须知前附表规定的竞选截止时间前以书面形式发给所有购买比选文件的竞选人，但不指明澄清问题的来源。</w:t>
      </w:r>
    </w:p>
    <w:p w14:paraId="6BF4521A">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position w:val="-2"/>
          <w:szCs w:val="21"/>
          <w:highlight w:val="none"/>
        </w:rPr>
        <w:t>2.2.3  竞选人在收到澄清后，应在竞选人须知前附表规定的时间内以书面形式通知比选人</w:t>
      </w:r>
      <w:r>
        <w:rPr>
          <w:rFonts w:hint="eastAsia" w:cs="宋体" w:asciiTheme="minorEastAsia" w:hAnsiTheme="minorEastAsia" w:eastAsiaTheme="minorEastAsia"/>
          <w:snapToGrid w:val="0"/>
          <w:color w:val="auto"/>
          <w:kern w:val="0"/>
          <w:szCs w:val="21"/>
          <w:highlight w:val="none"/>
        </w:rPr>
        <w:t>，确认已收到该澄清。</w:t>
      </w:r>
    </w:p>
    <w:p w14:paraId="3EF6ABC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2" w:name="_Toc200513143"/>
      <w:bookmarkStart w:id="153" w:name="_Toc224103334"/>
      <w:r>
        <w:rPr>
          <w:rFonts w:hint="eastAsia" w:cs="宋体" w:asciiTheme="minorEastAsia" w:hAnsiTheme="minorEastAsia" w:eastAsiaTheme="minorEastAsia"/>
          <w:snapToGrid w:val="0"/>
          <w:color w:val="auto"/>
          <w:szCs w:val="21"/>
          <w:highlight w:val="none"/>
        </w:rPr>
        <w:t>2.3  比选文件的修改</w:t>
      </w:r>
      <w:bookmarkEnd w:id="152"/>
      <w:bookmarkEnd w:id="153"/>
    </w:p>
    <w:p w14:paraId="44DA7F6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2.3.1  在竞选截止时间前，比选人可以书面形式修改比选文件，并通知所有已购买比选文件的竞选人。</w:t>
      </w:r>
    </w:p>
    <w:p w14:paraId="2DBF58A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2.3.2  竞选人收到修改内容后，应在竞选人须知前附表规定的时间内以书面形式通知比选人，确认已收到该修改。</w:t>
      </w:r>
    </w:p>
    <w:p w14:paraId="4B71066A">
      <w:pPr>
        <w:spacing w:line="450" w:lineRule="exact"/>
        <w:ind w:firstLine="422" w:firstLineChars="200"/>
        <w:rPr>
          <w:rFonts w:cs="宋体" w:asciiTheme="minorEastAsia" w:hAnsiTheme="minorEastAsia" w:eastAsiaTheme="minorEastAsia"/>
          <w:b/>
          <w:snapToGrid w:val="0"/>
          <w:color w:val="auto"/>
          <w:szCs w:val="21"/>
          <w:highlight w:val="none"/>
        </w:rPr>
      </w:pPr>
      <w:bookmarkStart w:id="154" w:name="_Toc224103335"/>
      <w:bookmarkStart w:id="155" w:name="_Toc200513144"/>
      <w:r>
        <w:rPr>
          <w:rFonts w:hint="eastAsia" w:cs="宋体" w:asciiTheme="minorEastAsia" w:hAnsiTheme="minorEastAsia" w:eastAsiaTheme="minorEastAsia"/>
          <w:b/>
          <w:snapToGrid w:val="0"/>
          <w:color w:val="auto"/>
          <w:szCs w:val="21"/>
          <w:highlight w:val="none"/>
        </w:rPr>
        <w:t>3.  竞选文件</w:t>
      </w:r>
      <w:bookmarkEnd w:id="154"/>
      <w:bookmarkEnd w:id="155"/>
    </w:p>
    <w:p w14:paraId="13440C2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6" w:name="_Toc200513145"/>
      <w:bookmarkStart w:id="157" w:name="_Toc224103336"/>
      <w:r>
        <w:rPr>
          <w:rFonts w:hint="eastAsia" w:cs="宋体" w:asciiTheme="minorEastAsia" w:hAnsiTheme="minorEastAsia" w:eastAsiaTheme="minorEastAsia"/>
          <w:snapToGrid w:val="0"/>
          <w:color w:val="auto"/>
          <w:szCs w:val="21"/>
          <w:highlight w:val="none"/>
        </w:rPr>
        <w:t>3.1  竞选文件的组成</w:t>
      </w:r>
      <w:bookmarkEnd w:id="156"/>
      <w:bookmarkEnd w:id="157"/>
    </w:p>
    <w:p w14:paraId="0088D9B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竞选文件由“竞选函部分和资格审查资料部分”和“技术部分”组成。</w:t>
      </w:r>
    </w:p>
    <w:p w14:paraId="5D88B05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3.1.1“竞选函部分和资格审查资料部分”应包括下列内容：</w:t>
      </w:r>
    </w:p>
    <w:p w14:paraId="5126306B">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（1）竞选函</w:t>
      </w:r>
    </w:p>
    <w:p w14:paraId="77A1D6D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（2）法定代表人授权书</w:t>
      </w:r>
    </w:p>
    <w:p w14:paraId="3A6705D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（3）法人身份证明</w:t>
      </w:r>
    </w:p>
    <w:p w14:paraId="2C28784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（4）全套资格后审申请资料</w:t>
      </w:r>
    </w:p>
    <w:p w14:paraId="6914FCD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（5）其他资料</w:t>
      </w:r>
    </w:p>
    <w:p w14:paraId="1A953AB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3.1.2技术部分应包括下列内容：</w:t>
      </w:r>
    </w:p>
    <w:p w14:paraId="36566D1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（1）方案文本文件：</w:t>
      </w:r>
    </w:p>
    <w:p w14:paraId="5B6D725B">
      <w:pPr>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bookmarkStart w:id="158" w:name="_Toc200513146"/>
      <w:bookmarkStart w:id="159" w:name="_Toc224103337"/>
      <w:r>
        <w:rPr>
          <w:rFonts w:hint="eastAsia" w:cs="宋体" w:asciiTheme="minorEastAsia" w:hAnsiTheme="minorEastAsia" w:eastAsiaTheme="minorEastAsia"/>
          <w:snapToGrid w:val="0"/>
          <w:color w:val="auto"/>
          <w:szCs w:val="21"/>
          <w:highlight w:val="none"/>
        </w:rPr>
        <w:t>3.2  竞选报价</w:t>
      </w:r>
      <w:bookmarkEnd w:id="158"/>
      <w:bookmarkEnd w:id="159"/>
      <w:r>
        <w:rPr>
          <w:rFonts w:hint="eastAsia" w:cs="宋体" w:asciiTheme="minorEastAsia" w:hAnsiTheme="minorEastAsia" w:eastAsiaTheme="minorEastAsia"/>
          <w:snapToGrid w:val="0"/>
          <w:color w:val="auto"/>
          <w:szCs w:val="21"/>
          <w:highlight w:val="none"/>
        </w:rPr>
        <w:t>：</w:t>
      </w:r>
      <w:r>
        <w:rPr>
          <w:rFonts w:hint="eastAsia" w:cs="宋体" w:asciiTheme="minorEastAsia" w:hAnsiTheme="minorEastAsia" w:eastAsiaTheme="minorEastAsia"/>
          <w:snapToGrid w:val="0"/>
          <w:color w:val="auto"/>
          <w:kern w:val="0"/>
          <w:szCs w:val="21"/>
          <w:highlight w:val="none"/>
        </w:rPr>
        <w:t>见竞选人须知前附表。</w:t>
      </w:r>
    </w:p>
    <w:p w14:paraId="200A528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0" w:name="_Toc224103338"/>
      <w:bookmarkStart w:id="161" w:name="_Toc200513147"/>
      <w:r>
        <w:rPr>
          <w:rFonts w:hint="eastAsia" w:cs="宋体" w:asciiTheme="minorEastAsia" w:hAnsiTheme="minorEastAsia" w:eastAsiaTheme="minorEastAsia"/>
          <w:snapToGrid w:val="0"/>
          <w:color w:val="auto"/>
          <w:szCs w:val="21"/>
          <w:highlight w:val="none"/>
        </w:rPr>
        <w:t>3.3  竞选有效期</w:t>
      </w:r>
      <w:bookmarkEnd w:id="160"/>
      <w:bookmarkEnd w:id="161"/>
    </w:p>
    <w:p w14:paraId="210517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3.3.1  在竞选人须知前附表规定的竞选有效期内，竞选人不得要求撤销或修改其竞选文件。</w:t>
      </w:r>
    </w:p>
    <w:p w14:paraId="13325780">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3.3.2  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w:t>
      </w:r>
    </w:p>
    <w:p w14:paraId="12BA6E2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2" w:name="_Toc200513148"/>
      <w:bookmarkStart w:id="163" w:name="_Toc224103339"/>
      <w:r>
        <w:rPr>
          <w:rFonts w:hint="eastAsia" w:cs="宋体" w:asciiTheme="minorEastAsia" w:hAnsiTheme="minorEastAsia" w:eastAsiaTheme="minorEastAsia"/>
          <w:snapToGrid w:val="0"/>
          <w:color w:val="auto"/>
          <w:szCs w:val="21"/>
          <w:highlight w:val="none"/>
        </w:rPr>
        <w:t>3.4  竞选保证金</w:t>
      </w:r>
      <w:bookmarkEnd w:id="162"/>
      <w:bookmarkEnd w:id="163"/>
    </w:p>
    <w:p w14:paraId="0C07386A">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3.4.1  竞选人在递交竞选文件的同时，应按竞选人须知前附表规定的金额、担保形式递交竞选保证金，并作为其竞选文件的组成部分。</w:t>
      </w:r>
    </w:p>
    <w:p w14:paraId="2E32B93A">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3.4.2  竞选人不按本章第 3.4.1 项要求提交竞选保证金的，其竞选文件作否决竞选处理。</w:t>
      </w:r>
    </w:p>
    <w:p w14:paraId="58DA5484">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3.4.3  比选人与中选人签订合同后5日内，向未中选的竞选人和中选人退还竞选</w:t>
      </w:r>
      <w:r>
        <w:rPr>
          <w:rFonts w:hint="eastAsia" w:cs="宋体" w:asciiTheme="minorEastAsia" w:hAnsiTheme="minorEastAsia" w:eastAsiaTheme="minorEastAsia"/>
          <w:snapToGrid w:val="0"/>
          <w:color w:val="auto"/>
          <w:kern w:val="0"/>
          <w:position w:val="-2"/>
          <w:szCs w:val="21"/>
          <w:highlight w:val="none"/>
        </w:rPr>
        <w:t>保证金。</w:t>
      </w:r>
    </w:p>
    <w:p w14:paraId="058BE46C">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3.4.4  有下列情形之一的，竞选保证金将不予退还：</w:t>
      </w:r>
    </w:p>
    <w:p w14:paraId="1ECCF3FC">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（1）竞选人在规定的竞选有效期内撤销或修改其竞选文件；</w:t>
      </w:r>
    </w:p>
    <w:p w14:paraId="41A42053">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（2）中选人在收到中选通知书后，无正当理由拒签合同协议书或未按比选文件规定提交履约担保。</w:t>
      </w:r>
    </w:p>
    <w:p w14:paraId="44E962A1">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（3）法律法规和比选文件规定的其他情形。</w:t>
      </w:r>
    </w:p>
    <w:p w14:paraId="2A32B4D6">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4" w:name="_Toc200513150"/>
      <w:bookmarkStart w:id="165" w:name="_Toc224103341"/>
      <w:r>
        <w:rPr>
          <w:rFonts w:hint="eastAsia" w:cs="宋体" w:asciiTheme="minorEastAsia" w:hAnsiTheme="minorEastAsia" w:eastAsiaTheme="minorEastAsia"/>
          <w:snapToGrid w:val="0"/>
          <w:color w:val="auto"/>
          <w:szCs w:val="21"/>
          <w:highlight w:val="none"/>
        </w:rPr>
        <w:t>3.5  资格审查资料</w:t>
      </w:r>
      <w:bookmarkEnd w:id="164"/>
      <w:bookmarkEnd w:id="165"/>
    </w:p>
    <w:p w14:paraId="5C791F6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按竞选人须知前附表执行。</w:t>
      </w:r>
    </w:p>
    <w:p w14:paraId="251B655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6" w:name="_Toc224103342"/>
      <w:bookmarkStart w:id="167" w:name="_Toc200513151"/>
      <w:r>
        <w:rPr>
          <w:rFonts w:hint="eastAsia" w:cs="宋体" w:asciiTheme="minorEastAsia" w:hAnsiTheme="minorEastAsia" w:eastAsiaTheme="minorEastAsia"/>
          <w:snapToGrid w:val="0"/>
          <w:color w:val="auto"/>
          <w:szCs w:val="21"/>
          <w:highlight w:val="none"/>
        </w:rPr>
        <w:t>3.6  备选竞选方案</w:t>
      </w:r>
      <w:bookmarkEnd w:id="166"/>
      <w:bookmarkEnd w:id="167"/>
    </w:p>
    <w:p w14:paraId="23315D89">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竞选人须知前附表另有规定外，竞选人不得递交备选竞选方案。允许竞选人递交备选竞选方案的，只有中选人所递交的备选竞选方案方可予以考虑。评选委员会认为中选人的备选竞选方案优于其按照比选文件要求编制的竞选方案的，比选人可以接受该备选竞选方案。</w:t>
      </w:r>
    </w:p>
    <w:p w14:paraId="58CD77A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8" w:name="_Toc200513152"/>
      <w:bookmarkStart w:id="169" w:name="_Toc224103343"/>
      <w:r>
        <w:rPr>
          <w:rFonts w:hint="eastAsia" w:cs="宋体" w:asciiTheme="minorEastAsia" w:hAnsiTheme="minorEastAsia" w:eastAsiaTheme="minorEastAsia"/>
          <w:snapToGrid w:val="0"/>
          <w:color w:val="auto"/>
          <w:szCs w:val="21"/>
          <w:highlight w:val="none"/>
        </w:rPr>
        <w:t>3.7  竞选文件的编制</w:t>
      </w:r>
      <w:bookmarkEnd w:id="168"/>
      <w:bookmarkEnd w:id="169"/>
    </w:p>
    <w:p w14:paraId="6E3A49C1">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3.7.1  竞选文件应按第六章“竞选文件格式”进行编写，如有必要，可以增加附页，作为竞选文件的组成部分。</w:t>
      </w:r>
    </w:p>
    <w:p w14:paraId="3B55350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3.7.2  竞选文件应当对比选文件有关工期、竞选有效期、质量要求、技术标准和要求、 比选范围等实质性内容做出响应。</w:t>
      </w:r>
    </w:p>
    <w:p w14:paraId="7B39896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position w:val="-2"/>
          <w:szCs w:val="21"/>
          <w:highlight w:val="none"/>
        </w:rPr>
        <w:t>3.7.3  竞选文件应用不褪色的材料书写或打印，并由竞选人的法定代表人或其委托代理</w:t>
      </w:r>
      <w:r>
        <w:rPr>
          <w:rFonts w:hint="eastAsia" w:cs="宋体" w:asciiTheme="minorEastAsia" w:hAnsiTheme="minorEastAsia" w:eastAsiaTheme="minorEastAsia"/>
          <w:snapToGrid w:val="0"/>
          <w:color w:val="auto"/>
          <w:kern w:val="0"/>
          <w:szCs w:val="21"/>
          <w:highlight w:val="none"/>
        </w:rPr>
        <w:t>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14:paraId="32BD2D94">
      <w:pPr>
        <w:autoSpaceDE w:val="0"/>
        <w:autoSpaceDN w:val="0"/>
        <w:adjustRightInd w:val="0"/>
        <w:snapToGrid w:val="0"/>
        <w:spacing w:line="450" w:lineRule="exact"/>
        <w:ind w:right="-164"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3.7.4  竞选文件正本一份，副本份数见竞选人须知前附表。正本和副本的封面上应清楚地标记“正本”或“副本”的字样。当副本和正本不一致时，以正本为准。</w:t>
      </w:r>
    </w:p>
    <w:p w14:paraId="1677565B">
      <w:pPr>
        <w:autoSpaceDE w:val="0"/>
        <w:autoSpaceDN w:val="0"/>
        <w:adjustRightInd w:val="0"/>
        <w:snapToGrid w:val="0"/>
        <w:spacing w:line="450" w:lineRule="exact"/>
        <w:ind w:right="-109"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3.7.5  竞选文件的正本与副本应分别装订成册，并编制目录，具体装订要求见竞选人须知前附表规定。</w:t>
      </w:r>
    </w:p>
    <w:p w14:paraId="24558331">
      <w:pPr>
        <w:spacing w:line="450" w:lineRule="exact"/>
        <w:ind w:firstLine="422" w:firstLineChars="200"/>
        <w:rPr>
          <w:rFonts w:cs="宋体" w:asciiTheme="minorEastAsia" w:hAnsiTheme="minorEastAsia" w:eastAsiaTheme="minorEastAsia"/>
          <w:b/>
          <w:snapToGrid w:val="0"/>
          <w:color w:val="auto"/>
          <w:szCs w:val="21"/>
          <w:highlight w:val="none"/>
        </w:rPr>
      </w:pPr>
      <w:bookmarkStart w:id="170" w:name="_Toc200513153"/>
      <w:bookmarkStart w:id="171" w:name="_Toc224103344"/>
      <w:r>
        <w:rPr>
          <w:rFonts w:hint="eastAsia" w:cs="宋体" w:asciiTheme="minorEastAsia" w:hAnsiTheme="minorEastAsia" w:eastAsiaTheme="minorEastAsia"/>
          <w:b/>
          <w:snapToGrid w:val="0"/>
          <w:color w:val="auto"/>
          <w:szCs w:val="21"/>
          <w:highlight w:val="none"/>
        </w:rPr>
        <w:t xml:space="preserve">4.  </w:t>
      </w:r>
      <w:bookmarkEnd w:id="170"/>
      <w:bookmarkEnd w:id="171"/>
      <w:r>
        <w:rPr>
          <w:rFonts w:hint="eastAsia" w:cs="宋体" w:asciiTheme="minorEastAsia" w:hAnsiTheme="minorEastAsia" w:eastAsiaTheme="minorEastAsia"/>
          <w:b/>
          <w:snapToGrid w:val="0"/>
          <w:color w:val="auto"/>
          <w:szCs w:val="21"/>
          <w:highlight w:val="none"/>
        </w:rPr>
        <w:t>竞选</w:t>
      </w:r>
    </w:p>
    <w:p w14:paraId="14986CDA">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2" w:name="_Toc200513154"/>
      <w:bookmarkStart w:id="173" w:name="_Toc224103345"/>
      <w:r>
        <w:rPr>
          <w:rFonts w:hint="eastAsia" w:cs="宋体" w:asciiTheme="minorEastAsia" w:hAnsiTheme="minorEastAsia" w:eastAsiaTheme="minorEastAsia"/>
          <w:snapToGrid w:val="0"/>
          <w:color w:val="auto"/>
          <w:szCs w:val="21"/>
          <w:highlight w:val="none"/>
        </w:rPr>
        <w:t>4.1  竞选文件的密封和标记</w:t>
      </w:r>
      <w:bookmarkEnd w:id="172"/>
      <w:bookmarkEnd w:id="173"/>
    </w:p>
    <w:p w14:paraId="2A7248F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bookmarkStart w:id="174" w:name="_Toc200513155"/>
      <w:r>
        <w:rPr>
          <w:rFonts w:hint="eastAsia" w:cs="宋体" w:asciiTheme="minorEastAsia" w:hAnsiTheme="minorEastAsia" w:eastAsiaTheme="minorEastAsia"/>
          <w:snapToGrid w:val="0"/>
          <w:color w:val="auto"/>
          <w:kern w:val="0"/>
          <w:szCs w:val="21"/>
          <w:highlight w:val="none"/>
        </w:rPr>
        <w:t>4.1.1  竞选文件的正本与副本密封见竞选人须知前附表。</w:t>
      </w:r>
    </w:p>
    <w:p w14:paraId="0211655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4.1.2  竞选文件的封套上应写明的内容见竞选人须知前附表。</w:t>
      </w:r>
    </w:p>
    <w:p w14:paraId="44B8E6CD">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4.1.3  未按本章第 4.1.1 项或第 4.1.2 项要求密封和加写标记的竞选文件，比选人不予受理。</w:t>
      </w:r>
    </w:p>
    <w:p w14:paraId="7435C22B">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5" w:name="_Toc224103346"/>
      <w:r>
        <w:rPr>
          <w:rFonts w:hint="eastAsia" w:cs="宋体" w:asciiTheme="minorEastAsia" w:hAnsiTheme="minorEastAsia" w:eastAsiaTheme="minorEastAsia"/>
          <w:snapToGrid w:val="0"/>
          <w:color w:val="auto"/>
          <w:szCs w:val="21"/>
          <w:highlight w:val="none"/>
        </w:rPr>
        <w:t>4.2  竞选文件的递交</w:t>
      </w:r>
      <w:bookmarkEnd w:id="174"/>
      <w:bookmarkEnd w:id="175"/>
    </w:p>
    <w:p w14:paraId="16904FE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4.2.1  竞选人应在本章第 2.2.2 项规定的竞选截止时间前递交竞选文件。</w:t>
      </w:r>
    </w:p>
    <w:p w14:paraId="43CCAAD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4.2.2  竞选人递交竞选文件的地点：见竞选人须知前附表。</w:t>
      </w:r>
    </w:p>
    <w:p w14:paraId="710813B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4.2.3  除竞选人须知前附表另有规定外，竞选人所递交的竞选文件不予退还。</w:t>
      </w:r>
    </w:p>
    <w:p w14:paraId="5DFBF12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4.2.4  比选人收到竞选文件后，向竞选人出具签收凭证。</w:t>
      </w:r>
    </w:p>
    <w:p w14:paraId="757BAC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4.2.5  逾期送达的或者未送达指定地点的竞选文件，比选人不予受理。</w:t>
      </w:r>
    </w:p>
    <w:p w14:paraId="32293C5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6" w:name="_Toc200513156"/>
      <w:bookmarkStart w:id="177" w:name="_Toc224103347"/>
      <w:r>
        <w:rPr>
          <w:rFonts w:hint="eastAsia" w:cs="宋体" w:asciiTheme="minorEastAsia" w:hAnsiTheme="minorEastAsia" w:eastAsiaTheme="minorEastAsia"/>
          <w:snapToGrid w:val="0"/>
          <w:color w:val="auto"/>
          <w:szCs w:val="21"/>
          <w:highlight w:val="none"/>
        </w:rPr>
        <w:t>4.3  竞选文件的修改与撤回</w:t>
      </w:r>
      <w:bookmarkEnd w:id="176"/>
      <w:bookmarkEnd w:id="177"/>
    </w:p>
    <w:p w14:paraId="3113AF3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4.3.1  在本章第2.2.2项规定的竞选截止时间前，竞选人可以修改或撤回已递交的竞选文件，但应以书面形式通知比选人。</w:t>
      </w:r>
    </w:p>
    <w:p w14:paraId="6F951CBB">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4.3.2  竞选人修改或撤回已递交竞选文件的书面通知应按照本章第3.7.3项的要求签字或盖章。比选人收到书面通知后，向竞选人出具签收凭证。</w:t>
      </w:r>
    </w:p>
    <w:p w14:paraId="2962D7C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4.3.3  修改的内容为竞选文件的组成部分。修改的竞选文件应按照本章第3条、第4条规定进行编制、密封、标记和递交，并标明“修改”字样。</w:t>
      </w:r>
    </w:p>
    <w:p w14:paraId="0A8DE574">
      <w:pPr>
        <w:spacing w:line="450" w:lineRule="exact"/>
        <w:ind w:firstLine="422" w:firstLineChars="200"/>
        <w:rPr>
          <w:rFonts w:cs="宋体" w:asciiTheme="minorEastAsia" w:hAnsiTheme="minorEastAsia" w:eastAsiaTheme="minorEastAsia"/>
          <w:b/>
          <w:snapToGrid w:val="0"/>
          <w:color w:val="auto"/>
          <w:szCs w:val="21"/>
          <w:highlight w:val="none"/>
        </w:rPr>
      </w:pPr>
      <w:bookmarkStart w:id="178" w:name="_Toc224103348"/>
      <w:bookmarkStart w:id="179" w:name="_Toc200513157"/>
      <w:r>
        <w:rPr>
          <w:rFonts w:hint="eastAsia" w:cs="宋体" w:asciiTheme="minorEastAsia" w:hAnsiTheme="minorEastAsia" w:eastAsiaTheme="minorEastAsia"/>
          <w:b/>
          <w:snapToGrid w:val="0"/>
          <w:color w:val="auto"/>
          <w:szCs w:val="21"/>
          <w:highlight w:val="none"/>
        </w:rPr>
        <w:t>5.  开标</w:t>
      </w:r>
      <w:bookmarkEnd w:id="178"/>
      <w:bookmarkEnd w:id="179"/>
    </w:p>
    <w:p w14:paraId="25134AF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0" w:name="_Toc224103349"/>
      <w:bookmarkStart w:id="181" w:name="_Toc200513158"/>
      <w:r>
        <w:rPr>
          <w:rFonts w:hint="eastAsia" w:cs="宋体" w:asciiTheme="minorEastAsia" w:hAnsiTheme="minorEastAsia" w:eastAsiaTheme="minorEastAsia"/>
          <w:snapToGrid w:val="0"/>
          <w:color w:val="auto"/>
          <w:szCs w:val="21"/>
          <w:highlight w:val="none"/>
        </w:rPr>
        <w:t>5.1  开标时间和地点</w:t>
      </w:r>
      <w:bookmarkEnd w:id="180"/>
      <w:bookmarkEnd w:id="181"/>
    </w:p>
    <w:p w14:paraId="4AF0DF3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比选人在本章第 2.2.2 项规定的竞选截止时间（开标时间）和竞选人须知前附表规定的地点公开开标，并邀请所有竞选人的法定代表人或其委托代理人准时参加。</w:t>
      </w:r>
    </w:p>
    <w:p w14:paraId="541B45D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2" w:name="_Toc224103350"/>
      <w:bookmarkStart w:id="183" w:name="_Toc200513159"/>
      <w:r>
        <w:rPr>
          <w:rFonts w:hint="eastAsia" w:cs="宋体" w:asciiTheme="minorEastAsia" w:hAnsiTheme="minorEastAsia" w:eastAsiaTheme="minorEastAsia"/>
          <w:snapToGrid w:val="0"/>
          <w:color w:val="auto"/>
          <w:szCs w:val="21"/>
          <w:highlight w:val="none"/>
        </w:rPr>
        <w:t>5.2  开标程序</w:t>
      </w:r>
      <w:bookmarkEnd w:id="182"/>
      <w:bookmarkEnd w:id="183"/>
    </w:p>
    <w:p w14:paraId="56243818">
      <w:pPr>
        <w:autoSpaceDE w:val="0"/>
        <w:autoSpaceDN w:val="0"/>
        <w:adjustRightInd w:val="0"/>
        <w:snapToGrid w:val="0"/>
        <w:spacing w:line="450" w:lineRule="exact"/>
        <w:ind w:left="4" w:leftChars="2"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同竞选人须知前附表。</w:t>
      </w:r>
    </w:p>
    <w:p w14:paraId="2818F74D">
      <w:pPr>
        <w:spacing w:line="450" w:lineRule="exact"/>
        <w:ind w:firstLine="422" w:firstLineChars="200"/>
        <w:rPr>
          <w:rFonts w:cs="宋体" w:asciiTheme="minorEastAsia" w:hAnsiTheme="minorEastAsia" w:eastAsiaTheme="minorEastAsia"/>
          <w:b/>
          <w:snapToGrid w:val="0"/>
          <w:color w:val="auto"/>
          <w:szCs w:val="21"/>
          <w:highlight w:val="none"/>
        </w:rPr>
      </w:pPr>
      <w:bookmarkStart w:id="184" w:name="_Toc200513160"/>
      <w:bookmarkStart w:id="185" w:name="_Toc224103351"/>
      <w:r>
        <w:rPr>
          <w:rFonts w:hint="eastAsia" w:cs="宋体" w:asciiTheme="minorEastAsia" w:hAnsiTheme="minorEastAsia" w:eastAsiaTheme="minorEastAsia"/>
          <w:b/>
          <w:snapToGrid w:val="0"/>
          <w:color w:val="auto"/>
          <w:szCs w:val="21"/>
          <w:highlight w:val="none"/>
        </w:rPr>
        <w:t xml:space="preserve">6.  </w:t>
      </w:r>
      <w:bookmarkEnd w:id="184"/>
      <w:bookmarkEnd w:id="185"/>
      <w:r>
        <w:rPr>
          <w:rFonts w:hint="eastAsia" w:cs="宋体" w:asciiTheme="minorEastAsia" w:hAnsiTheme="minorEastAsia" w:eastAsiaTheme="minorEastAsia"/>
          <w:b/>
          <w:snapToGrid w:val="0"/>
          <w:color w:val="auto"/>
          <w:szCs w:val="21"/>
          <w:highlight w:val="none"/>
        </w:rPr>
        <w:t>评选</w:t>
      </w:r>
    </w:p>
    <w:p w14:paraId="4B89441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6" w:name="_Toc200513161"/>
      <w:bookmarkStart w:id="187" w:name="_Toc224103352"/>
      <w:r>
        <w:rPr>
          <w:rFonts w:hint="eastAsia" w:cs="宋体" w:asciiTheme="minorEastAsia" w:hAnsiTheme="minorEastAsia" w:eastAsiaTheme="minorEastAsia"/>
          <w:snapToGrid w:val="0"/>
          <w:color w:val="auto"/>
          <w:szCs w:val="21"/>
          <w:highlight w:val="none"/>
        </w:rPr>
        <w:t>6.1  评选委员会</w:t>
      </w:r>
      <w:bookmarkEnd w:id="186"/>
      <w:bookmarkEnd w:id="187"/>
    </w:p>
    <w:p w14:paraId="5611A025">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6.1.1  评选由比选人依法组建的评选委员会负责。评选委员会由比选人或其委托的比选代理机构熟悉相关业务的代表，以及有关技术、经济等方面的专家组成。评选委员会成员人数以及技术、经济等方面专家的确定方式见竞选人须知前附表。</w:t>
      </w:r>
    </w:p>
    <w:p w14:paraId="3B9BEF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6.1.2  评选委员会成员有下列情形之一的，应当回避：</w:t>
      </w:r>
    </w:p>
    <w:p w14:paraId="34D5ECB6">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（1）比选人或竞选人的主要负责人的近亲属；</w:t>
      </w:r>
    </w:p>
    <w:p w14:paraId="71B56961">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（2）项目主管部门或者行政监督部门的人员；</w:t>
      </w:r>
    </w:p>
    <w:p w14:paraId="54F664CB">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（3）与竞选人有经济利益关系，可能影响对竞选公正评审的；</w:t>
      </w:r>
    </w:p>
    <w:p w14:paraId="3895009A">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（4）曾因在比选、评选以及其他与比选竞选有关活动中从事违法行为而受过行政处罚或刑事处罚的。</w:t>
      </w:r>
    </w:p>
    <w:p w14:paraId="2D84B18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8" w:name="_Toc200513162"/>
      <w:bookmarkStart w:id="189" w:name="_Toc224103353"/>
      <w:r>
        <w:rPr>
          <w:rFonts w:hint="eastAsia" w:cs="宋体" w:asciiTheme="minorEastAsia" w:hAnsiTheme="minorEastAsia" w:eastAsiaTheme="minorEastAsia"/>
          <w:snapToGrid w:val="0"/>
          <w:color w:val="auto"/>
          <w:szCs w:val="21"/>
          <w:highlight w:val="none"/>
        </w:rPr>
        <w:t>6.2  评选原则</w:t>
      </w:r>
      <w:bookmarkEnd w:id="188"/>
      <w:bookmarkEnd w:id="189"/>
    </w:p>
    <w:p w14:paraId="19FE24E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评选活动遵循公平、公正、科学和择优的原则。</w:t>
      </w:r>
    </w:p>
    <w:p w14:paraId="49F73161">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0" w:name="_Toc224103354"/>
      <w:bookmarkStart w:id="191" w:name="_Toc200513163"/>
      <w:r>
        <w:rPr>
          <w:rFonts w:hint="eastAsia" w:cs="宋体" w:asciiTheme="minorEastAsia" w:hAnsiTheme="minorEastAsia" w:eastAsiaTheme="minorEastAsia"/>
          <w:snapToGrid w:val="0"/>
          <w:color w:val="auto"/>
          <w:szCs w:val="21"/>
          <w:highlight w:val="none"/>
        </w:rPr>
        <w:t xml:space="preserve">6.3  </w:t>
      </w:r>
      <w:bookmarkEnd w:id="190"/>
      <w:bookmarkEnd w:id="191"/>
      <w:r>
        <w:rPr>
          <w:rFonts w:hint="eastAsia" w:cs="宋体" w:asciiTheme="minorEastAsia" w:hAnsiTheme="minorEastAsia" w:eastAsiaTheme="minorEastAsia"/>
          <w:snapToGrid w:val="0"/>
          <w:color w:val="auto"/>
          <w:szCs w:val="21"/>
          <w:highlight w:val="none"/>
        </w:rPr>
        <w:t>评选</w:t>
      </w:r>
    </w:p>
    <w:p w14:paraId="29F5E56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评选委员会按照第三章“评选办法”规定的方法、评审因素、标准和程序对竞选文件进行评审。第三章“评选办法”没有规定的方法、评审因素和标准，不作为评选依据。</w:t>
      </w:r>
    </w:p>
    <w:p w14:paraId="648F3E52">
      <w:pPr>
        <w:spacing w:line="450" w:lineRule="exact"/>
        <w:ind w:firstLine="422" w:firstLineChars="200"/>
        <w:rPr>
          <w:rFonts w:cs="宋体" w:asciiTheme="minorEastAsia" w:hAnsiTheme="minorEastAsia" w:eastAsiaTheme="minorEastAsia"/>
          <w:b/>
          <w:snapToGrid w:val="0"/>
          <w:color w:val="auto"/>
          <w:szCs w:val="21"/>
          <w:highlight w:val="none"/>
        </w:rPr>
      </w:pPr>
      <w:bookmarkStart w:id="192" w:name="_Toc224103355"/>
      <w:bookmarkStart w:id="193" w:name="_Toc200513164"/>
      <w:r>
        <w:rPr>
          <w:rFonts w:hint="eastAsia" w:cs="宋体" w:asciiTheme="minorEastAsia" w:hAnsiTheme="minorEastAsia" w:eastAsiaTheme="minorEastAsia"/>
          <w:b/>
          <w:snapToGrid w:val="0"/>
          <w:color w:val="auto"/>
          <w:szCs w:val="21"/>
          <w:highlight w:val="none"/>
        </w:rPr>
        <w:t>7.  合同授予</w:t>
      </w:r>
      <w:bookmarkEnd w:id="192"/>
      <w:bookmarkEnd w:id="193"/>
    </w:p>
    <w:p w14:paraId="6961DD2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4" w:name="_Toc200513165"/>
      <w:bookmarkStart w:id="195" w:name="_Toc224103356"/>
      <w:r>
        <w:rPr>
          <w:rFonts w:hint="eastAsia" w:cs="宋体" w:asciiTheme="minorEastAsia" w:hAnsiTheme="minorEastAsia" w:eastAsiaTheme="minorEastAsia"/>
          <w:snapToGrid w:val="0"/>
          <w:color w:val="auto"/>
          <w:szCs w:val="21"/>
          <w:highlight w:val="none"/>
        </w:rPr>
        <w:t>7.1  定标方式</w:t>
      </w:r>
      <w:bookmarkEnd w:id="194"/>
      <w:bookmarkEnd w:id="195"/>
    </w:p>
    <w:p w14:paraId="54A72AFA">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除竞选人须知前附表规定评选委员会直接确定中选人外，比选人依据评选委员会推荐的 中选候选人确定中选人，评选委员会推荐中选候选人的人数见竞选人须知前附表。</w:t>
      </w:r>
    </w:p>
    <w:p w14:paraId="613A84F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6" w:name="_Toc224103357"/>
      <w:bookmarkStart w:id="197" w:name="_Toc200513166"/>
      <w:r>
        <w:rPr>
          <w:rFonts w:hint="eastAsia" w:cs="宋体" w:asciiTheme="minorEastAsia" w:hAnsiTheme="minorEastAsia" w:eastAsiaTheme="minorEastAsia"/>
          <w:snapToGrid w:val="0"/>
          <w:color w:val="auto"/>
          <w:szCs w:val="21"/>
          <w:highlight w:val="none"/>
        </w:rPr>
        <w:t>7.2  中选通知</w:t>
      </w:r>
      <w:bookmarkEnd w:id="196"/>
      <w:bookmarkEnd w:id="197"/>
    </w:p>
    <w:p w14:paraId="24E77EC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在本章第 3.3 款规定的竞选有效期内，比选人以书面形式向中选人发出中选通知书，同 时将中选结果通知未中选的竞选人。</w:t>
      </w:r>
    </w:p>
    <w:p w14:paraId="094C6F85">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8" w:name="_Toc224103359"/>
      <w:bookmarkStart w:id="199" w:name="_Toc200513168"/>
      <w:r>
        <w:rPr>
          <w:rFonts w:hint="eastAsia" w:cs="宋体" w:asciiTheme="minorEastAsia" w:hAnsiTheme="minorEastAsia" w:eastAsiaTheme="minorEastAsia"/>
          <w:snapToGrid w:val="0"/>
          <w:color w:val="auto"/>
          <w:szCs w:val="21"/>
          <w:highlight w:val="none"/>
        </w:rPr>
        <w:t>7.4  签订合同</w:t>
      </w:r>
      <w:bookmarkEnd w:id="198"/>
      <w:bookmarkEnd w:id="199"/>
    </w:p>
    <w:p w14:paraId="3647384F">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7.4.1 比选人和中选人应当在中选通知书约定的时间内签订合同，根据比选文件和中选人的竞选文件订立书面合同。中选人无正当理由拒签合同的，比选人取消其中选资格，其竞选保证金不予退还；给比选人造成的损失超过竞选保证金数额的，中选人还应当对超过部分予以赔偿。</w:t>
      </w:r>
    </w:p>
    <w:p w14:paraId="0E9BEAC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7.4.2  发出中选通知书后，比选人无正当理由拒签合同的，比选人向中选人退还竞选保证金；给中选人造成损失的，还应当赔偿损失。</w:t>
      </w:r>
    </w:p>
    <w:p w14:paraId="283065A2">
      <w:pPr>
        <w:autoSpaceDE w:val="0"/>
        <w:autoSpaceDN w:val="0"/>
        <w:adjustRightInd w:val="0"/>
        <w:snapToGrid w:val="0"/>
        <w:spacing w:line="450" w:lineRule="exact"/>
        <w:ind w:firstLine="422" w:firstLineChars="200"/>
        <w:jc w:val="left"/>
        <w:rPr>
          <w:rFonts w:cs="宋体" w:asciiTheme="minorEastAsia" w:hAnsiTheme="minorEastAsia" w:eastAsiaTheme="minorEastAsia"/>
          <w:b/>
          <w:snapToGrid w:val="0"/>
          <w:color w:val="auto"/>
          <w:kern w:val="0"/>
          <w:szCs w:val="21"/>
          <w:highlight w:val="none"/>
        </w:rPr>
      </w:pPr>
      <w:bookmarkStart w:id="200" w:name="_Toc224103360"/>
      <w:bookmarkStart w:id="201" w:name="_Toc200513169"/>
      <w:r>
        <w:rPr>
          <w:rFonts w:hint="eastAsia" w:cs="宋体" w:asciiTheme="minorEastAsia" w:hAnsiTheme="minorEastAsia" w:eastAsiaTheme="minorEastAsia"/>
          <w:b/>
          <w:snapToGrid w:val="0"/>
          <w:color w:val="auto"/>
          <w:kern w:val="0"/>
          <w:szCs w:val="21"/>
          <w:highlight w:val="none"/>
        </w:rPr>
        <w:t>8.  重新比选和不再</w:t>
      </w:r>
      <w:bookmarkEnd w:id="200"/>
      <w:bookmarkEnd w:id="201"/>
      <w:r>
        <w:rPr>
          <w:rFonts w:hint="eastAsia" w:cs="宋体" w:asciiTheme="minorEastAsia" w:hAnsiTheme="minorEastAsia" w:eastAsiaTheme="minorEastAsia"/>
          <w:b/>
          <w:snapToGrid w:val="0"/>
          <w:color w:val="auto"/>
          <w:kern w:val="0"/>
          <w:szCs w:val="21"/>
          <w:highlight w:val="none"/>
        </w:rPr>
        <w:t>比选</w:t>
      </w:r>
    </w:p>
    <w:p w14:paraId="2957190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bookmarkStart w:id="202" w:name="_Toc287607790"/>
      <w:bookmarkStart w:id="203" w:name="_Toc347847820"/>
      <w:bookmarkStart w:id="204" w:name="_Toc277082596"/>
      <w:bookmarkStart w:id="205" w:name="_Toc224103361"/>
      <w:bookmarkStart w:id="206" w:name="_Toc200513170"/>
      <w:r>
        <w:rPr>
          <w:rFonts w:hint="eastAsia" w:cs="宋体" w:asciiTheme="minorEastAsia" w:hAnsiTheme="minorEastAsia" w:eastAsiaTheme="minorEastAsia"/>
          <w:snapToGrid w:val="0"/>
          <w:color w:val="auto"/>
          <w:kern w:val="0"/>
          <w:szCs w:val="21"/>
          <w:highlight w:val="none"/>
        </w:rPr>
        <w:t>8.1  重新</w:t>
      </w:r>
      <w:bookmarkEnd w:id="202"/>
      <w:bookmarkEnd w:id="203"/>
      <w:bookmarkEnd w:id="204"/>
      <w:r>
        <w:rPr>
          <w:rFonts w:hint="eastAsia" w:cs="宋体" w:asciiTheme="minorEastAsia" w:hAnsiTheme="minorEastAsia" w:eastAsiaTheme="minorEastAsia"/>
          <w:snapToGrid w:val="0"/>
          <w:color w:val="auto"/>
          <w:kern w:val="0"/>
          <w:szCs w:val="21"/>
          <w:highlight w:val="none"/>
        </w:rPr>
        <w:t>比选</w:t>
      </w:r>
      <w:bookmarkStart w:id="207" w:name="_Toc347847821"/>
      <w:bookmarkStart w:id="208" w:name="_Toc287607791"/>
      <w:bookmarkStart w:id="209" w:name="_Toc277082597"/>
      <w:r>
        <w:rPr>
          <w:rFonts w:hint="eastAsia" w:cs="宋体" w:asciiTheme="minorEastAsia" w:hAnsiTheme="minorEastAsia" w:eastAsiaTheme="minorEastAsia"/>
          <w:snapToGrid w:val="0"/>
          <w:color w:val="auto"/>
          <w:kern w:val="0"/>
          <w:szCs w:val="21"/>
          <w:highlight w:val="none"/>
        </w:rPr>
        <w:t>：</w:t>
      </w:r>
    </w:p>
    <w:p w14:paraId="144EC34B">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有下列情形之一的，比选人将重新比选：</w:t>
      </w:r>
    </w:p>
    <w:p w14:paraId="7A15ADAE">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（1）截止时间止，竞选人少于3个的；</w:t>
      </w:r>
    </w:p>
    <w:p w14:paraId="46381E6D">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（2）经评选委员会评审后否决所有竞选的；</w:t>
      </w:r>
    </w:p>
    <w:p w14:paraId="3DB2B996">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（3）经评审后，如合格的竞选人少于三个的，且明显缺乏竞争的，评选委员会可以否决全部竞选，比选人将重新组织比选。</w:t>
      </w:r>
    </w:p>
    <w:p w14:paraId="5328EC52">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8.2  二次比选和不再</w:t>
      </w:r>
      <w:bookmarkEnd w:id="207"/>
      <w:bookmarkEnd w:id="208"/>
      <w:bookmarkEnd w:id="209"/>
      <w:r>
        <w:rPr>
          <w:rFonts w:hint="eastAsia" w:cs="宋体" w:asciiTheme="minorEastAsia" w:hAnsiTheme="minorEastAsia" w:eastAsiaTheme="minorEastAsia"/>
          <w:snapToGrid w:val="0"/>
          <w:color w:val="auto"/>
          <w:kern w:val="0"/>
          <w:szCs w:val="21"/>
          <w:highlight w:val="none"/>
        </w:rPr>
        <w:t>比选</w:t>
      </w:r>
    </w:p>
    <w:p w14:paraId="2A7844A7">
      <w:pPr>
        <w:snapToGrid w:val="0"/>
        <w:spacing w:line="450" w:lineRule="exact"/>
        <w:ind w:firstLine="420" w:firstLineChars="200"/>
        <w:rPr>
          <w:rFonts w:cs="宋体" w:asciiTheme="minorEastAsia" w:hAnsiTheme="minorEastAsia" w:eastAsiaTheme="minorEastAsia"/>
          <w:b/>
          <w:snapToGrid w:val="0"/>
          <w:color w:val="auto"/>
          <w:szCs w:val="21"/>
          <w:highlight w:val="none"/>
        </w:rPr>
      </w:pPr>
      <w:r>
        <w:rPr>
          <w:rFonts w:hint="eastAsia" w:cs="宋体" w:asciiTheme="minorEastAsia" w:hAnsiTheme="minorEastAsia" w:eastAsiaTheme="minorEastAsia"/>
          <w:color w:val="auto"/>
          <w:kern w:val="0"/>
          <w:szCs w:val="21"/>
          <w:highlight w:val="none"/>
        </w:rPr>
        <w:t>重新比选后竞选人仍少于3个，按法定程序开标和评选，确定中选人。经评审无合格竞选人，属于必须审批或核准的工程建设项目，经原审批或核准部门批准后不再进行比选。</w:t>
      </w:r>
    </w:p>
    <w:bookmarkEnd w:id="205"/>
    <w:bookmarkEnd w:id="206"/>
    <w:p w14:paraId="3492A580">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0" w:name="_Toc200513172"/>
      <w:bookmarkStart w:id="211" w:name="_Toc224103363"/>
      <w:r>
        <w:rPr>
          <w:rFonts w:hint="eastAsia" w:cs="宋体" w:asciiTheme="minorEastAsia" w:hAnsiTheme="minorEastAsia" w:eastAsiaTheme="minorEastAsia"/>
          <w:b/>
          <w:snapToGrid w:val="0"/>
          <w:color w:val="auto"/>
          <w:szCs w:val="21"/>
          <w:highlight w:val="none"/>
        </w:rPr>
        <w:t>9.  纪律和监督</w:t>
      </w:r>
      <w:bookmarkEnd w:id="210"/>
      <w:bookmarkEnd w:id="211"/>
    </w:p>
    <w:p w14:paraId="4E130476">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2" w:name="_Toc200513173"/>
      <w:bookmarkStart w:id="213" w:name="_Toc224103364"/>
      <w:r>
        <w:rPr>
          <w:rFonts w:hint="eastAsia" w:cs="宋体" w:asciiTheme="minorEastAsia" w:hAnsiTheme="minorEastAsia" w:eastAsiaTheme="minorEastAsia"/>
          <w:b/>
          <w:snapToGrid w:val="0"/>
          <w:color w:val="auto"/>
          <w:szCs w:val="21"/>
          <w:highlight w:val="none"/>
        </w:rPr>
        <w:t>9.1  对比选人的纪律要求</w:t>
      </w:r>
      <w:bookmarkEnd w:id="212"/>
      <w:bookmarkEnd w:id="213"/>
    </w:p>
    <w:p w14:paraId="3B21716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比选人不得泄漏比选竞选活动中应当保密的情况和资料，不得与竞选人串通损害国家利益、社会公共利益或者他人合法权益。</w:t>
      </w:r>
    </w:p>
    <w:p w14:paraId="69D2F36F">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4" w:name="_Toc200513174"/>
      <w:bookmarkStart w:id="215" w:name="_Toc224103365"/>
      <w:r>
        <w:rPr>
          <w:rFonts w:hint="eastAsia" w:cs="宋体" w:asciiTheme="minorEastAsia" w:hAnsiTheme="minorEastAsia" w:eastAsiaTheme="minorEastAsia"/>
          <w:b/>
          <w:snapToGrid w:val="0"/>
          <w:color w:val="auto"/>
          <w:szCs w:val="21"/>
          <w:highlight w:val="none"/>
        </w:rPr>
        <w:t>9.2  对竞选人的纪律要求</w:t>
      </w:r>
      <w:bookmarkEnd w:id="214"/>
      <w:bookmarkEnd w:id="215"/>
    </w:p>
    <w:p w14:paraId="06B2C3F2">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竞选人不得相互串通竞选或者与比选人串通竞选，不得向比选人或者评选委员会成员行贿谋取中选，不得以他人名义竞选或者以其他方式弄虚作假骗取中选；竞选人不得以任何方式干扰、影响评选工作。</w:t>
      </w:r>
    </w:p>
    <w:p w14:paraId="5012B7F6">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有下列情形之一的，属于竞选人相互串通竞选：</w:t>
      </w:r>
    </w:p>
    <w:p w14:paraId="14725C1C">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（1）竞选人之间协商竞选报价等竞选文件的实质性内容；</w:t>
      </w:r>
    </w:p>
    <w:p w14:paraId="121DAE91">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（2）竞选人之间约定中选人；</w:t>
      </w:r>
    </w:p>
    <w:p w14:paraId="5A98A6E5">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（3）竞选人之间约定部分竞选人放弃竞选或者中选；</w:t>
      </w:r>
    </w:p>
    <w:p w14:paraId="5EE78463">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（4）属于同一集团、协会、商会等组织成员的竞选人按照该组织要求协同竞选；</w:t>
      </w:r>
    </w:p>
    <w:p w14:paraId="1B27BFB7">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（5）竞选人之间为谋取中选或者排斥特定竞选人而采取的其他联合行动。</w:t>
      </w:r>
    </w:p>
    <w:p w14:paraId="3B209A73">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有下列情形之一的，视为竞选人相互串通竞选：</w:t>
      </w:r>
    </w:p>
    <w:p w14:paraId="1EEB5F38">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（1）不同竞选人的竞选文件由同一单位或者个人编制；</w:t>
      </w:r>
    </w:p>
    <w:p w14:paraId="1CC40A5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（2）不同竞选人委托同一单位或者个人办理竞选事宜；</w:t>
      </w:r>
    </w:p>
    <w:p w14:paraId="26B9521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（3）不同竞选人的竞选文件载明的项目管理成员为同一人；</w:t>
      </w:r>
    </w:p>
    <w:p w14:paraId="27A9E659">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（4）不同竞选人的竞选文件异常一致或者竞选报价呈规律性差异；</w:t>
      </w:r>
    </w:p>
    <w:p w14:paraId="104EA3A6">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（5）不同竞选人的竞选文件相互混装；</w:t>
      </w:r>
    </w:p>
    <w:p w14:paraId="567BB884">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（6）不同竞选人的竞选保证金从同一单位或者个人的账户转出。</w:t>
      </w:r>
    </w:p>
    <w:p w14:paraId="2043C8C8">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使用通过受让或者租借等方式获取的资格、资质证书竞选的，属于以他人名义竞选。</w:t>
      </w:r>
    </w:p>
    <w:p w14:paraId="71F9D3D2">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竞选人有下列情形之一的，属于以其他方式弄虚作假的行为：</w:t>
      </w:r>
    </w:p>
    <w:p w14:paraId="26922369">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（1）使用伪造、变造的许可证件；</w:t>
      </w:r>
    </w:p>
    <w:p w14:paraId="2B79968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（2）提供虚假的财务状况或者业绩；</w:t>
      </w:r>
    </w:p>
    <w:p w14:paraId="236622B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（3）提供虚假的项目负责人或者主要技术人员简历、劳动关系证明；</w:t>
      </w:r>
    </w:p>
    <w:p w14:paraId="38493B6C">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（4）提供虚假的信用状况；</w:t>
      </w:r>
    </w:p>
    <w:p w14:paraId="5C21F2D7">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（5）其他弄虚作假的行为。</w:t>
      </w:r>
    </w:p>
    <w:p w14:paraId="3A3E9F2A">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6" w:name="_Toc200513175"/>
      <w:bookmarkStart w:id="217" w:name="_Toc224103366"/>
      <w:r>
        <w:rPr>
          <w:rFonts w:hint="eastAsia" w:cs="宋体" w:asciiTheme="minorEastAsia" w:hAnsiTheme="minorEastAsia" w:eastAsiaTheme="minorEastAsia"/>
          <w:b/>
          <w:snapToGrid w:val="0"/>
          <w:color w:val="auto"/>
          <w:szCs w:val="21"/>
          <w:highlight w:val="none"/>
        </w:rPr>
        <w:t>9.3  对评选委员会成员的纪律要求</w:t>
      </w:r>
      <w:bookmarkEnd w:id="216"/>
      <w:bookmarkEnd w:id="217"/>
    </w:p>
    <w:p w14:paraId="56B5430D">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评选委员会成员不得收受他人的财物或者其他好处，不得向他人透漏对竞选文件的评审 和比较、中选候选人的推荐情况以及评选有关的其他情况。在评选活动中，评选委员会成员不得擅离职守，影响评选程序正常进行，不得使用第三章“评选办法”没有规定的评审因素和标准进行评选。</w:t>
      </w:r>
    </w:p>
    <w:p w14:paraId="4D835731">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8" w:name="_Toc224103367"/>
      <w:bookmarkStart w:id="219" w:name="_Toc200513176"/>
      <w:r>
        <w:rPr>
          <w:rFonts w:hint="eastAsia" w:cs="宋体" w:asciiTheme="minorEastAsia" w:hAnsiTheme="minorEastAsia" w:eastAsiaTheme="minorEastAsia"/>
          <w:b/>
          <w:snapToGrid w:val="0"/>
          <w:color w:val="auto"/>
          <w:szCs w:val="21"/>
          <w:highlight w:val="none"/>
        </w:rPr>
        <w:t>9.4  对与评选活动有关的工作人员的纪律要求</w:t>
      </w:r>
      <w:bookmarkEnd w:id="218"/>
      <w:bookmarkEnd w:id="219"/>
    </w:p>
    <w:p w14:paraId="4E904F27">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与评选活动有关的工作人员不得收受他人的财物或者其他好处，不得向他人透漏对竞选文件的评审和比较、中选候选人的推荐情况以及评选有关的其他情况。在评选活动中，与评选活动有关的工作人员不得擅离职守，影响评选程序正常进行。</w:t>
      </w:r>
    </w:p>
    <w:p w14:paraId="1B842248">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20" w:name="_Toc200513177"/>
      <w:bookmarkStart w:id="221" w:name="_Toc224103368"/>
      <w:r>
        <w:rPr>
          <w:rFonts w:hint="eastAsia" w:cs="宋体" w:asciiTheme="minorEastAsia" w:hAnsiTheme="minorEastAsia" w:eastAsiaTheme="minorEastAsia"/>
          <w:b/>
          <w:snapToGrid w:val="0"/>
          <w:color w:val="auto"/>
          <w:szCs w:val="21"/>
          <w:highlight w:val="none"/>
        </w:rPr>
        <w:t>9.5  投诉</w:t>
      </w:r>
      <w:bookmarkEnd w:id="220"/>
      <w:bookmarkEnd w:id="221"/>
    </w:p>
    <w:p w14:paraId="0FD169F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竞选人和其他利害关系人认为本次比选活动违反法律、法规和规章规定的，有权向有关 行政监督部门投诉。</w:t>
      </w:r>
    </w:p>
    <w:p w14:paraId="0C20CDF2">
      <w:pPr>
        <w:spacing w:line="450" w:lineRule="exact"/>
        <w:ind w:firstLine="422" w:firstLineChars="200"/>
        <w:rPr>
          <w:rFonts w:cs="宋体" w:asciiTheme="minorEastAsia" w:hAnsiTheme="minorEastAsia" w:eastAsiaTheme="minorEastAsia"/>
          <w:b/>
          <w:snapToGrid w:val="0"/>
          <w:color w:val="auto"/>
          <w:szCs w:val="21"/>
          <w:highlight w:val="none"/>
        </w:rPr>
      </w:pPr>
      <w:bookmarkStart w:id="222" w:name="_Toc224103369"/>
      <w:bookmarkStart w:id="223" w:name="_Toc200513178"/>
      <w:r>
        <w:rPr>
          <w:rFonts w:hint="eastAsia" w:cs="宋体" w:asciiTheme="minorEastAsia" w:hAnsiTheme="minorEastAsia" w:eastAsiaTheme="minorEastAsia"/>
          <w:b/>
          <w:snapToGrid w:val="0"/>
          <w:color w:val="auto"/>
          <w:szCs w:val="21"/>
          <w:highlight w:val="none"/>
        </w:rPr>
        <w:t>10.  需要补充的其他内容</w:t>
      </w:r>
      <w:bookmarkEnd w:id="222"/>
      <w:bookmarkEnd w:id="223"/>
    </w:p>
    <w:p w14:paraId="6220361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 w:val="24"/>
          <w:highlight w:val="none"/>
        </w:rPr>
      </w:pPr>
      <w:r>
        <w:rPr>
          <w:rFonts w:hint="eastAsia" w:cs="宋体" w:asciiTheme="minorEastAsia" w:hAnsiTheme="minorEastAsia" w:eastAsiaTheme="minorEastAsia"/>
          <w:snapToGrid w:val="0"/>
          <w:color w:val="auto"/>
          <w:kern w:val="0"/>
          <w:szCs w:val="21"/>
          <w:highlight w:val="none"/>
        </w:rPr>
        <w:t>需要补充的其他内容：见竞选人须知前附表。</w:t>
      </w:r>
      <w:bookmarkEnd w:id="122"/>
    </w:p>
    <w:p w14:paraId="784A9A5A">
      <w:pPr>
        <w:widowControl/>
        <w:spacing w:line="500" w:lineRule="exact"/>
        <w:jc w:val="left"/>
        <w:rPr>
          <w:rFonts w:cs="宋体" w:asciiTheme="minorEastAsia" w:hAnsiTheme="minorEastAsia" w:eastAsiaTheme="minorEastAsia"/>
          <w:b/>
          <w:bCs/>
          <w:color w:val="auto"/>
          <w:kern w:val="44"/>
          <w:sz w:val="24"/>
          <w:highlight w:val="none"/>
        </w:rPr>
        <w:sectPr>
          <w:footerReference r:id="rId5" w:type="default"/>
          <w:pgSz w:w="11906" w:h="16838"/>
          <w:pgMar w:top="1417" w:right="1134" w:bottom="1134" w:left="1418" w:header="851" w:footer="522" w:gutter="0"/>
          <w:cols w:space="0" w:num="1"/>
          <w:docGrid w:type="lines" w:linePitch="340" w:charSpace="0"/>
        </w:sectPr>
      </w:pPr>
    </w:p>
    <w:p w14:paraId="21ECBE6D">
      <w:pPr>
        <w:pStyle w:val="2"/>
        <w:spacing w:line="360" w:lineRule="auto"/>
        <w:jc w:val="center"/>
        <w:rPr>
          <w:rFonts w:ascii="宋体" w:hAnsi="宋体"/>
          <w:snapToGrid w:val="0"/>
          <w:color w:val="auto"/>
          <w:kern w:val="0"/>
          <w:highlight w:val="none"/>
        </w:rPr>
      </w:pPr>
      <w:bookmarkStart w:id="224" w:name="_Toc10400"/>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bookmarkEnd w:id="123"/>
      <w:bookmarkEnd w:id="224"/>
    </w:p>
    <w:p w14:paraId="0C5DE15E">
      <w:pPr>
        <w:keepNext/>
        <w:keepLines/>
        <w:spacing w:before="100" w:after="100" w:line="360" w:lineRule="auto"/>
        <w:outlineLvl w:val="1"/>
        <w:rPr>
          <w:rFonts w:ascii="宋体" w:hAnsi="宋体"/>
          <w:b/>
          <w:color w:val="auto"/>
          <w:sz w:val="32"/>
          <w:szCs w:val="32"/>
          <w:highlight w:val="none"/>
        </w:rPr>
      </w:pPr>
      <w:bookmarkStart w:id="225" w:name="_Toc14792"/>
      <w:bookmarkStart w:id="226" w:name="_Toc19098"/>
      <w:r>
        <w:rPr>
          <w:rFonts w:hint="eastAsia" w:ascii="宋体" w:hAnsi="宋体"/>
          <w:b/>
          <w:color w:val="auto"/>
          <w:sz w:val="32"/>
          <w:szCs w:val="32"/>
          <w:highlight w:val="none"/>
        </w:rPr>
        <w:t>评标办法前附表</w:t>
      </w:r>
      <w:bookmarkEnd w:id="225"/>
      <w:bookmarkEnd w:id="226"/>
    </w:p>
    <w:p w14:paraId="4B80FCBB">
      <w:pPr>
        <w:spacing w:line="360" w:lineRule="auto"/>
        <w:ind w:firstLine="420" w:firstLineChars="200"/>
        <w:rPr>
          <w:color w:val="auto"/>
          <w:szCs w:val="21"/>
          <w:highlight w:val="none"/>
        </w:rPr>
      </w:pPr>
      <w:bookmarkStart w:id="227" w:name="_Toc27750"/>
      <w:r>
        <w:rPr>
          <w:color w:val="auto"/>
          <w:szCs w:val="21"/>
          <w:highlight w:val="none"/>
        </w:rPr>
        <w:t>评标办法中的评审内容必须和</w:t>
      </w:r>
      <w:r>
        <w:rPr>
          <w:rFonts w:hint="eastAsia"/>
          <w:color w:val="auto"/>
          <w:szCs w:val="21"/>
          <w:highlight w:val="none"/>
        </w:rPr>
        <w:t>竞标人须知</w:t>
      </w:r>
      <w:r>
        <w:rPr>
          <w:color w:val="auto"/>
          <w:szCs w:val="21"/>
          <w:highlight w:val="none"/>
        </w:rPr>
        <w:t>中的对应内容一致，若</w:t>
      </w:r>
      <w:r>
        <w:rPr>
          <w:rFonts w:hint="eastAsia"/>
          <w:color w:val="auto"/>
          <w:szCs w:val="21"/>
          <w:highlight w:val="none"/>
        </w:rPr>
        <w:t>竞标人须知</w:t>
      </w:r>
      <w:r>
        <w:rPr>
          <w:color w:val="auto"/>
          <w:szCs w:val="21"/>
          <w:highlight w:val="none"/>
        </w:rPr>
        <w:t>中未作要求的内容，不得列入评标办法作为评定依据。</w:t>
      </w:r>
    </w:p>
    <w:tbl>
      <w:tblPr>
        <w:tblStyle w:val="48"/>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92"/>
        <w:gridCol w:w="626"/>
        <w:gridCol w:w="942"/>
        <w:gridCol w:w="33"/>
        <w:gridCol w:w="1682"/>
        <w:gridCol w:w="5395"/>
      </w:tblGrid>
      <w:tr w14:paraId="571749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AF99F">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8DACAF">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5CCE9DAB">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240E1C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A2CBFD">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38D979">
            <w:pPr>
              <w:spacing w:line="400" w:lineRule="exact"/>
              <w:jc w:val="center"/>
              <w:rPr>
                <w:rFonts w:ascii="宋体" w:hAnsi="宋体"/>
                <w:color w:val="auto"/>
                <w:kern w:val="0"/>
                <w:highlight w:val="none"/>
              </w:rPr>
            </w:pPr>
            <w:r>
              <w:rPr>
                <w:rFonts w:ascii="宋体" w:hAnsi="宋体"/>
                <w:color w:val="auto"/>
                <w:kern w:val="0"/>
                <w:highlight w:val="none"/>
              </w:rPr>
              <w:t>评标办法</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5A365390">
            <w:pPr>
              <w:spacing w:line="400" w:lineRule="exact"/>
              <w:ind w:firstLine="420" w:firstLineChars="200"/>
              <w:jc w:val="left"/>
              <w:rPr>
                <w:rFonts w:ascii="宋体" w:hAnsi="宋体"/>
                <w:color w:val="auto"/>
                <w:kern w:val="0"/>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授权直接确定中标人</w:t>
            </w:r>
            <w:r>
              <w:rPr>
                <w:rFonts w:ascii="宋体" w:hAnsi="宋体"/>
                <w:color w:val="auto"/>
                <w:spacing w:val="-31"/>
                <w:kern w:val="0"/>
                <w:szCs w:val="21"/>
                <w:highlight w:val="none"/>
              </w:rPr>
              <w:t>。</w:t>
            </w:r>
            <w:r>
              <w:rPr>
                <w:rFonts w:ascii="宋体" w:hAnsi="宋体"/>
                <w:color w:val="auto"/>
                <w:kern w:val="0"/>
                <w:szCs w:val="21"/>
                <w:highlight w:val="none"/>
              </w:rPr>
              <w:t>综合评分相等时</w:t>
            </w:r>
            <w:r>
              <w:rPr>
                <w:rFonts w:ascii="宋体" w:hAnsi="宋体"/>
                <w:color w:val="auto"/>
                <w:spacing w:val="-31"/>
                <w:kern w:val="0"/>
                <w:szCs w:val="21"/>
                <w:highlight w:val="none"/>
              </w:rPr>
              <w:t>，</w:t>
            </w:r>
            <w:r>
              <w:rPr>
                <w:rFonts w:ascii="宋体" w:hAnsi="宋体"/>
                <w:color w:val="auto"/>
                <w:kern w:val="0"/>
                <w:szCs w:val="21"/>
                <w:highlight w:val="none"/>
              </w:rPr>
              <w:t>以</w:t>
            </w:r>
            <w:r>
              <w:rPr>
                <w:rFonts w:hint="eastAsia" w:ascii="宋体" w:hAnsi="宋体"/>
                <w:color w:val="auto"/>
                <w:kern w:val="0"/>
                <w:szCs w:val="21"/>
                <w:highlight w:val="none"/>
              </w:rPr>
              <w:t>竞标</w:t>
            </w:r>
            <w:r>
              <w:rPr>
                <w:rFonts w:ascii="宋体" w:hAnsi="宋体"/>
                <w:color w:val="auto"/>
                <w:kern w:val="0"/>
                <w:szCs w:val="21"/>
                <w:highlight w:val="none"/>
              </w:rPr>
              <w:t>报价低的优先；</w:t>
            </w:r>
            <w:r>
              <w:rPr>
                <w:rFonts w:hint="eastAsia" w:ascii="宋体" w:hAnsi="宋体"/>
                <w:color w:val="auto"/>
                <w:kern w:val="0"/>
                <w:szCs w:val="21"/>
                <w:highlight w:val="none"/>
              </w:rPr>
              <w:t>竞标</w:t>
            </w:r>
            <w:r>
              <w:rPr>
                <w:rFonts w:ascii="宋体" w:hAnsi="宋体"/>
                <w:color w:val="auto"/>
                <w:kern w:val="0"/>
                <w:szCs w:val="21"/>
                <w:highlight w:val="none"/>
              </w:rPr>
              <w:t>报价相等的</w:t>
            </w:r>
            <w:r>
              <w:rPr>
                <w:rFonts w:hint="eastAsia" w:ascii="宋体" w:hAnsi="宋体"/>
                <w:color w:val="auto"/>
                <w:kern w:val="0"/>
                <w:szCs w:val="21"/>
                <w:highlight w:val="none"/>
              </w:rPr>
              <w:t>，由评标委员会按照</w:t>
            </w:r>
            <w:r>
              <w:rPr>
                <w:rFonts w:hint="eastAsia" w:ascii="宋体" w:hAnsi="宋体"/>
                <w:color w:val="auto"/>
                <w:kern w:val="0"/>
                <w:szCs w:val="21"/>
                <w:highlight w:val="none"/>
                <w:u w:val="single"/>
              </w:rPr>
              <w:t xml:space="preserve"> 技术部分得分高的优先 </w:t>
            </w:r>
            <w:r>
              <w:rPr>
                <w:rFonts w:hint="eastAsia" w:ascii="宋体" w:hAnsi="宋体"/>
                <w:color w:val="auto"/>
                <w:kern w:val="0"/>
                <w:szCs w:val="21"/>
                <w:highlight w:val="none"/>
              </w:rPr>
              <w:t>原则排序。</w:t>
            </w:r>
          </w:p>
        </w:tc>
      </w:tr>
      <w:tr w14:paraId="03C526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70" w:hRule="atLeast"/>
          <w:jc w:val="center"/>
        </w:trPr>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D2549D">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3E94DA">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477E573">
            <w:pPr>
              <w:spacing w:line="400" w:lineRule="exact"/>
              <w:jc w:val="left"/>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kern w:val="0"/>
                <w:highlight w:val="none"/>
              </w:rPr>
              <w:t>营业执照</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46805553">
            <w:pPr>
              <w:autoSpaceDE w:val="0"/>
              <w:autoSpaceDN w:val="0"/>
              <w:adjustRightInd w:val="0"/>
              <w:spacing w:line="400" w:lineRule="exact"/>
              <w:ind w:firstLine="420" w:firstLineChars="200"/>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2C9240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70" w:hRule="atLeast"/>
          <w:jc w:val="center"/>
        </w:trPr>
        <w:tc>
          <w:tcPr>
            <w:tcW w:w="792" w:type="dxa"/>
            <w:vMerge w:val="continue"/>
            <w:tcBorders>
              <w:left w:val="single" w:color="auto" w:sz="4" w:space="0"/>
              <w:right w:val="single" w:color="auto" w:sz="4" w:space="0"/>
            </w:tcBorders>
            <w:shd w:val="clear" w:color="auto" w:fill="auto"/>
            <w:vAlign w:val="center"/>
          </w:tcPr>
          <w:p w14:paraId="6F77A91E">
            <w:pPr>
              <w:spacing w:line="400" w:lineRule="exact"/>
              <w:jc w:val="center"/>
              <w:rPr>
                <w:rFonts w:ascii="宋体" w:hAnsi="宋体"/>
                <w:color w:val="auto"/>
                <w:kern w:val="0"/>
                <w:highlight w:val="none"/>
              </w:rPr>
            </w:pPr>
          </w:p>
        </w:tc>
        <w:tc>
          <w:tcPr>
            <w:tcW w:w="626" w:type="dxa"/>
            <w:vMerge w:val="continue"/>
            <w:tcBorders>
              <w:left w:val="single" w:color="auto" w:sz="4" w:space="0"/>
              <w:right w:val="single" w:color="auto" w:sz="4" w:space="0"/>
            </w:tcBorders>
            <w:shd w:val="clear" w:color="auto" w:fill="auto"/>
            <w:vAlign w:val="center"/>
          </w:tcPr>
          <w:p w14:paraId="4BB0D831">
            <w:pPr>
              <w:spacing w:line="400" w:lineRule="exact"/>
              <w:jc w:val="center"/>
              <w:rPr>
                <w:rFonts w:ascii="宋体" w:hAnsi="宋体"/>
                <w:color w:val="auto"/>
                <w:kern w:val="0"/>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4E2BC1E6">
            <w:pPr>
              <w:spacing w:line="400" w:lineRule="exact"/>
              <w:jc w:val="left"/>
              <w:rPr>
                <w:rFonts w:hint="eastAsia" w:ascii="宋体" w:hAnsi="宋体"/>
                <w:color w:val="auto"/>
                <w:kern w:val="0"/>
                <w:highlight w:val="none"/>
              </w:rPr>
            </w:pPr>
            <w:r>
              <w:rPr>
                <w:rFonts w:ascii="宋体" w:hAnsi="宋体"/>
                <w:color w:val="auto"/>
                <w:kern w:val="0"/>
                <w:highlight w:val="none"/>
              </w:rPr>
              <w:t>资质证书</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7D7DDBB1">
            <w:pPr>
              <w:autoSpaceDE w:val="0"/>
              <w:autoSpaceDN w:val="0"/>
              <w:adjustRightIn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3F71B7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605"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7BE76182">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44AEA70B">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tcPr>
          <w:p w14:paraId="649C7BB0">
            <w:pPr>
              <w:spacing w:line="400" w:lineRule="exact"/>
              <w:jc w:val="left"/>
              <w:rPr>
                <w:rFonts w:ascii="宋体" w:hAnsi="宋体"/>
                <w:color w:val="auto"/>
                <w:kern w:val="0"/>
                <w:highlight w:val="none"/>
              </w:rPr>
            </w:pPr>
            <w:r>
              <w:rPr>
                <w:rFonts w:hint="eastAsia" w:ascii="宋体" w:hAnsi="宋体" w:cs="宋体"/>
                <w:color w:val="auto"/>
                <w:kern w:val="0"/>
                <w:highlight w:val="none"/>
              </w:rPr>
              <w:t>竞标</w:t>
            </w:r>
            <w:r>
              <w:rPr>
                <w:rFonts w:ascii="宋体" w:hAnsi="宋体"/>
                <w:color w:val="auto"/>
                <w:szCs w:val="21"/>
                <w:highlight w:val="none"/>
              </w:rPr>
              <w:t>截止日</w:t>
            </w:r>
            <w:r>
              <w:rPr>
                <w:rFonts w:hint="eastAsia" w:ascii="宋体" w:hAnsi="宋体"/>
                <w:color w:val="auto"/>
                <w:szCs w:val="21"/>
                <w:highlight w:val="none"/>
              </w:rPr>
              <w:t>竞标</w:t>
            </w:r>
            <w:r>
              <w:rPr>
                <w:rFonts w:ascii="宋体" w:hAnsi="宋体"/>
                <w:color w:val="auto"/>
                <w:szCs w:val="21"/>
                <w:highlight w:val="none"/>
              </w:rPr>
              <w:t>资格情况</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6109CC78">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18D879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6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77896105">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7F74FFD9">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tcPr>
          <w:p w14:paraId="6CB98A9E">
            <w:pPr>
              <w:autoSpaceDE w:val="0"/>
              <w:autoSpaceDN w:val="0"/>
              <w:adjustRightInd w:val="0"/>
              <w:snapToGrid w:val="0"/>
              <w:spacing w:line="450" w:lineRule="exact"/>
              <w:jc w:val="left"/>
              <w:rPr>
                <w:rFonts w:hint="default" w:ascii="宋体" w:hAnsi="宋体" w:eastAsia="宋体"/>
                <w:color w:val="auto"/>
                <w:szCs w:val="21"/>
                <w:highlight w:val="none"/>
                <w:lang w:val="en-US" w:eastAsia="zh-CN"/>
              </w:rPr>
            </w:pPr>
            <w:r>
              <w:rPr>
                <w:rFonts w:hint="eastAsia" w:ascii="宋体" w:hAnsi="宋体" w:eastAsia="宋体" w:cs="宋体"/>
                <w:snapToGrid w:val="0"/>
                <w:color w:val="auto"/>
                <w:kern w:val="0"/>
                <w:szCs w:val="21"/>
                <w:highlight w:val="none"/>
              </w:rPr>
              <w:t>拟派项目人员</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0329EE0C">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符合第二章“竞标人须知”第1.4.1项规定</w:t>
            </w:r>
          </w:p>
        </w:tc>
      </w:tr>
      <w:tr w14:paraId="19A38A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615"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3DAF6185">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3E27B15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F5B8DDA">
            <w:pPr>
              <w:spacing w:line="400" w:lineRule="exact"/>
              <w:jc w:val="left"/>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其他要求</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3393C91C">
            <w:pPr>
              <w:spacing w:line="400" w:lineRule="exact"/>
              <w:ind w:firstLine="420" w:firstLineChars="200"/>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206701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CA24BF">
            <w:pPr>
              <w:spacing w:line="400" w:lineRule="exact"/>
              <w:jc w:val="center"/>
              <w:rPr>
                <w:rFonts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E0A00F">
            <w:pPr>
              <w:spacing w:line="400" w:lineRule="exact"/>
              <w:jc w:val="center"/>
              <w:rPr>
                <w:rFonts w:ascii="宋体" w:hAnsi="宋体"/>
                <w:color w:val="auto"/>
                <w:highlight w:val="none"/>
              </w:rPr>
            </w:pPr>
            <w:r>
              <w:rPr>
                <w:rFonts w:ascii="宋体" w:hAnsi="宋体"/>
                <w:color w:val="auto"/>
                <w:kern w:val="0"/>
                <w:highlight w:val="none"/>
              </w:rPr>
              <w:t>形式评审标准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8D66E5">
            <w:pPr>
              <w:spacing w:line="400" w:lineRule="exact"/>
              <w:jc w:val="left"/>
              <w:rPr>
                <w:rFonts w:ascii="宋体" w:hAnsi="宋体" w:cs="宋体"/>
                <w:color w:val="auto"/>
                <w:kern w:val="0"/>
                <w:highlight w:val="none"/>
              </w:rPr>
            </w:pPr>
            <w:r>
              <w:rPr>
                <w:rFonts w:ascii="宋体" w:hAnsi="宋体"/>
                <w:color w:val="auto"/>
                <w:kern w:val="0"/>
                <w:highlight w:val="none"/>
              </w:rPr>
              <w:t>竞标人名称</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33FAB783">
            <w:pPr>
              <w:spacing w:line="400" w:lineRule="exact"/>
              <w:ind w:firstLine="420" w:firstLineChars="200"/>
              <w:rPr>
                <w:rFonts w:ascii="宋体" w:hAnsi="宋体" w:cs="宋体"/>
                <w:color w:val="auto"/>
                <w:kern w:val="0"/>
                <w:highlight w:val="none"/>
              </w:rPr>
            </w:pPr>
            <w:r>
              <w:rPr>
                <w:rFonts w:ascii="宋体" w:hAnsi="宋体"/>
                <w:color w:val="auto"/>
                <w:kern w:val="0"/>
                <w:highlight w:val="none"/>
              </w:rPr>
              <w:t>与营业执照、资质证书一致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2A7254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95"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0446BA98">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252C820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FC2C86">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竞标文件格式</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5AFB70E2">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符合第二章“竞标人须知”第3.7款的要求。</w:t>
            </w:r>
          </w:p>
        </w:tc>
      </w:tr>
      <w:tr w14:paraId="46EE57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55"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4854EE52">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35238B2C">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0C6E5C">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竞标文件份数</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60BBA09B">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符合第二章“竞标人须知”第3.7.4项规定。</w:t>
            </w:r>
          </w:p>
        </w:tc>
      </w:tr>
      <w:tr w14:paraId="5EF3A4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5FD2A5B7">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6496AB5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17B702">
            <w:pPr>
              <w:spacing w:line="400" w:lineRule="exact"/>
              <w:jc w:val="left"/>
              <w:rPr>
                <w:rFonts w:hint="eastAsia" w:ascii="宋体" w:hAnsi="宋体" w:cs="宋体"/>
                <w:color w:val="auto"/>
                <w:kern w:val="0"/>
                <w:highlight w:val="none"/>
              </w:rPr>
            </w:pPr>
            <w:r>
              <w:rPr>
                <w:rFonts w:ascii="宋体" w:hAnsi="宋体"/>
                <w:color w:val="auto"/>
                <w:kern w:val="0"/>
                <w:highlight w:val="none"/>
              </w:rPr>
              <w:t>报价唯一</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096FC8DA">
            <w:pPr>
              <w:spacing w:line="400" w:lineRule="exact"/>
              <w:ind w:firstLine="420" w:firstLineChars="200"/>
              <w:rPr>
                <w:rFonts w:hint="eastAsia" w:ascii="宋体" w:hAnsi="宋体" w:cs="宋体"/>
                <w:color w:val="auto"/>
                <w:kern w:val="0"/>
                <w:highlight w:val="none"/>
              </w:rPr>
            </w:pPr>
            <w:r>
              <w:rPr>
                <w:rFonts w:ascii="宋体" w:hAnsi="宋体"/>
                <w:color w:val="auto"/>
                <w:kern w:val="0"/>
                <w:highlight w:val="none"/>
              </w:rPr>
              <w:t>只能有一个有效报价，在</w:t>
            </w:r>
            <w:r>
              <w:rPr>
                <w:rFonts w:hint="eastAsia" w:ascii="宋体" w:hAnsi="宋体"/>
                <w:color w:val="auto"/>
                <w:kern w:val="0"/>
                <w:highlight w:val="none"/>
                <w:lang w:val="en-US" w:eastAsia="zh-CN"/>
              </w:rPr>
              <w:t>比选</w:t>
            </w:r>
            <w:r>
              <w:rPr>
                <w:rFonts w:ascii="宋体" w:hAnsi="宋体"/>
                <w:color w:val="auto"/>
                <w:kern w:val="0"/>
                <w:highlight w:val="none"/>
              </w:rPr>
              <w:t>文件没有规定的情况下，不得提交选择性报价。</w:t>
            </w:r>
          </w:p>
        </w:tc>
      </w:tr>
      <w:tr w14:paraId="236B79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21F85C8D">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73FFCF84">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C1D8C6">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竞标文件的签署</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6D896F9B">
            <w:pPr>
              <w:numPr>
                <w:ilvl w:val="0"/>
                <w:numId w:val="2"/>
              </w:numPr>
              <w:autoSpaceDE w:val="0"/>
              <w:autoSpaceDN w:val="0"/>
              <w:adjustRightInd w:val="0"/>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竞标文件格式要求法定代表人或其委托代理人签名（或盖章）的须齐全。</w:t>
            </w:r>
          </w:p>
        </w:tc>
      </w:tr>
      <w:tr w14:paraId="336ABB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1C3E486C">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38D76CAD">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30B625">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5CBAEF5A">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竞标人法定代表人的委托代理人有法定代表人签署的授权委托书和竞标人为其缴纳的养老保险。</w:t>
            </w:r>
          </w:p>
        </w:tc>
      </w:tr>
      <w:tr w14:paraId="44ADF5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612413">
            <w:pPr>
              <w:spacing w:line="400" w:lineRule="exact"/>
              <w:jc w:val="center"/>
              <w:rPr>
                <w:rFonts w:ascii="宋体" w:hAnsi="宋体"/>
                <w:color w:val="auto"/>
                <w:highlight w:val="none"/>
              </w:rPr>
            </w:pPr>
            <w:r>
              <w:rPr>
                <w:rFonts w:ascii="宋体" w:hAnsi="宋体"/>
                <w:color w:val="auto"/>
                <w:kern w:val="0"/>
                <w:highlight w:val="none"/>
              </w:rPr>
              <w:t>2.1.3</w:t>
            </w:r>
          </w:p>
        </w:tc>
        <w:tc>
          <w:tcPr>
            <w:tcW w:w="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082697">
            <w:pPr>
              <w:spacing w:line="400" w:lineRule="exact"/>
              <w:jc w:val="center"/>
              <w:rPr>
                <w:rFonts w:ascii="宋体" w:hAnsi="宋体"/>
                <w:color w:val="auto"/>
                <w:highlight w:val="none"/>
              </w:rPr>
            </w:pPr>
            <w:r>
              <w:rPr>
                <w:rFonts w:ascii="宋体" w:hAnsi="宋体"/>
                <w:color w:val="auto"/>
                <w:kern w:val="0"/>
                <w:highlight w:val="none"/>
              </w:rPr>
              <w:t>响应性评审标准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F759C7">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竞标总报价</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713B5D9A">
            <w:pPr>
              <w:snapToGrid w:val="0"/>
              <w:spacing w:line="400" w:lineRule="exact"/>
              <w:rPr>
                <w:rFonts w:ascii="宋体" w:hAnsi="宋体" w:cs="宋体"/>
                <w:bCs/>
                <w:color w:val="auto"/>
                <w:szCs w:val="21"/>
                <w:highlight w:val="none"/>
              </w:rPr>
            </w:pPr>
            <w:r>
              <w:rPr>
                <w:rFonts w:hint="eastAsia" w:ascii="宋体" w:hAnsi="宋体" w:cs="宋体"/>
                <w:color w:val="auto"/>
                <w:szCs w:val="21"/>
                <w:highlight w:val="none"/>
              </w:rPr>
              <w:t>竞标总报价不得高于比选人公布的竞标总报价最高限价。</w:t>
            </w:r>
          </w:p>
        </w:tc>
      </w:tr>
      <w:tr w14:paraId="186EDB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C994C">
            <w:pPr>
              <w:spacing w:line="400" w:lineRule="exact"/>
              <w:jc w:val="center"/>
              <w:rPr>
                <w:rFonts w:ascii="宋体" w:hAnsi="宋体"/>
                <w:color w:val="auto"/>
                <w:kern w:val="0"/>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1D426FD">
            <w:pPr>
              <w:spacing w:line="400" w:lineRule="exact"/>
              <w:jc w:val="center"/>
              <w:rPr>
                <w:rFonts w:ascii="宋体" w:hAnsi="宋体"/>
                <w:color w:val="auto"/>
                <w:kern w:val="0"/>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37329E">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竞标内容</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5DE7DD72">
            <w:pPr>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符合第二章“竞标人须知”第1.3.1项规定</w:t>
            </w:r>
          </w:p>
        </w:tc>
      </w:tr>
      <w:tr w14:paraId="21DA10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658DF415">
            <w:pPr>
              <w:spacing w:line="400" w:lineRule="exact"/>
              <w:jc w:val="center"/>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75674B35">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D458E9">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14532003">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符合第二章“竞标人须知”第1.3.2项规定</w:t>
            </w:r>
          </w:p>
        </w:tc>
      </w:tr>
      <w:tr w14:paraId="0D65EF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0468CB4C">
            <w:pPr>
              <w:spacing w:line="400" w:lineRule="exact"/>
              <w:jc w:val="center"/>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120A2DF7">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C3870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616201BB">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符合第二章“竞标人须知”第1.3.3项规定</w:t>
            </w:r>
          </w:p>
        </w:tc>
      </w:tr>
      <w:tr w14:paraId="7F93DA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69DA3A86">
            <w:pPr>
              <w:spacing w:line="400" w:lineRule="exact"/>
              <w:jc w:val="center"/>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1E23E6C2">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80276E">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竞标有效期</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39EE1034">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符合第二章“竞标人须知”第3.3.1项规定</w:t>
            </w:r>
          </w:p>
        </w:tc>
      </w:tr>
      <w:tr w14:paraId="452F78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1C4CACDE">
            <w:pPr>
              <w:spacing w:line="400" w:lineRule="exact"/>
              <w:jc w:val="center"/>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66CE9FCF">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FE49A7">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竞标保证金</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332E84C0">
            <w:pPr>
              <w:tabs>
                <w:tab w:val="left" w:pos="611"/>
                <w:tab w:val="left" w:pos="669"/>
              </w:tabs>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符合第二章“竞标人须知前附表”第3.4项规定。</w:t>
            </w:r>
          </w:p>
        </w:tc>
      </w:tr>
      <w:tr w14:paraId="63D235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27961475">
            <w:pPr>
              <w:spacing w:line="400" w:lineRule="exact"/>
              <w:jc w:val="center"/>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7AE655CF">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2578F8">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60A28230">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符合第四章“合同条款及格式”规定，竞标文件不应附有比选人不能接受的条件。（由竞标人承诺，承诺书格式详见第六章竞标文件格式。）</w:t>
            </w:r>
          </w:p>
        </w:tc>
      </w:tr>
      <w:tr w14:paraId="625563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tcPr>
          <w:p w14:paraId="01B004B1">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auto"/>
          </w:tcPr>
          <w:p w14:paraId="07E4A69E">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2AE748">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3ADBB021">
            <w:pPr>
              <w:snapToGrid w:val="0"/>
              <w:spacing w:after="31" w:afterLines="10"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符合第二章“竞标人须知”第1.4.3项规定。</w:t>
            </w:r>
          </w:p>
          <w:p w14:paraId="0FDB6411">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本次竞标不得有串通竞标、弄虚作假等其他违反招竞标相关法律、法规行为。</w:t>
            </w:r>
          </w:p>
          <w:p w14:paraId="3D6665D8">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14:paraId="759AA9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858F6D">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8E446A">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66A67921">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1.技术部分（服务方案）</w:t>
            </w:r>
            <w:r>
              <w:rPr>
                <w:rFonts w:hint="eastAsia" w:ascii="宋体" w:hAnsi="宋体" w:cs="宋体"/>
                <w:color w:val="auto"/>
                <w:kern w:val="0"/>
                <w:highlight w:val="none"/>
                <w:u w:val="single"/>
              </w:rPr>
              <w:t>30</w:t>
            </w:r>
            <w:r>
              <w:rPr>
                <w:rFonts w:hint="eastAsia" w:ascii="宋体" w:hAnsi="宋体" w:cs="宋体"/>
                <w:color w:val="auto"/>
                <w:kern w:val="0"/>
                <w:highlight w:val="none"/>
              </w:rPr>
              <w:t>分；</w:t>
            </w:r>
          </w:p>
          <w:p w14:paraId="2F9BC56F">
            <w:pPr>
              <w:snapToGrid w:val="0"/>
              <w:spacing w:line="400" w:lineRule="exact"/>
              <w:ind w:firstLine="420" w:firstLineChars="200"/>
              <w:rPr>
                <w:color w:val="auto"/>
              </w:rPr>
            </w:pPr>
            <w:r>
              <w:rPr>
                <w:rFonts w:hint="eastAsia" w:ascii="宋体" w:hAnsi="宋体" w:cs="宋体"/>
                <w:color w:val="auto"/>
                <w:kern w:val="0"/>
                <w:highlight w:val="none"/>
              </w:rPr>
              <w:t>2.竞选总报价</w:t>
            </w:r>
            <w:r>
              <w:rPr>
                <w:rFonts w:hint="eastAsia" w:ascii="宋体" w:hAnsi="宋体" w:cs="宋体"/>
                <w:color w:val="auto"/>
                <w:kern w:val="0"/>
                <w:highlight w:val="none"/>
                <w:u w:val="single"/>
                <w:lang w:val="en-US" w:eastAsia="zh-CN"/>
              </w:rPr>
              <w:t xml:space="preserve"> 7</w:t>
            </w:r>
            <w:r>
              <w:rPr>
                <w:rFonts w:hint="eastAsia" w:ascii="宋体" w:hAnsi="宋体" w:cs="宋体"/>
                <w:color w:val="auto"/>
                <w:kern w:val="0"/>
                <w:highlight w:val="none"/>
                <w:u w:val="single"/>
              </w:rPr>
              <w:t xml:space="preserve">0 </w:t>
            </w:r>
            <w:r>
              <w:rPr>
                <w:rFonts w:hint="eastAsia" w:ascii="宋体" w:hAnsi="宋体" w:cs="宋体"/>
                <w:color w:val="auto"/>
                <w:kern w:val="0"/>
                <w:highlight w:val="none"/>
              </w:rPr>
              <w:t>分</w:t>
            </w:r>
            <w:r>
              <w:rPr>
                <w:rFonts w:hint="eastAsia" w:ascii="宋体" w:hAnsi="宋体" w:eastAsia="宋体" w:cs="宋体"/>
                <w:color w:val="auto"/>
                <w:kern w:val="0"/>
                <w:highlight w:val="none"/>
              </w:rPr>
              <w:t>。</w:t>
            </w:r>
          </w:p>
        </w:tc>
      </w:tr>
      <w:tr w14:paraId="08B85B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A860D6">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2</w:t>
            </w: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7E75EA">
            <w:pPr>
              <w:tabs>
                <w:tab w:val="left" w:pos="1875"/>
              </w:tabs>
              <w:spacing w:line="400" w:lineRule="exact"/>
              <w:jc w:val="center"/>
              <w:rPr>
                <w:rFonts w:ascii="宋体" w:hAnsi="宋体"/>
                <w:color w:val="auto"/>
                <w:kern w:val="0"/>
                <w:highlight w:val="none"/>
              </w:rPr>
            </w:pPr>
            <w:r>
              <w:rPr>
                <w:color w:val="auto"/>
                <w:highlight w:val="none"/>
              </w:rPr>
              <w:t>评标基准价计算方法</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26E7C1F1">
            <w:pPr>
              <w:snapToGrid w:val="0"/>
              <w:spacing w:line="400" w:lineRule="exact"/>
              <w:ind w:firstLine="420" w:firstLineChars="200"/>
              <w:jc w:val="left"/>
              <w:rPr>
                <w:color w:val="auto"/>
                <w:highlight w:val="none"/>
              </w:rPr>
            </w:pPr>
            <w:r>
              <w:rPr>
                <w:color w:val="auto"/>
                <w:highlight w:val="none"/>
              </w:rPr>
              <w:t>所有通过初步评审合格的竞标人的</w:t>
            </w:r>
            <w:r>
              <w:rPr>
                <w:rFonts w:hint="eastAsia"/>
                <w:color w:val="auto"/>
                <w:highlight w:val="none"/>
                <w:lang w:val="en-US" w:eastAsia="zh-CN"/>
              </w:rPr>
              <w:t>竞标报价</w:t>
            </w:r>
            <w:r>
              <w:rPr>
                <w:color w:val="auto"/>
                <w:highlight w:val="none"/>
              </w:rPr>
              <w:t>中去掉六分之一（不能整除的按小数点前整数取整，</w:t>
            </w:r>
            <w:r>
              <w:rPr>
                <w:rFonts w:ascii="宋体" w:hAnsi="宋体"/>
                <w:color w:val="auto"/>
                <w:kern w:val="0"/>
                <w:szCs w:val="21"/>
                <w:highlight w:val="none"/>
              </w:rPr>
              <w:t>不足六家报价则不去掉）的最低价和相同家数的最高价后的算术平均值</w:t>
            </w:r>
            <w:r>
              <w:rPr>
                <w:rFonts w:hint="eastAsia" w:asciiTheme="minorEastAsia" w:hAnsiTheme="minorEastAsia" w:eastAsiaTheme="minorEastAsia" w:cstheme="minorEastAsia"/>
                <w:color w:val="auto"/>
                <w:kern w:val="0"/>
                <w:szCs w:val="21"/>
                <w:highlight w:val="none"/>
              </w:rPr>
              <w:t>与本项目最高限价再取平均值</w:t>
            </w:r>
            <w:r>
              <w:rPr>
                <w:rFonts w:hint="eastAsia"/>
                <w:color w:val="auto"/>
                <w:highlight w:val="none"/>
              </w:rPr>
              <w:t>，</w:t>
            </w:r>
            <w:r>
              <w:rPr>
                <w:color w:val="auto"/>
                <w:highlight w:val="none"/>
              </w:rPr>
              <w:t>即为本项目</w:t>
            </w:r>
            <w:r>
              <w:rPr>
                <w:rFonts w:hint="eastAsia"/>
                <w:color w:val="auto"/>
                <w:highlight w:val="none"/>
                <w:lang w:val="en-US" w:eastAsia="zh-CN"/>
              </w:rPr>
              <w:t>竞标报价</w:t>
            </w:r>
            <w:r>
              <w:rPr>
                <w:color w:val="auto"/>
                <w:highlight w:val="none"/>
              </w:rPr>
              <w:t>的评标基准价</w:t>
            </w:r>
            <w:r>
              <w:rPr>
                <w:rFonts w:hint="eastAsia"/>
                <w:color w:val="auto"/>
                <w:highlight w:val="none"/>
              </w:rPr>
              <w:t>。</w:t>
            </w:r>
          </w:p>
          <w:p w14:paraId="1566AD99">
            <w:pPr>
              <w:snapToGrid w:val="0"/>
              <w:spacing w:line="400" w:lineRule="exact"/>
              <w:ind w:firstLine="420" w:firstLineChars="200"/>
              <w:jc w:val="left"/>
              <w:rPr>
                <w:color w:val="auto"/>
                <w:highlight w:val="none"/>
              </w:rPr>
            </w:pPr>
            <w:r>
              <w:rPr>
                <w:rFonts w:hint="eastAsia"/>
                <w:color w:val="auto"/>
                <w:highlight w:val="none"/>
              </w:rPr>
              <w:t>评标基准价计算的最终</w:t>
            </w:r>
            <w:r>
              <w:rPr>
                <w:color w:val="auto"/>
                <w:highlight w:val="none"/>
              </w:rPr>
              <w:t>结果取小数点后两位，第三位四舍五入。在评标基准价计算完成后（除计算错误外），在后续的评审中不得再对其做出调整。</w:t>
            </w:r>
          </w:p>
        </w:tc>
      </w:tr>
      <w:tr w14:paraId="0508CD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813D2E">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3</w:t>
            </w:r>
          </w:p>
        </w:tc>
        <w:tc>
          <w:tcPr>
            <w:tcW w:w="26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54F587">
            <w:pPr>
              <w:tabs>
                <w:tab w:val="left" w:pos="1875"/>
              </w:tabs>
              <w:spacing w:line="400" w:lineRule="exact"/>
              <w:jc w:val="center"/>
              <w:rPr>
                <w:color w:val="auto"/>
                <w:highlight w:val="none"/>
              </w:rPr>
            </w:pPr>
            <w:r>
              <w:rPr>
                <w:rFonts w:hint="eastAsia"/>
                <w:color w:val="auto"/>
                <w:highlight w:val="none"/>
                <w:lang w:val="en-US" w:eastAsia="zh-CN"/>
              </w:rPr>
              <w:t>竞标报价</w:t>
            </w:r>
            <w:r>
              <w:rPr>
                <w:color w:val="auto"/>
                <w:highlight w:val="none"/>
              </w:rPr>
              <w:t>的偏差率计算公式</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63C3D6AF">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100％×（竞标人报价</w:t>
            </w:r>
            <w:r>
              <w:rPr>
                <w:rFonts w:hint="eastAsia" w:ascii="宋体" w:hAnsi="宋体"/>
                <w:color w:val="auto"/>
                <w:kern w:val="0"/>
                <w:highlight w:val="none"/>
                <w:lang w:val="en-US" w:eastAsia="zh-CN"/>
              </w:rPr>
              <w:t>-</w:t>
            </w:r>
            <w:r>
              <w:rPr>
                <w:rFonts w:ascii="宋体" w:hAnsi="宋体"/>
                <w:color w:val="auto"/>
                <w:kern w:val="0"/>
                <w:highlight w:val="none"/>
              </w:rPr>
              <w:t>评标基准价）／评标基准价</w:t>
            </w:r>
          </w:p>
          <w:p w14:paraId="469C3FAA">
            <w:pPr>
              <w:snapToGrid w:val="0"/>
              <w:spacing w:line="400" w:lineRule="exact"/>
              <w:ind w:firstLine="420" w:firstLineChars="200"/>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14:paraId="1A879E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D00BA4">
            <w:pPr>
              <w:spacing w:line="400" w:lineRule="exact"/>
              <w:jc w:val="center"/>
              <w:rPr>
                <w:rFonts w:ascii="宋体" w:hAnsi="宋体"/>
                <w:color w:val="auto"/>
                <w:sz w:val="21"/>
                <w:szCs w:val="21"/>
                <w:highlight w:val="none"/>
              </w:rPr>
            </w:pPr>
            <w:r>
              <w:rPr>
                <w:rFonts w:hint="eastAsia" w:ascii="宋体" w:hAnsi="宋体" w:cs="宋体"/>
                <w:color w:val="auto"/>
                <w:kern w:val="0"/>
                <w:sz w:val="21"/>
                <w:szCs w:val="21"/>
                <w:highlight w:val="none"/>
              </w:rPr>
              <w:t>2.2.4（1）</w:t>
            </w:r>
          </w:p>
        </w:tc>
        <w:tc>
          <w:tcPr>
            <w:tcW w:w="15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91C5EC">
            <w:pPr>
              <w:pStyle w:val="18"/>
              <w:jc w:val="center"/>
              <w:rPr>
                <w:color w:val="auto"/>
                <w:sz w:val="21"/>
                <w:szCs w:val="21"/>
                <w:highlight w:val="none"/>
              </w:rPr>
            </w:pPr>
            <w:r>
              <w:rPr>
                <w:rFonts w:hint="eastAsia" w:ascii="宋体" w:hAnsi="宋体" w:cs="宋体"/>
                <w:color w:val="auto"/>
                <w:kern w:val="0"/>
                <w:sz w:val="21"/>
                <w:szCs w:val="21"/>
                <w:highlight w:val="none"/>
              </w:rPr>
              <w:t>技术部分评分（A）标准</w:t>
            </w:r>
          </w:p>
        </w:tc>
        <w:tc>
          <w:tcPr>
            <w:tcW w:w="17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7EB18D">
            <w:pPr>
              <w:tabs>
                <w:tab w:val="left" w:pos="1875"/>
              </w:tabs>
              <w:spacing w:line="400" w:lineRule="exact"/>
              <w:jc w:val="center"/>
              <w:rPr>
                <w:rFonts w:ascii="宋体" w:hAnsi="宋体"/>
                <w:color w:val="auto"/>
                <w:sz w:val="21"/>
                <w:szCs w:val="21"/>
                <w:highlight w:val="red"/>
              </w:rPr>
            </w:pPr>
            <w:r>
              <w:rPr>
                <w:rFonts w:hint="eastAsia" w:ascii="宋体" w:hAnsi="宋体" w:cs="宋体"/>
                <w:color w:val="auto"/>
                <w:kern w:val="0"/>
                <w:sz w:val="21"/>
                <w:szCs w:val="21"/>
                <w:highlight w:val="none"/>
              </w:rPr>
              <w:t>服务方案总体评审标准</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2EB08BFF">
            <w:pPr>
              <w:spacing w:line="400" w:lineRule="exact"/>
              <w:ind w:firstLine="420" w:firstLineChars="200"/>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评委评分取算术平均值为该竞选人服务方案得分。</w:t>
            </w:r>
          </w:p>
          <w:p w14:paraId="35AA745E">
            <w:pPr>
              <w:snapToGrid w:val="0"/>
              <w:spacing w:line="400" w:lineRule="exact"/>
              <w:ind w:firstLine="420" w:firstLineChars="200"/>
              <w:rPr>
                <w:color w:val="auto"/>
                <w:sz w:val="21"/>
                <w:szCs w:val="21"/>
                <w:highlight w:val="red"/>
              </w:rPr>
            </w:pPr>
            <w:r>
              <w:rPr>
                <w:rFonts w:hint="eastAsia" w:ascii="宋体" w:hAnsi="宋体" w:cs="宋体"/>
                <w:color w:val="auto"/>
                <w:kern w:val="0"/>
                <w:sz w:val="21"/>
                <w:szCs w:val="21"/>
                <w:highlight w:val="none"/>
              </w:rPr>
              <w:t>服务方案得分的最终结果取小数点后两位，第三位四舍五入。</w:t>
            </w:r>
          </w:p>
        </w:tc>
      </w:tr>
      <w:tr w14:paraId="31690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52175">
            <w:pPr>
              <w:spacing w:line="400" w:lineRule="exact"/>
              <w:ind w:firstLine="210" w:firstLineChars="100"/>
              <w:jc w:val="center"/>
              <w:rPr>
                <w:rFonts w:ascii="宋体" w:hAnsi="宋体"/>
                <w:color w:val="auto"/>
                <w:sz w:val="21"/>
                <w:szCs w:val="21"/>
                <w:highlight w:val="none"/>
              </w:rPr>
            </w:pPr>
          </w:p>
        </w:tc>
        <w:tc>
          <w:tcPr>
            <w:tcW w:w="15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8B0E8">
            <w:pPr>
              <w:spacing w:line="400" w:lineRule="exact"/>
              <w:ind w:firstLine="210" w:firstLineChars="100"/>
              <w:jc w:val="center"/>
              <w:rPr>
                <w:color w:val="auto"/>
                <w:sz w:val="21"/>
                <w:szCs w:val="21"/>
                <w:highlight w:val="none"/>
              </w:rPr>
            </w:pPr>
          </w:p>
        </w:tc>
        <w:tc>
          <w:tcPr>
            <w:tcW w:w="17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2CBC1E">
            <w:pPr>
              <w:spacing w:line="288" w:lineRule="auto"/>
              <w:ind w:firstLine="28" w:firstLineChars="0"/>
              <w:jc w:val="center"/>
              <w:rPr>
                <w:rFonts w:ascii="宋体" w:hAnsi="宋体"/>
                <w:color w:val="auto"/>
                <w:sz w:val="21"/>
                <w:szCs w:val="21"/>
                <w:highlight w:val="red"/>
              </w:rPr>
            </w:pPr>
            <w:r>
              <w:rPr>
                <w:rFonts w:hint="eastAsia" w:ascii="宋体" w:hAnsi="宋体" w:cs="宋体"/>
                <w:color w:val="auto"/>
                <w:sz w:val="21"/>
                <w:szCs w:val="21"/>
                <w:highlight w:val="none"/>
              </w:rPr>
              <w:t>检测方案及措施（6分）</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4E962407">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优4-6分</w:t>
            </w:r>
            <w:r>
              <w:rPr>
                <w:rFonts w:hint="eastAsia" w:ascii="宋体" w:hAnsi="宋体" w:cs="宋体"/>
                <w:color w:val="auto"/>
                <w:sz w:val="21"/>
                <w:szCs w:val="21"/>
                <w:highlight w:val="none"/>
              </w:rPr>
              <w:t>：对需检测项目认识深刻、表述全面准确，检测方案科学、系统、安全、经济，可操作性强，保障措施得力，对关键技术、工艺把我准确，应用到位，阐释清晰。</w:t>
            </w:r>
          </w:p>
          <w:p w14:paraId="056F1D1E">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良2-4（含）分</w:t>
            </w:r>
            <w:r>
              <w:rPr>
                <w:rFonts w:hint="eastAsia" w:ascii="宋体" w:hAnsi="宋体" w:cs="宋体"/>
                <w:color w:val="auto"/>
                <w:sz w:val="21"/>
                <w:szCs w:val="21"/>
                <w:highlight w:val="none"/>
              </w:rPr>
              <w:t>：对需检测项目认识比较深刻、表述比较全面准确，检测方案比较科学、系统、安全、经济，可操作性比较强，保障措施比较得力，对关键技术、工艺把握比较准确，应用到位，阐释比较清晰。</w:t>
            </w:r>
          </w:p>
          <w:p w14:paraId="71886652">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差0-2（含）分</w:t>
            </w:r>
            <w:r>
              <w:rPr>
                <w:rFonts w:hint="eastAsia" w:ascii="宋体" w:hAnsi="宋体" w:cs="宋体"/>
                <w:color w:val="auto"/>
                <w:sz w:val="21"/>
                <w:szCs w:val="21"/>
                <w:highlight w:val="none"/>
              </w:rPr>
              <w:t>：对需检测项目认识不深刻、表述不全面不准确，或检测方案不科学、不系统、不安全、不经济，或可操作性不强，或保障措施不具体，或对关键技术、工艺把握不准确、阐释不清。</w:t>
            </w:r>
          </w:p>
          <w:p w14:paraId="2E5B24F9">
            <w:pPr>
              <w:snapToGrid w:val="0"/>
              <w:spacing w:line="288" w:lineRule="auto"/>
              <w:ind w:firstLine="422" w:firstLineChars="200"/>
              <w:rPr>
                <w:color w:val="auto"/>
                <w:sz w:val="21"/>
                <w:szCs w:val="21"/>
                <w:highlight w:val="red"/>
              </w:rPr>
            </w:pPr>
            <w:r>
              <w:rPr>
                <w:rFonts w:hint="eastAsia" w:ascii="宋体" w:hAnsi="宋体" w:cs="宋体"/>
                <w:b/>
                <w:bCs/>
                <w:color w:val="auto"/>
                <w:sz w:val="21"/>
                <w:szCs w:val="21"/>
                <w:highlight w:val="none"/>
              </w:rPr>
              <w:t>注：评标委员会根据竞选人编制的方案按以上标准进行评审，分为三个等级。优4-6分；良2-4（含）分；差0-2（含）分；未提供不得分。</w:t>
            </w:r>
          </w:p>
        </w:tc>
      </w:tr>
      <w:tr w14:paraId="5475DB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7C89C">
            <w:pPr>
              <w:spacing w:line="400" w:lineRule="exact"/>
              <w:ind w:firstLine="210" w:firstLineChars="100"/>
              <w:jc w:val="center"/>
              <w:rPr>
                <w:rFonts w:ascii="宋体" w:hAnsi="宋体"/>
                <w:color w:val="auto"/>
                <w:sz w:val="21"/>
                <w:szCs w:val="21"/>
                <w:highlight w:val="none"/>
              </w:rPr>
            </w:pPr>
          </w:p>
        </w:tc>
        <w:tc>
          <w:tcPr>
            <w:tcW w:w="15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55154">
            <w:pPr>
              <w:spacing w:line="400" w:lineRule="exact"/>
              <w:ind w:firstLine="210" w:firstLineChars="100"/>
              <w:jc w:val="center"/>
              <w:rPr>
                <w:color w:val="auto"/>
                <w:sz w:val="21"/>
                <w:szCs w:val="21"/>
                <w:highlight w:val="none"/>
              </w:rPr>
            </w:pPr>
          </w:p>
        </w:tc>
        <w:tc>
          <w:tcPr>
            <w:tcW w:w="17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A05A16">
            <w:pPr>
              <w:spacing w:line="288" w:lineRule="auto"/>
              <w:ind w:firstLine="28" w:firstLineChars="0"/>
              <w:jc w:val="center"/>
              <w:rPr>
                <w:rFonts w:ascii="宋体" w:hAnsi="宋体"/>
                <w:color w:val="auto"/>
                <w:sz w:val="21"/>
                <w:szCs w:val="21"/>
                <w:highlight w:val="red"/>
              </w:rPr>
            </w:pPr>
            <w:r>
              <w:rPr>
                <w:rFonts w:hint="eastAsia" w:ascii="宋体" w:hAnsi="宋体" w:cs="宋体"/>
                <w:color w:val="auto"/>
                <w:sz w:val="21"/>
                <w:szCs w:val="21"/>
                <w:highlight w:val="none"/>
              </w:rPr>
              <w:t>项目重点、难点分析与解决措施（6分）</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6E2B190C">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优4-6分</w:t>
            </w:r>
            <w:r>
              <w:rPr>
                <w:rFonts w:hint="eastAsia" w:ascii="宋体" w:hAnsi="宋体" w:cs="宋体"/>
                <w:color w:val="auto"/>
                <w:sz w:val="21"/>
                <w:szCs w:val="21"/>
                <w:highlight w:val="none"/>
              </w:rPr>
              <w:t>：对需检测项目重点、难点认识全面，论述完整清晰，解决措施符合实际、规范，计划合理，综合措施科学。</w:t>
            </w:r>
          </w:p>
          <w:p w14:paraId="6BEC9FF0">
            <w:pPr>
              <w:snapToGrid w:val="0"/>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良2-4（含）分：</w:t>
            </w:r>
            <w:r>
              <w:rPr>
                <w:rFonts w:hint="eastAsia" w:ascii="宋体" w:hAnsi="宋体" w:cs="宋体"/>
                <w:color w:val="auto"/>
                <w:sz w:val="21"/>
                <w:szCs w:val="21"/>
                <w:highlight w:val="none"/>
              </w:rPr>
              <w:t>对需检测项目重点、难点认识比较全面，论述比较完整清晰，解决措施比较符合实际、规范，计划合理，综合措施比较科学。</w:t>
            </w:r>
          </w:p>
          <w:p w14:paraId="2E8DAF07">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差0-2（含）分：</w:t>
            </w:r>
            <w:r>
              <w:rPr>
                <w:rFonts w:hint="eastAsia" w:ascii="宋体" w:hAnsi="宋体" w:cs="宋体"/>
                <w:color w:val="auto"/>
                <w:sz w:val="21"/>
                <w:szCs w:val="21"/>
                <w:highlight w:val="none"/>
              </w:rPr>
              <w:t>对需检测项目重点、难点认识不全面，论述不完整清晰，或解决措施不够符合实际、规范，或计划不够合理，或综合措施不够科学。</w:t>
            </w:r>
          </w:p>
          <w:p w14:paraId="25016473">
            <w:pPr>
              <w:snapToGrid w:val="0"/>
              <w:spacing w:line="288" w:lineRule="auto"/>
              <w:ind w:firstLine="422" w:firstLineChars="200"/>
              <w:rPr>
                <w:color w:val="auto"/>
                <w:sz w:val="21"/>
                <w:szCs w:val="21"/>
                <w:highlight w:val="red"/>
              </w:rPr>
            </w:pPr>
            <w:r>
              <w:rPr>
                <w:rFonts w:hint="eastAsia" w:ascii="宋体" w:hAnsi="宋体" w:cs="宋体"/>
                <w:b/>
                <w:bCs/>
                <w:color w:val="auto"/>
                <w:sz w:val="21"/>
                <w:szCs w:val="21"/>
                <w:highlight w:val="none"/>
              </w:rPr>
              <w:t>注：评标委员会根据竞选人编制的方案按以上标准进行评审，分为三个等级。优4-6分；良2-4（含）分；差0-2（含）分；未提供不得分。</w:t>
            </w:r>
          </w:p>
        </w:tc>
      </w:tr>
      <w:tr w14:paraId="2B8C0A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99034">
            <w:pPr>
              <w:spacing w:line="400" w:lineRule="exact"/>
              <w:ind w:firstLine="210" w:firstLineChars="100"/>
              <w:jc w:val="center"/>
              <w:rPr>
                <w:rFonts w:ascii="宋体" w:hAnsi="宋体"/>
                <w:color w:val="auto"/>
                <w:sz w:val="21"/>
                <w:szCs w:val="21"/>
                <w:highlight w:val="none"/>
              </w:rPr>
            </w:pPr>
          </w:p>
        </w:tc>
        <w:tc>
          <w:tcPr>
            <w:tcW w:w="15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D00DB">
            <w:pPr>
              <w:spacing w:line="400" w:lineRule="exact"/>
              <w:ind w:firstLine="210" w:firstLineChars="100"/>
              <w:jc w:val="center"/>
              <w:rPr>
                <w:color w:val="auto"/>
                <w:sz w:val="21"/>
                <w:szCs w:val="21"/>
                <w:highlight w:val="none"/>
              </w:rPr>
            </w:pPr>
          </w:p>
        </w:tc>
        <w:tc>
          <w:tcPr>
            <w:tcW w:w="17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4A49F9">
            <w:pPr>
              <w:spacing w:line="288" w:lineRule="auto"/>
              <w:ind w:firstLine="28" w:firstLineChars="0"/>
              <w:jc w:val="center"/>
              <w:rPr>
                <w:rFonts w:ascii="宋体" w:hAnsi="宋体"/>
                <w:color w:val="auto"/>
                <w:sz w:val="21"/>
                <w:szCs w:val="21"/>
                <w:highlight w:val="red"/>
              </w:rPr>
            </w:pPr>
            <w:r>
              <w:rPr>
                <w:rFonts w:hint="eastAsia" w:ascii="宋体" w:hAnsi="宋体" w:cs="宋体"/>
                <w:color w:val="auto"/>
                <w:sz w:val="21"/>
                <w:szCs w:val="21"/>
                <w:highlight w:val="none"/>
              </w:rPr>
              <w:t>项目组织机构及人员岗位（6分）</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704357CE">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优4-6分：</w:t>
            </w:r>
            <w:r>
              <w:rPr>
                <w:rFonts w:hint="eastAsia" w:ascii="宋体" w:hAnsi="宋体" w:cs="宋体"/>
                <w:color w:val="auto"/>
                <w:sz w:val="21"/>
                <w:szCs w:val="21"/>
                <w:highlight w:val="none"/>
              </w:rPr>
              <w:t>项目人员组织机构合理，管理先进，班子成员岗位设置合理且符合项目情况。</w:t>
            </w:r>
          </w:p>
          <w:p w14:paraId="6EEC3DFD">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良2-4（含）分：</w:t>
            </w:r>
            <w:r>
              <w:rPr>
                <w:rFonts w:hint="eastAsia" w:ascii="宋体" w:hAnsi="宋体" w:cs="宋体"/>
                <w:color w:val="auto"/>
                <w:sz w:val="21"/>
                <w:szCs w:val="21"/>
                <w:highlight w:val="none"/>
              </w:rPr>
              <w:t>项目人员组织机构比较合理，管理比较先进，班子成员岗位设置比较合理且比较符合项目情况。</w:t>
            </w:r>
          </w:p>
          <w:p w14:paraId="3A4AB864">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差0-2（含）分：</w:t>
            </w:r>
            <w:r>
              <w:rPr>
                <w:rFonts w:hint="eastAsia" w:ascii="宋体" w:hAnsi="宋体" w:cs="宋体"/>
                <w:color w:val="auto"/>
                <w:sz w:val="21"/>
                <w:szCs w:val="21"/>
                <w:highlight w:val="none"/>
              </w:rPr>
              <w:t>项目人员组织机构不合理，管理落后，班子成员岗位设置不合理且不符合项目情况。</w:t>
            </w:r>
          </w:p>
          <w:p w14:paraId="266E0EBE">
            <w:pPr>
              <w:snapToGrid w:val="0"/>
              <w:spacing w:line="288" w:lineRule="auto"/>
              <w:ind w:firstLine="422" w:firstLineChars="200"/>
              <w:rPr>
                <w:color w:val="auto"/>
                <w:sz w:val="21"/>
                <w:szCs w:val="21"/>
                <w:highlight w:val="red"/>
              </w:rPr>
            </w:pPr>
            <w:r>
              <w:rPr>
                <w:rFonts w:hint="eastAsia" w:ascii="宋体" w:hAnsi="宋体" w:cs="宋体"/>
                <w:b/>
                <w:bCs/>
                <w:color w:val="auto"/>
                <w:sz w:val="21"/>
                <w:szCs w:val="21"/>
                <w:highlight w:val="none"/>
              </w:rPr>
              <w:t>注：评标委员会根据竞选人编制的方案按以上标准进行评审，分为三个等级。优4-6分；良2-4（含）分；差0-2（含）分；未提供不得分。</w:t>
            </w:r>
          </w:p>
        </w:tc>
      </w:tr>
      <w:tr w14:paraId="4A37FA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75E0E">
            <w:pPr>
              <w:spacing w:line="400" w:lineRule="exact"/>
              <w:ind w:firstLine="210" w:firstLineChars="100"/>
              <w:jc w:val="center"/>
              <w:rPr>
                <w:rFonts w:ascii="宋体" w:hAnsi="宋体"/>
                <w:color w:val="auto"/>
                <w:sz w:val="21"/>
                <w:szCs w:val="21"/>
                <w:highlight w:val="none"/>
              </w:rPr>
            </w:pPr>
          </w:p>
        </w:tc>
        <w:tc>
          <w:tcPr>
            <w:tcW w:w="15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F1E39">
            <w:pPr>
              <w:spacing w:line="400" w:lineRule="exact"/>
              <w:ind w:firstLine="210" w:firstLineChars="100"/>
              <w:jc w:val="center"/>
              <w:rPr>
                <w:color w:val="auto"/>
                <w:sz w:val="21"/>
                <w:szCs w:val="21"/>
                <w:highlight w:val="none"/>
              </w:rPr>
            </w:pPr>
          </w:p>
        </w:tc>
        <w:tc>
          <w:tcPr>
            <w:tcW w:w="17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406FDF">
            <w:pPr>
              <w:pStyle w:val="331"/>
              <w:spacing w:before="1" w:line="288" w:lineRule="auto"/>
              <w:ind w:left="146" w:leftChars="0" w:right="131" w:rightChars="0"/>
              <w:jc w:val="center"/>
              <w:rPr>
                <w:rFonts w:ascii="宋体" w:hAnsi="宋体"/>
                <w:color w:val="auto"/>
                <w:sz w:val="21"/>
                <w:szCs w:val="21"/>
                <w:highlight w:val="red"/>
              </w:rPr>
            </w:pPr>
            <w:r>
              <w:rPr>
                <w:rFonts w:hint="eastAsia" w:ascii="宋体" w:hAnsi="宋体" w:cs="宋体"/>
                <w:color w:val="auto"/>
                <w:sz w:val="21"/>
                <w:szCs w:val="21"/>
                <w:highlight w:val="none"/>
              </w:rPr>
              <w:t>质量、工期保障措施（6分）</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22305A9E">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优4-6分：</w:t>
            </w:r>
            <w:r>
              <w:rPr>
                <w:rFonts w:hint="eastAsia" w:ascii="宋体" w:hAnsi="宋体" w:cs="宋体"/>
                <w:color w:val="auto"/>
                <w:sz w:val="21"/>
                <w:szCs w:val="21"/>
                <w:highlight w:val="none"/>
              </w:rPr>
              <w:t>施工进度计划编制合理、可行，关键线路清晰、准确、完整，关键节点控制措施得力、可操作性强，保证措施可靠。</w:t>
            </w:r>
          </w:p>
          <w:p w14:paraId="40F3FBDE">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良2-4（含）分：</w:t>
            </w:r>
            <w:r>
              <w:rPr>
                <w:rFonts w:hint="eastAsia" w:ascii="宋体" w:hAnsi="宋体" w:cs="宋体"/>
                <w:color w:val="auto"/>
                <w:sz w:val="21"/>
                <w:szCs w:val="21"/>
                <w:highlight w:val="none"/>
              </w:rPr>
              <w:t>施工进度计划编制比较合理、可行，关键线路清晰、准确、完整，关键节点控制措施比较得力、可操作比较性强，保证措施比较可靠。</w:t>
            </w:r>
          </w:p>
          <w:p w14:paraId="7E4B5D6F">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差0-2（含）分：</w:t>
            </w:r>
            <w:r>
              <w:rPr>
                <w:rFonts w:hint="eastAsia" w:ascii="宋体" w:hAnsi="宋体" w:cs="宋体"/>
                <w:color w:val="auto"/>
                <w:sz w:val="21"/>
                <w:szCs w:val="21"/>
                <w:highlight w:val="none"/>
              </w:rPr>
              <w:t>施工进度计划编制不合理、不可行，或关键线路不清晰、不准确、不完整，或关键节点控制措施不合理、不具有可操作性基本条件，或保证措施不可靠。</w:t>
            </w:r>
          </w:p>
          <w:p w14:paraId="7D2B3337">
            <w:pPr>
              <w:snapToGrid w:val="0"/>
              <w:spacing w:line="288" w:lineRule="auto"/>
              <w:ind w:firstLine="422" w:firstLineChars="200"/>
              <w:rPr>
                <w:color w:val="auto"/>
                <w:sz w:val="21"/>
                <w:szCs w:val="21"/>
                <w:highlight w:val="red"/>
              </w:rPr>
            </w:pPr>
            <w:r>
              <w:rPr>
                <w:rFonts w:hint="eastAsia" w:ascii="宋体" w:hAnsi="宋体" w:cs="宋体"/>
                <w:b/>
                <w:bCs/>
                <w:color w:val="auto"/>
                <w:sz w:val="21"/>
                <w:szCs w:val="21"/>
                <w:highlight w:val="none"/>
              </w:rPr>
              <w:t>注：评标委员会根据竞选人编制的方案按以上标准进行评审，分为三个等级。优4-6分；良2-4（含）分；差0-2（含）分；未提供不得分。</w:t>
            </w:r>
          </w:p>
        </w:tc>
      </w:tr>
      <w:tr w14:paraId="7EE78A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B7C2AB">
            <w:pPr>
              <w:spacing w:line="400" w:lineRule="exact"/>
              <w:ind w:firstLine="210" w:firstLineChars="100"/>
              <w:jc w:val="center"/>
              <w:rPr>
                <w:rFonts w:ascii="宋体" w:hAnsi="宋体"/>
                <w:color w:val="auto"/>
                <w:sz w:val="21"/>
                <w:szCs w:val="21"/>
                <w:highlight w:val="none"/>
              </w:rPr>
            </w:pPr>
          </w:p>
        </w:tc>
        <w:tc>
          <w:tcPr>
            <w:tcW w:w="15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CAF6B">
            <w:pPr>
              <w:spacing w:line="400" w:lineRule="exact"/>
              <w:ind w:firstLine="210" w:firstLineChars="100"/>
              <w:jc w:val="center"/>
              <w:rPr>
                <w:color w:val="auto"/>
                <w:sz w:val="21"/>
                <w:szCs w:val="21"/>
                <w:highlight w:val="none"/>
              </w:rPr>
            </w:pPr>
          </w:p>
        </w:tc>
        <w:tc>
          <w:tcPr>
            <w:tcW w:w="17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C883E6">
            <w:pPr>
              <w:pStyle w:val="331"/>
              <w:spacing w:line="288" w:lineRule="auto"/>
              <w:ind w:left="146" w:right="131"/>
              <w:jc w:val="center"/>
              <w:rPr>
                <w:rFonts w:ascii="宋体" w:hAnsi="宋体" w:cs="宋体"/>
                <w:color w:val="auto"/>
                <w:sz w:val="21"/>
                <w:szCs w:val="21"/>
                <w:highlight w:val="none"/>
              </w:rPr>
            </w:pPr>
            <w:r>
              <w:rPr>
                <w:rFonts w:hint="eastAsia" w:ascii="宋体" w:hAnsi="宋体" w:cs="宋体"/>
                <w:color w:val="auto"/>
                <w:sz w:val="21"/>
                <w:szCs w:val="21"/>
                <w:highlight w:val="none"/>
              </w:rPr>
              <w:t>检测机械及仪器的投入方案</w:t>
            </w:r>
          </w:p>
          <w:p w14:paraId="64A7466C">
            <w:pPr>
              <w:spacing w:line="288" w:lineRule="auto"/>
              <w:ind w:firstLine="28" w:firstLineChars="0"/>
              <w:jc w:val="center"/>
              <w:rPr>
                <w:rFonts w:ascii="宋体" w:hAnsi="宋体"/>
                <w:color w:val="auto"/>
                <w:sz w:val="21"/>
                <w:szCs w:val="21"/>
                <w:highlight w:val="red"/>
              </w:rPr>
            </w:pPr>
            <w:r>
              <w:rPr>
                <w:rFonts w:hint="eastAsia" w:ascii="宋体" w:hAnsi="宋体" w:cs="宋体"/>
                <w:color w:val="auto"/>
                <w:sz w:val="21"/>
                <w:szCs w:val="21"/>
                <w:highlight w:val="none"/>
              </w:rPr>
              <w:t>（6分）</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4842C852">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优4-6分：</w:t>
            </w:r>
            <w:r>
              <w:rPr>
                <w:rFonts w:hint="eastAsia" w:ascii="宋体" w:hAnsi="宋体" w:cs="宋体"/>
                <w:color w:val="auto"/>
                <w:sz w:val="21"/>
                <w:szCs w:val="21"/>
                <w:highlight w:val="none"/>
              </w:rPr>
              <w:t>投入的检测机械及设备先进，投入计划与进度计划协调，调配计划合理，保证措施具体。</w:t>
            </w:r>
          </w:p>
          <w:p w14:paraId="6819FAFA">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良2-4（含）分：</w:t>
            </w:r>
            <w:r>
              <w:rPr>
                <w:rFonts w:hint="eastAsia" w:ascii="宋体" w:hAnsi="宋体" w:cs="宋体"/>
                <w:color w:val="auto"/>
                <w:sz w:val="21"/>
                <w:szCs w:val="21"/>
                <w:highlight w:val="none"/>
              </w:rPr>
              <w:t>投入的检测机械及设备基本满足检测需要，投入计划与进度计划比较协调，调配计划比较合理，保证措施比较具体。</w:t>
            </w:r>
          </w:p>
          <w:p w14:paraId="3624800D">
            <w:pPr>
              <w:snapToGrid w:val="0"/>
              <w:spacing w:line="288"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差0-2（含）分：</w:t>
            </w:r>
            <w:r>
              <w:rPr>
                <w:rFonts w:hint="eastAsia" w:ascii="宋体" w:hAnsi="宋体" w:cs="宋体"/>
                <w:color w:val="auto"/>
                <w:sz w:val="21"/>
                <w:szCs w:val="21"/>
                <w:highlight w:val="none"/>
              </w:rPr>
              <w:t>投入的检测机械及设备落后，或投入计划与进度计划不协调，或调配计划不合理，或保证措施不具体。</w:t>
            </w:r>
          </w:p>
          <w:p w14:paraId="3CCD4070">
            <w:pPr>
              <w:snapToGrid w:val="0"/>
              <w:spacing w:line="288" w:lineRule="auto"/>
              <w:ind w:firstLine="422" w:firstLineChars="200"/>
              <w:rPr>
                <w:color w:val="auto"/>
                <w:sz w:val="21"/>
                <w:szCs w:val="21"/>
                <w:highlight w:val="red"/>
              </w:rPr>
            </w:pPr>
            <w:r>
              <w:rPr>
                <w:rFonts w:hint="eastAsia" w:ascii="宋体" w:hAnsi="宋体" w:cs="宋体"/>
                <w:b/>
                <w:bCs/>
                <w:color w:val="auto"/>
                <w:sz w:val="21"/>
                <w:szCs w:val="21"/>
                <w:highlight w:val="none"/>
              </w:rPr>
              <w:t>注：评标委员会根据竞选人编制的方案按以上标准进行评审，分为三个等级。优4-6分；良2-4（含）分；差0-2（含）分；未提供不得分。</w:t>
            </w:r>
          </w:p>
        </w:tc>
      </w:tr>
      <w:tr w14:paraId="48BC2B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000B3271">
            <w:pPr>
              <w:spacing w:line="400" w:lineRule="exact"/>
              <w:jc w:val="center"/>
              <w:rPr>
                <w:rFonts w:ascii="宋体" w:hAnsi="宋体"/>
                <w:color w:val="auto"/>
                <w:sz w:val="21"/>
                <w:szCs w:val="21"/>
                <w:highlight w:val="none"/>
              </w:rPr>
            </w:pPr>
            <w:r>
              <w:rPr>
                <w:rFonts w:hint="eastAsia" w:ascii="宋体" w:hAnsi="宋体" w:cs="宋体"/>
                <w:color w:val="auto"/>
                <w:sz w:val="21"/>
                <w:szCs w:val="21"/>
                <w:highlight w:val="none"/>
              </w:rPr>
              <w:t>2.2.4（2）</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019655">
            <w:pPr>
              <w:spacing w:line="400" w:lineRule="exact"/>
              <w:jc w:val="center"/>
              <w:rPr>
                <w:color w:val="auto"/>
                <w:sz w:val="21"/>
                <w:szCs w:val="21"/>
                <w:highlight w:val="none"/>
              </w:rPr>
            </w:pPr>
            <w:r>
              <w:rPr>
                <w:rFonts w:hint="eastAsia" w:ascii="宋体" w:hAnsi="宋体" w:cs="宋体"/>
                <w:color w:val="auto"/>
                <w:sz w:val="21"/>
                <w:szCs w:val="21"/>
                <w:highlight w:val="none"/>
              </w:rPr>
              <w:t>竞选总报价评分（B）标准</w:t>
            </w:r>
          </w:p>
        </w:tc>
        <w:tc>
          <w:tcPr>
            <w:tcW w:w="17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2D1B1F">
            <w:pPr>
              <w:spacing w:line="400" w:lineRule="exact"/>
              <w:jc w:val="center"/>
              <w:rPr>
                <w:rFonts w:ascii="宋体" w:hAnsi="宋体"/>
                <w:color w:val="auto"/>
                <w:sz w:val="21"/>
                <w:szCs w:val="21"/>
                <w:highlight w:val="red"/>
              </w:rPr>
            </w:pPr>
            <w:r>
              <w:rPr>
                <w:rFonts w:hint="eastAsia" w:ascii="宋体" w:hAnsi="宋体" w:cs="宋体"/>
                <w:color w:val="auto"/>
                <w:sz w:val="21"/>
                <w:szCs w:val="21"/>
                <w:highlight w:val="none"/>
              </w:rPr>
              <w:t>竞选总报价</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36864CED">
            <w:pPr>
              <w:spacing w:line="400" w:lineRule="exact"/>
              <w:ind w:firstLine="420" w:firstLineChars="200"/>
              <w:rPr>
                <w:rFonts w:ascii="宋体" w:hAnsi="宋体" w:cs="宋体"/>
                <w:color w:val="auto"/>
                <w:sz w:val="21"/>
                <w:szCs w:val="21"/>
                <w:highlight w:val="none"/>
              </w:rPr>
            </w:pPr>
            <w:r>
              <w:rPr>
                <w:rFonts w:hint="eastAsia" w:ascii="宋体" w:hAnsi="宋体" w:cs="宋体"/>
                <w:color w:val="auto"/>
                <w:kern w:val="0"/>
                <w:sz w:val="21"/>
                <w:szCs w:val="21"/>
                <w:highlight w:val="none"/>
              </w:rPr>
              <w:t>所有通过初步评审评审合格的竞选人，竞选总报价得本附表第2.2.1项规定分值的满分</w:t>
            </w:r>
            <w:r>
              <w:rPr>
                <w:rFonts w:hint="eastAsia" w:ascii="宋体" w:hAnsi="宋体" w:cs="宋体"/>
                <w:color w:val="auto"/>
                <w:kern w:val="0"/>
                <w:sz w:val="21"/>
                <w:szCs w:val="21"/>
                <w:highlight w:val="none"/>
                <w:u w:val="single"/>
              </w:rPr>
              <w:t xml:space="preserve"> 60 </w:t>
            </w:r>
            <w:r>
              <w:rPr>
                <w:rFonts w:hint="eastAsia" w:ascii="宋体" w:hAnsi="宋体" w:cs="宋体"/>
                <w:color w:val="auto"/>
                <w:kern w:val="0"/>
                <w:sz w:val="21"/>
                <w:szCs w:val="21"/>
                <w:highlight w:val="none"/>
              </w:rPr>
              <w:t>分。</w:t>
            </w:r>
            <w:r>
              <w:rPr>
                <w:rFonts w:hint="eastAsia" w:ascii="宋体" w:hAnsi="宋体" w:cs="宋体"/>
                <w:color w:val="auto"/>
                <w:sz w:val="21"/>
                <w:szCs w:val="21"/>
                <w:highlight w:val="none"/>
              </w:rPr>
              <w:t>在此基础上，竞选总报价与评标基准价相比，每增加1%扣</w:t>
            </w:r>
            <w:r>
              <w:rPr>
                <w:rFonts w:hint="eastAsia" w:ascii="宋体" w:hAnsi="宋体" w:cs="宋体"/>
                <w:color w:val="auto"/>
                <w:sz w:val="21"/>
                <w:szCs w:val="21"/>
                <w:highlight w:val="none"/>
                <w:u w:val="single"/>
              </w:rPr>
              <w:t>0.5</w:t>
            </w:r>
            <w:r>
              <w:rPr>
                <w:rFonts w:hint="eastAsia" w:ascii="宋体" w:hAnsi="宋体" w:cs="宋体"/>
                <w:color w:val="auto"/>
                <w:sz w:val="21"/>
                <w:szCs w:val="21"/>
                <w:highlight w:val="none"/>
              </w:rPr>
              <w:t>分，每减少1%扣</w:t>
            </w:r>
            <w:r>
              <w:rPr>
                <w:rFonts w:hint="eastAsia" w:ascii="宋体" w:hAnsi="宋体" w:cs="宋体"/>
                <w:color w:val="auto"/>
                <w:sz w:val="21"/>
                <w:szCs w:val="21"/>
                <w:highlight w:val="none"/>
                <w:u w:val="single"/>
              </w:rPr>
              <w:t>0.25</w:t>
            </w:r>
            <w:r>
              <w:rPr>
                <w:rFonts w:hint="eastAsia" w:ascii="宋体" w:hAnsi="宋体" w:cs="宋体"/>
                <w:color w:val="auto"/>
                <w:sz w:val="21"/>
                <w:szCs w:val="21"/>
                <w:highlight w:val="none"/>
              </w:rPr>
              <w:t>分，最多扣</w:t>
            </w:r>
            <w:r>
              <w:rPr>
                <w:rFonts w:hint="eastAsia" w:ascii="宋体" w:hAnsi="宋体" w:cs="宋体"/>
                <w:color w:val="auto"/>
                <w:sz w:val="21"/>
                <w:szCs w:val="21"/>
                <w:highlight w:val="none"/>
                <w:u w:val="single"/>
              </w:rPr>
              <w:t>3</w:t>
            </w:r>
            <w:r>
              <w:rPr>
                <w:rFonts w:hint="eastAsia" w:ascii="宋体" w:hAnsi="宋体" w:cs="宋体"/>
                <w:color w:val="auto"/>
                <w:sz w:val="21"/>
                <w:szCs w:val="21"/>
                <w:highlight w:val="none"/>
              </w:rPr>
              <w:t>分。</w:t>
            </w:r>
          </w:p>
          <w:p w14:paraId="6FD37726">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按插入法计算得分。</w:t>
            </w:r>
          </w:p>
          <w:p w14:paraId="0A070CB6">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未参与评标基准价计算的竞标总报价，仍应参加计算相应分值。</w:t>
            </w:r>
          </w:p>
          <w:p w14:paraId="7E589CFC">
            <w:pPr>
              <w:spacing w:line="400" w:lineRule="exact"/>
              <w:ind w:firstLine="420" w:firstLineChars="200"/>
              <w:rPr>
                <w:color w:val="auto"/>
                <w:sz w:val="21"/>
                <w:szCs w:val="21"/>
                <w:highlight w:val="red"/>
              </w:rPr>
            </w:pPr>
            <w:r>
              <w:rPr>
                <w:rFonts w:hint="eastAsia" w:ascii="宋体" w:hAnsi="宋体" w:cs="宋体"/>
                <w:color w:val="auto"/>
                <w:kern w:val="0"/>
                <w:sz w:val="21"/>
                <w:szCs w:val="21"/>
                <w:highlight w:val="none"/>
              </w:rPr>
              <w:t>竞选总报价最终结果取小数点后两位，第三位四舍五入。</w:t>
            </w:r>
          </w:p>
        </w:tc>
      </w:tr>
      <w:tr w14:paraId="3E6354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09E9B8A5">
            <w:pPr>
              <w:spacing w:line="400" w:lineRule="exact"/>
              <w:jc w:val="center"/>
              <w:rPr>
                <w:rFonts w:ascii="宋体" w:hAnsi="宋体"/>
                <w:color w:val="auto"/>
                <w:kern w:val="0"/>
                <w:highlight w:val="none"/>
              </w:rPr>
            </w:pPr>
            <w:r>
              <w:rPr>
                <w:rFonts w:ascii="宋体" w:hAnsi="宋体"/>
                <w:color w:val="auto"/>
                <w:highlight w:val="none"/>
              </w:rPr>
              <w:t>3</w:t>
            </w:r>
          </w:p>
        </w:tc>
        <w:tc>
          <w:tcPr>
            <w:tcW w:w="16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4F73A9">
            <w:pPr>
              <w:spacing w:line="400" w:lineRule="exact"/>
              <w:jc w:val="center"/>
              <w:rPr>
                <w:rFonts w:ascii="宋体" w:hAnsi="宋体"/>
                <w:color w:val="auto"/>
                <w:kern w:val="0"/>
                <w:highlight w:val="none"/>
              </w:rPr>
            </w:pPr>
            <w:r>
              <w:rPr>
                <w:rFonts w:ascii="宋体" w:hAnsi="宋体"/>
                <w:color w:val="auto"/>
                <w:highlight w:val="none"/>
              </w:rPr>
              <w:t>评标程序</w:t>
            </w:r>
          </w:p>
        </w:tc>
        <w:tc>
          <w:tcPr>
            <w:tcW w:w="7077" w:type="dxa"/>
            <w:gridSpan w:val="2"/>
            <w:tcBorders>
              <w:top w:val="single" w:color="auto" w:sz="4" w:space="0"/>
              <w:left w:val="single" w:color="auto" w:sz="4" w:space="0"/>
              <w:bottom w:val="single" w:color="auto" w:sz="4" w:space="0"/>
              <w:right w:val="single" w:color="auto" w:sz="4" w:space="0"/>
            </w:tcBorders>
            <w:shd w:val="clear" w:color="auto" w:fill="auto"/>
          </w:tcPr>
          <w:p w14:paraId="6747BC3C">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1.按本章评标办法第3.1款进行初步评审。未通过初步评审或评标委员会认定为无效的投标文件的不再进行后续评审。</w:t>
            </w:r>
          </w:p>
          <w:p w14:paraId="514F7B7D">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（1）目的规定对技术部分进行评审。</w:t>
            </w:r>
          </w:p>
          <w:p w14:paraId="3477B4DE">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5D4FCCFB">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.经评审合格的投标人按照本章第2.2.</w:t>
            </w:r>
            <w:r>
              <w:rPr>
                <w:rFonts w:ascii="宋体" w:hAnsi="宋体"/>
                <w:color w:val="auto"/>
                <w:kern w:val="0"/>
                <w:szCs w:val="21"/>
                <w:highlight w:val="none"/>
              </w:rPr>
              <w:t>2</w:t>
            </w:r>
            <w:r>
              <w:rPr>
                <w:rFonts w:hint="eastAsia" w:ascii="宋体" w:hAnsi="宋体"/>
                <w:color w:val="auto"/>
                <w:kern w:val="0"/>
                <w:szCs w:val="21"/>
                <w:highlight w:val="none"/>
              </w:rPr>
              <w:t>项计算方法计算评标基准价，并按本附表第2.2.</w:t>
            </w:r>
            <w:r>
              <w:rPr>
                <w:rFonts w:ascii="宋体" w:hAnsi="宋体"/>
                <w:color w:val="auto"/>
                <w:kern w:val="0"/>
                <w:szCs w:val="21"/>
                <w:highlight w:val="none"/>
              </w:rPr>
              <w:t>4</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）目规定的评分方法对</w:t>
            </w:r>
            <w:r>
              <w:rPr>
                <w:rFonts w:hint="eastAsia" w:ascii="宋体" w:hAnsi="宋体"/>
                <w:color w:val="auto"/>
                <w:kern w:val="0"/>
                <w:szCs w:val="21"/>
                <w:highlight w:val="none"/>
                <w:lang w:val="en-US" w:eastAsia="zh-CN"/>
              </w:rPr>
              <w:t>竞</w:t>
            </w:r>
            <w:r>
              <w:rPr>
                <w:rFonts w:hint="eastAsia" w:ascii="宋体" w:hAnsi="宋体"/>
                <w:color w:val="auto"/>
                <w:kern w:val="0"/>
                <w:szCs w:val="21"/>
                <w:highlight w:val="none"/>
              </w:rPr>
              <w:t>标报价进行评分。</w:t>
            </w:r>
          </w:p>
          <w:p w14:paraId="4ADF269F">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.对技术部分、</w:t>
            </w:r>
            <w:r>
              <w:rPr>
                <w:rFonts w:hint="eastAsia" w:ascii="宋体" w:hAnsi="宋体"/>
                <w:color w:val="auto"/>
                <w:kern w:val="0"/>
                <w:szCs w:val="21"/>
                <w:highlight w:val="none"/>
                <w:lang w:val="en-US" w:eastAsia="zh-CN"/>
              </w:rPr>
              <w:t>竞</w:t>
            </w:r>
            <w:r>
              <w:rPr>
                <w:rFonts w:hint="eastAsia" w:ascii="宋体" w:hAnsi="宋体"/>
                <w:color w:val="auto"/>
                <w:kern w:val="0"/>
                <w:szCs w:val="21"/>
                <w:highlight w:val="none"/>
              </w:rPr>
              <w:t>标报价得分进行汇总，确定得分由高至低前三名投标人为中标候选人。</w:t>
            </w:r>
          </w:p>
        </w:tc>
      </w:tr>
      <w:tr w14:paraId="6349D0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6101B364">
            <w:pPr>
              <w:spacing w:line="400" w:lineRule="exact"/>
              <w:jc w:val="center"/>
              <w:rPr>
                <w:rFonts w:ascii="宋体" w:hAnsi="宋体"/>
                <w:color w:val="auto"/>
                <w:highlight w:val="none"/>
              </w:rPr>
            </w:pPr>
            <w:r>
              <w:rPr>
                <w:rFonts w:hint="eastAsia" w:ascii="宋体" w:hAnsi="宋体"/>
                <w:color w:val="auto"/>
                <w:highlight w:val="none"/>
              </w:rPr>
              <w:t>3.2.3</w:t>
            </w:r>
          </w:p>
        </w:tc>
        <w:tc>
          <w:tcPr>
            <w:tcW w:w="32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C47CEE4">
            <w:pPr>
              <w:spacing w:line="400" w:lineRule="exact"/>
              <w:jc w:val="center"/>
              <w:rPr>
                <w:rFonts w:ascii="宋体" w:hAnsi="宋体" w:cs="宋体"/>
                <w:color w:val="auto"/>
                <w:kern w:val="0"/>
                <w:szCs w:val="21"/>
                <w:highlight w:val="none"/>
              </w:rPr>
            </w:pPr>
            <w:r>
              <w:rPr>
                <w:rFonts w:hint="eastAsia" w:ascii="宋体" w:hAnsi="宋体"/>
                <w:color w:val="auto"/>
                <w:highlight w:val="none"/>
              </w:rPr>
              <w:t>投标人得分</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71789B91">
            <w:pPr>
              <w:spacing w:line="400" w:lineRule="exact"/>
              <w:ind w:firstLine="420" w:firstLineChars="200"/>
              <w:rPr>
                <w:rFonts w:ascii="宋体" w:hAnsi="宋体"/>
                <w:color w:val="auto"/>
                <w:kern w:val="0"/>
                <w:szCs w:val="21"/>
                <w:highlight w:val="none"/>
              </w:rPr>
            </w:pPr>
            <w:r>
              <w:rPr>
                <w:rFonts w:hint="eastAsia" w:ascii="宋体" w:hAnsi="宋体"/>
                <w:color w:val="auto"/>
                <w:highlight w:val="none"/>
              </w:rPr>
              <w:t>投标人得分=</w:t>
            </w:r>
            <w:r>
              <w:rPr>
                <w:rFonts w:hint="eastAsia" w:ascii="宋体" w:hAnsi="宋体"/>
                <w:color w:val="auto"/>
                <w:kern w:val="0"/>
                <w:szCs w:val="21"/>
                <w:highlight w:val="none"/>
              </w:rPr>
              <w:t>A+B</w:t>
            </w:r>
          </w:p>
        </w:tc>
      </w:tr>
      <w:tr w14:paraId="2174A8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5"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187D3263">
            <w:pPr>
              <w:spacing w:line="400" w:lineRule="exact"/>
              <w:jc w:val="center"/>
              <w:rPr>
                <w:rFonts w:ascii="宋体" w:hAnsi="宋体"/>
                <w:color w:val="auto"/>
                <w:highlight w:val="none"/>
              </w:rPr>
            </w:pPr>
            <w:r>
              <w:rPr>
                <w:rFonts w:hint="eastAsia" w:ascii="宋体" w:hAnsi="宋体"/>
                <w:color w:val="auto"/>
                <w:highlight w:val="none"/>
              </w:rPr>
              <w:t>3.4</w:t>
            </w:r>
          </w:p>
        </w:tc>
        <w:tc>
          <w:tcPr>
            <w:tcW w:w="32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EFA53C">
            <w:pPr>
              <w:spacing w:line="400" w:lineRule="exact"/>
              <w:jc w:val="center"/>
              <w:rPr>
                <w:rFonts w:ascii="宋体" w:hAnsi="宋体"/>
                <w:color w:val="auto"/>
                <w:highlight w:val="none"/>
              </w:rPr>
            </w:pPr>
            <w:r>
              <w:rPr>
                <w:rFonts w:hint="eastAsia" w:ascii="宋体" w:hAnsi="宋体"/>
                <w:color w:val="auto"/>
                <w:highlight w:val="none"/>
              </w:rPr>
              <w:t>评标结果</w:t>
            </w:r>
          </w:p>
        </w:tc>
        <w:tc>
          <w:tcPr>
            <w:tcW w:w="5395" w:type="dxa"/>
            <w:tcBorders>
              <w:top w:val="single" w:color="auto" w:sz="4" w:space="0"/>
              <w:left w:val="single" w:color="auto" w:sz="4" w:space="0"/>
              <w:bottom w:val="single" w:color="auto" w:sz="4" w:space="0"/>
              <w:right w:val="single" w:color="auto" w:sz="4" w:space="0"/>
            </w:tcBorders>
            <w:shd w:val="clear" w:color="auto" w:fill="auto"/>
            <w:vAlign w:val="center"/>
          </w:tcPr>
          <w:p w14:paraId="40E644F2">
            <w:pPr>
              <w:spacing w:line="400" w:lineRule="exact"/>
              <w:ind w:firstLine="420" w:firstLineChars="200"/>
              <w:rPr>
                <w:color w:val="auto"/>
                <w:highlight w:val="none"/>
              </w:rPr>
            </w:pPr>
            <w:r>
              <w:rPr>
                <w:rFonts w:hint="eastAsia"/>
                <w:color w:val="auto"/>
                <w:highlight w:val="none"/>
              </w:rPr>
              <w:t>3.4.1</w:t>
            </w:r>
            <w:r>
              <w:rPr>
                <w:color w:val="auto"/>
                <w:highlight w:val="none"/>
              </w:rPr>
              <w:t>除第二章“投标人须知”前附表授权直接确定中标人外，评标委员会按照得分由高到低的顺序推荐中标候选人，并标明排序。</w:t>
            </w:r>
          </w:p>
          <w:p w14:paraId="29EC8DF6">
            <w:pPr>
              <w:autoSpaceDE w:val="0"/>
              <w:autoSpaceDN w:val="0"/>
              <w:adjustRightInd w:val="0"/>
              <w:snapToGrid w:val="0"/>
              <w:spacing w:line="400" w:lineRule="exact"/>
              <w:ind w:firstLine="420" w:firstLineChars="200"/>
              <w:rPr>
                <w:rFonts w:ascii="宋体" w:hAnsi="宋体" w:cs="宋体"/>
                <w:snapToGrid w:val="0"/>
                <w:color w:val="auto"/>
                <w:kern w:val="0"/>
                <w:szCs w:val="21"/>
                <w:highlight w:val="none"/>
              </w:rPr>
            </w:pPr>
            <w:r>
              <w:rPr>
                <w:color w:val="auto"/>
                <w:szCs w:val="22"/>
                <w:highlight w:val="none"/>
              </w:rPr>
              <w:t>3.4.2 评标委员会完成评标后，应当向招标人提交书面评标报告和中标候选人名单。</w:t>
            </w:r>
          </w:p>
        </w:tc>
      </w:tr>
      <w:bookmarkEnd w:id="227"/>
    </w:tbl>
    <w:p w14:paraId="31F8E410">
      <w:pPr>
        <w:rPr>
          <w:rFonts w:ascii="宋体"/>
          <w:b w:val="0"/>
          <w:snapToGrid w:val="0"/>
          <w:color w:val="auto"/>
          <w:highlight w:val="none"/>
        </w:rPr>
      </w:pPr>
      <w:bookmarkStart w:id="228" w:name="招标文件03章02评标办法综合评估法02附件02"/>
      <w:bookmarkEnd w:id="228"/>
      <w:bookmarkStart w:id="229" w:name="招标文件04章合同条款及格式"/>
      <w:bookmarkEnd w:id="229"/>
      <w:bookmarkStart w:id="230" w:name="_Toc2468"/>
      <w:bookmarkStart w:id="231" w:name="_Toc26919"/>
      <w:bookmarkStart w:id="232" w:name="_Toc105414374"/>
      <w:bookmarkStart w:id="233" w:name="_Toc230410480"/>
      <w:bookmarkStart w:id="234" w:name="_Toc277082627"/>
      <w:bookmarkStart w:id="235" w:name="_Toc430530509"/>
      <w:bookmarkStart w:id="236" w:name="_Toc8427"/>
      <w:bookmarkStart w:id="237" w:name="_Toc509218785"/>
      <w:r>
        <w:rPr>
          <w:rFonts w:ascii="宋体"/>
          <w:b w:val="0"/>
          <w:snapToGrid w:val="0"/>
          <w:color w:val="auto"/>
          <w:highlight w:val="none"/>
        </w:rPr>
        <w:br w:type="page"/>
      </w:r>
    </w:p>
    <w:p w14:paraId="3703B8BA">
      <w:pPr>
        <w:pStyle w:val="3"/>
        <w:rPr>
          <w:rFonts w:ascii="宋体"/>
          <w:b w:val="0"/>
          <w:snapToGrid w:val="0"/>
          <w:color w:val="auto"/>
          <w:highlight w:val="none"/>
        </w:rPr>
      </w:pPr>
      <w:r>
        <w:rPr>
          <w:rFonts w:ascii="宋体"/>
          <w:b w:val="0"/>
          <w:snapToGrid w:val="0"/>
          <w:color w:val="auto"/>
          <w:highlight w:val="none"/>
        </w:rPr>
        <w:t>1.  评标方法</w:t>
      </w:r>
      <w:bookmarkEnd w:id="230"/>
      <w:bookmarkEnd w:id="231"/>
      <w:bookmarkEnd w:id="232"/>
    </w:p>
    <w:p w14:paraId="7B31895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评标委员会对满足竞争性比选实质性要求的竞选文件，按照本章第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w:t>
      </w:r>
      <w:r>
        <w:rPr>
          <w:rFonts w:hint="eastAsia" w:ascii="宋体" w:hAnsi="宋体"/>
          <w:color w:val="auto"/>
          <w:kern w:val="0"/>
          <w:szCs w:val="21"/>
          <w:highlight w:val="none"/>
        </w:rPr>
        <w:t>并</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或根据招标人授权直接确定中标人。综合评分相等时，</w:t>
      </w:r>
      <w:r>
        <w:rPr>
          <w:rFonts w:hint="eastAsia" w:ascii="宋体" w:hAnsi="宋体"/>
          <w:color w:val="auto"/>
          <w:kern w:val="0"/>
          <w:szCs w:val="21"/>
          <w:highlight w:val="none"/>
        </w:rPr>
        <w:t>以评标办法前附表约定的原则确定</w:t>
      </w:r>
      <w:r>
        <w:rPr>
          <w:rFonts w:ascii="宋体" w:hAnsi="宋体"/>
          <w:color w:val="auto"/>
          <w:highlight w:val="none"/>
        </w:rPr>
        <w:t>中标候选人顺序</w:t>
      </w:r>
      <w:r>
        <w:rPr>
          <w:rFonts w:ascii="宋体" w:hAnsi="宋体"/>
          <w:color w:val="auto"/>
          <w:spacing w:val="-31"/>
          <w:kern w:val="0"/>
          <w:szCs w:val="21"/>
          <w:highlight w:val="none"/>
        </w:rPr>
        <w:t>。</w:t>
      </w:r>
    </w:p>
    <w:p w14:paraId="6DE1BB66">
      <w:pPr>
        <w:pStyle w:val="3"/>
        <w:rPr>
          <w:rFonts w:ascii="宋体"/>
          <w:b w:val="0"/>
          <w:snapToGrid w:val="0"/>
          <w:color w:val="auto"/>
          <w:highlight w:val="none"/>
        </w:rPr>
      </w:pPr>
      <w:bookmarkStart w:id="238" w:name="_Toc8451"/>
      <w:bookmarkStart w:id="239" w:name="_Toc509218777"/>
      <w:bookmarkStart w:id="240" w:name="_Toc3262"/>
      <w:bookmarkStart w:id="241" w:name="_Toc105414375"/>
      <w:r>
        <w:rPr>
          <w:rFonts w:ascii="宋体"/>
          <w:b w:val="0"/>
          <w:snapToGrid w:val="0"/>
          <w:color w:val="auto"/>
          <w:highlight w:val="none"/>
        </w:rPr>
        <w:t>2.  评审标准</w:t>
      </w:r>
      <w:bookmarkEnd w:id="238"/>
      <w:bookmarkEnd w:id="239"/>
      <w:bookmarkEnd w:id="240"/>
      <w:bookmarkEnd w:id="241"/>
    </w:p>
    <w:p w14:paraId="06229087">
      <w:pPr>
        <w:pStyle w:val="4"/>
        <w:snapToGrid w:val="0"/>
        <w:spacing w:before="0" w:line="360" w:lineRule="auto"/>
        <w:rPr>
          <w:rFonts w:ascii="宋体"/>
          <w:b w:val="0"/>
          <w:snapToGrid w:val="0"/>
          <w:color w:val="auto"/>
          <w:szCs w:val="24"/>
          <w:highlight w:val="none"/>
        </w:rPr>
      </w:pPr>
      <w:bookmarkStart w:id="242" w:name="_Toc11473"/>
      <w:bookmarkStart w:id="243" w:name="_Toc105414376"/>
      <w:bookmarkStart w:id="244" w:name="_Toc509218778"/>
      <w:bookmarkStart w:id="245" w:name="_Toc15920"/>
      <w:r>
        <w:rPr>
          <w:rFonts w:ascii="宋体"/>
          <w:b w:val="0"/>
          <w:snapToGrid w:val="0"/>
          <w:color w:val="auto"/>
          <w:szCs w:val="24"/>
          <w:highlight w:val="none"/>
        </w:rPr>
        <w:t>2.1  初步评审标准</w:t>
      </w:r>
      <w:bookmarkEnd w:id="242"/>
      <w:bookmarkEnd w:id="243"/>
      <w:bookmarkEnd w:id="244"/>
      <w:bookmarkEnd w:id="245"/>
    </w:p>
    <w:p w14:paraId="3195E3E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w:t>
      </w:r>
      <w:r>
        <w:rPr>
          <w:rFonts w:ascii="宋体" w:hAnsi="宋体"/>
          <w:color w:val="auto"/>
          <w:kern w:val="0"/>
          <w:szCs w:val="21"/>
          <w:highlight w:val="none"/>
        </w:rPr>
        <w:t xml:space="preserve">  资格评审标准：见评标办法前附表。</w:t>
      </w:r>
    </w:p>
    <w:p w14:paraId="4961FE7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585C752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18CBA0F9">
      <w:pPr>
        <w:pStyle w:val="4"/>
        <w:snapToGrid w:val="0"/>
        <w:spacing w:before="0" w:line="360" w:lineRule="auto"/>
        <w:rPr>
          <w:rFonts w:ascii="宋体"/>
          <w:b w:val="0"/>
          <w:snapToGrid w:val="0"/>
          <w:color w:val="auto"/>
          <w:szCs w:val="24"/>
          <w:highlight w:val="none"/>
        </w:rPr>
      </w:pPr>
      <w:bookmarkStart w:id="246" w:name="_Toc509218779"/>
      <w:bookmarkStart w:id="247" w:name="_Toc18279"/>
      <w:bookmarkStart w:id="248" w:name="_Toc105414377"/>
      <w:bookmarkStart w:id="249" w:name="_Toc21330"/>
      <w:r>
        <w:rPr>
          <w:rFonts w:ascii="宋体"/>
          <w:b w:val="0"/>
          <w:snapToGrid w:val="0"/>
          <w:color w:val="auto"/>
          <w:szCs w:val="24"/>
          <w:highlight w:val="none"/>
        </w:rPr>
        <w:t>2.2  分值构成与</w:t>
      </w:r>
      <w:r>
        <w:rPr>
          <w:rFonts w:hint="eastAsia" w:ascii="宋体"/>
          <w:b w:val="0"/>
          <w:snapToGrid w:val="0"/>
          <w:color w:val="auto"/>
          <w:szCs w:val="24"/>
          <w:highlight w:val="none"/>
        </w:rPr>
        <w:t>评审</w:t>
      </w:r>
      <w:r>
        <w:rPr>
          <w:rFonts w:ascii="宋体"/>
          <w:b w:val="0"/>
          <w:snapToGrid w:val="0"/>
          <w:color w:val="auto"/>
          <w:szCs w:val="24"/>
          <w:highlight w:val="none"/>
        </w:rPr>
        <w:t>标准</w:t>
      </w:r>
      <w:bookmarkEnd w:id="246"/>
      <w:bookmarkEnd w:id="247"/>
      <w:bookmarkEnd w:id="248"/>
      <w:bookmarkEnd w:id="249"/>
    </w:p>
    <w:p w14:paraId="60EE800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2.2.1  分值构成</w:t>
      </w:r>
    </w:p>
    <w:p w14:paraId="6B74180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7951E0C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lang w:val="en-US" w:eastAsia="zh-CN"/>
        </w:rPr>
        <w:t>2</w:t>
      </w:r>
      <w:r>
        <w:rPr>
          <w:rFonts w:ascii="宋体" w:hAnsi="宋体"/>
          <w:color w:val="auto"/>
          <w:kern w:val="0"/>
          <w:szCs w:val="21"/>
          <w:highlight w:val="none"/>
        </w:rPr>
        <w:t>）投标</w:t>
      </w:r>
      <w:r>
        <w:rPr>
          <w:rFonts w:ascii="宋体" w:hAnsi="宋体"/>
          <w:color w:val="auto"/>
          <w:spacing w:val="-1"/>
          <w:kern w:val="0"/>
          <w:szCs w:val="21"/>
          <w:highlight w:val="none"/>
        </w:rPr>
        <w:t>报</w:t>
      </w:r>
      <w:r>
        <w:rPr>
          <w:rFonts w:ascii="宋体" w:hAnsi="宋体"/>
          <w:color w:val="auto"/>
          <w:kern w:val="0"/>
          <w:szCs w:val="21"/>
          <w:highlight w:val="none"/>
        </w:rPr>
        <w:t>价：见评标办法前附表</w:t>
      </w:r>
      <w:r>
        <w:rPr>
          <w:rFonts w:hint="eastAsia" w:ascii="宋体" w:hAnsi="宋体"/>
          <w:color w:val="auto"/>
          <w:kern w:val="0"/>
          <w:szCs w:val="21"/>
          <w:highlight w:val="none"/>
        </w:rPr>
        <w:t>。</w:t>
      </w:r>
    </w:p>
    <w:p w14:paraId="2A3A064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 xml:space="preserve">2  </w:t>
      </w:r>
      <w:r>
        <w:rPr>
          <w:rFonts w:ascii="宋体" w:hAnsi="宋体"/>
          <w:color w:val="auto"/>
          <w:kern w:val="0"/>
          <w:szCs w:val="21"/>
          <w:highlight w:val="none"/>
        </w:rPr>
        <w:t>评标基准价计算</w:t>
      </w:r>
    </w:p>
    <w:p w14:paraId="4CF06E7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44BA4D0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2.2.3 </w:t>
      </w:r>
      <w:r>
        <w:rPr>
          <w:rFonts w:hint="eastAsia" w:ascii="宋体" w:hAnsi="宋体"/>
          <w:color w:val="auto"/>
          <w:kern w:val="0"/>
          <w:szCs w:val="21"/>
          <w:highlight w:val="none"/>
        </w:rPr>
        <w:t xml:space="preserve"> </w:t>
      </w:r>
      <w:r>
        <w:rPr>
          <w:rFonts w:hint="eastAsia"/>
          <w:color w:val="auto"/>
          <w:highlight w:val="none"/>
          <w:lang w:val="en-US" w:eastAsia="zh-CN"/>
        </w:rPr>
        <w:t>竞标报价</w:t>
      </w:r>
      <w:r>
        <w:rPr>
          <w:rFonts w:ascii="宋体" w:hAnsi="宋体"/>
          <w:color w:val="auto"/>
          <w:kern w:val="0"/>
          <w:szCs w:val="21"/>
          <w:highlight w:val="none"/>
        </w:rPr>
        <w:t>的偏差率计算</w:t>
      </w:r>
    </w:p>
    <w:p w14:paraId="5FACEB9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56D72DF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.2.4  评</w:t>
      </w:r>
      <w:r>
        <w:rPr>
          <w:rFonts w:hint="eastAsia" w:ascii="宋体" w:hAnsi="宋体"/>
          <w:color w:val="auto"/>
          <w:kern w:val="0"/>
          <w:szCs w:val="21"/>
          <w:highlight w:val="none"/>
        </w:rPr>
        <w:t>审</w:t>
      </w:r>
      <w:r>
        <w:rPr>
          <w:rFonts w:ascii="宋体" w:hAnsi="宋体"/>
          <w:color w:val="auto"/>
          <w:kern w:val="0"/>
          <w:szCs w:val="21"/>
          <w:highlight w:val="none"/>
        </w:rPr>
        <w:t>标准</w:t>
      </w:r>
    </w:p>
    <w:p w14:paraId="12BB1D9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技术部分</w:t>
      </w:r>
      <w:r>
        <w:rPr>
          <w:rFonts w:ascii="宋体" w:hAnsi="宋体"/>
          <w:color w:val="auto"/>
          <w:kern w:val="0"/>
          <w:szCs w:val="21"/>
          <w:highlight w:val="none"/>
        </w:rPr>
        <w:t>评分标准：见评标办法前附表；</w:t>
      </w:r>
    </w:p>
    <w:p w14:paraId="0CAAB72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lang w:val="en-US" w:eastAsia="zh-CN"/>
        </w:rPr>
        <w:t>2</w:t>
      </w:r>
      <w:r>
        <w:rPr>
          <w:rFonts w:ascii="宋体" w:hAnsi="宋体"/>
          <w:color w:val="auto"/>
          <w:kern w:val="0"/>
          <w:szCs w:val="21"/>
          <w:highlight w:val="none"/>
        </w:rPr>
        <w:t>）</w:t>
      </w:r>
      <w:r>
        <w:rPr>
          <w:rFonts w:hint="eastAsia"/>
          <w:color w:val="auto"/>
          <w:highlight w:val="none"/>
          <w:lang w:val="en-US" w:eastAsia="zh-CN"/>
        </w:rPr>
        <w:t>竞标报价</w:t>
      </w:r>
      <w:r>
        <w:rPr>
          <w:rFonts w:ascii="宋体" w:hAnsi="宋体"/>
          <w:color w:val="auto"/>
          <w:kern w:val="0"/>
          <w:szCs w:val="21"/>
          <w:highlight w:val="none"/>
        </w:rPr>
        <w:t>评分标准：见评标办法前附表。</w:t>
      </w:r>
    </w:p>
    <w:p w14:paraId="5AA5AE5D">
      <w:pPr>
        <w:pStyle w:val="3"/>
        <w:rPr>
          <w:rFonts w:ascii="宋体"/>
          <w:b w:val="0"/>
          <w:snapToGrid w:val="0"/>
          <w:color w:val="auto"/>
          <w:highlight w:val="none"/>
        </w:rPr>
      </w:pPr>
      <w:bookmarkStart w:id="250" w:name="_Toc105414378"/>
      <w:bookmarkStart w:id="251" w:name="_Toc509218780"/>
      <w:bookmarkStart w:id="252" w:name="_Toc765"/>
      <w:bookmarkStart w:id="253" w:name="_Toc15502"/>
      <w:r>
        <w:rPr>
          <w:rFonts w:ascii="宋体"/>
          <w:b w:val="0"/>
          <w:snapToGrid w:val="0"/>
          <w:color w:val="auto"/>
          <w:highlight w:val="none"/>
        </w:rPr>
        <w:t>3.  评标程序</w:t>
      </w:r>
      <w:bookmarkEnd w:id="250"/>
      <w:bookmarkEnd w:id="251"/>
      <w:bookmarkEnd w:id="252"/>
      <w:bookmarkEnd w:id="253"/>
    </w:p>
    <w:p w14:paraId="3E46F414">
      <w:pPr>
        <w:pStyle w:val="4"/>
        <w:snapToGrid w:val="0"/>
        <w:spacing w:before="0" w:line="360" w:lineRule="auto"/>
        <w:rPr>
          <w:rFonts w:ascii="宋体"/>
          <w:b w:val="0"/>
          <w:snapToGrid w:val="0"/>
          <w:color w:val="auto"/>
          <w:szCs w:val="24"/>
          <w:highlight w:val="none"/>
        </w:rPr>
      </w:pPr>
      <w:bookmarkStart w:id="254" w:name="_Toc18340"/>
      <w:bookmarkStart w:id="255" w:name="_Toc11875"/>
      <w:bookmarkStart w:id="256" w:name="_Toc509218781"/>
      <w:bookmarkStart w:id="257" w:name="_Toc105414379"/>
      <w:r>
        <w:rPr>
          <w:rFonts w:ascii="宋体"/>
          <w:b w:val="0"/>
          <w:snapToGrid w:val="0"/>
          <w:color w:val="auto"/>
          <w:szCs w:val="24"/>
          <w:highlight w:val="none"/>
        </w:rPr>
        <w:t>3.1  初步评审</w:t>
      </w:r>
      <w:bookmarkEnd w:id="254"/>
      <w:bookmarkEnd w:id="255"/>
      <w:bookmarkEnd w:id="256"/>
      <w:bookmarkEnd w:id="257"/>
    </w:p>
    <w:p w14:paraId="44EEA2A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款规定的标准对竞选文件进行初步评审。有一项不符合评审标准的，作否决投标处理。</w:t>
      </w:r>
    </w:p>
    <w:p w14:paraId="6357E98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3.1.2  竞标人有以下情形之一的，其投标作否决投标处理：</w:t>
      </w:r>
    </w:p>
    <w:p w14:paraId="2A52872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w:t>
      </w:r>
      <w:r>
        <w:rPr>
          <w:rFonts w:hint="eastAsia" w:ascii="宋体" w:hAnsi="宋体" w:cs="宋体"/>
          <w:color w:val="auto"/>
          <w:szCs w:val="21"/>
          <w:highlight w:val="none"/>
        </w:rPr>
        <w:t>有串通投标、弄虚作假等其他违反招投标相关法律、法规行为的</w:t>
      </w:r>
      <w:r>
        <w:rPr>
          <w:rFonts w:ascii="宋体" w:hAnsi="宋体"/>
          <w:color w:val="auto"/>
          <w:kern w:val="0"/>
          <w:szCs w:val="21"/>
          <w:highlight w:val="none"/>
        </w:rPr>
        <w:t>；</w:t>
      </w:r>
    </w:p>
    <w:p w14:paraId="742D06D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63B8344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投标报价有算术错误及其他错误的，评标委员会按以下原则要求竞标人对投标报价进行修正，并要求竞标人书面澄清确认。竞标人拒不澄清确认的，评标委员会应当否决其投标：</w:t>
      </w:r>
    </w:p>
    <w:p w14:paraId="0857FDB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（1）竞选文件中的大写金额与小写金额不一致的，以大写金额为准；</w:t>
      </w:r>
    </w:p>
    <w:p w14:paraId="71FDD96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竞选函中的投标暂定</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费报价与依据固定费率/固定单价计算出的结果</w:t>
      </w:r>
      <w:r>
        <w:rPr>
          <w:rFonts w:ascii="宋体" w:hAnsi="宋体"/>
          <w:color w:val="auto"/>
          <w:kern w:val="0"/>
          <w:szCs w:val="21"/>
          <w:highlight w:val="none"/>
        </w:rPr>
        <w:t>不一致的</w:t>
      </w:r>
      <w:r>
        <w:rPr>
          <w:rFonts w:hint="eastAsia" w:ascii="宋体" w:hAnsi="宋体"/>
          <w:color w:val="auto"/>
          <w:kern w:val="0"/>
          <w:szCs w:val="21"/>
          <w:highlight w:val="none"/>
        </w:rPr>
        <w:t>；采用</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费用清单报价的，竞选函中的投标总报价或投标暂定</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费报价与</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费用清单合计报价</w:t>
      </w:r>
      <w:r>
        <w:rPr>
          <w:rFonts w:ascii="宋体" w:hAnsi="宋体"/>
          <w:color w:val="auto"/>
          <w:kern w:val="0"/>
          <w:szCs w:val="21"/>
          <w:highlight w:val="none"/>
        </w:rPr>
        <w:t>不一致的</w:t>
      </w:r>
      <w:r>
        <w:rPr>
          <w:rFonts w:hint="eastAsia" w:ascii="宋体" w:hAnsi="宋体"/>
          <w:color w:val="auto"/>
          <w:kern w:val="0"/>
          <w:szCs w:val="21"/>
          <w:highlight w:val="none"/>
        </w:rPr>
        <w:t>，均由评标委员会作否决投标处理</w:t>
      </w:r>
      <w:r>
        <w:rPr>
          <w:rFonts w:ascii="宋体" w:hAnsi="宋体"/>
          <w:color w:val="auto"/>
          <w:kern w:val="0"/>
          <w:szCs w:val="21"/>
          <w:highlight w:val="none"/>
        </w:rPr>
        <w:t>。</w:t>
      </w:r>
    </w:p>
    <w:p w14:paraId="2EC3A69F">
      <w:pPr>
        <w:pStyle w:val="4"/>
        <w:snapToGrid w:val="0"/>
        <w:spacing w:before="0" w:line="360" w:lineRule="auto"/>
        <w:rPr>
          <w:rFonts w:ascii="宋体"/>
          <w:b w:val="0"/>
          <w:snapToGrid w:val="0"/>
          <w:color w:val="auto"/>
          <w:szCs w:val="24"/>
          <w:highlight w:val="none"/>
        </w:rPr>
      </w:pPr>
      <w:bookmarkStart w:id="258" w:name="_Toc1832"/>
      <w:bookmarkStart w:id="259" w:name="_Toc509218782"/>
      <w:bookmarkStart w:id="260" w:name="_Toc105414380"/>
      <w:bookmarkStart w:id="261" w:name="_Toc6650"/>
      <w:r>
        <w:rPr>
          <w:rFonts w:ascii="宋体"/>
          <w:b w:val="0"/>
          <w:snapToGrid w:val="0"/>
          <w:color w:val="auto"/>
          <w:szCs w:val="24"/>
          <w:highlight w:val="none"/>
        </w:rPr>
        <w:t>3.2  详细评审</w:t>
      </w:r>
      <w:bookmarkEnd w:id="258"/>
      <w:bookmarkEnd w:id="259"/>
      <w:bookmarkEnd w:id="260"/>
      <w:bookmarkEnd w:id="261"/>
    </w:p>
    <w:p w14:paraId="0C558D1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rPr>
        <w:t>评分</w:t>
      </w:r>
      <w:r>
        <w:rPr>
          <w:rFonts w:ascii="宋体" w:hAnsi="宋体"/>
          <w:color w:val="auto"/>
          <w:kern w:val="0"/>
          <w:szCs w:val="21"/>
          <w:highlight w:val="none"/>
        </w:rPr>
        <w:t>，并计算出综合评估得分。</w:t>
      </w:r>
    </w:p>
    <w:p w14:paraId="61E7B64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（1）按本章第 2.2.4（1）目规定的评审因素和分值对</w:t>
      </w:r>
      <w:r>
        <w:rPr>
          <w:rFonts w:hint="eastAsia" w:ascii="宋体" w:hAnsi="宋体"/>
          <w:color w:val="auto"/>
          <w:kern w:val="0"/>
          <w:szCs w:val="21"/>
          <w:highlight w:val="none"/>
        </w:rPr>
        <w:t>技术</w:t>
      </w:r>
      <w:r>
        <w:rPr>
          <w:rFonts w:ascii="宋体" w:hAnsi="宋体"/>
          <w:color w:val="auto"/>
          <w:kern w:val="0"/>
          <w:szCs w:val="21"/>
          <w:highlight w:val="none"/>
        </w:rPr>
        <w:t>部分计算出得分 A；</w:t>
      </w:r>
    </w:p>
    <w:p w14:paraId="6F539E4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lang w:val="en-US" w:eastAsia="zh-CN"/>
        </w:rPr>
        <w:t>2</w:t>
      </w:r>
      <w:r>
        <w:rPr>
          <w:rFonts w:ascii="宋体" w:hAnsi="宋体"/>
          <w:color w:val="auto"/>
          <w:kern w:val="0"/>
          <w:szCs w:val="21"/>
          <w:highlight w:val="none"/>
        </w:rPr>
        <w:t>）按本章第 2.2.4（</w:t>
      </w:r>
      <w:r>
        <w:rPr>
          <w:rFonts w:hint="eastAsia" w:ascii="宋体" w:hAnsi="宋体"/>
          <w:color w:val="auto"/>
          <w:kern w:val="0"/>
          <w:szCs w:val="21"/>
          <w:highlight w:val="none"/>
          <w:lang w:val="en-US" w:eastAsia="zh-CN"/>
        </w:rPr>
        <w:t>2</w:t>
      </w:r>
      <w:r>
        <w:rPr>
          <w:rFonts w:ascii="宋体" w:hAnsi="宋体"/>
          <w:color w:val="auto"/>
          <w:kern w:val="0"/>
          <w:szCs w:val="21"/>
          <w:highlight w:val="none"/>
        </w:rPr>
        <w:t xml:space="preserve">）目规定的评审因素和分值对投标报价计算出得分 </w:t>
      </w:r>
      <w:r>
        <w:rPr>
          <w:rFonts w:hint="eastAsia" w:ascii="宋体" w:hAnsi="宋体"/>
          <w:color w:val="auto"/>
          <w:kern w:val="0"/>
          <w:szCs w:val="21"/>
          <w:highlight w:val="none"/>
          <w:lang w:val="en-US" w:eastAsia="zh-CN"/>
        </w:rPr>
        <w:t>B</w:t>
      </w:r>
      <w:r>
        <w:rPr>
          <w:rFonts w:ascii="宋体" w:hAnsi="宋体"/>
          <w:color w:val="auto"/>
          <w:kern w:val="0"/>
          <w:szCs w:val="21"/>
          <w:highlight w:val="none"/>
        </w:rPr>
        <w:t>；</w:t>
      </w:r>
    </w:p>
    <w:p w14:paraId="60069A7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33826BD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3.2.3  竞标人得分=A+B</w:t>
      </w:r>
      <w:r>
        <w:rPr>
          <w:rFonts w:hint="eastAsia" w:ascii="宋体" w:hAnsi="宋体"/>
          <w:color w:val="auto"/>
          <w:kern w:val="0"/>
          <w:szCs w:val="21"/>
          <w:highlight w:val="none"/>
        </w:rPr>
        <w:t>。</w:t>
      </w:r>
    </w:p>
    <w:p w14:paraId="1495BF83">
      <w:pPr>
        <w:pStyle w:val="4"/>
        <w:snapToGrid w:val="0"/>
        <w:spacing w:before="0" w:line="360" w:lineRule="auto"/>
        <w:rPr>
          <w:rFonts w:ascii="宋体"/>
          <w:b w:val="0"/>
          <w:snapToGrid w:val="0"/>
          <w:color w:val="auto"/>
          <w:szCs w:val="24"/>
          <w:highlight w:val="none"/>
        </w:rPr>
      </w:pPr>
      <w:bookmarkStart w:id="262" w:name="_Toc105414381"/>
      <w:bookmarkStart w:id="263" w:name="_Toc509218783"/>
      <w:bookmarkStart w:id="264" w:name="_Toc18143"/>
      <w:bookmarkStart w:id="265" w:name="_Toc13602"/>
      <w:r>
        <w:rPr>
          <w:rFonts w:ascii="宋体"/>
          <w:b w:val="0"/>
          <w:snapToGrid w:val="0"/>
          <w:color w:val="auto"/>
          <w:szCs w:val="24"/>
          <w:highlight w:val="none"/>
        </w:rPr>
        <w:t>3.3  竞选文件的澄清</w:t>
      </w:r>
      <w:bookmarkEnd w:id="262"/>
      <w:bookmarkEnd w:id="263"/>
      <w:bookmarkEnd w:id="264"/>
      <w:bookmarkEnd w:id="265"/>
    </w:p>
    <w:p w14:paraId="0D7A37ED">
      <w:pPr>
        <w:autoSpaceDE w:val="0"/>
        <w:autoSpaceDN w:val="0"/>
        <w:adjustRightInd w:val="0"/>
        <w:snapToGrid w:val="0"/>
        <w:spacing w:line="360" w:lineRule="auto"/>
        <w:ind w:firstLine="420" w:firstLineChars="200"/>
        <w:rPr>
          <w:rFonts w:ascii="宋体" w:hAnsi="宋体"/>
          <w:color w:val="auto"/>
          <w:kern w:val="0"/>
          <w:szCs w:val="21"/>
          <w:highlight w:val="none"/>
        </w:rPr>
      </w:pPr>
      <w:bookmarkStart w:id="266" w:name="_Hlk71569932"/>
      <w:r>
        <w:rPr>
          <w:rFonts w:ascii="宋体" w:hAnsi="宋体"/>
          <w:color w:val="auto"/>
          <w:kern w:val="0"/>
          <w:szCs w:val="21"/>
          <w:highlight w:val="none"/>
        </w:rPr>
        <w:t>3.3.1  在评标过程中，评标委员会可以书面形式要求竞标人对所提交竞选文件中</w:t>
      </w:r>
      <w:r>
        <w:rPr>
          <w:rFonts w:hint="eastAsia" w:ascii="宋体" w:hAnsi="宋体"/>
          <w:color w:val="auto"/>
          <w:kern w:val="0"/>
          <w:szCs w:val="21"/>
          <w:highlight w:val="none"/>
        </w:rPr>
        <w:t>含义不明确、对同类问题表述不一致或者有明显文字和计算错误的内容作必要的澄清、说明或补正。澄清、说明或补正应以书面方式进行。评标委员会不接受竞标人主动提出的澄清、说明或补正。</w:t>
      </w:r>
    </w:p>
    <w:p w14:paraId="20F5F11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澄清、说明或补正不得超出竞选文件的范围且不得改变竞选文件的实质性内容，并构成竞选文件的组成部分。</w:t>
      </w:r>
    </w:p>
    <w:p w14:paraId="02DA9B0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评标委员会对竞标人提交的澄清、说明或补正有疑问的，可以要求竞标人进一步澄清、说明或补正，直至满足评标委员会的要求。</w:t>
      </w:r>
      <w:bookmarkEnd w:id="266"/>
    </w:p>
    <w:p w14:paraId="4135F793">
      <w:pPr>
        <w:pStyle w:val="4"/>
        <w:snapToGrid w:val="0"/>
        <w:spacing w:before="0" w:line="360" w:lineRule="auto"/>
        <w:rPr>
          <w:rFonts w:ascii="宋体"/>
          <w:b w:val="0"/>
          <w:snapToGrid w:val="0"/>
          <w:color w:val="auto"/>
          <w:szCs w:val="24"/>
          <w:highlight w:val="none"/>
        </w:rPr>
      </w:pPr>
      <w:bookmarkStart w:id="267" w:name="_Toc9811"/>
      <w:bookmarkStart w:id="268" w:name="_Toc509218784"/>
      <w:bookmarkStart w:id="269" w:name="_Toc105414382"/>
      <w:bookmarkStart w:id="270" w:name="_Toc22756"/>
      <w:r>
        <w:rPr>
          <w:rFonts w:ascii="宋体"/>
          <w:b w:val="0"/>
          <w:snapToGrid w:val="0"/>
          <w:color w:val="auto"/>
          <w:szCs w:val="24"/>
          <w:highlight w:val="none"/>
        </w:rPr>
        <w:t>3.4  评标结果</w:t>
      </w:r>
      <w:bookmarkEnd w:id="267"/>
      <w:bookmarkEnd w:id="268"/>
      <w:bookmarkEnd w:id="269"/>
      <w:bookmarkEnd w:id="270"/>
    </w:p>
    <w:p w14:paraId="0869894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除第二章“竞标人须知”前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由高到低的顺序推荐中标候选人，并标明排序。</w:t>
      </w:r>
    </w:p>
    <w:p w14:paraId="76B4BC4F">
      <w:pPr>
        <w:autoSpaceDE w:val="0"/>
        <w:autoSpaceDN w:val="0"/>
        <w:adjustRightInd w:val="0"/>
        <w:snapToGrid w:val="0"/>
        <w:spacing w:line="360" w:lineRule="auto"/>
        <w:ind w:firstLine="424" w:firstLineChars="200"/>
        <w:rPr>
          <w:rFonts w:ascii="宋体" w:hAnsi="宋体"/>
          <w:color w:val="auto"/>
          <w:kern w:val="0"/>
          <w:sz w:val="20"/>
          <w:szCs w:val="20"/>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评标委员会完成评标后，应当向招标人提交书面评标报告和中标候选人名单。</w:t>
      </w:r>
    </w:p>
    <w:p w14:paraId="3F848809">
      <w:pPr>
        <w:pStyle w:val="34"/>
        <w:spacing w:line="360" w:lineRule="auto"/>
        <w:rPr>
          <w:rFonts w:ascii="宋体" w:hAnsi="宋体"/>
          <w:b/>
          <w:color w:val="auto"/>
          <w:sz w:val="28"/>
          <w:szCs w:val="28"/>
          <w:highlight w:val="none"/>
          <w:u w:val="none"/>
          <w:lang w:eastAsia="zh-CN"/>
        </w:rPr>
      </w:pPr>
    </w:p>
    <w:p w14:paraId="7F33413A">
      <w:pPr>
        <w:rPr>
          <w:rFonts w:ascii="宋体" w:hAnsi="宋体"/>
          <w:b/>
          <w:color w:val="auto"/>
          <w:sz w:val="28"/>
          <w:szCs w:val="28"/>
          <w:highlight w:val="none"/>
          <w:u w:val="none"/>
          <w:lang w:eastAsia="zh-CN"/>
        </w:rPr>
      </w:pPr>
      <w:r>
        <w:rPr>
          <w:rFonts w:ascii="宋体" w:hAnsi="宋体"/>
          <w:b/>
          <w:color w:val="auto"/>
          <w:sz w:val="28"/>
          <w:szCs w:val="28"/>
          <w:highlight w:val="none"/>
          <w:u w:val="none"/>
          <w:lang w:eastAsia="zh-CN"/>
        </w:rPr>
        <w:br w:type="page"/>
      </w:r>
    </w:p>
    <w:p w14:paraId="588F346F">
      <w:pPr>
        <w:pStyle w:val="34"/>
        <w:spacing w:line="360" w:lineRule="auto"/>
        <w:rPr>
          <w:rFonts w:ascii="宋体" w:hAnsi="宋体"/>
          <w:b/>
          <w:color w:val="auto"/>
          <w:sz w:val="28"/>
          <w:szCs w:val="28"/>
          <w:highlight w:val="none"/>
          <w:u w:val="none"/>
          <w:lang w:eastAsia="zh-CN"/>
        </w:rPr>
      </w:pPr>
      <w:r>
        <w:rPr>
          <w:rFonts w:ascii="宋体" w:hAnsi="宋体"/>
          <w:b/>
          <w:color w:val="auto"/>
          <w:sz w:val="28"/>
          <w:szCs w:val="28"/>
          <w:highlight w:val="none"/>
          <w:u w:val="none"/>
          <w:lang w:eastAsia="zh-CN"/>
        </w:rPr>
        <w:t>附件A：综合评估法否决</w:t>
      </w:r>
      <w:r>
        <w:rPr>
          <w:rFonts w:hint="eastAsia" w:ascii="宋体" w:hAnsi="宋体"/>
          <w:b/>
          <w:color w:val="auto"/>
          <w:sz w:val="28"/>
          <w:szCs w:val="28"/>
          <w:highlight w:val="none"/>
          <w:u w:val="none"/>
          <w:lang w:eastAsia="zh-CN"/>
        </w:rPr>
        <w:t>竞标</w:t>
      </w:r>
      <w:r>
        <w:rPr>
          <w:rFonts w:ascii="宋体" w:hAnsi="宋体"/>
          <w:b/>
          <w:color w:val="auto"/>
          <w:sz w:val="28"/>
          <w:szCs w:val="28"/>
          <w:highlight w:val="none"/>
          <w:u w:val="none"/>
          <w:lang w:eastAsia="zh-CN"/>
        </w:rPr>
        <w:t>情况一览表</w:t>
      </w:r>
      <w:bookmarkEnd w:id="233"/>
    </w:p>
    <w:bookmarkEnd w:id="234"/>
    <w:p w14:paraId="575BFA69">
      <w:pPr>
        <w:pStyle w:val="34"/>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竞标文件存在本一览表下列情形之一的，竞标文件视为重大偏差并作否决竞标处理，否则，评标委员会不得视为重大偏差而否决竞标人的竞标文件</w:t>
      </w:r>
      <w:r>
        <w:rPr>
          <w:rFonts w:ascii="宋体" w:hAnsi="宋体"/>
          <w:color w:val="auto"/>
          <w:sz w:val="21"/>
          <w:szCs w:val="21"/>
          <w:highlight w:val="none"/>
          <w:u w:val="none"/>
          <w:lang w:eastAsia="zh-CN"/>
        </w:rPr>
        <w:t>。</w:t>
      </w:r>
    </w:p>
    <w:tbl>
      <w:tblPr>
        <w:tblStyle w:val="48"/>
        <w:tblW w:w="9469"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Layout w:type="fixed"/>
        <w:tblCellMar>
          <w:top w:w="0" w:type="dxa"/>
          <w:left w:w="108" w:type="dxa"/>
          <w:bottom w:w="0" w:type="dxa"/>
          <w:right w:w="108" w:type="dxa"/>
        </w:tblCellMar>
      </w:tblPr>
      <w:tblGrid>
        <w:gridCol w:w="1237"/>
        <w:gridCol w:w="1899"/>
        <w:gridCol w:w="6333"/>
      </w:tblGrid>
      <w:tr w14:paraId="368D40E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tcBorders>
              <w:tl2br w:val="nil"/>
              <w:tr2bl w:val="nil"/>
            </w:tcBorders>
            <w:shd w:val="clear" w:color="auto" w:fill="auto"/>
            <w:vAlign w:val="center"/>
          </w:tcPr>
          <w:p w14:paraId="61B5CF77">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tcBorders>
              <w:tl2br w:val="nil"/>
              <w:tr2bl w:val="nil"/>
            </w:tcBorders>
            <w:shd w:val="clear" w:color="auto" w:fill="auto"/>
            <w:vAlign w:val="center"/>
          </w:tcPr>
          <w:p w14:paraId="36E0CB74">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tcBorders>
              <w:tl2br w:val="nil"/>
              <w:tr2bl w:val="nil"/>
            </w:tcBorders>
            <w:shd w:val="clear" w:color="auto" w:fill="auto"/>
            <w:vAlign w:val="center"/>
          </w:tcPr>
          <w:p w14:paraId="33911BFA">
            <w:pPr>
              <w:spacing w:line="400" w:lineRule="exact"/>
              <w:jc w:val="center"/>
              <w:rPr>
                <w:rFonts w:ascii="宋体" w:hAnsi="宋体"/>
                <w:b/>
                <w:color w:val="auto"/>
                <w:szCs w:val="21"/>
                <w:highlight w:val="none"/>
              </w:rPr>
            </w:pPr>
            <w:r>
              <w:rPr>
                <w:rFonts w:ascii="宋体" w:hAnsi="宋体"/>
                <w:b/>
                <w:color w:val="auto"/>
                <w:szCs w:val="21"/>
                <w:highlight w:val="none"/>
              </w:rPr>
              <w:t>否决</w:t>
            </w:r>
            <w:r>
              <w:rPr>
                <w:rFonts w:hint="eastAsia" w:ascii="宋体" w:hAnsi="宋体"/>
                <w:b/>
                <w:color w:val="auto"/>
                <w:szCs w:val="21"/>
                <w:highlight w:val="none"/>
              </w:rPr>
              <w:t>竞标</w:t>
            </w:r>
            <w:r>
              <w:rPr>
                <w:rFonts w:ascii="宋体" w:hAnsi="宋体"/>
                <w:b/>
                <w:color w:val="auto"/>
                <w:szCs w:val="21"/>
                <w:highlight w:val="none"/>
              </w:rPr>
              <w:t>条件</w:t>
            </w:r>
          </w:p>
        </w:tc>
      </w:tr>
      <w:tr w14:paraId="07EEEDE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restart"/>
            <w:tcBorders>
              <w:tl2br w:val="nil"/>
              <w:tr2bl w:val="nil"/>
            </w:tcBorders>
            <w:shd w:val="clear" w:color="auto" w:fill="auto"/>
            <w:vAlign w:val="center"/>
          </w:tcPr>
          <w:p w14:paraId="70818017">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auto"/>
            <w:vAlign w:val="center"/>
          </w:tcPr>
          <w:p w14:paraId="7ED2051E">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tcBorders>
              <w:tl2br w:val="nil"/>
              <w:tr2bl w:val="nil"/>
            </w:tcBorders>
            <w:shd w:val="clear" w:color="auto" w:fill="auto"/>
            <w:vAlign w:val="center"/>
          </w:tcPr>
          <w:p w14:paraId="6C995858">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A-1竞标人的资质条件、营业执照须满足竞标人须知前附表1.4.1项的要求，否则由评标委员会作否决竞标处理。</w:t>
            </w:r>
          </w:p>
        </w:tc>
      </w:tr>
      <w:tr w14:paraId="5DEFC2D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auto"/>
            <w:vAlign w:val="center"/>
          </w:tcPr>
          <w:p w14:paraId="7D85AE9F">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0E68565C">
            <w:pPr>
              <w:spacing w:line="400" w:lineRule="exact"/>
              <w:jc w:val="center"/>
              <w:rPr>
                <w:rFonts w:ascii="宋体" w:hAnsi="宋体"/>
                <w:color w:val="auto"/>
                <w:szCs w:val="21"/>
                <w:highlight w:val="none"/>
              </w:rPr>
            </w:pPr>
          </w:p>
        </w:tc>
        <w:tc>
          <w:tcPr>
            <w:tcW w:w="6333" w:type="dxa"/>
            <w:tcBorders>
              <w:tl2br w:val="nil"/>
              <w:tr2bl w:val="nil"/>
            </w:tcBorders>
            <w:shd w:val="clear" w:color="auto" w:fill="auto"/>
            <w:vAlign w:val="center"/>
          </w:tcPr>
          <w:p w14:paraId="779ECE63">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w:t>
            </w:r>
            <w:r>
              <w:rPr>
                <w:rFonts w:hint="eastAsia" w:ascii="宋体" w:hAnsi="宋体"/>
                <w:color w:val="auto"/>
                <w:szCs w:val="21"/>
                <w:highlight w:val="none"/>
              </w:rPr>
              <w:t>竞标人的竞标截止日竞标资格情况须满足竞标人须知前附表第1.4.1项的要求，否则由评标委员会作否决竞标处理。</w:t>
            </w:r>
          </w:p>
        </w:tc>
      </w:tr>
      <w:tr w14:paraId="7F47558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auto"/>
            <w:vAlign w:val="center"/>
          </w:tcPr>
          <w:p w14:paraId="3AF0BF0E">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5466B02C">
            <w:pPr>
              <w:spacing w:line="400" w:lineRule="exact"/>
              <w:jc w:val="center"/>
              <w:rPr>
                <w:rFonts w:ascii="宋体" w:hAnsi="宋体"/>
                <w:color w:val="auto"/>
                <w:szCs w:val="21"/>
                <w:highlight w:val="none"/>
              </w:rPr>
            </w:pPr>
          </w:p>
        </w:tc>
        <w:tc>
          <w:tcPr>
            <w:tcW w:w="6333" w:type="dxa"/>
            <w:tcBorders>
              <w:tl2br w:val="nil"/>
              <w:tr2bl w:val="nil"/>
            </w:tcBorders>
            <w:shd w:val="clear" w:color="auto" w:fill="auto"/>
            <w:vAlign w:val="center"/>
          </w:tcPr>
          <w:p w14:paraId="428BD529">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w:t>
            </w:r>
            <w:r>
              <w:rPr>
                <w:rFonts w:hint="eastAsia" w:ascii="宋体" w:hAnsi="宋体"/>
                <w:color w:val="auto"/>
                <w:szCs w:val="21"/>
                <w:highlight w:val="none"/>
              </w:rPr>
              <w:t>竞标人的</w:t>
            </w:r>
            <w:r>
              <w:rPr>
                <w:rFonts w:hint="eastAsia" w:ascii="宋体" w:hAnsi="宋体" w:eastAsia="宋体" w:cs="宋体"/>
                <w:snapToGrid w:val="0"/>
                <w:color w:val="auto"/>
                <w:kern w:val="0"/>
                <w:szCs w:val="21"/>
                <w:highlight w:val="none"/>
              </w:rPr>
              <w:t>拟派项目人员</w:t>
            </w:r>
            <w:r>
              <w:rPr>
                <w:rFonts w:hint="eastAsia" w:ascii="宋体" w:hAnsi="宋体"/>
                <w:color w:val="auto"/>
                <w:szCs w:val="21"/>
                <w:highlight w:val="none"/>
              </w:rPr>
              <w:t>须满足竞标人须知前附表第1.4.1项的要求，否则由评标委员会作否决竞标处理（如有）。</w:t>
            </w:r>
          </w:p>
        </w:tc>
      </w:tr>
      <w:tr w14:paraId="3764F1B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auto"/>
            <w:vAlign w:val="center"/>
          </w:tcPr>
          <w:p w14:paraId="6BF1E52A">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5F24B886">
            <w:pPr>
              <w:spacing w:line="400" w:lineRule="exact"/>
              <w:jc w:val="center"/>
              <w:rPr>
                <w:rFonts w:ascii="宋体" w:hAnsi="宋体"/>
                <w:color w:val="auto"/>
                <w:szCs w:val="21"/>
                <w:highlight w:val="none"/>
              </w:rPr>
            </w:pPr>
          </w:p>
        </w:tc>
        <w:tc>
          <w:tcPr>
            <w:tcW w:w="6333" w:type="dxa"/>
            <w:tcBorders>
              <w:tl2br w:val="nil"/>
              <w:tr2bl w:val="nil"/>
            </w:tcBorders>
            <w:shd w:val="clear" w:color="auto" w:fill="auto"/>
            <w:vAlign w:val="center"/>
          </w:tcPr>
          <w:p w14:paraId="2F4CFC49">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4</w:t>
            </w:r>
            <w:r>
              <w:rPr>
                <w:rFonts w:hint="eastAsia" w:ascii="宋体" w:hAnsi="宋体"/>
                <w:color w:val="auto"/>
                <w:szCs w:val="21"/>
                <w:highlight w:val="none"/>
              </w:rPr>
              <w:t>竞标人的其他要求须满足竞标人须知前附表第1.4.1项的要求，否则由评标委员会作否决竞标处理。</w:t>
            </w:r>
          </w:p>
        </w:tc>
      </w:tr>
      <w:tr w14:paraId="1A4C8FF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auto"/>
            <w:vAlign w:val="center"/>
          </w:tcPr>
          <w:p w14:paraId="07F7475B">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auto"/>
            <w:vAlign w:val="center"/>
          </w:tcPr>
          <w:p w14:paraId="66214A2E">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Borders>
              <w:tl2br w:val="nil"/>
              <w:tr2bl w:val="nil"/>
            </w:tcBorders>
            <w:shd w:val="clear" w:color="auto" w:fill="auto"/>
          </w:tcPr>
          <w:p w14:paraId="39777032">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5</w:t>
            </w:r>
            <w:r>
              <w:rPr>
                <w:rFonts w:hint="eastAsia" w:ascii="宋体" w:hAnsi="宋体"/>
                <w:color w:val="auto"/>
                <w:szCs w:val="21"/>
                <w:highlight w:val="none"/>
              </w:rPr>
              <w:t>竞标人名称必须与营业执照、资质证书一致，依法变更名称的应提交相应证明材料，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p>
        </w:tc>
      </w:tr>
      <w:tr w14:paraId="5A40332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1208" w:hRule="atLeast"/>
          <w:jc w:val="center"/>
        </w:trPr>
        <w:tc>
          <w:tcPr>
            <w:tcW w:w="1237" w:type="dxa"/>
            <w:vMerge w:val="continue"/>
            <w:tcBorders>
              <w:tl2br w:val="nil"/>
              <w:tr2bl w:val="nil"/>
            </w:tcBorders>
            <w:shd w:val="clear" w:color="auto" w:fill="auto"/>
            <w:vAlign w:val="center"/>
          </w:tcPr>
          <w:p w14:paraId="4202215D">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01902F62">
            <w:pPr>
              <w:spacing w:line="400" w:lineRule="exact"/>
              <w:jc w:val="center"/>
              <w:rPr>
                <w:rFonts w:ascii="宋体" w:hAnsi="宋体"/>
                <w:color w:val="auto"/>
                <w:szCs w:val="21"/>
                <w:highlight w:val="none"/>
              </w:rPr>
            </w:pPr>
          </w:p>
        </w:tc>
        <w:tc>
          <w:tcPr>
            <w:tcW w:w="6333" w:type="dxa"/>
            <w:tcBorders>
              <w:tl2br w:val="nil"/>
              <w:tr2bl w:val="nil"/>
            </w:tcBorders>
            <w:shd w:val="clear" w:color="auto" w:fill="auto"/>
          </w:tcPr>
          <w:p w14:paraId="3EE9459E">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6</w:t>
            </w:r>
            <w:r>
              <w:rPr>
                <w:rFonts w:hint="eastAsia" w:ascii="宋体" w:hAnsi="宋体"/>
                <w:color w:val="auto"/>
                <w:szCs w:val="21"/>
                <w:highlight w:val="none"/>
              </w:rPr>
              <w:t>竞标文件格式符合第二章“竞标人须知”第3.7款的要求，否则由评标委员会作否决竞标处理。</w:t>
            </w:r>
          </w:p>
          <w:p w14:paraId="0F255C76">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kern w:val="0"/>
                <w:szCs w:val="21"/>
                <w:highlight w:val="none"/>
              </w:rPr>
              <w:t>编制竞标文件时不得对第六章“竞标文件格式”的相应要素作实质性修改，否则由评标委员会作否决竞标处理。</w:t>
            </w:r>
          </w:p>
        </w:tc>
      </w:tr>
      <w:tr w14:paraId="399DACF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jc w:val="center"/>
        </w:trPr>
        <w:tc>
          <w:tcPr>
            <w:tcW w:w="1237" w:type="dxa"/>
            <w:vMerge w:val="continue"/>
            <w:tcBorders>
              <w:tl2br w:val="nil"/>
              <w:tr2bl w:val="nil"/>
            </w:tcBorders>
            <w:shd w:val="clear" w:color="auto" w:fill="auto"/>
            <w:vAlign w:val="center"/>
          </w:tcPr>
          <w:p w14:paraId="7BD27843">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41CCE8E1">
            <w:pPr>
              <w:spacing w:line="400" w:lineRule="exact"/>
              <w:jc w:val="center"/>
              <w:rPr>
                <w:rFonts w:ascii="宋体" w:hAnsi="宋体"/>
                <w:color w:val="auto"/>
                <w:szCs w:val="21"/>
                <w:highlight w:val="none"/>
              </w:rPr>
            </w:pPr>
          </w:p>
        </w:tc>
        <w:tc>
          <w:tcPr>
            <w:tcW w:w="6333" w:type="dxa"/>
            <w:tcBorders>
              <w:tl2br w:val="nil"/>
              <w:tr2bl w:val="nil"/>
            </w:tcBorders>
            <w:shd w:val="clear" w:color="auto" w:fill="auto"/>
          </w:tcPr>
          <w:p w14:paraId="70B5CA5B">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textAlignment w:val="auto"/>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7</w:t>
            </w:r>
            <w:r>
              <w:rPr>
                <w:rFonts w:hint="eastAsia" w:ascii="宋体" w:hAnsi="宋体"/>
                <w:color w:val="auto"/>
                <w:szCs w:val="21"/>
                <w:highlight w:val="none"/>
              </w:rPr>
              <w:t>竞标文件份数符合第二章“竞标人须知”第3.7.4项的规定，</w:t>
            </w:r>
            <w:r>
              <w:rPr>
                <w:rFonts w:hint="eastAsia" w:ascii="宋体" w:hAnsi="宋体"/>
                <w:color w:val="auto"/>
                <w:kern w:val="0"/>
                <w:szCs w:val="21"/>
                <w:highlight w:val="none"/>
              </w:rPr>
              <w:t>否则由评标委员会作否决竞标处理。</w:t>
            </w:r>
          </w:p>
        </w:tc>
      </w:tr>
      <w:tr w14:paraId="089492B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auto"/>
            <w:vAlign w:val="center"/>
          </w:tcPr>
          <w:p w14:paraId="5CA1B514">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54D8D777">
            <w:pPr>
              <w:spacing w:line="400" w:lineRule="exact"/>
              <w:jc w:val="center"/>
              <w:rPr>
                <w:rFonts w:ascii="宋体" w:hAnsi="宋体"/>
                <w:color w:val="auto"/>
                <w:szCs w:val="21"/>
                <w:highlight w:val="none"/>
              </w:rPr>
            </w:pPr>
          </w:p>
        </w:tc>
        <w:tc>
          <w:tcPr>
            <w:tcW w:w="6333" w:type="dxa"/>
            <w:tcBorders>
              <w:tl2br w:val="nil"/>
              <w:tr2bl w:val="nil"/>
            </w:tcBorders>
            <w:shd w:val="clear" w:color="auto" w:fill="auto"/>
          </w:tcPr>
          <w:p w14:paraId="57C04083">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8</w:t>
            </w:r>
            <w:r>
              <w:rPr>
                <w:rFonts w:hint="eastAsia" w:ascii="宋体" w:hAnsi="宋体"/>
                <w:color w:val="auto"/>
                <w:szCs w:val="21"/>
                <w:highlight w:val="none"/>
              </w:rPr>
              <w:t>只能有一个有效报价。在</w:t>
            </w:r>
            <w:r>
              <w:rPr>
                <w:rFonts w:hint="eastAsia" w:ascii="宋体" w:hAnsi="宋体"/>
                <w:color w:val="auto"/>
                <w:szCs w:val="21"/>
                <w:highlight w:val="none"/>
                <w:lang w:val="en-US" w:eastAsia="zh-CN"/>
              </w:rPr>
              <w:t>比选</w:t>
            </w:r>
            <w:r>
              <w:rPr>
                <w:rFonts w:hint="eastAsia" w:ascii="宋体" w:hAnsi="宋体"/>
                <w:color w:val="auto"/>
                <w:szCs w:val="21"/>
                <w:highlight w:val="none"/>
              </w:rPr>
              <w:t>文件没有规定的情况下，不得提交选择性报价，否则由评标委员会作否决竞标处理。</w:t>
            </w:r>
          </w:p>
        </w:tc>
      </w:tr>
      <w:tr w14:paraId="5D47217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7" w:hRule="atLeast"/>
          <w:jc w:val="center"/>
        </w:trPr>
        <w:tc>
          <w:tcPr>
            <w:tcW w:w="1237" w:type="dxa"/>
            <w:vMerge w:val="continue"/>
            <w:tcBorders>
              <w:tl2br w:val="nil"/>
              <w:tr2bl w:val="nil"/>
            </w:tcBorders>
            <w:shd w:val="clear" w:color="auto" w:fill="auto"/>
            <w:vAlign w:val="center"/>
          </w:tcPr>
          <w:p w14:paraId="094DB0E3">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653B9236">
            <w:pPr>
              <w:spacing w:line="400" w:lineRule="exact"/>
              <w:jc w:val="center"/>
              <w:rPr>
                <w:rFonts w:ascii="宋体" w:hAnsi="宋体"/>
                <w:color w:val="auto"/>
                <w:szCs w:val="21"/>
                <w:highlight w:val="none"/>
              </w:rPr>
            </w:pPr>
          </w:p>
        </w:tc>
        <w:tc>
          <w:tcPr>
            <w:tcW w:w="6333" w:type="dxa"/>
            <w:tcBorders>
              <w:tl2br w:val="nil"/>
              <w:tr2bl w:val="nil"/>
            </w:tcBorders>
            <w:shd w:val="clear" w:color="auto" w:fill="auto"/>
          </w:tcPr>
          <w:p w14:paraId="0C21FCE2">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9</w:t>
            </w:r>
            <w:r>
              <w:rPr>
                <w:rFonts w:hint="eastAsia" w:ascii="宋体" w:hAnsi="宋体" w:cs="宋体"/>
                <w:color w:val="auto"/>
                <w:kern w:val="0"/>
                <w:highlight w:val="none"/>
              </w:rPr>
              <w:t>第六章 竞标文件格式要求法定代表人或其委托代理人签名（或盖章）的须齐全</w:t>
            </w:r>
            <w:r>
              <w:rPr>
                <w:rFonts w:hint="eastAsia" w:ascii="宋体" w:hAnsi="宋体"/>
                <w:color w:val="auto"/>
                <w:szCs w:val="21"/>
                <w:highlight w:val="none"/>
              </w:rPr>
              <w:t>，</w:t>
            </w:r>
            <w:r>
              <w:rPr>
                <w:rFonts w:hint="eastAsia" w:ascii="宋体" w:hAnsi="宋体" w:cs="宋体"/>
                <w:color w:val="auto"/>
                <w:szCs w:val="21"/>
                <w:highlight w:val="none"/>
              </w:rPr>
              <w:t>符合竞争性比选文件规定。否则由评标委员会作否决竞标处理。</w:t>
            </w:r>
          </w:p>
        </w:tc>
      </w:tr>
      <w:tr w14:paraId="4D52F0E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auto"/>
            <w:vAlign w:val="center"/>
          </w:tcPr>
          <w:p w14:paraId="4DAC330B">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2FA1BF13">
            <w:pPr>
              <w:spacing w:line="400" w:lineRule="exact"/>
              <w:jc w:val="center"/>
              <w:rPr>
                <w:rFonts w:ascii="宋体" w:hAnsi="宋体"/>
                <w:color w:val="auto"/>
                <w:szCs w:val="21"/>
                <w:highlight w:val="none"/>
              </w:rPr>
            </w:pPr>
          </w:p>
        </w:tc>
        <w:tc>
          <w:tcPr>
            <w:tcW w:w="6333" w:type="dxa"/>
            <w:tcBorders>
              <w:tl2br w:val="nil"/>
              <w:tr2bl w:val="nil"/>
            </w:tcBorders>
            <w:shd w:val="clear" w:color="auto" w:fill="auto"/>
          </w:tcPr>
          <w:p w14:paraId="218EAA5B">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0</w:t>
            </w:r>
            <w:r>
              <w:rPr>
                <w:rFonts w:hint="eastAsia" w:ascii="宋体" w:hAnsi="宋体"/>
                <w:color w:val="auto"/>
                <w:szCs w:val="21"/>
                <w:highlight w:val="none"/>
              </w:rPr>
              <w:t>竞标人法定代表人的委托代理人有法定代表人签署的授权委托书和竞标人为其缴纳的养老保险证明材料，否则由评标委员会作否决竞标处理。</w:t>
            </w:r>
          </w:p>
        </w:tc>
      </w:tr>
      <w:tr w14:paraId="36B5779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03" w:hRule="atLeast"/>
          <w:jc w:val="center"/>
        </w:trPr>
        <w:tc>
          <w:tcPr>
            <w:tcW w:w="1237" w:type="dxa"/>
            <w:vMerge w:val="continue"/>
            <w:tcBorders>
              <w:tl2br w:val="nil"/>
              <w:tr2bl w:val="nil"/>
            </w:tcBorders>
            <w:shd w:val="clear" w:color="auto" w:fill="auto"/>
            <w:vAlign w:val="center"/>
          </w:tcPr>
          <w:p w14:paraId="09BAAAC4">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auto"/>
            <w:vAlign w:val="center"/>
          </w:tcPr>
          <w:p w14:paraId="15988319">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tcBorders>
              <w:tl2br w:val="nil"/>
              <w:tr2bl w:val="nil"/>
            </w:tcBorders>
            <w:shd w:val="clear" w:color="auto" w:fill="auto"/>
            <w:vAlign w:val="center"/>
          </w:tcPr>
          <w:p w14:paraId="7932E7E7">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1</w:t>
            </w:r>
            <w:r>
              <w:rPr>
                <w:rFonts w:hint="eastAsia" w:ascii="宋体" w:hAnsi="宋体"/>
                <w:color w:val="auto"/>
                <w:szCs w:val="21"/>
                <w:highlight w:val="none"/>
              </w:rPr>
              <w:t>竞标总报价不得高于比选人公布的竞标总报价最高限价，否则由评标委员会作否决竞标处理。</w:t>
            </w:r>
          </w:p>
        </w:tc>
      </w:tr>
      <w:tr w14:paraId="13E5C2C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auto"/>
            <w:vAlign w:val="center"/>
          </w:tcPr>
          <w:p w14:paraId="3882B2BA">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3EBDA50E">
            <w:pPr>
              <w:spacing w:line="400" w:lineRule="exact"/>
              <w:jc w:val="center"/>
              <w:rPr>
                <w:rFonts w:ascii="宋体" w:hAnsi="宋体"/>
                <w:color w:val="auto"/>
                <w:szCs w:val="21"/>
                <w:highlight w:val="none"/>
              </w:rPr>
            </w:pPr>
          </w:p>
        </w:tc>
        <w:tc>
          <w:tcPr>
            <w:tcW w:w="6333" w:type="dxa"/>
            <w:tcBorders>
              <w:tl2br w:val="nil"/>
              <w:tr2bl w:val="nil"/>
            </w:tcBorders>
            <w:shd w:val="clear" w:color="auto" w:fill="auto"/>
            <w:vAlign w:val="center"/>
          </w:tcPr>
          <w:p w14:paraId="5EE03CDE">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olor w:val="auto"/>
                <w:szCs w:val="21"/>
                <w:highlight w:val="none"/>
              </w:rPr>
              <w:t>竞标内容符合第二章“竞标人须知”第1.3.1项规定，否则由评标委员会作否决竞标处理。</w:t>
            </w:r>
          </w:p>
        </w:tc>
      </w:tr>
      <w:tr w14:paraId="5C38E22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auto"/>
            <w:vAlign w:val="center"/>
          </w:tcPr>
          <w:p w14:paraId="1A9FA9E2">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663CDB6B">
            <w:pPr>
              <w:spacing w:line="400" w:lineRule="exact"/>
              <w:jc w:val="center"/>
              <w:rPr>
                <w:rFonts w:ascii="宋体" w:hAnsi="宋体"/>
                <w:color w:val="auto"/>
                <w:szCs w:val="21"/>
                <w:highlight w:val="none"/>
              </w:rPr>
            </w:pPr>
          </w:p>
        </w:tc>
        <w:tc>
          <w:tcPr>
            <w:tcW w:w="6333" w:type="dxa"/>
            <w:tcBorders>
              <w:tl2br w:val="nil"/>
              <w:tr2bl w:val="nil"/>
            </w:tcBorders>
            <w:shd w:val="clear" w:color="auto" w:fill="auto"/>
            <w:vAlign w:val="center"/>
          </w:tcPr>
          <w:p w14:paraId="3C99737E">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3服务期限</w:t>
            </w:r>
            <w:r>
              <w:rPr>
                <w:rFonts w:hint="eastAsia" w:ascii="宋体" w:hAnsi="宋体"/>
                <w:color w:val="auto"/>
                <w:szCs w:val="21"/>
                <w:highlight w:val="none"/>
              </w:rPr>
              <w:t>符合第二章“竞标人须知”第1.3.2项规定，否则由评标委员会作否决竞标处理。</w:t>
            </w:r>
          </w:p>
        </w:tc>
      </w:tr>
      <w:tr w14:paraId="06FDE3D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0" w:hRule="atLeast"/>
          <w:jc w:val="center"/>
        </w:trPr>
        <w:tc>
          <w:tcPr>
            <w:tcW w:w="1237" w:type="dxa"/>
            <w:vMerge w:val="continue"/>
            <w:tcBorders>
              <w:tl2br w:val="nil"/>
              <w:tr2bl w:val="nil"/>
            </w:tcBorders>
            <w:shd w:val="clear" w:color="auto" w:fill="auto"/>
            <w:vAlign w:val="center"/>
          </w:tcPr>
          <w:p w14:paraId="2B0B092F">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7C8C0D4A">
            <w:pPr>
              <w:spacing w:line="400" w:lineRule="exact"/>
              <w:jc w:val="center"/>
              <w:rPr>
                <w:rFonts w:ascii="宋体" w:hAnsi="宋体"/>
                <w:color w:val="auto"/>
                <w:szCs w:val="21"/>
                <w:highlight w:val="none"/>
              </w:rPr>
            </w:pPr>
          </w:p>
        </w:tc>
        <w:tc>
          <w:tcPr>
            <w:tcW w:w="6333" w:type="dxa"/>
            <w:tcBorders>
              <w:tl2br w:val="nil"/>
              <w:tr2bl w:val="nil"/>
            </w:tcBorders>
            <w:shd w:val="clear" w:color="auto" w:fill="auto"/>
            <w:vAlign w:val="center"/>
          </w:tcPr>
          <w:p w14:paraId="33D2EC87">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4</w:t>
            </w:r>
            <w:r>
              <w:rPr>
                <w:rFonts w:hint="eastAsia" w:ascii="宋体" w:hAnsi="宋体"/>
                <w:color w:val="auto"/>
                <w:szCs w:val="21"/>
                <w:highlight w:val="none"/>
              </w:rPr>
              <w:t>工程质量符合第二章“竞标人须知”第1.3.3项规定，否则由评标委员会作否决竞标处理。</w:t>
            </w:r>
          </w:p>
        </w:tc>
      </w:tr>
      <w:tr w14:paraId="39376E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auto"/>
            <w:vAlign w:val="center"/>
          </w:tcPr>
          <w:p w14:paraId="66456881">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1D6C4047">
            <w:pPr>
              <w:spacing w:line="400" w:lineRule="exact"/>
              <w:jc w:val="center"/>
              <w:rPr>
                <w:rFonts w:ascii="宋体" w:hAnsi="宋体"/>
                <w:color w:val="auto"/>
                <w:szCs w:val="21"/>
                <w:highlight w:val="none"/>
              </w:rPr>
            </w:pPr>
          </w:p>
        </w:tc>
        <w:tc>
          <w:tcPr>
            <w:tcW w:w="6333" w:type="dxa"/>
            <w:tcBorders>
              <w:tl2br w:val="nil"/>
              <w:tr2bl w:val="nil"/>
            </w:tcBorders>
            <w:shd w:val="clear" w:color="auto" w:fill="auto"/>
            <w:vAlign w:val="center"/>
          </w:tcPr>
          <w:p w14:paraId="4B161F84">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5</w:t>
            </w:r>
            <w:r>
              <w:rPr>
                <w:rFonts w:hint="eastAsia" w:ascii="宋体" w:hAnsi="宋体"/>
                <w:color w:val="auto"/>
                <w:szCs w:val="21"/>
                <w:highlight w:val="none"/>
              </w:rPr>
              <w:t>竞标有效期符合第二章“竞标人须知”第3.3.1项规定，否则由评标委员会作否决竞标处理。</w:t>
            </w:r>
          </w:p>
        </w:tc>
      </w:tr>
      <w:tr w14:paraId="41DFBD1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auto"/>
            <w:vAlign w:val="center"/>
          </w:tcPr>
          <w:p w14:paraId="2D37B7B4">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0B9C9D31">
            <w:pPr>
              <w:spacing w:line="400" w:lineRule="exact"/>
              <w:jc w:val="center"/>
              <w:rPr>
                <w:rFonts w:ascii="宋体" w:hAnsi="宋体"/>
                <w:color w:val="auto"/>
                <w:szCs w:val="21"/>
                <w:highlight w:val="none"/>
              </w:rPr>
            </w:pPr>
          </w:p>
        </w:tc>
        <w:tc>
          <w:tcPr>
            <w:tcW w:w="6333" w:type="dxa"/>
            <w:tcBorders>
              <w:tl2br w:val="nil"/>
              <w:tr2bl w:val="nil"/>
            </w:tcBorders>
            <w:shd w:val="clear" w:color="auto" w:fill="auto"/>
            <w:vAlign w:val="center"/>
          </w:tcPr>
          <w:p w14:paraId="4EC20A7D">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16</w:t>
            </w:r>
            <w:r>
              <w:rPr>
                <w:rFonts w:hint="eastAsia" w:ascii="宋体" w:hAnsi="宋体"/>
                <w:color w:val="auto"/>
                <w:szCs w:val="21"/>
                <w:highlight w:val="none"/>
              </w:rPr>
              <w:t>竞标人</w:t>
            </w:r>
            <w:r>
              <w:rPr>
                <w:rFonts w:ascii="宋体" w:hAnsi="宋体"/>
                <w:color w:val="auto"/>
                <w:szCs w:val="21"/>
                <w:highlight w:val="none"/>
              </w:rPr>
              <w:t>应按</w:t>
            </w:r>
            <w:r>
              <w:rPr>
                <w:rFonts w:hint="eastAsia" w:ascii="宋体" w:hAnsi="宋体"/>
                <w:color w:val="auto"/>
                <w:szCs w:val="21"/>
                <w:highlight w:val="none"/>
              </w:rPr>
              <w:t>竞标人须知</w:t>
            </w:r>
            <w:r>
              <w:rPr>
                <w:rFonts w:ascii="宋体" w:hAnsi="宋体"/>
                <w:color w:val="auto"/>
                <w:szCs w:val="21"/>
                <w:highlight w:val="none"/>
              </w:rPr>
              <w:t>前附表</w:t>
            </w:r>
            <w:r>
              <w:rPr>
                <w:rFonts w:hint="eastAsia" w:ascii="宋体" w:hAnsi="宋体"/>
                <w:color w:val="auto"/>
                <w:szCs w:val="21"/>
                <w:highlight w:val="none"/>
              </w:rPr>
              <w:t>第3.4款的</w:t>
            </w:r>
            <w:r>
              <w:rPr>
                <w:rFonts w:ascii="宋体" w:hAnsi="宋体"/>
                <w:color w:val="auto"/>
                <w:szCs w:val="21"/>
                <w:highlight w:val="none"/>
              </w:rPr>
              <w:t>规定递交</w:t>
            </w:r>
            <w:r>
              <w:rPr>
                <w:rFonts w:hint="eastAsia" w:ascii="宋体" w:hAnsi="宋体"/>
                <w:color w:val="auto"/>
                <w:szCs w:val="21"/>
                <w:highlight w:val="none"/>
              </w:rPr>
              <w:t>竞标</w:t>
            </w:r>
            <w:r>
              <w:rPr>
                <w:rFonts w:ascii="宋体" w:hAnsi="宋体"/>
                <w:color w:val="auto"/>
                <w:szCs w:val="21"/>
                <w:highlight w:val="none"/>
              </w:rPr>
              <w:t>保证金，并作为其</w:t>
            </w:r>
            <w:r>
              <w:rPr>
                <w:rFonts w:hint="eastAsia" w:ascii="宋体" w:hAnsi="宋体"/>
                <w:color w:val="auto"/>
                <w:szCs w:val="21"/>
                <w:highlight w:val="none"/>
              </w:rPr>
              <w:t>竞标文件</w:t>
            </w:r>
            <w:r>
              <w:rPr>
                <w:rFonts w:ascii="宋体" w:hAnsi="宋体"/>
                <w:color w:val="auto"/>
                <w:szCs w:val="21"/>
                <w:highlight w:val="none"/>
              </w:rPr>
              <w:t>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p>
        </w:tc>
      </w:tr>
      <w:tr w14:paraId="09BBAD9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73" w:hRule="atLeast"/>
          <w:jc w:val="center"/>
        </w:trPr>
        <w:tc>
          <w:tcPr>
            <w:tcW w:w="1237" w:type="dxa"/>
            <w:vMerge w:val="continue"/>
            <w:tcBorders>
              <w:tl2br w:val="nil"/>
              <w:tr2bl w:val="nil"/>
            </w:tcBorders>
            <w:shd w:val="clear" w:color="auto" w:fill="auto"/>
            <w:vAlign w:val="center"/>
          </w:tcPr>
          <w:p w14:paraId="48E13189">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38CDB1E6">
            <w:pPr>
              <w:spacing w:line="400" w:lineRule="exact"/>
              <w:jc w:val="center"/>
              <w:rPr>
                <w:rFonts w:ascii="宋体" w:hAnsi="宋体"/>
                <w:color w:val="auto"/>
                <w:szCs w:val="21"/>
                <w:highlight w:val="none"/>
              </w:rPr>
            </w:pPr>
          </w:p>
        </w:tc>
        <w:tc>
          <w:tcPr>
            <w:tcW w:w="6333" w:type="dxa"/>
            <w:tcBorders>
              <w:tl2br w:val="nil"/>
              <w:tr2bl w:val="nil"/>
            </w:tcBorders>
            <w:shd w:val="clear" w:color="auto" w:fill="auto"/>
            <w:vAlign w:val="center"/>
          </w:tcPr>
          <w:p w14:paraId="0BD304D6">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17</w:t>
            </w:r>
            <w:r>
              <w:rPr>
                <w:rFonts w:hint="eastAsia" w:ascii="宋体" w:hAnsi="宋体"/>
                <w:color w:val="auto"/>
                <w:szCs w:val="21"/>
                <w:highlight w:val="none"/>
              </w:rPr>
              <w:t>符合第四章“合同条款及格式”规定，竞标文件不应附有比选人不能接受的条件，否则由评标委员会作否决竞标处理。（由竞标人承诺，承诺书格式详见第六章竞标文件格式。）</w:t>
            </w:r>
          </w:p>
        </w:tc>
      </w:tr>
      <w:tr w14:paraId="12A3E4B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auto"/>
            <w:vAlign w:val="center"/>
          </w:tcPr>
          <w:p w14:paraId="214137FC">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auto"/>
            <w:vAlign w:val="center"/>
          </w:tcPr>
          <w:p w14:paraId="122BB7AA">
            <w:pPr>
              <w:spacing w:line="400" w:lineRule="exact"/>
              <w:jc w:val="center"/>
              <w:rPr>
                <w:rFonts w:ascii="宋体" w:hAnsi="宋体"/>
                <w:color w:val="auto"/>
                <w:szCs w:val="21"/>
                <w:highlight w:val="none"/>
              </w:rPr>
            </w:pPr>
          </w:p>
        </w:tc>
        <w:tc>
          <w:tcPr>
            <w:tcW w:w="6333" w:type="dxa"/>
            <w:tcBorders>
              <w:tl2br w:val="nil"/>
              <w:tr2bl w:val="nil"/>
            </w:tcBorders>
            <w:shd w:val="clear" w:color="auto" w:fill="auto"/>
            <w:vAlign w:val="center"/>
          </w:tcPr>
          <w:p w14:paraId="5A34CB48">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18</w:t>
            </w:r>
            <w:r>
              <w:rPr>
                <w:rFonts w:hint="eastAsia" w:ascii="宋体" w:hAnsi="宋体"/>
                <w:color w:val="auto"/>
                <w:szCs w:val="21"/>
                <w:highlight w:val="none"/>
              </w:rPr>
              <w:t>竞标人有以下情形之一的，其竞标文件由评标委员会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r>
              <w:rPr>
                <w:rFonts w:hint="eastAsia" w:ascii="宋体" w:hAnsi="宋体"/>
                <w:color w:val="auto"/>
                <w:szCs w:val="21"/>
                <w:highlight w:val="none"/>
              </w:rPr>
              <w:t>：</w:t>
            </w:r>
          </w:p>
          <w:p w14:paraId="53DEAA86">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1.本次竞标有串通竞标、弄虚作假等违反招投标相关法律、法规的行为的；</w:t>
            </w:r>
          </w:p>
          <w:p w14:paraId="299BBC2C">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.拒绝按评标委员会要求澄清、说明或补正的。</w:t>
            </w:r>
          </w:p>
        </w:tc>
      </w:tr>
      <w:tr w14:paraId="4A544BA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tcBorders>
              <w:tl2br w:val="nil"/>
              <w:tr2bl w:val="nil"/>
            </w:tcBorders>
            <w:shd w:val="clear" w:color="auto" w:fill="auto"/>
            <w:vAlign w:val="center"/>
          </w:tcPr>
          <w:p w14:paraId="593D8F59">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tcBorders>
              <w:tl2br w:val="nil"/>
              <w:tr2bl w:val="nil"/>
            </w:tcBorders>
            <w:shd w:val="clear" w:color="auto" w:fill="auto"/>
            <w:vAlign w:val="center"/>
          </w:tcPr>
          <w:p w14:paraId="37666D65">
            <w:pPr>
              <w:spacing w:line="400" w:lineRule="exact"/>
              <w:jc w:val="center"/>
              <w:rPr>
                <w:rFonts w:ascii="宋体" w:hAnsi="宋体"/>
                <w:color w:val="auto"/>
                <w:szCs w:val="21"/>
                <w:highlight w:val="none"/>
              </w:rPr>
            </w:pPr>
          </w:p>
        </w:tc>
        <w:tc>
          <w:tcPr>
            <w:tcW w:w="6333" w:type="dxa"/>
            <w:tcBorders>
              <w:tl2br w:val="nil"/>
              <w:tr2bl w:val="nil"/>
            </w:tcBorders>
            <w:shd w:val="clear" w:color="auto" w:fill="auto"/>
            <w:vAlign w:val="center"/>
          </w:tcPr>
          <w:p w14:paraId="0A187C4E">
            <w:pPr>
              <w:keepNext w:val="0"/>
              <w:keepLines w:val="0"/>
              <w:pageBreakBefore w:val="0"/>
              <w:widowControl w:val="0"/>
              <w:kinsoku/>
              <w:wordWrap/>
              <w:overflowPunct/>
              <w:topLinePunct w:val="0"/>
              <w:bidi w:val="0"/>
              <w:snapToGrid w:val="0"/>
              <w:spacing w:line="300" w:lineRule="exact"/>
              <w:ind w:firstLine="420" w:firstLineChars="200"/>
              <w:jc w:val="both"/>
              <w:textAlignment w:val="auto"/>
              <w:rPr>
                <w:rFonts w:hint="eastAsia" w:ascii="宋体" w:hAnsi="宋体" w:eastAsia="宋体"/>
                <w:i/>
                <w:color w:val="auto"/>
                <w:szCs w:val="21"/>
                <w:highlight w:val="none"/>
                <w:lang w:eastAsia="zh-CN"/>
              </w:rPr>
            </w:pPr>
            <w:r>
              <w:rPr>
                <w:rFonts w:hint="eastAsia" w:ascii="宋体" w:hAnsi="宋体" w:eastAsia="宋体" w:cs="Times New Roman"/>
                <w:color w:val="auto"/>
                <w:szCs w:val="21"/>
                <w:highlight w:val="none"/>
                <w:lang w:val="en-US" w:eastAsia="zh-CN"/>
              </w:rPr>
              <w:t>无</w:t>
            </w:r>
          </w:p>
        </w:tc>
      </w:tr>
    </w:tbl>
    <w:p w14:paraId="438E163A">
      <w:pPr>
        <w:autoSpaceDE w:val="0"/>
        <w:autoSpaceDN w:val="0"/>
        <w:adjustRightInd w:val="0"/>
        <w:snapToGrid w:val="0"/>
        <w:spacing w:line="360" w:lineRule="auto"/>
        <w:jc w:val="left"/>
        <w:rPr>
          <w:rFonts w:ascii="宋体" w:hAnsi="宋体"/>
          <w:b/>
          <w:color w:val="auto"/>
          <w:kern w:val="0"/>
          <w:sz w:val="20"/>
          <w:szCs w:val="20"/>
          <w:highlight w:val="none"/>
        </w:rPr>
      </w:pPr>
    </w:p>
    <w:p w14:paraId="004E62B3">
      <w:pP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14:paraId="728C8EC8">
      <w:pPr>
        <w:pStyle w:val="2"/>
        <w:spacing w:line="360" w:lineRule="auto"/>
        <w:jc w:val="center"/>
        <w:rPr>
          <w:rFonts w:ascii="宋体" w:hAnsi="宋体"/>
          <w:color w:val="auto"/>
          <w:kern w:val="0"/>
          <w:highlight w:val="none"/>
        </w:rPr>
      </w:pPr>
      <w:bookmarkStart w:id="271" w:name="_Toc13682"/>
      <w:r>
        <w:rPr>
          <w:rFonts w:hint="eastAsia" w:ascii="宋体" w:hAnsi="宋体"/>
          <w:color w:val="auto"/>
          <w:kern w:val="0"/>
          <w:highlight w:val="none"/>
        </w:rPr>
        <w:t>第四章  合同条款及格式</w:t>
      </w:r>
      <w:bookmarkEnd w:id="235"/>
      <w:bookmarkEnd w:id="236"/>
      <w:bookmarkEnd w:id="237"/>
      <w:bookmarkEnd w:id="271"/>
    </w:p>
    <w:p w14:paraId="50D9DB34">
      <w:pPr>
        <w:spacing w:line="360" w:lineRule="auto"/>
        <w:rPr>
          <w:rFonts w:hint="eastAsia" w:ascii="华文中宋" w:hAnsi="华文中宋" w:eastAsia="华文中宋"/>
          <w:b/>
          <w:bCs/>
          <w:color w:val="auto"/>
          <w:sz w:val="48"/>
          <w:szCs w:val="48"/>
          <w:highlight w:val="none"/>
        </w:rPr>
      </w:pPr>
      <w:bookmarkStart w:id="272" w:name="_Toc532375686"/>
      <w:bookmarkStart w:id="273" w:name="_Toc351203632"/>
      <w:bookmarkStart w:id="274" w:name="_Toc532377425"/>
      <w:bookmarkStart w:id="275" w:name="_Toc351203652"/>
      <w:bookmarkStart w:id="276" w:name="_Toc351203480"/>
      <w:bookmarkStart w:id="277" w:name="_Toc296503025"/>
      <w:bookmarkStart w:id="278" w:name="_Toc296890982"/>
    </w:p>
    <w:p w14:paraId="1E7A1D29">
      <w:pPr>
        <w:pStyle w:val="334"/>
        <w:jc w:val="center"/>
        <w:rPr>
          <w:rFonts w:hint="eastAsia" w:ascii="华文中宋" w:hAnsi="华文中宋" w:eastAsia="华文中宋" w:cs="Times New Roman"/>
          <w:color w:val="auto"/>
          <w:sz w:val="36"/>
          <w:szCs w:val="36"/>
          <w:highlight w:val="none"/>
        </w:rPr>
      </w:pPr>
      <w:r>
        <w:rPr>
          <w:rFonts w:hint="eastAsia" w:ascii="华文中宋" w:hAnsi="华文中宋" w:eastAsia="华文中宋" w:cs="Times New Roman"/>
          <w:color w:val="auto"/>
          <w:sz w:val="36"/>
          <w:szCs w:val="36"/>
          <w:highlight w:val="none"/>
          <w:u w:val="single"/>
          <w:lang w:val="en-US" w:eastAsia="zh-CN"/>
        </w:rPr>
        <w:t xml:space="preserve">                       项目</w:t>
      </w:r>
      <w:r>
        <w:rPr>
          <w:rFonts w:hint="eastAsia" w:ascii="华文中宋" w:hAnsi="华文中宋" w:eastAsia="华文中宋" w:cs="Times New Roman"/>
          <w:color w:val="auto"/>
          <w:sz w:val="36"/>
          <w:szCs w:val="36"/>
          <w:highlight w:val="none"/>
        </w:rPr>
        <w:t>工程</w:t>
      </w:r>
    </w:p>
    <w:p w14:paraId="6ED4E0CC">
      <w:pPr>
        <w:rPr>
          <w:rFonts w:hint="eastAsia"/>
          <w:color w:val="auto"/>
          <w:highlight w:val="none"/>
        </w:rPr>
      </w:pPr>
    </w:p>
    <w:p w14:paraId="195A99B8">
      <w:pPr>
        <w:spacing w:line="360" w:lineRule="auto"/>
        <w:jc w:val="center"/>
        <w:rPr>
          <w:rFonts w:hint="eastAsia" w:ascii="华文中宋" w:hAnsi="华文中宋" w:eastAsia="华文中宋"/>
          <w:b/>
          <w:bCs/>
          <w:color w:val="auto"/>
          <w:sz w:val="52"/>
          <w:szCs w:val="52"/>
          <w:highlight w:val="none"/>
        </w:rPr>
      </w:pPr>
      <w:r>
        <w:rPr>
          <w:rFonts w:hint="eastAsia" w:ascii="华文中宋" w:hAnsi="华文中宋" w:eastAsia="华文中宋"/>
          <w:b/>
          <w:bCs/>
          <w:color w:val="auto"/>
          <w:sz w:val="52"/>
          <w:szCs w:val="52"/>
          <w:highlight w:val="none"/>
          <w:lang w:eastAsia="zh-CN"/>
        </w:rPr>
        <w:t>检测</w:t>
      </w:r>
      <w:r>
        <w:rPr>
          <w:rFonts w:hint="eastAsia" w:ascii="华文中宋" w:hAnsi="华文中宋" w:eastAsia="华文中宋"/>
          <w:b/>
          <w:bCs/>
          <w:color w:val="auto"/>
          <w:sz w:val="52"/>
          <w:szCs w:val="52"/>
          <w:highlight w:val="none"/>
        </w:rPr>
        <w:t>合同</w:t>
      </w:r>
    </w:p>
    <w:p w14:paraId="65579355">
      <w:pPr>
        <w:spacing w:line="360" w:lineRule="auto"/>
        <w:jc w:val="center"/>
        <w:rPr>
          <w:rFonts w:hint="eastAsia" w:ascii="仿宋_GB2312" w:hAnsi="宋体" w:eastAsia="仿宋_GB2312"/>
          <w:bCs/>
          <w:color w:val="auto"/>
          <w:sz w:val="48"/>
          <w:szCs w:val="48"/>
          <w:highlight w:val="none"/>
        </w:rPr>
      </w:pPr>
    </w:p>
    <w:p w14:paraId="05CFBF85">
      <w:pPr>
        <w:spacing w:line="360" w:lineRule="auto"/>
        <w:jc w:val="center"/>
        <w:rPr>
          <w:rFonts w:hint="eastAsia" w:ascii="仿宋_GB2312" w:hAnsi="宋体" w:eastAsia="仿宋_GB2312"/>
          <w:b/>
          <w:bCs/>
          <w:color w:val="auto"/>
          <w:sz w:val="24"/>
          <w:highlight w:val="none"/>
        </w:rPr>
      </w:pPr>
    </w:p>
    <w:p w14:paraId="1F726296">
      <w:pPr>
        <w:spacing w:line="360" w:lineRule="auto"/>
        <w:jc w:val="center"/>
        <w:rPr>
          <w:rFonts w:hint="eastAsia" w:ascii="仿宋_GB2312" w:hAnsi="宋体" w:eastAsia="仿宋_GB2312"/>
          <w:b/>
          <w:bCs/>
          <w:color w:val="auto"/>
          <w:sz w:val="24"/>
          <w:highlight w:val="none"/>
        </w:rPr>
      </w:pPr>
    </w:p>
    <w:p w14:paraId="3B86068C">
      <w:pPr>
        <w:spacing w:line="360" w:lineRule="auto"/>
        <w:jc w:val="center"/>
        <w:rPr>
          <w:rFonts w:hint="eastAsia" w:ascii="仿宋_GB2312" w:hAnsi="宋体" w:eastAsia="仿宋_GB2312"/>
          <w:b/>
          <w:bCs/>
          <w:color w:val="auto"/>
          <w:sz w:val="24"/>
          <w:highlight w:val="none"/>
        </w:rPr>
      </w:pPr>
    </w:p>
    <w:p w14:paraId="6A60F086">
      <w:pPr>
        <w:spacing w:line="360" w:lineRule="auto"/>
        <w:jc w:val="center"/>
        <w:rPr>
          <w:rFonts w:hint="eastAsia" w:ascii="仿宋_GB2312" w:hAnsi="宋体" w:eastAsia="仿宋_GB2312"/>
          <w:b/>
          <w:bCs/>
          <w:color w:val="auto"/>
          <w:sz w:val="24"/>
          <w:highlight w:val="none"/>
        </w:rPr>
      </w:pPr>
    </w:p>
    <w:p w14:paraId="2DC9D722">
      <w:pPr>
        <w:spacing w:line="360" w:lineRule="auto"/>
        <w:jc w:val="center"/>
        <w:rPr>
          <w:rFonts w:hint="eastAsia" w:ascii="仿宋_GB2312" w:hAnsi="宋体" w:eastAsia="仿宋_GB2312"/>
          <w:b/>
          <w:bCs/>
          <w:color w:val="auto"/>
          <w:sz w:val="24"/>
          <w:highlight w:val="none"/>
        </w:rPr>
      </w:pPr>
    </w:p>
    <w:p w14:paraId="2CF72371">
      <w:pPr>
        <w:spacing w:line="360" w:lineRule="auto"/>
        <w:jc w:val="center"/>
        <w:rPr>
          <w:rFonts w:hint="eastAsia" w:ascii="仿宋_GB2312" w:hAnsi="宋体" w:eastAsia="仿宋_GB2312"/>
          <w:b/>
          <w:bCs/>
          <w:color w:val="auto"/>
          <w:sz w:val="24"/>
          <w:highlight w:val="none"/>
        </w:rPr>
      </w:pPr>
    </w:p>
    <w:p w14:paraId="35798BAF">
      <w:pPr>
        <w:spacing w:line="360" w:lineRule="auto"/>
        <w:jc w:val="center"/>
        <w:rPr>
          <w:rFonts w:hint="eastAsia" w:ascii="仿宋_GB2312" w:hAnsi="宋体" w:eastAsia="仿宋_GB2312"/>
          <w:b/>
          <w:bCs/>
          <w:color w:val="auto"/>
          <w:sz w:val="24"/>
          <w:highlight w:val="none"/>
        </w:rPr>
      </w:pPr>
    </w:p>
    <w:p w14:paraId="219ACC39">
      <w:pPr>
        <w:spacing w:line="360" w:lineRule="auto"/>
        <w:rPr>
          <w:rFonts w:hint="eastAsia" w:ascii="仿宋_GB2312" w:hAnsi="宋体" w:eastAsia="仿宋_GB2312"/>
          <w:b/>
          <w:bCs/>
          <w:color w:val="auto"/>
          <w:sz w:val="32"/>
          <w:szCs w:val="32"/>
          <w:highlight w:val="none"/>
        </w:rPr>
      </w:pPr>
    </w:p>
    <w:p w14:paraId="7FDF6D4C">
      <w:pPr>
        <w:spacing w:line="360" w:lineRule="auto"/>
        <w:rPr>
          <w:rFonts w:hint="eastAsia" w:ascii="仿宋_GB2312" w:hAnsi="宋体" w:eastAsia="仿宋_GB2312"/>
          <w:b/>
          <w:bCs/>
          <w:color w:val="auto"/>
          <w:sz w:val="32"/>
          <w:szCs w:val="32"/>
          <w:highlight w:val="none"/>
        </w:rPr>
      </w:pPr>
    </w:p>
    <w:p w14:paraId="6923F031">
      <w:pPr>
        <w:spacing w:line="360" w:lineRule="auto"/>
        <w:rPr>
          <w:rFonts w:hint="eastAsia" w:ascii="华文中宋" w:hAnsi="华文中宋" w:eastAsia="华文中宋"/>
          <w:b/>
          <w:bCs/>
          <w:color w:val="auto"/>
          <w:sz w:val="32"/>
          <w:szCs w:val="32"/>
          <w:highlight w:val="none"/>
        </w:rPr>
      </w:pPr>
    </w:p>
    <w:p w14:paraId="3F2D3DC7">
      <w:pPr>
        <w:pStyle w:val="334"/>
        <w:rPr>
          <w:rFonts w:hint="eastAsia"/>
          <w:color w:val="auto"/>
          <w:highlight w:val="none"/>
        </w:rPr>
      </w:pPr>
    </w:p>
    <w:p w14:paraId="7FB04728">
      <w:pPr>
        <w:rPr>
          <w:rFonts w:hint="eastAsia"/>
          <w:color w:val="auto"/>
          <w:highlight w:val="none"/>
        </w:rPr>
      </w:pPr>
    </w:p>
    <w:p w14:paraId="4DD5E2C2">
      <w:pPr>
        <w:pStyle w:val="334"/>
        <w:rPr>
          <w:rFonts w:hint="eastAsia"/>
          <w:color w:val="auto"/>
          <w:highlight w:val="none"/>
        </w:rPr>
      </w:pPr>
    </w:p>
    <w:p w14:paraId="13F6F55E">
      <w:pPr>
        <w:rPr>
          <w:rFonts w:hint="eastAsia"/>
          <w:color w:val="auto"/>
          <w:highlight w:val="none"/>
        </w:rPr>
      </w:pPr>
    </w:p>
    <w:p w14:paraId="325327D5">
      <w:pPr>
        <w:pStyle w:val="334"/>
        <w:rPr>
          <w:rFonts w:hint="eastAsia"/>
          <w:color w:val="auto"/>
          <w:highlight w:val="none"/>
        </w:rPr>
      </w:pPr>
    </w:p>
    <w:p w14:paraId="1C38317F">
      <w:pPr>
        <w:rPr>
          <w:rFonts w:hint="eastAsia"/>
          <w:color w:val="auto"/>
          <w:highlight w:val="none"/>
        </w:rPr>
      </w:pPr>
    </w:p>
    <w:p w14:paraId="0DCB788E">
      <w:pPr>
        <w:pStyle w:val="334"/>
        <w:ind w:firstLine="1802" w:firstLineChars="600"/>
        <w:rPr>
          <w:rFonts w:hint="eastAsia" w:ascii="华文中宋" w:hAnsi="华文中宋" w:eastAsia="华文中宋" w:cs="Times New Roman"/>
          <w:color w:val="auto"/>
          <w:sz w:val="30"/>
          <w:szCs w:val="30"/>
          <w:highlight w:val="none"/>
        </w:rPr>
      </w:pPr>
      <w:r>
        <w:rPr>
          <w:rFonts w:hint="eastAsia" w:ascii="华文中宋" w:hAnsi="华文中宋" w:eastAsia="华文中宋" w:cs="Times New Roman"/>
          <w:color w:val="auto"/>
          <w:sz w:val="30"/>
          <w:szCs w:val="30"/>
          <w:highlight w:val="none"/>
        </w:rPr>
        <w:t>发包人：</w:t>
      </w:r>
    </w:p>
    <w:p w14:paraId="53F74BC0">
      <w:pPr>
        <w:pStyle w:val="334"/>
        <w:ind w:firstLine="1802" w:firstLineChars="600"/>
        <w:rPr>
          <w:rFonts w:hint="eastAsia" w:ascii="华文中宋" w:hAnsi="华文中宋" w:eastAsia="华文中宋" w:cs="Times New Roman"/>
          <w:color w:val="auto"/>
          <w:sz w:val="30"/>
          <w:szCs w:val="30"/>
          <w:highlight w:val="none"/>
        </w:rPr>
      </w:pPr>
      <w:r>
        <w:rPr>
          <w:rFonts w:hint="eastAsia" w:ascii="华文中宋" w:hAnsi="华文中宋" w:eastAsia="华文中宋" w:cs="Times New Roman"/>
          <w:color w:val="auto"/>
          <w:sz w:val="30"/>
          <w:szCs w:val="30"/>
          <w:highlight w:val="none"/>
        </w:rPr>
        <w:t>承包人：</w:t>
      </w:r>
    </w:p>
    <w:p w14:paraId="70F4AAC1">
      <w:pPr>
        <w:pStyle w:val="334"/>
        <w:ind w:firstLine="1802" w:firstLineChars="600"/>
        <w:rPr>
          <w:rFonts w:hint="eastAsia" w:ascii="华文中宋" w:hAnsi="华文中宋" w:eastAsia="华文中宋" w:cs="Times New Roman"/>
          <w:color w:val="auto"/>
          <w:sz w:val="30"/>
          <w:szCs w:val="30"/>
          <w:highlight w:val="none"/>
        </w:rPr>
      </w:pPr>
      <w:r>
        <w:rPr>
          <w:rFonts w:hint="eastAsia" w:ascii="华文中宋" w:hAnsi="华文中宋" w:eastAsia="华文中宋" w:cs="Times New Roman"/>
          <w:color w:val="auto"/>
          <w:sz w:val="30"/>
          <w:szCs w:val="30"/>
          <w:highlight w:val="none"/>
        </w:rPr>
        <w:t xml:space="preserve">签订时间： </w:t>
      </w:r>
      <w:r>
        <w:rPr>
          <w:rFonts w:hint="eastAsia" w:ascii="华文中宋" w:hAnsi="华文中宋" w:eastAsia="华文中宋" w:cs="Times New Roman"/>
          <w:color w:val="auto"/>
          <w:sz w:val="30"/>
          <w:szCs w:val="30"/>
          <w:highlight w:val="none"/>
          <w:lang w:val="en-US" w:eastAsia="zh-CN"/>
        </w:rPr>
        <w:t>2025</w:t>
      </w:r>
      <w:r>
        <w:rPr>
          <w:rFonts w:hint="eastAsia" w:ascii="华文中宋" w:hAnsi="华文中宋" w:eastAsia="华文中宋" w:cs="Times New Roman"/>
          <w:color w:val="auto"/>
          <w:sz w:val="30"/>
          <w:szCs w:val="30"/>
          <w:highlight w:val="none"/>
        </w:rPr>
        <w:t xml:space="preserve">年 </w:t>
      </w:r>
      <w:r>
        <w:rPr>
          <w:rFonts w:hint="eastAsia" w:ascii="华文中宋" w:hAnsi="华文中宋" w:eastAsia="华文中宋" w:cs="Times New Roman"/>
          <w:color w:val="auto"/>
          <w:sz w:val="30"/>
          <w:szCs w:val="30"/>
          <w:highlight w:val="none"/>
          <w:lang w:val="en-US" w:eastAsia="zh-CN"/>
        </w:rPr>
        <w:t xml:space="preserve"> </w:t>
      </w:r>
      <w:r>
        <w:rPr>
          <w:rFonts w:hint="eastAsia" w:ascii="华文中宋" w:hAnsi="华文中宋" w:eastAsia="华文中宋" w:cs="Times New Roman"/>
          <w:color w:val="auto"/>
          <w:sz w:val="30"/>
          <w:szCs w:val="30"/>
          <w:highlight w:val="none"/>
        </w:rPr>
        <w:t xml:space="preserve">月 </w:t>
      </w:r>
      <w:r>
        <w:rPr>
          <w:rFonts w:hint="eastAsia" w:ascii="华文中宋" w:hAnsi="华文中宋" w:eastAsia="华文中宋" w:cs="Times New Roman"/>
          <w:color w:val="auto"/>
          <w:sz w:val="30"/>
          <w:szCs w:val="30"/>
          <w:highlight w:val="none"/>
          <w:lang w:val="en-US" w:eastAsia="zh-CN"/>
        </w:rPr>
        <w:t xml:space="preserve"> </w:t>
      </w:r>
      <w:r>
        <w:rPr>
          <w:rFonts w:hint="eastAsia" w:ascii="华文中宋" w:hAnsi="华文中宋" w:eastAsia="华文中宋" w:cs="Times New Roman"/>
          <w:color w:val="auto"/>
          <w:sz w:val="30"/>
          <w:szCs w:val="30"/>
          <w:highlight w:val="none"/>
        </w:rPr>
        <w:t>日</w:t>
      </w:r>
    </w:p>
    <w:p w14:paraId="4AB769DA">
      <w:pPr>
        <w:rPr>
          <w:rFonts w:hint="eastAsia"/>
          <w:color w:val="auto"/>
          <w:highlight w:val="none"/>
        </w:rPr>
      </w:pPr>
    </w:p>
    <w:p w14:paraId="02A68924">
      <w:pPr>
        <w:tabs>
          <w:tab w:val="left" w:pos="3120"/>
        </w:tabs>
        <w:spacing w:line="420" w:lineRule="exact"/>
        <w:rPr>
          <w:rFonts w:hint="eastAsia" w:ascii="华文中宋" w:hAnsi="华文中宋" w:eastAsia="华文中宋"/>
          <w:b/>
          <w:bCs/>
          <w:color w:val="auto"/>
          <w:sz w:val="44"/>
          <w:szCs w:val="44"/>
          <w:highlight w:val="none"/>
        </w:rPr>
      </w:pPr>
    </w:p>
    <w:p w14:paraId="2C6B70CC">
      <w:pPr>
        <w:keepNext w:val="0"/>
        <w:keepLines w:val="0"/>
        <w:pageBreakBefore w:val="0"/>
        <w:widowControl w:val="0"/>
        <w:tabs>
          <w:tab w:val="left" w:pos="3120"/>
        </w:tabs>
        <w:kinsoku/>
        <w:wordWrap/>
        <w:overflowPunct/>
        <w:topLinePunct w:val="0"/>
        <w:autoSpaceDE/>
        <w:autoSpaceDN/>
        <w:bidi w:val="0"/>
        <w:adjustRightInd/>
        <w:snapToGrid/>
        <w:spacing w:line="240" w:lineRule="auto"/>
        <w:ind w:firstLine="2643" w:firstLineChars="600"/>
        <w:textAlignment w:val="auto"/>
        <w:rPr>
          <w:rFonts w:hint="eastAsia" w:ascii="华文中宋" w:hAnsi="华文中宋" w:eastAsia="华文中宋"/>
          <w:b/>
          <w:bCs/>
          <w:color w:val="auto"/>
          <w:sz w:val="44"/>
          <w:szCs w:val="44"/>
          <w:highlight w:val="none"/>
        </w:rPr>
      </w:pPr>
      <w:r>
        <w:rPr>
          <w:rFonts w:hint="eastAsia" w:ascii="华文中宋" w:hAnsi="华文中宋" w:eastAsia="华文中宋"/>
          <w:b/>
          <w:bCs/>
          <w:color w:val="auto"/>
          <w:sz w:val="44"/>
          <w:szCs w:val="44"/>
          <w:highlight w:val="none"/>
        </w:rPr>
        <w:t>第一部分  协议书</w:t>
      </w:r>
    </w:p>
    <w:p w14:paraId="51E17455">
      <w:pPr>
        <w:tabs>
          <w:tab w:val="left" w:pos="3120"/>
        </w:tabs>
        <w:spacing w:line="420" w:lineRule="exact"/>
        <w:ind w:firstLine="881" w:firstLineChars="200"/>
        <w:jc w:val="center"/>
        <w:rPr>
          <w:rFonts w:hint="eastAsia" w:ascii="华文中宋" w:hAnsi="华文中宋" w:eastAsia="华文中宋"/>
          <w:b/>
          <w:bCs/>
          <w:color w:val="auto"/>
          <w:sz w:val="44"/>
          <w:szCs w:val="44"/>
          <w:highlight w:val="none"/>
        </w:rPr>
      </w:pPr>
    </w:p>
    <w:p w14:paraId="7648A1F0">
      <w:pPr>
        <w:adjustRightInd w:val="0"/>
        <w:snapToGrid w:val="0"/>
        <w:spacing w:line="420" w:lineRule="exact"/>
        <w:ind w:firstLine="326" w:firstLineChars="250"/>
        <w:rPr>
          <w:rFonts w:hint="eastAsia" w:ascii="仿宋_GB2312" w:hAnsi="宋体" w:eastAsia="仿宋_GB2312"/>
          <w:b/>
          <w:color w:val="auto"/>
          <w:sz w:val="13"/>
          <w:szCs w:val="13"/>
          <w:highlight w:val="none"/>
        </w:rPr>
      </w:pPr>
    </w:p>
    <w:p w14:paraId="6CAA5608">
      <w:pPr>
        <w:adjustRightInd w:val="0"/>
        <w:snapToGrid w:val="0"/>
        <w:spacing w:line="420" w:lineRule="exact"/>
        <w:ind w:firstLine="643" w:firstLineChars="200"/>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委托人（全称）：</w:t>
      </w:r>
      <w:r>
        <w:rPr>
          <w:rFonts w:hint="eastAsia" w:ascii="仿宋_GB2312" w:hAnsi="宋体" w:eastAsia="仿宋_GB2312"/>
          <w:b/>
          <w:color w:val="auto"/>
          <w:sz w:val="32"/>
          <w:szCs w:val="32"/>
          <w:highlight w:val="none"/>
          <w:lang w:val="en-US" w:eastAsia="zh-CN"/>
        </w:rPr>
        <w:t xml:space="preserve"> </w:t>
      </w:r>
      <w:r>
        <w:rPr>
          <w:rFonts w:hint="eastAsia" w:ascii="仿宋_GB2312" w:hAnsi="宋体" w:eastAsia="仿宋_GB2312"/>
          <w:b/>
          <w:color w:val="auto"/>
          <w:sz w:val="32"/>
          <w:szCs w:val="32"/>
          <w:highlight w:val="none"/>
          <w:u w:val="single"/>
          <w:lang w:val="en-US" w:eastAsia="zh-CN"/>
        </w:rPr>
        <w:t xml:space="preserve">                         </w:t>
      </w:r>
      <w:r>
        <w:rPr>
          <w:rFonts w:hint="eastAsia" w:ascii="仿宋_GB2312" w:hAnsi="宋体" w:eastAsia="仿宋_GB2312"/>
          <w:b/>
          <w:color w:val="auto"/>
          <w:sz w:val="32"/>
          <w:szCs w:val="32"/>
          <w:highlight w:val="none"/>
          <w:u w:val="single"/>
        </w:rPr>
        <w:t xml:space="preserve"> </w:t>
      </w:r>
    </w:p>
    <w:p w14:paraId="3B17340F">
      <w:pPr>
        <w:adjustRightInd w:val="0"/>
        <w:snapToGrid w:val="0"/>
        <w:spacing w:line="420" w:lineRule="exact"/>
        <w:ind w:firstLine="643" w:firstLineChars="200"/>
        <w:rPr>
          <w:rFonts w:hint="eastAsia" w:ascii="仿宋_GB2312" w:hAnsi="宋体" w:eastAsia="仿宋_GB2312"/>
          <w:b/>
          <w:color w:val="auto"/>
          <w:sz w:val="32"/>
          <w:szCs w:val="32"/>
          <w:highlight w:val="none"/>
          <w:u w:val="single"/>
        </w:rPr>
      </w:pPr>
      <w:r>
        <w:rPr>
          <w:rFonts w:hint="eastAsia" w:ascii="仿宋_GB2312" w:hAnsi="宋体" w:eastAsia="仿宋_GB2312"/>
          <w:b/>
          <w:color w:val="auto"/>
          <w:sz w:val="32"/>
          <w:szCs w:val="32"/>
          <w:highlight w:val="none"/>
          <w:lang w:eastAsia="zh-CN"/>
        </w:rPr>
        <w:t>检测</w:t>
      </w:r>
      <w:r>
        <w:rPr>
          <w:rFonts w:hint="eastAsia" w:ascii="仿宋_GB2312" w:hAnsi="宋体" w:eastAsia="仿宋_GB2312"/>
          <w:b/>
          <w:color w:val="auto"/>
          <w:sz w:val="32"/>
          <w:szCs w:val="32"/>
          <w:highlight w:val="none"/>
        </w:rPr>
        <w:t>人（全称）：</w:t>
      </w:r>
      <w:r>
        <w:rPr>
          <w:rFonts w:hint="eastAsia" w:ascii="仿宋_GB2312" w:hAnsi="宋体" w:eastAsia="仿宋_GB2312"/>
          <w:b/>
          <w:color w:val="auto"/>
          <w:sz w:val="32"/>
          <w:szCs w:val="32"/>
          <w:highlight w:val="none"/>
          <w:lang w:val="en-US" w:eastAsia="zh-CN"/>
        </w:rPr>
        <w:t xml:space="preserve"> </w:t>
      </w:r>
      <w:r>
        <w:rPr>
          <w:rFonts w:hint="eastAsia" w:ascii="仿宋_GB2312" w:hAnsi="宋体" w:eastAsia="仿宋_GB2312"/>
          <w:b/>
          <w:color w:val="auto"/>
          <w:sz w:val="32"/>
          <w:szCs w:val="32"/>
          <w:highlight w:val="none"/>
          <w:u w:val="single"/>
          <w:lang w:val="en-US" w:eastAsia="zh-CN"/>
        </w:rPr>
        <w:t xml:space="preserve">                        </w:t>
      </w:r>
      <w:r>
        <w:rPr>
          <w:rFonts w:hint="eastAsia" w:ascii="仿宋_GB2312" w:hAnsi="宋体" w:eastAsia="仿宋_GB2312"/>
          <w:b/>
          <w:color w:val="auto"/>
          <w:sz w:val="32"/>
          <w:szCs w:val="32"/>
          <w:highlight w:val="none"/>
          <w:u w:val="single"/>
        </w:rPr>
        <w:t xml:space="preserve">  </w:t>
      </w:r>
    </w:p>
    <w:p w14:paraId="5EFE07A3">
      <w:pPr>
        <w:adjustRightInd w:val="0"/>
        <w:snapToGrid w:val="0"/>
        <w:spacing w:line="420" w:lineRule="exact"/>
        <w:ind w:firstLine="643" w:firstLineChars="200"/>
        <w:rPr>
          <w:rFonts w:hint="eastAsia" w:ascii="仿宋_GB2312" w:hAnsi="宋体" w:eastAsia="仿宋_GB2312"/>
          <w:b/>
          <w:color w:val="auto"/>
          <w:sz w:val="32"/>
          <w:szCs w:val="32"/>
          <w:highlight w:val="none"/>
          <w:u w:val="single"/>
        </w:rPr>
      </w:pPr>
    </w:p>
    <w:p w14:paraId="6C92EF63">
      <w:pPr>
        <w:adjustRightInd w:val="0"/>
        <w:snapToGrid w:val="0"/>
        <w:spacing w:line="480" w:lineRule="exact"/>
        <w:ind w:firstLine="560" w:firstLineChars="200"/>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根据依照《中华人民共和国民法典》及其他有关法律、法规，遵循平等、自愿、公平和诚信的原则，双方就下述工程委托</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与相关服务事项协商一致，订立本合同。</w:t>
      </w:r>
    </w:p>
    <w:p w14:paraId="4372AF47">
      <w:pPr>
        <w:spacing w:line="480" w:lineRule="exact"/>
        <w:ind w:firstLine="557" w:firstLineChars="198"/>
        <w:outlineLvl w:val="0"/>
        <w:rPr>
          <w:rFonts w:hint="eastAsia" w:ascii="仿宋_GB2312" w:hAnsi="华文楷体" w:eastAsia="仿宋_GB2312"/>
          <w:b/>
          <w:color w:val="auto"/>
          <w:sz w:val="28"/>
          <w:szCs w:val="28"/>
          <w:highlight w:val="none"/>
        </w:rPr>
      </w:pPr>
      <w:r>
        <w:rPr>
          <w:rFonts w:hint="eastAsia" w:ascii="仿宋_GB2312" w:hAnsi="华文楷体" w:eastAsia="仿宋_GB2312"/>
          <w:b/>
          <w:color w:val="auto"/>
          <w:sz w:val="28"/>
          <w:szCs w:val="28"/>
          <w:highlight w:val="none"/>
        </w:rPr>
        <w:t>一、工程概况</w:t>
      </w:r>
    </w:p>
    <w:p w14:paraId="742AED64">
      <w:pPr>
        <w:pStyle w:val="334"/>
        <w:ind w:firstLine="560" w:firstLineChars="200"/>
        <w:jc w:val="both"/>
        <w:rPr>
          <w:rFonts w:hint="eastAsia" w:ascii="仿宋_GB2312" w:hAnsi="宋体" w:eastAsia="仿宋_GB2312"/>
          <w:b w:val="0"/>
          <w:bCs w:val="0"/>
          <w:color w:val="auto"/>
          <w:sz w:val="28"/>
          <w:szCs w:val="28"/>
          <w:highlight w:val="none"/>
          <w:lang w:val="en-US" w:eastAsia="zh-CN"/>
        </w:rPr>
      </w:pPr>
      <w:r>
        <w:rPr>
          <w:rFonts w:hint="eastAsia" w:ascii="仿宋_GB2312" w:eastAsia="仿宋_GB2312"/>
          <w:b w:val="0"/>
          <w:bCs w:val="0"/>
          <w:color w:val="auto"/>
          <w:sz w:val="28"/>
          <w:szCs w:val="28"/>
          <w:highlight w:val="none"/>
        </w:rPr>
        <w:t xml:space="preserve">1. </w:t>
      </w:r>
      <w:r>
        <w:rPr>
          <w:rFonts w:hint="eastAsia" w:ascii="仿宋_GB2312" w:hAnsi="宋体" w:eastAsia="仿宋_GB2312"/>
          <w:b w:val="0"/>
          <w:bCs w:val="0"/>
          <w:color w:val="auto"/>
          <w:sz w:val="28"/>
          <w:szCs w:val="28"/>
          <w:highlight w:val="none"/>
        </w:rPr>
        <w:t>工程名称：</w:t>
      </w:r>
      <w:r>
        <w:rPr>
          <w:rFonts w:hint="eastAsia" w:ascii="仿宋_GB2312" w:hAnsi="宋体" w:eastAsia="仿宋_GB2312"/>
          <w:b w:val="0"/>
          <w:bCs w:val="0"/>
          <w:color w:val="auto"/>
          <w:sz w:val="28"/>
          <w:szCs w:val="28"/>
          <w:highlight w:val="none"/>
          <w:u w:val="single"/>
          <w:lang w:val="en-US" w:eastAsia="zh-CN"/>
        </w:rPr>
        <w:t xml:space="preserve"> </w:t>
      </w:r>
      <w:r>
        <w:rPr>
          <w:rFonts w:hint="eastAsia"/>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u w:val="single"/>
          <w:lang w:val="en-US" w:eastAsia="zh-CN"/>
        </w:rPr>
        <w:t>项目</w:t>
      </w:r>
      <w:r>
        <w:rPr>
          <w:rFonts w:hint="eastAsia" w:ascii="仿宋_GB2312" w:hAnsi="宋体" w:eastAsia="仿宋_GB2312"/>
          <w:b w:val="0"/>
          <w:bCs w:val="0"/>
          <w:color w:val="auto"/>
          <w:sz w:val="28"/>
          <w:szCs w:val="28"/>
          <w:highlight w:val="none"/>
          <w:u w:val="single"/>
        </w:rPr>
        <w:t>工程</w:t>
      </w:r>
      <w:r>
        <w:rPr>
          <w:rFonts w:hint="eastAsia" w:ascii="仿宋_GB2312" w:hAnsi="宋体" w:eastAsia="仿宋_GB2312"/>
          <w:b w:val="0"/>
          <w:bCs w:val="0"/>
          <w:color w:val="auto"/>
          <w:sz w:val="28"/>
          <w:szCs w:val="28"/>
          <w:highlight w:val="none"/>
        </w:rPr>
        <w:t>；</w:t>
      </w:r>
      <w:r>
        <w:rPr>
          <w:rFonts w:hint="eastAsia"/>
          <w:b w:val="0"/>
          <w:bCs w:val="0"/>
          <w:color w:val="auto"/>
          <w:sz w:val="28"/>
          <w:szCs w:val="28"/>
          <w:highlight w:val="none"/>
          <w:lang w:val="en-US" w:eastAsia="zh-CN"/>
        </w:rPr>
        <w:t xml:space="preserve"> </w:t>
      </w:r>
    </w:p>
    <w:p w14:paraId="7C9322F2">
      <w:pPr>
        <w:adjustRightInd w:val="0"/>
        <w:snapToGrid w:val="0"/>
        <w:spacing w:line="480" w:lineRule="exact"/>
        <w:ind w:firstLine="554" w:firstLineChars="198"/>
        <w:jc w:val="left"/>
        <w:rPr>
          <w:rFonts w:hint="eastAsia" w:ascii="仿宋_GB2312" w:hAnsi="宋体" w:eastAsia="仿宋_GB2312" w:cs="宋体"/>
          <w:color w:val="auto"/>
          <w:kern w:val="0"/>
          <w:sz w:val="28"/>
          <w:szCs w:val="28"/>
          <w:highlight w:val="none"/>
        </w:rPr>
      </w:pPr>
      <w:r>
        <w:rPr>
          <w:rFonts w:hint="eastAsia" w:ascii="仿宋_GB2312" w:eastAsia="仿宋_GB2312"/>
          <w:color w:val="auto"/>
          <w:sz w:val="28"/>
          <w:szCs w:val="28"/>
          <w:highlight w:val="none"/>
        </w:rPr>
        <w:t xml:space="preserve">2. </w:t>
      </w:r>
      <w:r>
        <w:rPr>
          <w:rFonts w:hint="eastAsia" w:ascii="仿宋_GB2312" w:hAnsi="宋体" w:eastAsia="仿宋_GB2312"/>
          <w:color w:val="auto"/>
          <w:sz w:val="28"/>
          <w:szCs w:val="28"/>
          <w:highlight w:val="none"/>
        </w:rPr>
        <w:t>工</w:t>
      </w:r>
      <w:r>
        <w:rPr>
          <w:rFonts w:hint="eastAsia" w:ascii="仿宋_GB2312" w:hAnsi="宋体" w:eastAsia="仿宋_GB2312" w:cs="宋体"/>
          <w:color w:val="auto"/>
          <w:kern w:val="0"/>
          <w:sz w:val="28"/>
          <w:szCs w:val="28"/>
          <w:highlight w:val="none"/>
        </w:rPr>
        <w:t>程地点：</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w:t>
      </w:r>
    </w:p>
    <w:p w14:paraId="61FF24E8">
      <w:pPr>
        <w:adjustRightInd w:val="0"/>
        <w:snapToGrid w:val="0"/>
        <w:spacing w:line="480" w:lineRule="exact"/>
        <w:ind w:firstLine="554" w:firstLineChars="198"/>
        <w:jc w:val="left"/>
        <w:rPr>
          <w:rFonts w:hint="eastAsia" w:ascii="仿宋_GB2312" w:hAnsi="宋体" w:eastAsia="仿宋_GB2312"/>
          <w:color w:val="auto"/>
          <w:sz w:val="28"/>
          <w:szCs w:val="28"/>
          <w:highlight w:val="none"/>
          <w:u w:val="single"/>
        </w:rPr>
      </w:pPr>
      <w:r>
        <w:rPr>
          <w:rFonts w:hint="eastAsia" w:ascii="仿宋_GB2312" w:hAnsi="宋体" w:eastAsia="仿宋_GB2312" w:cs="宋体"/>
          <w:color w:val="auto"/>
          <w:kern w:val="0"/>
          <w:sz w:val="28"/>
          <w:szCs w:val="28"/>
          <w:highlight w:val="none"/>
        </w:rPr>
        <w:t>3. 工程规模：</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w:t>
      </w:r>
    </w:p>
    <w:p w14:paraId="7E6404C9">
      <w:pPr>
        <w:adjustRightInd w:val="0"/>
        <w:snapToGrid w:val="0"/>
        <w:spacing w:line="480" w:lineRule="exact"/>
        <w:ind w:firstLine="554" w:firstLineChars="198"/>
        <w:jc w:val="left"/>
        <w:rPr>
          <w:rFonts w:hint="eastAsia" w:ascii="仿宋_GB2312" w:hAnsi="宋体" w:eastAsia="仿宋_GB2312"/>
          <w:color w:val="auto"/>
          <w:sz w:val="28"/>
          <w:szCs w:val="28"/>
          <w:highlight w:val="none"/>
        </w:rPr>
      </w:pPr>
      <w:r>
        <w:rPr>
          <w:rFonts w:hint="eastAsia" w:ascii="仿宋_GB2312" w:hAnsi="宋体" w:eastAsia="仿宋_GB2312"/>
          <w:color w:val="auto"/>
          <w:kern w:val="0"/>
          <w:sz w:val="28"/>
          <w:szCs w:val="28"/>
          <w:highlight w:val="none"/>
        </w:rPr>
        <w:t xml:space="preserve">4. </w:t>
      </w:r>
      <w:r>
        <w:rPr>
          <w:rFonts w:hint="eastAsia" w:ascii="仿宋_GB2312" w:hAnsi="宋体" w:eastAsia="仿宋_GB2312"/>
          <w:color w:val="auto"/>
          <w:sz w:val="28"/>
          <w:szCs w:val="28"/>
          <w:highlight w:val="none"/>
        </w:rPr>
        <w:t>工程</w:t>
      </w:r>
      <w:r>
        <w:rPr>
          <w:rFonts w:hint="eastAsia" w:ascii="仿宋_GB2312" w:hAnsi="宋体" w:eastAsia="仿宋_GB2312"/>
          <w:color w:val="auto"/>
          <w:kern w:val="0"/>
          <w:sz w:val="28"/>
          <w:szCs w:val="28"/>
          <w:highlight w:val="none"/>
        </w:rPr>
        <w:t>概算投资</w:t>
      </w:r>
      <w:r>
        <w:rPr>
          <w:rFonts w:hint="eastAsia" w:ascii="仿宋_GB2312" w:hAnsi="宋体" w:eastAsia="仿宋_GB2312" w:cs="宋体"/>
          <w:color w:val="auto"/>
          <w:kern w:val="0"/>
          <w:sz w:val="28"/>
          <w:szCs w:val="28"/>
          <w:highlight w:val="none"/>
        </w:rPr>
        <w:t>额或建筑安装工程费</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w:t>
      </w:r>
    </w:p>
    <w:p w14:paraId="70100760">
      <w:pPr>
        <w:adjustRightInd w:val="0"/>
        <w:snapToGrid w:val="0"/>
        <w:spacing w:line="480" w:lineRule="exact"/>
        <w:ind w:firstLine="554" w:firstLineChars="198"/>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 施工工期：</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lang w:eastAsia="zh-CN"/>
        </w:rPr>
        <w:t>日</w:t>
      </w:r>
      <w:r>
        <w:rPr>
          <w:rFonts w:hint="eastAsia" w:ascii="仿宋_GB2312" w:hAnsi="宋体" w:eastAsia="仿宋_GB2312"/>
          <w:color w:val="auto"/>
          <w:sz w:val="28"/>
          <w:szCs w:val="28"/>
          <w:highlight w:val="none"/>
        </w:rPr>
        <w:t>历天+缺陷责任期</w:t>
      </w:r>
      <w:r>
        <w:rPr>
          <w:rFonts w:hint="eastAsia" w:ascii="仿宋_GB2312" w:hAnsi="宋体" w:eastAsia="仿宋_GB2312"/>
          <w:color w:val="auto"/>
          <w:sz w:val="28"/>
          <w:szCs w:val="28"/>
          <w:highlight w:val="none"/>
          <w:u w:val="single"/>
          <w:lang w:val="en-US" w:eastAsia="zh-CN"/>
        </w:rPr>
        <w:t xml:space="preserve"> 12 </w:t>
      </w:r>
      <w:r>
        <w:rPr>
          <w:rFonts w:hint="eastAsia" w:ascii="仿宋_GB2312" w:hAnsi="宋体" w:eastAsia="仿宋_GB2312"/>
          <w:color w:val="auto"/>
          <w:sz w:val="28"/>
          <w:szCs w:val="28"/>
          <w:highlight w:val="none"/>
        </w:rPr>
        <w:t>个月。</w:t>
      </w:r>
    </w:p>
    <w:p w14:paraId="31BBB9AC">
      <w:pPr>
        <w:spacing w:line="480" w:lineRule="exact"/>
        <w:ind w:firstLine="557" w:firstLineChars="198"/>
        <w:outlineLvl w:val="0"/>
        <w:rPr>
          <w:rFonts w:hint="eastAsia" w:ascii="仿宋_GB2312" w:hAnsi="华文楷体" w:eastAsia="仿宋_GB2312" w:cs="Times New Roman"/>
          <w:b/>
          <w:color w:val="auto"/>
          <w:sz w:val="28"/>
          <w:szCs w:val="28"/>
          <w:highlight w:val="none"/>
        </w:rPr>
      </w:pPr>
      <w:r>
        <w:rPr>
          <w:rFonts w:hint="eastAsia" w:ascii="仿宋_GB2312" w:hAnsi="华文楷体" w:eastAsia="仿宋_GB2312" w:cs="Times New Roman"/>
          <w:b/>
          <w:color w:val="auto"/>
          <w:sz w:val="28"/>
          <w:szCs w:val="28"/>
          <w:highlight w:val="none"/>
        </w:rPr>
        <w:t>二、词语限定</w:t>
      </w:r>
    </w:p>
    <w:p w14:paraId="0C1A31D0">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协议书中相关词语的含义与通用条件中的定义与解释相同。</w:t>
      </w:r>
    </w:p>
    <w:p w14:paraId="7A1E5191">
      <w:pPr>
        <w:spacing w:line="480" w:lineRule="exact"/>
        <w:ind w:firstLine="557" w:firstLineChars="198"/>
        <w:outlineLvl w:val="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三、组成本合同的文件</w:t>
      </w:r>
    </w:p>
    <w:p w14:paraId="1061B803">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1. </w:t>
      </w:r>
      <w:r>
        <w:rPr>
          <w:rFonts w:hint="eastAsia" w:ascii="仿宋_GB2312" w:hAnsi="宋体" w:eastAsia="仿宋_GB2312"/>
          <w:color w:val="auto"/>
          <w:sz w:val="28"/>
          <w:szCs w:val="28"/>
          <w:highlight w:val="none"/>
        </w:rPr>
        <w:t>协议书；</w:t>
      </w:r>
    </w:p>
    <w:p w14:paraId="3D06ECD5">
      <w:pPr>
        <w:pStyle w:val="334"/>
        <w:ind w:firstLine="560" w:firstLineChars="200"/>
        <w:rPr>
          <w:rFonts w:hint="eastAsia" w:cs="Times New Roman"/>
          <w:b w:val="0"/>
          <w:bCs w:val="0"/>
          <w:color w:val="auto"/>
          <w:sz w:val="28"/>
          <w:szCs w:val="28"/>
          <w:highlight w:val="none"/>
        </w:rPr>
      </w:pPr>
      <w:r>
        <w:rPr>
          <w:rFonts w:hint="eastAsia" w:cs="Times New Roman"/>
          <w:b w:val="0"/>
          <w:bCs w:val="0"/>
          <w:color w:val="auto"/>
          <w:sz w:val="28"/>
          <w:szCs w:val="28"/>
          <w:highlight w:val="none"/>
        </w:rPr>
        <w:t>2、招标文件；</w:t>
      </w:r>
    </w:p>
    <w:p w14:paraId="558E992F">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 中标通知书（适用于招标工程）或委托书（适用于非招标工程）；</w:t>
      </w:r>
    </w:p>
    <w:p w14:paraId="59EC2F5A">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4</w:t>
      </w:r>
      <w:r>
        <w:rPr>
          <w:rFonts w:hint="eastAsia" w:ascii="仿宋_GB2312" w:hAnsi="宋体" w:eastAsia="仿宋_GB2312"/>
          <w:color w:val="auto"/>
          <w:sz w:val="28"/>
          <w:szCs w:val="28"/>
          <w:highlight w:val="none"/>
        </w:rPr>
        <w:t>. 投标文件（适用于招标工程）或</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与相关服务建议书（适用于非招标工程）；</w:t>
      </w:r>
    </w:p>
    <w:p w14:paraId="3BD51EB7">
      <w:pPr>
        <w:adjustRightInd w:val="0"/>
        <w:snapToGrid w:val="0"/>
        <w:spacing w:line="48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 xml:space="preserve">. </w:t>
      </w:r>
      <w:r>
        <w:rPr>
          <w:rFonts w:hint="eastAsia" w:ascii="仿宋_GB2312" w:hAnsi="宋体" w:eastAsia="仿宋_GB2312"/>
          <w:color w:val="auto"/>
          <w:sz w:val="28"/>
          <w:szCs w:val="28"/>
          <w:highlight w:val="none"/>
        </w:rPr>
        <w:t>专用条件；</w:t>
      </w:r>
    </w:p>
    <w:p w14:paraId="6708A4E2">
      <w:pPr>
        <w:adjustRightInd w:val="0"/>
        <w:snapToGrid w:val="0"/>
        <w:spacing w:line="480" w:lineRule="exact"/>
        <w:ind w:firstLine="554" w:firstLineChars="198"/>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 xml:space="preserve">. </w:t>
      </w:r>
      <w:r>
        <w:rPr>
          <w:rFonts w:hint="eastAsia" w:ascii="仿宋_GB2312" w:hAnsi="宋体" w:eastAsia="仿宋_GB2312"/>
          <w:color w:val="auto"/>
          <w:sz w:val="28"/>
          <w:szCs w:val="28"/>
          <w:highlight w:val="none"/>
        </w:rPr>
        <w:t>通用条件；</w:t>
      </w:r>
    </w:p>
    <w:p w14:paraId="67D188DA">
      <w:pPr>
        <w:adjustRightInd w:val="0"/>
        <w:snapToGrid w:val="0"/>
        <w:spacing w:line="480" w:lineRule="exact"/>
        <w:ind w:firstLine="554" w:firstLineChars="198"/>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w:t>
      </w:r>
      <w:r>
        <w:rPr>
          <w:rFonts w:hint="eastAsia" w:ascii="仿宋_GB2312" w:hAnsi="宋体" w:eastAsia="仿宋_GB2312"/>
          <w:color w:val="auto"/>
          <w:sz w:val="28"/>
          <w:szCs w:val="28"/>
          <w:highlight w:val="none"/>
        </w:rPr>
        <w:t xml:space="preserve"> 附录，即：</w:t>
      </w:r>
    </w:p>
    <w:p w14:paraId="7D8DEAA2">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附录A  相关服务的范围和内容</w:t>
      </w:r>
    </w:p>
    <w:p w14:paraId="36E653BD">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附录B  委托人派遣的人员和提供的房屋、资料、设备 </w:t>
      </w:r>
    </w:p>
    <w:p w14:paraId="7C28E43C">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本合同签订后，双方依法签订的补充协议也是本合同文件的组成部分。</w:t>
      </w:r>
    </w:p>
    <w:p w14:paraId="2CB536F9">
      <w:pPr>
        <w:spacing w:line="480" w:lineRule="exact"/>
        <w:ind w:firstLine="557" w:firstLineChars="198"/>
        <w:outlineLvl w:val="0"/>
        <w:rPr>
          <w:rFonts w:hint="eastAsia" w:ascii="仿宋_GB2312" w:hAnsi="宋体" w:eastAsia="仿宋_GB2312"/>
          <w:b/>
          <w:color w:val="auto"/>
          <w:sz w:val="28"/>
          <w:szCs w:val="28"/>
          <w:highlight w:val="none"/>
          <w:lang w:eastAsia="zh-CN"/>
        </w:rPr>
      </w:pPr>
      <w:r>
        <w:rPr>
          <w:rFonts w:hint="eastAsia" w:ascii="仿宋_GB2312" w:hAnsi="宋体" w:eastAsia="仿宋_GB2312"/>
          <w:b/>
          <w:color w:val="auto"/>
          <w:sz w:val="28"/>
          <w:szCs w:val="28"/>
          <w:highlight w:val="none"/>
        </w:rPr>
        <w:t>四、</w:t>
      </w:r>
      <w:r>
        <w:rPr>
          <w:rFonts w:hint="eastAsia" w:ascii="仿宋_GB2312" w:hAnsi="华文楷体" w:eastAsia="仿宋_GB2312" w:cs="Times New Roman"/>
          <w:b/>
          <w:color w:val="auto"/>
          <w:sz w:val="28"/>
          <w:szCs w:val="28"/>
          <w:highlight w:val="none"/>
        </w:rPr>
        <w:t>项目负责人、技术</w:t>
      </w:r>
      <w:r>
        <w:rPr>
          <w:rFonts w:hint="eastAsia" w:ascii="仿宋_GB2312" w:hAnsi="华文楷体" w:eastAsia="仿宋_GB2312" w:cs="Times New Roman"/>
          <w:b/>
          <w:color w:val="auto"/>
          <w:sz w:val="28"/>
          <w:szCs w:val="28"/>
          <w:highlight w:val="none"/>
          <w:lang w:val="en-US" w:eastAsia="zh-CN"/>
        </w:rPr>
        <w:t>负责人</w:t>
      </w:r>
    </w:p>
    <w:p w14:paraId="10FDAE24">
      <w:pPr>
        <w:adjustRightInd w:val="0"/>
        <w:snapToGrid w:val="0"/>
        <w:spacing w:line="480" w:lineRule="exact"/>
        <w:ind w:firstLine="554" w:firstLineChars="198"/>
        <w:rPr>
          <w:rFonts w:hint="default" w:ascii="仿宋_GB2312" w:hAnsi="宋体" w:eastAsia="仿宋_GB2312" w:cs="Times New Roman"/>
          <w:color w:val="auto"/>
          <w:sz w:val="28"/>
          <w:szCs w:val="28"/>
          <w:highlight w:val="none"/>
          <w:u w:val="single"/>
          <w:lang w:val="en-US" w:eastAsia="zh-CN"/>
        </w:rPr>
      </w:pPr>
      <w:r>
        <w:rPr>
          <w:rFonts w:hint="eastAsia" w:ascii="仿宋_GB2312" w:hAnsi="宋体" w:eastAsia="仿宋_GB2312" w:cs="Times New Roman"/>
          <w:color w:val="auto"/>
          <w:sz w:val="28"/>
          <w:szCs w:val="28"/>
          <w:highlight w:val="none"/>
        </w:rPr>
        <w:t>项目负责人姓名：</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u w:val="none"/>
          <w:lang w:val="en-US" w:eastAsia="zh-CN"/>
        </w:rPr>
        <w:t>；</w:t>
      </w:r>
    </w:p>
    <w:p w14:paraId="7A1A8014">
      <w:pPr>
        <w:adjustRightInd w:val="0"/>
        <w:snapToGrid w:val="0"/>
        <w:spacing w:line="480" w:lineRule="exact"/>
        <w:ind w:firstLine="554" w:firstLineChars="198"/>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身份证号码：</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u w:val="none"/>
          <w:lang w:val="en-US" w:eastAsia="zh-CN"/>
        </w:rPr>
        <w:t>；</w:t>
      </w:r>
    </w:p>
    <w:p w14:paraId="65BA5612">
      <w:pPr>
        <w:adjustRightInd w:val="0"/>
        <w:snapToGrid w:val="0"/>
        <w:spacing w:line="480" w:lineRule="exact"/>
        <w:ind w:firstLine="554" w:firstLineChars="198"/>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注册号：</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rPr>
        <w:t>。</w:t>
      </w:r>
    </w:p>
    <w:p w14:paraId="79836CE2">
      <w:pPr>
        <w:adjustRightInd w:val="0"/>
        <w:snapToGrid w:val="0"/>
        <w:spacing w:line="480" w:lineRule="exact"/>
        <w:ind w:firstLine="554" w:firstLineChars="198"/>
        <w:rPr>
          <w:rFonts w:hint="default" w:ascii="仿宋_GB2312" w:hAnsi="宋体" w:eastAsia="仿宋_GB2312" w:cs="Times New Roman"/>
          <w:color w:val="auto"/>
          <w:sz w:val="28"/>
          <w:szCs w:val="28"/>
          <w:highlight w:val="none"/>
          <w:u w:val="single"/>
          <w:lang w:val="en-US" w:eastAsia="zh-CN"/>
        </w:rPr>
      </w:pPr>
      <w:r>
        <w:rPr>
          <w:rFonts w:hint="eastAsia" w:ascii="仿宋_GB2312" w:hAnsi="宋体" w:eastAsia="仿宋_GB2312" w:cs="Times New Roman"/>
          <w:color w:val="auto"/>
          <w:sz w:val="28"/>
          <w:szCs w:val="28"/>
          <w:highlight w:val="none"/>
        </w:rPr>
        <w:t>技术</w:t>
      </w:r>
      <w:r>
        <w:rPr>
          <w:rFonts w:hint="eastAsia" w:ascii="仿宋_GB2312" w:hAnsi="宋体" w:eastAsia="仿宋_GB2312" w:cs="Times New Roman"/>
          <w:color w:val="auto"/>
          <w:sz w:val="28"/>
          <w:szCs w:val="28"/>
          <w:highlight w:val="none"/>
          <w:lang w:val="en-US" w:eastAsia="zh-CN"/>
        </w:rPr>
        <w:t>负责人</w:t>
      </w:r>
      <w:r>
        <w:rPr>
          <w:rFonts w:hint="eastAsia" w:ascii="仿宋_GB2312" w:hAnsi="宋体" w:eastAsia="仿宋_GB2312" w:cs="Times New Roman"/>
          <w:color w:val="auto"/>
          <w:sz w:val="28"/>
          <w:szCs w:val="28"/>
          <w:highlight w:val="none"/>
        </w:rPr>
        <w:t>姓名：</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u w:val="none"/>
          <w:lang w:val="en-US" w:eastAsia="zh-CN"/>
        </w:rPr>
        <w:t>；</w:t>
      </w:r>
    </w:p>
    <w:p w14:paraId="1E273ECD">
      <w:pPr>
        <w:adjustRightInd w:val="0"/>
        <w:snapToGrid w:val="0"/>
        <w:spacing w:line="480" w:lineRule="exact"/>
        <w:ind w:firstLine="554" w:firstLineChars="198"/>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身份证号码：</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u w:val="none"/>
          <w:lang w:val="en-US" w:eastAsia="zh-CN"/>
        </w:rPr>
        <w:t>；</w:t>
      </w:r>
    </w:p>
    <w:p w14:paraId="35E3DCC8">
      <w:pPr>
        <w:adjustRightInd w:val="0"/>
        <w:snapToGrid w:val="0"/>
        <w:spacing w:line="480" w:lineRule="exact"/>
        <w:ind w:firstLine="554" w:firstLineChars="198"/>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注册号：</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rPr>
        <w:t>。</w:t>
      </w:r>
    </w:p>
    <w:p w14:paraId="500B2A8D">
      <w:pPr>
        <w:spacing w:line="480" w:lineRule="exact"/>
        <w:ind w:firstLine="557" w:firstLineChars="198"/>
        <w:outlineLvl w:val="0"/>
        <w:rPr>
          <w:rFonts w:hint="eastAsia" w:ascii="仿宋_GB2312" w:hAnsi="华文楷体" w:eastAsia="仿宋_GB2312" w:cs="Times New Roman"/>
          <w:b/>
          <w:color w:val="auto"/>
          <w:sz w:val="28"/>
          <w:szCs w:val="28"/>
          <w:highlight w:val="none"/>
        </w:rPr>
      </w:pPr>
      <w:r>
        <w:rPr>
          <w:rFonts w:hint="eastAsia" w:ascii="仿宋_GB2312" w:hAnsi="华文楷体" w:eastAsia="仿宋_GB2312" w:cs="Times New Roman"/>
          <w:b/>
          <w:color w:val="auto"/>
          <w:sz w:val="28"/>
          <w:szCs w:val="28"/>
          <w:highlight w:val="none"/>
        </w:rPr>
        <w:t>五、</w:t>
      </w:r>
      <w:r>
        <w:rPr>
          <w:rFonts w:hint="eastAsia" w:ascii="仿宋_GB2312" w:hAnsi="华文楷体" w:eastAsia="仿宋_GB2312" w:cs="Times New Roman"/>
          <w:b/>
          <w:color w:val="auto"/>
          <w:sz w:val="28"/>
          <w:szCs w:val="28"/>
          <w:highlight w:val="none"/>
          <w:lang w:eastAsia="zh-CN"/>
        </w:rPr>
        <w:t>检测</w:t>
      </w:r>
      <w:r>
        <w:rPr>
          <w:rFonts w:hint="eastAsia" w:ascii="仿宋_GB2312" w:hAnsi="华文楷体" w:eastAsia="仿宋_GB2312" w:cs="Times New Roman"/>
          <w:b/>
          <w:color w:val="auto"/>
          <w:sz w:val="28"/>
          <w:szCs w:val="28"/>
          <w:highlight w:val="none"/>
        </w:rPr>
        <w:t>服务酬金</w:t>
      </w:r>
    </w:p>
    <w:p w14:paraId="1CBEADFC">
      <w:pPr>
        <w:spacing w:line="480" w:lineRule="exact"/>
        <w:ind w:firstLine="560" w:firstLineChars="200"/>
        <w:rPr>
          <w:rFonts w:hint="eastAsia" w:ascii="仿宋_GB2312" w:hAnsi="宋体" w:eastAsia="仿宋_GB2312" w:cs="Times New Roman"/>
          <w:color w:val="auto"/>
          <w:kern w:val="0"/>
          <w:sz w:val="28"/>
          <w:szCs w:val="28"/>
          <w:highlight w:val="none"/>
          <w:lang w:eastAsia="zh-CN"/>
        </w:rPr>
      </w:pPr>
      <w:r>
        <w:rPr>
          <w:rFonts w:hint="eastAsia" w:ascii="仿宋_GB2312" w:hAnsi="宋体" w:eastAsia="仿宋_GB2312" w:cs="Times New Roman"/>
          <w:color w:val="auto"/>
          <w:kern w:val="0"/>
          <w:sz w:val="28"/>
          <w:szCs w:val="28"/>
          <w:highlight w:val="none"/>
        </w:rPr>
        <w:t xml:space="preserve">  </w:t>
      </w:r>
      <w:r>
        <w:rPr>
          <w:rFonts w:hint="eastAsia" w:ascii="仿宋_GB2312" w:hAnsi="宋体" w:eastAsia="仿宋_GB2312" w:cs="Times New Roman"/>
          <w:color w:val="auto"/>
          <w:kern w:val="0"/>
          <w:sz w:val="28"/>
          <w:szCs w:val="28"/>
          <w:highlight w:val="none"/>
          <w:lang w:eastAsia="zh-CN"/>
        </w:rPr>
        <w:t>本项目检测</w:t>
      </w:r>
      <w:r>
        <w:rPr>
          <w:rFonts w:hint="eastAsia" w:ascii="仿宋_GB2312" w:hAnsi="宋体" w:eastAsia="仿宋_GB2312" w:cs="Times New Roman"/>
          <w:color w:val="auto"/>
          <w:kern w:val="0"/>
          <w:sz w:val="28"/>
          <w:szCs w:val="28"/>
          <w:highlight w:val="none"/>
        </w:rPr>
        <w:t>酬金为</w:t>
      </w:r>
      <w:r>
        <w:rPr>
          <w:rFonts w:hint="eastAsia" w:ascii="仿宋_GB2312" w:hAnsi="宋体" w:eastAsia="仿宋_GB2312" w:cs="Times New Roman"/>
          <w:color w:val="auto"/>
          <w:kern w:val="0"/>
          <w:sz w:val="28"/>
          <w:szCs w:val="28"/>
          <w:highlight w:val="none"/>
          <w:lang w:eastAsia="zh-CN"/>
        </w:rPr>
        <w:t>总价包干</w:t>
      </w:r>
      <w:r>
        <w:rPr>
          <w:rFonts w:hint="eastAsia" w:ascii="仿宋_GB2312" w:hAnsi="宋体" w:eastAsia="仿宋_GB2312" w:cs="Times New Roman"/>
          <w:color w:val="auto"/>
          <w:kern w:val="0"/>
          <w:sz w:val="28"/>
          <w:szCs w:val="28"/>
          <w:highlight w:val="none"/>
          <w:lang w:val="en-US" w:eastAsia="zh-CN"/>
        </w:rPr>
        <w:t xml:space="preserve">    </w:t>
      </w:r>
      <w:r>
        <w:rPr>
          <w:rFonts w:hint="default" w:ascii="仿宋_GB2312" w:hAnsi="宋体" w:eastAsia="仿宋_GB2312" w:cs="Times New Roman"/>
          <w:color w:val="auto"/>
          <w:kern w:val="0"/>
          <w:sz w:val="28"/>
          <w:szCs w:val="28"/>
          <w:highlight w:val="none"/>
        </w:rPr>
        <w:t xml:space="preserve"> </w:t>
      </w:r>
      <w:r>
        <w:rPr>
          <w:rFonts w:hint="eastAsia" w:ascii="仿宋_GB2312" w:hAnsi="宋体" w:eastAsia="仿宋_GB2312" w:cs="Times New Roman"/>
          <w:color w:val="auto"/>
          <w:kern w:val="0"/>
          <w:sz w:val="28"/>
          <w:szCs w:val="28"/>
          <w:highlight w:val="none"/>
        </w:rPr>
        <w:t>元（大写：</w:t>
      </w:r>
      <w:r>
        <w:rPr>
          <w:rFonts w:hint="eastAsia" w:ascii="仿宋_GB2312" w:hAnsi="宋体" w:eastAsia="仿宋_GB2312" w:cs="Times New Roman"/>
          <w:color w:val="auto"/>
          <w:kern w:val="0"/>
          <w:sz w:val="28"/>
          <w:szCs w:val="28"/>
          <w:highlight w:val="none"/>
          <w:lang w:val="en-US" w:eastAsia="zh-CN"/>
        </w:rPr>
        <w:t xml:space="preserve">      </w:t>
      </w:r>
      <w:r>
        <w:rPr>
          <w:rFonts w:hint="default" w:ascii="仿宋_GB2312" w:hAnsi="宋体" w:eastAsia="仿宋_GB2312" w:cs="Times New Roman"/>
          <w:color w:val="auto"/>
          <w:kern w:val="0"/>
          <w:sz w:val="28"/>
          <w:szCs w:val="28"/>
          <w:highlight w:val="none"/>
          <w:lang w:val="en-US" w:eastAsia="zh-CN"/>
        </w:rPr>
        <w:t>整</w:t>
      </w:r>
      <w:r>
        <w:rPr>
          <w:rFonts w:hint="eastAsia" w:ascii="仿宋_GB2312" w:hAnsi="宋体" w:eastAsia="仿宋_GB2312" w:cs="Times New Roman"/>
          <w:color w:val="auto"/>
          <w:kern w:val="0"/>
          <w:sz w:val="28"/>
          <w:szCs w:val="28"/>
          <w:highlight w:val="none"/>
        </w:rPr>
        <w:t>），按专用合同条款约定进行支付</w:t>
      </w:r>
      <w:r>
        <w:rPr>
          <w:rFonts w:hint="eastAsia" w:ascii="仿宋_GB2312" w:hAnsi="宋体" w:eastAsia="仿宋_GB2312" w:cs="Times New Roman"/>
          <w:color w:val="auto"/>
          <w:kern w:val="0"/>
          <w:sz w:val="28"/>
          <w:szCs w:val="28"/>
          <w:highlight w:val="none"/>
          <w:lang w:eastAsia="zh-CN"/>
        </w:rPr>
        <w:t>。</w:t>
      </w:r>
    </w:p>
    <w:p w14:paraId="535ABBEE">
      <w:pPr>
        <w:spacing w:line="480" w:lineRule="exact"/>
        <w:ind w:firstLine="557" w:firstLineChars="198"/>
        <w:outlineLvl w:val="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六、期限</w:t>
      </w:r>
    </w:p>
    <w:p w14:paraId="397C7C54">
      <w:pPr>
        <w:adjustRightInd w:val="0"/>
        <w:snapToGrid w:val="0"/>
        <w:spacing w:line="480" w:lineRule="exact"/>
        <w:ind w:firstLine="700" w:firstLineChars="250"/>
        <w:jc w:val="left"/>
        <w:rPr>
          <w:rFonts w:hint="eastAsia" w:ascii="仿宋_GB2312" w:eastAsia="仿宋_GB2312"/>
          <w:color w:val="auto"/>
          <w:sz w:val="28"/>
          <w:szCs w:val="28"/>
          <w:highlight w:val="none"/>
        </w:rPr>
      </w:pPr>
      <w:r>
        <w:rPr>
          <w:rFonts w:hint="eastAsia" w:ascii="仿宋_GB2312" w:hAnsi="宋体" w:eastAsia="仿宋_GB2312"/>
          <w:color w:val="auto"/>
          <w:kern w:val="0"/>
          <w:sz w:val="28"/>
          <w:szCs w:val="28"/>
          <w:highlight w:val="none"/>
        </w:rPr>
        <w:t xml:space="preserve">1. </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期限：</w:t>
      </w:r>
    </w:p>
    <w:p w14:paraId="016B5312">
      <w:pPr>
        <w:adjustRightInd w:val="0"/>
        <w:snapToGrid w:val="0"/>
        <w:spacing w:line="480" w:lineRule="exact"/>
        <w:ind w:firstLine="700" w:firstLineChars="250"/>
        <w:rPr>
          <w:rFonts w:hint="eastAsia" w:ascii="仿宋_GB2312" w:eastAsia="仿宋_GB2312"/>
          <w:color w:val="auto"/>
          <w:sz w:val="28"/>
          <w:szCs w:val="28"/>
          <w:highlight w:val="none"/>
          <w:u w:val="single"/>
        </w:rPr>
      </w:pPr>
      <w:r>
        <w:rPr>
          <w:rFonts w:hint="eastAsia" w:ascii="仿宋_GB2312" w:hAnsi="宋体" w:eastAsia="仿宋_GB2312"/>
          <w:color w:val="auto"/>
          <w:sz w:val="28"/>
          <w:szCs w:val="28"/>
          <w:highlight w:val="none"/>
        </w:rPr>
        <w:t>自委托人发出书面通知进场始，至</w:t>
      </w:r>
      <w:r>
        <w:rPr>
          <w:rFonts w:hint="eastAsia" w:ascii="仿宋_GB2312" w:eastAsia="仿宋_GB2312"/>
          <w:color w:val="auto"/>
          <w:sz w:val="28"/>
          <w:szCs w:val="28"/>
          <w:highlight w:val="none"/>
          <w:u w:val="single"/>
        </w:rPr>
        <w:t>工程缺陷责任期结束</w:t>
      </w:r>
      <w:r>
        <w:rPr>
          <w:rFonts w:hint="eastAsia" w:ascii="仿宋_GB2312" w:hAnsi="宋体" w:eastAsia="仿宋_GB2312"/>
          <w:color w:val="auto"/>
          <w:sz w:val="28"/>
          <w:szCs w:val="28"/>
          <w:highlight w:val="none"/>
        </w:rPr>
        <w:t>。</w:t>
      </w:r>
    </w:p>
    <w:p w14:paraId="5C13E205">
      <w:pPr>
        <w:spacing w:line="480" w:lineRule="exact"/>
        <w:ind w:firstLine="557" w:firstLineChars="198"/>
        <w:outlineLvl w:val="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七、</w:t>
      </w:r>
      <w:r>
        <w:rPr>
          <w:rFonts w:hint="eastAsia" w:ascii="仿宋_GB2312" w:hAnsi="宋体" w:eastAsia="仿宋_GB2312" w:cs="Times New Roman"/>
          <w:b/>
          <w:color w:val="auto"/>
          <w:sz w:val="28"/>
          <w:szCs w:val="28"/>
          <w:highlight w:val="none"/>
        </w:rPr>
        <w:t>双方</w:t>
      </w:r>
      <w:r>
        <w:rPr>
          <w:rFonts w:hint="eastAsia" w:ascii="仿宋_GB2312" w:hAnsi="宋体" w:eastAsia="仿宋_GB2312"/>
          <w:b/>
          <w:color w:val="auto"/>
          <w:sz w:val="28"/>
          <w:szCs w:val="28"/>
          <w:highlight w:val="none"/>
        </w:rPr>
        <w:t>承诺</w:t>
      </w:r>
    </w:p>
    <w:p w14:paraId="41F2862A">
      <w:pPr>
        <w:spacing w:line="480" w:lineRule="exact"/>
        <w:ind w:firstLine="554" w:firstLineChars="198"/>
        <w:outlineLvl w:val="9"/>
        <w:rPr>
          <w:rFonts w:hint="eastAsia" w:ascii="仿宋_GB2312" w:hAnsi="宋体" w:eastAsia="仿宋_GB2312"/>
          <w:b/>
          <w:color w:val="auto"/>
          <w:sz w:val="28"/>
          <w:szCs w:val="28"/>
          <w:highlight w:val="none"/>
        </w:rPr>
      </w:pPr>
      <w:r>
        <w:rPr>
          <w:rFonts w:hint="eastAsia" w:ascii="仿宋_GB2312" w:eastAsia="仿宋_GB2312"/>
          <w:color w:val="auto"/>
          <w:sz w:val="28"/>
          <w:szCs w:val="28"/>
          <w:highlight w:val="none"/>
        </w:rPr>
        <w:t xml:space="preserve">1. </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人向委托人承诺，按照本合同约定</w:t>
      </w:r>
      <w:r>
        <w:rPr>
          <w:rFonts w:hint="eastAsia" w:ascii="仿宋_GB2312" w:hAnsi="宋体" w:eastAsia="仿宋_GB2312"/>
          <w:color w:val="auto"/>
          <w:kern w:val="0"/>
          <w:sz w:val="28"/>
          <w:szCs w:val="28"/>
          <w:highlight w:val="none"/>
        </w:rPr>
        <w:t>提供</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w:t>
      </w:r>
    </w:p>
    <w:p w14:paraId="38BAF860">
      <w:pPr>
        <w:spacing w:line="480" w:lineRule="exact"/>
        <w:ind w:firstLine="554" w:firstLineChars="198"/>
        <w:outlineLvl w:val="9"/>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2. </w:t>
      </w:r>
      <w:r>
        <w:rPr>
          <w:rFonts w:hint="eastAsia" w:ascii="仿宋_GB2312" w:hAnsi="宋体" w:eastAsia="仿宋_GB2312"/>
          <w:color w:val="auto"/>
          <w:sz w:val="28"/>
          <w:szCs w:val="28"/>
          <w:highlight w:val="none"/>
        </w:rPr>
        <w:t>委托人向</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人承诺，按照本合同约定派遣相应的人员，提供</w:t>
      </w:r>
      <w:r>
        <w:rPr>
          <w:rFonts w:hint="eastAsia" w:ascii="仿宋_GB2312" w:hAnsi="宋体" w:eastAsia="仿宋_GB2312"/>
          <w:bCs/>
          <w:color w:val="auto"/>
          <w:sz w:val="28"/>
          <w:szCs w:val="28"/>
          <w:highlight w:val="none"/>
        </w:rPr>
        <w:t>房屋、资料</w:t>
      </w:r>
      <w:r>
        <w:rPr>
          <w:rFonts w:hint="eastAsia" w:ascii="仿宋_GB2312" w:hAnsi="宋体" w:eastAsia="仿宋_GB2312"/>
          <w:color w:val="auto"/>
          <w:sz w:val="28"/>
          <w:szCs w:val="28"/>
          <w:highlight w:val="none"/>
        </w:rPr>
        <w:t>、设备，并按本合同约定支付酬金。</w:t>
      </w:r>
    </w:p>
    <w:p w14:paraId="2ACE9CF3">
      <w:pPr>
        <w:spacing w:line="480" w:lineRule="exact"/>
        <w:ind w:firstLine="557" w:firstLineChars="198"/>
        <w:outlineLvl w:val="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八、</w:t>
      </w:r>
      <w:r>
        <w:rPr>
          <w:rFonts w:hint="eastAsia" w:ascii="仿宋_GB2312" w:hAnsi="宋体" w:eastAsia="仿宋_GB2312" w:cs="Times New Roman"/>
          <w:b/>
          <w:color w:val="auto"/>
          <w:sz w:val="28"/>
          <w:szCs w:val="28"/>
          <w:highlight w:val="none"/>
        </w:rPr>
        <w:t>合同</w:t>
      </w:r>
      <w:r>
        <w:rPr>
          <w:rFonts w:hint="eastAsia" w:ascii="仿宋_GB2312" w:hAnsi="宋体" w:eastAsia="仿宋_GB2312"/>
          <w:b/>
          <w:color w:val="auto"/>
          <w:sz w:val="28"/>
          <w:szCs w:val="28"/>
          <w:highlight w:val="none"/>
        </w:rPr>
        <w:t>订立</w:t>
      </w:r>
    </w:p>
    <w:p w14:paraId="198E524F">
      <w:pPr>
        <w:adjustRightInd w:val="0"/>
        <w:snapToGrid w:val="0"/>
        <w:spacing w:line="480" w:lineRule="exact"/>
        <w:ind w:firstLine="554" w:firstLineChars="198"/>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1. </w:t>
      </w:r>
      <w:r>
        <w:rPr>
          <w:rFonts w:hint="eastAsia" w:ascii="仿宋_GB2312" w:hAnsi="宋体" w:eastAsia="仿宋_GB2312"/>
          <w:color w:val="auto"/>
          <w:sz w:val="28"/>
          <w:szCs w:val="28"/>
          <w:highlight w:val="none"/>
        </w:rPr>
        <w:t>订立时间：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hAnsi="宋体"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14:paraId="4B44D2BD">
      <w:pPr>
        <w:adjustRightInd w:val="0"/>
        <w:snapToGrid w:val="0"/>
        <w:spacing w:line="480" w:lineRule="exact"/>
        <w:ind w:firstLine="554" w:firstLineChars="198"/>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 </w:t>
      </w:r>
      <w:r>
        <w:rPr>
          <w:rFonts w:hint="eastAsia" w:ascii="仿宋_GB2312" w:hAnsi="宋体" w:eastAsia="仿宋_GB2312"/>
          <w:color w:val="auto"/>
          <w:sz w:val="28"/>
          <w:szCs w:val="28"/>
          <w:highlight w:val="none"/>
        </w:rPr>
        <w:t>订立地点：</w:t>
      </w:r>
      <w:r>
        <w:rPr>
          <w:rFonts w:hint="eastAsia" w:ascii="仿宋_GB2312"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rPr>
        <w:t>。</w:t>
      </w:r>
    </w:p>
    <w:p w14:paraId="75739D0A">
      <w:pPr>
        <w:adjustRightInd w:val="0"/>
        <w:snapToGrid w:val="0"/>
        <w:spacing w:line="480" w:lineRule="exact"/>
        <w:ind w:left="632" w:leftChars="301"/>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3. </w:t>
      </w:r>
      <w:r>
        <w:rPr>
          <w:rFonts w:hint="eastAsia" w:ascii="仿宋_GB2312" w:hAnsi="宋体" w:eastAsia="仿宋_GB2312"/>
          <w:color w:val="auto"/>
          <w:sz w:val="28"/>
          <w:szCs w:val="28"/>
          <w:highlight w:val="none"/>
        </w:rPr>
        <w:t>本合同一式</w:t>
      </w:r>
      <w:r>
        <w:rPr>
          <w:rFonts w:hint="eastAsia" w:ascii="仿宋_GB2312" w:hAnsi="宋体" w:eastAsia="仿宋_GB2312"/>
          <w:color w:val="auto"/>
          <w:sz w:val="28"/>
          <w:szCs w:val="28"/>
          <w:highlight w:val="none"/>
          <w:u w:val="single"/>
          <w:lang w:val="en-US" w:eastAsia="zh-CN"/>
        </w:rPr>
        <w:t xml:space="preserve">  捌</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份，具有同等法律效力，委托人</w:t>
      </w:r>
      <w:r>
        <w:rPr>
          <w:rFonts w:hint="eastAsia" w:ascii="仿宋_GB2312" w:hAnsi="宋体" w:eastAsia="仿宋_GB2312"/>
          <w:color w:val="auto"/>
          <w:sz w:val="28"/>
          <w:szCs w:val="28"/>
          <w:highlight w:val="none"/>
          <w:u w:val="single"/>
          <w:lang w:val="en-US" w:eastAsia="zh-CN"/>
        </w:rPr>
        <w:t xml:space="preserve"> 肆 </w:t>
      </w:r>
      <w:r>
        <w:rPr>
          <w:rFonts w:hint="eastAsia" w:ascii="仿宋_GB2312" w:hAnsi="宋体" w:eastAsia="仿宋_GB2312"/>
          <w:color w:val="auto"/>
          <w:sz w:val="28"/>
          <w:szCs w:val="28"/>
          <w:highlight w:val="none"/>
        </w:rPr>
        <w:t>份，</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w:t>
      </w:r>
      <w:r>
        <w:rPr>
          <w:rFonts w:hint="eastAsia" w:ascii="仿宋_GB2312" w:hAnsi="宋体" w:eastAsia="仿宋_GB2312"/>
          <w:color w:val="auto"/>
          <w:sz w:val="28"/>
          <w:szCs w:val="28"/>
          <w:highlight w:val="none"/>
          <w:u w:val="single"/>
          <w:lang w:val="en-US" w:eastAsia="zh-CN"/>
        </w:rPr>
        <w:t xml:space="preserve"> 肆 </w:t>
      </w:r>
      <w:r>
        <w:rPr>
          <w:rFonts w:hint="eastAsia" w:ascii="仿宋_GB2312" w:hAnsi="宋体" w:eastAsia="仿宋_GB2312"/>
          <w:color w:val="auto"/>
          <w:sz w:val="28"/>
          <w:szCs w:val="28"/>
          <w:highlight w:val="none"/>
        </w:rPr>
        <w:t>份。</w:t>
      </w:r>
    </w:p>
    <w:p w14:paraId="4844477B">
      <w:pPr>
        <w:adjustRightInd w:val="0"/>
        <w:snapToGrid w:val="0"/>
        <w:spacing w:line="480" w:lineRule="exact"/>
        <w:ind w:left="632" w:leftChars="301"/>
        <w:rPr>
          <w:rFonts w:hint="eastAsia" w:ascii="仿宋_GB2312" w:hAnsi="宋体" w:eastAsia="仿宋_GB2312"/>
          <w:color w:val="auto"/>
          <w:sz w:val="28"/>
          <w:szCs w:val="28"/>
          <w:highlight w:val="none"/>
        </w:rPr>
      </w:pPr>
    </w:p>
    <w:p w14:paraId="6D1B7463">
      <w:pPr>
        <w:adjustRightInd w:val="0"/>
        <w:snapToGrid w:val="0"/>
        <w:spacing w:line="480" w:lineRule="exact"/>
        <w:ind w:left="632" w:leftChars="301"/>
        <w:rPr>
          <w:rFonts w:hint="eastAsia" w:ascii="仿宋_GB2312" w:hAnsi="宋体" w:eastAsia="仿宋_GB2312"/>
          <w:color w:val="auto"/>
          <w:sz w:val="28"/>
          <w:szCs w:val="28"/>
          <w:highlight w:val="none"/>
        </w:rPr>
      </w:pPr>
    </w:p>
    <w:p w14:paraId="29AD3BB6">
      <w:pPr>
        <w:adjustRightInd w:val="0"/>
        <w:snapToGrid w:val="0"/>
        <w:spacing w:line="480" w:lineRule="exact"/>
        <w:ind w:left="632" w:leftChars="301"/>
        <w:rPr>
          <w:rFonts w:hint="eastAsia" w:ascii="仿宋_GB2312" w:hAnsi="宋体" w:eastAsia="仿宋_GB2312"/>
          <w:color w:val="auto"/>
          <w:sz w:val="28"/>
          <w:szCs w:val="28"/>
          <w:highlight w:val="none"/>
        </w:rPr>
      </w:pPr>
    </w:p>
    <w:p w14:paraId="790D45FB">
      <w:pPr>
        <w:adjustRightInd w:val="0"/>
        <w:snapToGrid w:val="0"/>
        <w:spacing w:line="480" w:lineRule="exact"/>
        <w:ind w:left="5319" w:leftChars="266" w:hanging="4760" w:hangingChars="1700"/>
        <w:rPr>
          <w:rFonts w:hint="default" w:ascii="仿宋_GB2312" w:hAnsi="宋体" w:eastAsia="仿宋_GB2312"/>
          <w:color w:val="auto"/>
          <w:sz w:val="28"/>
          <w:szCs w:val="28"/>
          <w:highlight w:val="none"/>
          <w:u w:val="single"/>
          <w:lang w:val="en-US" w:eastAsia="zh-CN"/>
        </w:rPr>
      </w:pPr>
      <w:r>
        <w:rPr>
          <w:rFonts w:hint="eastAsia" w:ascii="仿宋_GB2312" w:hAnsi="宋体" w:eastAsia="仿宋_GB2312"/>
          <w:color w:val="auto"/>
          <w:sz w:val="28"/>
          <w:szCs w:val="28"/>
          <w:highlight w:val="none"/>
        </w:rPr>
        <w:t>委托人：</w:t>
      </w:r>
      <w:r>
        <w:rPr>
          <w:rFonts w:hint="eastAsia" w:ascii="仿宋_GB2312" w:hAnsi="宋体" w:eastAsia="仿宋_GB2312"/>
          <w:color w:val="auto"/>
          <w:sz w:val="28"/>
          <w:szCs w:val="28"/>
          <w:highlight w:val="none"/>
          <w:u w:val="single"/>
        </w:rPr>
        <w:t xml:space="preserve">   （盖章）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（盖章）</w:t>
      </w:r>
      <w:r>
        <w:rPr>
          <w:rFonts w:hint="eastAsia" w:ascii="仿宋_GB2312" w:hAnsi="宋体" w:eastAsia="仿宋_GB2312"/>
          <w:color w:val="auto"/>
          <w:sz w:val="28"/>
          <w:szCs w:val="28"/>
          <w:highlight w:val="none"/>
          <w:u w:val="single"/>
          <w:lang w:val="en-US" w:eastAsia="zh-CN"/>
        </w:rPr>
        <w:t xml:space="preserve">        </w:t>
      </w:r>
    </w:p>
    <w:p w14:paraId="3FF024F3">
      <w:pPr>
        <w:pStyle w:val="334"/>
        <w:rPr>
          <w:rFonts w:hint="eastAsia"/>
          <w:color w:val="auto"/>
          <w:highlight w:val="none"/>
        </w:rPr>
      </w:pPr>
    </w:p>
    <w:p w14:paraId="426460C5">
      <w:pPr>
        <w:adjustRightInd w:val="0"/>
        <w:snapToGrid w:val="0"/>
        <w:spacing w:line="480" w:lineRule="exact"/>
        <w:ind w:left="5599" w:leftChars="266" w:hanging="5040" w:hangingChars="18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住所：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none"/>
        </w:rPr>
        <w:t xml:space="preserve">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 xml:space="preserve">住所：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p w14:paraId="04070FC6">
      <w:pPr>
        <w:adjustRightInd w:val="0"/>
        <w:snapToGrid w:val="0"/>
        <w:spacing w:line="48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邮政编码：</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邮政编码：</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p w14:paraId="4C3E7ADB">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法定代表人或其授权            法定代表人或其授权</w:t>
      </w:r>
    </w:p>
    <w:p w14:paraId="7896D9D2">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的代理人：</w:t>
      </w:r>
      <w:r>
        <w:rPr>
          <w:rFonts w:hint="eastAsia" w:ascii="仿宋_GB2312" w:hAnsi="宋体" w:eastAsia="仿宋_GB2312"/>
          <w:color w:val="auto"/>
          <w:sz w:val="28"/>
          <w:szCs w:val="28"/>
          <w:highlight w:val="none"/>
          <w:u w:val="single"/>
        </w:rPr>
        <w:t xml:space="preserve">（签字）      </w:t>
      </w:r>
      <w:r>
        <w:rPr>
          <w:rFonts w:hint="eastAsia" w:ascii="仿宋_GB2312" w:hAnsi="宋体" w:eastAsia="仿宋_GB2312"/>
          <w:color w:val="auto"/>
          <w:sz w:val="28"/>
          <w:szCs w:val="28"/>
          <w:highlight w:val="none"/>
        </w:rPr>
        <w:t xml:space="preserve">      的代理人：</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（签字）           </w:t>
      </w:r>
    </w:p>
    <w:p w14:paraId="0DB400E6">
      <w:pPr>
        <w:adjustRightInd w:val="0"/>
        <w:snapToGrid w:val="0"/>
        <w:spacing w:line="480" w:lineRule="exact"/>
        <w:ind w:firstLine="554" w:firstLineChars="198"/>
        <w:rPr>
          <w:rFonts w:hint="eastAsia" w:ascii="仿宋_GB2312" w:hAnsi="宋体" w:eastAsia="仿宋_GB2312"/>
          <w:color w:val="auto"/>
          <w:sz w:val="28"/>
          <w:szCs w:val="28"/>
          <w:highlight w:val="none"/>
        </w:rPr>
      </w:pPr>
    </w:p>
    <w:p w14:paraId="1B74369B">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经办人：</w:t>
      </w:r>
    </w:p>
    <w:p w14:paraId="10408051">
      <w:pPr>
        <w:adjustRightInd w:val="0"/>
        <w:snapToGrid w:val="0"/>
        <w:spacing w:line="480" w:lineRule="exact"/>
        <w:ind w:firstLine="554" w:firstLineChars="198"/>
        <w:rPr>
          <w:rFonts w:hint="default" w:ascii="仿宋_GB2312" w:hAnsi="宋体" w:eastAsia="仿宋_GB2312" w:cs="Times New Roman"/>
          <w:color w:val="auto"/>
          <w:sz w:val="28"/>
          <w:szCs w:val="28"/>
          <w:highlight w:val="none"/>
          <w:u w:val="single"/>
          <w:lang w:val="en-US" w:eastAsia="zh-CN"/>
        </w:rPr>
      </w:pPr>
      <w:r>
        <w:rPr>
          <w:rFonts w:hint="eastAsia" w:ascii="仿宋_GB2312" w:hAnsi="宋体" w:eastAsia="仿宋_GB2312" w:cs="Times New Roman"/>
          <w:color w:val="auto"/>
          <w:sz w:val="28"/>
          <w:szCs w:val="28"/>
          <w:highlight w:val="none"/>
        </w:rPr>
        <w:t>开户银行：</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rPr>
        <w:t xml:space="preserve">       开户银行：</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u w:val="single"/>
          <w:lang w:val="en-US" w:eastAsia="zh-CN"/>
        </w:rPr>
        <w:t xml:space="preserve">                   </w:t>
      </w:r>
    </w:p>
    <w:p w14:paraId="4C377290">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账号：</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账号：</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4"/>
          <w:highlight w:val="none"/>
          <w:u w:val="single"/>
        </w:rPr>
        <w:t xml:space="preserve">  </w:t>
      </w:r>
    </w:p>
    <w:p w14:paraId="00CE6ABF">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电话：</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p w14:paraId="1B289973">
      <w:pPr>
        <w:adjustRightInd w:val="0"/>
        <w:snapToGrid w:val="0"/>
        <w:spacing w:line="480" w:lineRule="exact"/>
        <w:ind w:firstLine="554" w:firstLineChars="198"/>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 xml:space="preserve"> 传真：</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8"/>
          <w:szCs w:val="28"/>
          <w:highlight w:val="none"/>
          <w:u w:val="single"/>
        </w:rPr>
        <w:t xml:space="preserve">                 </w:t>
      </w:r>
    </w:p>
    <w:p w14:paraId="6E4883FF">
      <w:pPr>
        <w:adjustRightInd w:val="0"/>
        <w:snapToGrid w:val="0"/>
        <w:spacing w:line="480" w:lineRule="exact"/>
        <w:ind w:firstLine="554" w:firstLineChars="198"/>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电子邮箱：</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 xml:space="preserve"> 电子邮箱：</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p w14:paraId="037DD24E">
      <w:pPr>
        <w:tabs>
          <w:tab w:val="left" w:pos="3120"/>
        </w:tabs>
        <w:spacing w:line="420" w:lineRule="exact"/>
        <w:ind w:firstLine="2643" w:firstLineChars="600"/>
        <w:rPr>
          <w:rFonts w:hint="eastAsia" w:ascii="华文中宋" w:hAnsi="华文中宋" w:eastAsia="华文中宋"/>
          <w:b/>
          <w:bCs/>
          <w:color w:val="auto"/>
          <w:sz w:val="44"/>
          <w:szCs w:val="44"/>
          <w:highlight w:val="none"/>
        </w:rPr>
      </w:pPr>
    </w:p>
    <w:p w14:paraId="1CECDF29">
      <w:pPr>
        <w:tabs>
          <w:tab w:val="left" w:pos="3120"/>
        </w:tabs>
        <w:spacing w:line="420" w:lineRule="exact"/>
        <w:ind w:firstLine="2643" w:firstLineChars="600"/>
        <w:rPr>
          <w:rFonts w:hint="eastAsia" w:ascii="华文中宋" w:hAnsi="华文中宋" w:eastAsia="华文中宋"/>
          <w:b/>
          <w:bCs/>
          <w:color w:val="auto"/>
          <w:sz w:val="44"/>
          <w:szCs w:val="44"/>
          <w:highlight w:val="none"/>
        </w:rPr>
      </w:pPr>
    </w:p>
    <w:p w14:paraId="25F46B22">
      <w:pPr>
        <w:tabs>
          <w:tab w:val="left" w:pos="3120"/>
        </w:tabs>
        <w:spacing w:line="420" w:lineRule="exact"/>
        <w:ind w:firstLine="2643" w:firstLineChars="600"/>
        <w:rPr>
          <w:rFonts w:hint="eastAsia" w:ascii="华文中宋" w:hAnsi="华文中宋" w:eastAsia="华文中宋"/>
          <w:b/>
          <w:bCs/>
          <w:color w:val="auto"/>
          <w:sz w:val="44"/>
          <w:szCs w:val="44"/>
          <w:highlight w:val="none"/>
        </w:rPr>
      </w:pPr>
    </w:p>
    <w:p w14:paraId="319465C9">
      <w:pPr>
        <w:tabs>
          <w:tab w:val="left" w:pos="3120"/>
        </w:tabs>
        <w:spacing w:line="420" w:lineRule="exact"/>
        <w:ind w:firstLine="2643" w:firstLineChars="600"/>
        <w:rPr>
          <w:rFonts w:hint="eastAsia" w:ascii="华文中宋" w:hAnsi="华文中宋" w:eastAsia="华文中宋"/>
          <w:b/>
          <w:bCs/>
          <w:color w:val="auto"/>
          <w:sz w:val="44"/>
          <w:szCs w:val="44"/>
          <w:highlight w:val="none"/>
        </w:rPr>
      </w:pPr>
    </w:p>
    <w:p w14:paraId="6BE5508E">
      <w:pPr>
        <w:tabs>
          <w:tab w:val="left" w:pos="3120"/>
        </w:tabs>
        <w:spacing w:line="420" w:lineRule="exact"/>
        <w:ind w:firstLine="2643" w:firstLineChars="600"/>
        <w:rPr>
          <w:rFonts w:hint="eastAsia" w:ascii="华文中宋" w:hAnsi="华文中宋" w:eastAsia="华文中宋"/>
          <w:b/>
          <w:bCs/>
          <w:color w:val="auto"/>
          <w:sz w:val="44"/>
          <w:szCs w:val="44"/>
          <w:highlight w:val="none"/>
        </w:rPr>
      </w:pPr>
    </w:p>
    <w:p w14:paraId="2E72BCAA">
      <w:pPr>
        <w:tabs>
          <w:tab w:val="left" w:pos="3120"/>
        </w:tabs>
        <w:spacing w:line="420" w:lineRule="exact"/>
        <w:ind w:firstLine="2643" w:firstLineChars="600"/>
        <w:rPr>
          <w:rFonts w:hint="eastAsia" w:ascii="华文中宋" w:hAnsi="华文中宋" w:eastAsia="华文中宋"/>
          <w:b/>
          <w:bCs/>
          <w:color w:val="auto"/>
          <w:sz w:val="44"/>
          <w:szCs w:val="44"/>
          <w:highlight w:val="none"/>
        </w:rPr>
      </w:pPr>
    </w:p>
    <w:p w14:paraId="25E18258">
      <w:pPr>
        <w:tabs>
          <w:tab w:val="left" w:pos="3120"/>
        </w:tabs>
        <w:spacing w:line="420" w:lineRule="exact"/>
        <w:ind w:firstLine="2643" w:firstLineChars="600"/>
        <w:rPr>
          <w:rFonts w:hint="eastAsia" w:ascii="华文中宋" w:hAnsi="华文中宋" w:eastAsia="华文中宋"/>
          <w:b/>
          <w:bCs/>
          <w:color w:val="auto"/>
          <w:sz w:val="44"/>
          <w:szCs w:val="44"/>
          <w:highlight w:val="none"/>
        </w:rPr>
      </w:pPr>
    </w:p>
    <w:p w14:paraId="5EB0AEB8">
      <w:pPr>
        <w:tabs>
          <w:tab w:val="left" w:pos="3120"/>
        </w:tabs>
        <w:spacing w:line="420" w:lineRule="exact"/>
        <w:ind w:firstLine="2643" w:firstLineChars="600"/>
        <w:rPr>
          <w:rFonts w:hint="eastAsia" w:ascii="华文中宋" w:hAnsi="华文中宋" w:eastAsia="华文中宋"/>
          <w:b/>
          <w:bCs/>
          <w:color w:val="auto"/>
          <w:sz w:val="44"/>
          <w:szCs w:val="44"/>
          <w:highlight w:val="none"/>
        </w:rPr>
      </w:pPr>
    </w:p>
    <w:p w14:paraId="13B65429">
      <w:pPr>
        <w:tabs>
          <w:tab w:val="left" w:pos="3120"/>
        </w:tabs>
        <w:spacing w:line="420" w:lineRule="exact"/>
        <w:ind w:firstLine="2643" w:firstLineChars="600"/>
        <w:rPr>
          <w:rFonts w:hint="eastAsia" w:ascii="华文中宋" w:hAnsi="华文中宋" w:eastAsia="华文中宋"/>
          <w:b/>
          <w:bCs/>
          <w:color w:val="auto"/>
          <w:sz w:val="44"/>
          <w:szCs w:val="44"/>
          <w:highlight w:val="none"/>
        </w:rPr>
      </w:pPr>
    </w:p>
    <w:p w14:paraId="0D716CAA">
      <w:pPr>
        <w:tabs>
          <w:tab w:val="left" w:pos="3120"/>
        </w:tabs>
        <w:spacing w:line="420" w:lineRule="exact"/>
        <w:ind w:firstLine="2643" w:firstLineChars="600"/>
        <w:rPr>
          <w:rFonts w:hint="eastAsia" w:ascii="华文中宋" w:hAnsi="华文中宋" w:eastAsia="华文中宋"/>
          <w:b/>
          <w:bCs/>
          <w:color w:val="auto"/>
          <w:sz w:val="44"/>
          <w:szCs w:val="44"/>
          <w:highlight w:val="none"/>
        </w:rPr>
      </w:pPr>
    </w:p>
    <w:p w14:paraId="02D00A46">
      <w:pPr>
        <w:pStyle w:val="334"/>
        <w:rPr>
          <w:rFonts w:hint="eastAsia"/>
          <w:color w:val="auto"/>
          <w:highlight w:val="none"/>
        </w:rPr>
      </w:pPr>
    </w:p>
    <w:p w14:paraId="6422C324">
      <w:pPr>
        <w:rPr>
          <w:rFonts w:hint="eastAsia"/>
          <w:color w:val="auto"/>
          <w:highlight w:val="none"/>
        </w:rPr>
      </w:pPr>
    </w:p>
    <w:p w14:paraId="136DD72F">
      <w:pPr>
        <w:pStyle w:val="334"/>
        <w:rPr>
          <w:rFonts w:hint="eastAsia"/>
          <w:color w:val="auto"/>
          <w:highlight w:val="none"/>
        </w:rPr>
      </w:pPr>
    </w:p>
    <w:p w14:paraId="30CA5AF0">
      <w:pPr>
        <w:rPr>
          <w:rFonts w:hint="eastAsia"/>
          <w:color w:val="auto"/>
          <w:highlight w:val="none"/>
        </w:rPr>
      </w:pPr>
    </w:p>
    <w:p w14:paraId="79855AC3">
      <w:pPr>
        <w:pStyle w:val="334"/>
        <w:rPr>
          <w:rFonts w:hint="eastAsia"/>
          <w:color w:val="auto"/>
          <w:highlight w:val="none"/>
        </w:rPr>
      </w:pPr>
    </w:p>
    <w:p w14:paraId="157D9E95">
      <w:pPr>
        <w:rPr>
          <w:rFonts w:hint="eastAsia"/>
          <w:color w:val="auto"/>
          <w:highlight w:val="none"/>
        </w:rPr>
      </w:pPr>
    </w:p>
    <w:p w14:paraId="1C219D36">
      <w:pPr>
        <w:rPr>
          <w:rFonts w:hint="eastAsia"/>
          <w:color w:val="auto"/>
          <w:highlight w:val="none"/>
        </w:rPr>
      </w:pPr>
    </w:p>
    <w:p w14:paraId="6AFCE3B2">
      <w:pPr>
        <w:rPr>
          <w:rFonts w:hint="eastAsia"/>
          <w:color w:val="auto"/>
          <w:highlight w:val="none"/>
        </w:rPr>
      </w:pPr>
    </w:p>
    <w:p w14:paraId="371012B0">
      <w:pPr>
        <w:rPr>
          <w:rFonts w:hint="eastAsia"/>
          <w:color w:val="auto"/>
          <w:highlight w:val="none"/>
        </w:rPr>
      </w:pPr>
    </w:p>
    <w:p w14:paraId="0EF521F1">
      <w:pPr>
        <w:rPr>
          <w:rFonts w:hint="eastAsia"/>
          <w:color w:val="auto"/>
          <w:highlight w:val="none"/>
        </w:rPr>
      </w:pPr>
    </w:p>
    <w:p w14:paraId="0EDFC3AB">
      <w:pPr>
        <w:rPr>
          <w:rFonts w:hint="eastAsia"/>
          <w:color w:val="auto"/>
          <w:highlight w:val="none"/>
        </w:rPr>
      </w:pPr>
    </w:p>
    <w:p w14:paraId="5943A28B">
      <w:pPr>
        <w:rPr>
          <w:rFonts w:hint="eastAsia"/>
          <w:color w:val="auto"/>
          <w:highlight w:val="none"/>
        </w:rPr>
      </w:pPr>
    </w:p>
    <w:p w14:paraId="45919B44">
      <w:pPr>
        <w:rPr>
          <w:rFonts w:hint="eastAsia"/>
          <w:color w:val="auto"/>
          <w:highlight w:val="none"/>
        </w:rPr>
      </w:pPr>
    </w:p>
    <w:p w14:paraId="15EE0F30">
      <w:pPr>
        <w:rPr>
          <w:rFonts w:hint="eastAsia"/>
          <w:color w:val="auto"/>
          <w:highlight w:val="none"/>
        </w:rPr>
      </w:pPr>
    </w:p>
    <w:p w14:paraId="4D9018F1">
      <w:pPr>
        <w:rPr>
          <w:rFonts w:hint="eastAsia"/>
          <w:color w:val="auto"/>
          <w:highlight w:val="none"/>
        </w:rPr>
      </w:pPr>
    </w:p>
    <w:p w14:paraId="4486C907">
      <w:pPr>
        <w:rPr>
          <w:rFonts w:hint="eastAsia"/>
          <w:color w:val="auto"/>
          <w:highlight w:val="none"/>
        </w:rPr>
      </w:pPr>
    </w:p>
    <w:p w14:paraId="00FD0A17">
      <w:pPr>
        <w:rPr>
          <w:rFonts w:hint="eastAsia"/>
          <w:color w:val="auto"/>
          <w:highlight w:val="none"/>
        </w:rPr>
      </w:pPr>
    </w:p>
    <w:p w14:paraId="723BF4D9">
      <w:pPr>
        <w:rPr>
          <w:rFonts w:hint="eastAsia"/>
          <w:color w:val="auto"/>
          <w:highlight w:val="none"/>
        </w:rPr>
      </w:pPr>
    </w:p>
    <w:p w14:paraId="305198A0">
      <w:pPr>
        <w:rPr>
          <w:rFonts w:hint="eastAsia"/>
          <w:color w:val="auto"/>
          <w:highlight w:val="none"/>
        </w:rPr>
      </w:pPr>
    </w:p>
    <w:p w14:paraId="4BECDB51">
      <w:pPr>
        <w:rPr>
          <w:rFonts w:hint="eastAsia"/>
          <w:color w:val="auto"/>
          <w:highlight w:val="none"/>
        </w:rPr>
      </w:pPr>
    </w:p>
    <w:p w14:paraId="094E7FC4">
      <w:pPr>
        <w:rPr>
          <w:rFonts w:hint="eastAsia"/>
          <w:color w:val="auto"/>
          <w:highlight w:val="none"/>
        </w:rPr>
      </w:pPr>
    </w:p>
    <w:p w14:paraId="2A8DAA0C">
      <w:pPr>
        <w:rPr>
          <w:rFonts w:hint="eastAsia"/>
          <w:color w:val="auto"/>
          <w:highlight w:val="none"/>
        </w:rPr>
      </w:pPr>
    </w:p>
    <w:p w14:paraId="0E60B5C4">
      <w:pPr>
        <w:rPr>
          <w:rFonts w:hint="eastAsia"/>
          <w:color w:val="auto"/>
          <w:highlight w:val="none"/>
        </w:rPr>
      </w:pPr>
    </w:p>
    <w:p w14:paraId="2816D643">
      <w:pPr>
        <w:rPr>
          <w:rFonts w:hint="eastAsia"/>
          <w:color w:val="auto"/>
          <w:highlight w:val="none"/>
        </w:rPr>
      </w:pPr>
    </w:p>
    <w:p w14:paraId="76E72E07">
      <w:pPr>
        <w:tabs>
          <w:tab w:val="left" w:pos="3120"/>
        </w:tabs>
        <w:spacing w:line="420" w:lineRule="exact"/>
        <w:rPr>
          <w:rFonts w:hint="eastAsia" w:ascii="华文中宋" w:hAnsi="华文中宋" w:eastAsia="华文中宋"/>
          <w:b/>
          <w:bCs/>
          <w:color w:val="auto"/>
          <w:sz w:val="44"/>
          <w:szCs w:val="44"/>
          <w:highlight w:val="none"/>
        </w:rPr>
      </w:pPr>
    </w:p>
    <w:p w14:paraId="1398021E">
      <w:pPr>
        <w:tabs>
          <w:tab w:val="left" w:pos="3120"/>
        </w:tabs>
        <w:spacing w:line="420" w:lineRule="exact"/>
        <w:ind w:firstLine="2643" w:firstLineChars="600"/>
        <w:rPr>
          <w:rFonts w:hint="eastAsia" w:ascii="华文中宋" w:hAnsi="华文中宋" w:eastAsia="华文中宋"/>
          <w:b/>
          <w:bCs/>
          <w:color w:val="auto"/>
          <w:sz w:val="44"/>
          <w:szCs w:val="44"/>
          <w:highlight w:val="none"/>
        </w:rPr>
      </w:pPr>
      <w:r>
        <w:rPr>
          <w:rFonts w:hint="eastAsia" w:ascii="华文中宋" w:hAnsi="华文中宋" w:eastAsia="华文中宋"/>
          <w:b/>
          <w:bCs/>
          <w:color w:val="auto"/>
          <w:sz w:val="44"/>
          <w:szCs w:val="44"/>
          <w:highlight w:val="none"/>
        </w:rPr>
        <w:t>第二部分  通用条件</w:t>
      </w:r>
    </w:p>
    <w:p w14:paraId="716A6461">
      <w:pPr>
        <w:spacing w:line="420" w:lineRule="exact"/>
        <w:jc w:val="center"/>
        <w:rPr>
          <w:rFonts w:hint="eastAsia" w:ascii="仿宋_GB2312" w:hAnsi="宋体" w:eastAsia="仿宋_GB2312"/>
          <w:b/>
          <w:color w:val="auto"/>
          <w:sz w:val="28"/>
          <w:szCs w:val="28"/>
          <w:highlight w:val="none"/>
        </w:rPr>
      </w:pPr>
    </w:p>
    <w:p w14:paraId="6C007C39">
      <w:pPr>
        <w:spacing w:line="420" w:lineRule="exact"/>
        <w:rPr>
          <w:rFonts w:hint="eastAsia" w:ascii="仿宋_GB2312" w:hAnsi="黑体" w:eastAsia="仿宋_GB2312"/>
          <w:b/>
          <w:color w:val="auto"/>
          <w:sz w:val="28"/>
          <w:szCs w:val="28"/>
          <w:highlight w:val="none"/>
        </w:rPr>
      </w:pPr>
      <w:r>
        <w:rPr>
          <w:rFonts w:hint="eastAsia" w:ascii="仿宋_GB2312" w:hAnsi="黑体" w:eastAsia="仿宋_GB2312"/>
          <w:b/>
          <w:color w:val="auto"/>
          <w:sz w:val="28"/>
          <w:szCs w:val="28"/>
          <w:highlight w:val="none"/>
        </w:rPr>
        <w:t>1. 定义与解释</w:t>
      </w:r>
    </w:p>
    <w:p w14:paraId="2CF78340">
      <w:pPr>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1.1 </w:t>
      </w:r>
      <w:r>
        <w:rPr>
          <w:rFonts w:hint="eastAsia" w:ascii="仿宋_GB2312" w:hAnsi="宋体" w:eastAsia="仿宋_GB2312"/>
          <w:bCs/>
          <w:color w:val="auto"/>
          <w:sz w:val="28"/>
          <w:szCs w:val="28"/>
          <w:highlight w:val="none"/>
        </w:rPr>
        <w:t>定义</w:t>
      </w:r>
    </w:p>
    <w:p w14:paraId="1D6A7385">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除根据上下文另有其意义外</w:t>
      </w:r>
      <w:r>
        <w:rPr>
          <w:rFonts w:hint="eastAsia" w:ascii="仿宋_GB2312" w:eastAsia="仿宋_GB2312"/>
          <w:color w:val="auto"/>
          <w:sz w:val="28"/>
          <w:szCs w:val="28"/>
          <w:highlight w:val="none"/>
        </w:rPr>
        <w:t>，组成</w:t>
      </w:r>
      <w:r>
        <w:rPr>
          <w:rFonts w:hint="eastAsia" w:ascii="仿宋_GB2312" w:hAnsi="宋体" w:eastAsia="仿宋_GB2312"/>
          <w:color w:val="auto"/>
          <w:sz w:val="28"/>
          <w:szCs w:val="28"/>
          <w:highlight w:val="none"/>
        </w:rPr>
        <w:t>本合同</w:t>
      </w:r>
      <w:r>
        <w:rPr>
          <w:rFonts w:hint="eastAsia" w:ascii="仿宋_GB2312" w:eastAsia="仿宋_GB2312"/>
          <w:color w:val="auto"/>
          <w:sz w:val="28"/>
          <w:szCs w:val="28"/>
          <w:highlight w:val="none"/>
        </w:rPr>
        <w:t>的全部文件中的</w:t>
      </w:r>
      <w:r>
        <w:rPr>
          <w:rFonts w:hint="eastAsia" w:ascii="仿宋_GB2312" w:hAnsi="宋体" w:eastAsia="仿宋_GB2312"/>
          <w:color w:val="auto"/>
          <w:sz w:val="28"/>
          <w:szCs w:val="28"/>
          <w:highlight w:val="none"/>
        </w:rPr>
        <w:t>下列名词和用语应具有本款所赋予的含义</w:t>
      </w:r>
      <w:r>
        <w:rPr>
          <w:rFonts w:hint="eastAsia" w:ascii="仿宋_GB2312" w:eastAsia="仿宋_GB2312"/>
          <w:color w:val="auto"/>
          <w:sz w:val="28"/>
          <w:szCs w:val="28"/>
          <w:highlight w:val="none"/>
        </w:rPr>
        <w:t>：</w:t>
      </w:r>
    </w:p>
    <w:p w14:paraId="03DA5CF5">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1.1.1 </w:t>
      </w: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工程</w:t>
      </w: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是指按照本合同约定实施</w:t>
      </w:r>
      <w:r>
        <w:rPr>
          <w:rFonts w:hint="eastAsia" w:ascii="仿宋_GB2312" w:eastAsia="仿宋_GB2312"/>
          <w:color w:val="auto"/>
          <w:sz w:val="28"/>
          <w:szCs w:val="28"/>
          <w:highlight w:val="none"/>
          <w:lang w:eastAsia="zh-CN"/>
        </w:rPr>
        <w:t>检测</w:t>
      </w:r>
      <w:r>
        <w:rPr>
          <w:rFonts w:hint="eastAsia" w:ascii="仿宋_GB2312" w:eastAsia="仿宋_GB2312"/>
          <w:color w:val="auto"/>
          <w:sz w:val="28"/>
          <w:szCs w:val="28"/>
          <w:highlight w:val="none"/>
        </w:rPr>
        <w:t>与相关服务的建设</w:t>
      </w:r>
      <w:r>
        <w:rPr>
          <w:rFonts w:hint="eastAsia" w:ascii="仿宋_GB2312" w:hAnsi="ˎ̥" w:eastAsia="仿宋_GB2312"/>
          <w:color w:val="auto"/>
          <w:sz w:val="28"/>
          <w:szCs w:val="28"/>
          <w:highlight w:val="none"/>
        </w:rPr>
        <w:t>工程</w:t>
      </w:r>
      <w:r>
        <w:rPr>
          <w:rFonts w:hint="eastAsia" w:ascii="仿宋_GB2312" w:eastAsia="仿宋_GB2312"/>
          <w:color w:val="auto"/>
          <w:sz w:val="28"/>
          <w:szCs w:val="28"/>
          <w:highlight w:val="none"/>
        </w:rPr>
        <w:t>。</w:t>
      </w:r>
    </w:p>
    <w:p w14:paraId="394BA583">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1.1.2 “委托人”</w:t>
      </w:r>
      <w:r>
        <w:rPr>
          <w:rFonts w:hint="eastAsia" w:ascii="仿宋_GB2312" w:hAnsi="宋体" w:eastAsia="仿宋_GB2312"/>
          <w:color w:val="auto"/>
          <w:sz w:val="28"/>
          <w:szCs w:val="28"/>
          <w:highlight w:val="none"/>
        </w:rPr>
        <w:t>是指本合同中委托</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与相关服务的一方，及其合法的继承人或受让人。</w:t>
      </w:r>
    </w:p>
    <w:p w14:paraId="20A642DC">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1.1.3 </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人”是指本合同中提供</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与相关服务的一方，及其合法的继承人。</w:t>
      </w:r>
    </w:p>
    <w:p w14:paraId="4164BBC8">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1.1.4 “承包人”是指在工程范围内与委托人签订勘察、设计、施工等有关合同的当事人，及其合法的继承人。</w:t>
      </w:r>
    </w:p>
    <w:p w14:paraId="4ED66FD3">
      <w:pPr>
        <w:pStyle w:val="24"/>
        <w:spacing w:line="420" w:lineRule="exact"/>
        <w:ind w:firstLine="57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1.1.5</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”是指</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人受</w:t>
      </w:r>
      <w:r>
        <w:rPr>
          <w:rFonts w:hint="eastAsia" w:ascii="仿宋_GB2312" w:eastAsia="仿宋_GB2312"/>
          <w:color w:val="auto"/>
          <w:sz w:val="28"/>
          <w:szCs w:val="28"/>
          <w:highlight w:val="none"/>
        </w:rPr>
        <w:t xml:space="preserve">委托人的委托 </w:t>
      </w: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EB00FD8">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1.1.6</w:t>
      </w:r>
      <w:r>
        <w:rPr>
          <w:rFonts w:hint="eastAsia" w:ascii="仿宋_GB2312" w:hAnsi="宋体" w:eastAsia="仿宋_GB2312"/>
          <w:color w:val="auto"/>
          <w:sz w:val="28"/>
          <w:szCs w:val="28"/>
          <w:highlight w:val="none"/>
        </w:rPr>
        <w:t xml:space="preserve"> “相关服务”是指</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人受</w:t>
      </w:r>
      <w:r>
        <w:rPr>
          <w:rFonts w:hint="eastAsia" w:ascii="仿宋_GB2312" w:eastAsia="仿宋_GB2312"/>
          <w:color w:val="auto"/>
          <w:sz w:val="28"/>
          <w:szCs w:val="28"/>
          <w:highlight w:val="none"/>
        </w:rPr>
        <w:t xml:space="preserve">委托人的委托 </w:t>
      </w: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按照本合同约定，在勘察、设计、保修等阶段提供的服务活动</w:t>
      </w:r>
      <w:r>
        <w:rPr>
          <w:rFonts w:hint="eastAsia" w:ascii="仿宋_GB2312" w:hAnsi="宋体" w:eastAsia="仿宋_GB2312"/>
          <w:color w:val="auto"/>
          <w:sz w:val="28"/>
          <w:szCs w:val="28"/>
          <w:highlight w:val="none"/>
        </w:rPr>
        <w:t>。</w:t>
      </w:r>
    </w:p>
    <w:p w14:paraId="4DB6D70E">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1.1.7</w:t>
      </w:r>
      <w:r>
        <w:rPr>
          <w:rFonts w:hint="eastAsia" w:ascii="仿宋_GB2312" w:hAnsi="宋体" w:eastAsia="仿宋_GB2312"/>
          <w:color w:val="auto"/>
          <w:sz w:val="28"/>
          <w:szCs w:val="28"/>
          <w:highlight w:val="none"/>
        </w:rPr>
        <w:t xml:space="preserve"> “正常工作”指本合同订立时通用条件和专用条件中约定的</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人的工作。</w:t>
      </w:r>
    </w:p>
    <w:p w14:paraId="550B7C89">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1.1.8</w:t>
      </w:r>
      <w:r>
        <w:rPr>
          <w:rFonts w:hint="eastAsia" w:ascii="仿宋_GB2312" w:hAnsi="宋体" w:eastAsia="仿宋_GB2312"/>
          <w:color w:val="auto"/>
          <w:sz w:val="28"/>
          <w:szCs w:val="28"/>
          <w:highlight w:val="none"/>
        </w:rPr>
        <w:t xml:space="preserve"> “附加工作”是指本合同约定的正常工作以外</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人的工作。</w:t>
      </w:r>
    </w:p>
    <w:p w14:paraId="2A2E5E39">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1.1.9</w:t>
      </w:r>
      <w:r>
        <w:rPr>
          <w:rFonts w:hint="eastAsia" w:ascii="仿宋_GB2312" w:hAnsi="宋体" w:eastAsia="仿宋_GB2312"/>
          <w:color w:val="auto"/>
          <w:sz w:val="28"/>
          <w:szCs w:val="28"/>
          <w:highlight w:val="none"/>
        </w:rPr>
        <w:t xml:space="preserve"> “项目</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机构”是指</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人派驻工程负责履行本合同的组织机构。</w:t>
      </w:r>
    </w:p>
    <w:p w14:paraId="62E770B1">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1.1.10 </w:t>
      </w:r>
      <w:r>
        <w:rPr>
          <w:rFonts w:hint="eastAsia" w:ascii="仿宋_GB2312" w:hAnsi="宋体" w:eastAsia="仿宋_GB2312" w:cs="Times New Roman"/>
          <w:color w:val="auto"/>
          <w:sz w:val="28"/>
          <w:szCs w:val="28"/>
          <w:highlight w:val="none"/>
        </w:rPr>
        <w:t>“项目负责人、</w:t>
      </w:r>
      <w:r>
        <w:rPr>
          <w:rFonts w:hint="eastAsia" w:ascii="仿宋_GB2312" w:hAnsi="宋体" w:eastAsia="仿宋_GB2312" w:cs="Times New Roman"/>
          <w:color w:val="auto"/>
          <w:sz w:val="28"/>
          <w:szCs w:val="28"/>
          <w:highlight w:val="none"/>
          <w:lang w:eastAsia="zh-CN"/>
        </w:rPr>
        <w:t>技术负责人</w:t>
      </w:r>
      <w:r>
        <w:rPr>
          <w:rFonts w:hint="eastAsia" w:ascii="仿宋_GB2312" w:hAnsi="宋体" w:eastAsia="仿宋_GB2312" w:cs="Times New Roman"/>
          <w:color w:val="auto"/>
          <w:sz w:val="28"/>
          <w:szCs w:val="28"/>
          <w:highlight w:val="none"/>
        </w:rPr>
        <w:t>”是指由检测人的法定代表人书面授权，全面负责履行本合同、主持项目检测机构工作的注册检测工程师。</w:t>
      </w:r>
    </w:p>
    <w:p w14:paraId="5FAF8E82">
      <w:pPr>
        <w:adjustRightInd w:val="0"/>
        <w:snapToGrid w:val="0"/>
        <w:spacing w:line="420" w:lineRule="exact"/>
        <w:ind w:firstLine="554" w:firstLineChars="198"/>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1.1.11</w:t>
      </w:r>
      <w:r>
        <w:rPr>
          <w:rFonts w:hint="eastAsia" w:ascii="仿宋_GB2312" w:hAnsi="宋体" w:eastAsia="仿宋_GB2312"/>
          <w:color w:val="auto"/>
          <w:sz w:val="28"/>
          <w:szCs w:val="28"/>
          <w:highlight w:val="none"/>
        </w:rPr>
        <w:t xml:space="preserve"> “酬金”是指</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人履行本合同义务，委托人按照本合同约定给付</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人的金额。</w:t>
      </w:r>
    </w:p>
    <w:p w14:paraId="4B1E4359">
      <w:pPr>
        <w:adjustRightInd w:val="0"/>
        <w:snapToGrid w:val="0"/>
        <w:spacing w:line="420" w:lineRule="exact"/>
        <w:ind w:firstLine="554" w:firstLineChars="198"/>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1.1.12 </w:t>
      </w:r>
      <w:r>
        <w:rPr>
          <w:rFonts w:hint="eastAsia" w:ascii="仿宋_GB2312" w:hAnsi="宋体" w:eastAsia="仿宋_GB2312"/>
          <w:color w:val="auto"/>
          <w:sz w:val="28"/>
          <w:szCs w:val="28"/>
          <w:highlight w:val="none"/>
        </w:rPr>
        <w:t>“正常工作</w:t>
      </w:r>
      <w:r>
        <w:rPr>
          <w:rFonts w:hint="eastAsia" w:ascii="仿宋_GB2312" w:hAnsi="ˎ̥" w:eastAsia="仿宋_GB2312" w:cs="宋体"/>
          <w:color w:val="auto"/>
          <w:kern w:val="0"/>
          <w:sz w:val="28"/>
          <w:szCs w:val="28"/>
          <w:highlight w:val="none"/>
        </w:rPr>
        <w:t>酬金”</w:t>
      </w:r>
      <w:r>
        <w:rPr>
          <w:rFonts w:hint="eastAsia" w:ascii="仿宋_GB2312" w:hAnsi="宋体" w:eastAsia="仿宋_GB2312"/>
          <w:color w:val="auto"/>
          <w:sz w:val="28"/>
          <w:szCs w:val="28"/>
          <w:highlight w:val="none"/>
        </w:rPr>
        <w:t>是指</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人完成正常工作，委托人应给付</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人并在协议书中载明的签约</w:t>
      </w:r>
      <w:r>
        <w:rPr>
          <w:rFonts w:hint="eastAsia" w:ascii="仿宋_GB2312" w:hAnsi="ˎ̥" w:eastAsia="仿宋_GB2312" w:cs="宋体"/>
          <w:color w:val="auto"/>
          <w:kern w:val="0"/>
          <w:sz w:val="28"/>
          <w:szCs w:val="28"/>
          <w:highlight w:val="none"/>
        </w:rPr>
        <w:t>酬金额</w:t>
      </w:r>
      <w:r>
        <w:rPr>
          <w:rFonts w:hint="eastAsia" w:ascii="仿宋_GB2312" w:hAnsi="宋体" w:eastAsia="仿宋_GB2312"/>
          <w:color w:val="auto"/>
          <w:sz w:val="28"/>
          <w:szCs w:val="28"/>
          <w:highlight w:val="none"/>
        </w:rPr>
        <w:t>。</w:t>
      </w:r>
    </w:p>
    <w:p w14:paraId="2F95BADE">
      <w:pPr>
        <w:adjustRightInd w:val="0"/>
        <w:snapToGrid w:val="0"/>
        <w:spacing w:line="420" w:lineRule="exact"/>
        <w:ind w:firstLine="554" w:firstLineChars="198"/>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1.1.13 </w:t>
      </w:r>
      <w:r>
        <w:rPr>
          <w:rFonts w:hint="eastAsia" w:ascii="仿宋_GB2312" w:hAnsi="宋体" w:eastAsia="仿宋_GB2312"/>
          <w:color w:val="auto"/>
          <w:sz w:val="28"/>
          <w:szCs w:val="28"/>
          <w:highlight w:val="none"/>
        </w:rPr>
        <w:t>“附加工作酬金”是指</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人完成附加工作，委托人应给付</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人的金额。</w:t>
      </w:r>
    </w:p>
    <w:p w14:paraId="5D92B820">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1.1.14 </w:t>
      </w:r>
      <w:r>
        <w:rPr>
          <w:rFonts w:hint="eastAsia" w:ascii="仿宋_GB2312" w:hAnsi="宋体" w:eastAsia="仿宋_GB2312"/>
          <w:color w:val="auto"/>
          <w:sz w:val="28"/>
          <w:szCs w:val="28"/>
          <w:highlight w:val="none"/>
        </w:rPr>
        <w:t>“一方”是指委托人或</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w:t>
      </w:r>
      <w:r>
        <w:rPr>
          <w:rFonts w:hint="eastAsia" w:ascii="仿宋_GB2312" w:eastAsia="仿宋_GB2312"/>
          <w:color w:val="auto"/>
          <w:sz w:val="28"/>
          <w:szCs w:val="28"/>
          <w:highlight w:val="none"/>
        </w:rPr>
        <w:t>；</w:t>
      </w:r>
      <w:r>
        <w:rPr>
          <w:rFonts w:hint="eastAsia" w:ascii="仿宋_GB2312" w:hAnsi="宋体" w:eastAsia="仿宋_GB2312"/>
          <w:color w:val="auto"/>
          <w:sz w:val="28"/>
          <w:szCs w:val="28"/>
          <w:highlight w:val="none"/>
        </w:rPr>
        <w:t>“双方”是指委托人和</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w:t>
      </w:r>
      <w:r>
        <w:rPr>
          <w:rFonts w:hint="eastAsia" w:ascii="仿宋_GB2312" w:eastAsia="仿宋_GB2312"/>
          <w:color w:val="auto"/>
          <w:sz w:val="28"/>
          <w:szCs w:val="28"/>
          <w:highlight w:val="none"/>
        </w:rPr>
        <w:t>；</w:t>
      </w:r>
      <w:r>
        <w:rPr>
          <w:rFonts w:hint="eastAsia" w:ascii="仿宋_GB2312" w:hAnsi="宋体" w:eastAsia="仿宋_GB2312"/>
          <w:color w:val="auto"/>
          <w:sz w:val="28"/>
          <w:szCs w:val="28"/>
          <w:highlight w:val="none"/>
        </w:rPr>
        <w:t>“第三方”是指除委托人和</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人以外的有关方。</w:t>
      </w:r>
    </w:p>
    <w:p w14:paraId="7E5B62E8">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1.1.15 “书面形式”是指合同书、信件和数据电文（包括电报、电传、传真、电子数据交换和电子邮件）等可以有形地表现所载内容的形式。</w:t>
      </w:r>
    </w:p>
    <w:p w14:paraId="4C4D7CE9">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1.1.16 </w:t>
      </w:r>
      <w:r>
        <w:rPr>
          <w:rFonts w:hint="eastAsia" w:ascii="仿宋_GB2312" w:hAnsi="宋体" w:eastAsia="仿宋_GB2312"/>
          <w:color w:val="auto"/>
          <w:sz w:val="28"/>
          <w:szCs w:val="28"/>
          <w:highlight w:val="none"/>
        </w:rPr>
        <w:t>“天”是指第一天零时至第二天零时的时间。</w:t>
      </w:r>
    </w:p>
    <w:p w14:paraId="01E469CA">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1.1.17</w:t>
      </w:r>
      <w:r>
        <w:rPr>
          <w:rFonts w:hint="eastAsia" w:ascii="仿宋_GB2312" w:hAnsi="宋体" w:eastAsia="仿宋_GB2312"/>
          <w:color w:val="auto"/>
          <w:sz w:val="28"/>
          <w:szCs w:val="28"/>
          <w:highlight w:val="none"/>
        </w:rPr>
        <w:t>“月”是指按公历从一个月中任何一天开始的一个公历月时间。</w:t>
      </w:r>
    </w:p>
    <w:p w14:paraId="648F03D0">
      <w:pPr>
        <w:adjustRightInd w:val="0"/>
        <w:snapToGrid w:val="0"/>
        <w:spacing w:line="420" w:lineRule="exact"/>
        <w:ind w:firstLine="645"/>
        <w:rPr>
          <w:rFonts w:hint="eastAsia"/>
          <w:color w:val="auto"/>
          <w:sz w:val="28"/>
          <w:szCs w:val="28"/>
          <w:highlight w:val="none"/>
        </w:rPr>
      </w:pPr>
      <w:r>
        <w:rPr>
          <w:rFonts w:hint="eastAsia" w:ascii="仿宋_GB2312" w:eastAsia="仿宋_GB2312"/>
          <w:color w:val="auto"/>
          <w:sz w:val="28"/>
          <w:szCs w:val="28"/>
          <w:highlight w:val="none"/>
        </w:rPr>
        <w:t>1.1.18 “不可抗力”是指委托人和</w:t>
      </w:r>
      <w:r>
        <w:rPr>
          <w:rFonts w:hint="eastAsia" w:ascii="仿宋_GB2312" w:eastAsia="仿宋_GB2312"/>
          <w:color w:val="auto"/>
          <w:sz w:val="28"/>
          <w:szCs w:val="28"/>
          <w:highlight w:val="none"/>
          <w:lang w:eastAsia="zh-CN"/>
        </w:rPr>
        <w:t>检测</w:t>
      </w:r>
      <w:r>
        <w:rPr>
          <w:rFonts w:hint="eastAsia" w:ascii="仿宋_GB2312" w:eastAsia="仿宋_GB2312"/>
          <w:color w:val="auto"/>
          <w:sz w:val="28"/>
          <w:szCs w:val="28"/>
          <w:highlight w:val="none"/>
        </w:rPr>
        <w:t>人在订立本合同时不可预见，在工程施工过程中不可避免发生并不能克服的自然灾害和社会性突发事件，如地震、海啸、瘟疫、水灾、骚乱、暴动、战争和专用条件约定的其他情形。</w:t>
      </w:r>
    </w:p>
    <w:p w14:paraId="2198A49D">
      <w:pPr>
        <w:adjustRightInd w:val="0"/>
        <w:snapToGrid w:val="0"/>
        <w:spacing w:line="420" w:lineRule="exact"/>
        <w:ind w:left="210" w:leftChars="100"/>
        <w:rPr>
          <w:rFonts w:hint="eastAsia" w:ascii="仿宋_GB2312" w:eastAsia="仿宋_GB2312"/>
          <w:color w:val="auto"/>
          <w:sz w:val="28"/>
          <w:szCs w:val="28"/>
          <w:highlight w:val="none"/>
        </w:rPr>
      </w:pPr>
      <w:r>
        <w:rPr>
          <w:rFonts w:hint="eastAsia" w:ascii="仿宋_GB2312" w:eastAsia="仿宋_GB2312"/>
          <w:bCs/>
          <w:color w:val="auto"/>
          <w:sz w:val="28"/>
          <w:szCs w:val="28"/>
          <w:highlight w:val="none"/>
        </w:rPr>
        <w:t xml:space="preserve">1.2 </w:t>
      </w:r>
      <w:r>
        <w:rPr>
          <w:rFonts w:hint="eastAsia" w:ascii="仿宋_GB2312" w:hAnsi="宋体" w:eastAsia="仿宋_GB2312"/>
          <w:color w:val="auto"/>
          <w:sz w:val="28"/>
          <w:szCs w:val="28"/>
          <w:highlight w:val="none"/>
        </w:rPr>
        <w:t>解释</w:t>
      </w:r>
    </w:p>
    <w:p w14:paraId="184B9871">
      <w:pPr>
        <w:tabs>
          <w:tab w:val="left" w:pos="6140"/>
        </w:tabs>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1.2.1</w:t>
      </w:r>
      <w:r>
        <w:rPr>
          <w:rFonts w:hint="eastAsia" w:ascii="仿宋_GB2312" w:hAnsi="宋体" w:eastAsia="仿宋_GB2312"/>
          <w:color w:val="auto"/>
          <w:sz w:val="28"/>
          <w:szCs w:val="28"/>
          <w:highlight w:val="none"/>
        </w:rPr>
        <w:t>本合同使用中文书写、解释和说明。如专用条件约定使用两种及以上语言文字时，应以中文为准。</w:t>
      </w:r>
    </w:p>
    <w:p w14:paraId="7C4C7270">
      <w:pPr>
        <w:tabs>
          <w:tab w:val="left" w:pos="6140"/>
        </w:tabs>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1.2.2 </w:t>
      </w:r>
      <w:r>
        <w:rPr>
          <w:rFonts w:hint="eastAsia" w:ascii="仿宋_GB2312" w:hAnsi="宋体" w:eastAsia="仿宋_GB2312"/>
          <w:color w:val="auto"/>
          <w:sz w:val="28"/>
          <w:szCs w:val="28"/>
          <w:highlight w:val="none"/>
        </w:rPr>
        <w:t>组成本合同的下列文件彼此应能相互解释、互为说明。除专用条件另有约定外，本合同文件的解释顺序如下：</w:t>
      </w:r>
    </w:p>
    <w:p w14:paraId="7F7C0E80">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1</w:t>
      </w:r>
      <w:r>
        <w:rPr>
          <w:rFonts w:hint="eastAsia" w:ascii="仿宋_GB2312" w:hAnsi="宋体" w:eastAsia="仿宋_GB2312"/>
          <w:color w:val="auto"/>
          <w:sz w:val="28"/>
          <w:szCs w:val="28"/>
          <w:highlight w:val="none"/>
        </w:rPr>
        <w:t>）协议书；</w:t>
      </w:r>
    </w:p>
    <w:p w14:paraId="27C8EBDA">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2</w:t>
      </w:r>
      <w:r>
        <w:rPr>
          <w:rFonts w:hint="eastAsia" w:ascii="仿宋_GB2312" w:hAnsi="宋体" w:eastAsia="仿宋_GB2312"/>
          <w:color w:val="auto"/>
          <w:sz w:val="28"/>
          <w:szCs w:val="28"/>
          <w:highlight w:val="none"/>
        </w:rPr>
        <w:t>）中标通知书（适用于招标工程）或委托书（适用于非招标工程）；</w:t>
      </w:r>
    </w:p>
    <w:p w14:paraId="6B141D92">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（3）专用条件及附录</w:t>
      </w:r>
      <w:r>
        <w:rPr>
          <w:rFonts w:hint="eastAsia" w:ascii="仿宋_GB2312" w:eastAsia="仿宋_GB2312"/>
          <w:color w:val="auto"/>
          <w:sz w:val="28"/>
          <w:szCs w:val="28"/>
          <w:highlight w:val="none"/>
        </w:rPr>
        <w:t>A</w:t>
      </w:r>
      <w:r>
        <w:rPr>
          <w:rFonts w:hint="eastAsia" w:ascii="仿宋_GB2312" w:hAnsi="宋体" w:eastAsia="仿宋_GB2312"/>
          <w:color w:val="auto"/>
          <w:sz w:val="28"/>
          <w:szCs w:val="28"/>
          <w:highlight w:val="none"/>
        </w:rPr>
        <w:t>、附录</w:t>
      </w:r>
      <w:r>
        <w:rPr>
          <w:rFonts w:hint="eastAsia" w:ascii="仿宋_GB2312" w:eastAsia="仿宋_GB2312"/>
          <w:color w:val="auto"/>
          <w:sz w:val="28"/>
          <w:szCs w:val="28"/>
          <w:highlight w:val="none"/>
        </w:rPr>
        <w:t>B</w:t>
      </w:r>
      <w:r>
        <w:rPr>
          <w:rFonts w:hint="eastAsia" w:ascii="仿宋_GB2312" w:hAnsi="宋体" w:eastAsia="仿宋_GB2312"/>
          <w:color w:val="auto"/>
          <w:sz w:val="28"/>
          <w:szCs w:val="28"/>
          <w:highlight w:val="none"/>
        </w:rPr>
        <w:t>；</w:t>
      </w:r>
    </w:p>
    <w:p w14:paraId="11E56ACC">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4</w:t>
      </w:r>
      <w:r>
        <w:rPr>
          <w:rFonts w:hint="eastAsia" w:ascii="仿宋_GB2312" w:hAnsi="宋体" w:eastAsia="仿宋_GB2312"/>
          <w:color w:val="auto"/>
          <w:sz w:val="28"/>
          <w:szCs w:val="28"/>
          <w:highlight w:val="none"/>
        </w:rPr>
        <w:t>）通用条件；</w:t>
      </w:r>
    </w:p>
    <w:p w14:paraId="0AF399EA">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（5）投标文件（适用于招标工程）或</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与相关服务建议书（适用于非招标工程）。</w:t>
      </w:r>
    </w:p>
    <w:p w14:paraId="15A762C2">
      <w:pPr>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双方签订的补充协议与其他文件发生矛盾或歧义时，属于同一类内容的文件，应以最新签署的为准。</w:t>
      </w:r>
    </w:p>
    <w:p w14:paraId="0A31E90F">
      <w:pPr>
        <w:spacing w:line="420" w:lineRule="exact"/>
        <w:rPr>
          <w:rFonts w:hint="eastAsia" w:ascii="仿宋_GB2312" w:hAnsi="黑体" w:eastAsia="仿宋_GB2312"/>
          <w:b/>
          <w:color w:val="auto"/>
          <w:sz w:val="28"/>
          <w:szCs w:val="28"/>
          <w:highlight w:val="none"/>
        </w:rPr>
      </w:pPr>
      <w:r>
        <w:rPr>
          <w:rFonts w:hint="eastAsia" w:ascii="仿宋_GB2312" w:hAnsi="黑体" w:eastAsia="仿宋_GB2312"/>
          <w:b/>
          <w:color w:val="auto"/>
          <w:sz w:val="28"/>
          <w:szCs w:val="28"/>
          <w:highlight w:val="none"/>
        </w:rPr>
        <w:t xml:space="preserve">2. </w:t>
      </w:r>
      <w:r>
        <w:rPr>
          <w:rFonts w:hint="eastAsia" w:ascii="仿宋_GB2312" w:hAnsi="黑体" w:eastAsia="仿宋_GB2312"/>
          <w:b/>
          <w:color w:val="auto"/>
          <w:sz w:val="28"/>
          <w:szCs w:val="28"/>
          <w:highlight w:val="none"/>
          <w:lang w:eastAsia="zh-CN"/>
        </w:rPr>
        <w:t>检测</w:t>
      </w:r>
      <w:r>
        <w:rPr>
          <w:rFonts w:hint="eastAsia" w:ascii="仿宋_GB2312" w:hAnsi="黑体" w:eastAsia="仿宋_GB2312"/>
          <w:b/>
          <w:color w:val="auto"/>
          <w:sz w:val="28"/>
          <w:szCs w:val="28"/>
          <w:highlight w:val="none"/>
        </w:rPr>
        <w:t>人的义务</w:t>
      </w:r>
    </w:p>
    <w:p w14:paraId="572AF3DD">
      <w:pPr>
        <w:adjustRightInd w:val="0"/>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2.1 </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的范围和工作内容</w:t>
      </w:r>
    </w:p>
    <w:p w14:paraId="7E441130">
      <w:pPr>
        <w:adjustRightInd w:val="0"/>
        <w:snapToGrid w:val="0"/>
        <w:spacing w:line="420" w:lineRule="exact"/>
        <w:ind w:left="420" w:left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2.1.1 </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范围在专用条件中约定。</w:t>
      </w:r>
    </w:p>
    <w:p w14:paraId="6463347F">
      <w:pPr>
        <w:adjustRightInd w:val="0"/>
        <w:snapToGrid w:val="0"/>
        <w:spacing w:line="420" w:lineRule="exact"/>
        <w:ind w:left="420" w:left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2.1.2 除专用条件另有约定外，</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工作内容包括：</w:t>
      </w:r>
    </w:p>
    <w:p w14:paraId="29FC2B01">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1</w:t>
      </w: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收到工程设计文件后</w:t>
      </w:r>
      <w:r>
        <w:rPr>
          <w:rFonts w:hint="eastAsia" w:ascii="仿宋_GB2312" w:hAnsi="宋体" w:eastAsia="仿宋_GB2312"/>
          <w:color w:val="auto"/>
          <w:sz w:val="28"/>
          <w:szCs w:val="28"/>
          <w:highlight w:val="none"/>
        </w:rPr>
        <w:t>编制</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规划，并在第一次工地会议7天前报委托人。根据有关规定和</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工作需要，编制</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实施细则；</w:t>
      </w:r>
    </w:p>
    <w:p w14:paraId="161EBA90">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2</w:t>
      </w:r>
      <w:r>
        <w:rPr>
          <w:rFonts w:hint="eastAsia" w:ascii="仿宋_GB2312" w:hAnsi="宋体" w:eastAsia="仿宋_GB2312"/>
          <w:color w:val="auto"/>
          <w:sz w:val="28"/>
          <w:szCs w:val="28"/>
          <w:highlight w:val="none"/>
        </w:rPr>
        <w:t>）熟悉工程设计文件，并参加由委托人主持的图纸会审和设计交底会议；</w:t>
      </w:r>
    </w:p>
    <w:p w14:paraId="1701BBFC">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3</w:t>
      </w:r>
      <w:r>
        <w:rPr>
          <w:rFonts w:hint="eastAsia" w:ascii="仿宋_GB2312" w:hAnsi="宋体" w:eastAsia="仿宋_GB2312"/>
          <w:color w:val="auto"/>
          <w:sz w:val="28"/>
          <w:szCs w:val="28"/>
          <w:highlight w:val="none"/>
        </w:rPr>
        <w:t>）参加由委托人主持的第一次工地会议；主持</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例会并根据工程需要主持或参加专题会议；</w:t>
      </w:r>
    </w:p>
    <w:p w14:paraId="2D891FC8">
      <w:pPr>
        <w:adjustRightInd w:val="0"/>
        <w:snapToGrid w:val="0"/>
        <w:spacing w:line="420" w:lineRule="exact"/>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eastAsia="仿宋_GB2312"/>
          <w:color w:val="auto"/>
          <w:sz w:val="28"/>
          <w:szCs w:val="28"/>
          <w:highlight w:val="none"/>
        </w:rPr>
        <w:t>4</w:t>
      </w:r>
      <w:r>
        <w:rPr>
          <w:rFonts w:hint="eastAsia" w:ascii="仿宋_GB2312" w:hAnsi="宋体" w:eastAsia="仿宋_GB2312"/>
          <w:color w:val="auto"/>
          <w:sz w:val="28"/>
          <w:szCs w:val="28"/>
          <w:highlight w:val="none"/>
        </w:rPr>
        <w:t>）审查施工承包人提交的施工组织设计，重点审查其中的质量安全技术措施、专项施工方案与工程建设强制性标准的符合性；</w:t>
      </w:r>
    </w:p>
    <w:p w14:paraId="5B889BF0">
      <w:pPr>
        <w:adjustRightInd w:val="0"/>
        <w:snapToGrid w:val="0"/>
        <w:spacing w:line="420" w:lineRule="exact"/>
        <w:ind w:firstLine="645"/>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5</w:t>
      </w:r>
      <w:r>
        <w:rPr>
          <w:rFonts w:hint="eastAsia" w:ascii="仿宋_GB2312" w:hAnsi="宋体" w:eastAsia="仿宋_GB2312"/>
          <w:color w:val="auto"/>
          <w:sz w:val="28"/>
          <w:szCs w:val="28"/>
          <w:highlight w:val="none"/>
        </w:rPr>
        <w:t>）检查施工承包人工程质量、安全生产管理制度及组织机构和人员资格；</w:t>
      </w:r>
      <w:r>
        <w:rPr>
          <w:rFonts w:hint="eastAsia" w:ascii="仿宋_GB2312" w:eastAsia="仿宋_GB2312"/>
          <w:color w:val="auto"/>
          <w:sz w:val="28"/>
          <w:szCs w:val="28"/>
          <w:highlight w:val="none"/>
        </w:rPr>
        <w:t xml:space="preserve"> </w:t>
      </w:r>
    </w:p>
    <w:p w14:paraId="6F1C11CA">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（6）检查施工承包人专职安全生产管理人员的配备情况；</w:t>
      </w:r>
    </w:p>
    <w:p w14:paraId="6FF40C1A">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（7）审查施工承包人提交的施工进度计划，核查承包人对施工进度计划的调整；</w:t>
      </w:r>
    </w:p>
    <w:p w14:paraId="79120F62">
      <w:pPr>
        <w:adjustRightInd w:val="0"/>
        <w:snapToGrid w:val="0"/>
        <w:spacing w:line="420" w:lineRule="exact"/>
        <w:ind w:firstLine="645"/>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8</w:t>
      </w:r>
      <w:r>
        <w:rPr>
          <w:rFonts w:hint="eastAsia" w:ascii="仿宋_GB2312" w:hAnsi="宋体" w:eastAsia="仿宋_GB2312"/>
          <w:color w:val="auto"/>
          <w:sz w:val="28"/>
          <w:szCs w:val="28"/>
          <w:highlight w:val="none"/>
        </w:rPr>
        <w:t>）检查施工承包人的试验室；</w:t>
      </w:r>
    </w:p>
    <w:p w14:paraId="0E60E0C3">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（9）审核施工分包人资质条件；</w:t>
      </w:r>
    </w:p>
    <w:p w14:paraId="679D5BC4">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（10）查验施工承包人的施工测量放线成果；</w:t>
      </w:r>
    </w:p>
    <w:p w14:paraId="64B5A644">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（11）审查工程开工条件，对条件具备的签发开工令；</w:t>
      </w:r>
    </w:p>
    <w:p w14:paraId="126FE82A">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（12）审查施工承包人报送的工程材料、构配件、设备质量证明文件的有效性和符合性，并按规定对用于工程的材料采取平行检验或见证取样方式进行抽检；</w:t>
      </w:r>
    </w:p>
    <w:p w14:paraId="4DF99C9A">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（13）审核施工承包人提交的工程款支付申请，签发或出具工程款支付证书，并报委托人审核、批准；</w:t>
      </w:r>
    </w:p>
    <w:p w14:paraId="58FA9537">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（14）在巡视、旁站和检验过程中，发现工程质量、施工安全存在事故隐患的，要求施工承包人整改并报委托人；</w:t>
      </w:r>
    </w:p>
    <w:p w14:paraId="23875A22">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（15）经委托人同意，签发工程暂停令和复工令；</w:t>
      </w:r>
    </w:p>
    <w:p w14:paraId="2EA4B6ED">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（16）审查施工承包人提交的采用新材料、新工艺、新技术、新设备的论证材料及相关验收标准；</w:t>
      </w:r>
    </w:p>
    <w:p w14:paraId="0B01B773">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（17）验收隐蔽工程、分部分项工程；</w:t>
      </w:r>
    </w:p>
    <w:p w14:paraId="195ED760">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（18）审查施工承包人提交的工程变更申请，协调处理施工进度调整、费用索赔、合同争议等事项；</w:t>
      </w:r>
    </w:p>
    <w:p w14:paraId="207F1242">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（19）审查施工承包人提交的竣工验收申请，编写工程质量评估报告；</w:t>
      </w:r>
    </w:p>
    <w:p w14:paraId="1E88D9C3">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（20）参加工程竣工验收，签署竣工验收意见；</w:t>
      </w:r>
    </w:p>
    <w:p w14:paraId="773F2DE6">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（21）审查施工承包人提交的竣工结算申请并报委托人；</w:t>
      </w:r>
    </w:p>
    <w:p w14:paraId="571B4CAE">
      <w:pPr>
        <w:adjustRightInd w:val="0"/>
        <w:snapToGrid w:val="0"/>
        <w:spacing w:line="420" w:lineRule="exact"/>
        <w:ind w:firstLine="645"/>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（22）编制、整理工程</w:t>
      </w:r>
      <w:r>
        <w:rPr>
          <w:rFonts w:hint="eastAsia" w:ascii="仿宋_GB2312" w:hAnsi="宋体" w:eastAsia="仿宋_GB2312" w:cs="Times New Roman"/>
          <w:color w:val="auto"/>
          <w:sz w:val="28"/>
          <w:szCs w:val="28"/>
          <w:highlight w:val="none"/>
          <w:lang w:eastAsia="zh-CN"/>
        </w:rPr>
        <w:t>检测</w:t>
      </w:r>
      <w:r>
        <w:rPr>
          <w:rFonts w:hint="eastAsia" w:ascii="仿宋_GB2312" w:hAnsi="宋体" w:eastAsia="仿宋_GB2312" w:cs="Times New Roman"/>
          <w:color w:val="auto"/>
          <w:sz w:val="28"/>
          <w:szCs w:val="28"/>
          <w:highlight w:val="none"/>
        </w:rPr>
        <w:t>归档文件并报委托人。</w:t>
      </w:r>
    </w:p>
    <w:p w14:paraId="33118579">
      <w:pPr>
        <w:spacing w:line="420" w:lineRule="exact"/>
        <w:ind w:left="420" w:leftChars="200" w:firstLine="140" w:firstLineChars="5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2.1.3 </w:t>
      </w:r>
      <w:r>
        <w:rPr>
          <w:rFonts w:hint="eastAsia" w:ascii="仿宋_GB2312" w:hAnsi="宋体" w:eastAsia="仿宋_GB2312"/>
          <w:color w:val="auto"/>
          <w:sz w:val="28"/>
          <w:szCs w:val="28"/>
          <w:highlight w:val="none"/>
        </w:rPr>
        <w:t>相关服务的范围和内容在附录</w:t>
      </w:r>
      <w:r>
        <w:rPr>
          <w:rFonts w:hint="eastAsia" w:ascii="仿宋_GB2312" w:eastAsia="仿宋_GB2312"/>
          <w:color w:val="auto"/>
          <w:sz w:val="28"/>
          <w:szCs w:val="28"/>
          <w:highlight w:val="none"/>
        </w:rPr>
        <w:t>A</w:t>
      </w:r>
      <w:r>
        <w:rPr>
          <w:rFonts w:hint="eastAsia" w:ascii="仿宋_GB2312" w:hAnsi="宋体" w:eastAsia="仿宋_GB2312"/>
          <w:color w:val="auto"/>
          <w:sz w:val="28"/>
          <w:szCs w:val="28"/>
          <w:highlight w:val="none"/>
        </w:rPr>
        <w:t>中约定。</w:t>
      </w:r>
    </w:p>
    <w:p w14:paraId="09FBF200">
      <w:pPr>
        <w:spacing w:line="420" w:lineRule="exact"/>
        <w:ind w:firstLine="280" w:firstLine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2.2 </w:t>
      </w:r>
      <w:r>
        <w:rPr>
          <w:rFonts w:hint="eastAsia" w:ascii="仿宋_GB2312" w:hAnsi="宋体" w:eastAsia="仿宋_GB2312"/>
          <w:bCs/>
          <w:color w:val="auto"/>
          <w:sz w:val="28"/>
          <w:szCs w:val="28"/>
          <w:highlight w:val="none"/>
          <w:lang w:eastAsia="zh-CN"/>
        </w:rPr>
        <w:t>检测</w:t>
      </w:r>
      <w:r>
        <w:rPr>
          <w:rFonts w:hint="eastAsia" w:ascii="仿宋_GB2312" w:hAnsi="宋体" w:eastAsia="仿宋_GB2312"/>
          <w:bCs/>
          <w:color w:val="auto"/>
          <w:sz w:val="28"/>
          <w:szCs w:val="28"/>
          <w:highlight w:val="none"/>
        </w:rPr>
        <w:t>与相关服务依据</w:t>
      </w:r>
    </w:p>
    <w:p w14:paraId="6DC517B2">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 xml:space="preserve">2.2.1 </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依据包括：</w:t>
      </w:r>
    </w:p>
    <w:p w14:paraId="4B944B08">
      <w:pPr>
        <w:adjustRightInd w:val="0"/>
        <w:snapToGrid w:val="0"/>
        <w:spacing w:line="420" w:lineRule="exact"/>
        <w:ind w:firstLine="700" w:firstLineChars="25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1</w:t>
      </w:r>
      <w:r>
        <w:rPr>
          <w:rFonts w:hint="eastAsia" w:ascii="仿宋_GB2312" w:hAnsi="宋体" w:eastAsia="仿宋_GB2312"/>
          <w:color w:val="auto"/>
          <w:sz w:val="28"/>
          <w:szCs w:val="28"/>
          <w:highlight w:val="none"/>
        </w:rPr>
        <w:t>）适用的法律、行政法规及部门规章；</w:t>
      </w:r>
    </w:p>
    <w:p w14:paraId="14C1B784">
      <w:pPr>
        <w:adjustRightInd w:val="0"/>
        <w:snapToGrid w:val="0"/>
        <w:spacing w:line="420" w:lineRule="exact"/>
        <w:ind w:firstLine="700" w:firstLineChars="25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2</w:t>
      </w:r>
      <w:r>
        <w:rPr>
          <w:rFonts w:hint="eastAsia" w:ascii="仿宋_GB2312" w:hAnsi="宋体" w:eastAsia="仿宋_GB2312"/>
          <w:color w:val="auto"/>
          <w:sz w:val="28"/>
          <w:szCs w:val="28"/>
          <w:highlight w:val="none"/>
        </w:rPr>
        <w:t>）与工程有关的标准；</w:t>
      </w:r>
    </w:p>
    <w:p w14:paraId="0186188A">
      <w:pPr>
        <w:adjustRightInd w:val="0"/>
        <w:snapToGrid w:val="0"/>
        <w:spacing w:line="420" w:lineRule="exact"/>
        <w:ind w:firstLine="700" w:firstLineChars="25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（3）工程设计及有关文件；</w:t>
      </w:r>
    </w:p>
    <w:p w14:paraId="1A333A8E">
      <w:pPr>
        <w:adjustRightInd w:val="0"/>
        <w:snapToGrid w:val="0"/>
        <w:spacing w:line="420" w:lineRule="exact"/>
        <w:ind w:firstLine="700" w:firstLineChars="25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4</w:t>
      </w:r>
      <w:r>
        <w:rPr>
          <w:rFonts w:hint="eastAsia" w:ascii="仿宋_GB2312" w:hAnsi="宋体" w:eastAsia="仿宋_GB2312"/>
          <w:color w:val="auto"/>
          <w:sz w:val="28"/>
          <w:szCs w:val="28"/>
          <w:highlight w:val="none"/>
        </w:rPr>
        <w:t>）本合同及委托人与第三方签订的与实施工程有关的其他合同。</w:t>
      </w:r>
    </w:p>
    <w:p w14:paraId="0370039D">
      <w:pPr>
        <w:spacing w:line="420" w:lineRule="exact"/>
        <w:ind w:left="210" w:leftChars="100" w:firstLine="560" w:firstLineChars="200"/>
        <w:rPr>
          <w:rFonts w:hint="eastAsia"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双方根据工程的行业和地域特点，在专用条件中具体约定</w:t>
      </w:r>
      <w:r>
        <w:rPr>
          <w:rFonts w:hint="eastAsia" w:ascii="仿宋_GB2312" w:hAnsi="宋体" w:eastAsia="仿宋_GB2312"/>
          <w:bCs/>
          <w:color w:val="auto"/>
          <w:sz w:val="28"/>
          <w:szCs w:val="28"/>
          <w:highlight w:val="none"/>
          <w:lang w:eastAsia="zh-CN"/>
        </w:rPr>
        <w:t>检测</w:t>
      </w:r>
      <w:r>
        <w:rPr>
          <w:rFonts w:hint="eastAsia" w:ascii="仿宋_GB2312" w:hAnsi="宋体" w:eastAsia="仿宋_GB2312"/>
          <w:bCs/>
          <w:color w:val="auto"/>
          <w:sz w:val="28"/>
          <w:szCs w:val="28"/>
          <w:highlight w:val="none"/>
        </w:rPr>
        <w:t>依据。</w:t>
      </w:r>
    </w:p>
    <w:p w14:paraId="148DC201">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2.2.2 相关服务依据在专用条件中约定。</w:t>
      </w:r>
    </w:p>
    <w:p w14:paraId="35ED2B4E">
      <w:pPr>
        <w:spacing w:line="420" w:lineRule="exact"/>
        <w:ind w:firstLine="280" w:firstLine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2.3 </w:t>
      </w:r>
      <w:r>
        <w:rPr>
          <w:rFonts w:hint="eastAsia" w:ascii="仿宋_GB2312" w:hAnsi="宋体" w:eastAsia="仿宋_GB2312" w:cs="宋体"/>
          <w:color w:val="auto"/>
          <w:kern w:val="0"/>
          <w:sz w:val="28"/>
          <w:szCs w:val="28"/>
          <w:highlight w:val="none"/>
        </w:rPr>
        <w:t>项目</w:t>
      </w:r>
      <w:r>
        <w:rPr>
          <w:rFonts w:hint="eastAsia" w:ascii="仿宋_GB2312" w:hAnsi="宋体" w:eastAsia="仿宋_GB2312" w:cs="宋体"/>
          <w:color w:val="auto"/>
          <w:kern w:val="0"/>
          <w:sz w:val="28"/>
          <w:szCs w:val="28"/>
          <w:highlight w:val="none"/>
          <w:lang w:eastAsia="zh-CN"/>
        </w:rPr>
        <w:t>检测</w:t>
      </w:r>
      <w:r>
        <w:rPr>
          <w:rFonts w:hint="eastAsia" w:ascii="仿宋_GB2312" w:hAnsi="宋体" w:eastAsia="仿宋_GB2312" w:cs="宋体"/>
          <w:color w:val="auto"/>
          <w:kern w:val="0"/>
          <w:sz w:val="28"/>
          <w:szCs w:val="28"/>
          <w:highlight w:val="none"/>
        </w:rPr>
        <w:t>机构和人员</w:t>
      </w:r>
    </w:p>
    <w:p w14:paraId="2DF1C0D6">
      <w:pPr>
        <w:adjustRightInd w:val="0"/>
        <w:snapToGrid w:val="0"/>
        <w:spacing w:line="420" w:lineRule="exact"/>
        <w:ind w:firstLine="645"/>
        <w:rPr>
          <w:rFonts w:hint="eastAsia" w:ascii="仿宋_GB2312" w:hAnsi="宋体" w:eastAsia="仿宋_GB2312"/>
          <w:color w:val="auto"/>
          <w:kern w:val="0"/>
          <w:sz w:val="28"/>
          <w:szCs w:val="28"/>
          <w:highlight w:val="none"/>
        </w:rPr>
      </w:pPr>
      <w:r>
        <w:rPr>
          <w:rFonts w:hint="eastAsia" w:ascii="仿宋_GB2312" w:eastAsia="仿宋_GB2312"/>
          <w:color w:val="auto"/>
          <w:kern w:val="0"/>
          <w:sz w:val="28"/>
          <w:szCs w:val="28"/>
          <w:highlight w:val="none"/>
        </w:rPr>
        <w:t xml:space="preserve">2.3.1 </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人应组建满足工作需要的项目</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机构，配备必要的</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设备。项目</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机构的主要人员应具有相应的资格条件。</w:t>
      </w:r>
    </w:p>
    <w:p w14:paraId="4593F12C">
      <w:pPr>
        <w:adjustRightInd w:val="0"/>
        <w:snapToGrid w:val="0"/>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eastAsia="仿宋_GB2312"/>
          <w:color w:val="auto"/>
          <w:kern w:val="0"/>
          <w:sz w:val="28"/>
          <w:szCs w:val="28"/>
          <w:highlight w:val="none"/>
        </w:rPr>
        <w:t>2.3.2</w:t>
      </w:r>
      <w:r>
        <w:rPr>
          <w:rFonts w:hint="eastAsia" w:ascii="仿宋_GB2312" w:hAnsi="宋体" w:eastAsia="仿宋_GB2312" w:cs="Times New Roman"/>
          <w:color w:val="auto"/>
          <w:kern w:val="0"/>
          <w:sz w:val="28"/>
          <w:szCs w:val="28"/>
          <w:highlight w:val="none"/>
        </w:rPr>
        <w:t>本合同履行过程中，项目负责人、</w:t>
      </w:r>
      <w:r>
        <w:rPr>
          <w:rFonts w:hint="eastAsia" w:ascii="仿宋_GB2312" w:hAnsi="宋体" w:eastAsia="仿宋_GB2312" w:cs="Times New Roman"/>
          <w:color w:val="auto"/>
          <w:kern w:val="0"/>
          <w:sz w:val="28"/>
          <w:szCs w:val="28"/>
          <w:highlight w:val="none"/>
          <w:lang w:eastAsia="zh-CN"/>
        </w:rPr>
        <w:t>技术负责人</w:t>
      </w:r>
      <w:r>
        <w:rPr>
          <w:rFonts w:hint="eastAsia" w:ascii="仿宋_GB2312" w:hAnsi="宋体" w:eastAsia="仿宋_GB2312" w:cs="Times New Roman"/>
          <w:color w:val="auto"/>
          <w:kern w:val="0"/>
          <w:sz w:val="28"/>
          <w:szCs w:val="28"/>
          <w:highlight w:val="none"/>
        </w:rPr>
        <w:t>及重要岗位检测人员应保持相对稳定，以保证检测工作正常进行。</w:t>
      </w:r>
    </w:p>
    <w:p w14:paraId="53C517D7">
      <w:pPr>
        <w:adjustRightInd w:val="0"/>
        <w:snapToGrid w:val="0"/>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eastAsia="仿宋_GB2312"/>
          <w:color w:val="auto"/>
          <w:kern w:val="0"/>
          <w:sz w:val="28"/>
          <w:szCs w:val="28"/>
          <w:highlight w:val="none"/>
        </w:rPr>
        <w:t>2.3.3</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人可根据工程进展和工作需要调整项目</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机构人员。</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人更换</w:t>
      </w:r>
      <w:r>
        <w:rPr>
          <w:rFonts w:hint="eastAsia" w:ascii="仿宋_GB2312" w:hAnsi="宋体" w:eastAsia="仿宋_GB2312"/>
          <w:color w:val="auto"/>
          <w:kern w:val="0"/>
          <w:sz w:val="28"/>
          <w:szCs w:val="28"/>
          <w:highlight w:val="none"/>
          <w:lang w:eastAsia="zh-CN"/>
        </w:rPr>
        <w:t>项目负责人</w:t>
      </w:r>
      <w:r>
        <w:rPr>
          <w:rFonts w:hint="eastAsia" w:ascii="仿宋_GB2312" w:hAnsi="宋体" w:eastAsia="仿宋_GB2312"/>
          <w:color w:val="auto"/>
          <w:kern w:val="0"/>
          <w:sz w:val="28"/>
          <w:szCs w:val="28"/>
          <w:highlight w:val="none"/>
        </w:rPr>
        <w:t>时，应提前7天向委托人书面报告，经委托人同意后方可更换；</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人更换项目</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机构其他</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人员，应以相当资格与能力的人员替换，并通知委托人。</w:t>
      </w:r>
    </w:p>
    <w:p w14:paraId="2C86D5EA">
      <w:pPr>
        <w:adjustRightInd w:val="0"/>
        <w:snapToGrid w:val="0"/>
        <w:spacing w:line="420" w:lineRule="exact"/>
        <w:ind w:firstLine="560" w:firstLineChars="200"/>
        <w:rPr>
          <w:rFonts w:hint="eastAsia" w:ascii="仿宋_GB2312" w:eastAsia="仿宋_GB2312"/>
          <w:color w:val="auto"/>
          <w:kern w:val="0"/>
          <w:sz w:val="28"/>
          <w:szCs w:val="28"/>
          <w:highlight w:val="none"/>
        </w:rPr>
      </w:pPr>
      <w:r>
        <w:rPr>
          <w:rFonts w:hint="eastAsia" w:ascii="仿宋_GB2312" w:eastAsia="仿宋_GB2312"/>
          <w:color w:val="auto"/>
          <w:kern w:val="0"/>
          <w:sz w:val="28"/>
          <w:szCs w:val="28"/>
          <w:highlight w:val="none"/>
        </w:rPr>
        <w:t xml:space="preserve">2.3.4 </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人应及时更换有下列情形之一的</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人员：</w:t>
      </w:r>
    </w:p>
    <w:p w14:paraId="0A0CE714">
      <w:pPr>
        <w:adjustRightInd w:val="0"/>
        <w:snapToGrid w:val="0"/>
        <w:spacing w:line="420" w:lineRule="exact"/>
        <w:ind w:firstLine="560" w:firstLineChars="200"/>
        <w:rPr>
          <w:rFonts w:hint="eastAsia" w:ascii="仿宋_GB2312" w:eastAsia="仿宋_GB2312"/>
          <w:color w:val="auto"/>
          <w:kern w:val="0"/>
          <w:sz w:val="28"/>
          <w:szCs w:val="28"/>
          <w:highlight w:val="none"/>
        </w:rPr>
      </w:pPr>
      <w:r>
        <w:rPr>
          <w:rFonts w:hint="eastAsia" w:ascii="仿宋_GB2312" w:hAnsi="宋体" w:eastAsia="仿宋_GB2312"/>
          <w:color w:val="auto"/>
          <w:kern w:val="0"/>
          <w:sz w:val="28"/>
          <w:szCs w:val="28"/>
          <w:highlight w:val="none"/>
        </w:rPr>
        <w:t>（</w:t>
      </w:r>
      <w:r>
        <w:rPr>
          <w:rFonts w:hint="eastAsia" w:ascii="仿宋_GB2312" w:eastAsia="仿宋_GB2312"/>
          <w:color w:val="auto"/>
          <w:kern w:val="0"/>
          <w:sz w:val="28"/>
          <w:szCs w:val="28"/>
          <w:highlight w:val="none"/>
        </w:rPr>
        <w:t>1</w:t>
      </w:r>
      <w:r>
        <w:rPr>
          <w:rFonts w:hint="eastAsia" w:ascii="仿宋_GB2312" w:hAnsi="宋体" w:eastAsia="仿宋_GB2312"/>
          <w:color w:val="auto"/>
          <w:kern w:val="0"/>
          <w:sz w:val="28"/>
          <w:szCs w:val="28"/>
          <w:highlight w:val="none"/>
        </w:rPr>
        <w:t>）严重过失行为的；</w:t>
      </w:r>
    </w:p>
    <w:p w14:paraId="526DB962">
      <w:pPr>
        <w:adjustRightInd w:val="0"/>
        <w:snapToGrid w:val="0"/>
        <w:spacing w:line="420" w:lineRule="exact"/>
        <w:ind w:firstLine="560" w:firstLineChars="200"/>
        <w:rPr>
          <w:rFonts w:hint="eastAsia" w:ascii="仿宋_GB2312" w:eastAsia="仿宋_GB2312"/>
          <w:color w:val="auto"/>
          <w:kern w:val="0"/>
          <w:sz w:val="28"/>
          <w:szCs w:val="28"/>
          <w:highlight w:val="none"/>
        </w:rPr>
      </w:pPr>
      <w:r>
        <w:rPr>
          <w:rFonts w:hint="eastAsia" w:ascii="仿宋_GB2312" w:hAnsi="宋体" w:eastAsia="仿宋_GB2312"/>
          <w:color w:val="auto"/>
          <w:kern w:val="0"/>
          <w:sz w:val="28"/>
          <w:szCs w:val="28"/>
          <w:highlight w:val="none"/>
        </w:rPr>
        <w:t>（</w:t>
      </w:r>
      <w:r>
        <w:rPr>
          <w:rFonts w:hint="eastAsia" w:ascii="仿宋_GB2312" w:eastAsia="仿宋_GB2312"/>
          <w:color w:val="auto"/>
          <w:kern w:val="0"/>
          <w:sz w:val="28"/>
          <w:szCs w:val="28"/>
          <w:highlight w:val="none"/>
        </w:rPr>
        <w:t>2</w:t>
      </w:r>
      <w:r>
        <w:rPr>
          <w:rFonts w:hint="eastAsia" w:ascii="仿宋_GB2312" w:hAnsi="宋体" w:eastAsia="仿宋_GB2312"/>
          <w:color w:val="auto"/>
          <w:kern w:val="0"/>
          <w:sz w:val="28"/>
          <w:szCs w:val="28"/>
          <w:highlight w:val="none"/>
        </w:rPr>
        <w:t>）有违法行为不能履行职责的；</w:t>
      </w:r>
    </w:p>
    <w:p w14:paraId="225B3B67">
      <w:pPr>
        <w:adjustRightInd w:val="0"/>
        <w:snapToGrid w:val="0"/>
        <w:spacing w:line="420" w:lineRule="exact"/>
        <w:ind w:firstLine="560" w:firstLineChars="200"/>
        <w:rPr>
          <w:rFonts w:hint="eastAsia" w:ascii="仿宋_GB2312" w:eastAsia="仿宋_GB2312"/>
          <w:color w:val="auto"/>
          <w:kern w:val="0"/>
          <w:sz w:val="28"/>
          <w:szCs w:val="28"/>
          <w:highlight w:val="none"/>
        </w:rPr>
      </w:pPr>
      <w:r>
        <w:rPr>
          <w:rFonts w:hint="eastAsia" w:ascii="仿宋_GB2312" w:hAnsi="宋体" w:eastAsia="仿宋_GB2312"/>
          <w:color w:val="auto"/>
          <w:kern w:val="0"/>
          <w:sz w:val="28"/>
          <w:szCs w:val="28"/>
          <w:highlight w:val="none"/>
        </w:rPr>
        <w:t>（</w:t>
      </w:r>
      <w:r>
        <w:rPr>
          <w:rFonts w:hint="eastAsia" w:ascii="仿宋_GB2312" w:eastAsia="仿宋_GB2312"/>
          <w:color w:val="auto"/>
          <w:kern w:val="0"/>
          <w:sz w:val="28"/>
          <w:szCs w:val="28"/>
          <w:highlight w:val="none"/>
        </w:rPr>
        <w:t>3</w:t>
      </w:r>
      <w:r>
        <w:rPr>
          <w:rFonts w:hint="eastAsia" w:ascii="仿宋_GB2312" w:hAnsi="宋体" w:eastAsia="仿宋_GB2312"/>
          <w:color w:val="auto"/>
          <w:kern w:val="0"/>
          <w:sz w:val="28"/>
          <w:szCs w:val="28"/>
          <w:highlight w:val="none"/>
        </w:rPr>
        <w:t>）涉嫌犯罪的；</w:t>
      </w:r>
    </w:p>
    <w:p w14:paraId="0A0F6288">
      <w:pPr>
        <w:adjustRightInd w:val="0"/>
        <w:snapToGrid w:val="0"/>
        <w:spacing w:line="420" w:lineRule="exact"/>
        <w:ind w:firstLine="560" w:firstLineChars="200"/>
        <w:rPr>
          <w:rFonts w:hint="eastAsia" w:ascii="仿宋_GB2312" w:eastAsia="仿宋_GB2312"/>
          <w:color w:val="auto"/>
          <w:kern w:val="0"/>
          <w:sz w:val="28"/>
          <w:szCs w:val="28"/>
          <w:highlight w:val="none"/>
        </w:rPr>
      </w:pPr>
      <w:r>
        <w:rPr>
          <w:rFonts w:hint="eastAsia" w:ascii="仿宋_GB2312" w:hAnsi="宋体" w:eastAsia="仿宋_GB2312"/>
          <w:color w:val="auto"/>
          <w:kern w:val="0"/>
          <w:sz w:val="28"/>
          <w:szCs w:val="28"/>
          <w:highlight w:val="none"/>
        </w:rPr>
        <w:t>（</w:t>
      </w:r>
      <w:r>
        <w:rPr>
          <w:rFonts w:hint="eastAsia" w:ascii="仿宋_GB2312" w:eastAsia="仿宋_GB2312"/>
          <w:color w:val="auto"/>
          <w:kern w:val="0"/>
          <w:sz w:val="28"/>
          <w:szCs w:val="28"/>
          <w:highlight w:val="none"/>
        </w:rPr>
        <w:t>4</w:t>
      </w:r>
      <w:r>
        <w:rPr>
          <w:rFonts w:hint="eastAsia" w:ascii="仿宋_GB2312" w:hAnsi="宋体" w:eastAsia="仿宋_GB2312"/>
          <w:color w:val="auto"/>
          <w:kern w:val="0"/>
          <w:sz w:val="28"/>
          <w:szCs w:val="28"/>
          <w:highlight w:val="none"/>
        </w:rPr>
        <w:t>）不能胜任岗位职责的；</w:t>
      </w:r>
    </w:p>
    <w:p w14:paraId="4ECFD748">
      <w:pPr>
        <w:adjustRightInd w:val="0"/>
        <w:snapToGrid w:val="0"/>
        <w:spacing w:line="420" w:lineRule="exact"/>
        <w:ind w:firstLine="560" w:firstLineChars="200"/>
        <w:rPr>
          <w:rFonts w:hint="eastAsia" w:ascii="仿宋_GB2312" w:eastAsia="仿宋_GB2312"/>
          <w:color w:val="auto"/>
          <w:kern w:val="0"/>
          <w:sz w:val="28"/>
          <w:szCs w:val="28"/>
          <w:highlight w:val="none"/>
        </w:rPr>
      </w:pPr>
      <w:r>
        <w:rPr>
          <w:rFonts w:hint="eastAsia" w:ascii="仿宋_GB2312" w:hAnsi="宋体" w:eastAsia="仿宋_GB2312"/>
          <w:color w:val="auto"/>
          <w:kern w:val="0"/>
          <w:sz w:val="28"/>
          <w:szCs w:val="28"/>
          <w:highlight w:val="none"/>
        </w:rPr>
        <w:t>（</w:t>
      </w:r>
      <w:r>
        <w:rPr>
          <w:rFonts w:hint="eastAsia" w:ascii="仿宋_GB2312" w:eastAsia="仿宋_GB2312"/>
          <w:color w:val="auto"/>
          <w:kern w:val="0"/>
          <w:sz w:val="28"/>
          <w:szCs w:val="28"/>
          <w:highlight w:val="none"/>
        </w:rPr>
        <w:t>5</w:t>
      </w:r>
      <w:r>
        <w:rPr>
          <w:rFonts w:hint="eastAsia" w:ascii="仿宋_GB2312" w:hAnsi="宋体" w:eastAsia="仿宋_GB2312"/>
          <w:color w:val="auto"/>
          <w:kern w:val="0"/>
          <w:sz w:val="28"/>
          <w:szCs w:val="28"/>
          <w:highlight w:val="none"/>
        </w:rPr>
        <w:t>）严重违反职业道德的；</w:t>
      </w:r>
    </w:p>
    <w:p w14:paraId="480FC75B">
      <w:pPr>
        <w:adjustRightInd w:val="0"/>
        <w:snapToGrid w:val="0"/>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w:t>
      </w:r>
      <w:r>
        <w:rPr>
          <w:rFonts w:hint="eastAsia" w:ascii="仿宋_GB2312" w:eastAsia="仿宋_GB2312"/>
          <w:color w:val="auto"/>
          <w:kern w:val="0"/>
          <w:sz w:val="28"/>
          <w:szCs w:val="28"/>
          <w:highlight w:val="none"/>
        </w:rPr>
        <w:t>6</w:t>
      </w:r>
      <w:r>
        <w:rPr>
          <w:rFonts w:hint="eastAsia" w:ascii="仿宋_GB2312" w:hAnsi="宋体" w:eastAsia="仿宋_GB2312"/>
          <w:color w:val="auto"/>
          <w:kern w:val="0"/>
          <w:sz w:val="28"/>
          <w:szCs w:val="28"/>
          <w:highlight w:val="none"/>
        </w:rPr>
        <w:t>）专用条件约定的其他情形。</w:t>
      </w:r>
    </w:p>
    <w:p w14:paraId="4E42055B">
      <w:pPr>
        <w:spacing w:line="420" w:lineRule="exact"/>
        <w:ind w:firstLine="560" w:firstLineChars="200"/>
        <w:rPr>
          <w:rFonts w:hint="eastAsia" w:ascii="仿宋_GB2312" w:eastAsia="仿宋_GB2312"/>
          <w:color w:val="auto"/>
          <w:kern w:val="0"/>
          <w:sz w:val="28"/>
          <w:szCs w:val="28"/>
          <w:highlight w:val="none"/>
        </w:rPr>
      </w:pPr>
      <w:r>
        <w:rPr>
          <w:rFonts w:hint="eastAsia" w:ascii="仿宋_GB2312" w:eastAsia="仿宋_GB2312"/>
          <w:color w:val="auto"/>
          <w:kern w:val="0"/>
          <w:sz w:val="28"/>
          <w:szCs w:val="28"/>
          <w:highlight w:val="none"/>
        </w:rPr>
        <w:t>2.3.5 委托人可要求</w:t>
      </w:r>
      <w:r>
        <w:rPr>
          <w:rFonts w:hint="eastAsia" w:ascii="仿宋_GB2312" w:eastAsia="仿宋_GB2312"/>
          <w:color w:val="auto"/>
          <w:kern w:val="0"/>
          <w:sz w:val="28"/>
          <w:szCs w:val="28"/>
          <w:highlight w:val="none"/>
          <w:lang w:eastAsia="zh-CN"/>
        </w:rPr>
        <w:t>检测</w:t>
      </w:r>
      <w:r>
        <w:rPr>
          <w:rFonts w:hint="eastAsia" w:ascii="仿宋_GB2312" w:eastAsia="仿宋_GB2312"/>
          <w:color w:val="auto"/>
          <w:kern w:val="0"/>
          <w:sz w:val="28"/>
          <w:szCs w:val="28"/>
          <w:highlight w:val="none"/>
        </w:rPr>
        <w:t>人更换不能</w:t>
      </w:r>
      <w:r>
        <w:rPr>
          <w:rFonts w:hint="eastAsia" w:ascii="仿宋_GB2312" w:hAnsi="宋体" w:eastAsia="仿宋_GB2312"/>
          <w:color w:val="auto"/>
          <w:kern w:val="0"/>
          <w:sz w:val="28"/>
          <w:szCs w:val="28"/>
          <w:highlight w:val="none"/>
        </w:rPr>
        <w:t>胜任本职工作</w:t>
      </w:r>
      <w:r>
        <w:rPr>
          <w:rFonts w:hint="eastAsia" w:ascii="仿宋_GB2312" w:eastAsia="仿宋_GB2312"/>
          <w:color w:val="auto"/>
          <w:kern w:val="0"/>
          <w:sz w:val="28"/>
          <w:szCs w:val="28"/>
          <w:highlight w:val="none"/>
        </w:rPr>
        <w:t>的</w:t>
      </w:r>
      <w:r>
        <w:rPr>
          <w:rFonts w:hint="eastAsia" w:ascii="仿宋_GB2312" w:hAnsi="宋体" w:eastAsia="仿宋_GB2312"/>
          <w:color w:val="auto"/>
          <w:kern w:val="0"/>
          <w:sz w:val="28"/>
          <w:szCs w:val="28"/>
          <w:highlight w:val="none"/>
        </w:rPr>
        <w:t>项目</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机构</w:t>
      </w:r>
      <w:r>
        <w:rPr>
          <w:rFonts w:hint="eastAsia" w:ascii="仿宋_GB2312" w:eastAsia="仿宋_GB2312"/>
          <w:color w:val="auto"/>
          <w:kern w:val="0"/>
          <w:sz w:val="28"/>
          <w:szCs w:val="28"/>
          <w:highlight w:val="none"/>
        </w:rPr>
        <w:t>人员。</w:t>
      </w:r>
    </w:p>
    <w:p w14:paraId="7050E9CE">
      <w:pPr>
        <w:spacing w:line="42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2.4 </w:t>
      </w:r>
      <w:r>
        <w:rPr>
          <w:rFonts w:hint="eastAsia" w:ascii="仿宋_GB2312" w:hAnsi="宋体" w:eastAsia="仿宋_GB2312" w:cs="宋体"/>
          <w:color w:val="auto"/>
          <w:kern w:val="0"/>
          <w:sz w:val="28"/>
          <w:szCs w:val="28"/>
          <w:highlight w:val="none"/>
        </w:rPr>
        <w:t>履行职责</w:t>
      </w:r>
    </w:p>
    <w:p w14:paraId="70A75729">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人应遵循职业道德准则和行为规范，严格按照法律法规、工程建设有关标准及本合同履行职责。</w:t>
      </w:r>
    </w:p>
    <w:p w14:paraId="0CFF803A">
      <w:pPr>
        <w:adjustRightInd w:val="0"/>
        <w:snapToGrid w:val="0"/>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eastAsia="仿宋_GB2312"/>
          <w:color w:val="auto"/>
          <w:kern w:val="0"/>
          <w:sz w:val="28"/>
          <w:szCs w:val="28"/>
          <w:highlight w:val="none"/>
        </w:rPr>
        <w:t xml:space="preserve">2.4.1 </w:t>
      </w:r>
      <w:r>
        <w:rPr>
          <w:rFonts w:hint="eastAsia" w:ascii="仿宋_GB2312" w:hAnsi="宋体" w:eastAsia="仿宋_GB2312"/>
          <w:color w:val="auto"/>
          <w:kern w:val="0"/>
          <w:sz w:val="28"/>
          <w:szCs w:val="28"/>
          <w:highlight w:val="none"/>
        </w:rPr>
        <w:t>在</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与相关服务范围内，委托人和承包人提出的意见和要求，</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人应及时提出处置意见。当委托人与承包人之间发生合同争议时，</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人应协助委托人、承包人协商解决。</w:t>
      </w:r>
    </w:p>
    <w:p w14:paraId="55DA0E3B">
      <w:pPr>
        <w:adjustRightInd w:val="0"/>
        <w:snapToGrid w:val="0"/>
        <w:spacing w:line="420" w:lineRule="exact"/>
        <w:ind w:firstLine="560" w:firstLineChars="200"/>
        <w:rPr>
          <w:rFonts w:hint="eastAsia" w:ascii="仿宋_GB2312" w:eastAsia="仿宋_GB2312"/>
          <w:color w:val="auto"/>
          <w:kern w:val="0"/>
          <w:sz w:val="28"/>
          <w:szCs w:val="28"/>
          <w:highlight w:val="none"/>
        </w:rPr>
      </w:pPr>
      <w:r>
        <w:rPr>
          <w:rFonts w:hint="eastAsia" w:ascii="仿宋_GB2312" w:eastAsia="仿宋_GB2312"/>
          <w:color w:val="auto"/>
          <w:kern w:val="0"/>
          <w:sz w:val="28"/>
          <w:szCs w:val="28"/>
          <w:highlight w:val="none"/>
        </w:rPr>
        <w:t xml:space="preserve">2.4.2 </w:t>
      </w:r>
      <w:r>
        <w:rPr>
          <w:rFonts w:hint="eastAsia" w:ascii="仿宋_GB2312" w:hAnsi="宋体" w:eastAsia="仿宋_GB2312"/>
          <w:color w:val="auto"/>
          <w:kern w:val="0"/>
          <w:sz w:val="28"/>
          <w:szCs w:val="28"/>
          <w:highlight w:val="none"/>
        </w:rPr>
        <w:t>当委托人与承包人之间的合同争议提交仲裁机构仲裁或人民法院审理时，</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人应提供必要的证明资料。</w:t>
      </w:r>
    </w:p>
    <w:p w14:paraId="61C85358">
      <w:pPr>
        <w:adjustRightInd w:val="0"/>
        <w:snapToGrid w:val="0"/>
        <w:spacing w:line="420" w:lineRule="exact"/>
        <w:ind w:firstLine="560" w:firstLineChars="200"/>
        <w:rPr>
          <w:rFonts w:hint="eastAsia" w:ascii="仿宋_GB2312" w:eastAsia="仿宋_GB2312"/>
          <w:color w:val="auto"/>
          <w:kern w:val="0"/>
          <w:sz w:val="28"/>
          <w:szCs w:val="28"/>
          <w:highlight w:val="none"/>
        </w:rPr>
      </w:pPr>
      <w:r>
        <w:rPr>
          <w:rFonts w:hint="eastAsia" w:ascii="仿宋_GB2312" w:eastAsia="仿宋_GB2312"/>
          <w:color w:val="auto"/>
          <w:kern w:val="0"/>
          <w:sz w:val="28"/>
          <w:szCs w:val="28"/>
          <w:highlight w:val="none"/>
        </w:rPr>
        <w:t xml:space="preserve">2.4.3 </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人应在专用条件约定的授权范围内，处理委托人与承包人所签订合同的变更事宜。如果变更超过授权范围，应以书面形式报委托人批准。</w:t>
      </w:r>
    </w:p>
    <w:p w14:paraId="116A05FC">
      <w:pPr>
        <w:adjustRightInd w:val="0"/>
        <w:snapToGrid w:val="0"/>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在紧急情况下，为了保护财产和人身安全，</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人所发出的指令未能事先报委托人批准时，应在发出指令后的</w:t>
      </w:r>
      <w:r>
        <w:rPr>
          <w:rFonts w:hint="eastAsia" w:ascii="仿宋_GB2312" w:eastAsia="仿宋_GB2312"/>
          <w:color w:val="auto"/>
          <w:kern w:val="0"/>
          <w:sz w:val="28"/>
          <w:szCs w:val="28"/>
          <w:highlight w:val="none"/>
        </w:rPr>
        <w:t>24</w:t>
      </w:r>
      <w:r>
        <w:rPr>
          <w:rFonts w:hint="eastAsia" w:ascii="仿宋_GB2312" w:hAnsi="宋体" w:eastAsia="仿宋_GB2312"/>
          <w:color w:val="auto"/>
          <w:kern w:val="0"/>
          <w:sz w:val="28"/>
          <w:szCs w:val="28"/>
          <w:highlight w:val="none"/>
        </w:rPr>
        <w:t>小时内以书面形式报委托人。</w:t>
      </w:r>
    </w:p>
    <w:p w14:paraId="59E2ED8A">
      <w:pPr>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2.4.4 除专用条件另有约定外，</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人发现承包人的人员不能胜任本职工作的，有权要求承包人予以调换。</w:t>
      </w:r>
    </w:p>
    <w:p w14:paraId="1C59E890">
      <w:pPr>
        <w:spacing w:line="42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2.5 提交</w:t>
      </w:r>
      <w:r>
        <w:rPr>
          <w:rFonts w:hint="eastAsia" w:ascii="仿宋_GB2312" w:hAnsi="宋体" w:eastAsia="仿宋_GB2312" w:cs="宋体"/>
          <w:color w:val="auto"/>
          <w:kern w:val="0"/>
          <w:sz w:val="28"/>
          <w:szCs w:val="28"/>
          <w:highlight w:val="none"/>
        </w:rPr>
        <w:t>报告</w:t>
      </w:r>
    </w:p>
    <w:p w14:paraId="1E30C509">
      <w:pPr>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人应按专用条件约定的种类、时间和份数向委托人提交</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与相关服务的报告。</w:t>
      </w:r>
    </w:p>
    <w:p w14:paraId="50DB87A8">
      <w:pPr>
        <w:spacing w:line="420" w:lineRule="exact"/>
        <w:ind w:left="210" w:leftChars="100"/>
        <w:rPr>
          <w:rFonts w:hint="eastAsia" w:ascii="仿宋_GB2312" w:hAnsi="宋体" w:eastAsia="仿宋_GB2312"/>
          <w:color w:val="auto"/>
          <w:kern w:val="0"/>
          <w:sz w:val="28"/>
          <w:szCs w:val="28"/>
          <w:highlight w:val="none"/>
        </w:rPr>
      </w:pPr>
      <w:r>
        <w:rPr>
          <w:rFonts w:hint="eastAsia" w:ascii="仿宋_GB2312" w:eastAsia="仿宋_GB2312"/>
          <w:color w:val="auto"/>
          <w:kern w:val="0"/>
          <w:sz w:val="28"/>
          <w:szCs w:val="28"/>
          <w:highlight w:val="none"/>
        </w:rPr>
        <w:t xml:space="preserve">2.6 </w:t>
      </w:r>
      <w:r>
        <w:rPr>
          <w:rFonts w:hint="eastAsia" w:ascii="仿宋_GB2312" w:hAnsi="宋体" w:eastAsia="仿宋_GB2312"/>
          <w:color w:val="auto"/>
          <w:kern w:val="0"/>
          <w:sz w:val="28"/>
          <w:szCs w:val="28"/>
          <w:highlight w:val="none"/>
        </w:rPr>
        <w:t>文件资料</w:t>
      </w:r>
    </w:p>
    <w:p w14:paraId="2BAEB30E">
      <w:pPr>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kern w:val="0"/>
          <w:sz w:val="28"/>
          <w:szCs w:val="28"/>
          <w:highlight w:val="none"/>
        </w:rPr>
        <w:t>在本合同履行期内，</w:t>
      </w:r>
      <w:r>
        <w:rPr>
          <w:rFonts w:hint="eastAsia" w:ascii="仿宋_GB2312" w:eastAsia="仿宋_GB2312"/>
          <w:color w:val="auto"/>
          <w:kern w:val="0"/>
          <w:sz w:val="28"/>
          <w:szCs w:val="28"/>
          <w:highlight w:val="none"/>
          <w:lang w:eastAsia="zh-CN"/>
        </w:rPr>
        <w:t>检测</w:t>
      </w:r>
      <w:r>
        <w:rPr>
          <w:rFonts w:hint="eastAsia" w:ascii="仿宋_GB2312" w:eastAsia="仿宋_GB2312"/>
          <w:color w:val="auto"/>
          <w:kern w:val="0"/>
          <w:sz w:val="28"/>
          <w:szCs w:val="28"/>
          <w:highlight w:val="none"/>
        </w:rPr>
        <w:t>人应在现场保留工作所用的图纸、报告及记录</w:t>
      </w:r>
      <w:r>
        <w:rPr>
          <w:rFonts w:hint="eastAsia" w:ascii="仿宋_GB2312" w:eastAsia="仿宋_GB2312"/>
          <w:color w:val="auto"/>
          <w:kern w:val="0"/>
          <w:sz w:val="28"/>
          <w:szCs w:val="28"/>
          <w:highlight w:val="none"/>
          <w:lang w:eastAsia="zh-CN"/>
        </w:rPr>
        <w:t>检测</w:t>
      </w:r>
      <w:r>
        <w:rPr>
          <w:rFonts w:hint="eastAsia" w:ascii="仿宋_GB2312" w:eastAsia="仿宋_GB2312"/>
          <w:color w:val="auto"/>
          <w:kern w:val="0"/>
          <w:sz w:val="28"/>
          <w:szCs w:val="28"/>
          <w:highlight w:val="none"/>
        </w:rPr>
        <w:t>工</w:t>
      </w:r>
      <w:r>
        <w:rPr>
          <w:rFonts w:hint="eastAsia" w:ascii="仿宋_GB2312" w:hAnsi="宋体" w:eastAsia="仿宋_GB2312"/>
          <w:color w:val="auto"/>
          <w:sz w:val="28"/>
          <w:szCs w:val="28"/>
          <w:highlight w:val="none"/>
        </w:rPr>
        <w:t>作的相关文件。工程竣工后，应当按照档案管理规定将</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有关文件归档。</w:t>
      </w:r>
    </w:p>
    <w:p w14:paraId="56C3862A">
      <w:pPr>
        <w:spacing w:line="42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2.7 </w:t>
      </w:r>
      <w:r>
        <w:rPr>
          <w:rFonts w:hint="eastAsia" w:ascii="仿宋_GB2312" w:hAnsi="宋体" w:eastAsia="仿宋_GB2312" w:cs="宋体"/>
          <w:color w:val="auto"/>
          <w:kern w:val="0"/>
          <w:sz w:val="28"/>
          <w:szCs w:val="28"/>
          <w:highlight w:val="none"/>
        </w:rPr>
        <w:t>使用委托人的财产</w:t>
      </w:r>
    </w:p>
    <w:p w14:paraId="6ED86DB3">
      <w:pPr>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人无偿使用附录</w:t>
      </w:r>
      <w:r>
        <w:rPr>
          <w:rFonts w:hint="eastAsia" w:ascii="仿宋_GB2312" w:eastAsia="仿宋_GB2312"/>
          <w:color w:val="auto"/>
          <w:sz w:val="28"/>
          <w:szCs w:val="28"/>
          <w:highlight w:val="none"/>
        </w:rPr>
        <w:t>B</w:t>
      </w:r>
      <w:r>
        <w:rPr>
          <w:rFonts w:hint="eastAsia" w:ascii="仿宋_GB2312" w:hAnsi="宋体" w:eastAsia="仿宋_GB2312"/>
          <w:color w:val="auto"/>
          <w:sz w:val="28"/>
          <w:szCs w:val="28"/>
          <w:highlight w:val="none"/>
        </w:rPr>
        <w:t>中由委托人派遣的人员和提供的房屋、资料、设备。除专用条件另有约定外，委托人提供的房屋、设备属于委托人的财产，</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人应妥善使用和保管，在本合同终止时将这些房屋、设备的清单提交委托人，并按专用条件约定的时间和方式移交。</w:t>
      </w:r>
    </w:p>
    <w:p w14:paraId="1C9CFD6B">
      <w:pPr>
        <w:spacing w:line="420" w:lineRule="exact"/>
        <w:rPr>
          <w:rFonts w:hint="eastAsia" w:ascii="仿宋_GB2312" w:hAnsi="黑体" w:eastAsia="仿宋_GB2312"/>
          <w:b/>
          <w:color w:val="auto"/>
          <w:kern w:val="0"/>
          <w:sz w:val="28"/>
          <w:szCs w:val="28"/>
          <w:highlight w:val="none"/>
        </w:rPr>
      </w:pPr>
      <w:r>
        <w:rPr>
          <w:rFonts w:hint="eastAsia" w:ascii="仿宋_GB2312" w:hAnsi="黑体" w:eastAsia="仿宋_GB2312"/>
          <w:b/>
          <w:color w:val="auto"/>
          <w:kern w:val="0"/>
          <w:sz w:val="28"/>
          <w:szCs w:val="28"/>
          <w:highlight w:val="none"/>
        </w:rPr>
        <w:t>3．委托人的义务</w:t>
      </w:r>
    </w:p>
    <w:p w14:paraId="396B63E0">
      <w:pPr>
        <w:spacing w:line="42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3.1 </w:t>
      </w:r>
      <w:r>
        <w:rPr>
          <w:rFonts w:hint="eastAsia" w:ascii="仿宋_GB2312" w:hAnsi="宋体" w:eastAsia="仿宋_GB2312" w:cs="宋体"/>
          <w:color w:val="auto"/>
          <w:kern w:val="0"/>
          <w:sz w:val="28"/>
          <w:szCs w:val="28"/>
          <w:highlight w:val="none"/>
        </w:rPr>
        <w:t>告知</w:t>
      </w:r>
    </w:p>
    <w:p w14:paraId="37F2742D">
      <w:pPr>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委托人应在委托人与承包人签订的合同中明确</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w:t>
      </w:r>
      <w:r>
        <w:rPr>
          <w:rFonts w:hint="eastAsia" w:ascii="仿宋_GB2312" w:hAnsi="宋体" w:eastAsia="仿宋_GB2312" w:cs="Times New Roman"/>
          <w:color w:val="auto"/>
          <w:kern w:val="0"/>
          <w:sz w:val="28"/>
          <w:szCs w:val="28"/>
          <w:highlight w:val="none"/>
        </w:rPr>
        <w:t>、项目负责人、技术</w:t>
      </w:r>
      <w:r>
        <w:rPr>
          <w:rFonts w:hint="eastAsia" w:ascii="仿宋_GB2312" w:hAnsi="宋体" w:eastAsia="仿宋_GB2312" w:cs="Times New Roman"/>
          <w:color w:val="auto"/>
          <w:kern w:val="0"/>
          <w:sz w:val="28"/>
          <w:szCs w:val="28"/>
          <w:highlight w:val="none"/>
          <w:lang w:val="en-US" w:eastAsia="zh-CN"/>
        </w:rPr>
        <w:t>负责人</w:t>
      </w:r>
      <w:r>
        <w:rPr>
          <w:rFonts w:hint="eastAsia" w:ascii="仿宋_GB2312" w:hAnsi="宋体" w:eastAsia="仿宋_GB2312" w:cs="Times New Roman"/>
          <w:color w:val="auto"/>
          <w:kern w:val="0"/>
          <w:sz w:val="28"/>
          <w:szCs w:val="28"/>
          <w:highlight w:val="none"/>
        </w:rPr>
        <w:t>和授</w:t>
      </w:r>
      <w:r>
        <w:rPr>
          <w:rFonts w:hint="eastAsia" w:ascii="仿宋_GB2312" w:hAnsi="宋体" w:eastAsia="仿宋_GB2312"/>
          <w:color w:val="auto"/>
          <w:kern w:val="0"/>
          <w:sz w:val="28"/>
          <w:szCs w:val="28"/>
          <w:highlight w:val="none"/>
        </w:rPr>
        <w:t>予项目</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机构的权限。如有变更，应及时通知承包人。</w:t>
      </w:r>
    </w:p>
    <w:p w14:paraId="47DABC67">
      <w:pPr>
        <w:spacing w:line="42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3.2 </w:t>
      </w:r>
      <w:r>
        <w:rPr>
          <w:rFonts w:hint="eastAsia" w:ascii="仿宋_GB2312" w:hAnsi="宋体" w:eastAsia="仿宋_GB2312" w:cs="宋体"/>
          <w:color w:val="auto"/>
          <w:kern w:val="0"/>
          <w:sz w:val="28"/>
          <w:szCs w:val="28"/>
          <w:highlight w:val="none"/>
        </w:rPr>
        <w:t>提供资料</w:t>
      </w:r>
    </w:p>
    <w:p w14:paraId="4B2B0F48">
      <w:pPr>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kern w:val="0"/>
          <w:sz w:val="28"/>
          <w:szCs w:val="28"/>
          <w:highlight w:val="none"/>
        </w:rPr>
        <w:t>委托人应按照附录B约定，无偿向</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人提供工程有关的资料。</w:t>
      </w:r>
      <w:r>
        <w:rPr>
          <w:rFonts w:hint="eastAsia" w:ascii="仿宋_GB2312" w:hAnsi="宋体" w:eastAsia="仿宋_GB2312"/>
          <w:color w:val="auto"/>
          <w:sz w:val="28"/>
          <w:szCs w:val="28"/>
          <w:highlight w:val="none"/>
        </w:rPr>
        <w:t>在本合同履行过程中，委托人应及时向</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人提供最新的与工程有关的资料。</w:t>
      </w:r>
    </w:p>
    <w:p w14:paraId="174A7E84">
      <w:pPr>
        <w:spacing w:line="42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3.3 </w:t>
      </w:r>
      <w:r>
        <w:rPr>
          <w:rFonts w:hint="eastAsia" w:ascii="仿宋_GB2312" w:hAnsi="宋体" w:eastAsia="仿宋_GB2312" w:cs="宋体"/>
          <w:color w:val="auto"/>
          <w:kern w:val="0"/>
          <w:sz w:val="28"/>
          <w:szCs w:val="28"/>
          <w:highlight w:val="none"/>
        </w:rPr>
        <w:t>提供工作条件</w:t>
      </w:r>
    </w:p>
    <w:p w14:paraId="1EABC495">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委托人应为</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人完成</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与相关服务提供必要的条件。</w:t>
      </w:r>
    </w:p>
    <w:p w14:paraId="3CAC0CB6">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kern w:val="0"/>
          <w:sz w:val="28"/>
          <w:szCs w:val="28"/>
          <w:highlight w:val="none"/>
        </w:rPr>
        <w:t xml:space="preserve">3.3.1 </w:t>
      </w:r>
      <w:r>
        <w:rPr>
          <w:rFonts w:hint="eastAsia" w:ascii="仿宋_GB2312" w:hAnsi="宋体" w:eastAsia="仿宋_GB2312"/>
          <w:color w:val="auto"/>
          <w:sz w:val="28"/>
          <w:szCs w:val="28"/>
          <w:highlight w:val="none"/>
        </w:rPr>
        <w:t>委托人应按照附录</w:t>
      </w:r>
      <w:r>
        <w:rPr>
          <w:rFonts w:hint="eastAsia" w:ascii="仿宋_GB2312" w:eastAsia="仿宋_GB2312"/>
          <w:color w:val="auto"/>
          <w:sz w:val="28"/>
          <w:szCs w:val="28"/>
          <w:highlight w:val="none"/>
        </w:rPr>
        <w:t>B</w:t>
      </w:r>
      <w:r>
        <w:rPr>
          <w:rFonts w:hint="eastAsia" w:ascii="仿宋_GB2312" w:hAnsi="宋体" w:eastAsia="仿宋_GB2312"/>
          <w:color w:val="auto"/>
          <w:sz w:val="28"/>
          <w:szCs w:val="28"/>
          <w:highlight w:val="none"/>
        </w:rPr>
        <w:t>约定，派遣相应的人员，提供房屋、设备，供</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w:t>
      </w:r>
      <w:r>
        <w:rPr>
          <w:rFonts w:hint="eastAsia" w:ascii="仿宋_GB2312" w:hAnsi="宋体" w:eastAsia="仿宋_GB2312"/>
          <w:color w:val="auto"/>
          <w:kern w:val="0"/>
          <w:sz w:val="28"/>
          <w:szCs w:val="28"/>
          <w:highlight w:val="none"/>
        </w:rPr>
        <w:t>无偿</w:t>
      </w:r>
      <w:r>
        <w:rPr>
          <w:rFonts w:hint="eastAsia" w:ascii="仿宋_GB2312" w:hAnsi="宋体" w:eastAsia="仿宋_GB2312"/>
          <w:color w:val="auto"/>
          <w:sz w:val="28"/>
          <w:szCs w:val="28"/>
          <w:highlight w:val="none"/>
        </w:rPr>
        <w:t>使用。</w:t>
      </w:r>
    </w:p>
    <w:p w14:paraId="704BF000">
      <w:pPr>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kern w:val="0"/>
          <w:sz w:val="28"/>
          <w:szCs w:val="28"/>
          <w:highlight w:val="none"/>
        </w:rPr>
        <w:t xml:space="preserve">3.3.2 </w:t>
      </w:r>
      <w:r>
        <w:rPr>
          <w:rFonts w:hint="eastAsia" w:ascii="仿宋_GB2312" w:hAnsi="宋体" w:eastAsia="仿宋_GB2312"/>
          <w:color w:val="auto"/>
          <w:sz w:val="28"/>
          <w:szCs w:val="28"/>
          <w:highlight w:val="none"/>
        </w:rPr>
        <w:t>委托人应负责协调工程建设中所有外部关系，为</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人履行本合同提供必要的外部条件。</w:t>
      </w:r>
    </w:p>
    <w:p w14:paraId="7CDA9832">
      <w:pPr>
        <w:snapToGrid w:val="0"/>
        <w:spacing w:line="42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3.4 </w:t>
      </w:r>
      <w:r>
        <w:rPr>
          <w:rFonts w:hint="eastAsia" w:ascii="仿宋_GB2312" w:hAnsi="宋体" w:eastAsia="仿宋_GB2312" w:cs="宋体"/>
          <w:color w:val="auto"/>
          <w:kern w:val="0"/>
          <w:sz w:val="28"/>
          <w:szCs w:val="28"/>
          <w:highlight w:val="none"/>
        </w:rPr>
        <w:t>委托人代表</w:t>
      </w:r>
    </w:p>
    <w:p w14:paraId="42C9154E">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委托人应授权一名熟悉工程情况的代表，负责与</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人联系。委托人应在双方签订本合同后7天内，将委托人代表的姓名和职责书面告知</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人。当委托人更换委托人代表时，应提前</w:t>
      </w:r>
      <w:r>
        <w:rPr>
          <w:rFonts w:hint="eastAsia" w:ascii="仿宋_GB2312" w:eastAsia="仿宋_GB2312"/>
          <w:color w:val="auto"/>
          <w:sz w:val="28"/>
          <w:szCs w:val="28"/>
          <w:highlight w:val="none"/>
        </w:rPr>
        <w:t>7天</w:t>
      </w:r>
      <w:r>
        <w:rPr>
          <w:rFonts w:hint="eastAsia" w:ascii="仿宋_GB2312" w:hAnsi="宋体" w:eastAsia="仿宋_GB2312"/>
          <w:color w:val="auto"/>
          <w:sz w:val="28"/>
          <w:szCs w:val="28"/>
          <w:highlight w:val="none"/>
        </w:rPr>
        <w:t>通知</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w:t>
      </w:r>
    </w:p>
    <w:p w14:paraId="79C963C0">
      <w:pPr>
        <w:snapToGrid w:val="0"/>
        <w:spacing w:line="42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3.5 </w:t>
      </w:r>
      <w:r>
        <w:rPr>
          <w:rFonts w:hint="eastAsia" w:ascii="仿宋_GB2312" w:hAnsi="宋体" w:eastAsia="仿宋_GB2312" w:cs="宋体"/>
          <w:color w:val="auto"/>
          <w:kern w:val="0"/>
          <w:sz w:val="28"/>
          <w:szCs w:val="28"/>
          <w:highlight w:val="none"/>
        </w:rPr>
        <w:t>委托人意见或要求</w:t>
      </w:r>
    </w:p>
    <w:p w14:paraId="71E8404A">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在本合同约定的</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与相关服务工作范围内，委托人对承包人的任何意见或要求应通知</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人，由</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人向承包人发出相应指令。</w:t>
      </w:r>
    </w:p>
    <w:p w14:paraId="79361A4E">
      <w:pPr>
        <w:snapToGrid w:val="0"/>
        <w:spacing w:line="42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3.6 </w:t>
      </w:r>
      <w:r>
        <w:rPr>
          <w:rFonts w:hint="eastAsia" w:ascii="仿宋_GB2312" w:hAnsi="宋体" w:eastAsia="仿宋_GB2312" w:cs="宋体"/>
          <w:color w:val="auto"/>
          <w:kern w:val="0"/>
          <w:sz w:val="28"/>
          <w:szCs w:val="28"/>
          <w:highlight w:val="none"/>
        </w:rPr>
        <w:t>答复</w:t>
      </w:r>
    </w:p>
    <w:p w14:paraId="2A6EDCCC">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委托人应在专用条件约定的时间内，对</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人以书面形式提交并要求作出决定的事宜，给予书面答复。逾期未答复的，视为委托人认可。</w:t>
      </w:r>
    </w:p>
    <w:p w14:paraId="6DF6CDAD">
      <w:pPr>
        <w:snapToGrid w:val="0"/>
        <w:spacing w:line="42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3.7 </w:t>
      </w:r>
      <w:r>
        <w:rPr>
          <w:rFonts w:hint="eastAsia" w:ascii="仿宋_GB2312" w:hAnsi="宋体" w:eastAsia="仿宋_GB2312" w:cs="宋体"/>
          <w:color w:val="auto"/>
          <w:kern w:val="0"/>
          <w:sz w:val="28"/>
          <w:szCs w:val="28"/>
          <w:highlight w:val="none"/>
        </w:rPr>
        <w:t>支付</w:t>
      </w:r>
    </w:p>
    <w:p w14:paraId="1F69A9F5">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委托人应按本合同约定，向</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人支付酬金。</w:t>
      </w:r>
    </w:p>
    <w:p w14:paraId="157C5D5F">
      <w:pPr>
        <w:snapToGrid w:val="0"/>
        <w:spacing w:line="420" w:lineRule="exact"/>
        <w:rPr>
          <w:rFonts w:hint="eastAsia" w:ascii="仿宋_GB2312" w:hAnsi="黑体" w:eastAsia="仿宋_GB2312"/>
          <w:b/>
          <w:bCs/>
          <w:color w:val="auto"/>
          <w:sz w:val="28"/>
          <w:szCs w:val="28"/>
          <w:highlight w:val="none"/>
        </w:rPr>
      </w:pPr>
      <w:r>
        <w:rPr>
          <w:rFonts w:hint="eastAsia" w:ascii="仿宋_GB2312" w:hAnsi="黑体" w:eastAsia="仿宋_GB2312"/>
          <w:b/>
          <w:bCs/>
          <w:color w:val="auto"/>
          <w:sz w:val="28"/>
          <w:szCs w:val="28"/>
          <w:highlight w:val="none"/>
        </w:rPr>
        <w:t>4. 违约责任</w:t>
      </w:r>
    </w:p>
    <w:p w14:paraId="4CC1B700">
      <w:pPr>
        <w:spacing w:line="42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4.1 </w:t>
      </w:r>
      <w:r>
        <w:rPr>
          <w:rFonts w:hint="eastAsia" w:ascii="仿宋_GB2312" w:hAnsi="宋体" w:eastAsia="仿宋_GB2312" w:cs="宋体"/>
          <w:color w:val="auto"/>
          <w:kern w:val="0"/>
          <w:sz w:val="28"/>
          <w:szCs w:val="28"/>
          <w:highlight w:val="none"/>
          <w:lang w:eastAsia="zh-CN"/>
        </w:rPr>
        <w:t>检测</w:t>
      </w:r>
      <w:r>
        <w:rPr>
          <w:rFonts w:hint="eastAsia" w:ascii="仿宋_GB2312" w:hAnsi="宋体" w:eastAsia="仿宋_GB2312" w:cs="宋体"/>
          <w:color w:val="auto"/>
          <w:kern w:val="0"/>
          <w:sz w:val="28"/>
          <w:szCs w:val="28"/>
          <w:highlight w:val="none"/>
        </w:rPr>
        <w:t>人的违约责任</w:t>
      </w:r>
    </w:p>
    <w:p w14:paraId="7CB16BDE">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人未履行本合同义务的，应承担相应的责任。</w:t>
      </w:r>
    </w:p>
    <w:p w14:paraId="64CF3C5F">
      <w:pPr>
        <w:adjustRightInd w:val="0"/>
        <w:snapToGrid w:val="0"/>
        <w:spacing w:line="420" w:lineRule="exact"/>
        <w:ind w:firstLine="560" w:firstLineChars="200"/>
        <w:rPr>
          <w:rFonts w:hint="eastAsia" w:ascii="仿宋_GB2312" w:eastAsia="仿宋_GB2312"/>
          <w:color w:val="auto"/>
          <w:kern w:val="0"/>
          <w:sz w:val="28"/>
          <w:szCs w:val="28"/>
          <w:highlight w:val="none"/>
        </w:rPr>
      </w:pPr>
      <w:r>
        <w:rPr>
          <w:rFonts w:hint="eastAsia" w:ascii="仿宋_GB2312" w:eastAsia="仿宋_GB2312"/>
          <w:color w:val="auto"/>
          <w:kern w:val="0"/>
          <w:sz w:val="28"/>
          <w:szCs w:val="28"/>
          <w:highlight w:val="none"/>
        </w:rPr>
        <w:t xml:space="preserve">4.1.1 </w:t>
      </w:r>
      <w:r>
        <w:rPr>
          <w:rFonts w:hint="eastAsia" w:ascii="仿宋_GB2312" w:hAnsi="宋体" w:eastAsia="仿宋_GB2312"/>
          <w:color w:val="auto"/>
          <w:kern w:val="0"/>
          <w:sz w:val="28"/>
          <w:szCs w:val="28"/>
          <w:highlight w:val="none"/>
        </w:rPr>
        <w:t>因</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w:t>
      </w:r>
      <w:r>
        <w:rPr>
          <w:rFonts w:hint="eastAsia" w:ascii="仿宋_GB2312" w:hAnsi="宋体" w:eastAsia="仿宋_GB2312" w:cs="宋体"/>
          <w:color w:val="auto"/>
          <w:kern w:val="0"/>
          <w:sz w:val="28"/>
          <w:szCs w:val="28"/>
          <w:highlight w:val="none"/>
        </w:rPr>
        <w:t>违反本合同约定</w:t>
      </w:r>
      <w:r>
        <w:rPr>
          <w:rFonts w:hint="eastAsia" w:ascii="仿宋_GB2312" w:hAnsi="宋体" w:eastAsia="仿宋_GB2312"/>
          <w:color w:val="auto"/>
          <w:sz w:val="28"/>
          <w:szCs w:val="28"/>
          <w:highlight w:val="none"/>
        </w:rPr>
        <w:t>给委托人造成损失的，</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人应当赔偿委托人损失</w:t>
      </w:r>
      <w:r>
        <w:rPr>
          <w:rFonts w:hint="eastAsia" w:ascii="仿宋_GB2312" w:hAnsi="宋体" w:eastAsia="仿宋_GB2312"/>
          <w:color w:val="auto"/>
          <w:kern w:val="0"/>
          <w:sz w:val="28"/>
          <w:szCs w:val="28"/>
          <w:highlight w:val="none"/>
        </w:rPr>
        <w:t>。赔偿金额的确定方法在专用条件中约定。</w:t>
      </w:r>
      <w:r>
        <w:rPr>
          <w:rFonts w:hint="eastAsia" w:ascii="仿宋_GB2312" w:eastAsia="仿宋_GB2312"/>
          <w:color w:val="auto"/>
          <w:kern w:val="0"/>
          <w:sz w:val="28"/>
          <w:szCs w:val="28"/>
          <w:highlight w:val="none"/>
          <w:lang w:eastAsia="zh-CN"/>
        </w:rPr>
        <w:t>检测</w:t>
      </w:r>
      <w:r>
        <w:rPr>
          <w:rFonts w:hint="eastAsia" w:ascii="仿宋_GB2312" w:eastAsia="仿宋_GB2312"/>
          <w:color w:val="auto"/>
          <w:kern w:val="0"/>
          <w:sz w:val="28"/>
          <w:szCs w:val="28"/>
          <w:highlight w:val="none"/>
        </w:rPr>
        <w:t>人承担部分赔偿责任的，其承担赔偿金额由双方协商确定。</w:t>
      </w:r>
    </w:p>
    <w:p w14:paraId="1839DD27">
      <w:pPr>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eastAsia="仿宋_GB2312"/>
          <w:color w:val="auto"/>
          <w:kern w:val="0"/>
          <w:sz w:val="28"/>
          <w:szCs w:val="28"/>
          <w:highlight w:val="none"/>
        </w:rPr>
        <w:t xml:space="preserve">4.1.2 </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人向委托人的索赔不成立时，</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人应赔偿委托人由此发生的费用。</w:t>
      </w:r>
    </w:p>
    <w:p w14:paraId="4C326460">
      <w:pPr>
        <w:snapToGrid w:val="0"/>
        <w:spacing w:line="420" w:lineRule="exact"/>
        <w:ind w:firstLine="280" w:firstLine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4.2 委</w:t>
      </w:r>
      <w:r>
        <w:rPr>
          <w:rFonts w:hint="eastAsia" w:ascii="仿宋_GB2312" w:hAnsi="宋体" w:eastAsia="仿宋_GB2312" w:cs="宋体"/>
          <w:color w:val="auto"/>
          <w:kern w:val="0"/>
          <w:sz w:val="28"/>
          <w:szCs w:val="28"/>
          <w:highlight w:val="none"/>
        </w:rPr>
        <w:t>托人的违约责任</w:t>
      </w:r>
    </w:p>
    <w:p w14:paraId="2CF5E66C">
      <w:pPr>
        <w:adjustRightInd w:val="0"/>
        <w:snapToGrid w:val="0"/>
        <w:spacing w:line="420" w:lineRule="exact"/>
        <w:ind w:firstLine="560" w:firstLineChars="200"/>
        <w:rPr>
          <w:rFonts w:hint="eastAsia" w:ascii="仿宋_GB2312" w:hAnsi="宋体" w:eastAsia="仿宋_GB2312" w:cs="宋体"/>
          <w:color w:val="auto"/>
          <w:kern w:val="0"/>
          <w:sz w:val="28"/>
          <w:szCs w:val="28"/>
          <w:highlight w:val="none"/>
        </w:rPr>
      </w:pPr>
      <w:r>
        <w:rPr>
          <w:rFonts w:hint="eastAsia" w:ascii="仿宋_GB2312" w:hAnsi="宋体" w:eastAsia="仿宋_GB2312"/>
          <w:color w:val="auto"/>
          <w:kern w:val="0"/>
          <w:sz w:val="28"/>
          <w:szCs w:val="28"/>
          <w:highlight w:val="none"/>
        </w:rPr>
        <w:t>委托人未履行本合同义务的，应承担相应的责任。</w:t>
      </w:r>
    </w:p>
    <w:p w14:paraId="00897B12">
      <w:pPr>
        <w:adjustRightInd w:val="0"/>
        <w:snapToGrid w:val="0"/>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eastAsia="仿宋_GB2312"/>
          <w:color w:val="auto"/>
          <w:kern w:val="0"/>
          <w:sz w:val="28"/>
          <w:szCs w:val="28"/>
          <w:highlight w:val="none"/>
        </w:rPr>
        <w:t xml:space="preserve">4.2.1 </w:t>
      </w:r>
      <w:r>
        <w:rPr>
          <w:rFonts w:hint="eastAsia" w:ascii="仿宋_GB2312" w:hAnsi="宋体" w:eastAsia="仿宋_GB2312"/>
          <w:color w:val="auto"/>
          <w:kern w:val="0"/>
          <w:sz w:val="28"/>
          <w:szCs w:val="28"/>
          <w:highlight w:val="none"/>
        </w:rPr>
        <w:t>委托人违反本合同约定造成</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人损失的，委托人应予以赔偿。</w:t>
      </w:r>
    </w:p>
    <w:p w14:paraId="1FA5D14F">
      <w:pPr>
        <w:adjustRightInd w:val="0"/>
        <w:snapToGrid w:val="0"/>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eastAsia="仿宋_GB2312"/>
          <w:color w:val="auto"/>
          <w:kern w:val="0"/>
          <w:sz w:val="28"/>
          <w:szCs w:val="28"/>
          <w:highlight w:val="none"/>
        </w:rPr>
        <w:t xml:space="preserve">4.2.2 </w:t>
      </w:r>
      <w:r>
        <w:rPr>
          <w:rFonts w:hint="eastAsia" w:ascii="仿宋_GB2312" w:hAnsi="宋体" w:eastAsia="仿宋_GB2312"/>
          <w:color w:val="auto"/>
          <w:kern w:val="0"/>
          <w:sz w:val="28"/>
          <w:szCs w:val="28"/>
          <w:highlight w:val="none"/>
        </w:rPr>
        <w:t>委托人向</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人的索赔不成立时，应赔偿</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人由此引起的费用。</w:t>
      </w:r>
    </w:p>
    <w:p w14:paraId="2D22232C">
      <w:pPr>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eastAsia="仿宋_GB2312"/>
          <w:color w:val="auto"/>
          <w:sz w:val="28"/>
          <w:szCs w:val="28"/>
          <w:highlight w:val="none"/>
        </w:rPr>
        <w:t xml:space="preserve">4.2.3 </w:t>
      </w:r>
      <w:r>
        <w:rPr>
          <w:rFonts w:hint="eastAsia" w:ascii="仿宋_GB2312" w:hAnsi="宋体" w:eastAsia="仿宋_GB2312"/>
          <w:color w:val="auto"/>
          <w:kern w:val="0"/>
          <w:sz w:val="28"/>
          <w:szCs w:val="28"/>
          <w:highlight w:val="none"/>
        </w:rPr>
        <w:t>委托人未能按期支付</w:t>
      </w:r>
      <w:r>
        <w:rPr>
          <w:rFonts w:hint="eastAsia" w:ascii="仿宋_GB2312" w:hAnsi="宋体" w:eastAsia="仿宋_GB2312"/>
          <w:color w:val="auto"/>
          <w:sz w:val="28"/>
          <w:szCs w:val="28"/>
          <w:highlight w:val="none"/>
        </w:rPr>
        <w:t>酬金</w:t>
      </w:r>
      <w:r>
        <w:rPr>
          <w:rFonts w:hint="eastAsia" w:ascii="仿宋_GB2312" w:hAnsi="宋体" w:eastAsia="仿宋_GB2312"/>
          <w:color w:val="auto"/>
          <w:kern w:val="0"/>
          <w:sz w:val="28"/>
          <w:szCs w:val="28"/>
          <w:highlight w:val="none"/>
        </w:rPr>
        <w:t>超过</w:t>
      </w:r>
      <w:r>
        <w:rPr>
          <w:rFonts w:hint="eastAsia" w:ascii="仿宋_GB2312" w:eastAsia="仿宋_GB2312"/>
          <w:color w:val="auto"/>
          <w:kern w:val="0"/>
          <w:sz w:val="28"/>
          <w:szCs w:val="28"/>
          <w:highlight w:val="none"/>
        </w:rPr>
        <w:t>28</w:t>
      </w:r>
      <w:r>
        <w:rPr>
          <w:rFonts w:hint="eastAsia" w:ascii="仿宋_GB2312" w:hAnsi="宋体" w:eastAsia="仿宋_GB2312"/>
          <w:color w:val="auto"/>
          <w:kern w:val="0"/>
          <w:sz w:val="28"/>
          <w:szCs w:val="28"/>
          <w:highlight w:val="none"/>
        </w:rPr>
        <w:t>天，</w:t>
      </w:r>
      <w:r>
        <w:rPr>
          <w:rFonts w:hint="eastAsia" w:ascii="仿宋_GB2312" w:hAnsi="宋体" w:eastAsia="仿宋_GB2312" w:cs="宋体"/>
          <w:color w:val="auto"/>
          <w:kern w:val="0"/>
          <w:sz w:val="28"/>
          <w:szCs w:val="28"/>
          <w:highlight w:val="none"/>
        </w:rPr>
        <w:t>应按专用条件约定支付逾期付款利息</w:t>
      </w:r>
      <w:r>
        <w:rPr>
          <w:rFonts w:hint="eastAsia" w:ascii="仿宋_GB2312" w:hAnsi="宋体" w:eastAsia="仿宋_GB2312"/>
          <w:color w:val="auto"/>
          <w:kern w:val="0"/>
          <w:sz w:val="28"/>
          <w:szCs w:val="28"/>
          <w:highlight w:val="none"/>
        </w:rPr>
        <w:t>。</w:t>
      </w:r>
    </w:p>
    <w:p w14:paraId="79AAED82">
      <w:pPr>
        <w:spacing w:line="420" w:lineRule="exact"/>
        <w:ind w:firstLine="280" w:firstLineChars="100"/>
        <w:rPr>
          <w:rFonts w:hint="eastAsia" w:ascii="仿宋_GB2312" w:hAnsi="宋体" w:eastAsia="仿宋_GB2312"/>
          <w:color w:val="auto"/>
          <w:kern w:val="0"/>
          <w:sz w:val="28"/>
          <w:szCs w:val="28"/>
          <w:highlight w:val="none"/>
        </w:rPr>
      </w:pPr>
      <w:r>
        <w:rPr>
          <w:rFonts w:hint="eastAsia" w:ascii="仿宋_GB2312" w:eastAsia="仿宋_GB2312"/>
          <w:color w:val="auto"/>
          <w:kern w:val="0"/>
          <w:sz w:val="28"/>
          <w:szCs w:val="28"/>
          <w:highlight w:val="none"/>
        </w:rPr>
        <w:t xml:space="preserve">4.3 </w:t>
      </w:r>
      <w:r>
        <w:rPr>
          <w:rFonts w:hint="eastAsia" w:ascii="仿宋_GB2312" w:hAnsi="宋体" w:eastAsia="仿宋_GB2312"/>
          <w:color w:val="auto"/>
          <w:kern w:val="0"/>
          <w:sz w:val="28"/>
          <w:szCs w:val="28"/>
          <w:highlight w:val="none"/>
        </w:rPr>
        <w:t>除外责任</w:t>
      </w:r>
    </w:p>
    <w:p w14:paraId="431B6393">
      <w:pPr>
        <w:adjustRightInd w:val="0"/>
        <w:snapToGrid w:val="0"/>
        <w:spacing w:line="420" w:lineRule="exact"/>
        <w:ind w:firstLine="560" w:firstLineChars="200"/>
        <w:rPr>
          <w:rFonts w:hint="eastAsia" w:ascii="仿宋_GB2312" w:eastAsia="仿宋_GB2312"/>
          <w:color w:val="auto"/>
          <w:kern w:val="0"/>
          <w:sz w:val="28"/>
          <w:szCs w:val="28"/>
          <w:highlight w:val="none"/>
        </w:rPr>
      </w:pPr>
      <w:r>
        <w:rPr>
          <w:rFonts w:hint="eastAsia" w:ascii="仿宋_GB2312" w:hAnsi="宋体" w:eastAsia="仿宋_GB2312"/>
          <w:color w:val="auto"/>
          <w:kern w:val="0"/>
          <w:sz w:val="28"/>
          <w:szCs w:val="28"/>
          <w:highlight w:val="none"/>
        </w:rPr>
        <w:t>因非</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人的原因，且</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人无过错，发生工程质量事故、安全事故、工期延误等造成的损失，</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人不承担赔偿责任。</w:t>
      </w:r>
    </w:p>
    <w:p w14:paraId="038D100F">
      <w:pPr>
        <w:snapToGrid w:val="0"/>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因不可抗力导致本合同全部或部分不能履行时，双方各自承担其因此而造成的损失、损害。</w:t>
      </w:r>
    </w:p>
    <w:p w14:paraId="59F23087">
      <w:pPr>
        <w:snapToGrid w:val="0"/>
        <w:spacing w:line="420" w:lineRule="exact"/>
        <w:rPr>
          <w:rFonts w:hint="eastAsia" w:ascii="仿宋_GB2312" w:hAnsi="宋体" w:eastAsia="仿宋_GB2312"/>
          <w:b/>
          <w:bCs/>
          <w:color w:val="auto"/>
          <w:sz w:val="28"/>
          <w:szCs w:val="28"/>
          <w:highlight w:val="none"/>
        </w:rPr>
      </w:pPr>
      <w:r>
        <w:rPr>
          <w:rFonts w:hint="eastAsia" w:ascii="仿宋_GB2312" w:hAnsi="黑体" w:eastAsia="仿宋_GB2312"/>
          <w:b/>
          <w:bCs/>
          <w:color w:val="auto"/>
          <w:sz w:val="28"/>
          <w:szCs w:val="28"/>
          <w:highlight w:val="none"/>
        </w:rPr>
        <w:t>5. 支付</w:t>
      </w:r>
    </w:p>
    <w:p w14:paraId="12420888">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5.1 </w:t>
      </w:r>
      <w:r>
        <w:rPr>
          <w:rFonts w:hint="eastAsia" w:ascii="仿宋_GB2312" w:hAnsi="宋体" w:eastAsia="仿宋_GB2312"/>
          <w:bCs/>
          <w:color w:val="auto"/>
          <w:sz w:val="28"/>
          <w:szCs w:val="28"/>
          <w:highlight w:val="none"/>
        </w:rPr>
        <w:t>支付货币</w:t>
      </w:r>
    </w:p>
    <w:p w14:paraId="33C209E1">
      <w:pPr>
        <w:snapToGrid w:val="0"/>
        <w:spacing w:line="420" w:lineRule="exact"/>
        <w:ind w:firstLine="560" w:firstLineChars="2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除专用条件另有约定外，酬金均以人民币支付。涉及外币支付的，</w:t>
      </w:r>
      <w:r>
        <w:rPr>
          <w:rFonts w:hint="eastAsia" w:ascii="仿宋_GB2312" w:hAnsi="宋体" w:eastAsia="仿宋_GB2312"/>
          <w:color w:val="auto"/>
          <w:sz w:val="28"/>
          <w:szCs w:val="28"/>
          <w:highlight w:val="none"/>
        </w:rPr>
        <w:t>所采用的货币种类、比例和汇率在专用条件中约定。</w:t>
      </w:r>
    </w:p>
    <w:p w14:paraId="5A9C09EF">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5.2 </w:t>
      </w:r>
      <w:r>
        <w:rPr>
          <w:rFonts w:hint="eastAsia" w:ascii="仿宋_GB2312" w:hAnsi="宋体" w:eastAsia="仿宋_GB2312"/>
          <w:color w:val="auto"/>
          <w:sz w:val="28"/>
          <w:szCs w:val="28"/>
          <w:highlight w:val="none"/>
        </w:rPr>
        <w:t>支付申请</w:t>
      </w:r>
    </w:p>
    <w:p w14:paraId="1BC0D3A8">
      <w:pPr>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检测</w:t>
      </w:r>
      <w:r>
        <w:rPr>
          <w:rFonts w:hint="eastAsia" w:ascii="仿宋_GB2312" w:eastAsia="仿宋_GB2312"/>
          <w:color w:val="auto"/>
          <w:sz w:val="28"/>
          <w:szCs w:val="28"/>
          <w:highlight w:val="none"/>
        </w:rPr>
        <w:t>人应在本合同约定的每次应付款时间的7天前，向委托人提交支付申请书。支付申请书应当说明当期应付款总额，并列出当期应支付的款项及其金额。</w:t>
      </w:r>
    </w:p>
    <w:p w14:paraId="63CA4E7E">
      <w:pPr>
        <w:snapToGrid w:val="0"/>
        <w:spacing w:line="42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5.3 支付酬金</w:t>
      </w:r>
    </w:p>
    <w:p w14:paraId="14F2B0A5">
      <w:pPr>
        <w:snapToGrid w:val="0"/>
        <w:spacing w:line="420" w:lineRule="exact"/>
        <w:ind w:firstLine="48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支付的</w:t>
      </w:r>
      <w:r>
        <w:rPr>
          <w:rFonts w:hint="eastAsia" w:ascii="仿宋_GB2312" w:hAnsi="宋体" w:eastAsia="仿宋_GB2312"/>
          <w:color w:val="auto"/>
          <w:sz w:val="28"/>
          <w:szCs w:val="28"/>
          <w:highlight w:val="none"/>
        </w:rPr>
        <w:t>酬金</w:t>
      </w:r>
      <w:r>
        <w:rPr>
          <w:rFonts w:hint="eastAsia" w:ascii="仿宋_GB2312" w:eastAsia="仿宋_GB2312"/>
          <w:color w:val="auto"/>
          <w:sz w:val="28"/>
          <w:szCs w:val="28"/>
          <w:highlight w:val="none"/>
        </w:rPr>
        <w:t>包括正常工作酬金、附加工作酬金、合理化建议奖励金额及费用。</w:t>
      </w:r>
    </w:p>
    <w:p w14:paraId="4AFECF76">
      <w:pPr>
        <w:snapToGrid w:val="0"/>
        <w:spacing w:line="420" w:lineRule="exact"/>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  5.4 </w:t>
      </w:r>
      <w:r>
        <w:rPr>
          <w:rFonts w:hint="eastAsia" w:ascii="仿宋_GB2312" w:hAnsi="宋体" w:eastAsia="仿宋_GB2312"/>
          <w:bCs/>
          <w:color w:val="auto"/>
          <w:sz w:val="28"/>
          <w:szCs w:val="28"/>
          <w:highlight w:val="none"/>
        </w:rPr>
        <w:t>有争议部分的付款</w:t>
      </w:r>
    </w:p>
    <w:p w14:paraId="040E3AB4">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委托人对</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人提交的支付申请书有异议时，应当在收到</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人提交的支付申请书后</w:t>
      </w:r>
      <w:r>
        <w:rPr>
          <w:rFonts w:hint="eastAsia" w:ascii="仿宋_GB2312" w:eastAsia="仿宋_GB2312"/>
          <w:color w:val="auto"/>
          <w:sz w:val="28"/>
          <w:szCs w:val="28"/>
          <w:highlight w:val="none"/>
        </w:rPr>
        <w:t>7</w:t>
      </w:r>
      <w:r>
        <w:rPr>
          <w:rFonts w:hint="eastAsia" w:ascii="仿宋_GB2312" w:hAnsi="宋体" w:eastAsia="仿宋_GB2312"/>
          <w:color w:val="auto"/>
          <w:sz w:val="28"/>
          <w:szCs w:val="28"/>
          <w:highlight w:val="none"/>
        </w:rPr>
        <w:t>天内，以书面形式向</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人发出异议通知。无异议部分的款项应按期支付，有异议部分的款项按第7条约定办理。</w:t>
      </w:r>
    </w:p>
    <w:p w14:paraId="4B82FED3">
      <w:pPr>
        <w:snapToGrid w:val="0"/>
        <w:spacing w:line="420" w:lineRule="exact"/>
        <w:rPr>
          <w:rFonts w:hint="eastAsia" w:ascii="仿宋_GB2312" w:hAnsi="黑体" w:eastAsia="仿宋_GB2312"/>
          <w:b/>
          <w:bCs/>
          <w:color w:val="auto"/>
          <w:sz w:val="28"/>
          <w:szCs w:val="28"/>
          <w:highlight w:val="none"/>
        </w:rPr>
      </w:pPr>
      <w:r>
        <w:rPr>
          <w:rFonts w:hint="eastAsia" w:ascii="仿宋_GB2312" w:hAnsi="黑体" w:eastAsia="仿宋_GB2312"/>
          <w:b/>
          <w:bCs/>
          <w:color w:val="auto"/>
          <w:sz w:val="28"/>
          <w:szCs w:val="28"/>
          <w:highlight w:val="none"/>
        </w:rPr>
        <w:t>6. 合同生效、变更、暂停、解除与终止</w:t>
      </w:r>
    </w:p>
    <w:p w14:paraId="33722C86">
      <w:pPr>
        <w:spacing w:line="420" w:lineRule="exact"/>
        <w:ind w:left="210" w:leftChars="1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6.1</w:t>
      </w:r>
      <w:r>
        <w:rPr>
          <w:rFonts w:hint="eastAsia" w:ascii="仿宋_GB2312" w:hAnsi="宋体" w:eastAsia="仿宋_GB2312"/>
          <w:color w:val="auto"/>
          <w:sz w:val="28"/>
          <w:szCs w:val="28"/>
          <w:highlight w:val="none"/>
        </w:rPr>
        <w:t>生效</w:t>
      </w:r>
    </w:p>
    <w:p w14:paraId="3914F669">
      <w:pPr>
        <w:spacing w:line="4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除法律另有规定或者专用条件另有约定外，委托人和</w:t>
      </w:r>
      <w:r>
        <w:rPr>
          <w:rFonts w:hint="eastAsia" w:ascii="仿宋_GB2312" w:eastAsia="仿宋_GB2312"/>
          <w:color w:val="auto"/>
          <w:sz w:val="28"/>
          <w:szCs w:val="28"/>
          <w:highlight w:val="none"/>
          <w:lang w:eastAsia="zh-CN"/>
        </w:rPr>
        <w:t>检测</w:t>
      </w:r>
      <w:r>
        <w:rPr>
          <w:rFonts w:hint="eastAsia" w:ascii="仿宋_GB2312" w:eastAsia="仿宋_GB2312"/>
          <w:color w:val="auto"/>
          <w:sz w:val="28"/>
          <w:szCs w:val="28"/>
          <w:highlight w:val="none"/>
        </w:rPr>
        <w:t>人的法定代表人或其授权代理人在协议书上签字并盖单位章后本合同生效。</w:t>
      </w:r>
    </w:p>
    <w:p w14:paraId="0B1ED972">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6.2</w:t>
      </w:r>
      <w:r>
        <w:rPr>
          <w:rFonts w:hint="eastAsia" w:ascii="仿宋_GB2312" w:hAnsi="宋体" w:eastAsia="仿宋_GB2312"/>
          <w:bCs/>
          <w:color w:val="auto"/>
          <w:sz w:val="28"/>
          <w:szCs w:val="28"/>
          <w:highlight w:val="none"/>
        </w:rPr>
        <w:t>变更</w:t>
      </w:r>
    </w:p>
    <w:p w14:paraId="6E6EC417">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6.2.1 任何一方提出变更请求时，双方经协商一致后可进行变更。</w:t>
      </w:r>
    </w:p>
    <w:p w14:paraId="6679C455">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6.2.2除不可抗力外，因非</w:t>
      </w:r>
      <w:r>
        <w:rPr>
          <w:rFonts w:hint="eastAsia" w:ascii="仿宋_GB2312" w:eastAsia="仿宋_GB2312"/>
          <w:color w:val="auto"/>
          <w:sz w:val="28"/>
          <w:szCs w:val="28"/>
          <w:highlight w:val="none"/>
          <w:lang w:eastAsia="zh-CN"/>
        </w:rPr>
        <w:t>检测</w:t>
      </w:r>
      <w:r>
        <w:rPr>
          <w:rFonts w:hint="eastAsia" w:ascii="仿宋_GB2312" w:eastAsia="仿宋_GB2312"/>
          <w:color w:val="auto"/>
          <w:sz w:val="28"/>
          <w:szCs w:val="28"/>
          <w:highlight w:val="none"/>
        </w:rPr>
        <w:t>人原因导致</w:t>
      </w:r>
      <w:r>
        <w:rPr>
          <w:rFonts w:hint="eastAsia" w:ascii="仿宋_GB2312" w:eastAsia="仿宋_GB2312"/>
          <w:color w:val="auto"/>
          <w:sz w:val="28"/>
          <w:szCs w:val="28"/>
          <w:highlight w:val="none"/>
          <w:lang w:eastAsia="zh-CN"/>
        </w:rPr>
        <w:t>检测</w:t>
      </w:r>
      <w:r>
        <w:rPr>
          <w:rFonts w:hint="eastAsia" w:ascii="仿宋_GB2312" w:eastAsia="仿宋_GB2312"/>
          <w:color w:val="auto"/>
          <w:sz w:val="28"/>
          <w:szCs w:val="28"/>
          <w:highlight w:val="none"/>
        </w:rPr>
        <w:t>人履行合同期限延长</w:t>
      </w:r>
      <w:r>
        <w:rPr>
          <w:rFonts w:hint="eastAsia" w:ascii="仿宋_GB2312" w:hAnsi="宋体" w:eastAsia="仿宋_GB2312"/>
          <w:color w:val="auto"/>
          <w:sz w:val="28"/>
          <w:szCs w:val="28"/>
          <w:highlight w:val="none"/>
        </w:rPr>
        <w:t>、内容增加</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eastAsia="zh-CN"/>
        </w:rPr>
        <w:t>检测</w:t>
      </w:r>
      <w:r>
        <w:rPr>
          <w:rFonts w:hint="eastAsia" w:ascii="仿宋_GB2312" w:eastAsia="仿宋_GB2312"/>
          <w:color w:val="auto"/>
          <w:sz w:val="28"/>
          <w:szCs w:val="28"/>
          <w:highlight w:val="none"/>
        </w:rPr>
        <w:t>人应当将此情况与可能产生的影响及时通知委托人。增加的</w:t>
      </w:r>
      <w:r>
        <w:rPr>
          <w:rFonts w:hint="eastAsia" w:ascii="仿宋_GB2312" w:eastAsia="仿宋_GB2312"/>
          <w:color w:val="auto"/>
          <w:sz w:val="28"/>
          <w:szCs w:val="28"/>
          <w:highlight w:val="none"/>
          <w:lang w:eastAsia="zh-CN"/>
        </w:rPr>
        <w:t>检测</w:t>
      </w:r>
      <w:r>
        <w:rPr>
          <w:rFonts w:hint="eastAsia" w:ascii="仿宋_GB2312" w:eastAsia="仿宋_GB2312"/>
          <w:color w:val="auto"/>
          <w:sz w:val="28"/>
          <w:szCs w:val="28"/>
          <w:highlight w:val="none"/>
        </w:rPr>
        <w:t>工作时间、工作内容应视为附加工作。附加工作酬金的确定方法在</w:t>
      </w:r>
      <w:r>
        <w:rPr>
          <w:rFonts w:hint="eastAsia" w:ascii="仿宋_GB2312" w:hAnsi="宋体" w:eastAsia="仿宋_GB2312"/>
          <w:color w:val="auto"/>
          <w:sz w:val="28"/>
          <w:szCs w:val="28"/>
          <w:highlight w:val="none"/>
        </w:rPr>
        <w:t>专用条件中约定</w:t>
      </w:r>
      <w:r>
        <w:rPr>
          <w:rFonts w:hint="eastAsia" w:ascii="仿宋_GB2312" w:eastAsia="仿宋_GB2312"/>
          <w:color w:val="auto"/>
          <w:sz w:val="28"/>
          <w:szCs w:val="28"/>
          <w:highlight w:val="none"/>
        </w:rPr>
        <w:t>。</w:t>
      </w:r>
    </w:p>
    <w:p w14:paraId="45BA3BC2">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6.2.3</w:t>
      </w:r>
      <w:r>
        <w:rPr>
          <w:rFonts w:hint="eastAsia" w:ascii="仿宋_GB2312" w:hAnsi="宋体" w:eastAsia="仿宋_GB2312"/>
          <w:color w:val="auto"/>
          <w:sz w:val="28"/>
          <w:szCs w:val="28"/>
          <w:highlight w:val="none"/>
        </w:rPr>
        <w:t>合同生效后，如果实际情况发生变化使得</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人不能完成全部或部分工作时，</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人应立即通知委托人。除不可抗力外，其善后工作以及恢复服务的准备工作应为附加工作，</w:t>
      </w:r>
      <w:r>
        <w:rPr>
          <w:rFonts w:hint="eastAsia" w:ascii="仿宋_GB2312" w:eastAsia="仿宋_GB2312"/>
          <w:color w:val="auto"/>
          <w:sz w:val="28"/>
          <w:szCs w:val="28"/>
          <w:highlight w:val="none"/>
        </w:rPr>
        <w:t>附加工作酬金的确定方法在</w:t>
      </w:r>
      <w:r>
        <w:rPr>
          <w:rFonts w:hint="eastAsia" w:ascii="仿宋_GB2312" w:hAnsi="宋体" w:eastAsia="仿宋_GB2312"/>
          <w:color w:val="auto"/>
          <w:sz w:val="28"/>
          <w:szCs w:val="28"/>
          <w:highlight w:val="none"/>
        </w:rPr>
        <w:t>专用条件中约定。</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人用于恢复服务的准备时间不应超过</w:t>
      </w:r>
      <w:r>
        <w:rPr>
          <w:rFonts w:hint="eastAsia" w:ascii="仿宋_GB2312" w:eastAsia="仿宋_GB2312"/>
          <w:color w:val="auto"/>
          <w:sz w:val="28"/>
          <w:szCs w:val="28"/>
          <w:highlight w:val="none"/>
        </w:rPr>
        <w:t>28</w:t>
      </w:r>
      <w:r>
        <w:rPr>
          <w:rFonts w:hint="eastAsia" w:ascii="仿宋_GB2312" w:hAnsi="宋体" w:eastAsia="仿宋_GB2312"/>
          <w:color w:val="auto"/>
          <w:sz w:val="28"/>
          <w:szCs w:val="28"/>
          <w:highlight w:val="none"/>
        </w:rPr>
        <w:t>天。</w:t>
      </w:r>
    </w:p>
    <w:p w14:paraId="0265786F">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6.2.4</w:t>
      </w:r>
      <w:r>
        <w:rPr>
          <w:rFonts w:hint="eastAsia" w:ascii="仿宋_GB2312" w:hAnsi="宋体" w:eastAsia="仿宋_GB2312"/>
          <w:color w:val="auto"/>
          <w:sz w:val="28"/>
          <w:szCs w:val="28"/>
          <w:highlight w:val="none"/>
        </w:rPr>
        <w:t>合同签订后，遇有与工程相关的法律法规、标准颁布或修订的，双方应遵照执行。由此引起</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与相关服务的范围、时间、酬金变化的，双方应通过协商进行相应调整。</w:t>
      </w:r>
    </w:p>
    <w:p w14:paraId="45A21930">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6.2.5 因非</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人原因造成工程概算投资额或建筑安装工程费增加时，正常工作酬金应作相应调整。调整方法在专用条件中约定。</w:t>
      </w:r>
    </w:p>
    <w:p w14:paraId="2303F57E">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6.2.6 因工程规模、</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范围的变化导致</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人的正常工作量减少时，正常工作酬金应作相应调整。调整方法在专用条件中约定。</w:t>
      </w:r>
    </w:p>
    <w:p w14:paraId="67E7B76B">
      <w:pPr>
        <w:snapToGrid w:val="0"/>
        <w:spacing w:line="420" w:lineRule="exact"/>
        <w:rPr>
          <w:rFonts w:hint="eastAsia" w:ascii="仿宋_GB2312" w:hAnsi="宋体" w:eastAsia="仿宋_GB2312"/>
          <w:bCs/>
          <w:color w:val="auto"/>
          <w:sz w:val="28"/>
          <w:szCs w:val="28"/>
          <w:highlight w:val="none"/>
        </w:rPr>
      </w:pPr>
      <w:r>
        <w:rPr>
          <w:rFonts w:hint="eastAsia" w:ascii="仿宋_GB2312" w:hAnsi="宋体" w:eastAsia="仿宋_GB2312"/>
          <w:color w:val="auto"/>
          <w:sz w:val="28"/>
          <w:szCs w:val="28"/>
          <w:highlight w:val="none"/>
        </w:rPr>
        <w:t xml:space="preserve">  6.3 暂停与</w:t>
      </w:r>
      <w:r>
        <w:rPr>
          <w:rFonts w:hint="eastAsia" w:ascii="仿宋_GB2312" w:hAnsi="宋体" w:eastAsia="仿宋_GB2312"/>
          <w:bCs/>
          <w:color w:val="auto"/>
          <w:sz w:val="28"/>
          <w:szCs w:val="28"/>
          <w:highlight w:val="none"/>
        </w:rPr>
        <w:t>解除</w:t>
      </w:r>
    </w:p>
    <w:p w14:paraId="6D2AB027">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除</w:t>
      </w:r>
      <w:r>
        <w:rPr>
          <w:rFonts w:hint="eastAsia" w:ascii="仿宋_GB2312" w:hAnsi="宋体" w:eastAsia="仿宋_GB2312"/>
          <w:color w:val="auto"/>
          <w:sz w:val="28"/>
          <w:szCs w:val="28"/>
          <w:highlight w:val="none"/>
        </w:rPr>
        <w:t>双方协商一致可以解除本合同外，当一方无正当理由未履行本合同约定的义务时，另一方可以根据本合同约定暂停履行本合同直至解除本合同。</w:t>
      </w:r>
    </w:p>
    <w:p w14:paraId="0E7BD942">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6.3.1 </w:t>
      </w:r>
      <w:r>
        <w:rPr>
          <w:rFonts w:hint="eastAsia" w:ascii="仿宋_GB2312" w:hAnsi="宋体" w:eastAsia="仿宋_GB2312"/>
          <w:color w:val="auto"/>
          <w:sz w:val="28"/>
          <w:szCs w:val="28"/>
          <w:highlight w:val="none"/>
        </w:rPr>
        <w:t>在本合同有效期内，由于双方无法预见和控制的原因导致本合同全部或部分无法继续履行或继续履行已无意义，经双方协商一致，可以解除本合同或</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人的部分义务。在解除之前，</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人应作出合理安排，使开支减至最小。</w:t>
      </w:r>
    </w:p>
    <w:p w14:paraId="2BD51E3D">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因解除本合同或解除</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人的部分义务导致</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人遭受的损失，除依法可以免除责任的情况外，应由委托人予以补偿，补偿金额由双方协商确定。</w:t>
      </w:r>
    </w:p>
    <w:p w14:paraId="2B464ED3">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解除本合同的协议必须采取书面形式，协议未达成之前，本合同仍然有效。</w:t>
      </w:r>
    </w:p>
    <w:p w14:paraId="43BDFF21">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6.3.2 </w:t>
      </w:r>
      <w:r>
        <w:rPr>
          <w:rFonts w:hint="eastAsia" w:ascii="仿宋_GB2312" w:hAnsi="宋体" w:eastAsia="仿宋_GB2312"/>
          <w:color w:val="auto"/>
          <w:sz w:val="28"/>
          <w:szCs w:val="28"/>
          <w:highlight w:val="none"/>
        </w:rPr>
        <w:t>在本合同有效期内，因非</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人的原因导致工程施工全部或部分暂停，委托人可通知</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人要求暂停全部或部分工作。</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人应立即安排停止工作，并将开支减至最小。</w:t>
      </w:r>
      <w:r>
        <w:rPr>
          <w:rFonts w:hint="eastAsia" w:ascii="仿宋_GB2312" w:eastAsia="仿宋_GB2312"/>
          <w:color w:val="auto"/>
          <w:sz w:val="28"/>
          <w:szCs w:val="28"/>
          <w:highlight w:val="none"/>
        </w:rPr>
        <w:t>除不可抗力外，</w:t>
      </w:r>
      <w:r>
        <w:rPr>
          <w:rFonts w:hint="eastAsia" w:ascii="仿宋_GB2312" w:hAnsi="宋体" w:eastAsia="仿宋_GB2312"/>
          <w:color w:val="auto"/>
          <w:sz w:val="28"/>
          <w:szCs w:val="28"/>
          <w:highlight w:val="none"/>
        </w:rPr>
        <w:t>由此导致</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人遭受的损失应由委托人予以补偿。</w:t>
      </w:r>
    </w:p>
    <w:p w14:paraId="5B2E7B63">
      <w:pPr>
        <w:adjustRightInd w:val="0"/>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暂停部分</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与相关服务时间超过</w:t>
      </w:r>
      <w:r>
        <w:rPr>
          <w:rFonts w:hint="eastAsia" w:ascii="仿宋_GB2312" w:eastAsia="仿宋_GB2312"/>
          <w:color w:val="auto"/>
          <w:sz w:val="28"/>
          <w:szCs w:val="28"/>
          <w:highlight w:val="none"/>
        </w:rPr>
        <w:t>182</w:t>
      </w:r>
      <w:r>
        <w:rPr>
          <w:rFonts w:hint="eastAsia" w:ascii="仿宋_GB2312" w:hAnsi="宋体" w:eastAsia="仿宋_GB2312"/>
          <w:color w:val="auto"/>
          <w:sz w:val="28"/>
          <w:szCs w:val="28"/>
          <w:highlight w:val="none"/>
        </w:rPr>
        <w:t>天，</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人可发出解除本合同约定的该部分义务的通知；暂停全部工作时间超过</w:t>
      </w:r>
      <w:r>
        <w:rPr>
          <w:rFonts w:hint="eastAsia" w:ascii="仿宋_GB2312" w:eastAsia="仿宋_GB2312"/>
          <w:color w:val="auto"/>
          <w:sz w:val="28"/>
          <w:szCs w:val="28"/>
          <w:highlight w:val="none"/>
        </w:rPr>
        <w:t>182</w:t>
      </w:r>
      <w:r>
        <w:rPr>
          <w:rFonts w:hint="eastAsia" w:ascii="仿宋_GB2312" w:hAnsi="宋体" w:eastAsia="仿宋_GB2312"/>
          <w:color w:val="auto"/>
          <w:sz w:val="28"/>
          <w:szCs w:val="28"/>
          <w:highlight w:val="none"/>
        </w:rPr>
        <w:t>天，</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人可发出解除本合同的通知，本合同自通知到达委托人时解除。委托人应将</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w:t>
      </w:r>
      <w:r>
        <w:rPr>
          <w:rFonts w:hint="eastAsia" w:ascii="仿宋_GB2312" w:hAnsi="宋体" w:eastAsia="仿宋_GB2312"/>
          <w:color w:val="auto"/>
          <w:kern w:val="0"/>
          <w:sz w:val="28"/>
          <w:szCs w:val="28"/>
          <w:highlight w:val="none"/>
        </w:rPr>
        <w:t>的</w:t>
      </w:r>
      <w:r>
        <w:rPr>
          <w:rFonts w:hint="eastAsia" w:ascii="仿宋_GB2312" w:hAnsi="宋体" w:eastAsia="仿宋_GB2312"/>
          <w:color w:val="auto"/>
          <w:sz w:val="28"/>
          <w:szCs w:val="28"/>
          <w:highlight w:val="none"/>
        </w:rPr>
        <w:t>酬金支付至本合同解除日，且应承担第4.2款约定的责任。</w:t>
      </w:r>
    </w:p>
    <w:p w14:paraId="6D4297D8">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6.3.3 </w:t>
      </w:r>
      <w:r>
        <w:rPr>
          <w:rFonts w:hint="eastAsia" w:ascii="仿宋_GB2312" w:hAnsi="宋体" w:eastAsia="仿宋_GB2312"/>
          <w:color w:val="auto"/>
          <w:sz w:val="28"/>
          <w:szCs w:val="28"/>
          <w:highlight w:val="none"/>
        </w:rPr>
        <w:t>当</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人无正当理由未履行本合同约定的义务时，委托人应通知</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人限期改正。若委托人在</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人接到通知后的</w:t>
      </w:r>
      <w:r>
        <w:rPr>
          <w:rFonts w:hint="eastAsia" w:ascii="仿宋_GB2312" w:eastAsia="仿宋_GB2312"/>
          <w:color w:val="auto"/>
          <w:sz w:val="28"/>
          <w:szCs w:val="28"/>
          <w:highlight w:val="none"/>
        </w:rPr>
        <w:t>7</w:t>
      </w:r>
      <w:r>
        <w:rPr>
          <w:rFonts w:hint="eastAsia" w:ascii="仿宋_GB2312" w:hAnsi="宋体" w:eastAsia="仿宋_GB2312"/>
          <w:color w:val="auto"/>
          <w:sz w:val="28"/>
          <w:szCs w:val="28"/>
          <w:highlight w:val="none"/>
        </w:rPr>
        <w:t>天内未收到</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人书面形式的合理解释，则可在</w:t>
      </w:r>
      <w:r>
        <w:rPr>
          <w:rFonts w:hint="eastAsia" w:ascii="仿宋_GB2312" w:eastAsia="仿宋_GB2312"/>
          <w:color w:val="auto"/>
          <w:sz w:val="28"/>
          <w:szCs w:val="28"/>
          <w:highlight w:val="none"/>
        </w:rPr>
        <w:t>7</w:t>
      </w:r>
      <w:r>
        <w:rPr>
          <w:rFonts w:hint="eastAsia" w:ascii="仿宋_GB2312" w:hAnsi="宋体" w:eastAsia="仿宋_GB2312"/>
          <w:color w:val="auto"/>
          <w:sz w:val="28"/>
          <w:szCs w:val="28"/>
          <w:highlight w:val="none"/>
        </w:rPr>
        <w:t>天内发出解除本合同的通知，自通知到达</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人时本合同解除。委托人应将</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w:t>
      </w:r>
      <w:r>
        <w:rPr>
          <w:rFonts w:hint="eastAsia" w:ascii="仿宋_GB2312" w:hAnsi="宋体" w:eastAsia="仿宋_GB2312"/>
          <w:color w:val="auto"/>
          <w:kern w:val="0"/>
          <w:sz w:val="28"/>
          <w:szCs w:val="28"/>
          <w:highlight w:val="none"/>
        </w:rPr>
        <w:t>的</w:t>
      </w:r>
      <w:r>
        <w:rPr>
          <w:rFonts w:hint="eastAsia" w:ascii="仿宋_GB2312" w:hAnsi="宋体" w:eastAsia="仿宋_GB2312"/>
          <w:color w:val="auto"/>
          <w:sz w:val="28"/>
          <w:szCs w:val="28"/>
          <w:highlight w:val="none"/>
        </w:rPr>
        <w:t>酬金支付至</w:t>
      </w:r>
      <w:r>
        <w:rPr>
          <w:rFonts w:hint="eastAsia" w:ascii="仿宋_GB2312" w:hAnsi="宋体" w:eastAsia="仿宋_GB2312"/>
          <w:color w:val="auto"/>
          <w:kern w:val="0"/>
          <w:sz w:val="28"/>
          <w:szCs w:val="28"/>
          <w:highlight w:val="none"/>
        </w:rPr>
        <w:t>限期改正通知到达</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人之日</w:t>
      </w:r>
      <w:r>
        <w:rPr>
          <w:rFonts w:hint="eastAsia" w:ascii="仿宋_GB2312" w:hAnsi="宋体" w:eastAsia="仿宋_GB2312"/>
          <w:color w:val="auto"/>
          <w:sz w:val="28"/>
          <w:szCs w:val="28"/>
          <w:highlight w:val="none"/>
        </w:rPr>
        <w:t>，但</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人应承担第4.1款约定的责任。</w:t>
      </w:r>
    </w:p>
    <w:p w14:paraId="7B47D3B8">
      <w:pPr>
        <w:snapToGrid w:val="0"/>
        <w:spacing w:line="420" w:lineRule="exact"/>
        <w:ind w:firstLine="560" w:firstLineChars="200"/>
        <w:rPr>
          <w:rFonts w:hint="eastAsia" w:ascii="仿宋_GB2312" w:hAnsi="宋体" w:eastAsia="仿宋_GB2312"/>
          <w:color w:val="auto"/>
          <w:kern w:val="0"/>
          <w:sz w:val="28"/>
          <w:szCs w:val="28"/>
          <w:highlight w:val="none"/>
        </w:rPr>
      </w:pPr>
      <w:r>
        <w:rPr>
          <w:rFonts w:hint="eastAsia" w:ascii="仿宋_GB2312" w:eastAsia="仿宋_GB2312"/>
          <w:color w:val="auto"/>
          <w:sz w:val="28"/>
          <w:szCs w:val="28"/>
          <w:highlight w:val="none"/>
        </w:rPr>
        <w:t xml:space="preserve">6.3.4 </w:t>
      </w:r>
      <w:r>
        <w:rPr>
          <w:rFonts w:hint="eastAsia" w:ascii="仿宋_GB2312" w:hAnsi="宋体" w:eastAsia="仿宋_GB2312"/>
          <w:color w:val="auto"/>
          <w:sz w:val="28"/>
          <w:szCs w:val="28"/>
          <w:highlight w:val="none"/>
        </w:rPr>
        <w:t>因不可抗力致使本合同部分或全部不能履行时，一方应立即通知另一方，可暂停或解除本合同。</w:t>
      </w:r>
    </w:p>
    <w:p w14:paraId="632B9638">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6.3.</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 xml:space="preserve"> </w:t>
      </w:r>
      <w:r>
        <w:rPr>
          <w:rFonts w:hint="eastAsia" w:ascii="仿宋_GB2312" w:hAnsi="宋体" w:eastAsia="仿宋_GB2312"/>
          <w:color w:val="auto"/>
          <w:sz w:val="28"/>
          <w:szCs w:val="28"/>
          <w:highlight w:val="none"/>
        </w:rPr>
        <w:t>本合同解除后，本合同约定的有关结算、清理、争议解决方式的条件仍然有效。</w:t>
      </w:r>
    </w:p>
    <w:p w14:paraId="3FB1BD74">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6.4 </w:t>
      </w:r>
      <w:r>
        <w:rPr>
          <w:rFonts w:hint="eastAsia" w:ascii="仿宋_GB2312" w:hAnsi="宋体" w:eastAsia="仿宋_GB2312"/>
          <w:bCs/>
          <w:color w:val="auto"/>
          <w:sz w:val="28"/>
          <w:szCs w:val="28"/>
          <w:highlight w:val="none"/>
        </w:rPr>
        <w:t>终止</w:t>
      </w:r>
    </w:p>
    <w:p w14:paraId="2F037F3C">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以下条件全部满足时，本合同即告终止：</w:t>
      </w:r>
    </w:p>
    <w:p w14:paraId="4B73817E">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1</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人完成本合同约定的全部工作；</w:t>
      </w:r>
    </w:p>
    <w:p w14:paraId="47348A87">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2</w:t>
      </w:r>
      <w:r>
        <w:rPr>
          <w:rFonts w:hint="eastAsia" w:ascii="仿宋_GB2312" w:hAnsi="宋体" w:eastAsia="仿宋_GB2312"/>
          <w:color w:val="auto"/>
          <w:sz w:val="28"/>
          <w:szCs w:val="28"/>
          <w:highlight w:val="none"/>
        </w:rPr>
        <w:t>）委托人与</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人结清并支付全部酬金。</w:t>
      </w:r>
    </w:p>
    <w:p w14:paraId="6D6D9B73">
      <w:pPr>
        <w:snapToGrid w:val="0"/>
        <w:spacing w:line="420" w:lineRule="exact"/>
        <w:rPr>
          <w:rFonts w:hint="eastAsia" w:ascii="仿宋_GB2312" w:hAnsi="宋体" w:eastAsia="仿宋_GB2312"/>
          <w:b/>
          <w:bCs/>
          <w:color w:val="auto"/>
          <w:sz w:val="28"/>
          <w:szCs w:val="28"/>
          <w:highlight w:val="none"/>
        </w:rPr>
      </w:pPr>
      <w:r>
        <w:rPr>
          <w:rFonts w:hint="eastAsia" w:ascii="仿宋_GB2312" w:hAnsi="黑体" w:eastAsia="仿宋_GB2312"/>
          <w:b/>
          <w:bCs/>
          <w:color w:val="auto"/>
          <w:sz w:val="28"/>
          <w:szCs w:val="28"/>
          <w:highlight w:val="none"/>
        </w:rPr>
        <w:t>7. 争议解决</w:t>
      </w:r>
    </w:p>
    <w:p w14:paraId="2237FA83">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7.1</w:t>
      </w:r>
      <w:r>
        <w:rPr>
          <w:rFonts w:hint="eastAsia" w:ascii="仿宋_GB2312" w:hAnsi="宋体" w:eastAsia="仿宋_GB2312"/>
          <w:bCs/>
          <w:color w:val="auto"/>
          <w:sz w:val="28"/>
          <w:szCs w:val="28"/>
          <w:highlight w:val="none"/>
        </w:rPr>
        <w:t>协商</w:t>
      </w:r>
    </w:p>
    <w:p w14:paraId="520EEF6D">
      <w:pPr>
        <w:snapToGrid w:val="0"/>
        <w:spacing w:line="420" w:lineRule="exact"/>
        <w:ind w:firstLine="560" w:firstLineChars="200"/>
        <w:rPr>
          <w:rFonts w:hint="eastAsia" w:ascii="仿宋_GB2312" w:hAnsi="宋体" w:eastAsia="仿宋_GB2312"/>
          <w:bCs/>
          <w:color w:val="auto"/>
          <w:sz w:val="28"/>
          <w:szCs w:val="28"/>
          <w:highlight w:val="none"/>
        </w:rPr>
      </w:pPr>
      <w:r>
        <w:rPr>
          <w:rFonts w:hint="eastAsia" w:ascii="仿宋_GB2312" w:hAnsi="宋体" w:eastAsia="仿宋_GB2312"/>
          <w:color w:val="auto"/>
          <w:sz w:val="28"/>
          <w:szCs w:val="28"/>
          <w:highlight w:val="none"/>
        </w:rPr>
        <w:t>双方应本着诚信原则协商解决彼此间的争议。</w:t>
      </w:r>
    </w:p>
    <w:p w14:paraId="52C641B1">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7.2</w:t>
      </w:r>
      <w:r>
        <w:rPr>
          <w:rFonts w:hint="eastAsia" w:ascii="仿宋_GB2312" w:hAnsi="宋体" w:eastAsia="仿宋_GB2312"/>
          <w:bCs/>
          <w:color w:val="auto"/>
          <w:sz w:val="28"/>
          <w:szCs w:val="28"/>
          <w:highlight w:val="none"/>
        </w:rPr>
        <w:t>调解</w:t>
      </w:r>
    </w:p>
    <w:p w14:paraId="42EA7E21">
      <w:pPr>
        <w:snapToGrid w:val="0"/>
        <w:spacing w:line="420" w:lineRule="exact"/>
        <w:ind w:firstLine="560" w:firstLineChars="200"/>
        <w:rPr>
          <w:rFonts w:hint="eastAsia" w:ascii="仿宋_GB2312" w:hAnsi="宋体" w:eastAsia="仿宋_GB2312"/>
          <w:bCs/>
          <w:color w:val="auto"/>
          <w:sz w:val="28"/>
          <w:szCs w:val="28"/>
          <w:highlight w:val="none"/>
        </w:rPr>
      </w:pPr>
      <w:r>
        <w:rPr>
          <w:rFonts w:hint="eastAsia" w:ascii="仿宋_GB2312" w:hAnsi="宋体" w:eastAsia="仿宋_GB2312"/>
          <w:color w:val="auto"/>
          <w:sz w:val="28"/>
          <w:szCs w:val="28"/>
          <w:highlight w:val="none"/>
        </w:rPr>
        <w:t>如果双方不能在</w:t>
      </w:r>
      <w:r>
        <w:rPr>
          <w:rFonts w:hint="eastAsia" w:ascii="仿宋_GB2312" w:eastAsia="仿宋_GB2312"/>
          <w:color w:val="auto"/>
          <w:sz w:val="28"/>
          <w:szCs w:val="28"/>
          <w:highlight w:val="none"/>
        </w:rPr>
        <w:t>14</w:t>
      </w:r>
      <w:r>
        <w:rPr>
          <w:rFonts w:hint="eastAsia" w:ascii="仿宋_GB2312" w:hAnsi="宋体" w:eastAsia="仿宋_GB2312"/>
          <w:color w:val="auto"/>
          <w:sz w:val="28"/>
          <w:szCs w:val="28"/>
          <w:highlight w:val="none"/>
        </w:rPr>
        <w:t>天内或双方商定的其他时间内解决本合同争议，可以将其提交给专用条件约定的或事后达成协议的调解人进行调解。</w:t>
      </w:r>
    </w:p>
    <w:p w14:paraId="49FEE5B9">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7.3</w:t>
      </w:r>
      <w:r>
        <w:rPr>
          <w:rFonts w:hint="eastAsia" w:ascii="仿宋_GB2312" w:hAnsi="宋体" w:eastAsia="仿宋_GB2312"/>
          <w:bCs/>
          <w:color w:val="auto"/>
          <w:sz w:val="28"/>
          <w:szCs w:val="28"/>
          <w:highlight w:val="none"/>
        </w:rPr>
        <w:t>仲裁或诉讼</w:t>
      </w:r>
    </w:p>
    <w:p w14:paraId="6E914ABA">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双方均有权不经调解直接向专用条件约定的仲裁机构申请仲裁或向有管辖权的人民法院提起诉讼。</w:t>
      </w:r>
    </w:p>
    <w:p w14:paraId="583B2DDB">
      <w:pPr>
        <w:snapToGrid w:val="0"/>
        <w:spacing w:line="420" w:lineRule="exact"/>
        <w:rPr>
          <w:rFonts w:hint="eastAsia" w:ascii="仿宋_GB2312" w:hAnsi="宋体" w:eastAsia="仿宋_GB2312"/>
          <w:b/>
          <w:bCs/>
          <w:color w:val="auto"/>
          <w:sz w:val="28"/>
          <w:szCs w:val="28"/>
          <w:highlight w:val="none"/>
        </w:rPr>
      </w:pPr>
      <w:r>
        <w:rPr>
          <w:rFonts w:hint="eastAsia" w:ascii="仿宋_GB2312" w:hAnsi="黑体" w:eastAsia="仿宋_GB2312"/>
          <w:b/>
          <w:bCs/>
          <w:color w:val="auto"/>
          <w:sz w:val="28"/>
          <w:szCs w:val="28"/>
          <w:highlight w:val="none"/>
        </w:rPr>
        <w:t>8. 其他</w:t>
      </w:r>
    </w:p>
    <w:p w14:paraId="6F6E3B9F">
      <w:pPr>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8.1 </w:t>
      </w:r>
      <w:r>
        <w:rPr>
          <w:rFonts w:hint="eastAsia" w:ascii="仿宋_GB2312" w:hAnsi="宋体" w:eastAsia="仿宋_GB2312"/>
          <w:bCs/>
          <w:color w:val="auto"/>
          <w:sz w:val="28"/>
          <w:szCs w:val="28"/>
          <w:highlight w:val="none"/>
        </w:rPr>
        <w:t>外出考察费用</w:t>
      </w:r>
    </w:p>
    <w:p w14:paraId="0FF55825">
      <w:pPr>
        <w:snapToGrid w:val="0"/>
        <w:spacing w:line="420" w:lineRule="exact"/>
        <w:ind w:firstLine="560" w:firstLineChars="200"/>
        <w:rPr>
          <w:rFonts w:hint="eastAsia" w:ascii="仿宋_GB2312" w:hAnsi="宋体" w:eastAsia="仿宋_GB2312"/>
          <w:bCs/>
          <w:color w:val="auto"/>
          <w:sz w:val="28"/>
          <w:szCs w:val="28"/>
          <w:highlight w:val="none"/>
        </w:rPr>
      </w:pPr>
      <w:r>
        <w:rPr>
          <w:rFonts w:hint="eastAsia" w:ascii="仿宋_GB2312" w:hAnsi="宋体" w:eastAsia="仿宋_GB2312"/>
          <w:color w:val="auto"/>
          <w:sz w:val="28"/>
          <w:szCs w:val="28"/>
          <w:highlight w:val="none"/>
        </w:rPr>
        <w:t>经委托人同意，</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人员外出考察发生的费用由委托人审核后支付。</w:t>
      </w:r>
    </w:p>
    <w:p w14:paraId="164A8D79">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8.2 </w:t>
      </w:r>
      <w:r>
        <w:rPr>
          <w:rFonts w:hint="eastAsia" w:ascii="仿宋_GB2312" w:hAnsi="宋体" w:eastAsia="仿宋_GB2312"/>
          <w:bCs/>
          <w:color w:val="auto"/>
          <w:sz w:val="28"/>
          <w:szCs w:val="28"/>
          <w:highlight w:val="none"/>
          <w:lang w:eastAsia="zh-CN"/>
        </w:rPr>
        <w:t>检测</w:t>
      </w:r>
      <w:r>
        <w:rPr>
          <w:rFonts w:hint="eastAsia" w:ascii="仿宋_GB2312" w:hAnsi="宋体" w:eastAsia="仿宋_GB2312"/>
          <w:bCs/>
          <w:color w:val="auto"/>
          <w:sz w:val="28"/>
          <w:szCs w:val="28"/>
          <w:highlight w:val="none"/>
        </w:rPr>
        <w:t>费用</w:t>
      </w:r>
    </w:p>
    <w:p w14:paraId="1E2A63EA">
      <w:pPr>
        <w:snapToGrid w:val="0"/>
        <w:spacing w:line="420" w:lineRule="exact"/>
        <w:ind w:firstLine="560" w:firstLineChars="200"/>
        <w:rPr>
          <w:rFonts w:hint="eastAsia" w:ascii="仿宋_GB2312" w:hAnsi="宋体" w:eastAsia="仿宋_GB2312"/>
          <w:bCs/>
          <w:color w:val="auto"/>
          <w:sz w:val="28"/>
          <w:szCs w:val="28"/>
          <w:highlight w:val="none"/>
        </w:rPr>
      </w:pPr>
      <w:r>
        <w:rPr>
          <w:rFonts w:hint="eastAsia" w:ascii="仿宋_GB2312" w:hAnsi="宋体" w:eastAsia="仿宋_GB2312"/>
          <w:color w:val="auto"/>
          <w:sz w:val="28"/>
          <w:szCs w:val="28"/>
          <w:highlight w:val="none"/>
        </w:rPr>
        <w:t>委托人要求</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人进行的材料和设备</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所发生的费用，由委托人支付，支付时间在专用条件中约定。</w:t>
      </w:r>
    </w:p>
    <w:p w14:paraId="4FCB7119">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8.3 </w:t>
      </w:r>
      <w:r>
        <w:rPr>
          <w:rFonts w:hint="eastAsia" w:ascii="仿宋_GB2312" w:hAnsi="宋体" w:eastAsia="仿宋_GB2312"/>
          <w:bCs/>
          <w:color w:val="auto"/>
          <w:sz w:val="28"/>
          <w:szCs w:val="28"/>
          <w:highlight w:val="none"/>
        </w:rPr>
        <w:t>咨询费用</w:t>
      </w:r>
    </w:p>
    <w:p w14:paraId="58941493">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经委托人同意，根据工程需要由</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人组织的相关咨询论证会以及聘请相关专家等发生的费用由委托人支付，支付时间在专用条件中约定。</w:t>
      </w:r>
    </w:p>
    <w:p w14:paraId="5A923541">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8.4 </w:t>
      </w:r>
      <w:r>
        <w:rPr>
          <w:rFonts w:hint="eastAsia" w:ascii="仿宋_GB2312" w:hAnsi="宋体" w:eastAsia="仿宋_GB2312"/>
          <w:bCs/>
          <w:color w:val="auto"/>
          <w:sz w:val="28"/>
          <w:szCs w:val="28"/>
          <w:highlight w:val="none"/>
        </w:rPr>
        <w:t>奖励</w:t>
      </w:r>
    </w:p>
    <w:p w14:paraId="65ECD6EE">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人在服务过程中提出的合理化建议，使委托人获得经济效益的，双方在专用条件中约定奖励金额的确定方法。奖励金额在合理化建议被采纳后，与最近一期的正常工作酬金同期支付。</w:t>
      </w:r>
    </w:p>
    <w:p w14:paraId="4A7E6636">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8.5 </w:t>
      </w:r>
      <w:r>
        <w:rPr>
          <w:rFonts w:hint="eastAsia" w:ascii="仿宋_GB2312" w:hAnsi="宋体" w:eastAsia="仿宋_GB2312"/>
          <w:bCs/>
          <w:color w:val="auto"/>
          <w:sz w:val="28"/>
          <w:szCs w:val="28"/>
          <w:highlight w:val="none"/>
        </w:rPr>
        <w:t>守法诚信</w:t>
      </w:r>
    </w:p>
    <w:p w14:paraId="4D06835C">
      <w:pPr>
        <w:snapToGrid w:val="0"/>
        <w:spacing w:line="420" w:lineRule="exact"/>
        <w:ind w:firstLine="560" w:firstLineChars="200"/>
        <w:rPr>
          <w:rFonts w:hint="eastAsia" w:ascii="仿宋_GB2312" w:hAnsi="宋体" w:eastAsia="仿宋_GB2312"/>
          <w:bCs/>
          <w:color w:val="auto"/>
          <w:sz w:val="28"/>
          <w:szCs w:val="28"/>
          <w:highlight w:val="none"/>
        </w:rPr>
      </w:pP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人及其工作人员不得从与实施工程有关的第三方处获得任何经济利益。</w:t>
      </w:r>
    </w:p>
    <w:p w14:paraId="69A11656">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8.6 </w:t>
      </w:r>
      <w:r>
        <w:rPr>
          <w:rFonts w:hint="eastAsia" w:ascii="仿宋_GB2312" w:hAnsi="宋体" w:eastAsia="仿宋_GB2312"/>
          <w:bCs/>
          <w:color w:val="auto"/>
          <w:sz w:val="28"/>
          <w:szCs w:val="28"/>
          <w:highlight w:val="none"/>
        </w:rPr>
        <w:t>保密</w:t>
      </w:r>
    </w:p>
    <w:p w14:paraId="479718AA">
      <w:pPr>
        <w:snapToGrid w:val="0"/>
        <w:spacing w:line="420" w:lineRule="exact"/>
        <w:ind w:firstLine="560" w:firstLineChars="200"/>
        <w:rPr>
          <w:rFonts w:hint="eastAsia" w:ascii="仿宋_GB2312" w:hAnsi="宋体" w:eastAsia="仿宋_GB2312"/>
          <w:bCs/>
          <w:color w:val="auto"/>
          <w:sz w:val="28"/>
          <w:szCs w:val="28"/>
          <w:highlight w:val="none"/>
        </w:rPr>
      </w:pPr>
      <w:r>
        <w:rPr>
          <w:rFonts w:hint="eastAsia" w:ascii="仿宋_GB2312" w:hAnsi="宋体" w:eastAsia="仿宋_GB2312"/>
          <w:color w:val="auto"/>
          <w:sz w:val="28"/>
          <w:szCs w:val="28"/>
          <w:highlight w:val="none"/>
        </w:rPr>
        <w:t>双方不得泄露对方申明的保密资料，亦不得泄露与实施工程有关的第三方所提供的保密资料，保密事项在专用条件中约定。</w:t>
      </w:r>
    </w:p>
    <w:p w14:paraId="661C3D44">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8.7 </w:t>
      </w:r>
      <w:r>
        <w:rPr>
          <w:rFonts w:hint="eastAsia" w:ascii="仿宋_GB2312" w:hAnsi="宋体" w:eastAsia="仿宋_GB2312"/>
          <w:bCs/>
          <w:color w:val="auto"/>
          <w:sz w:val="28"/>
          <w:szCs w:val="28"/>
          <w:highlight w:val="none"/>
        </w:rPr>
        <w:t>通知</w:t>
      </w:r>
    </w:p>
    <w:p w14:paraId="3D701D4E">
      <w:pPr>
        <w:snapToGrid w:val="0"/>
        <w:spacing w:line="420" w:lineRule="exact"/>
        <w:ind w:firstLine="560" w:firstLineChars="200"/>
        <w:rPr>
          <w:rFonts w:hint="eastAsia" w:ascii="仿宋_GB2312" w:hAnsi="宋体" w:eastAsia="仿宋_GB2312"/>
          <w:bCs/>
          <w:color w:val="auto"/>
          <w:sz w:val="28"/>
          <w:szCs w:val="28"/>
          <w:highlight w:val="none"/>
        </w:rPr>
      </w:pPr>
      <w:r>
        <w:rPr>
          <w:rFonts w:hint="eastAsia" w:ascii="仿宋_GB2312" w:hAnsi="宋体" w:eastAsia="仿宋_GB2312"/>
          <w:color w:val="auto"/>
          <w:sz w:val="28"/>
          <w:szCs w:val="28"/>
          <w:highlight w:val="none"/>
        </w:rPr>
        <w:t>本合同涉及的通知均应当采用书面形式，并在送达对方时生效，收件人应书面签收。</w:t>
      </w:r>
    </w:p>
    <w:p w14:paraId="6F634BAB">
      <w:pPr>
        <w:snapToGrid w:val="0"/>
        <w:spacing w:line="420" w:lineRule="exact"/>
        <w:ind w:left="210" w:leftChars="100"/>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8.8 </w:t>
      </w:r>
      <w:r>
        <w:rPr>
          <w:rFonts w:hint="eastAsia" w:ascii="仿宋_GB2312" w:hAnsi="宋体" w:eastAsia="仿宋_GB2312"/>
          <w:bCs/>
          <w:color w:val="auto"/>
          <w:sz w:val="28"/>
          <w:szCs w:val="28"/>
          <w:highlight w:val="none"/>
        </w:rPr>
        <w:t>著作权</w:t>
      </w:r>
    </w:p>
    <w:p w14:paraId="65EE5BC6">
      <w:pPr>
        <w:adjustRightInd w:val="0"/>
        <w:snapToGrid w:val="0"/>
        <w:spacing w:line="42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人对其编制的文件拥有著作权。</w:t>
      </w:r>
    </w:p>
    <w:p w14:paraId="33DAA48D">
      <w:pPr>
        <w:snapToGrid w:val="0"/>
        <w:spacing w:line="4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人可单独或与他人联合出版有关</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与相关服务的资料。除专用条件另有约定外，如果</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人在本合同履行期间及本合同终止后两年内出版涉及本工程的有关</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与相关服务的资料，应当征得委托人的同意。</w:t>
      </w:r>
    </w:p>
    <w:p w14:paraId="1452A15D">
      <w:pPr>
        <w:tabs>
          <w:tab w:val="left" w:pos="3120"/>
        </w:tabs>
        <w:spacing w:line="420" w:lineRule="exact"/>
        <w:rPr>
          <w:rFonts w:hint="eastAsia" w:ascii="华文中宋" w:hAnsi="华文中宋" w:eastAsia="华文中宋"/>
          <w:b/>
          <w:bCs/>
          <w:color w:val="auto"/>
          <w:sz w:val="44"/>
          <w:szCs w:val="44"/>
          <w:highlight w:val="none"/>
        </w:rPr>
      </w:pPr>
    </w:p>
    <w:p w14:paraId="094444EE">
      <w:pPr>
        <w:tabs>
          <w:tab w:val="left" w:pos="3120"/>
        </w:tabs>
        <w:spacing w:line="420" w:lineRule="exact"/>
        <w:ind w:firstLine="2643" w:firstLineChars="600"/>
        <w:rPr>
          <w:rFonts w:hint="eastAsia" w:ascii="华文中宋" w:hAnsi="华文中宋" w:eastAsia="华文中宋"/>
          <w:b/>
          <w:bCs/>
          <w:color w:val="auto"/>
          <w:sz w:val="44"/>
          <w:szCs w:val="44"/>
          <w:highlight w:val="none"/>
        </w:rPr>
      </w:pPr>
    </w:p>
    <w:p w14:paraId="5D19459C">
      <w:pPr>
        <w:pStyle w:val="334"/>
        <w:rPr>
          <w:rFonts w:hint="eastAsia"/>
          <w:color w:val="auto"/>
          <w:highlight w:val="none"/>
        </w:rPr>
      </w:pPr>
    </w:p>
    <w:p w14:paraId="678A624C">
      <w:pPr>
        <w:keepNext w:val="0"/>
        <w:keepLines w:val="0"/>
        <w:pageBreakBefore w:val="0"/>
        <w:widowControl w:val="0"/>
        <w:tabs>
          <w:tab w:val="left" w:pos="3120"/>
        </w:tabs>
        <w:kinsoku/>
        <w:wordWrap/>
        <w:overflowPunct/>
        <w:topLinePunct w:val="0"/>
        <w:autoSpaceDE/>
        <w:autoSpaceDN/>
        <w:bidi w:val="0"/>
        <w:adjustRightInd/>
        <w:snapToGrid/>
        <w:spacing w:line="240" w:lineRule="auto"/>
        <w:ind w:firstLine="2643" w:firstLineChars="600"/>
        <w:textAlignment w:val="auto"/>
        <w:rPr>
          <w:rFonts w:hint="eastAsia" w:ascii="华文中宋" w:hAnsi="华文中宋" w:eastAsia="华文中宋"/>
          <w:b/>
          <w:bCs/>
          <w:color w:val="auto"/>
          <w:sz w:val="44"/>
          <w:szCs w:val="44"/>
          <w:highlight w:val="none"/>
        </w:rPr>
      </w:pPr>
      <w:r>
        <w:rPr>
          <w:rFonts w:hint="eastAsia" w:ascii="华文中宋" w:hAnsi="华文中宋" w:eastAsia="华文中宋"/>
          <w:b/>
          <w:bCs/>
          <w:color w:val="auto"/>
          <w:sz w:val="44"/>
          <w:szCs w:val="44"/>
          <w:highlight w:val="none"/>
        </w:rPr>
        <w:t>第三部分  专用条件</w:t>
      </w:r>
    </w:p>
    <w:p w14:paraId="5B2AFC9A">
      <w:pPr>
        <w:spacing w:line="400" w:lineRule="exact"/>
        <w:jc w:val="center"/>
        <w:rPr>
          <w:rFonts w:hint="eastAsia" w:ascii="仿宋_GB2312" w:hAnsi="宋体" w:eastAsia="仿宋_GB2312"/>
          <w:b/>
          <w:color w:val="auto"/>
          <w:sz w:val="28"/>
          <w:szCs w:val="28"/>
          <w:highlight w:val="none"/>
        </w:rPr>
      </w:pPr>
    </w:p>
    <w:p w14:paraId="5D633636">
      <w:pPr>
        <w:adjustRightInd w:val="0"/>
        <w:snapToGrid w:val="0"/>
        <w:spacing w:line="400" w:lineRule="exact"/>
        <w:rPr>
          <w:rFonts w:hint="eastAsia" w:ascii="仿宋_GB2312" w:hAnsi="黑体" w:eastAsia="仿宋_GB2312"/>
          <w:b/>
          <w:color w:val="auto"/>
          <w:sz w:val="28"/>
          <w:szCs w:val="28"/>
          <w:highlight w:val="none"/>
        </w:rPr>
      </w:pPr>
      <w:r>
        <w:rPr>
          <w:rFonts w:hint="eastAsia" w:ascii="仿宋_GB2312" w:hAnsi="黑体" w:eastAsia="仿宋_GB2312"/>
          <w:b/>
          <w:color w:val="auto"/>
          <w:sz w:val="28"/>
          <w:szCs w:val="28"/>
          <w:highlight w:val="none"/>
        </w:rPr>
        <w:t>1. 定义与解释</w:t>
      </w:r>
    </w:p>
    <w:p w14:paraId="2D645737">
      <w:pPr>
        <w:adjustRightInd w:val="0"/>
        <w:snapToGrid w:val="0"/>
        <w:spacing w:line="40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eastAsia="仿宋_GB2312"/>
          <w:color w:val="auto"/>
          <w:sz w:val="28"/>
          <w:szCs w:val="28"/>
          <w:highlight w:val="none"/>
        </w:rPr>
        <w:t>1.2</w:t>
      </w:r>
      <w:r>
        <w:rPr>
          <w:rFonts w:hint="eastAsia" w:ascii="仿宋_GB2312" w:hAnsi="宋体" w:eastAsia="仿宋_GB2312"/>
          <w:color w:val="auto"/>
          <w:sz w:val="28"/>
          <w:szCs w:val="28"/>
          <w:highlight w:val="none"/>
        </w:rPr>
        <w:t xml:space="preserve">  解释</w:t>
      </w:r>
    </w:p>
    <w:p w14:paraId="51306370">
      <w:pPr>
        <w:adjustRightInd w:val="0"/>
        <w:snapToGrid w:val="0"/>
        <w:spacing w:line="40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1.2.1 本合同文件除使用中文外，还可用</w:t>
      </w:r>
      <w:r>
        <w:rPr>
          <w:rFonts w:hint="eastAsia" w:ascii="仿宋_GB2312" w:eastAsia="仿宋_GB2312"/>
          <w:color w:val="auto"/>
          <w:sz w:val="28"/>
          <w:szCs w:val="28"/>
          <w:highlight w:val="none"/>
          <w:u w:val="single"/>
        </w:rPr>
        <w:t xml:space="preserve">   无     </w:t>
      </w:r>
      <w:r>
        <w:rPr>
          <w:rFonts w:hint="eastAsia" w:ascii="仿宋_GB2312" w:hAnsi="宋体" w:eastAsia="仿宋_GB2312"/>
          <w:color w:val="auto"/>
          <w:sz w:val="28"/>
          <w:szCs w:val="28"/>
          <w:highlight w:val="none"/>
        </w:rPr>
        <w:t>。</w:t>
      </w:r>
    </w:p>
    <w:p w14:paraId="4EB053D3">
      <w:pPr>
        <w:adjustRightInd w:val="0"/>
        <w:snapToGrid w:val="0"/>
        <w:spacing w:line="40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1.2.2 </w:t>
      </w:r>
      <w:r>
        <w:rPr>
          <w:rFonts w:hint="eastAsia" w:ascii="仿宋_GB2312" w:hAnsi="宋体" w:eastAsia="仿宋_GB2312"/>
          <w:color w:val="auto"/>
          <w:sz w:val="28"/>
          <w:szCs w:val="28"/>
          <w:highlight w:val="none"/>
        </w:rPr>
        <w:t>约定本合同文件的解释顺序为：</w:t>
      </w:r>
      <w:r>
        <w:rPr>
          <w:rFonts w:hint="eastAsia" w:ascii="仿宋_GB2312" w:eastAsia="仿宋_GB2312"/>
          <w:color w:val="auto"/>
          <w:sz w:val="28"/>
          <w:szCs w:val="28"/>
          <w:highlight w:val="none"/>
          <w:u w:val="single"/>
        </w:rPr>
        <w:t xml:space="preserve"> 详见通用条件1.2.2条  </w:t>
      </w:r>
      <w:r>
        <w:rPr>
          <w:rFonts w:hint="eastAsia" w:ascii="仿宋_GB2312" w:hAnsi="宋体" w:eastAsia="仿宋_GB2312"/>
          <w:color w:val="auto"/>
          <w:sz w:val="28"/>
          <w:szCs w:val="28"/>
          <w:highlight w:val="none"/>
        </w:rPr>
        <w:t>。</w:t>
      </w:r>
    </w:p>
    <w:p w14:paraId="102A2637">
      <w:pPr>
        <w:adjustRightInd w:val="0"/>
        <w:snapToGrid w:val="0"/>
        <w:spacing w:line="400" w:lineRule="exact"/>
        <w:rPr>
          <w:rFonts w:hint="eastAsia" w:ascii="仿宋_GB2312" w:hAnsi="黑体" w:eastAsia="仿宋_GB2312"/>
          <w:b/>
          <w:color w:val="auto"/>
          <w:sz w:val="28"/>
          <w:szCs w:val="28"/>
          <w:highlight w:val="none"/>
        </w:rPr>
      </w:pPr>
      <w:r>
        <w:rPr>
          <w:rFonts w:hint="eastAsia" w:ascii="仿宋_GB2312" w:hAnsi="黑体" w:eastAsia="仿宋_GB2312"/>
          <w:b/>
          <w:color w:val="auto"/>
          <w:sz w:val="28"/>
          <w:szCs w:val="28"/>
          <w:highlight w:val="none"/>
        </w:rPr>
        <w:t xml:space="preserve">2. </w:t>
      </w:r>
      <w:r>
        <w:rPr>
          <w:rFonts w:hint="eastAsia" w:ascii="仿宋_GB2312" w:hAnsi="黑体" w:eastAsia="仿宋_GB2312"/>
          <w:b/>
          <w:color w:val="auto"/>
          <w:sz w:val="28"/>
          <w:szCs w:val="28"/>
          <w:highlight w:val="none"/>
          <w:lang w:eastAsia="zh-CN"/>
        </w:rPr>
        <w:t>检测</w:t>
      </w:r>
      <w:r>
        <w:rPr>
          <w:rFonts w:hint="eastAsia" w:ascii="仿宋_GB2312" w:hAnsi="黑体" w:eastAsia="仿宋_GB2312"/>
          <w:b/>
          <w:color w:val="auto"/>
          <w:sz w:val="28"/>
          <w:szCs w:val="28"/>
          <w:highlight w:val="none"/>
        </w:rPr>
        <w:t>人义务</w:t>
      </w:r>
    </w:p>
    <w:p w14:paraId="6AB31965">
      <w:pPr>
        <w:adjustRightInd w:val="0"/>
        <w:snapToGrid w:val="0"/>
        <w:spacing w:line="4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2.1 </w:t>
      </w:r>
      <w:r>
        <w:rPr>
          <w:rFonts w:hint="eastAsia" w:ascii="仿宋_GB2312" w:hAnsi="黑体" w:eastAsia="仿宋_GB2312"/>
          <w:color w:val="auto"/>
          <w:sz w:val="28"/>
          <w:szCs w:val="28"/>
          <w:highlight w:val="none"/>
          <w:lang w:eastAsia="zh-CN"/>
        </w:rPr>
        <w:t>检测</w:t>
      </w:r>
      <w:r>
        <w:rPr>
          <w:rFonts w:hint="eastAsia" w:ascii="仿宋_GB2312" w:hAnsi="黑体" w:eastAsia="仿宋_GB2312"/>
          <w:color w:val="auto"/>
          <w:sz w:val="28"/>
          <w:szCs w:val="28"/>
          <w:highlight w:val="none"/>
        </w:rPr>
        <w:t>的范围和</w:t>
      </w:r>
      <w:r>
        <w:rPr>
          <w:rFonts w:hint="eastAsia" w:ascii="仿宋_GB2312" w:hAnsi="宋体" w:eastAsia="仿宋_GB2312"/>
          <w:bCs/>
          <w:color w:val="auto"/>
          <w:sz w:val="28"/>
          <w:szCs w:val="28"/>
          <w:highlight w:val="none"/>
        </w:rPr>
        <w:t>内容</w:t>
      </w:r>
    </w:p>
    <w:p w14:paraId="00F63BE6">
      <w:pPr>
        <w:adjustRightInd w:val="0"/>
        <w:snapToGrid w:val="0"/>
        <w:spacing w:line="400" w:lineRule="exact"/>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2.1.1 </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范围包括：</w:t>
      </w:r>
      <w:r>
        <w:rPr>
          <w:rFonts w:hint="eastAsia" w:ascii="仿宋_GB2312" w:hAnsi="Times New Roman" w:eastAsia="仿宋_GB2312" w:cs="Times New Roman"/>
          <w:color w:val="auto"/>
          <w:sz w:val="28"/>
          <w:szCs w:val="28"/>
          <w:highlight w:val="none"/>
          <w:u w:val="single"/>
        </w:rPr>
        <w:t xml:space="preserve">按招标人提供的设计图纸和有关资料及说明的施工阶段的全过程检测。 </w:t>
      </w:r>
    </w:p>
    <w:p w14:paraId="19606002">
      <w:pPr>
        <w:adjustRightInd w:val="0"/>
        <w:snapToGrid w:val="0"/>
        <w:spacing w:line="400" w:lineRule="exact"/>
        <w:ind w:firstLine="560" w:firstLineChars="200"/>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2.1.2 </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工作内容还包括：</w:t>
      </w:r>
      <w:r>
        <w:rPr>
          <w:rFonts w:hint="eastAsia" w:ascii="仿宋_GB2312" w:eastAsia="仿宋_GB2312"/>
          <w:color w:val="auto"/>
          <w:sz w:val="28"/>
          <w:szCs w:val="28"/>
          <w:highlight w:val="none"/>
          <w:u w:val="single"/>
        </w:rPr>
        <w:t xml:space="preserve">  详见通用条件2.1.2条</w:t>
      </w:r>
      <w:r>
        <w:rPr>
          <w:rFonts w:hint="eastAsia" w:ascii="仿宋_GB2312" w:hAnsi="宋体" w:eastAsia="仿宋_GB2312"/>
          <w:color w:val="auto"/>
          <w:sz w:val="28"/>
          <w:szCs w:val="28"/>
          <w:highlight w:val="none"/>
        </w:rPr>
        <w:t>。</w:t>
      </w:r>
    </w:p>
    <w:p w14:paraId="10992D3D">
      <w:pPr>
        <w:spacing w:line="400" w:lineRule="exact"/>
        <w:ind w:firstLine="274" w:firstLineChars="98"/>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2.2 </w:t>
      </w:r>
      <w:r>
        <w:rPr>
          <w:rFonts w:hint="eastAsia" w:ascii="仿宋_GB2312" w:eastAsia="仿宋_GB2312"/>
          <w:color w:val="auto"/>
          <w:sz w:val="28"/>
          <w:szCs w:val="28"/>
          <w:highlight w:val="none"/>
          <w:lang w:eastAsia="zh-CN"/>
        </w:rPr>
        <w:t>检测</w:t>
      </w:r>
      <w:r>
        <w:rPr>
          <w:rFonts w:hint="eastAsia" w:ascii="仿宋_GB2312" w:eastAsia="仿宋_GB2312"/>
          <w:color w:val="auto"/>
          <w:sz w:val="28"/>
          <w:szCs w:val="28"/>
          <w:highlight w:val="none"/>
        </w:rPr>
        <w:t>与相关服务依据</w:t>
      </w:r>
    </w:p>
    <w:p w14:paraId="2C97DFF6">
      <w:pPr>
        <w:spacing w:line="4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2.2.1 </w:t>
      </w:r>
      <w:r>
        <w:rPr>
          <w:rFonts w:hint="eastAsia" w:ascii="仿宋_GB2312" w:eastAsia="仿宋_GB2312"/>
          <w:color w:val="auto"/>
          <w:sz w:val="28"/>
          <w:szCs w:val="28"/>
          <w:highlight w:val="none"/>
          <w:lang w:eastAsia="zh-CN"/>
        </w:rPr>
        <w:t>检测</w:t>
      </w:r>
      <w:r>
        <w:rPr>
          <w:rFonts w:hint="eastAsia" w:ascii="仿宋_GB2312" w:eastAsia="仿宋_GB2312"/>
          <w:color w:val="auto"/>
          <w:sz w:val="28"/>
          <w:szCs w:val="28"/>
          <w:highlight w:val="none"/>
        </w:rPr>
        <w:t>依据包括：</w:t>
      </w:r>
      <w:r>
        <w:rPr>
          <w:rFonts w:hint="eastAsia" w:ascii="仿宋_GB2312" w:eastAsia="仿宋_GB2312"/>
          <w:color w:val="auto"/>
          <w:sz w:val="28"/>
          <w:szCs w:val="28"/>
          <w:highlight w:val="none"/>
          <w:u w:val="single"/>
        </w:rPr>
        <w:t xml:space="preserve">详见通用条件2.2.1条  </w:t>
      </w:r>
      <w:r>
        <w:rPr>
          <w:rFonts w:hint="eastAsia" w:ascii="仿宋_GB2312" w:hAnsi="宋体" w:eastAsia="仿宋_GB2312"/>
          <w:color w:val="auto"/>
          <w:sz w:val="28"/>
          <w:szCs w:val="28"/>
          <w:highlight w:val="none"/>
        </w:rPr>
        <w:t>。</w:t>
      </w:r>
    </w:p>
    <w:p w14:paraId="15E3D62E">
      <w:pPr>
        <w:adjustRightInd w:val="0"/>
        <w:snapToGrid w:val="0"/>
        <w:spacing w:line="400" w:lineRule="exact"/>
        <w:ind w:firstLine="560" w:firstLineChars="200"/>
        <w:rPr>
          <w:rFonts w:hint="eastAsia" w:ascii="仿宋_GB2312" w:eastAsia="仿宋_GB2312"/>
          <w:dstrike/>
          <w:color w:val="auto"/>
          <w:sz w:val="28"/>
          <w:szCs w:val="28"/>
          <w:highlight w:val="none"/>
        </w:rPr>
      </w:pPr>
      <w:r>
        <w:rPr>
          <w:rFonts w:hint="eastAsia" w:ascii="仿宋_GB2312" w:hAnsi="宋体" w:eastAsia="仿宋_GB2312"/>
          <w:color w:val="auto"/>
          <w:sz w:val="28"/>
          <w:szCs w:val="28"/>
          <w:highlight w:val="none"/>
        </w:rPr>
        <w:t>2.2.2 相关服务依据包括：</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14:paraId="5D697C5C">
      <w:pPr>
        <w:spacing w:line="4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2.3</w:t>
      </w:r>
      <w:r>
        <w:rPr>
          <w:rFonts w:hint="eastAsia" w:ascii="仿宋_GB2312" w:hAnsi="宋体" w:eastAsia="仿宋_GB2312" w:cs="宋体"/>
          <w:color w:val="auto"/>
          <w:kern w:val="0"/>
          <w:sz w:val="28"/>
          <w:szCs w:val="28"/>
          <w:highlight w:val="none"/>
        </w:rPr>
        <w:t>项目</w:t>
      </w:r>
      <w:r>
        <w:rPr>
          <w:rFonts w:hint="eastAsia" w:ascii="仿宋_GB2312" w:hAnsi="宋体" w:eastAsia="仿宋_GB2312" w:cs="宋体"/>
          <w:color w:val="auto"/>
          <w:kern w:val="0"/>
          <w:sz w:val="28"/>
          <w:szCs w:val="28"/>
          <w:highlight w:val="none"/>
          <w:lang w:eastAsia="zh-CN"/>
        </w:rPr>
        <w:t>检测</w:t>
      </w:r>
      <w:r>
        <w:rPr>
          <w:rFonts w:hint="eastAsia" w:ascii="仿宋_GB2312" w:hAnsi="宋体" w:eastAsia="仿宋_GB2312" w:cs="宋体"/>
          <w:color w:val="auto"/>
          <w:kern w:val="0"/>
          <w:sz w:val="28"/>
          <w:szCs w:val="28"/>
          <w:highlight w:val="none"/>
        </w:rPr>
        <w:t>机构和人员</w:t>
      </w:r>
    </w:p>
    <w:p w14:paraId="09F8B1EA">
      <w:pPr>
        <w:adjustRightInd w:val="0"/>
        <w:snapToGrid w:val="0"/>
        <w:spacing w:line="4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2.3.4 </w:t>
      </w:r>
      <w:r>
        <w:rPr>
          <w:rFonts w:hint="eastAsia" w:ascii="仿宋_GB2312" w:hAnsi="宋体" w:eastAsia="仿宋_GB2312"/>
          <w:color w:val="auto"/>
          <w:kern w:val="0"/>
          <w:sz w:val="28"/>
          <w:szCs w:val="28"/>
          <w:highlight w:val="none"/>
        </w:rPr>
        <w:t>更换</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人员的其他情形：</w:t>
      </w:r>
      <w:r>
        <w:rPr>
          <w:rFonts w:hint="eastAsia" w:ascii="仿宋_GB2312" w:eastAsia="仿宋_GB2312"/>
          <w:color w:val="auto"/>
          <w:kern w:val="0"/>
          <w:sz w:val="28"/>
          <w:szCs w:val="28"/>
          <w:highlight w:val="none"/>
          <w:u w:val="single"/>
        </w:rPr>
        <w:t>\</w:t>
      </w:r>
      <w:r>
        <w:rPr>
          <w:rFonts w:hint="eastAsia" w:ascii="仿宋_GB2312" w:hAnsi="宋体" w:eastAsia="仿宋_GB2312"/>
          <w:color w:val="auto"/>
          <w:kern w:val="0"/>
          <w:sz w:val="28"/>
          <w:szCs w:val="28"/>
          <w:highlight w:val="none"/>
        </w:rPr>
        <w:t>。</w:t>
      </w:r>
    </w:p>
    <w:p w14:paraId="64EBF559">
      <w:pPr>
        <w:spacing w:line="400" w:lineRule="exact"/>
        <w:ind w:firstLine="274" w:firstLineChars="98"/>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 </w:t>
      </w:r>
      <w:r>
        <w:rPr>
          <w:rFonts w:hint="eastAsia" w:ascii="仿宋_GB2312" w:hAnsi="宋体" w:eastAsia="仿宋_GB2312" w:cs="宋体"/>
          <w:color w:val="auto"/>
          <w:kern w:val="0"/>
          <w:sz w:val="28"/>
          <w:szCs w:val="28"/>
          <w:highlight w:val="none"/>
        </w:rPr>
        <w:t>履行职责</w:t>
      </w:r>
    </w:p>
    <w:p w14:paraId="5BD2716B">
      <w:pPr>
        <w:adjustRightInd w:val="0"/>
        <w:snapToGrid w:val="0"/>
        <w:spacing w:line="400" w:lineRule="exact"/>
        <w:ind w:firstLine="560" w:firstLineChars="200"/>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2.4.3 </w:t>
      </w:r>
      <w:r>
        <w:rPr>
          <w:rFonts w:hint="eastAsia" w:ascii="仿宋_GB2312" w:hAnsi="宋体" w:eastAsia="仿宋_GB2312"/>
          <w:color w:val="auto"/>
          <w:sz w:val="28"/>
          <w:szCs w:val="28"/>
          <w:highlight w:val="none"/>
        </w:rPr>
        <w:t>对</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人的授权范围：</w:t>
      </w:r>
      <w:r>
        <w:rPr>
          <w:rFonts w:hint="eastAsia" w:ascii="仿宋_GB2312" w:hAnsi="宋体" w:eastAsia="仿宋_GB2312"/>
          <w:color w:val="auto"/>
          <w:kern w:val="0"/>
          <w:sz w:val="28"/>
          <w:szCs w:val="28"/>
          <w:highlight w:val="none"/>
          <w:u w:val="single"/>
          <w:lang w:eastAsia="zh-CN"/>
        </w:rPr>
        <w:t>检测</w:t>
      </w:r>
      <w:r>
        <w:rPr>
          <w:rFonts w:hint="eastAsia" w:ascii="仿宋_GB2312" w:hAnsi="宋体" w:eastAsia="仿宋_GB2312"/>
          <w:color w:val="auto"/>
          <w:kern w:val="0"/>
          <w:sz w:val="28"/>
          <w:szCs w:val="28"/>
          <w:highlight w:val="none"/>
          <w:u w:val="single"/>
        </w:rPr>
        <w:t>人应遵循职业道德准则和行为规范，严格按照法律法规、工程建设有关标准及本合同履行职责</w:t>
      </w:r>
      <w:r>
        <w:rPr>
          <w:rFonts w:hint="eastAsia" w:ascii="仿宋_GB2312"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14:paraId="07A1A353">
      <w:pPr>
        <w:adjustRightInd w:val="0"/>
        <w:snapToGrid w:val="0"/>
        <w:spacing w:line="400" w:lineRule="exact"/>
        <w:ind w:firstLine="420" w:firstLineChars="150"/>
        <w:rPr>
          <w:rFonts w:hint="eastAsia" w:ascii="仿宋_GB2312" w:eastAsia="仿宋_GB2312"/>
          <w:color w:val="auto"/>
          <w:sz w:val="28"/>
          <w:szCs w:val="28"/>
          <w:highlight w:val="none"/>
        </w:rPr>
      </w:pPr>
      <w:r>
        <w:rPr>
          <w:rFonts w:hint="eastAsia" w:ascii="仿宋_GB2312" w:hAnsi="宋体" w:eastAsia="仿宋_GB2312"/>
          <w:color w:val="auto"/>
          <w:kern w:val="0"/>
          <w:sz w:val="28"/>
          <w:szCs w:val="28"/>
          <w:highlight w:val="none"/>
        </w:rPr>
        <w:t xml:space="preserve">2.4.4 </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人有权要求承包人调换其人员</w:t>
      </w:r>
      <w:r>
        <w:rPr>
          <w:rFonts w:hint="eastAsia" w:ascii="仿宋_GB2312" w:hAnsi="宋体" w:eastAsia="仿宋_GB2312"/>
          <w:color w:val="auto"/>
          <w:sz w:val="28"/>
          <w:szCs w:val="28"/>
          <w:highlight w:val="none"/>
        </w:rPr>
        <w:t>的限制条件：</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kern w:val="0"/>
          <w:sz w:val="28"/>
          <w:szCs w:val="28"/>
          <w:highlight w:val="none"/>
          <w:u w:val="single"/>
          <w:lang w:eastAsia="zh-CN"/>
        </w:rPr>
        <w:t>检测</w:t>
      </w:r>
      <w:r>
        <w:rPr>
          <w:rFonts w:hint="eastAsia" w:ascii="仿宋_GB2312" w:hAnsi="宋体" w:eastAsia="仿宋_GB2312"/>
          <w:color w:val="auto"/>
          <w:kern w:val="0"/>
          <w:sz w:val="28"/>
          <w:szCs w:val="28"/>
          <w:highlight w:val="none"/>
          <w:u w:val="single"/>
        </w:rPr>
        <w:t>人发现承包人的人员不能胜任本职工作的</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r>
        <w:rPr>
          <w:rFonts w:hint="eastAsia" w:ascii="仿宋_GB2312" w:eastAsia="仿宋_GB2312"/>
          <w:color w:val="auto"/>
          <w:sz w:val="28"/>
          <w:szCs w:val="28"/>
          <w:highlight w:val="none"/>
        </w:rPr>
        <w:t xml:space="preserve">  </w:t>
      </w:r>
    </w:p>
    <w:p w14:paraId="2A7C2851">
      <w:pPr>
        <w:adjustRightInd w:val="0"/>
        <w:snapToGrid w:val="0"/>
        <w:spacing w:line="400" w:lineRule="exact"/>
        <w:ind w:firstLine="140" w:firstLineChars="50"/>
        <w:rPr>
          <w:rFonts w:hint="eastAsia" w:ascii="仿宋_GB2312" w:eastAsia="仿宋_GB2312"/>
          <w:color w:val="auto"/>
          <w:sz w:val="28"/>
          <w:szCs w:val="28"/>
          <w:highlight w:val="none"/>
        </w:rPr>
      </w:pPr>
      <w:r>
        <w:rPr>
          <w:rFonts w:hint="eastAsia" w:ascii="仿宋_GB2312" w:eastAsia="仿宋_GB2312"/>
          <w:color w:val="auto"/>
          <w:kern w:val="0"/>
          <w:sz w:val="28"/>
          <w:szCs w:val="28"/>
          <w:highlight w:val="none"/>
        </w:rPr>
        <w:t xml:space="preserve">2.5 </w:t>
      </w:r>
      <w:r>
        <w:rPr>
          <w:rFonts w:hint="eastAsia" w:ascii="仿宋_GB2312" w:hAnsi="宋体" w:eastAsia="仿宋_GB2312"/>
          <w:color w:val="auto"/>
          <w:sz w:val="28"/>
          <w:szCs w:val="28"/>
          <w:highlight w:val="none"/>
        </w:rPr>
        <w:t>提交</w:t>
      </w:r>
      <w:r>
        <w:rPr>
          <w:rFonts w:hint="eastAsia" w:ascii="仿宋_GB2312" w:hAnsi="宋体" w:eastAsia="仿宋_GB2312" w:cs="宋体"/>
          <w:color w:val="auto"/>
          <w:kern w:val="0"/>
          <w:sz w:val="28"/>
          <w:szCs w:val="28"/>
          <w:highlight w:val="none"/>
        </w:rPr>
        <w:t>报告</w:t>
      </w:r>
    </w:p>
    <w:p w14:paraId="021FC174">
      <w:pPr>
        <w:adjustRightInd w:val="0"/>
        <w:snapToGrid w:val="0"/>
        <w:spacing w:line="400" w:lineRule="exact"/>
        <w:ind w:firstLine="525"/>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人应提交报告的种类(</w:t>
      </w:r>
      <w:r>
        <w:rPr>
          <w:rFonts w:hint="eastAsia" w:ascii="仿宋_GB2312" w:hAnsi="宋体" w:eastAsia="仿宋_GB2312" w:cs="宋体"/>
          <w:color w:val="auto"/>
          <w:kern w:val="0"/>
          <w:sz w:val="28"/>
          <w:szCs w:val="28"/>
          <w:highlight w:val="none"/>
        </w:rPr>
        <w:t>包括</w:t>
      </w:r>
      <w:r>
        <w:rPr>
          <w:rFonts w:hint="eastAsia" w:ascii="仿宋_GB2312" w:hAnsi="宋体" w:eastAsia="仿宋_GB2312" w:cs="宋体"/>
          <w:color w:val="auto"/>
          <w:kern w:val="0"/>
          <w:sz w:val="28"/>
          <w:szCs w:val="28"/>
          <w:highlight w:val="none"/>
          <w:lang w:eastAsia="zh-CN"/>
        </w:rPr>
        <w:t>检测</w:t>
      </w:r>
      <w:r>
        <w:rPr>
          <w:rFonts w:hint="eastAsia" w:ascii="仿宋_GB2312" w:hAnsi="宋体" w:eastAsia="仿宋_GB2312" w:cs="宋体"/>
          <w:color w:val="auto"/>
          <w:kern w:val="0"/>
          <w:sz w:val="28"/>
          <w:szCs w:val="28"/>
          <w:highlight w:val="none"/>
        </w:rPr>
        <w:t>规划、</w:t>
      </w:r>
      <w:r>
        <w:rPr>
          <w:rFonts w:hint="eastAsia" w:ascii="仿宋_GB2312" w:hAnsi="宋体" w:eastAsia="仿宋_GB2312" w:cs="宋体"/>
          <w:color w:val="auto"/>
          <w:kern w:val="0"/>
          <w:sz w:val="28"/>
          <w:szCs w:val="28"/>
          <w:highlight w:val="none"/>
          <w:lang w:eastAsia="zh-CN"/>
        </w:rPr>
        <w:t>检测</w:t>
      </w:r>
      <w:r>
        <w:rPr>
          <w:rFonts w:hint="eastAsia" w:ascii="仿宋_GB2312" w:hAnsi="宋体" w:eastAsia="仿宋_GB2312" w:cs="宋体"/>
          <w:color w:val="auto"/>
          <w:kern w:val="0"/>
          <w:sz w:val="28"/>
          <w:szCs w:val="28"/>
          <w:highlight w:val="none"/>
        </w:rPr>
        <w:t>月报及约定的专项报告)</w:t>
      </w:r>
      <w:r>
        <w:rPr>
          <w:rFonts w:hint="eastAsia" w:ascii="仿宋_GB2312" w:hAnsi="宋体" w:eastAsia="仿宋_GB2312"/>
          <w:color w:val="auto"/>
          <w:sz w:val="28"/>
          <w:szCs w:val="28"/>
          <w:highlight w:val="none"/>
        </w:rPr>
        <w:t>、时间和份数</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u w:val="single"/>
          <w:lang w:eastAsia="zh-CN"/>
        </w:rPr>
        <w:t>检测</w:t>
      </w:r>
      <w:r>
        <w:rPr>
          <w:rFonts w:hint="eastAsia" w:ascii="仿宋_GB2312" w:hAnsi="宋体" w:eastAsia="仿宋_GB2312" w:cs="宋体"/>
          <w:color w:val="auto"/>
          <w:kern w:val="0"/>
          <w:sz w:val="28"/>
          <w:szCs w:val="28"/>
          <w:highlight w:val="none"/>
          <w:u w:val="single"/>
        </w:rPr>
        <w:t>规划及实施细则在</w:t>
      </w:r>
      <w:r>
        <w:rPr>
          <w:rFonts w:hint="eastAsia" w:ascii="仿宋_GB2312" w:hAnsi="宋体" w:eastAsia="仿宋_GB2312" w:cs="宋体"/>
          <w:color w:val="auto"/>
          <w:kern w:val="0"/>
          <w:sz w:val="28"/>
          <w:szCs w:val="28"/>
          <w:highlight w:val="none"/>
          <w:u w:val="single"/>
          <w:lang w:eastAsia="zh-CN"/>
        </w:rPr>
        <w:t>正式开工前</w:t>
      </w:r>
      <w:r>
        <w:rPr>
          <w:rFonts w:hint="eastAsia" w:ascii="仿宋_GB2312" w:hAnsi="宋体" w:eastAsia="仿宋_GB2312" w:cs="宋体"/>
          <w:color w:val="auto"/>
          <w:kern w:val="0"/>
          <w:sz w:val="28"/>
          <w:szCs w:val="28"/>
          <w:highlight w:val="none"/>
          <w:u w:val="single"/>
        </w:rPr>
        <w:t>时提供</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份</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检测</w:t>
      </w:r>
      <w:r>
        <w:rPr>
          <w:rFonts w:hint="eastAsia" w:ascii="仿宋_GB2312" w:hAnsi="宋体" w:eastAsia="仿宋_GB2312" w:cs="宋体"/>
          <w:color w:val="auto"/>
          <w:kern w:val="0"/>
          <w:sz w:val="28"/>
          <w:szCs w:val="28"/>
          <w:highlight w:val="none"/>
          <w:u w:val="single"/>
        </w:rPr>
        <w:t>月报在每月日历30日前</w:t>
      </w:r>
      <w:r>
        <w:rPr>
          <w:rFonts w:hint="eastAsia" w:ascii="仿宋_GB2312" w:hAnsi="宋体" w:eastAsia="仿宋_GB2312" w:cs="宋体"/>
          <w:color w:val="auto"/>
          <w:kern w:val="0"/>
          <w:sz w:val="28"/>
          <w:szCs w:val="28"/>
          <w:highlight w:val="none"/>
          <w:u w:val="single"/>
          <w:lang w:val="en-US" w:eastAsia="zh-CN"/>
        </w:rPr>
        <w:t>5</w:t>
      </w:r>
      <w:r>
        <w:rPr>
          <w:rFonts w:hint="eastAsia" w:ascii="仿宋_GB2312" w:hAnsi="宋体" w:eastAsia="仿宋_GB2312" w:cs="宋体"/>
          <w:color w:val="auto"/>
          <w:kern w:val="0"/>
          <w:sz w:val="28"/>
          <w:szCs w:val="28"/>
          <w:highlight w:val="none"/>
          <w:u w:val="single"/>
        </w:rPr>
        <w:t>天、质量</w:t>
      </w:r>
      <w:r>
        <w:rPr>
          <w:rFonts w:hint="eastAsia" w:ascii="仿宋_GB2312" w:hAnsi="宋体" w:eastAsia="仿宋_GB2312" w:cs="宋体"/>
          <w:color w:val="auto"/>
          <w:kern w:val="0"/>
          <w:sz w:val="28"/>
          <w:szCs w:val="28"/>
          <w:highlight w:val="none"/>
          <w:u w:val="single"/>
          <w:lang w:eastAsia="zh-CN"/>
        </w:rPr>
        <w:t>评估</w:t>
      </w:r>
      <w:r>
        <w:rPr>
          <w:rFonts w:hint="eastAsia" w:ascii="仿宋_GB2312" w:hAnsi="宋体" w:eastAsia="仿宋_GB2312" w:cs="宋体"/>
          <w:color w:val="auto"/>
          <w:kern w:val="0"/>
          <w:sz w:val="28"/>
          <w:szCs w:val="28"/>
          <w:highlight w:val="none"/>
          <w:u w:val="single"/>
        </w:rPr>
        <w:t>报告在组织验收前</w:t>
      </w:r>
      <w:r>
        <w:rPr>
          <w:rFonts w:hint="eastAsia" w:ascii="仿宋_GB2312" w:hAnsi="宋体" w:eastAsia="仿宋_GB2312" w:cs="宋体"/>
          <w:color w:val="auto"/>
          <w:kern w:val="0"/>
          <w:sz w:val="28"/>
          <w:szCs w:val="28"/>
          <w:highlight w:val="none"/>
          <w:u w:val="single"/>
          <w:lang w:val="en-US" w:eastAsia="zh-CN"/>
        </w:rPr>
        <w:t>5</w:t>
      </w:r>
      <w:r>
        <w:rPr>
          <w:rFonts w:hint="eastAsia" w:ascii="仿宋_GB2312" w:hAnsi="宋体" w:eastAsia="仿宋_GB2312" w:cs="宋体"/>
          <w:color w:val="auto"/>
          <w:kern w:val="0"/>
          <w:sz w:val="28"/>
          <w:szCs w:val="28"/>
          <w:highlight w:val="none"/>
          <w:u w:val="single"/>
        </w:rPr>
        <w:t>天</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14:paraId="2A7B4AD0">
      <w:pPr>
        <w:spacing w:line="400" w:lineRule="exact"/>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 2.7 </w:t>
      </w:r>
      <w:r>
        <w:rPr>
          <w:rFonts w:hint="eastAsia" w:ascii="仿宋_GB2312" w:hAnsi="宋体" w:eastAsia="仿宋_GB2312" w:cs="宋体"/>
          <w:color w:val="auto"/>
          <w:kern w:val="0"/>
          <w:sz w:val="28"/>
          <w:szCs w:val="28"/>
          <w:highlight w:val="none"/>
        </w:rPr>
        <w:t>使用委托人的财产</w:t>
      </w:r>
    </w:p>
    <w:p w14:paraId="40AA277B">
      <w:pPr>
        <w:spacing w:line="400" w:lineRule="exact"/>
        <w:rPr>
          <w:rFonts w:hint="eastAsia" w:ascii="仿宋_GB2312" w:eastAsia="仿宋_GB2312"/>
          <w:color w:val="auto"/>
          <w:kern w:val="0"/>
          <w:sz w:val="28"/>
          <w:szCs w:val="28"/>
          <w:highlight w:val="none"/>
        </w:rPr>
      </w:pPr>
      <w:r>
        <w:rPr>
          <w:rFonts w:hint="eastAsia" w:ascii="仿宋_GB2312" w:hAnsi="宋体" w:eastAsia="仿宋_GB2312" w:cs="宋体"/>
          <w:color w:val="auto"/>
          <w:kern w:val="0"/>
          <w:sz w:val="28"/>
          <w:szCs w:val="28"/>
          <w:highlight w:val="none"/>
        </w:rPr>
        <w:t xml:space="preserve">  </w:t>
      </w:r>
      <w:r>
        <w:rPr>
          <w:rFonts w:hint="eastAsia" w:ascii="仿宋_GB2312" w:eastAsia="仿宋_GB2312"/>
          <w:color w:val="auto"/>
          <w:kern w:val="0"/>
          <w:sz w:val="28"/>
          <w:szCs w:val="28"/>
          <w:highlight w:val="none"/>
        </w:rPr>
        <w:t xml:space="preserve">   </w:t>
      </w:r>
      <w:r>
        <w:rPr>
          <w:rFonts w:hint="eastAsia" w:ascii="仿宋_GB2312" w:hAnsi="宋体" w:eastAsia="仿宋_GB2312"/>
          <w:color w:val="auto"/>
          <w:sz w:val="28"/>
          <w:szCs w:val="28"/>
          <w:highlight w:val="none"/>
        </w:rPr>
        <w:t>附录</w:t>
      </w:r>
      <w:r>
        <w:rPr>
          <w:rFonts w:hint="eastAsia" w:ascii="仿宋_GB2312" w:eastAsia="仿宋_GB2312"/>
          <w:color w:val="auto"/>
          <w:sz w:val="28"/>
          <w:szCs w:val="28"/>
          <w:highlight w:val="none"/>
        </w:rPr>
        <w:t>B</w:t>
      </w:r>
      <w:r>
        <w:rPr>
          <w:rFonts w:hint="eastAsia" w:ascii="仿宋_GB2312" w:hAnsi="宋体" w:eastAsia="仿宋_GB2312"/>
          <w:color w:val="auto"/>
          <w:sz w:val="28"/>
          <w:szCs w:val="28"/>
          <w:highlight w:val="none"/>
        </w:rPr>
        <w:t>中由委托人无偿提供的房屋、设备的所有权属于：</w:t>
      </w:r>
      <w:r>
        <w:rPr>
          <w:rFonts w:hint="eastAsia" w:ascii="仿宋_GB2312" w:hAnsi="宋体"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委托人 </w:t>
      </w:r>
      <w:r>
        <w:rPr>
          <w:rFonts w:hint="eastAsia" w:ascii="仿宋_GB2312" w:hAnsi="宋体" w:eastAsia="仿宋_GB2312"/>
          <w:color w:val="auto"/>
          <w:sz w:val="28"/>
          <w:szCs w:val="28"/>
          <w:highlight w:val="none"/>
        </w:rPr>
        <w:t>。</w:t>
      </w:r>
    </w:p>
    <w:p w14:paraId="70BE9C8A">
      <w:pPr>
        <w:spacing w:line="400" w:lineRule="exact"/>
        <w:ind w:firstLine="560" w:firstLineChars="200"/>
        <w:rPr>
          <w:rFonts w:hint="eastAsia" w:ascii="仿宋_GB2312" w:eastAsia="仿宋_GB2312"/>
          <w:color w:val="auto"/>
          <w:kern w:val="0"/>
          <w:sz w:val="28"/>
          <w:szCs w:val="28"/>
          <w:highlight w:val="none"/>
        </w:rPr>
      </w:pP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人应在本合同终止后</w:t>
      </w:r>
      <w:r>
        <w:rPr>
          <w:rFonts w:hint="eastAsia" w:ascii="仿宋_GB2312" w:eastAsia="仿宋_GB2312"/>
          <w:color w:val="auto"/>
          <w:sz w:val="28"/>
          <w:szCs w:val="28"/>
          <w:highlight w:val="none"/>
          <w:u w:val="single"/>
        </w:rPr>
        <w:t xml:space="preserve">   7</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天内移交委托人无偿提供的房屋、设备，移交的时间和方式为：</w:t>
      </w:r>
      <w:r>
        <w:rPr>
          <w:rFonts w:hint="eastAsia" w:ascii="仿宋_GB2312" w:hAnsi="宋体" w:eastAsia="仿宋_GB2312"/>
          <w:color w:val="auto"/>
          <w:sz w:val="28"/>
          <w:szCs w:val="28"/>
          <w:highlight w:val="none"/>
          <w:u w:val="single"/>
        </w:rPr>
        <w:t xml:space="preserve"> \ </w:t>
      </w:r>
      <w:r>
        <w:rPr>
          <w:rFonts w:hint="eastAsia" w:ascii="仿宋_GB2312" w:hAnsi="宋体" w:eastAsia="仿宋_GB2312"/>
          <w:color w:val="auto"/>
          <w:sz w:val="28"/>
          <w:szCs w:val="28"/>
          <w:highlight w:val="none"/>
        </w:rPr>
        <w:t>。</w:t>
      </w:r>
    </w:p>
    <w:p w14:paraId="55B4188E">
      <w:pPr>
        <w:adjustRightInd w:val="0"/>
        <w:snapToGrid w:val="0"/>
        <w:spacing w:line="400" w:lineRule="exact"/>
        <w:rPr>
          <w:rFonts w:hint="eastAsia" w:ascii="仿宋_GB2312" w:hAnsi="黑体" w:eastAsia="仿宋_GB2312"/>
          <w:b/>
          <w:color w:val="auto"/>
          <w:sz w:val="28"/>
          <w:szCs w:val="28"/>
          <w:highlight w:val="none"/>
        </w:rPr>
      </w:pPr>
      <w:r>
        <w:rPr>
          <w:rFonts w:hint="eastAsia" w:ascii="仿宋_GB2312" w:hAnsi="黑体" w:eastAsia="仿宋_GB2312"/>
          <w:b/>
          <w:color w:val="auto"/>
          <w:kern w:val="0"/>
          <w:sz w:val="28"/>
          <w:szCs w:val="28"/>
          <w:highlight w:val="none"/>
        </w:rPr>
        <w:t xml:space="preserve">3. 委托人义务  </w:t>
      </w:r>
    </w:p>
    <w:p w14:paraId="7076C2BE">
      <w:pPr>
        <w:snapToGrid w:val="0"/>
        <w:spacing w:line="4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kern w:val="0"/>
          <w:sz w:val="28"/>
          <w:szCs w:val="28"/>
          <w:highlight w:val="none"/>
        </w:rPr>
        <w:t xml:space="preserve">3.4 </w:t>
      </w:r>
      <w:r>
        <w:rPr>
          <w:rFonts w:hint="eastAsia" w:ascii="仿宋_GB2312" w:hAnsi="宋体" w:eastAsia="仿宋_GB2312" w:cs="宋体"/>
          <w:color w:val="auto"/>
          <w:kern w:val="0"/>
          <w:sz w:val="28"/>
          <w:szCs w:val="28"/>
          <w:highlight w:val="none"/>
        </w:rPr>
        <w:t>委托人代表</w:t>
      </w:r>
    </w:p>
    <w:p w14:paraId="7403D2BB">
      <w:pPr>
        <w:adjustRightInd w:val="0"/>
        <w:snapToGrid w:val="0"/>
        <w:spacing w:line="400" w:lineRule="exact"/>
        <w:ind w:firstLine="560" w:firstLineChars="200"/>
        <w:rPr>
          <w:rFonts w:hint="eastAsia" w:ascii="仿宋_GB2312" w:eastAsia="仿宋_GB2312"/>
          <w:color w:val="auto"/>
          <w:sz w:val="28"/>
          <w:szCs w:val="28"/>
          <w:highlight w:val="none"/>
          <w:u w:val="single"/>
        </w:rPr>
      </w:pPr>
      <w:r>
        <w:rPr>
          <w:rFonts w:hint="eastAsia" w:ascii="仿宋_GB2312" w:hAnsi="宋体" w:eastAsia="仿宋_GB2312"/>
          <w:color w:val="auto"/>
          <w:sz w:val="28"/>
          <w:szCs w:val="28"/>
          <w:highlight w:val="none"/>
        </w:rPr>
        <w:t>委托人代表为：</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p w14:paraId="27A26233">
      <w:pPr>
        <w:adjustRightInd w:val="0"/>
        <w:snapToGrid w:val="0"/>
        <w:spacing w:line="400" w:lineRule="exact"/>
        <w:ind w:firstLine="274" w:firstLineChars="98"/>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3.6 </w:t>
      </w:r>
      <w:r>
        <w:rPr>
          <w:rFonts w:hint="eastAsia" w:ascii="仿宋_GB2312" w:hAnsi="宋体" w:eastAsia="仿宋_GB2312" w:cs="宋体"/>
          <w:color w:val="auto"/>
          <w:kern w:val="0"/>
          <w:sz w:val="28"/>
          <w:szCs w:val="28"/>
          <w:highlight w:val="none"/>
        </w:rPr>
        <w:t>答复</w:t>
      </w:r>
    </w:p>
    <w:p w14:paraId="10156136">
      <w:pPr>
        <w:adjustRightInd w:val="0"/>
        <w:snapToGrid w:val="0"/>
        <w:spacing w:line="400" w:lineRule="exact"/>
        <w:ind w:firstLine="560" w:firstLineChars="200"/>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委托人同意在</w:t>
      </w:r>
      <w:r>
        <w:rPr>
          <w:rFonts w:hint="eastAsia" w:ascii="仿宋_GB2312" w:eastAsia="仿宋_GB2312"/>
          <w:color w:val="auto"/>
          <w:sz w:val="28"/>
          <w:szCs w:val="28"/>
          <w:highlight w:val="none"/>
          <w:u w:val="single"/>
        </w:rPr>
        <w:t xml:space="preserve">    30    </w:t>
      </w:r>
      <w:r>
        <w:rPr>
          <w:rFonts w:hint="eastAsia" w:ascii="仿宋_GB2312" w:hAnsi="宋体" w:eastAsia="仿宋_GB2312"/>
          <w:color w:val="auto"/>
          <w:sz w:val="28"/>
          <w:szCs w:val="28"/>
          <w:highlight w:val="none"/>
        </w:rPr>
        <w:t>天内，对</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人书面提交并要求做出决定的事宜给予书面答复。</w:t>
      </w:r>
    </w:p>
    <w:p w14:paraId="78CE2C33">
      <w:pPr>
        <w:snapToGrid w:val="0"/>
        <w:spacing w:line="400" w:lineRule="exact"/>
        <w:rPr>
          <w:rFonts w:hint="eastAsia" w:ascii="仿宋_GB2312" w:hAnsi="黑体" w:eastAsia="仿宋_GB2312"/>
          <w:b/>
          <w:bCs/>
          <w:color w:val="auto"/>
          <w:sz w:val="28"/>
          <w:szCs w:val="28"/>
          <w:highlight w:val="none"/>
        </w:rPr>
      </w:pPr>
      <w:r>
        <w:rPr>
          <w:rFonts w:hint="eastAsia" w:ascii="仿宋_GB2312" w:hAnsi="黑体" w:eastAsia="仿宋_GB2312"/>
          <w:b/>
          <w:bCs/>
          <w:color w:val="auto"/>
          <w:sz w:val="28"/>
          <w:szCs w:val="28"/>
          <w:highlight w:val="none"/>
        </w:rPr>
        <w:t>4. 违约责任</w:t>
      </w:r>
    </w:p>
    <w:p w14:paraId="31BC15D8">
      <w:pPr>
        <w:spacing w:line="400" w:lineRule="exact"/>
        <w:ind w:left="210" w:left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 xml:space="preserve">4.1 </w:t>
      </w:r>
      <w:r>
        <w:rPr>
          <w:rFonts w:hint="eastAsia" w:ascii="仿宋_GB2312" w:hAnsi="宋体" w:eastAsia="仿宋_GB2312" w:cs="宋体"/>
          <w:color w:val="auto"/>
          <w:kern w:val="0"/>
          <w:sz w:val="28"/>
          <w:szCs w:val="28"/>
          <w:highlight w:val="none"/>
          <w:lang w:eastAsia="zh-CN"/>
        </w:rPr>
        <w:t>检测</w:t>
      </w:r>
      <w:r>
        <w:rPr>
          <w:rFonts w:hint="eastAsia" w:ascii="仿宋_GB2312" w:hAnsi="宋体" w:eastAsia="仿宋_GB2312" w:cs="宋体"/>
          <w:color w:val="auto"/>
          <w:kern w:val="0"/>
          <w:sz w:val="28"/>
          <w:szCs w:val="28"/>
          <w:highlight w:val="none"/>
        </w:rPr>
        <w:t>人的违约责任</w:t>
      </w:r>
    </w:p>
    <w:p w14:paraId="3D4D15C6">
      <w:pPr>
        <w:adjustRightInd w:val="0"/>
        <w:snapToGrid w:val="0"/>
        <w:spacing w:line="400" w:lineRule="exact"/>
        <w:ind w:firstLine="560" w:firstLineChars="200"/>
        <w:rPr>
          <w:rFonts w:hint="eastAsia" w:ascii="仿宋_GB2312" w:hAnsi="宋体" w:eastAsia="仿宋_GB2312"/>
          <w:color w:val="auto"/>
          <w:kern w:val="0"/>
          <w:sz w:val="28"/>
          <w:szCs w:val="28"/>
          <w:highlight w:val="none"/>
        </w:rPr>
      </w:pPr>
      <w:r>
        <w:rPr>
          <w:rFonts w:hint="eastAsia" w:ascii="仿宋_GB2312" w:eastAsia="仿宋_GB2312"/>
          <w:color w:val="auto"/>
          <w:kern w:val="0"/>
          <w:sz w:val="28"/>
          <w:szCs w:val="28"/>
          <w:highlight w:val="none"/>
        </w:rPr>
        <w:t>4.1.1</w:t>
      </w:r>
      <w:r>
        <w:rPr>
          <w:rFonts w:hint="eastAsia" w:ascii="仿宋_GB2312" w:hAnsi="宋体" w:eastAsia="仿宋_GB2312"/>
          <w:color w:val="auto"/>
          <w:kern w:val="0"/>
          <w:sz w:val="28"/>
          <w:szCs w:val="28"/>
          <w:highlight w:val="none"/>
          <w:lang w:eastAsia="zh-CN"/>
        </w:rPr>
        <w:t>检测</w:t>
      </w:r>
      <w:r>
        <w:rPr>
          <w:rFonts w:hint="eastAsia" w:ascii="仿宋_GB2312" w:hAnsi="宋体" w:eastAsia="仿宋_GB2312"/>
          <w:color w:val="auto"/>
          <w:kern w:val="0"/>
          <w:sz w:val="28"/>
          <w:szCs w:val="28"/>
          <w:highlight w:val="none"/>
        </w:rPr>
        <w:t>人赔偿金额按下列方法确定：</w:t>
      </w:r>
    </w:p>
    <w:p w14:paraId="25103C3C">
      <w:pPr>
        <w:adjustRightInd w:val="0"/>
        <w:snapToGrid w:val="0"/>
        <w:spacing w:line="400" w:lineRule="exact"/>
        <w:ind w:firstLine="560" w:firstLineChars="200"/>
        <w:rPr>
          <w:rFonts w:hint="eastAsia" w:ascii="仿宋_GB2312" w:hAnsi="宋体" w:eastAsia="仿宋_GB2312" w:cs="宋体"/>
          <w:color w:val="auto"/>
          <w:kern w:val="0"/>
          <w:sz w:val="28"/>
          <w:szCs w:val="28"/>
          <w:highlight w:val="none"/>
        </w:rPr>
      </w:pPr>
      <w:r>
        <w:rPr>
          <w:rFonts w:hint="eastAsia" w:ascii="仿宋_GB2312" w:hAnsi="宋体" w:eastAsia="仿宋_GB2312"/>
          <w:color w:val="auto"/>
          <w:sz w:val="28"/>
          <w:szCs w:val="28"/>
          <w:highlight w:val="none"/>
        </w:rPr>
        <w:t>赔偿金＝直接经济损失×正常工作酬金÷工程概算</w:t>
      </w:r>
      <w:r>
        <w:rPr>
          <w:rFonts w:hint="eastAsia" w:ascii="仿宋_GB2312" w:hAnsi="宋体" w:eastAsia="仿宋_GB2312" w:cs="宋体"/>
          <w:color w:val="auto"/>
          <w:kern w:val="0"/>
          <w:sz w:val="28"/>
          <w:szCs w:val="28"/>
          <w:highlight w:val="none"/>
        </w:rPr>
        <w:t>投资额（或建筑安装工程费）</w:t>
      </w:r>
    </w:p>
    <w:p w14:paraId="2A4D4A6D">
      <w:pPr>
        <w:pStyle w:val="334"/>
        <w:ind w:firstLine="560" w:firstLineChars="200"/>
        <w:rPr>
          <w:rFonts w:hint="eastAsia" w:ascii="仿宋_GB2312" w:hAnsi="宋体" w:eastAsia="仿宋_GB2312" w:cs="Times New Roman"/>
          <w:b w:val="0"/>
          <w:bCs w:val="0"/>
          <w:color w:val="auto"/>
          <w:kern w:val="2"/>
          <w:sz w:val="28"/>
          <w:szCs w:val="28"/>
          <w:highlight w:val="none"/>
          <w:lang w:val="en-US" w:eastAsia="zh-CN" w:bidi="ar-SA"/>
        </w:rPr>
      </w:pPr>
      <w:r>
        <w:rPr>
          <w:rFonts w:hint="eastAsia" w:ascii="仿宋_GB2312" w:hAnsi="宋体" w:eastAsia="仿宋_GB2312" w:cs="Times New Roman"/>
          <w:b w:val="0"/>
          <w:bCs w:val="0"/>
          <w:color w:val="auto"/>
          <w:kern w:val="2"/>
          <w:sz w:val="28"/>
          <w:szCs w:val="28"/>
          <w:highlight w:val="none"/>
          <w:lang w:val="en-US" w:eastAsia="zh-CN" w:bidi="ar-SA"/>
        </w:rPr>
        <w:t>赔偿金额不高于</w:t>
      </w:r>
      <w:r>
        <w:rPr>
          <w:rFonts w:hint="eastAsia" w:cs="Times New Roman"/>
          <w:b w:val="0"/>
          <w:bCs w:val="0"/>
          <w:color w:val="auto"/>
          <w:kern w:val="2"/>
          <w:sz w:val="28"/>
          <w:szCs w:val="28"/>
          <w:highlight w:val="none"/>
          <w:lang w:val="en-US" w:eastAsia="zh-CN" w:bidi="ar-SA"/>
        </w:rPr>
        <w:t>检测</w:t>
      </w:r>
      <w:r>
        <w:rPr>
          <w:rFonts w:hint="eastAsia" w:ascii="仿宋_GB2312" w:hAnsi="宋体" w:eastAsia="仿宋_GB2312" w:cs="Times New Roman"/>
          <w:b w:val="0"/>
          <w:bCs w:val="0"/>
          <w:color w:val="auto"/>
          <w:kern w:val="2"/>
          <w:sz w:val="28"/>
          <w:szCs w:val="28"/>
          <w:highlight w:val="none"/>
          <w:lang w:val="en-US" w:eastAsia="zh-CN" w:bidi="ar-SA"/>
        </w:rPr>
        <w:t>合同酬金总额</w:t>
      </w:r>
      <w:r>
        <w:rPr>
          <w:rFonts w:hint="eastAsia" w:cs="Times New Roman"/>
          <w:b w:val="0"/>
          <w:bCs w:val="0"/>
          <w:color w:val="auto"/>
          <w:kern w:val="2"/>
          <w:sz w:val="28"/>
          <w:szCs w:val="28"/>
          <w:highlight w:val="none"/>
          <w:lang w:val="en-US" w:eastAsia="zh-CN" w:bidi="ar-SA"/>
        </w:rPr>
        <w:t>。</w:t>
      </w:r>
    </w:p>
    <w:p w14:paraId="5F1F8F61">
      <w:pPr>
        <w:snapToGrid w:val="0"/>
        <w:spacing w:line="400" w:lineRule="exact"/>
        <w:ind w:firstLine="280" w:firstLineChars="100"/>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4.2 委</w:t>
      </w:r>
      <w:r>
        <w:rPr>
          <w:rFonts w:hint="eastAsia" w:ascii="仿宋_GB2312" w:hAnsi="宋体" w:eastAsia="仿宋_GB2312" w:cs="宋体"/>
          <w:color w:val="auto"/>
          <w:kern w:val="0"/>
          <w:sz w:val="28"/>
          <w:szCs w:val="28"/>
          <w:highlight w:val="none"/>
        </w:rPr>
        <w:t>托人的违约责任</w:t>
      </w:r>
    </w:p>
    <w:p w14:paraId="6F67EE9D">
      <w:pPr>
        <w:spacing w:line="400" w:lineRule="exact"/>
        <w:ind w:firstLine="560" w:firstLineChars="200"/>
        <w:rPr>
          <w:rFonts w:hint="eastAsia" w:ascii="仿宋_GB2312" w:hAnsi="宋体" w:eastAsia="仿宋_GB2312"/>
          <w:color w:val="auto"/>
          <w:kern w:val="0"/>
          <w:sz w:val="28"/>
          <w:szCs w:val="28"/>
          <w:highlight w:val="none"/>
        </w:rPr>
      </w:pPr>
      <w:r>
        <w:rPr>
          <w:rFonts w:hint="eastAsia" w:ascii="仿宋_GB2312" w:eastAsia="仿宋_GB2312"/>
          <w:color w:val="auto"/>
          <w:sz w:val="28"/>
          <w:szCs w:val="28"/>
          <w:highlight w:val="none"/>
        </w:rPr>
        <w:t>4.2.3 委托人</w:t>
      </w:r>
      <w:r>
        <w:rPr>
          <w:rFonts w:hint="eastAsia" w:ascii="仿宋_GB2312" w:hAnsi="宋体" w:eastAsia="仿宋_GB2312"/>
          <w:color w:val="auto"/>
          <w:kern w:val="0"/>
          <w:sz w:val="28"/>
          <w:szCs w:val="28"/>
          <w:highlight w:val="none"/>
        </w:rPr>
        <w:t>逾期付款利息按下列方法确定：无</w:t>
      </w:r>
    </w:p>
    <w:p w14:paraId="1FDE9AC8">
      <w:pPr>
        <w:snapToGrid w:val="0"/>
        <w:spacing w:line="400" w:lineRule="exact"/>
        <w:ind w:firstLine="141" w:firstLineChars="50"/>
        <w:rPr>
          <w:rFonts w:hint="eastAsia" w:ascii="仿宋_GB2312" w:hAnsi="黑体" w:eastAsia="仿宋_GB2312"/>
          <w:b/>
          <w:color w:val="auto"/>
          <w:sz w:val="28"/>
          <w:szCs w:val="28"/>
          <w:highlight w:val="none"/>
        </w:rPr>
      </w:pPr>
      <w:r>
        <w:rPr>
          <w:rFonts w:hint="eastAsia" w:ascii="仿宋_GB2312" w:hAnsi="黑体" w:eastAsia="仿宋_GB2312"/>
          <w:b/>
          <w:bCs/>
          <w:color w:val="auto"/>
          <w:sz w:val="28"/>
          <w:szCs w:val="28"/>
          <w:highlight w:val="none"/>
        </w:rPr>
        <w:t>5. 支付</w:t>
      </w:r>
    </w:p>
    <w:p w14:paraId="379199ED">
      <w:pPr>
        <w:snapToGrid w:val="0"/>
        <w:spacing w:line="400" w:lineRule="exact"/>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 xml:space="preserve">  5.1 </w:t>
      </w:r>
      <w:r>
        <w:rPr>
          <w:rFonts w:hint="eastAsia" w:ascii="仿宋_GB2312" w:hAnsi="宋体" w:eastAsia="仿宋_GB2312"/>
          <w:bCs/>
          <w:color w:val="auto"/>
          <w:sz w:val="28"/>
          <w:szCs w:val="28"/>
          <w:highlight w:val="none"/>
        </w:rPr>
        <w:t>支付货币</w:t>
      </w:r>
    </w:p>
    <w:p w14:paraId="22FA4098">
      <w:pPr>
        <w:snapToGrid w:val="0"/>
        <w:spacing w:line="40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币种为：</w:t>
      </w:r>
      <w:r>
        <w:rPr>
          <w:rFonts w:hint="eastAsia" w:ascii="仿宋_GB2312" w:hAnsi="宋体" w:eastAsia="仿宋_GB2312"/>
          <w:color w:val="auto"/>
          <w:sz w:val="28"/>
          <w:szCs w:val="28"/>
          <w:highlight w:val="none"/>
          <w:u w:val="single"/>
        </w:rPr>
        <w:t xml:space="preserve"> 人民币</w:t>
      </w:r>
      <w:r>
        <w:rPr>
          <w:rFonts w:hint="eastAsia" w:ascii="仿宋_GB2312" w:hAnsi="宋体" w:eastAsia="仿宋_GB2312"/>
          <w:color w:val="auto"/>
          <w:sz w:val="28"/>
          <w:szCs w:val="28"/>
          <w:highlight w:val="none"/>
        </w:rPr>
        <w:t xml:space="preserve">。 </w:t>
      </w:r>
    </w:p>
    <w:p w14:paraId="5FA0E296">
      <w:pPr>
        <w:snapToGrid w:val="0"/>
        <w:spacing w:line="400" w:lineRule="exact"/>
        <w:ind w:firstLine="280" w:firstLineChars="100"/>
        <w:rPr>
          <w:rFonts w:hint="eastAsia" w:ascii="仿宋_GB2312" w:eastAsia="仿宋_GB2312"/>
          <w:color w:val="auto"/>
          <w:kern w:val="0"/>
          <w:sz w:val="28"/>
          <w:szCs w:val="28"/>
          <w:highlight w:val="none"/>
        </w:rPr>
      </w:pPr>
      <w:r>
        <w:rPr>
          <w:rFonts w:hint="eastAsia" w:ascii="仿宋_GB2312" w:eastAsia="仿宋_GB2312"/>
          <w:color w:val="auto"/>
          <w:kern w:val="0"/>
          <w:sz w:val="28"/>
          <w:szCs w:val="28"/>
          <w:highlight w:val="none"/>
        </w:rPr>
        <w:t>5.3 支付酬金</w:t>
      </w:r>
    </w:p>
    <w:p w14:paraId="11A8DA39">
      <w:pPr>
        <w:snapToGrid w:val="0"/>
        <w:spacing w:line="400" w:lineRule="exact"/>
        <w:ind w:firstLine="560" w:firstLineChars="200"/>
        <w:rPr>
          <w:rFonts w:hint="eastAsia" w:ascii="仿宋_GB2312" w:hAnsi="宋体" w:eastAsia="仿宋_GB2312"/>
          <w:color w:val="auto"/>
          <w:sz w:val="28"/>
          <w:szCs w:val="28"/>
          <w:highlight w:val="none"/>
        </w:rPr>
      </w:pPr>
      <w:r>
        <w:rPr>
          <w:rFonts w:hint="eastAsia" w:ascii="仿宋_GB2312" w:eastAsia="仿宋_GB2312"/>
          <w:color w:val="auto"/>
          <w:kern w:val="0"/>
          <w:sz w:val="28"/>
          <w:szCs w:val="28"/>
          <w:highlight w:val="none"/>
        </w:rPr>
        <w:t>正常工作</w:t>
      </w:r>
      <w:r>
        <w:rPr>
          <w:rFonts w:hint="eastAsia" w:ascii="仿宋_GB2312" w:hAnsi="宋体" w:eastAsia="仿宋_GB2312"/>
          <w:color w:val="auto"/>
          <w:sz w:val="28"/>
          <w:szCs w:val="28"/>
          <w:highlight w:val="none"/>
        </w:rPr>
        <w:t>酬金的</w:t>
      </w:r>
      <w:r>
        <w:rPr>
          <w:rFonts w:hint="eastAsia" w:ascii="仿宋_GB2312" w:hAnsi="宋体" w:eastAsia="仿宋_GB2312" w:cs="宋体"/>
          <w:color w:val="auto"/>
          <w:kern w:val="0"/>
          <w:sz w:val="28"/>
          <w:szCs w:val="28"/>
          <w:highlight w:val="none"/>
        </w:rPr>
        <w:t>支付</w:t>
      </w:r>
      <w:r>
        <w:rPr>
          <w:rFonts w:hint="eastAsia" w:ascii="仿宋_GB2312" w:hAnsi="宋体" w:eastAsia="仿宋_GB2312"/>
          <w:color w:val="auto"/>
          <w:sz w:val="28"/>
          <w:szCs w:val="28"/>
          <w:highlight w:val="none"/>
        </w:rPr>
        <w:t>：</w:t>
      </w:r>
    </w:p>
    <w:tbl>
      <w:tblPr>
        <w:tblStyle w:val="48"/>
        <w:tblW w:w="849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556"/>
        <w:gridCol w:w="1701"/>
        <w:gridCol w:w="2396"/>
      </w:tblGrid>
      <w:tr w14:paraId="7AFE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38" w:type="dxa"/>
            <w:noWrap w:val="0"/>
            <w:vAlign w:val="center"/>
          </w:tcPr>
          <w:p w14:paraId="731D82B7">
            <w:pPr>
              <w:spacing w:line="40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支付次数</w:t>
            </w:r>
          </w:p>
        </w:tc>
        <w:tc>
          <w:tcPr>
            <w:tcW w:w="2556" w:type="dxa"/>
            <w:noWrap w:val="0"/>
            <w:vAlign w:val="center"/>
          </w:tcPr>
          <w:p w14:paraId="1D7B35E1">
            <w:pPr>
              <w:spacing w:line="40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支付时间</w:t>
            </w:r>
          </w:p>
        </w:tc>
        <w:tc>
          <w:tcPr>
            <w:tcW w:w="1701" w:type="dxa"/>
            <w:noWrap w:val="0"/>
            <w:vAlign w:val="top"/>
          </w:tcPr>
          <w:p w14:paraId="4EF0939C">
            <w:pPr>
              <w:spacing w:line="40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支付比例</w:t>
            </w:r>
          </w:p>
        </w:tc>
        <w:tc>
          <w:tcPr>
            <w:tcW w:w="2396" w:type="dxa"/>
            <w:noWrap w:val="0"/>
            <w:vAlign w:val="center"/>
          </w:tcPr>
          <w:p w14:paraId="1B1248A9">
            <w:pPr>
              <w:spacing w:line="40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支付金额</w:t>
            </w:r>
          </w:p>
        </w:tc>
      </w:tr>
      <w:tr w14:paraId="1A3D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38" w:type="dxa"/>
            <w:noWrap w:val="0"/>
            <w:vAlign w:val="center"/>
          </w:tcPr>
          <w:p w14:paraId="2BC40D40">
            <w:pPr>
              <w:spacing w:line="40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首付款</w:t>
            </w:r>
          </w:p>
        </w:tc>
        <w:tc>
          <w:tcPr>
            <w:tcW w:w="2556" w:type="dxa"/>
            <w:noWrap w:val="0"/>
            <w:vAlign w:val="center"/>
          </w:tcPr>
          <w:p w14:paraId="0F762419">
            <w:pPr>
              <w:spacing w:line="400" w:lineRule="exact"/>
              <w:jc w:val="center"/>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eastAsia="zh-CN"/>
              </w:rPr>
              <w:t>进场后</w:t>
            </w:r>
            <w:r>
              <w:rPr>
                <w:rFonts w:hint="eastAsia" w:ascii="仿宋_GB2312" w:hAnsi="宋体" w:eastAsia="仿宋_GB2312"/>
                <w:color w:val="auto"/>
                <w:sz w:val="28"/>
                <w:szCs w:val="28"/>
                <w:highlight w:val="none"/>
                <w:lang w:val="en-US" w:eastAsia="zh-CN"/>
              </w:rPr>
              <w:t>7日内</w:t>
            </w:r>
          </w:p>
        </w:tc>
        <w:tc>
          <w:tcPr>
            <w:tcW w:w="1701" w:type="dxa"/>
            <w:noWrap w:val="0"/>
            <w:vAlign w:val="center"/>
          </w:tcPr>
          <w:p w14:paraId="4C3B9A0D">
            <w:pPr>
              <w:spacing w:line="40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2</w:t>
            </w:r>
            <w:r>
              <w:rPr>
                <w:rFonts w:hint="eastAsia" w:ascii="仿宋_GB2312" w:hAnsi="宋体" w:eastAsia="仿宋_GB2312"/>
                <w:color w:val="auto"/>
                <w:sz w:val="28"/>
                <w:szCs w:val="28"/>
                <w:highlight w:val="none"/>
              </w:rPr>
              <w:t>0%</w:t>
            </w:r>
          </w:p>
        </w:tc>
        <w:tc>
          <w:tcPr>
            <w:tcW w:w="2396" w:type="dxa"/>
            <w:noWrap w:val="0"/>
            <w:vAlign w:val="center"/>
          </w:tcPr>
          <w:p w14:paraId="434E3589">
            <w:pPr>
              <w:spacing w:line="400" w:lineRule="exact"/>
              <w:jc w:val="center"/>
              <w:rPr>
                <w:rFonts w:ascii="仿宋_GB2312" w:hAnsi="宋体" w:eastAsia="仿宋_GB2312"/>
                <w:color w:val="auto"/>
                <w:sz w:val="28"/>
                <w:szCs w:val="28"/>
                <w:highlight w:val="none"/>
              </w:rPr>
            </w:pPr>
          </w:p>
        </w:tc>
      </w:tr>
      <w:tr w14:paraId="31A1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38" w:type="dxa"/>
            <w:noWrap w:val="0"/>
            <w:vAlign w:val="center"/>
          </w:tcPr>
          <w:p w14:paraId="4A3D4D6D">
            <w:pPr>
              <w:spacing w:line="40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第二次付款</w:t>
            </w:r>
          </w:p>
        </w:tc>
        <w:tc>
          <w:tcPr>
            <w:tcW w:w="2556" w:type="dxa"/>
            <w:noWrap w:val="0"/>
            <w:vAlign w:val="center"/>
          </w:tcPr>
          <w:p w14:paraId="763BD0A9">
            <w:pPr>
              <w:spacing w:line="400" w:lineRule="exact"/>
              <w:jc w:val="center"/>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eastAsia="zh-CN"/>
              </w:rPr>
              <w:t>工程量完成</w:t>
            </w:r>
            <w:r>
              <w:rPr>
                <w:rFonts w:hint="eastAsia" w:ascii="仿宋_GB2312" w:hAnsi="宋体" w:eastAsia="仿宋_GB2312"/>
                <w:color w:val="auto"/>
                <w:sz w:val="28"/>
                <w:szCs w:val="28"/>
                <w:highlight w:val="none"/>
                <w:lang w:val="en-US" w:eastAsia="zh-CN"/>
              </w:rPr>
              <w:t>80%后</w:t>
            </w:r>
          </w:p>
        </w:tc>
        <w:tc>
          <w:tcPr>
            <w:tcW w:w="1701" w:type="dxa"/>
            <w:noWrap w:val="0"/>
            <w:vAlign w:val="center"/>
          </w:tcPr>
          <w:p w14:paraId="2B5DCD1B">
            <w:pPr>
              <w:spacing w:line="4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50%</w:t>
            </w:r>
          </w:p>
        </w:tc>
        <w:tc>
          <w:tcPr>
            <w:tcW w:w="2396" w:type="dxa"/>
            <w:noWrap w:val="0"/>
            <w:vAlign w:val="center"/>
          </w:tcPr>
          <w:p w14:paraId="49CBF1FD">
            <w:pPr>
              <w:spacing w:line="400" w:lineRule="exact"/>
              <w:jc w:val="center"/>
              <w:rPr>
                <w:rFonts w:ascii="仿宋_GB2312" w:hAnsi="宋体" w:eastAsia="仿宋_GB2312"/>
                <w:color w:val="auto"/>
                <w:sz w:val="28"/>
                <w:szCs w:val="28"/>
                <w:highlight w:val="none"/>
              </w:rPr>
            </w:pPr>
          </w:p>
        </w:tc>
      </w:tr>
      <w:tr w14:paraId="3797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38" w:type="dxa"/>
            <w:noWrap w:val="0"/>
            <w:vAlign w:val="center"/>
          </w:tcPr>
          <w:p w14:paraId="2484B5FA">
            <w:pPr>
              <w:spacing w:line="40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第三次付款</w:t>
            </w:r>
          </w:p>
        </w:tc>
        <w:tc>
          <w:tcPr>
            <w:tcW w:w="2556" w:type="dxa"/>
            <w:noWrap w:val="0"/>
            <w:vAlign w:val="center"/>
          </w:tcPr>
          <w:p w14:paraId="0F79C838">
            <w:pPr>
              <w:spacing w:line="400" w:lineRule="exact"/>
              <w:jc w:val="center"/>
              <w:rPr>
                <w:rFonts w:hint="eastAsia" w:ascii="仿宋_GB2312" w:hAnsi="宋体" w:eastAsia="仿宋_GB2312"/>
                <w:color w:val="auto"/>
                <w:sz w:val="28"/>
                <w:szCs w:val="28"/>
                <w:highlight w:val="none"/>
                <w:lang w:eastAsia="zh-CN"/>
              </w:rPr>
            </w:pPr>
            <w:r>
              <w:rPr>
                <w:rFonts w:ascii="仿宋_GB2312" w:hAnsi="宋体" w:eastAsia="仿宋_GB2312"/>
                <w:color w:val="auto"/>
                <w:sz w:val="28"/>
                <w:szCs w:val="28"/>
                <w:highlight w:val="none"/>
              </w:rPr>
              <w:t>完工验收合格并移交</w:t>
            </w:r>
            <w:r>
              <w:rPr>
                <w:rFonts w:hint="eastAsia" w:ascii="仿宋_GB2312" w:hAnsi="宋体" w:eastAsia="仿宋_GB2312"/>
                <w:color w:val="auto"/>
                <w:sz w:val="28"/>
                <w:szCs w:val="28"/>
                <w:highlight w:val="none"/>
                <w:lang w:eastAsia="zh-CN"/>
              </w:rPr>
              <w:t>检测</w:t>
            </w:r>
            <w:r>
              <w:rPr>
                <w:rFonts w:ascii="仿宋_GB2312" w:hAnsi="宋体" w:eastAsia="仿宋_GB2312"/>
                <w:color w:val="auto"/>
                <w:sz w:val="28"/>
                <w:szCs w:val="28"/>
                <w:highlight w:val="none"/>
              </w:rPr>
              <w:t>资料后</w:t>
            </w:r>
          </w:p>
        </w:tc>
        <w:tc>
          <w:tcPr>
            <w:tcW w:w="1701" w:type="dxa"/>
            <w:noWrap w:val="0"/>
            <w:vAlign w:val="center"/>
          </w:tcPr>
          <w:p w14:paraId="5B9CD9F7">
            <w:pPr>
              <w:spacing w:line="40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25</w:t>
            </w:r>
          </w:p>
        </w:tc>
        <w:tc>
          <w:tcPr>
            <w:tcW w:w="2396" w:type="dxa"/>
            <w:noWrap w:val="0"/>
            <w:vAlign w:val="center"/>
          </w:tcPr>
          <w:p w14:paraId="38101A1A">
            <w:pPr>
              <w:spacing w:line="400" w:lineRule="exact"/>
              <w:jc w:val="center"/>
              <w:rPr>
                <w:rFonts w:ascii="仿宋_GB2312" w:hAnsi="宋体" w:eastAsia="仿宋_GB2312"/>
                <w:color w:val="auto"/>
                <w:sz w:val="28"/>
                <w:szCs w:val="28"/>
                <w:highlight w:val="none"/>
              </w:rPr>
            </w:pPr>
          </w:p>
        </w:tc>
      </w:tr>
      <w:tr w14:paraId="5C39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38" w:type="dxa"/>
            <w:noWrap w:val="0"/>
            <w:vAlign w:val="center"/>
          </w:tcPr>
          <w:p w14:paraId="1F9F341C">
            <w:pPr>
              <w:spacing w:line="40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第</w:t>
            </w:r>
            <w:r>
              <w:rPr>
                <w:rFonts w:hint="eastAsia" w:ascii="仿宋_GB2312" w:hAnsi="宋体" w:eastAsia="仿宋_GB2312"/>
                <w:color w:val="auto"/>
                <w:sz w:val="28"/>
                <w:szCs w:val="28"/>
                <w:highlight w:val="none"/>
                <w:lang w:eastAsia="zh-CN"/>
              </w:rPr>
              <w:t>四</w:t>
            </w:r>
            <w:r>
              <w:rPr>
                <w:rFonts w:hint="eastAsia" w:ascii="仿宋_GB2312" w:hAnsi="宋体" w:eastAsia="仿宋_GB2312"/>
                <w:color w:val="auto"/>
                <w:sz w:val="28"/>
                <w:szCs w:val="28"/>
                <w:highlight w:val="none"/>
              </w:rPr>
              <w:t>次付款</w:t>
            </w:r>
          </w:p>
        </w:tc>
        <w:tc>
          <w:tcPr>
            <w:tcW w:w="2556" w:type="dxa"/>
            <w:noWrap w:val="0"/>
            <w:vAlign w:val="center"/>
          </w:tcPr>
          <w:p w14:paraId="59AC0499">
            <w:pPr>
              <w:spacing w:line="400" w:lineRule="exact"/>
              <w:jc w:val="center"/>
              <w:rPr>
                <w:rFonts w:hint="eastAsia" w:ascii="仿宋_GB2312" w:hAnsi="宋体" w:eastAsia="仿宋_GB2312"/>
                <w:color w:val="auto"/>
                <w:sz w:val="28"/>
                <w:szCs w:val="28"/>
                <w:highlight w:val="none"/>
              </w:rPr>
            </w:pPr>
            <w:r>
              <w:rPr>
                <w:rFonts w:ascii="仿宋_GB2312" w:hAnsi="宋体" w:eastAsia="仿宋_GB2312"/>
                <w:color w:val="auto"/>
                <w:sz w:val="28"/>
                <w:szCs w:val="28"/>
                <w:highlight w:val="none"/>
              </w:rPr>
              <w:t>完工验收合格并移交</w:t>
            </w:r>
            <w:r>
              <w:rPr>
                <w:rFonts w:hint="eastAsia" w:ascii="仿宋_GB2312" w:hAnsi="宋体" w:eastAsia="仿宋_GB2312"/>
                <w:color w:val="auto"/>
                <w:sz w:val="28"/>
                <w:szCs w:val="28"/>
                <w:highlight w:val="none"/>
                <w:lang w:eastAsia="zh-CN"/>
              </w:rPr>
              <w:t>检测</w:t>
            </w:r>
            <w:r>
              <w:rPr>
                <w:rFonts w:ascii="仿宋_GB2312" w:hAnsi="宋体" w:eastAsia="仿宋_GB2312"/>
                <w:color w:val="auto"/>
                <w:sz w:val="28"/>
                <w:szCs w:val="28"/>
                <w:highlight w:val="none"/>
              </w:rPr>
              <w:t>资料后</w:t>
            </w:r>
          </w:p>
        </w:tc>
        <w:tc>
          <w:tcPr>
            <w:tcW w:w="1701" w:type="dxa"/>
            <w:noWrap w:val="0"/>
            <w:vAlign w:val="center"/>
          </w:tcPr>
          <w:p w14:paraId="74D70C95">
            <w:pPr>
              <w:spacing w:line="4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p>
        </w:tc>
        <w:tc>
          <w:tcPr>
            <w:tcW w:w="2396" w:type="dxa"/>
            <w:noWrap w:val="0"/>
            <w:vAlign w:val="center"/>
          </w:tcPr>
          <w:p w14:paraId="01DBF0D5">
            <w:pPr>
              <w:spacing w:line="400" w:lineRule="exact"/>
              <w:jc w:val="center"/>
              <w:rPr>
                <w:rFonts w:ascii="仿宋_GB2312" w:hAnsi="宋体" w:eastAsia="仿宋_GB2312"/>
                <w:color w:val="auto"/>
                <w:sz w:val="28"/>
                <w:szCs w:val="28"/>
                <w:highlight w:val="none"/>
              </w:rPr>
            </w:pPr>
          </w:p>
        </w:tc>
      </w:tr>
    </w:tbl>
    <w:p w14:paraId="017BCA9E">
      <w:pPr>
        <w:snapToGrid w:val="0"/>
        <w:spacing w:line="400" w:lineRule="exact"/>
        <w:rPr>
          <w:rFonts w:hint="eastAsia" w:ascii="仿宋_GB2312" w:hAnsi="黑体" w:eastAsia="仿宋_GB2312"/>
          <w:b/>
          <w:bCs/>
          <w:color w:val="auto"/>
          <w:sz w:val="28"/>
          <w:szCs w:val="28"/>
          <w:highlight w:val="none"/>
        </w:rPr>
      </w:pPr>
      <w:r>
        <w:rPr>
          <w:rFonts w:hint="eastAsia" w:ascii="仿宋_GB2312" w:hAnsi="黑体" w:eastAsia="仿宋_GB2312"/>
          <w:bCs/>
          <w:color w:val="auto"/>
          <w:sz w:val="28"/>
          <w:szCs w:val="28"/>
          <w:highlight w:val="none"/>
        </w:rPr>
        <w:t>6</w:t>
      </w:r>
      <w:r>
        <w:rPr>
          <w:rFonts w:hint="eastAsia" w:ascii="仿宋_GB2312" w:hAnsi="黑体" w:eastAsia="仿宋_GB2312"/>
          <w:b/>
          <w:bCs/>
          <w:color w:val="auto"/>
          <w:sz w:val="28"/>
          <w:szCs w:val="28"/>
          <w:highlight w:val="none"/>
        </w:rPr>
        <w:t>. 合同生效、变更、暂停、解除与终止</w:t>
      </w:r>
    </w:p>
    <w:p w14:paraId="00B274DB">
      <w:pPr>
        <w:adjustRightInd w:val="0"/>
        <w:snapToGrid w:val="0"/>
        <w:spacing w:line="400" w:lineRule="exact"/>
        <w:ind w:firstLine="280" w:firstLineChars="1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6.1 生效</w:t>
      </w:r>
    </w:p>
    <w:p w14:paraId="1BDA054B">
      <w:pPr>
        <w:adjustRightInd w:val="0"/>
        <w:snapToGrid w:val="0"/>
        <w:spacing w:line="400" w:lineRule="exact"/>
        <w:ind w:firstLine="48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本合同生效条件：</w:t>
      </w:r>
      <w:r>
        <w:rPr>
          <w:rFonts w:hint="eastAsia" w:ascii="仿宋_GB2312" w:hAnsi="宋体" w:eastAsia="仿宋_GB2312"/>
          <w:color w:val="auto"/>
          <w:sz w:val="28"/>
          <w:szCs w:val="28"/>
          <w:highlight w:val="none"/>
          <w:u w:val="single"/>
        </w:rPr>
        <w:t xml:space="preserve">  甲乙双方签字盖公章后生效 </w:t>
      </w:r>
      <w:r>
        <w:rPr>
          <w:rFonts w:hint="eastAsia" w:ascii="仿宋_GB2312" w:hAnsi="宋体" w:eastAsia="仿宋_GB2312"/>
          <w:color w:val="auto"/>
          <w:sz w:val="28"/>
          <w:szCs w:val="28"/>
          <w:highlight w:val="none"/>
        </w:rPr>
        <w:t>。</w:t>
      </w:r>
    </w:p>
    <w:p w14:paraId="599A0112">
      <w:pPr>
        <w:adjustRightInd w:val="0"/>
        <w:snapToGrid w:val="0"/>
        <w:spacing w:line="400" w:lineRule="exact"/>
        <w:ind w:firstLine="274" w:firstLineChars="98"/>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6.2 变更</w:t>
      </w:r>
    </w:p>
    <w:p w14:paraId="436E3095">
      <w:pPr>
        <w:snapToGrid w:val="0"/>
        <w:spacing w:line="400" w:lineRule="exact"/>
        <w:rPr>
          <w:rFonts w:hint="eastAsia" w:ascii="仿宋_GB2312" w:hAnsi="黑体" w:eastAsia="仿宋_GB2312"/>
          <w:b/>
          <w:color w:val="auto"/>
          <w:sz w:val="28"/>
          <w:szCs w:val="28"/>
          <w:highlight w:val="none"/>
        </w:rPr>
      </w:pPr>
      <w:r>
        <w:rPr>
          <w:rFonts w:hint="eastAsia" w:ascii="仿宋_GB2312" w:hAnsi="黑体" w:eastAsia="仿宋_GB2312"/>
          <w:b/>
          <w:bCs/>
          <w:color w:val="auto"/>
          <w:sz w:val="28"/>
          <w:szCs w:val="28"/>
          <w:highlight w:val="none"/>
        </w:rPr>
        <w:t>7. 争议解决</w:t>
      </w:r>
    </w:p>
    <w:p w14:paraId="223525EE">
      <w:pPr>
        <w:snapToGrid w:val="0"/>
        <w:spacing w:line="400" w:lineRule="exact"/>
        <w:ind w:firstLine="274" w:firstLineChars="98"/>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7.1 </w:t>
      </w:r>
      <w:r>
        <w:rPr>
          <w:rFonts w:hint="eastAsia" w:ascii="仿宋_GB2312" w:hAnsi="宋体" w:eastAsia="仿宋_GB2312"/>
          <w:bCs/>
          <w:color w:val="auto"/>
          <w:sz w:val="28"/>
          <w:szCs w:val="28"/>
          <w:highlight w:val="none"/>
        </w:rPr>
        <w:t>调解</w:t>
      </w:r>
    </w:p>
    <w:p w14:paraId="5A5BC1BF">
      <w:pPr>
        <w:snapToGrid w:val="0"/>
        <w:spacing w:line="400" w:lineRule="exact"/>
        <w:ind w:firstLine="548" w:firstLineChars="196"/>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本合同争议进行调解时，可提交</w:t>
      </w:r>
      <w:r>
        <w:rPr>
          <w:rFonts w:hint="eastAsia" w:ascii="仿宋_GB2312" w:hAnsi="BatangChe" w:eastAsia="仿宋_GB2312"/>
          <w:color w:val="auto"/>
          <w:sz w:val="28"/>
          <w:szCs w:val="28"/>
          <w:highlight w:val="none"/>
          <w:u w:val="single"/>
        </w:rPr>
        <w:t xml:space="preserve">  \ </w:t>
      </w:r>
      <w:r>
        <w:rPr>
          <w:rFonts w:hint="eastAsia" w:ascii="仿宋_GB2312" w:hAnsi="宋体" w:eastAsia="仿宋_GB2312"/>
          <w:color w:val="auto"/>
          <w:sz w:val="28"/>
          <w:szCs w:val="28"/>
          <w:highlight w:val="none"/>
        </w:rPr>
        <w:t>进行调解。</w:t>
      </w:r>
    </w:p>
    <w:p w14:paraId="4341B35E">
      <w:pPr>
        <w:snapToGrid w:val="0"/>
        <w:spacing w:line="400" w:lineRule="exact"/>
        <w:ind w:firstLine="274" w:firstLineChars="98"/>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7.3 </w:t>
      </w:r>
      <w:r>
        <w:rPr>
          <w:rFonts w:hint="eastAsia" w:ascii="仿宋_GB2312" w:hAnsi="宋体" w:eastAsia="仿宋_GB2312"/>
          <w:bCs/>
          <w:color w:val="auto"/>
          <w:sz w:val="28"/>
          <w:szCs w:val="28"/>
          <w:highlight w:val="none"/>
        </w:rPr>
        <w:t>仲裁或诉讼</w:t>
      </w:r>
    </w:p>
    <w:p w14:paraId="6B7CA925">
      <w:pPr>
        <w:adjustRightInd w:val="0"/>
        <w:snapToGrid w:val="0"/>
        <w:spacing w:line="400" w:lineRule="exact"/>
        <w:ind w:firstLine="560" w:firstLineChars="200"/>
        <w:rPr>
          <w:rFonts w:hint="eastAsia" w:ascii="仿宋_GB2312" w:hAnsi="BatangChe" w:eastAsia="仿宋_GB2312"/>
          <w:color w:val="auto"/>
          <w:sz w:val="28"/>
          <w:szCs w:val="28"/>
          <w:highlight w:val="none"/>
        </w:rPr>
      </w:pPr>
      <w:r>
        <w:rPr>
          <w:rFonts w:hint="eastAsia" w:ascii="仿宋_GB2312" w:hAnsi="BatangChe" w:eastAsia="仿宋_GB2312"/>
          <w:color w:val="auto"/>
          <w:sz w:val="28"/>
          <w:szCs w:val="28"/>
          <w:highlight w:val="none"/>
        </w:rPr>
        <w:t>合同</w:t>
      </w:r>
      <w:r>
        <w:rPr>
          <w:rFonts w:hint="eastAsia" w:ascii="仿宋_GB2312" w:hAnsi="宋体" w:eastAsia="仿宋_GB2312"/>
          <w:color w:val="auto"/>
          <w:sz w:val="28"/>
          <w:szCs w:val="28"/>
          <w:highlight w:val="none"/>
        </w:rPr>
        <w:t>争议</w:t>
      </w:r>
      <w:r>
        <w:rPr>
          <w:rFonts w:hint="eastAsia" w:ascii="仿宋_GB2312" w:hAnsi="BatangChe" w:eastAsia="仿宋_GB2312"/>
          <w:color w:val="auto"/>
          <w:sz w:val="28"/>
          <w:szCs w:val="28"/>
          <w:highlight w:val="none"/>
        </w:rPr>
        <w:t>的最</w:t>
      </w:r>
      <w:r>
        <w:rPr>
          <w:rFonts w:hint="eastAsia" w:ascii="仿宋_GB2312" w:hAnsi="宋体" w:eastAsia="仿宋_GB2312"/>
          <w:color w:val="auto"/>
          <w:sz w:val="28"/>
          <w:szCs w:val="28"/>
          <w:highlight w:val="none"/>
        </w:rPr>
        <w:t>终</w:t>
      </w:r>
      <w:r>
        <w:rPr>
          <w:rFonts w:hint="eastAsia" w:ascii="仿宋_GB2312" w:hAnsi="BatangChe" w:eastAsia="仿宋_GB2312"/>
          <w:color w:val="auto"/>
          <w:sz w:val="28"/>
          <w:szCs w:val="28"/>
          <w:highlight w:val="none"/>
        </w:rPr>
        <w:t>解</w:t>
      </w:r>
      <w:r>
        <w:rPr>
          <w:rFonts w:hint="eastAsia" w:ascii="仿宋_GB2312" w:hAnsi="宋体" w:eastAsia="仿宋_GB2312"/>
          <w:color w:val="auto"/>
          <w:sz w:val="28"/>
          <w:szCs w:val="28"/>
          <w:highlight w:val="none"/>
        </w:rPr>
        <w:t>决</w:t>
      </w:r>
      <w:r>
        <w:rPr>
          <w:rFonts w:hint="eastAsia" w:ascii="仿宋_GB2312" w:hAnsi="BatangChe" w:eastAsia="仿宋_GB2312"/>
          <w:color w:val="auto"/>
          <w:sz w:val="28"/>
          <w:szCs w:val="28"/>
          <w:highlight w:val="none"/>
        </w:rPr>
        <w:t>方式</w:t>
      </w:r>
      <w:r>
        <w:rPr>
          <w:rFonts w:hint="eastAsia" w:ascii="仿宋_GB2312" w:hAnsi="宋体" w:eastAsia="仿宋_GB2312"/>
          <w:color w:val="auto"/>
          <w:sz w:val="28"/>
          <w:szCs w:val="28"/>
          <w:highlight w:val="none"/>
        </w:rPr>
        <w:t>为</w:t>
      </w:r>
      <w:r>
        <w:rPr>
          <w:rFonts w:hint="eastAsia" w:ascii="仿宋_GB2312" w:hAnsi="BatangChe" w:eastAsia="仿宋_GB2312"/>
          <w:color w:val="auto"/>
          <w:sz w:val="28"/>
          <w:szCs w:val="28"/>
          <w:highlight w:val="none"/>
        </w:rPr>
        <w:t>下列第</w:t>
      </w:r>
      <w:r>
        <w:rPr>
          <w:rFonts w:hint="eastAsia" w:ascii="仿宋_GB2312" w:hAnsi="BatangChe" w:eastAsia="仿宋_GB2312"/>
          <w:color w:val="auto"/>
          <w:sz w:val="28"/>
          <w:szCs w:val="28"/>
          <w:highlight w:val="none"/>
          <w:u w:val="single"/>
        </w:rPr>
        <w:t xml:space="preserve">    2    </w:t>
      </w:r>
      <w:r>
        <w:rPr>
          <w:rFonts w:hint="eastAsia" w:ascii="仿宋_GB2312" w:hAnsi="宋体" w:eastAsia="仿宋_GB2312"/>
          <w:color w:val="auto"/>
          <w:sz w:val="28"/>
          <w:szCs w:val="28"/>
          <w:highlight w:val="none"/>
        </w:rPr>
        <w:t>种</w:t>
      </w:r>
      <w:r>
        <w:rPr>
          <w:rFonts w:hint="eastAsia" w:ascii="仿宋_GB2312" w:hAnsi="BatangChe" w:eastAsia="仿宋_GB2312"/>
          <w:color w:val="auto"/>
          <w:sz w:val="28"/>
          <w:szCs w:val="28"/>
          <w:highlight w:val="none"/>
        </w:rPr>
        <w:t>方式：</w:t>
      </w:r>
    </w:p>
    <w:p w14:paraId="57AB378A">
      <w:pPr>
        <w:adjustRightInd w:val="0"/>
        <w:snapToGrid w:val="0"/>
        <w:spacing w:line="400" w:lineRule="exact"/>
        <w:ind w:firstLine="560" w:firstLineChars="200"/>
        <w:rPr>
          <w:rFonts w:hint="eastAsia" w:ascii="仿宋_GB2312" w:hAnsi="BatangChe" w:eastAsia="仿宋_GB2312"/>
          <w:color w:val="auto"/>
          <w:sz w:val="28"/>
          <w:szCs w:val="28"/>
          <w:highlight w:val="none"/>
        </w:rPr>
      </w:pPr>
      <w:r>
        <w:rPr>
          <w:rFonts w:hint="eastAsia" w:ascii="仿宋_GB2312" w:hAnsi="BatangChe" w:eastAsia="仿宋_GB2312"/>
          <w:color w:val="auto"/>
          <w:sz w:val="28"/>
          <w:szCs w:val="28"/>
          <w:highlight w:val="none"/>
        </w:rPr>
        <w:t>（1）提</w:t>
      </w:r>
      <w:r>
        <w:rPr>
          <w:rFonts w:hint="eastAsia" w:ascii="仿宋_GB2312" w:hAnsi="宋体" w:eastAsia="仿宋_GB2312"/>
          <w:color w:val="auto"/>
          <w:sz w:val="28"/>
          <w:szCs w:val="28"/>
          <w:highlight w:val="none"/>
        </w:rPr>
        <w:t>请</w:t>
      </w:r>
      <w:r>
        <w:rPr>
          <w:rFonts w:hint="eastAsia" w:ascii="仿宋_GB2312" w:hAnsi="BatangChe" w:eastAsia="仿宋_GB2312"/>
          <w:color w:val="auto"/>
          <w:sz w:val="28"/>
          <w:szCs w:val="28"/>
          <w:highlight w:val="none"/>
          <w:u w:val="single"/>
        </w:rPr>
        <w:t xml:space="preserve"> \</w:t>
      </w:r>
      <w:r>
        <w:rPr>
          <w:rFonts w:hint="eastAsia" w:ascii="仿宋_GB2312" w:hAnsi="BatangChe" w:eastAsia="仿宋_GB2312"/>
          <w:color w:val="auto"/>
          <w:sz w:val="28"/>
          <w:szCs w:val="28"/>
          <w:highlight w:val="none"/>
        </w:rPr>
        <w:t>仲裁委</w:t>
      </w:r>
      <w:r>
        <w:rPr>
          <w:rFonts w:hint="eastAsia" w:ascii="仿宋_GB2312" w:hAnsi="宋体" w:eastAsia="仿宋_GB2312"/>
          <w:color w:val="auto"/>
          <w:sz w:val="28"/>
          <w:szCs w:val="28"/>
          <w:highlight w:val="none"/>
        </w:rPr>
        <w:t>员会进</w:t>
      </w:r>
      <w:r>
        <w:rPr>
          <w:rFonts w:hint="eastAsia" w:ascii="仿宋_GB2312" w:hAnsi="BatangChe" w:eastAsia="仿宋_GB2312"/>
          <w:color w:val="auto"/>
          <w:sz w:val="28"/>
          <w:szCs w:val="28"/>
          <w:highlight w:val="none"/>
        </w:rPr>
        <w:t>行仲裁。</w:t>
      </w:r>
    </w:p>
    <w:p w14:paraId="6D0B00F7">
      <w:pPr>
        <w:adjustRightInd w:val="0"/>
        <w:snapToGrid w:val="0"/>
        <w:spacing w:line="400" w:lineRule="exact"/>
        <w:ind w:firstLine="560" w:firstLineChars="200"/>
        <w:rPr>
          <w:rFonts w:hint="eastAsia" w:ascii="仿宋_GB2312" w:hAnsi="BatangChe" w:eastAsia="仿宋_GB2312"/>
          <w:color w:val="auto"/>
          <w:sz w:val="28"/>
          <w:szCs w:val="28"/>
          <w:highlight w:val="none"/>
        </w:rPr>
      </w:pPr>
      <w:r>
        <w:rPr>
          <w:rFonts w:hint="eastAsia" w:ascii="仿宋_GB2312" w:hAnsi="BatangChe" w:eastAsia="仿宋_GB2312"/>
          <w:color w:val="auto"/>
          <w:sz w:val="28"/>
          <w:szCs w:val="28"/>
          <w:highlight w:val="none"/>
        </w:rPr>
        <w:t>（2）向</w:t>
      </w:r>
      <w:r>
        <w:rPr>
          <w:rFonts w:hint="eastAsia" w:ascii="仿宋_GB2312" w:hAnsi="BatangChe" w:eastAsia="仿宋_GB2312"/>
          <w:color w:val="auto"/>
          <w:sz w:val="28"/>
          <w:szCs w:val="28"/>
          <w:highlight w:val="none"/>
          <w:u w:val="single"/>
        </w:rPr>
        <w:t xml:space="preserve">  </w:t>
      </w:r>
      <w:r>
        <w:rPr>
          <w:rFonts w:hint="eastAsia" w:ascii="仿宋_GB2312" w:hAnsi="BatangChe" w:eastAsia="仿宋_GB2312"/>
          <w:color w:val="auto"/>
          <w:sz w:val="28"/>
          <w:szCs w:val="28"/>
          <w:highlight w:val="none"/>
          <w:u w:val="single"/>
          <w:lang w:eastAsia="zh-CN"/>
        </w:rPr>
        <w:t>工程所在地</w:t>
      </w:r>
      <w:r>
        <w:rPr>
          <w:rFonts w:hint="eastAsia" w:ascii="仿宋_GB2312" w:hAnsi="BatangChe" w:eastAsia="仿宋_GB2312"/>
          <w:color w:val="auto"/>
          <w:sz w:val="28"/>
          <w:szCs w:val="28"/>
          <w:highlight w:val="none"/>
          <w:u w:val="single"/>
        </w:rPr>
        <w:t xml:space="preserve"> </w:t>
      </w:r>
      <w:r>
        <w:rPr>
          <w:rFonts w:hint="eastAsia" w:ascii="仿宋_GB2312" w:hAnsi="BatangChe" w:eastAsia="仿宋_GB2312"/>
          <w:color w:val="auto"/>
          <w:sz w:val="28"/>
          <w:szCs w:val="28"/>
          <w:highlight w:val="none"/>
        </w:rPr>
        <w:t>人民法院提起</w:t>
      </w:r>
      <w:r>
        <w:rPr>
          <w:rFonts w:hint="eastAsia" w:ascii="仿宋_GB2312" w:hAnsi="宋体" w:eastAsia="仿宋_GB2312"/>
          <w:color w:val="auto"/>
          <w:sz w:val="28"/>
          <w:szCs w:val="28"/>
          <w:highlight w:val="none"/>
        </w:rPr>
        <w:t>诉讼。</w:t>
      </w:r>
    </w:p>
    <w:p w14:paraId="7EB6CBE4">
      <w:pPr>
        <w:adjustRightInd w:val="0"/>
        <w:snapToGrid w:val="0"/>
        <w:spacing w:line="400" w:lineRule="exact"/>
        <w:rPr>
          <w:rFonts w:hint="eastAsia" w:ascii="仿宋_GB2312" w:hAnsi="黑体" w:eastAsia="仿宋_GB2312"/>
          <w:b/>
          <w:bCs/>
          <w:color w:val="auto"/>
          <w:sz w:val="28"/>
          <w:szCs w:val="28"/>
          <w:highlight w:val="none"/>
        </w:rPr>
      </w:pPr>
      <w:r>
        <w:rPr>
          <w:rFonts w:hint="eastAsia" w:ascii="仿宋_GB2312" w:eastAsia="仿宋_GB2312"/>
          <w:b/>
          <w:bCs/>
          <w:color w:val="auto"/>
          <w:sz w:val="28"/>
          <w:szCs w:val="28"/>
          <w:highlight w:val="none"/>
        </w:rPr>
        <w:t>8</w:t>
      </w:r>
      <w:r>
        <w:rPr>
          <w:rFonts w:hint="eastAsia" w:ascii="仿宋_GB2312" w:hAnsi="黑体" w:eastAsia="仿宋_GB2312"/>
          <w:b/>
          <w:bCs/>
          <w:color w:val="auto"/>
          <w:sz w:val="28"/>
          <w:szCs w:val="28"/>
          <w:highlight w:val="none"/>
        </w:rPr>
        <w:t>. 其他</w:t>
      </w:r>
    </w:p>
    <w:p w14:paraId="1858D659">
      <w:pPr>
        <w:adjustRightInd w:val="0"/>
        <w:snapToGrid w:val="0"/>
        <w:spacing w:line="400" w:lineRule="exact"/>
        <w:ind w:firstLine="274" w:firstLineChars="98"/>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8.6 </w:t>
      </w:r>
      <w:r>
        <w:rPr>
          <w:rFonts w:hint="eastAsia" w:ascii="仿宋_GB2312" w:hAnsi="宋体" w:eastAsia="仿宋_GB2312"/>
          <w:color w:val="auto"/>
          <w:sz w:val="28"/>
          <w:szCs w:val="28"/>
          <w:highlight w:val="none"/>
        </w:rPr>
        <w:t>保密</w:t>
      </w:r>
    </w:p>
    <w:p w14:paraId="44C3F43C">
      <w:pPr>
        <w:adjustRightInd w:val="0"/>
        <w:snapToGrid w:val="0"/>
        <w:spacing w:line="400" w:lineRule="exact"/>
        <w:ind w:firstLine="560" w:firstLineChars="200"/>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委托人申明的保密事项和期限：</w:t>
      </w:r>
      <w:r>
        <w:rPr>
          <w:rFonts w:hint="eastAsia" w:ascii="仿宋_GB2312" w:hAnsi="宋体" w:eastAsia="仿宋_GB2312"/>
          <w:color w:val="auto"/>
          <w:sz w:val="28"/>
          <w:szCs w:val="28"/>
          <w:highlight w:val="none"/>
          <w:u w:val="single"/>
        </w:rPr>
        <w:t xml:space="preserve"> \ </w:t>
      </w:r>
      <w:r>
        <w:rPr>
          <w:rFonts w:hint="eastAsia" w:ascii="仿宋_GB2312" w:hAnsi="宋体" w:eastAsia="仿宋_GB2312"/>
          <w:color w:val="auto"/>
          <w:sz w:val="28"/>
          <w:szCs w:val="28"/>
          <w:highlight w:val="none"/>
        </w:rPr>
        <w:t>。</w:t>
      </w:r>
    </w:p>
    <w:p w14:paraId="3F7709E1">
      <w:pPr>
        <w:adjustRightInd w:val="0"/>
        <w:snapToGrid w:val="0"/>
        <w:spacing w:line="400" w:lineRule="exact"/>
        <w:ind w:firstLine="560" w:firstLineChars="200"/>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人申明的保密事项和期限：</w:t>
      </w:r>
      <w:r>
        <w:rPr>
          <w:rFonts w:hint="eastAsia" w:ascii="仿宋_GB2312" w:hAnsi="宋体" w:eastAsia="仿宋_GB2312"/>
          <w:color w:val="auto"/>
          <w:sz w:val="28"/>
          <w:szCs w:val="28"/>
          <w:highlight w:val="none"/>
          <w:u w:val="single"/>
        </w:rPr>
        <w:t xml:space="preserve"> \ </w:t>
      </w:r>
      <w:r>
        <w:rPr>
          <w:rFonts w:hint="eastAsia" w:ascii="仿宋_GB2312" w:hAnsi="宋体" w:eastAsia="仿宋_GB2312"/>
          <w:color w:val="auto"/>
          <w:sz w:val="28"/>
          <w:szCs w:val="28"/>
          <w:highlight w:val="none"/>
        </w:rPr>
        <w:t>。</w:t>
      </w:r>
    </w:p>
    <w:p w14:paraId="3235E0B8">
      <w:pPr>
        <w:adjustRightInd w:val="0"/>
        <w:snapToGrid w:val="0"/>
        <w:spacing w:line="400" w:lineRule="exact"/>
        <w:ind w:firstLine="560" w:firstLineChars="200"/>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第三方申明的保密事项和期限：</w:t>
      </w:r>
      <w:r>
        <w:rPr>
          <w:rFonts w:hint="eastAsia" w:ascii="仿宋_GB2312" w:hAnsi="宋体" w:eastAsia="仿宋_GB2312"/>
          <w:color w:val="auto"/>
          <w:sz w:val="28"/>
          <w:szCs w:val="28"/>
          <w:highlight w:val="none"/>
          <w:u w:val="single"/>
        </w:rPr>
        <w:t xml:space="preserve"> \ </w:t>
      </w:r>
      <w:r>
        <w:rPr>
          <w:rFonts w:hint="eastAsia" w:ascii="仿宋_GB2312" w:hAnsi="宋体" w:eastAsia="仿宋_GB2312"/>
          <w:color w:val="auto"/>
          <w:sz w:val="28"/>
          <w:szCs w:val="28"/>
          <w:highlight w:val="none"/>
        </w:rPr>
        <w:t>。</w:t>
      </w:r>
    </w:p>
    <w:p w14:paraId="139CC934">
      <w:pPr>
        <w:snapToGrid w:val="0"/>
        <w:spacing w:line="400" w:lineRule="exact"/>
        <w:ind w:firstLine="274" w:firstLineChars="98"/>
        <w:rPr>
          <w:rFonts w:hint="eastAsia" w:ascii="仿宋_GB2312" w:hAnsi="宋体" w:eastAsia="仿宋_GB2312"/>
          <w:bCs/>
          <w:color w:val="auto"/>
          <w:sz w:val="28"/>
          <w:szCs w:val="28"/>
          <w:highlight w:val="none"/>
        </w:rPr>
      </w:pPr>
      <w:r>
        <w:rPr>
          <w:rFonts w:hint="eastAsia" w:ascii="仿宋_GB2312" w:eastAsia="仿宋_GB2312"/>
          <w:color w:val="auto"/>
          <w:sz w:val="28"/>
          <w:szCs w:val="28"/>
          <w:highlight w:val="none"/>
        </w:rPr>
        <w:t>8.8</w:t>
      </w:r>
      <w:r>
        <w:rPr>
          <w:rFonts w:hint="eastAsia" w:ascii="仿宋_GB2312" w:hAnsi="宋体" w:eastAsia="仿宋_GB2312"/>
          <w:bCs/>
          <w:color w:val="auto"/>
          <w:sz w:val="28"/>
          <w:szCs w:val="28"/>
          <w:highlight w:val="none"/>
        </w:rPr>
        <w:t>著作权</w:t>
      </w:r>
    </w:p>
    <w:p w14:paraId="13441A65">
      <w:pPr>
        <w:snapToGrid w:val="0"/>
        <w:spacing w:line="40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人在本合同履行期间及本合同终止后两年内出版涉及本工程的有关</w:t>
      </w:r>
      <w:r>
        <w:rPr>
          <w:rFonts w:hint="eastAsia" w:ascii="仿宋_GB2312" w:hAnsi="宋体" w:eastAsia="仿宋_GB2312"/>
          <w:color w:val="auto"/>
          <w:sz w:val="28"/>
          <w:szCs w:val="28"/>
          <w:highlight w:val="none"/>
          <w:lang w:eastAsia="zh-CN"/>
        </w:rPr>
        <w:t>检测</w:t>
      </w:r>
      <w:r>
        <w:rPr>
          <w:rFonts w:hint="eastAsia" w:ascii="仿宋_GB2312" w:hAnsi="宋体" w:eastAsia="仿宋_GB2312"/>
          <w:color w:val="auto"/>
          <w:sz w:val="28"/>
          <w:szCs w:val="28"/>
          <w:highlight w:val="none"/>
        </w:rPr>
        <w:t>与相关服务的资料的限制条件：</w:t>
      </w:r>
      <w:r>
        <w:rPr>
          <w:rFonts w:hint="eastAsia" w:ascii="仿宋_GB2312" w:hAnsi="宋体" w:eastAsia="仿宋_GB2312"/>
          <w:color w:val="auto"/>
          <w:sz w:val="28"/>
          <w:szCs w:val="28"/>
          <w:highlight w:val="none"/>
          <w:u w:val="single"/>
        </w:rPr>
        <w:t xml:space="preserve"> \ 。</w:t>
      </w:r>
    </w:p>
    <w:p w14:paraId="7A00FE9B">
      <w:pPr>
        <w:snapToGrid w:val="0"/>
        <w:spacing w:line="400" w:lineRule="exact"/>
        <w:ind w:firstLine="274" w:firstLineChars="98"/>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8.9履约保证金</w:t>
      </w:r>
    </w:p>
    <w:p w14:paraId="03EF5244">
      <w:pPr>
        <w:pStyle w:val="334"/>
        <w:ind w:firstLine="560" w:firstLineChars="200"/>
        <w:rPr>
          <w:rFonts w:hint="default" w:ascii="仿宋_GB2312" w:hAnsi="宋体" w:eastAsia="仿宋_GB2312" w:cs="Times New Roman"/>
          <w:b w:val="0"/>
          <w:bCs w:val="0"/>
          <w:color w:val="auto"/>
          <w:kern w:val="2"/>
          <w:sz w:val="28"/>
          <w:szCs w:val="28"/>
          <w:highlight w:val="none"/>
          <w:lang w:val="en-US" w:eastAsia="zh-CN" w:bidi="ar-SA"/>
        </w:rPr>
      </w:pPr>
      <w:r>
        <w:rPr>
          <w:rFonts w:hint="eastAsia" w:ascii="仿宋_GB2312" w:hAnsi="宋体" w:eastAsia="仿宋_GB2312" w:cs="Times New Roman"/>
          <w:b w:val="0"/>
          <w:bCs w:val="0"/>
          <w:color w:val="auto"/>
          <w:kern w:val="2"/>
          <w:sz w:val="28"/>
          <w:szCs w:val="28"/>
          <w:highlight w:val="none"/>
          <w:lang w:val="en-US" w:eastAsia="zh-CN" w:bidi="ar-SA"/>
        </w:rPr>
        <w:t>本项目无履约保证金。</w:t>
      </w:r>
    </w:p>
    <w:p w14:paraId="35D2B3DD">
      <w:pPr>
        <w:adjustRightInd w:val="0"/>
        <w:snapToGrid w:val="0"/>
        <w:jc w:val="both"/>
        <w:rPr>
          <w:rFonts w:hint="eastAsia" w:ascii="宋体" w:hAnsi="宋体" w:eastAsia="宋体" w:cs="宋体"/>
          <w:snapToGrid w:val="0"/>
          <w:color w:val="auto"/>
          <w:kern w:val="0"/>
          <w:sz w:val="28"/>
          <w:szCs w:val="28"/>
          <w:highlight w:val="none"/>
        </w:rPr>
      </w:pPr>
    </w:p>
    <w:bookmarkEnd w:id="272"/>
    <w:bookmarkEnd w:id="273"/>
    <w:bookmarkEnd w:id="274"/>
    <w:bookmarkEnd w:id="275"/>
    <w:p w14:paraId="60DF1A2B">
      <w:pPr>
        <w:rPr>
          <w:rFonts w:ascii="宋体" w:hAnsi="宋体"/>
          <w:color w:val="auto"/>
          <w:sz w:val="24"/>
          <w:highlight w:val="none"/>
        </w:rPr>
      </w:pPr>
      <w:bookmarkStart w:id="279" w:name="baidusnap3"/>
      <w:bookmarkEnd w:id="279"/>
      <w:bookmarkStart w:id="280" w:name="baidusnap7"/>
      <w:bookmarkEnd w:id="280"/>
    </w:p>
    <w:p w14:paraId="5E996BF3">
      <w:pPr>
        <w:rPr>
          <w:rFonts w:ascii="宋体" w:hAnsi="宋体"/>
          <w:color w:val="auto"/>
          <w:sz w:val="52"/>
          <w:szCs w:val="52"/>
          <w:highlight w:val="none"/>
        </w:rPr>
      </w:pPr>
      <w:bookmarkStart w:id="281" w:name="_Toc509218844"/>
      <w:bookmarkStart w:id="282" w:name="_Toc534185823"/>
      <w:bookmarkStart w:id="283" w:name="_Toc8183"/>
      <w:bookmarkStart w:id="284" w:name="_Toc13474"/>
      <w:r>
        <w:rPr>
          <w:rFonts w:ascii="宋体" w:hAnsi="宋体"/>
          <w:color w:val="auto"/>
          <w:sz w:val="52"/>
          <w:szCs w:val="52"/>
          <w:highlight w:val="none"/>
        </w:rPr>
        <w:br w:type="page"/>
      </w:r>
    </w:p>
    <w:p w14:paraId="01644123">
      <w:pPr>
        <w:pStyle w:val="2"/>
        <w:spacing w:before="0" w:after="0" w:line="360" w:lineRule="auto"/>
        <w:jc w:val="center"/>
        <w:rPr>
          <w:rFonts w:ascii="宋体" w:hAnsi="宋体"/>
          <w:color w:val="auto"/>
          <w:sz w:val="52"/>
          <w:szCs w:val="52"/>
          <w:highlight w:val="none"/>
        </w:rPr>
      </w:pPr>
      <w:r>
        <w:rPr>
          <w:rFonts w:ascii="宋体" w:hAnsi="宋体"/>
          <w:color w:val="auto"/>
          <w:sz w:val="52"/>
          <w:szCs w:val="52"/>
          <w:highlight w:val="none"/>
        </w:rPr>
        <w:t>第 二 卷</w:t>
      </w:r>
      <w:bookmarkEnd w:id="281"/>
      <w:bookmarkEnd w:id="282"/>
      <w:bookmarkEnd w:id="283"/>
      <w:bookmarkEnd w:id="284"/>
    </w:p>
    <w:p w14:paraId="5EC8DEB6">
      <w:pPr>
        <w:spacing w:line="360" w:lineRule="auto"/>
        <w:rPr>
          <w:rFonts w:ascii="宋体" w:hAnsi="宋体"/>
          <w:color w:val="auto"/>
          <w:szCs w:val="20"/>
          <w:highlight w:val="none"/>
        </w:rPr>
      </w:pPr>
      <w:r>
        <w:rPr>
          <w:rFonts w:ascii="宋体" w:hAnsi="宋体"/>
          <w:color w:val="auto"/>
          <w:szCs w:val="20"/>
          <w:highlight w:val="none"/>
        </w:rPr>
        <w:br w:type="page"/>
      </w:r>
    </w:p>
    <w:p w14:paraId="629EAF8C">
      <w:pPr>
        <w:pStyle w:val="2"/>
        <w:spacing w:line="360" w:lineRule="auto"/>
        <w:jc w:val="center"/>
        <w:rPr>
          <w:rFonts w:ascii="宋体" w:hAnsi="宋体"/>
          <w:color w:val="auto"/>
          <w:highlight w:val="none"/>
        </w:rPr>
      </w:pPr>
      <w:bookmarkStart w:id="285" w:name="招标文件06章图纸"/>
      <w:bookmarkEnd w:id="285"/>
      <w:bookmarkStart w:id="286" w:name="_Toc509218846"/>
      <w:bookmarkStart w:id="287" w:name="_Toc22154"/>
      <w:bookmarkStart w:id="288" w:name="_Toc430530519"/>
      <w:bookmarkStart w:id="289" w:name="_Toc287607861"/>
      <w:bookmarkStart w:id="290" w:name="_Toc287620803"/>
      <w:bookmarkStart w:id="291" w:name="_Toc534185825"/>
      <w:bookmarkStart w:id="292" w:name="_Toc6385"/>
      <w:r>
        <w:rPr>
          <w:rFonts w:hint="eastAsia" w:ascii="宋体" w:hAnsi="宋体"/>
          <w:color w:val="auto"/>
          <w:highlight w:val="none"/>
        </w:rPr>
        <w:t>第</w:t>
      </w:r>
      <w:r>
        <w:rPr>
          <w:rFonts w:hint="eastAsia" w:ascii="宋体" w:hAnsi="宋体"/>
          <w:color w:val="auto"/>
          <w:highlight w:val="none"/>
          <w:lang w:val="en-US" w:eastAsia="zh-CN"/>
        </w:rPr>
        <w:t>五</w:t>
      </w:r>
      <w:r>
        <w:rPr>
          <w:rFonts w:hint="eastAsia" w:ascii="宋体" w:hAnsi="宋体"/>
          <w:color w:val="auto"/>
          <w:highlight w:val="none"/>
        </w:rPr>
        <w:t xml:space="preserve">章  </w:t>
      </w:r>
      <w:bookmarkEnd w:id="286"/>
      <w:bookmarkEnd w:id="287"/>
      <w:bookmarkEnd w:id="288"/>
      <w:bookmarkEnd w:id="289"/>
      <w:bookmarkEnd w:id="290"/>
      <w:bookmarkEnd w:id="291"/>
      <w:r>
        <w:rPr>
          <w:rFonts w:hint="eastAsia" w:ascii="宋体" w:hAnsi="宋体"/>
          <w:color w:val="auto"/>
          <w:highlight w:val="none"/>
        </w:rPr>
        <w:t>发包人要求</w:t>
      </w:r>
      <w:bookmarkEnd w:id="292"/>
    </w:p>
    <w:p w14:paraId="0C7F285B">
      <w:pPr>
        <w:widowControl/>
        <w:spacing w:line="360" w:lineRule="auto"/>
        <w:ind w:firstLine="482" w:firstLineChars="200"/>
        <w:jc w:val="left"/>
        <w:rPr>
          <w:rFonts w:ascii="宋体" w:hAnsi="宋体"/>
          <w:color w:val="auto"/>
          <w:kern w:val="0"/>
          <w:sz w:val="24"/>
          <w:highlight w:val="none"/>
        </w:rPr>
      </w:pPr>
      <w:bookmarkStart w:id="293" w:name="招标文件06章图纸01"/>
      <w:bookmarkEnd w:id="293"/>
      <w:bookmarkStart w:id="294" w:name="_Toc287620804"/>
      <w:bookmarkStart w:id="295" w:name="_Toc430530520"/>
      <w:r>
        <w:rPr>
          <w:rFonts w:hint="eastAsia" w:ascii="宋体" w:hAnsi="宋体"/>
          <w:b/>
          <w:bCs/>
          <w:color w:val="auto"/>
          <w:kern w:val="0"/>
          <w:sz w:val="24"/>
          <w:highlight w:val="none"/>
        </w:rPr>
        <w:t>以国家和行业规范标准，按行政主管部门要求执行，比选人要求中标后提供。</w:t>
      </w:r>
    </w:p>
    <w:p w14:paraId="203009A5">
      <w:pPr>
        <w:spacing w:line="360" w:lineRule="auto"/>
        <w:rPr>
          <w:rFonts w:ascii="宋体" w:hAnsi="宋体"/>
          <w:color w:val="auto"/>
          <w:szCs w:val="20"/>
          <w:highlight w:val="none"/>
        </w:rPr>
      </w:pPr>
    </w:p>
    <w:bookmarkEnd w:id="294"/>
    <w:bookmarkEnd w:id="295"/>
    <w:p w14:paraId="1C451C71">
      <w:pPr>
        <w:spacing w:line="360" w:lineRule="auto"/>
        <w:rPr>
          <w:rFonts w:ascii="宋体" w:hAnsi="宋体"/>
          <w:color w:val="auto"/>
          <w:highlight w:val="none"/>
        </w:rPr>
      </w:pPr>
      <w:r>
        <w:rPr>
          <w:rFonts w:ascii="宋体" w:hAnsi="宋体"/>
          <w:color w:val="auto"/>
          <w:szCs w:val="20"/>
          <w:highlight w:val="none"/>
        </w:rPr>
        <w:br w:type="page"/>
      </w:r>
    </w:p>
    <w:p w14:paraId="741FC071">
      <w:pPr>
        <w:pStyle w:val="2"/>
        <w:spacing w:before="0" w:after="0" w:line="360" w:lineRule="auto"/>
        <w:jc w:val="center"/>
        <w:rPr>
          <w:rFonts w:ascii="宋体" w:hAnsi="宋体"/>
          <w:color w:val="auto"/>
          <w:sz w:val="52"/>
          <w:szCs w:val="52"/>
          <w:highlight w:val="none"/>
        </w:rPr>
      </w:pPr>
      <w:bookmarkStart w:id="296" w:name="_Toc17367"/>
      <w:bookmarkStart w:id="297" w:name="_Toc8804"/>
      <w:r>
        <w:rPr>
          <w:rFonts w:hint="eastAsia" w:ascii="宋体" w:hAnsi="宋体"/>
          <w:color w:val="auto"/>
          <w:sz w:val="52"/>
          <w:szCs w:val="52"/>
          <w:highlight w:val="none"/>
        </w:rPr>
        <w:t>第 三 卷</w:t>
      </w:r>
      <w:bookmarkEnd w:id="296"/>
      <w:bookmarkEnd w:id="297"/>
      <w:bookmarkStart w:id="298" w:name="_Toc509218847"/>
      <w:bookmarkStart w:id="299" w:name="_Toc536796986"/>
      <w:bookmarkStart w:id="300" w:name="_Toc536797390"/>
      <w:bookmarkStart w:id="301" w:name="_Toc536796850"/>
      <w:bookmarkStart w:id="302" w:name="_Toc536797121"/>
      <w:bookmarkStart w:id="303" w:name="_Toc534185826"/>
      <w:bookmarkStart w:id="304" w:name="_Toc536620100"/>
      <w:bookmarkStart w:id="305" w:name="_Toc536619968"/>
      <w:bookmarkStart w:id="306" w:name="_Toc13211764"/>
      <w:bookmarkStart w:id="307" w:name="_Toc13210772"/>
      <w:bookmarkStart w:id="308" w:name="_Toc536797255"/>
      <w:bookmarkStart w:id="309" w:name="_Toc536621880"/>
      <w:bookmarkStart w:id="310" w:name="_Toc13211206"/>
      <w:bookmarkStart w:id="311" w:name="_Toc536628344"/>
    </w:p>
    <w:bookmarkEnd w:id="298"/>
    <w:p w14:paraId="3493C41E">
      <w:pPr>
        <w:rPr>
          <w:color w:val="auto"/>
          <w:highlight w:val="none"/>
        </w:rPr>
      </w:pPr>
      <w:r>
        <w:rPr>
          <w:color w:val="auto"/>
          <w:highlight w:val="none"/>
        </w:rPr>
        <w:br w:type="page"/>
      </w:r>
      <w:bookmarkEnd w:id="299"/>
      <w:bookmarkEnd w:id="300"/>
      <w:bookmarkEnd w:id="301"/>
      <w:bookmarkEnd w:id="302"/>
      <w:bookmarkEnd w:id="303"/>
      <w:bookmarkEnd w:id="304"/>
      <w:bookmarkEnd w:id="305"/>
      <w:bookmarkEnd w:id="306"/>
      <w:bookmarkEnd w:id="307"/>
      <w:bookmarkEnd w:id="308"/>
      <w:bookmarkEnd w:id="309"/>
      <w:bookmarkEnd w:id="310"/>
      <w:bookmarkEnd w:id="311"/>
    </w:p>
    <w:bookmarkEnd w:id="276"/>
    <w:bookmarkEnd w:id="277"/>
    <w:bookmarkEnd w:id="278"/>
    <w:p w14:paraId="79D3936F">
      <w:pPr>
        <w:pStyle w:val="2"/>
        <w:spacing w:line="360" w:lineRule="auto"/>
        <w:jc w:val="center"/>
        <w:rPr>
          <w:rFonts w:ascii="宋体" w:hAnsi="宋体"/>
          <w:color w:val="auto"/>
          <w:highlight w:val="none"/>
        </w:rPr>
      </w:pPr>
      <w:bookmarkStart w:id="312" w:name="招标文件07章技术标准和要求"/>
      <w:bookmarkEnd w:id="312"/>
      <w:bookmarkStart w:id="313" w:name="_Toc23843"/>
      <w:bookmarkStart w:id="314" w:name="_Toc287607865"/>
      <w:bookmarkStart w:id="315" w:name="_Toc509218852"/>
      <w:bookmarkStart w:id="316" w:name="_Toc430530528"/>
      <w:bookmarkStart w:id="317" w:name="_Toc287620812"/>
      <w:bookmarkStart w:id="318" w:name="_Toc855"/>
      <w:bookmarkStart w:id="319" w:name="_Toc534185829"/>
      <w:r>
        <w:rPr>
          <w:rFonts w:hint="eastAsia" w:ascii="宋体" w:hAnsi="宋体"/>
          <w:color w:val="auto"/>
          <w:highlight w:val="none"/>
        </w:rPr>
        <w:t>第六章  竞标文件格式</w:t>
      </w:r>
      <w:bookmarkEnd w:id="313"/>
      <w:bookmarkEnd w:id="314"/>
      <w:bookmarkEnd w:id="315"/>
      <w:bookmarkEnd w:id="316"/>
      <w:bookmarkEnd w:id="317"/>
      <w:bookmarkEnd w:id="318"/>
      <w:bookmarkEnd w:id="319"/>
    </w:p>
    <w:p w14:paraId="204CF058">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szCs w:val="20"/>
          <w:highlight w:val="none"/>
        </w:rPr>
        <w:br w:type="page"/>
      </w:r>
    </w:p>
    <w:p w14:paraId="28D339A4">
      <w:pPr>
        <w:autoSpaceDE w:val="0"/>
        <w:autoSpaceDN w:val="0"/>
        <w:adjustRightInd w:val="0"/>
        <w:snapToGrid w:val="0"/>
        <w:spacing w:line="360" w:lineRule="auto"/>
        <w:jc w:val="center"/>
        <w:rPr>
          <w:rFonts w:ascii="宋体" w:hAnsi="宋体"/>
          <w:color w:val="auto"/>
          <w:kern w:val="0"/>
          <w:sz w:val="24"/>
          <w:szCs w:val="21"/>
          <w:highlight w:val="none"/>
        </w:rPr>
      </w:pPr>
    </w:p>
    <w:p w14:paraId="51E87613">
      <w:pPr>
        <w:spacing w:line="360" w:lineRule="auto"/>
        <w:jc w:val="center"/>
        <w:rPr>
          <w:rFonts w:ascii="宋体" w:hAnsi="宋体"/>
          <w:color w:val="auto"/>
          <w:sz w:val="36"/>
          <w:szCs w:val="36"/>
          <w:highlight w:val="none"/>
        </w:rPr>
      </w:pPr>
      <w:bookmarkStart w:id="320" w:name="_Toc224103493"/>
      <w:bookmarkStart w:id="321" w:name="_Toc287607867"/>
      <w:bookmarkStart w:id="322" w:name="_Toc287620814"/>
      <w:bookmarkStart w:id="323" w:name="_Toc430530530"/>
      <w:bookmarkStart w:id="324" w:name="_Toc509218854"/>
      <w:bookmarkStart w:id="325" w:name="_Toc224103495"/>
      <w:bookmarkStart w:id="326" w:name="_Toc277082643"/>
      <w:bookmarkStart w:id="327" w:name="_Toc534185831"/>
      <w:r>
        <w:rPr>
          <w:rFonts w:hint="eastAsia" w:ascii="宋体" w:hAnsi="宋体"/>
          <w:color w:val="auto"/>
          <w:sz w:val="36"/>
          <w:szCs w:val="36"/>
          <w:highlight w:val="none"/>
        </w:rPr>
        <w:t>目  录</w:t>
      </w:r>
      <w:bookmarkEnd w:id="320"/>
    </w:p>
    <w:p w14:paraId="7E7717B4">
      <w:pPr>
        <w:spacing w:line="360" w:lineRule="auto"/>
        <w:jc w:val="center"/>
        <w:rPr>
          <w:rFonts w:ascii="宋体" w:hAnsi="宋体"/>
          <w:color w:val="auto"/>
          <w:szCs w:val="20"/>
          <w:highlight w:val="none"/>
        </w:rPr>
      </w:pPr>
    </w:p>
    <w:p w14:paraId="79A4893A">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w:t>
      </w:r>
      <w:r>
        <w:rPr>
          <w:rFonts w:hint="eastAsia" w:ascii="宋体" w:hAnsi="宋体"/>
          <w:b/>
          <w:color w:val="auto"/>
          <w:highlight w:val="none"/>
        </w:rPr>
        <w:t>竞标</w:t>
      </w:r>
      <w:r>
        <w:rPr>
          <w:rFonts w:ascii="宋体" w:hAnsi="宋体"/>
          <w:b/>
          <w:color w:val="auto"/>
          <w:highlight w:val="none"/>
        </w:rPr>
        <w:t>函部分</w:t>
      </w:r>
    </w:p>
    <w:p w14:paraId="0F76D1BD">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竞标</w:t>
      </w:r>
      <w:r>
        <w:rPr>
          <w:rFonts w:ascii="宋体" w:hAnsi="宋体"/>
          <w:color w:val="auto"/>
          <w:highlight w:val="none"/>
        </w:rPr>
        <w:t>函</w:t>
      </w:r>
    </w:p>
    <w:p w14:paraId="32C9A6B7">
      <w:pPr>
        <w:pStyle w:val="18"/>
        <w:ind w:firstLine="420" w:firstLineChars="200"/>
        <w:rPr>
          <w:color w:val="auto"/>
          <w:highlight w:val="none"/>
        </w:rPr>
      </w:pPr>
      <w:r>
        <w:rPr>
          <w:rFonts w:hint="eastAsia"/>
          <w:color w:val="auto"/>
          <w:highlight w:val="none"/>
        </w:rPr>
        <w:t>（二）法定代表人身份证明或附有法定代表人身份证明的授权委托书</w:t>
      </w:r>
    </w:p>
    <w:p w14:paraId="6DB40C3F">
      <w:pPr>
        <w:spacing w:line="360" w:lineRule="auto"/>
        <w:rPr>
          <w:rFonts w:ascii="宋体" w:hAnsi="宋体"/>
          <w:b/>
          <w:color w:val="auto"/>
          <w:highlight w:val="none"/>
        </w:rPr>
      </w:pPr>
      <w:r>
        <w:rPr>
          <w:rFonts w:hint="eastAsia" w:ascii="宋体" w:hAnsi="宋体"/>
          <w:b/>
          <w:color w:val="auto"/>
          <w:highlight w:val="none"/>
        </w:rPr>
        <w:t>二</w:t>
      </w:r>
      <w:r>
        <w:rPr>
          <w:rFonts w:ascii="宋体" w:hAnsi="宋体"/>
          <w:b/>
          <w:color w:val="auto"/>
          <w:highlight w:val="none"/>
        </w:rPr>
        <w:t>、技术部分</w:t>
      </w:r>
    </w:p>
    <w:p w14:paraId="56930981">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6C826872">
      <w:pPr>
        <w:spacing w:line="360" w:lineRule="auto"/>
        <w:rPr>
          <w:rFonts w:ascii="宋体" w:hAnsi="宋体"/>
          <w:b/>
          <w:color w:val="auto"/>
          <w:highlight w:val="none"/>
        </w:rPr>
      </w:pPr>
      <w:r>
        <w:rPr>
          <w:rFonts w:hint="eastAsia" w:ascii="宋体" w:hAnsi="宋体"/>
          <w:b/>
          <w:color w:val="auto"/>
          <w:highlight w:val="none"/>
        </w:rPr>
        <w:t>三</w:t>
      </w:r>
      <w:r>
        <w:rPr>
          <w:rFonts w:ascii="宋体" w:hAnsi="宋体"/>
          <w:b/>
          <w:color w:val="auto"/>
          <w:highlight w:val="none"/>
        </w:rPr>
        <w:t>、</w:t>
      </w:r>
      <w:r>
        <w:rPr>
          <w:rFonts w:hint="eastAsia" w:ascii="宋体" w:hAnsi="宋体"/>
          <w:b/>
          <w:color w:val="auto"/>
          <w:highlight w:val="none"/>
        </w:rPr>
        <w:t>资格审查部分</w:t>
      </w:r>
    </w:p>
    <w:p w14:paraId="46882223">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2F037C6A">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竞标人</w:t>
      </w:r>
      <w:r>
        <w:rPr>
          <w:rFonts w:ascii="宋体" w:hAnsi="宋体"/>
          <w:color w:val="auto"/>
          <w:szCs w:val="21"/>
          <w:highlight w:val="none"/>
        </w:rPr>
        <w:t>基本情况表</w:t>
      </w:r>
    </w:p>
    <w:p w14:paraId="23995D86">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4ED3A2D1">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14:paraId="3F2E10BB">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）其他资料</w:t>
      </w:r>
    </w:p>
    <w:p w14:paraId="1A47AF87">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p>
    <w:bookmarkEnd w:id="321"/>
    <w:bookmarkEnd w:id="322"/>
    <w:bookmarkEnd w:id="323"/>
    <w:bookmarkEnd w:id="324"/>
    <w:bookmarkEnd w:id="325"/>
    <w:bookmarkEnd w:id="326"/>
    <w:bookmarkEnd w:id="327"/>
    <w:p w14:paraId="4149ADB3">
      <w:pPr>
        <w:pStyle w:val="3"/>
        <w:spacing w:line="360" w:lineRule="auto"/>
        <w:jc w:val="center"/>
        <w:rPr>
          <w:rFonts w:ascii="宋体" w:hAnsi="宋体"/>
          <w:b w:val="0"/>
          <w:bCs w:val="0"/>
          <w:color w:val="auto"/>
          <w:sz w:val="44"/>
          <w:szCs w:val="44"/>
          <w:highlight w:val="none"/>
        </w:rPr>
      </w:pPr>
      <w:bookmarkStart w:id="328" w:name="_Toc19476"/>
      <w:bookmarkStart w:id="329" w:name="_Toc16177"/>
      <w:bookmarkStart w:id="330" w:name="_Toc29644"/>
      <w:bookmarkStart w:id="331" w:name="_Toc804"/>
      <w:bookmarkStart w:id="332" w:name="_Toc287607882"/>
      <w:bookmarkStart w:id="333" w:name="_Toc277082656"/>
      <w:bookmarkStart w:id="334" w:name="_Toc224103510"/>
      <w:bookmarkStart w:id="335" w:name="_Toc287620829"/>
      <w:bookmarkStart w:id="336" w:name="_Toc430530545"/>
      <w:bookmarkStart w:id="337" w:name="_Toc27141"/>
      <w:r>
        <w:rPr>
          <w:rFonts w:hint="eastAsia" w:ascii="宋体" w:hAnsi="宋体"/>
          <w:b w:val="0"/>
          <w:bCs w:val="0"/>
          <w:color w:val="auto"/>
          <w:sz w:val="44"/>
          <w:szCs w:val="44"/>
          <w:highlight w:val="none"/>
        </w:rPr>
        <w:t>一、竞标函部分</w:t>
      </w:r>
      <w:bookmarkEnd w:id="328"/>
      <w:bookmarkEnd w:id="329"/>
    </w:p>
    <w:p w14:paraId="689655CC">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9E684B3">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758B5B15">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31243AC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875EE4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FF20E9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927E54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2200C3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16EB6BA">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5A29EBA1">
      <w:pPr>
        <w:autoSpaceDE w:val="0"/>
        <w:autoSpaceDN w:val="0"/>
        <w:adjustRightInd w:val="0"/>
        <w:snapToGrid w:val="0"/>
        <w:spacing w:line="360" w:lineRule="auto"/>
        <w:jc w:val="left"/>
        <w:rPr>
          <w:rFonts w:ascii="宋体" w:hAnsi="宋体"/>
          <w:color w:val="auto"/>
          <w:kern w:val="0"/>
          <w:sz w:val="16"/>
          <w:szCs w:val="16"/>
          <w:highlight w:val="none"/>
        </w:rPr>
      </w:pPr>
    </w:p>
    <w:p w14:paraId="3474AF1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竞标函部分</w:t>
      </w:r>
    </w:p>
    <w:p w14:paraId="1395EB45">
      <w:pPr>
        <w:autoSpaceDE w:val="0"/>
        <w:autoSpaceDN w:val="0"/>
        <w:adjustRightInd w:val="0"/>
        <w:snapToGrid w:val="0"/>
        <w:spacing w:line="360" w:lineRule="auto"/>
        <w:jc w:val="left"/>
        <w:rPr>
          <w:rFonts w:ascii="宋体" w:hAnsi="宋体"/>
          <w:b/>
          <w:color w:val="auto"/>
          <w:kern w:val="0"/>
          <w:sz w:val="20"/>
          <w:szCs w:val="20"/>
          <w:highlight w:val="none"/>
        </w:rPr>
      </w:pPr>
    </w:p>
    <w:p w14:paraId="267E1F96">
      <w:pPr>
        <w:autoSpaceDE w:val="0"/>
        <w:autoSpaceDN w:val="0"/>
        <w:adjustRightInd w:val="0"/>
        <w:snapToGrid w:val="0"/>
        <w:spacing w:line="360" w:lineRule="auto"/>
        <w:jc w:val="left"/>
        <w:rPr>
          <w:rFonts w:ascii="宋体" w:hAnsi="宋体"/>
          <w:b/>
          <w:color w:val="auto"/>
          <w:kern w:val="0"/>
          <w:sz w:val="20"/>
          <w:szCs w:val="20"/>
          <w:highlight w:val="none"/>
        </w:rPr>
      </w:pPr>
    </w:p>
    <w:p w14:paraId="54A5EE69">
      <w:pPr>
        <w:autoSpaceDE w:val="0"/>
        <w:autoSpaceDN w:val="0"/>
        <w:adjustRightInd w:val="0"/>
        <w:snapToGrid w:val="0"/>
        <w:spacing w:line="360" w:lineRule="auto"/>
        <w:jc w:val="left"/>
        <w:rPr>
          <w:rFonts w:ascii="宋体" w:hAnsi="宋体"/>
          <w:b/>
          <w:color w:val="auto"/>
          <w:kern w:val="0"/>
          <w:sz w:val="20"/>
          <w:szCs w:val="20"/>
          <w:highlight w:val="none"/>
        </w:rPr>
      </w:pPr>
    </w:p>
    <w:p w14:paraId="78432AD3">
      <w:pPr>
        <w:autoSpaceDE w:val="0"/>
        <w:autoSpaceDN w:val="0"/>
        <w:adjustRightInd w:val="0"/>
        <w:snapToGrid w:val="0"/>
        <w:spacing w:line="360" w:lineRule="auto"/>
        <w:jc w:val="left"/>
        <w:rPr>
          <w:rFonts w:ascii="宋体" w:hAnsi="宋体"/>
          <w:b/>
          <w:color w:val="auto"/>
          <w:kern w:val="0"/>
          <w:sz w:val="20"/>
          <w:szCs w:val="20"/>
          <w:highlight w:val="none"/>
        </w:rPr>
      </w:pPr>
    </w:p>
    <w:p w14:paraId="5EEE9C6C">
      <w:pPr>
        <w:autoSpaceDE w:val="0"/>
        <w:autoSpaceDN w:val="0"/>
        <w:adjustRightInd w:val="0"/>
        <w:snapToGrid w:val="0"/>
        <w:spacing w:line="360" w:lineRule="auto"/>
        <w:jc w:val="left"/>
        <w:rPr>
          <w:rFonts w:ascii="宋体" w:hAnsi="宋体"/>
          <w:b/>
          <w:color w:val="auto"/>
          <w:kern w:val="0"/>
          <w:sz w:val="20"/>
          <w:szCs w:val="20"/>
          <w:highlight w:val="none"/>
        </w:rPr>
      </w:pPr>
    </w:p>
    <w:p w14:paraId="4E1721FC">
      <w:pPr>
        <w:autoSpaceDE w:val="0"/>
        <w:autoSpaceDN w:val="0"/>
        <w:adjustRightInd w:val="0"/>
        <w:snapToGrid w:val="0"/>
        <w:spacing w:line="360" w:lineRule="auto"/>
        <w:jc w:val="left"/>
        <w:rPr>
          <w:rFonts w:ascii="宋体" w:hAnsi="宋体"/>
          <w:b/>
          <w:color w:val="auto"/>
          <w:kern w:val="0"/>
          <w:sz w:val="20"/>
          <w:szCs w:val="20"/>
          <w:highlight w:val="none"/>
        </w:rPr>
      </w:pPr>
    </w:p>
    <w:p w14:paraId="34C2A9AE">
      <w:pPr>
        <w:autoSpaceDE w:val="0"/>
        <w:autoSpaceDN w:val="0"/>
        <w:adjustRightInd w:val="0"/>
        <w:snapToGrid w:val="0"/>
        <w:spacing w:line="360" w:lineRule="auto"/>
        <w:jc w:val="left"/>
        <w:rPr>
          <w:rFonts w:ascii="宋体" w:hAnsi="宋体"/>
          <w:b/>
          <w:color w:val="auto"/>
          <w:kern w:val="0"/>
          <w:sz w:val="20"/>
          <w:szCs w:val="20"/>
          <w:highlight w:val="none"/>
        </w:rPr>
      </w:pPr>
    </w:p>
    <w:p w14:paraId="1CBFEBAF">
      <w:pPr>
        <w:autoSpaceDE w:val="0"/>
        <w:autoSpaceDN w:val="0"/>
        <w:adjustRightInd w:val="0"/>
        <w:snapToGrid w:val="0"/>
        <w:spacing w:line="360" w:lineRule="auto"/>
        <w:jc w:val="left"/>
        <w:rPr>
          <w:rFonts w:ascii="宋体" w:hAnsi="宋体"/>
          <w:b/>
          <w:color w:val="auto"/>
          <w:kern w:val="0"/>
          <w:sz w:val="20"/>
          <w:szCs w:val="20"/>
          <w:highlight w:val="none"/>
        </w:rPr>
      </w:pPr>
    </w:p>
    <w:p w14:paraId="33D02C70">
      <w:pPr>
        <w:autoSpaceDE w:val="0"/>
        <w:autoSpaceDN w:val="0"/>
        <w:adjustRightInd w:val="0"/>
        <w:snapToGrid w:val="0"/>
        <w:spacing w:line="360" w:lineRule="auto"/>
        <w:jc w:val="left"/>
        <w:rPr>
          <w:rFonts w:ascii="宋体" w:hAnsi="宋体"/>
          <w:b/>
          <w:color w:val="auto"/>
          <w:kern w:val="0"/>
          <w:sz w:val="20"/>
          <w:szCs w:val="20"/>
          <w:highlight w:val="none"/>
        </w:rPr>
      </w:pPr>
    </w:p>
    <w:p w14:paraId="43178A44">
      <w:pPr>
        <w:autoSpaceDE w:val="0"/>
        <w:autoSpaceDN w:val="0"/>
        <w:adjustRightInd w:val="0"/>
        <w:snapToGrid w:val="0"/>
        <w:spacing w:line="360" w:lineRule="auto"/>
        <w:jc w:val="left"/>
        <w:rPr>
          <w:rFonts w:ascii="宋体" w:hAnsi="宋体"/>
          <w:b/>
          <w:color w:val="auto"/>
          <w:kern w:val="0"/>
          <w:sz w:val="20"/>
          <w:szCs w:val="20"/>
          <w:highlight w:val="none"/>
        </w:rPr>
      </w:pPr>
    </w:p>
    <w:p w14:paraId="7CA7C743">
      <w:pPr>
        <w:autoSpaceDE w:val="0"/>
        <w:autoSpaceDN w:val="0"/>
        <w:adjustRightInd w:val="0"/>
        <w:snapToGrid w:val="0"/>
        <w:spacing w:line="360" w:lineRule="auto"/>
        <w:jc w:val="left"/>
        <w:rPr>
          <w:rFonts w:ascii="宋体" w:hAnsi="宋体"/>
          <w:b/>
          <w:color w:val="auto"/>
          <w:kern w:val="0"/>
          <w:sz w:val="20"/>
          <w:szCs w:val="20"/>
          <w:highlight w:val="none"/>
        </w:rPr>
      </w:pPr>
    </w:p>
    <w:p w14:paraId="286D3CBE">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12FDF82">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190985DF">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1F176714">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0B078E50">
      <w:pPr>
        <w:autoSpaceDE w:val="0"/>
        <w:autoSpaceDN w:val="0"/>
        <w:adjustRightInd w:val="0"/>
        <w:snapToGrid w:val="0"/>
        <w:spacing w:line="360" w:lineRule="auto"/>
        <w:jc w:val="left"/>
        <w:rPr>
          <w:rFonts w:ascii="宋体" w:hAnsi="宋体"/>
          <w:color w:val="auto"/>
          <w:kern w:val="0"/>
          <w:sz w:val="24"/>
          <w:szCs w:val="21"/>
          <w:highlight w:val="none"/>
        </w:rPr>
      </w:pPr>
    </w:p>
    <w:p w14:paraId="7A8D50B9">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w:t>
      </w:r>
      <w:r>
        <w:rPr>
          <w:rFonts w:hint="eastAsia" w:ascii="宋体" w:hAnsi="宋体"/>
          <w:color w:val="auto"/>
          <w:kern w:val="0"/>
          <w:sz w:val="24"/>
          <w:highlight w:val="none"/>
        </w:rPr>
        <w:t>竞标</w:t>
      </w:r>
      <w:r>
        <w:rPr>
          <w:rFonts w:ascii="宋体" w:hAnsi="宋体"/>
          <w:color w:val="auto"/>
          <w:kern w:val="0"/>
          <w:sz w:val="24"/>
          <w:highlight w:val="none"/>
        </w:rPr>
        <w:t>函</w:t>
      </w:r>
    </w:p>
    <w:p w14:paraId="51F7F961">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二</w:t>
      </w:r>
      <w:r>
        <w:rPr>
          <w:rFonts w:ascii="宋体" w:hAnsi="宋体"/>
          <w:color w:val="auto"/>
          <w:kern w:val="0"/>
          <w:sz w:val="24"/>
          <w:highlight w:val="none"/>
        </w:rPr>
        <w:t>）</w:t>
      </w:r>
      <w:r>
        <w:rPr>
          <w:rFonts w:hint="eastAsia" w:ascii="宋体" w:hAnsi="宋体"/>
          <w:color w:val="auto"/>
          <w:kern w:val="0"/>
          <w:sz w:val="24"/>
          <w:highlight w:val="none"/>
        </w:rPr>
        <w:t>法定代表人身份证明或附有法定代表人身份证明的授权委托书</w:t>
      </w:r>
    </w:p>
    <w:p w14:paraId="6D38CAAE">
      <w:pPr>
        <w:autoSpaceDE w:val="0"/>
        <w:autoSpaceDN w:val="0"/>
        <w:adjustRightInd w:val="0"/>
        <w:snapToGrid w:val="0"/>
        <w:spacing w:line="360" w:lineRule="auto"/>
        <w:jc w:val="left"/>
        <w:rPr>
          <w:rFonts w:ascii="宋体" w:hAnsi="宋体"/>
          <w:color w:val="auto"/>
          <w:w w:val="99"/>
          <w:kern w:val="0"/>
          <w:sz w:val="28"/>
          <w:szCs w:val="28"/>
          <w:highlight w:val="none"/>
        </w:rPr>
      </w:pPr>
    </w:p>
    <w:p w14:paraId="0E66E388">
      <w:pPr>
        <w:tabs>
          <w:tab w:val="left" w:pos="8300"/>
        </w:tabs>
        <w:autoSpaceDE w:val="0"/>
        <w:autoSpaceDN w:val="0"/>
        <w:adjustRightInd w:val="0"/>
        <w:spacing w:line="400" w:lineRule="exact"/>
        <w:jc w:val="center"/>
        <w:rPr>
          <w:rFonts w:ascii="宋体" w:hAnsi="宋体"/>
          <w:b w:val="0"/>
          <w:color w:val="auto"/>
          <w:highlight w:val="none"/>
        </w:rPr>
      </w:pPr>
      <w:r>
        <w:rPr>
          <w:rFonts w:ascii="宋体" w:hAnsi="宋体"/>
          <w:color w:val="auto"/>
          <w:highlight w:val="none"/>
        </w:rPr>
        <w:br w:type="page"/>
      </w:r>
      <w:bookmarkStart w:id="338" w:name="_Toc26071"/>
      <w:bookmarkStart w:id="339" w:name="_Toc11204"/>
      <w:r>
        <w:rPr>
          <w:rFonts w:hint="eastAsia" w:ascii="Times New Roman" w:hAnsi="Times New Roman" w:eastAsia="宋体" w:cs="Times New Roman"/>
          <w:color w:val="auto"/>
          <w:sz w:val="30"/>
          <w:szCs w:val="30"/>
          <w:highlight w:val="none"/>
        </w:rPr>
        <w:t>（一）竞标函</w:t>
      </w:r>
      <w:bookmarkEnd w:id="338"/>
      <w:bookmarkEnd w:id="339"/>
    </w:p>
    <w:p w14:paraId="57AEBC51">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val="en-US" w:eastAsia="zh-CN"/>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4D61AD08">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（项目名称）招标项目招标文件的全部内容，愿意以</w:t>
      </w:r>
      <w:r>
        <w:rPr>
          <w:rFonts w:hint="eastAsia" w:ascii="宋体" w:hAnsi="宋体"/>
          <w:snapToGrid w:val="0"/>
          <w:color w:val="auto"/>
          <w:kern w:val="0"/>
          <w:szCs w:val="21"/>
          <w:highlight w:val="none"/>
          <w:lang w:val="en-US" w:eastAsia="zh-CN"/>
        </w:rPr>
        <w:t>下列方式对检测费进行报价</w:t>
      </w:r>
      <w:r>
        <w:rPr>
          <w:rFonts w:hint="eastAsia" w:ascii="宋体" w:hAnsi="宋体"/>
          <w:snapToGrid w:val="0"/>
          <w:color w:val="auto"/>
          <w:kern w:val="0"/>
          <w:szCs w:val="21"/>
          <w:highlight w:val="none"/>
          <w:lang w:eastAsia="zh-CN"/>
        </w:rPr>
        <w:t>：</w:t>
      </w:r>
    </w:p>
    <w:p w14:paraId="1904DD8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竞标总报价</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snapToGrid w:val="0"/>
          <w:color w:val="auto"/>
          <w:kern w:val="0"/>
          <w:szCs w:val="21"/>
          <w:highlight w:val="none"/>
          <w:lang w:val="en-US" w:eastAsia="zh-CN"/>
        </w:rPr>
        <w:t>项目负责人</w:t>
      </w:r>
      <w:r>
        <w:rPr>
          <w:rFonts w:hint="eastAsia" w:ascii="宋体" w:hAnsi="宋体"/>
          <w:snapToGrid w:val="0"/>
          <w:color w:val="auto"/>
          <w:kern w:val="0"/>
          <w:szCs w:val="21"/>
          <w:highlight w:val="none"/>
        </w:rPr>
        <w:t>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服务期限</w:t>
      </w:r>
      <w:r>
        <w:rPr>
          <w:rFonts w:hint="eastAsia" w:ascii="宋体" w:hAnsi="宋体"/>
          <w:snapToGrid w:val="0"/>
          <w:color w:val="auto"/>
          <w:kern w:val="0"/>
          <w:szCs w:val="21"/>
          <w:highlight w:val="none"/>
          <w:u w:val="single"/>
        </w:rPr>
        <w:t>符合比选文件的要求</w:t>
      </w:r>
      <w:r>
        <w:rPr>
          <w:rFonts w:ascii="宋体" w:hAnsi="宋体"/>
          <w:snapToGrid w:val="0"/>
          <w:color w:val="auto"/>
          <w:kern w:val="0"/>
          <w:szCs w:val="21"/>
          <w:highlight w:val="none"/>
        </w:rPr>
        <w:t>，</w:t>
      </w:r>
      <w:r>
        <w:rPr>
          <w:rFonts w:hint="eastAsia" w:ascii="宋体" w:hAnsi="宋体" w:cs="宋体"/>
          <w:color w:val="auto"/>
          <w:szCs w:val="21"/>
          <w:highlight w:val="none"/>
        </w:rPr>
        <w:t>服务质量</w:t>
      </w:r>
      <w:r>
        <w:rPr>
          <w:rFonts w:hint="eastAsia" w:ascii="宋体" w:hAnsi="宋体" w:cs="宋体"/>
          <w:color w:val="auto"/>
          <w:szCs w:val="21"/>
          <w:highlight w:val="none"/>
          <w:u w:val="single"/>
        </w:rPr>
        <w:t>达到比选文件的要求</w:t>
      </w:r>
      <w:r>
        <w:rPr>
          <w:rFonts w:hint="eastAsia" w:ascii="宋体" w:hAnsi="宋体" w:cs="宋体"/>
          <w:color w:val="auto"/>
          <w:szCs w:val="21"/>
          <w:highlight w:val="none"/>
        </w:rPr>
        <w:t>，</w:t>
      </w:r>
      <w:r>
        <w:rPr>
          <w:rFonts w:ascii="宋体" w:hAnsi="宋体"/>
          <w:snapToGrid w:val="0"/>
          <w:color w:val="auto"/>
          <w:kern w:val="0"/>
          <w:szCs w:val="21"/>
          <w:highlight w:val="none"/>
        </w:rPr>
        <w:t>按合同约定完成</w:t>
      </w:r>
      <w:r>
        <w:rPr>
          <w:rFonts w:hint="eastAsia" w:ascii="宋体" w:hAnsi="宋体"/>
          <w:snapToGrid w:val="0"/>
          <w:color w:val="auto"/>
          <w:kern w:val="0"/>
          <w:szCs w:val="21"/>
          <w:highlight w:val="none"/>
          <w:lang w:val="en-US" w:eastAsia="zh-CN"/>
        </w:rPr>
        <w:t>服务</w:t>
      </w:r>
      <w:r>
        <w:rPr>
          <w:rFonts w:ascii="宋体" w:hAnsi="宋体"/>
          <w:snapToGrid w:val="0"/>
          <w:color w:val="auto"/>
          <w:kern w:val="0"/>
          <w:szCs w:val="21"/>
          <w:highlight w:val="none"/>
        </w:rPr>
        <w:t>工作。</w:t>
      </w:r>
    </w:p>
    <w:p w14:paraId="4DD21580">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文件规定的投标有效期，</w:t>
      </w:r>
      <w:r>
        <w:rPr>
          <w:rFonts w:ascii="宋体" w:hAnsi="宋体"/>
          <w:snapToGrid w:val="0"/>
          <w:color w:val="auto"/>
          <w:kern w:val="0"/>
          <w:szCs w:val="21"/>
          <w:highlight w:val="none"/>
        </w:rPr>
        <w:t>在投标有效期内不修改、撤销投标文件。</w:t>
      </w:r>
    </w:p>
    <w:p w14:paraId="32C6481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14D4ABC5">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（1）在收到中标通知书后，在中标通知书规定的期限内与你方签订合同；</w:t>
      </w:r>
    </w:p>
    <w:p w14:paraId="44FF5683">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2B4B27D9">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（3）按照招标文件要求提交履约保证金</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w:t>
      </w:r>
    </w:p>
    <w:p w14:paraId="41B66828">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245452F2">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（5）我方承诺以不低于招标文件第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章“发包人要求”中所列的技术指标和参数要求完成全部合同</w:t>
      </w:r>
      <w:r>
        <w:rPr>
          <w:rFonts w:hint="eastAsia" w:ascii="宋体" w:hAnsi="宋体"/>
          <w:snapToGrid w:val="0"/>
          <w:color w:val="auto"/>
          <w:kern w:val="0"/>
          <w:szCs w:val="21"/>
          <w:highlight w:val="none"/>
        </w:rPr>
        <w:t>工作</w:t>
      </w:r>
      <w:r>
        <w:rPr>
          <w:rFonts w:ascii="宋体" w:hAnsi="宋体"/>
          <w:snapToGrid w:val="0"/>
          <w:color w:val="auto"/>
          <w:kern w:val="0"/>
          <w:szCs w:val="21"/>
          <w:highlight w:val="none"/>
        </w:rPr>
        <w:t>。</w:t>
      </w:r>
    </w:p>
    <w:p w14:paraId="29CA351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color w:val="auto"/>
          <w:szCs w:val="21"/>
          <w:highlight w:val="none"/>
        </w:rPr>
        <w:t>（6）</w:t>
      </w:r>
      <w:r>
        <w:rPr>
          <w:rFonts w:hint="eastAsia"/>
          <w:color w:val="auto"/>
          <w:szCs w:val="21"/>
          <w:highlight w:val="none"/>
          <w:lang w:val="en-US" w:eastAsia="zh-CN"/>
        </w:rPr>
        <w:t>咨询</w:t>
      </w:r>
      <w:r>
        <w:rPr>
          <w:rFonts w:hint="eastAsia"/>
          <w:color w:val="auto"/>
          <w:szCs w:val="21"/>
          <w:highlight w:val="none"/>
        </w:rPr>
        <w:t>成果符合相关行业标准，满足相关部门验收要求。</w:t>
      </w:r>
    </w:p>
    <w:p w14:paraId="4409E871">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w:t>
      </w:r>
      <w:r>
        <w:rPr>
          <w:rFonts w:hint="eastAsia" w:ascii="宋体" w:hAnsi="宋体"/>
          <w:snapToGrid w:val="0"/>
          <w:color w:val="auto"/>
          <w:spacing w:val="-2"/>
          <w:kern w:val="0"/>
          <w:szCs w:val="21"/>
          <w:highlight w:val="none"/>
          <w:lang w:val="en-US" w:eastAsia="zh-CN"/>
        </w:rPr>
        <w:t>竞标</w:t>
      </w:r>
      <w:r>
        <w:rPr>
          <w:rFonts w:ascii="宋体" w:hAnsi="宋体"/>
          <w:snapToGrid w:val="0"/>
          <w:color w:val="auto"/>
          <w:spacing w:val="-2"/>
          <w:kern w:val="0"/>
          <w:szCs w:val="21"/>
          <w:highlight w:val="none"/>
        </w:rPr>
        <w:t>人</w:t>
      </w:r>
      <w:r>
        <w:rPr>
          <w:rFonts w:ascii="宋体" w:hAnsi="宋体"/>
          <w:snapToGrid w:val="0"/>
          <w:color w:val="auto"/>
          <w:kern w:val="0"/>
          <w:szCs w:val="21"/>
          <w:highlight w:val="none"/>
        </w:rPr>
        <w:t>须知”第 1.4.3 项规定的任何一种情形。同时我方承诺接受招标文件及附件、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0CFBC6C0">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DC6FCD1">
      <w:pPr>
        <w:pStyle w:val="18"/>
        <w:rPr>
          <w:color w:val="auto"/>
          <w:highlight w:val="none"/>
        </w:rPr>
      </w:pPr>
    </w:p>
    <w:p w14:paraId="4D581C9B">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竞标人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1DA036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6F0A7F8E">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11AE6848">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40D5CCF">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62626B53">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257B76B">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B979207">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6A32FF0A">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FF8A1DB">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2180F843">
      <w:pPr>
        <w:tabs>
          <w:tab w:val="left" w:pos="8300"/>
        </w:tabs>
        <w:autoSpaceDE w:val="0"/>
        <w:autoSpaceDN w:val="0"/>
        <w:adjustRightInd w:val="0"/>
        <w:spacing w:line="400" w:lineRule="exact"/>
        <w:jc w:val="both"/>
        <w:rPr>
          <w:rFonts w:ascii="宋体" w:hAnsi="宋体"/>
          <w:b w:val="0"/>
          <w:snapToGrid w:val="0"/>
          <w:color w:val="auto"/>
          <w:kern w:val="0"/>
          <w:sz w:val="30"/>
          <w:szCs w:val="30"/>
          <w:highlight w:val="none"/>
        </w:rPr>
      </w:pPr>
      <w:bookmarkStart w:id="340" w:name="_Toc224103496"/>
      <w:bookmarkStart w:id="341" w:name="_Toc287620815"/>
      <w:bookmarkStart w:id="342" w:name="_Toc430530531"/>
      <w:bookmarkStart w:id="343" w:name="_Toc277082644"/>
      <w:bookmarkStart w:id="344" w:name="_Toc287607868"/>
      <w:r>
        <w:rPr>
          <w:rFonts w:ascii="宋体" w:hAnsi="宋体"/>
          <w:color w:val="auto"/>
          <w:sz w:val="28"/>
          <w:highlight w:val="none"/>
        </w:rPr>
        <w:br w:type="page"/>
      </w:r>
      <w:bookmarkEnd w:id="340"/>
      <w:bookmarkEnd w:id="341"/>
      <w:bookmarkEnd w:id="342"/>
      <w:bookmarkEnd w:id="343"/>
      <w:bookmarkEnd w:id="344"/>
      <w:bookmarkStart w:id="345" w:name="_Toc430530532"/>
      <w:bookmarkStart w:id="346" w:name="_Toc287607869"/>
      <w:bookmarkStart w:id="347" w:name="_Toc8650"/>
      <w:bookmarkStart w:id="348" w:name="_Toc224103497"/>
      <w:bookmarkStart w:id="349" w:name="_Toc277082645"/>
      <w:bookmarkStart w:id="350" w:name="_Toc287620816"/>
      <w:r>
        <w:rPr>
          <w:color w:val="auto"/>
          <w:sz w:val="30"/>
          <w:szCs w:val="30"/>
          <w:highlight w:val="none"/>
        </w:rPr>
        <w:t>（</w:t>
      </w:r>
      <w:r>
        <w:rPr>
          <w:rFonts w:hint="eastAsia"/>
          <w:color w:val="auto"/>
          <w:sz w:val="30"/>
          <w:szCs w:val="30"/>
          <w:highlight w:val="none"/>
        </w:rPr>
        <w:t>二</w:t>
      </w:r>
      <w:r>
        <w:rPr>
          <w:color w:val="auto"/>
          <w:sz w:val="30"/>
          <w:szCs w:val="30"/>
          <w:highlight w:val="none"/>
        </w:rPr>
        <w:t>）</w:t>
      </w:r>
      <w:r>
        <w:rPr>
          <w:rFonts w:hint="eastAsia"/>
          <w:color w:val="auto"/>
          <w:sz w:val="30"/>
          <w:szCs w:val="30"/>
          <w:highlight w:val="none"/>
        </w:rPr>
        <w:t>法定代表人身份证明或附有法定代表人身份证明的授权委托书</w:t>
      </w:r>
      <w:bookmarkEnd w:id="345"/>
      <w:bookmarkEnd w:id="346"/>
      <w:bookmarkEnd w:id="347"/>
      <w:bookmarkEnd w:id="348"/>
      <w:bookmarkEnd w:id="349"/>
      <w:bookmarkEnd w:id="350"/>
    </w:p>
    <w:p w14:paraId="0D7AC339">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76B9BD86">
      <w:pPr>
        <w:spacing w:line="480" w:lineRule="auto"/>
        <w:jc w:val="center"/>
        <w:rPr>
          <w:rFonts w:ascii="宋体" w:hAnsi="宋体"/>
          <w:color w:val="auto"/>
          <w:highlight w:val="none"/>
        </w:rPr>
      </w:pPr>
    </w:p>
    <w:p w14:paraId="544C0A02">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BB1B9F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DB76D88">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450663B">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329DD3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6D65B8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7A82EF7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3540F8C6">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616EB1A2">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1DE21F8D">
      <w:pPr>
        <w:pStyle w:val="18"/>
        <w:spacing w:after="0" w:line="360" w:lineRule="auto"/>
        <w:rPr>
          <w:rFonts w:ascii="宋体" w:hAnsi="宋体"/>
          <w:color w:val="auto"/>
          <w:szCs w:val="21"/>
          <w:highlight w:val="none"/>
        </w:rPr>
      </w:pPr>
    </w:p>
    <w:p w14:paraId="6AD2F834">
      <w:pPr>
        <w:pStyle w:val="18"/>
        <w:spacing w:after="0" w:line="360" w:lineRule="auto"/>
        <w:rPr>
          <w:rFonts w:ascii="宋体" w:hAnsi="宋体"/>
          <w:color w:val="auto"/>
          <w:szCs w:val="21"/>
          <w:highlight w:val="none"/>
        </w:rPr>
      </w:pPr>
    </w:p>
    <w:p w14:paraId="0E0864A9">
      <w:pPr>
        <w:pStyle w:val="18"/>
        <w:spacing w:after="0" w:line="360" w:lineRule="auto"/>
        <w:rPr>
          <w:rFonts w:ascii="宋体" w:hAnsi="宋体"/>
          <w:color w:val="auto"/>
          <w:szCs w:val="21"/>
          <w:highlight w:val="none"/>
        </w:rPr>
      </w:pPr>
    </w:p>
    <w:p w14:paraId="44919CCF">
      <w:pPr>
        <w:pStyle w:val="18"/>
        <w:spacing w:after="0" w:line="360" w:lineRule="auto"/>
        <w:rPr>
          <w:rFonts w:ascii="宋体" w:hAnsi="宋体"/>
          <w:color w:val="auto"/>
          <w:szCs w:val="21"/>
          <w:highlight w:val="none"/>
        </w:rPr>
      </w:pPr>
    </w:p>
    <w:p w14:paraId="249155FA">
      <w:pPr>
        <w:pStyle w:val="18"/>
        <w:spacing w:after="0" w:line="360" w:lineRule="auto"/>
        <w:rPr>
          <w:rFonts w:ascii="宋体" w:hAnsi="宋体"/>
          <w:color w:val="auto"/>
          <w:szCs w:val="21"/>
          <w:highlight w:val="none"/>
        </w:rPr>
      </w:pPr>
    </w:p>
    <w:p w14:paraId="4BE1FA5E">
      <w:pPr>
        <w:pStyle w:val="18"/>
        <w:spacing w:after="0" w:line="360" w:lineRule="auto"/>
        <w:rPr>
          <w:rFonts w:ascii="宋体" w:hAnsi="宋体"/>
          <w:color w:val="auto"/>
          <w:szCs w:val="21"/>
          <w:highlight w:val="none"/>
        </w:rPr>
      </w:pPr>
    </w:p>
    <w:p w14:paraId="3073BE10">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09762800">
      <w:pPr>
        <w:autoSpaceDE w:val="0"/>
        <w:autoSpaceDN w:val="0"/>
        <w:adjustRightInd w:val="0"/>
        <w:snapToGrid w:val="0"/>
        <w:spacing w:line="480" w:lineRule="auto"/>
        <w:jc w:val="left"/>
        <w:rPr>
          <w:rFonts w:ascii="宋体" w:hAnsi="宋体"/>
          <w:color w:val="auto"/>
          <w:kern w:val="0"/>
          <w:sz w:val="20"/>
          <w:szCs w:val="20"/>
          <w:highlight w:val="none"/>
        </w:rPr>
      </w:pPr>
    </w:p>
    <w:p w14:paraId="743E394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3A9210ED">
      <w:pPr>
        <w:autoSpaceDE w:val="0"/>
        <w:autoSpaceDN w:val="0"/>
        <w:adjustRightInd w:val="0"/>
        <w:snapToGrid w:val="0"/>
        <w:spacing w:line="360" w:lineRule="auto"/>
        <w:jc w:val="left"/>
        <w:rPr>
          <w:rFonts w:ascii="宋体" w:hAnsi="宋体"/>
          <w:color w:val="auto"/>
          <w:kern w:val="0"/>
          <w:highlight w:val="none"/>
        </w:rPr>
      </w:pPr>
    </w:p>
    <w:p w14:paraId="559235F9">
      <w:pPr>
        <w:autoSpaceDE w:val="0"/>
        <w:autoSpaceDN w:val="0"/>
        <w:adjustRightInd w:val="0"/>
        <w:snapToGrid w:val="0"/>
        <w:spacing w:line="360" w:lineRule="auto"/>
        <w:jc w:val="left"/>
        <w:rPr>
          <w:rFonts w:ascii="宋体" w:hAnsi="宋体"/>
          <w:color w:val="auto"/>
          <w:kern w:val="0"/>
          <w:highlight w:val="none"/>
        </w:rPr>
      </w:pPr>
    </w:p>
    <w:p w14:paraId="682FCBE3">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52A119B4">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7106E393">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3C4CF56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1837F69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78FBAF4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7A57850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lang w:val="en-US" w:eastAsia="zh-CN"/>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0329541">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07AE85F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4705A9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7C9CB23A">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A844B9E">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4A3308E">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委托代理人电话（手机）：</w:t>
      </w:r>
      <w:r>
        <w:rPr>
          <w:rFonts w:hint="eastAsia" w:ascii="宋体" w:hAnsi="宋体"/>
          <w:color w:val="auto"/>
          <w:kern w:val="0"/>
          <w:szCs w:val="21"/>
          <w:highlight w:val="none"/>
          <w:u w:val="single"/>
        </w:rPr>
        <w:t xml:space="preserve">                                          </w:t>
      </w:r>
    </w:p>
    <w:p w14:paraId="5DF04E15">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13762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746C60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F616A3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9D9CE8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B0B0B9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D69915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5102AD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9DAC7F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2EF42EF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65D1DE71">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3CFCCBFD">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31DAE1BF">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0BA130C7">
      <w:pPr>
        <w:pStyle w:val="3"/>
        <w:spacing w:line="360" w:lineRule="auto"/>
        <w:jc w:val="center"/>
        <w:rPr>
          <w:rFonts w:hint="eastAsia" w:ascii="宋体" w:hAnsi="宋体"/>
          <w:b w:val="0"/>
          <w:bCs w:val="0"/>
          <w:color w:val="auto"/>
          <w:sz w:val="44"/>
          <w:szCs w:val="44"/>
          <w:highlight w:val="none"/>
        </w:rPr>
      </w:pPr>
      <w:bookmarkStart w:id="351" w:name="_Toc6167"/>
      <w:r>
        <w:rPr>
          <w:rFonts w:hint="eastAsia" w:ascii="宋体" w:hAnsi="宋体"/>
          <w:b w:val="0"/>
          <w:bCs w:val="0"/>
          <w:color w:val="auto"/>
          <w:sz w:val="44"/>
          <w:szCs w:val="44"/>
          <w:highlight w:val="none"/>
        </w:rPr>
        <w:t>二、技术部分</w:t>
      </w:r>
      <w:bookmarkEnd w:id="330"/>
      <w:bookmarkEnd w:id="331"/>
      <w:bookmarkEnd w:id="351"/>
    </w:p>
    <w:p w14:paraId="062D96F9">
      <w:pPr>
        <w:rPr>
          <w:rFonts w:ascii="宋体" w:hAnsi="宋体"/>
          <w:color w:val="auto"/>
          <w:kern w:val="0"/>
          <w:sz w:val="32"/>
          <w:szCs w:val="32"/>
          <w:highlight w:val="none"/>
          <w:u w:val="single"/>
        </w:rPr>
      </w:pPr>
      <w:r>
        <w:rPr>
          <w:rFonts w:ascii="宋体" w:hAnsi="宋体"/>
          <w:color w:val="auto"/>
          <w:kern w:val="0"/>
          <w:sz w:val="32"/>
          <w:szCs w:val="32"/>
          <w:highlight w:val="none"/>
          <w:u w:val="single"/>
        </w:rPr>
        <w:br w:type="page"/>
      </w:r>
    </w:p>
    <w:p w14:paraId="6990EC1D">
      <w:pPr>
        <w:pStyle w:val="18"/>
        <w:rPr>
          <w:color w:val="auto"/>
          <w:highlight w:val="none"/>
        </w:rPr>
      </w:pPr>
    </w:p>
    <w:p w14:paraId="40B72CB5">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7CF2557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624595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829857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E7DA0D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33F83C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45806BFA">
      <w:pPr>
        <w:autoSpaceDE w:val="0"/>
        <w:autoSpaceDN w:val="0"/>
        <w:adjustRightInd w:val="0"/>
        <w:snapToGrid w:val="0"/>
        <w:spacing w:line="360" w:lineRule="auto"/>
        <w:jc w:val="left"/>
        <w:rPr>
          <w:rFonts w:ascii="宋体" w:hAnsi="宋体"/>
          <w:color w:val="auto"/>
          <w:kern w:val="0"/>
          <w:sz w:val="16"/>
          <w:szCs w:val="16"/>
          <w:highlight w:val="none"/>
        </w:rPr>
      </w:pPr>
    </w:p>
    <w:p w14:paraId="587889DE">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技术部分</w:t>
      </w:r>
    </w:p>
    <w:p w14:paraId="32779912">
      <w:pPr>
        <w:autoSpaceDE w:val="0"/>
        <w:autoSpaceDN w:val="0"/>
        <w:adjustRightInd w:val="0"/>
        <w:snapToGrid w:val="0"/>
        <w:spacing w:line="360" w:lineRule="auto"/>
        <w:jc w:val="left"/>
        <w:rPr>
          <w:rFonts w:ascii="宋体" w:hAnsi="宋体"/>
          <w:b/>
          <w:color w:val="auto"/>
          <w:kern w:val="0"/>
          <w:sz w:val="20"/>
          <w:szCs w:val="20"/>
          <w:highlight w:val="none"/>
        </w:rPr>
      </w:pPr>
    </w:p>
    <w:p w14:paraId="66097583">
      <w:pPr>
        <w:autoSpaceDE w:val="0"/>
        <w:autoSpaceDN w:val="0"/>
        <w:adjustRightInd w:val="0"/>
        <w:snapToGrid w:val="0"/>
        <w:spacing w:line="360" w:lineRule="auto"/>
        <w:jc w:val="left"/>
        <w:rPr>
          <w:rFonts w:ascii="宋体" w:hAnsi="宋体"/>
          <w:b/>
          <w:color w:val="auto"/>
          <w:kern w:val="0"/>
          <w:sz w:val="20"/>
          <w:szCs w:val="20"/>
          <w:highlight w:val="none"/>
        </w:rPr>
      </w:pPr>
    </w:p>
    <w:p w14:paraId="6CBEF626">
      <w:pPr>
        <w:autoSpaceDE w:val="0"/>
        <w:autoSpaceDN w:val="0"/>
        <w:adjustRightInd w:val="0"/>
        <w:snapToGrid w:val="0"/>
        <w:spacing w:line="360" w:lineRule="auto"/>
        <w:jc w:val="left"/>
        <w:rPr>
          <w:rFonts w:ascii="宋体" w:hAnsi="宋体"/>
          <w:b/>
          <w:color w:val="auto"/>
          <w:kern w:val="0"/>
          <w:sz w:val="20"/>
          <w:szCs w:val="20"/>
          <w:highlight w:val="none"/>
        </w:rPr>
      </w:pPr>
    </w:p>
    <w:p w14:paraId="7FA27608">
      <w:pPr>
        <w:autoSpaceDE w:val="0"/>
        <w:autoSpaceDN w:val="0"/>
        <w:adjustRightInd w:val="0"/>
        <w:snapToGrid w:val="0"/>
        <w:spacing w:line="360" w:lineRule="auto"/>
        <w:jc w:val="left"/>
        <w:rPr>
          <w:rFonts w:ascii="宋体" w:hAnsi="宋体"/>
          <w:b/>
          <w:color w:val="auto"/>
          <w:kern w:val="0"/>
          <w:sz w:val="20"/>
          <w:szCs w:val="20"/>
          <w:highlight w:val="none"/>
        </w:rPr>
      </w:pPr>
    </w:p>
    <w:p w14:paraId="420C55EA">
      <w:pPr>
        <w:autoSpaceDE w:val="0"/>
        <w:autoSpaceDN w:val="0"/>
        <w:adjustRightInd w:val="0"/>
        <w:snapToGrid w:val="0"/>
        <w:spacing w:line="360" w:lineRule="auto"/>
        <w:jc w:val="left"/>
        <w:rPr>
          <w:rFonts w:ascii="宋体" w:hAnsi="宋体"/>
          <w:b/>
          <w:color w:val="auto"/>
          <w:kern w:val="0"/>
          <w:sz w:val="20"/>
          <w:szCs w:val="20"/>
          <w:highlight w:val="none"/>
        </w:rPr>
      </w:pPr>
    </w:p>
    <w:p w14:paraId="4659F233">
      <w:pPr>
        <w:autoSpaceDE w:val="0"/>
        <w:autoSpaceDN w:val="0"/>
        <w:adjustRightInd w:val="0"/>
        <w:snapToGrid w:val="0"/>
        <w:spacing w:line="360" w:lineRule="auto"/>
        <w:jc w:val="left"/>
        <w:rPr>
          <w:rFonts w:ascii="宋体" w:hAnsi="宋体"/>
          <w:b/>
          <w:color w:val="auto"/>
          <w:kern w:val="0"/>
          <w:sz w:val="20"/>
          <w:szCs w:val="20"/>
          <w:highlight w:val="none"/>
        </w:rPr>
      </w:pPr>
    </w:p>
    <w:p w14:paraId="755202CF">
      <w:pPr>
        <w:autoSpaceDE w:val="0"/>
        <w:autoSpaceDN w:val="0"/>
        <w:adjustRightInd w:val="0"/>
        <w:snapToGrid w:val="0"/>
        <w:spacing w:line="360" w:lineRule="auto"/>
        <w:jc w:val="left"/>
        <w:rPr>
          <w:rFonts w:ascii="宋体" w:hAnsi="宋体"/>
          <w:b/>
          <w:color w:val="auto"/>
          <w:kern w:val="0"/>
          <w:sz w:val="20"/>
          <w:szCs w:val="20"/>
          <w:highlight w:val="none"/>
        </w:rPr>
      </w:pPr>
    </w:p>
    <w:p w14:paraId="5EC8AC24">
      <w:pPr>
        <w:autoSpaceDE w:val="0"/>
        <w:autoSpaceDN w:val="0"/>
        <w:adjustRightInd w:val="0"/>
        <w:snapToGrid w:val="0"/>
        <w:spacing w:line="360" w:lineRule="auto"/>
        <w:jc w:val="left"/>
        <w:rPr>
          <w:rFonts w:ascii="宋体" w:hAnsi="宋体"/>
          <w:b/>
          <w:color w:val="auto"/>
          <w:kern w:val="0"/>
          <w:sz w:val="20"/>
          <w:szCs w:val="20"/>
          <w:highlight w:val="none"/>
        </w:rPr>
      </w:pPr>
    </w:p>
    <w:p w14:paraId="1752FA78">
      <w:pPr>
        <w:autoSpaceDE w:val="0"/>
        <w:autoSpaceDN w:val="0"/>
        <w:adjustRightInd w:val="0"/>
        <w:snapToGrid w:val="0"/>
        <w:spacing w:line="360" w:lineRule="auto"/>
        <w:jc w:val="left"/>
        <w:rPr>
          <w:rFonts w:ascii="宋体" w:hAnsi="宋体"/>
          <w:b/>
          <w:color w:val="auto"/>
          <w:kern w:val="0"/>
          <w:sz w:val="20"/>
          <w:szCs w:val="20"/>
          <w:highlight w:val="none"/>
        </w:rPr>
      </w:pPr>
    </w:p>
    <w:p w14:paraId="60EF58CF">
      <w:pPr>
        <w:autoSpaceDE w:val="0"/>
        <w:autoSpaceDN w:val="0"/>
        <w:adjustRightInd w:val="0"/>
        <w:snapToGrid w:val="0"/>
        <w:spacing w:line="360" w:lineRule="auto"/>
        <w:jc w:val="left"/>
        <w:rPr>
          <w:rFonts w:ascii="宋体" w:hAnsi="宋体"/>
          <w:b/>
          <w:color w:val="auto"/>
          <w:kern w:val="0"/>
          <w:sz w:val="20"/>
          <w:szCs w:val="20"/>
          <w:highlight w:val="none"/>
        </w:rPr>
      </w:pPr>
    </w:p>
    <w:p w14:paraId="2B07FC1B">
      <w:pPr>
        <w:autoSpaceDE w:val="0"/>
        <w:autoSpaceDN w:val="0"/>
        <w:adjustRightInd w:val="0"/>
        <w:snapToGrid w:val="0"/>
        <w:spacing w:line="360" w:lineRule="auto"/>
        <w:jc w:val="left"/>
        <w:rPr>
          <w:rFonts w:ascii="宋体" w:hAnsi="宋体"/>
          <w:b/>
          <w:color w:val="auto"/>
          <w:kern w:val="0"/>
          <w:sz w:val="20"/>
          <w:szCs w:val="20"/>
          <w:highlight w:val="none"/>
        </w:rPr>
      </w:pPr>
    </w:p>
    <w:p w14:paraId="53ADCAA9">
      <w:pPr>
        <w:autoSpaceDE w:val="0"/>
        <w:autoSpaceDN w:val="0"/>
        <w:adjustRightInd w:val="0"/>
        <w:snapToGrid w:val="0"/>
        <w:spacing w:line="360" w:lineRule="auto"/>
        <w:jc w:val="left"/>
        <w:rPr>
          <w:rFonts w:ascii="宋体" w:hAnsi="宋体"/>
          <w:b/>
          <w:color w:val="auto"/>
          <w:kern w:val="0"/>
          <w:sz w:val="20"/>
          <w:szCs w:val="20"/>
          <w:highlight w:val="none"/>
        </w:rPr>
      </w:pPr>
    </w:p>
    <w:p w14:paraId="29FAC283">
      <w:pPr>
        <w:autoSpaceDE w:val="0"/>
        <w:autoSpaceDN w:val="0"/>
        <w:adjustRightInd w:val="0"/>
        <w:snapToGrid w:val="0"/>
        <w:spacing w:line="360" w:lineRule="auto"/>
        <w:jc w:val="left"/>
        <w:rPr>
          <w:rFonts w:ascii="宋体" w:hAnsi="宋体"/>
          <w:b/>
          <w:color w:val="auto"/>
          <w:kern w:val="0"/>
          <w:sz w:val="20"/>
          <w:szCs w:val="20"/>
          <w:highlight w:val="none"/>
        </w:rPr>
      </w:pPr>
    </w:p>
    <w:p w14:paraId="30AA0A20">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0FCAC05">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77FA02EC">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452CD2D2">
      <w:pPr>
        <w:autoSpaceDE w:val="0"/>
        <w:autoSpaceDN w:val="0"/>
        <w:adjustRightInd w:val="0"/>
        <w:snapToGrid w:val="0"/>
        <w:spacing w:line="360" w:lineRule="auto"/>
        <w:jc w:val="center"/>
        <w:rPr>
          <w:rFonts w:ascii="宋体" w:hAnsi="宋体"/>
          <w:color w:val="auto"/>
          <w:kern w:val="0"/>
          <w:sz w:val="36"/>
          <w:szCs w:val="36"/>
          <w:highlight w:val="none"/>
        </w:rPr>
      </w:pPr>
    </w:p>
    <w:p w14:paraId="5D09851F">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64C2AB9D">
      <w:pPr>
        <w:autoSpaceDE w:val="0"/>
        <w:autoSpaceDN w:val="0"/>
        <w:adjustRightInd w:val="0"/>
        <w:snapToGrid w:val="0"/>
        <w:spacing w:line="360" w:lineRule="auto"/>
        <w:jc w:val="left"/>
        <w:rPr>
          <w:rFonts w:ascii="宋体" w:hAnsi="宋体"/>
          <w:color w:val="auto"/>
          <w:kern w:val="0"/>
          <w:sz w:val="32"/>
          <w:szCs w:val="32"/>
          <w:highlight w:val="none"/>
        </w:rPr>
      </w:pPr>
    </w:p>
    <w:p w14:paraId="5DCDE8E6">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竞标人</w:t>
      </w:r>
      <w:r>
        <w:rPr>
          <w:rFonts w:ascii="宋体" w:hAnsi="宋体"/>
          <w:i/>
          <w:iCs/>
          <w:color w:val="auto"/>
          <w:kern w:val="0"/>
          <w:szCs w:val="21"/>
          <w:highlight w:val="none"/>
        </w:rPr>
        <w:t>自行编制]</w:t>
      </w:r>
    </w:p>
    <w:p w14:paraId="3B354A6D">
      <w:pPr>
        <w:autoSpaceDE w:val="0"/>
        <w:autoSpaceDN w:val="0"/>
        <w:adjustRightInd w:val="0"/>
        <w:snapToGrid w:val="0"/>
        <w:spacing w:line="360" w:lineRule="auto"/>
        <w:jc w:val="left"/>
        <w:rPr>
          <w:rFonts w:ascii="宋体" w:hAnsi="宋体"/>
          <w:color w:val="auto"/>
          <w:w w:val="99"/>
          <w:kern w:val="0"/>
          <w:sz w:val="28"/>
          <w:szCs w:val="28"/>
          <w:highlight w:val="none"/>
        </w:rPr>
      </w:pPr>
    </w:p>
    <w:p w14:paraId="6CDB88C2">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352" w:name="_Toc299"/>
      <w:bookmarkStart w:id="353" w:name="_Toc17837"/>
      <w:bookmarkStart w:id="354" w:name="_Toc29745"/>
      <w:r>
        <w:rPr>
          <w:rStyle w:val="327"/>
          <w:rFonts w:hint="eastAsia"/>
          <w:color w:val="auto"/>
          <w:highlight w:val="none"/>
        </w:rPr>
        <w:t>（一）技术方案</w:t>
      </w:r>
      <w:bookmarkEnd w:id="352"/>
      <w:bookmarkEnd w:id="353"/>
      <w:bookmarkEnd w:id="354"/>
    </w:p>
    <w:p w14:paraId="79192A8D">
      <w:pPr>
        <w:autoSpaceDE w:val="0"/>
        <w:autoSpaceDN w:val="0"/>
        <w:adjustRightInd w:val="0"/>
        <w:snapToGrid w:val="0"/>
        <w:spacing w:line="360" w:lineRule="auto"/>
        <w:jc w:val="left"/>
        <w:rPr>
          <w:rFonts w:ascii="宋体" w:hAnsi="宋体"/>
          <w:color w:val="auto"/>
          <w:kern w:val="0"/>
          <w:sz w:val="12"/>
          <w:szCs w:val="12"/>
          <w:highlight w:val="none"/>
        </w:rPr>
      </w:pPr>
    </w:p>
    <w:p w14:paraId="2C6972C1">
      <w:pPr>
        <w:pStyle w:val="18"/>
        <w:spacing w:line="360" w:lineRule="auto"/>
        <w:ind w:firstLine="420" w:firstLineChars="200"/>
        <w:jc w:val="center"/>
        <w:rPr>
          <w:rFonts w:ascii="宋体" w:hAnsi="宋体"/>
          <w:i/>
          <w:color w:val="auto"/>
          <w:kern w:val="0"/>
          <w:szCs w:val="21"/>
          <w:highlight w:val="none"/>
        </w:rPr>
      </w:pPr>
      <w:r>
        <w:rPr>
          <w:rFonts w:hint="eastAsia" w:ascii="宋体" w:hAnsi="宋体"/>
          <w:i/>
          <w:color w:val="auto"/>
          <w:kern w:val="0"/>
          <w:szCs w:val="21"/>
          <w:highlight w:val="none"/>
        </w:rPr>
        <w:t>[提示：竞标人应根据比选文件的要求编制技术方案]</w:t>
      </w:r>
    </w:p>
    <w:p w14:paraId="670686C3">
      <w:pPr>
        <w:bidi w:val="0"/>
        <w:rPr>
          <w:color w:val="auto"/>
        </w:rPr>
      </w:pPr>
    </w:p>
    <w:p w14:paraId="5A66788D">
      <w:pPr>
        <w:bidi w:val="0"/>
        <w:rPr>
          <w:color w:val="auto"/>
        </w:rPr>
      </w:pPr>
    </w:p>
    <w:p w14:paraId="10A01904">
      <w:pPr>
        <w:bidi w:val="0"/>
        <w:rPr>
          <w:color w:val="auto"/>
        </w:rPr>
      </w:pPr>
    </w:p>
    <w:p w14:paraId="3D21E187">
      <w:pPr>
        <w:bidi w:val="0"/>
        <w:rPr>
          <w:color w:val="auto"/>
        </w:rPr>
      </w:pPr>
    </w:p>
    <w:p w14:paraId="26B23BC7">
      <w:pPr>
        <w:bidi w:val="0"/>
        <w:rPr>
          <w:color w:val="auto"/>
        </w:rPr>
      </w:pPr>
    </w:p>
    <w:p w14:paraId="448A1BF9">
      <w:pPr>
        <w:bidi w:val="0"/>
        <w:rPr>
          <w:color w:val="auto"/>
        </w:rPr>
      </w:pPr>
    </w:p>
    <w:p w14:paraId="4774B10E">
      <w:pPr>
        <w:bidi w:val="0"/>
        <w:rPr>
          <w:color w:val="auto"/>
        </w:rPr>
      </w:pPr>
    </w:p>
    <w:p w14:paraId="77C26A64">
      <w:pPr>
        <w:bidi w:val="0"/>
        <w:rPr>
          <w:color w:val="auto"/>
        </w:rPr>
      </w:pPr>
    </w:p>
    <w:p w14:paraId="3A9C1A08">
      <w:pPr>
        <w:bidi w:val="0"/>
        <w:rPr>
          <w:color w:val="auto"/>
        </w:rPr>
      </w:pPr>
    </w:p>
    <w:p w14:paraId="1517BFD5">
      <w:pPr>
        <w:bidi w:val="0"/>
        <w:rPr>
          <w:color w:val="auto"/>
        </w:rPr>
      </w:pPr>
    </w:p>
    <w:p w14:paraId="601195F6">
      <w:pPr>
        <w:bidi w:val="0"/>
        <w:rPr>
          <w:color w:val="auto"/>
        </w:rPr>
      </w:pPr>
    </w:p>
    <w:p w14:paraId="397D7BC2">
      <w:pPr>
        <w:bidi w:val="0"/>
        <w:rPr>
          <w:color w:val="auto"/>
        </w:rPr>
      </w:pPr>
    </w:p>
    <w:p w14:paraId="71FF7D32">
      <w:pPr>
        <w:bidi w:val="0"/>
        <w:rPr>
          <w:color w:val="auto"/>
        </w:rPr>
      </w:pPr>
    </w:p>
    <w:p w14:paraId="0E1C5241">
      <w:pPr>
        <w:bidi w:val="0"/>
        <w:rPr>
          <w:color w:val="auto"/>
        </w:rPr>
      </w:pPr>
    </w:p>
    <w:p w14:paraId="208F8410">
      <w:pPr>
        <w:rPr>
          <w:rFonts w:ascii="宋体" w:hAnsi="宋体"/>
          <w:color w:val="auto"/>
          <w:sz w:val="44"/>
          <w:szCs w:val="44"/>
          <w:highlight w:val="none"/>
        </w:rPr>
      </w:pPr>
    </w:p>
    <w:p w14:paraId="1BD06EAD">
      <w:pPr>
        <w:rPr>
          <w:rFonts w:hint="eastAsia" w:ascii="宋体" w:hAnsi="宋体"/>
          <w:b w:val="0"/>
          <w:bCs w:val="0"/>
          <w:color w:val="auto"/>
          <w:sz w:val="44"/>
          <w:szCs w:val="44"/>
          <w:highlight w:val="none"/>
        </w:rPr>
      </w:pPr>
      <w:bookmarkStart w:id="355" w:name="_Toc2857"/>
      <w:r>
        <w:rPr>
          <w:rFonts w:hint="eastAsia" w:ascii="宋体" w:hAnsi="宋体"/>
          <w:b w:val="0"/>
          <w:bCs w:val="0"/>
          <w:color w:val="auto"/>
          <w:sz w:val="44"/>
          <w:szCs w:val="44"/>
          <w:highlight w:val="none"/>
        </w:rPr>
        <w:br w:type="page"/>
      </w:r>
    </w:p>
    <w:p w14:paraId="64F9431C">
      <w:pPr>
        <w:pStyle w:val="3"/>
        <w:spacing w:line="360" w:lineRule="auto"/>
        <w:jc w:val="center"/>
        <w:rPr>
          <w:rFonts w:ascii="宋体" w:hAnsi="宋体"/>
          <w:b w:val="0"/>
          <w:bCs w:val="0"/>
          <w:color w:val="auto"/>
          <w:sz w:val="44"/>
          <w:szCs w:val="44"/>
          <w:highlight w:val="none"/>
        </w:rPr>
      </w:pPr>
      <w:r>
        <w:rPr>
          <w:rFonts w:hint="eastAsia" w:ascii="宋体" w:hAnsi="宋体"/>
          <w:b w:val="0"/>
          <w:bCs w:val="0"/>
          <w:color w:val="auto"/>
          <w:sz w:val="44"/>
          <w:szCs w:val="44"/>
          <w:highlight w:val="none"/>
        </w:rPr>
        <w:t>三、</w:t>
      </w:r>
      <w:bookmarkEnd w:id="332"/>
      <w:bookmarkEnd w:id="333"/>
      <w:bookmarkEnd w:id="334"/>
      <w:bookmarkEnd w:id="335"/>
      <w:bookmarkEnd w:id="336"/>
      <w:r>
        <w:rPr>
          <w:rFonts w:hint="eastAsia" w:ascii="宋体" w:hAnsi="宋体"/>
          <w:b w:val="0"/>
          <w:bCs w:val="0"/>
          <w:color w:val="auto"/>
          <w:sz w:val="44"/>
          <w:szCs w:val="44"/>
          <w:highlight w:val="none"/>
        </w:rPr>
        <w:t>资格审查部分</w:t>
      </w:r>
      <w:bookmarkEnd w:id="337"/>
      <w:bookmarkEnd w:id="355"/>
    </w:p>
    <w:p w14:paraId="252BFE54">
      <w:pPr>
        <w:spacing w:line="360" w:lineRule="auto"/>
        <w:rPr>
          <w:rFonts w:ascii="宋体" w:hAnsi="宋体"/>
          <w:color w:val="auto"/>
          <w:sz w:val="32"/>
          <w:szCs w:val="32"/>
          <w:highlight w:val="none"/>
        </w:rPr>
      </w:pPr>
    </w:p>
    <w:p w14:paraId="2204E387">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46A2DFE5">
      <w:pPr>
        <w:spacing w:line="360" w:lineRule="auto"/>
        <w:jc w:val="center"/>
        <w:rPr>
          <w:rFonts w:ascii="宋体" w:hAnsi="宋体"/>
          <w:color w:val="auto"/>
          <w:kern w:val="0"/>
          <w:sz w:val="32"/>
          <w:szCs w:val="32"/>
          <w:highlight w:val="none"/>
        </w:rPr>
      </w:pPr>
      <w:bookmarkStart w:id="356" w:name="_Toc5633"/>
      <w:bookmarkStart w:id="357" w:name="_Toc430530546"/>
      <w:bookmarkStart w:id="358" w:name="_Toc277082657"/>
      <w:bookmarkStart w:id="359" w:name="_Toc287620830"/>
      <w:bookmarkStart w:id="360" w:name="_Toc224103511"/>
      <w:bookmarkStart w:id="361" w:name="_Toc287607883"/>
      <w:r>
        <w:rPr>
          <w:rFonts w:hint="eastAsia" w:ascii="宋体" w:hAnsi="宋体"/>
          <w:color w:val="auto"/>
          <w:kern w:val="0"/>
          <w:sz w:val="32"/>
          <w:szCs w:val="32"/>
          <w:highlight w:val="none"/>
          <w:u w:val="single"/>
        </w:rPr>
        <w:t xml:space="preserve">                   （项目名称）</w:t>
      </w:r>
    </w:p>
    <w:p w14:paraId="5953718F">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1DBA179">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3262E12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7782FC9">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3873AD95">
      <w:pPr>
        <w:autoSpaceDE w:val="0"/>
        <w:autoSpaceDN w:val="0"/>
        <w:adjustRightInd w:val="0"/>
        <w:snapToGrid w:val="0"/>
        <w:spacing w:line="360" w:lineRule="auto"/>
        <w:jc w:val="left"/>
        <w:rPr>
          <w:rFonts w:ascii="宋体" w:hAnsi="宋体"/>
          <w:color w:val="auto"/>
          <w:kern w:val="0"/>
          <w:sz w:val="16"/>
          <w:szCs w:val="16"/>
          <w:highlight w:val="none"/>
        </w:rPr>
      </w:pPr>
    </w:p>
    <w:p w14:paraId="04FC71F1">
      <w:pPr>
        <w:autoSpaceDE w:val="0"/>
        <w:autoSpaceDN w:val="0"/>
        <w:adjustRightInd w:val="0"/>
        <w:snapToGrid w:val="0"/>
        <w:spacing w:line="360" w:lineRule="auto"/>
        <w:jc w:val="center"/>
        <w:rPr>
          <w:rFonts w:hint="eastAsia" w:ascii="宋体" w:hAnsi="宋体" w:eastAsia="宋体"/>
          <w:color w:val="auto"/>
          <w:kern w:val="0"/>
          <w:sz w:val="36"/>
          <w:szCs w:val="36"/>
          <w:highlight w:val="none"/>
          <w:lang w:eastAsia="zh-CN"/>
        </w:rPr>
      </w:pPr>
      <w:r>
        <w:rPr>
          <w:rFonts w:hint="eastAsia" w:ascii="宋体" w:hAnsi="宋体"/>
          <w:color w:val="auto"/>
          <w:kern w:val="0"/>
          <w:sz w:val="36"/>
          <w:szCs w:val="36"/>
          <w:highlight w:val="none"/>
        </w:rPr>
        <w:t>资格审查部分</w:t>
      </w:r>
    </w:p>
    <w:p w14:paraId="408B4DC4">
      <w:pPr>
        <w:autoSpaceDE w:val="0"/>
        <w:autoSpaceDN w:val="0"/>
        <w:adjustRightInd w:val="0"/>
        <w:snapToGrid w:val="0"/>
        <w:spacing w:line="360" w:lineRule="auto"/>
        <w:jc w:val="left"/>
        <w:rPr>
          <w:rFonts w:ascii="宋体" w:hAnsi="宋体" w:cs="MingLiU"/>
          <w:color w:val="auto"/>
          <w:kern w:val="0"/>
          <w:sz w:val="20"/>
          <w:szCs w:val="20"/>
          <w:highlight w:val="none"/>
        </w:rPr>
      </w:pPr>
    </w:p>
    <w:p w14:paraId="376EF394">
      <w:pPr>
        <w:adjustRightInd w:val="0"/>
        <w:snapToGrid w:val="0"/>
        <w:spacing w:line="264" w:lineRule="auto"/>
        <w:rPr>
          <w:rFonts w:ascii="宋体" w:hAnsi="宋体"/>
          <w:color w:val="auto"/>
          <w:szCs w:val="21"/>
          <w:highlight w:val="none"/>
        </w:rPr>
      </w:pPr>
    </w:p>
    <w:p w14:paraId="16518C98">
      <w:pPr>
        <w:autoSpaceDE w:val="0"/>
        <w:autoSpaceDN w:val="0"/>
        <w:adjustRightInd w:val="0"/>
        <w:snapToGrid w:val="0"/>
        <w:spacing w:line="360" w:lineRule="auto"/>
        <w:jc w:val="left"/>
        <w:rPr>
          <w:rFonts w:ascii="宋体" w:hAnsi="宋体" w:cs="MingLiU"/>
          <w:color w:val="auto"/>
          <w:kern w:val="0"/>
          <w:sz w:val="20"/>
          <w:szCs w:val="20"/>
          <w:highlight w:val="none"/>
        </w:rPr>
      </w:pPr>
    </w:p>
    <w:p w14:paraId="747788BD">
      <w:pPr>
        <w:autoSpaceDE w:val="0"/>
        <w:autoSpaceDN w:val="0"/>
        <w:adjustRightInd w:val="0"/>
        <w:snapToGrid w:val="0"/>
        <w:spacing w:line="360" w:lineRule="auto"/>
        <w:jc w:val="left"/>
        <w:rPr>
          <w:rFonts w:ascii="宋体" w:hAnsi="宋体" w:cs="MingLiU"/>
          <w:color w:val="auto"/>
          <w:kern w:val="0"/>
          <w:sz w:val="20"/>
          <w:szCs w:val="20"/>
          <w:highlight w:val="none"/>
        </w:rPr>
      </w:pPr>
    </w:p>
    <w:p w14:paraId="43D8F339">
      <w:pPr>
        <w:autoSpaceDE w:val="0"/>
        <w:autoSpaceDN w:val="0"/>
        <w:adjustRightInd w:val="0"/>
        <w:snapToGrid w:val="0"/>
        <w:spacing w:line="360" w:lineRule="auto"/>
        <w:jc w:val="left"/>
        <w:rPr>
          <w:rFonts w:ascii="宋体" w:hAnsi="宋体" w:cs="MingLiU"/>
          <w:color w:val="auto"/>
          <w:kern w:val="0"/>
          <w:sz w:val="20"/>
          <w:szCs w:val="20"/>
          <w:highlight w:val="none"/>
        </w:rPr>
      </w:pPr>
    </w:p>
    <w:p w14:paraId="03FA520B">
      <w:pPr>
        <w:autoSpaceDE w:val="0"/>
        <w:autoSpaceDN w:val="0"/>
        <w:adjustRightInd w:val="0"/>
        <w:snapToGrid w:val="0"/>
        <w:spacing w:line="360" w:lineRule="auto"/>
        <w:jc w:val="left"/>
        <w:rPr>
          <w:rFonts w:ascii="宋体" w:hAnsi="宋体" w:cs="MingLiU"/>
          <w:color w:val="auto"/>
          <w:kern w:val="0"/>
          <w:sz w:val="20"/>
          <w:szCs w:val="20"/>
          <w:highlight w:val="none"/>
        </w:rPr>
      </w:pPr>
    </w:p>
    <w:p w14:paraId="6053B6B7">
      <w:pPr>
        <w:autoSpaceDE w:val="0"/>
        <w:autoSpaceDN w:val="0"/>
        <w:adjustRightInd w:val="0"/>
        <w:snapToGrid w:val="0"/>
        <w:spacing w:line="360" w:lineRule="auto"/>
        <w:jc w:val="left"/>
        <w:rPr>
          <w:rFonts w:ascii="宋体" w:hAnsi="宋体" w:cs="MingLiU"/>
          <w:color w:val="auto"/>
          <w:kern w:val="0"/>
          <w:sz w:val="20"/>
          <w:szCs w:val="20"/>
          <w:highlight w:val="none"/>
        </w:rPr>
      </w:pPr>
    </w:p>
    <w:p w14:paraId="45CDD080">
      <w:pPr>
        <w:autoSpaceDE w:val="0"/>
        <w:autoSpaceDN w:val="0"/>
        <w:adjustRightInd w:val="0"/>
        <w:snapToGrid w:val="0"/>
        <w:spacing w:line="360" w:lineRule="auto"/>
        <w:jc w:val="left"/>
        <w:rPr>
          <w:rFonts w:ascii="宋体" w:hAnsi="宋体" w:cs="MingLiU"/>
          <w:color w:val="auto"/>
          <w:kern w:val="0"/>
          <w:sz w:val="20"/>
          <w:szCs w:val="20"/>
          <w:highlight w:val="none"/>
        </w:rPr>
      </w:pPr>
    </w:p>
    <w:p w14:paraId="71A61860">
      <w:pPr>
        <w:autoSpaceDE w:val="0"/>
        <w:autoSpaceDN w:val="0"/>
        <w:adjustRightInd w:val="0"/>
        <w:snapToGrid w:val="0"/>
        <w:spacing w:line="360" w:lineRule="auto"/>
        <w:jc w:val="left"/>
        <w:rPr>
          <w:rFonts w:ascii="宋体" w:hAnsi="宋体" w:cs="MingLiU"/>
          <w:color w:val="auto"/>
          <w:kern w:val="0"/>
          <w:sz w:val="20"/>
          <w:szCs w:val="20"/>
          <w:highlight w:val="none"/>
        </w:rPr>
      </w:pPr>
    </w:p>
    <w:p w14:paraId="6494DAAA">
      <w:pPr>
        <w:autoSpaceDE w:val="0"/>
        <w:autoSpaceDN w:val="0"/>
        <w:adjustRightInd w:val="0"/>
        <w:snapToGrid w:val="0"/>
        <w:spacing w:line="360" w:lineRule="auto"/>
        <w:jc w:val="left"/>
        <w:rPr>
          <w:rFonts w:ascii="宋体" w:hAnsi="宋体" w:cs="MingLiU"/>
          <w:color w:val="auto"/>
          <w:kern w:val="0"/>
          <w:sz w:val="20"/>
          <w:szCs w:val="20"/>
          <w:highlight w:val="none"/>
        </w:rPr>
      </w:pPr>
    </w:p>
    <w:p w14:paraId="4F714D9E">
      <w:pPr>
        <w:autoSpaceDE w:val="0"/>
        <w:autoSpaceDN w:val="0"/>
        <w:adjustRightInd w:val="0"/>
        <w:snapToGrid w:val="0"/>
        <w:spacing w:line="360" w:lineRule="auto"/>
        <w:jc w:val="left"/>
        <w:rPr>
          <w:rFonts w:ascii="宋体" w:hAnsi="宋体" w:cs="MingLiU"/>
          <w:color w:val="auto"/>
          <w:kern w:val="0"/>
          <w:sz w:val="20"/>
          <w:szCs w:val="20"/>
          <w:highlight w:val="none"/>
        </w:rPr>
      </w:pPr>
    </w:p>
    <w:p w14:paraId="2828A863">
      <w:pPr>
        <w:autoSpaceDE w:val="0"/>
        <w:autoSpaceDN w:val="0"/>
        <w:adjustRightInd w:val="0"/>
        <w:snapToGrid w:val="0"/>
        <w:spacing w:line="360" w:lineRule="auto"/>
        <w:jc w:val="left"/>
        <w:rPr>
          <w:rFonts w:ascii="宋体" w:hAnsi="宋体" w:cs="MingLiU"/>
          <w:color w:val="auto"/>
          <w:kern w:val="0"/>
          <w:sz w:val="20"/>
          <w:szCs w:val="20"/>
          <w:highlight w:val="none"/>
        </w:rPr>
      </w:pPr>
    </w:p>
    <w:p w14:paraId="4635E8AA">
      <w:pPr>
        <w:autoSpaceDE w:val="0"/>
        <w:autoSpaceDN w:val="0"/>
        <w:adjustRightInd w:val="0"/>
        <w:snapToGrid w:val="0"/>
        <w:spacing w:line="360" w:lineRule="auto"/>
        <w:jc w:val="left"/>
        <w:rPr>
          <w:rFonts w:ascii="宋体" w:hAnsi="宋体" w:cs="MingLiU"/>
          <w:color w:val="auto"/>
          <w:kern w:val="0"/>
          <w:sz w:val="20"/>
          <w:szCs w:val="20"/>
          <w:highlight w:val="none"/>
        </w:rPr>
      </w:pPr>
    </w:p>
    <w:p w14:paraId="7E6E1ECC">
      <w:pPr>
        <w:autoSpaceDE w:val="0"/>
        <w:autoSpaceDN w:val="0"/>
        <w:adjustRightInd w:val="0"/>
        <w:snapToGrid w:val="0"/>
        <w:spacing w:line="360" w:lineRule="auto"/>
        <w:jc w:val="left"/>
        <w:rPr>
          <w:rFonts w:ascii="宋体" w:hAnsi="宋体" w:cs="MingLiU"/>
          <w:color w:val="auto"/>
          <w:kern w:val="0"/>
          <w:sz w:val="20"/>
          <w:szCs w:val="20"/>
          <w:highlight w:val="none"/>
        </w:rPr>
      </w:pPr>
    </w:p>
    <w:p w14:paraId="7CAD6C50">
      <w:pPr>
        <w:autoSpaceDE w:val="0"/>
        <w:autoSpaceDN w:val="0"/>
        <w:adjustRightInd w:val="0"/>
        <w:snapToGrid w:val="0"/>
        <w:spacing w:line="360" w:lineRule="auto"/>
        <w:jc w:val="left"/>
        <w:rPr>
          <w:rFonts w:ascii="宋体" w:hAnsi="宋体" w:cs="MingLiU"/>
          <w:color w:val="auto"/>
          <w:kern w:val="0"/>
          <w:sz w:val="20"/>
          <w:szCs w:val="20"/>
          <w:highlight w:val="none"/>
        </w:rPr>
      </w:pPr>
    </w:p>
    <w:p w14:paraId="2EFB2CCB">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31ECD35">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0908B0CF">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577A96F2">
      <w:pPr>
        <w:autoSpaceDE w:val="0"/>
        <w:autoSpaceDN w:val="0"/>
        <w:adjustRightInd w:val="0"/>
        <w:snapToGrid w:val="0"/>
        <w:jc w:val="center"/>
        <w:rPr>
          <w:rFonts w:ascii="宋体" w:hAnsi="宋体"/>
          <w:color w:val="auto"/>
          <w:kern w:val="0"/>
          <w:sz w:val="36"/>
          <w:szCs w:val="36"/>
          <w:highlight w:val="none"/>
        </w:rPr>
      </w:pPr>
    </w:p>
    <w:p w14:paraId="73213AD0">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4FED89AD">
      <w:pPr>
        <w:spacing w:line="360" w:lineRule="auto"/>
        <w:jc w:val="center"/>
        <w:rPr>
          <w:rFonts w:ascii="宋体" w:hAnsi="宋体"/>
          <w:b/>
          <w:color w:val="auto"/>
          <w:kern w:val="0"/>
          <w:sz w:val="32"/>
          <w:szCs w:val="32"/>
          <w:highlight w:val="none"/>
        </w:rPr>
      </w:pPr>
    </w:p>
    <w:p w14:paraId="2B9B5CC5">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5EB68331">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竞标人</w:t>
      </w:r>
      <w:r>
        <w:rPr>
          <w:rFonts w:ascii="宋体" w:hAnsi="宋体"/>
          <w:color w:val="auto"/>
          <w:szCs w:val="21"/>
          <w:highlight w:val="none"/>
        </w:rPr>
        <w:t>基本情况表</w:t>
      </w:r>
    </w:p>
    <w:p w14:paraId="34D9F43D">
      <w:pPr>
        <w:spacing w:line="360" w:lineRule="auto"/>
        <w:ind w:firstLine="420" w:firstLineChars="200"/>
        <w:rPr>
          <w:rFonts w:ascii="宋体" w:hAnsi="宋体"/>
          <w:color w:val="auto"/>
          <w:szCs w:val="21"/>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25730472">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四</w:t>
      </w:r>
      <w:r>
        <w:rPr>
          <w:rFonts w:ascii="宋体" w:hAnsi="宋体"/>
          <w:color w:val="auto"/>
          <w:szCs w:val="21"/>
          <w:highlight w:val="none"/>
        </w:rPr>
        <w:t>）</w:t>
      </w:r>
      <w:r>
        <w:rPr>
          <w:rFonts w:hint="eastAsia" w:ascii="宋体" w:hAnsi="宋体"/>
          <w:color w:val="auto"/>
          <w:szCs w:val="21"/>
          <w:highlight w:val="none"/>
        </w:rPr>
        <w:t>承诺</w:t>
      </w:r>
    </w:p>
    <w:p w14:paraId="001C51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五</w:t>
      </w:r>
      <w:r>
        <w:rPr>
          <w:rFonts w:ascii="宋体" w:hAnsi="宋体"/>
          <w:color w:val="auto"/>
          <w:szCs w:val="21"/>
          <w:highlight w:val="none"/>
        </w:rPr>
        <w:t>）其他资料</w:t>
      </w:r>
    </w:p>
    <w:p w14:paraId="7657C798">
      <w:pPr>
        <w:spacing w:line="360" w:lineRule="auto"/>
        <w:jc w:val="center"/>
        <w:rPr>
          <w:rFonts w:ascii="宋体" w:hAnsi="宋体"/>
          <w:b/>
          <w:color w:val="auto"/>
          <w:kern w:val="0"/>
          <w:sz w:val="32"/>
          <w:szCs w:val="32"/>
          <w:highlight w:val="none"/>
        </w:rPr>
      </w:pPr>
    </w:p>
    <w:p w14:paraId="2869F4C6">
      <w:pPr>
        <w:spacing w:line="360" w:lineRule="auto"/>
        <w:jc w:val="center"/>
        <w:rPr>
          <w:rFonts w:ascii="宋体" w:hAnsi="宋体"/>
          <w:b/>
          <w:color w:val="auto"/>
          <w:kern w:val="0"/>
          <w:sz w:val="32"/>
          <w:szCs w:val="32"/>
          <w:highlight w:val="none"/>
        </w:rPr>
      </w:pPr>
    </w:p>
    <w:p w14:paraId="178CE6D4">
      <w:pPr>
        <w:pStyle w:val="4"/>
        <w:jc w:val="center"/>
        <w:rPr>
          <w:rFonts w:ascii="宋体" w:hAnsi="宋体"/>
          <w:snapToGrid w:val="0"/>
          <w:color w:val="auto"/>
          <w:kern w:val="0"/>
          <w:sz w:val="30"/>
          <w:szCs w:val="30"/>
          <w:highlight w:val="none"/>
        </w:rPr>
      </w:pPr>
      <w:r>
        <w:rPr>
          <w:rFonts w:ascii="宋体" w:hAnsi="宋体"/>
          <w:color w:val="auto"/>
          <w:highlight w:val="none"/>
        </w:rPr>
        <w:br w:type="page"/>
      </w:r>
      <w:bookmarkStart w:id="362" w:name="_Toc7724"/>
      <w:r>
        <w:rPr>
          <w:b w:val="0"/>
          <w:bCs w:val="0"/>
          <w:color w:val="auto"/>
          <w:sz w:val="30"/>
          <w:szCs w:val="30"/>
          <w:highlight w:val="none"/>
        </w:rPr>
        <w:t>（一）</w:t>
      </w:r>
      <w:r>
        <w:rPr>
          <w:rFonts w:hint="eastAsia"/>
          <w:b w:val="0"/>
          <w:bCs w:val="0"/>
          <w:color w:val="auto"/>
          <w:sz w:val="30"/>
          <w:szCs w:val="30"/>
          <w:highlight w:val="none"/>
        </w:rPr>
        <w:t>法定代表人身份证明或附有法定代表人身份证明的授权委托书</w:t>
      </w:r>
      <w:bookmarkEnd w:id="356"/>
      <w:bookmarkEnd w:id="362"/>
    </w:p>
    <w:p w14:paraId="59B26347">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0998DB6B">
      <w:pPr>
        <w:spacing w:line="480" w:lineRule="auto"/>
        <w:jc w:val="center"/>
        <w:rPr>
          <w:rFonts w:ascii="宋体" w:hAnsi="宋体"/>
          <w:color w:val="auto"/>
          <w:highlight w:val="none"/>
        </w:rPr>
      </w:pPr>
    </w:p>
    <w:p w14:paraId="24CADC45">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80D078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69E77F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2768492">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B58055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6B334C3">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4DA7570">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554FB391">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7FCD69DB">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05BADC00">
      <w:pPr>
        <w:autoSpaceDE w:val="0"/>
        <w:autoSpaceDN w:val="0"/>
        <w:adjustRightInd w:val="0"/>
        <w:snapToGrid w:val="0"/>
        <w:spacing w:line="360" w:lineRule="auto"/>
        <w:jc w:val="left"/>
        <w:rPr>
          <w:rFonts w:ascii="宋体" w:hAnsi="宋体"/>
          <w:color w:val="auto"/>
          <w:szCs w:val="21"/>
          <w:highlight w:val="none"/>
        </w:rPr>
      </w:pPr>
    </w:p>
    <w:p w14:paraId="2EEB01AA">
      <w:pPr>
        <w:pStyle w:val="18"/>
        <w:spacing w:after="0" w:line="360" w:lineRule="auto"/>
        <w:rPr>
          <w:rFonts w:ascii="宋体" w:hAnsi="宋体"/>
          <w:color w:val="auto"/>
          <w:szCs w:val="21"/>
          <w:highlight w:val="none"/>
        </w:rPr>
      </w:pPr>
    </w:p>
    <w:p w14:paraId="1F6F3041">
      <w:pPr>
        <w:pStyle w:val="18"/>
        <w:spacing w:after="0" w:line="360" w:lineRule="auto"/>
        <w:rPr>
          <w:rFonts w:ascii="宋体" w:hAnsi="宋体"/>
          <w:color w:val="auto"/>
          <w:szCs w:val="21"/>
          <w:highlight w:val="none"/>
        </w:rPr>
      </w:pPr>
    </w:p>
    <w:p w14:paraId="6B95C609">
      <w:pPr>
        <w:pStyle w:val="18"/>
        <w:spacing w:after="0" w:line="360" w:lineRule="auto"/>
        <w:rPr>
          <w:rFonts w:ascii="宋体" w:hAnsi="宋体"/>
          <w:color w:val="auto"/>
          <w:szCs w:val="21"/>
          <w:highlight w:val="none"/>
        </w:rPr>
      </w:pPr>
    </w:p>
    <w:p w14:paraId="54429F12">
      <w:pPr>
        <w:pStyle w:val="18"/>
        <w:spacing w:after="0" w:line="360" w:lineRule="auto"/>
        <w:rPr>
          <w:rFonts w:ascii="宋体" w:hAnsi="宋体"/>
          <w:color w:val="auto"/>
          <w:szCs w:val="21"/>
          <w:highlight w:val="none"/>
        </w:rPr>
      </w:pPr>
    </w:p>
    <w:p w14:paraId="389669AD">
      <w:pPr>
        <w:pStyle w:val="18"/>
        <w:spacing w:after="0" w:line="360" w:lineRule="auto"/>
        <w:rPr>
          <w:rFonts w:ascii="宋体" w:hAnsi="宋体"/>
          <w:color w:val="auto"/>
          <w:szCs w:val="21"/>
          <w:highlight w:val="none"/>
        </w:rPr>
      </w:pPr>
    </w:p>
    <w:p w14:paraId="38D544BB">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5856785E">
      <w:pPr>
        <w:autoSpaceDE w:val="0"/>
        <w:autoSpaceDN w:val="0"/>
        <w:adjustRightInd w:val="0"/>
        <w:snapToGrid w:val="0"/>
        <w:spacing w:line="480" w:lineRule="auto"/>
        <w:jc w:val="left"/>
        <w:rPr>
          <w:rFonts w:ascii="宋体" w:hAnsi="宋体"/>
          <w:color w:val="auto"/>
          <w:kern w:val="0"/>
          <w:sz w:val="20"/>
          <w:szCs w:val="20"/>
          <w:highlight w:val="none"/>
        </w:rPr>
      </w:pPr>
    </w:p>
    <w:p w14:paraId="5BA7323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C9F1145">
      <w:pPr>
        <w:autoSpaceDE w:val="0"/>
        <w:autoSpaceDN w:val="0"/>
        <w:adjustRightInd w:val="0"/>
        <w:snapToGrid w:val="0"/>
        <w:spacing w:line="360" w:lineRule="auto"/>
        <w:jc w:val="left"/>
        <w:rPr>
          <w:rFonts w:ascii="宋体" w:hAnsi="宋体"/>
          <w:color w:val="auto"/>
          <w:kern w:val="0"/>
          <w:highlight w:val="none"/>
        </w:rPr>
      </w:pPr>
    </w:p>
    <w:p w14:paraId="6387CA74">
      <w:pPr>
        <w:autoSpaceDE w:val="0"/>
        <w:autoSpaceDN w:val="0"/>
        <w:adjustRightInd w:val="0"/>
        <w:snapToGrid w:val="0"/>
        <w:spacing w:line="360" w:lineRule="auto"/>
        <w:jc w:val="left"/>
        <w:rPr>
          <w:rFonts w:ascii="宋体" w:hAnsi="宋体"/>
          <w:color w:val="auto"/>
          <w:kern w:val="0"/>
          <w:highlight w:val="none"/>
        </w:rPr>
      </w:pPr>
    </w:p>
    <w:p w14:paraId="3978B927">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357"/>
      <w:bookmarkEnd w:id="358"/>
      <w:bookmarkEnd w:id="359"/>
      <w:bookmarkEnd w:id="360"/>
      <w:bookmarkEnd w:id="361"/>
      <w:r>
        <w:rPr>
          <w:rFonts w:hint="eastAsia" w:ascii="宋体" w:hAnsi="宋体"/>
          <w:color w:val="auto"/>
          <w:kern w:val="0"/>
          <w:szCs w:val="21"/>
          <w:highlight w:val="none"/>
        </w:rPr>
        <w:t>。</w:t>
      </w:r>
    </w:p>
    <w:p w14:paraId="2B23B81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52175C4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4C50FFD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5F4B359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70C9F95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526EAB9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B02307F">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52BF548">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0E0F506">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156FBF90">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056BC42">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0930EB16">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2E36A332">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666FE3B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C963A5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B024AD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867485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2F9868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B180659">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3DDBB06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8848F2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643B6C07">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7EDFD651">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38C75994">
      <w:pPr>
        <w:tabs>
          <w:tab w:val="left" w:pos="5760"/>
        </w:tabs>
        <w:autoSpaceDE w:val="0"/>
        <w:autoSpaceDN w:val="0"/>
        <w:adjustRightInd w:val="0"/>
        <w:spacing w:line="360" w:lineRule="auto"/>
        <w:ind w:firstLine="420" w:firstLineChars="200"/>
        <w:rPr>
          <w:rFonts w:ascii="宋体" w:hAnsi="宋体" w:cs="Times New Roman"/>
          <w:color w:val="auto"/>
          <w:kern w:val="0"/>
          <w:szCs w:val="21"/>
          <w:highlight w:val="none"/>
        </w:rPr>
      </w:pPr>
      <w:r>
        <w:rPr>
          <w:rFonts w:hint="eastAsia" w:ascii="宋体" w:hAnsi="宋体" w:cs="Times New Roman"/>
          <w:color w:val="auto"/>
          <w:kern w:val="0"/>
          <w:szCs w:val="21"/>
          <w:highlight w:val="none"/>
        </w:rPr>
        <w:t>3.授权委托书</w:t>
      </w:r>
      <w:r>
        <w:rPr>
          <w:rFonts w:ascii="宋体" w:hAnsi="宋体" w:cs="Times New Roman"/>
          <w:color w:val="auto"/>
          <w:kern w:val="0"/>
          <w:szCs w:val="21"/>
          <w:highlight w:val="none"/>
        </w:rPr>
        <w:t>需按上述格式填写完整，不可缺少内容。在此基础上增加内容的不影响其有效性。</w:t>
      </w:r>
      <w:bookmarkStart w:id="363" w:name="_Toc2972"/>
    </w:p>
    <w:bookmarkEnd w:id="363"/>
    <w:p w14:paraId="27AE218A">
      <w:pPr>
        <w:pStyle w:val="4"/>
        <w:spacing w:before="0" w:after="0" w:line="240" w:lineRule="auto"/>
        <w:jc w:val="center"/>
        <w:rPr>
          <w:rFonts w:ascii="宋体" w:hAnsi="宋体"/>
          <w:color w:val="auto"/>
          <w:highlight w:val="none"/>
        </w:rPr>
      </w:pPr>
      <w:bookmarkStart w:id="364" w:name="_Toc277082658"/>
      <w:bookmarkStart w:id="365" w:name="_Toc287620831"/>
      <w:bookmarkStart w:id="366" w:name="_Toc430530547"/>
      <w:bookmarkStart w:id="367" w:name="_Toc224103512"/>
      <w:bookmarkStart w:id="368" w:name="_Toc287607884"/>
      <w:bookmarkStart w:id="369" w:name="_Toc30898"/>
      <w:r>
        <w:rPr>
          <w:color w:val="auto"/>
          <w:highlight w:val="none"/>
        </w:rPr>
        <w:t>（</w:t>
      </w:r>
      <w:r>
        <w:rPr>
          <w:rFonts w:hint="eastAsia"/>
          <w:color w:val="auto"/>
          <w:highlight w:val="none"/>
          <w:lang w:val="en-US" w:eastAsia="zh-CN"/>
        </w:rPr>
        <w:t>二</w:t>
      </w:r>
      <w:r>
        <w:rPr>
          <w:color w:val="auto"/>
          <w:highlight w:val="none"/>
        </w:rPr>
        <w:t>）</w:t>
      </w:r>
      <w:bookmarkEnd w:id="364"/>
      <w:bookmarkEnd w:id="365"/>
      <w:bookmarkEnd w:id="366"/>
      <w:bookmarkEnd w:id="367"/>
      <w:bookmarkEnd w:id="368"/>
      <w:bookmarkStart w:id="370" w:name="_Toc287607887"/>
      <w:bookmarkStart w:id="371" w:name="_Toc277082659"/>
      <w:r>
        <w:rPr>
          <w:rFonts w:hint="eastAsia" w:ascii="宋体" w:hAnsi="宋体"/>
          <w:b w:val="0"/>
          <w:bCs w:val="0"/>
          <w:color w:val="auto"/>
          <w:highlight w:val="none"/>
        </w:rPr>
        <w:t>竞标人基本情况表</w:t>
      </w:r>
      <w:bookmarkEnd w:id="369"/>
    </w:p>
    <w:tbl>
      <w:tblPr>
        <w:tblStyle w:val="48"/>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11590B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045E1D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竞标人名称</w:t>
            </w:r>
          </w:p>
        </w:tc>
        <w:tc>
          <w:tcPr>
            <w:tcW w:w="7607" w:type="dxa"/>
            <w:gridSpan w:val="9"/>
            <w:vAlign w:val="center"/>
          </w:tcPr>
          <w:p w14:paraId="340EBB30">
            <w:pPr>
              <w:autoSpaceDE w:val="0"/>
              <w:autoSpaceDN w:val="0"/>
              <w:adjustRightInd w:val="0"/>
              <w:snapToGrid w:val="0"/>
              <w:jc w:val="center"/>
              <w:rPr>
                <w:rFonts w:ascii="宋体" w:hAnsi="宋体"/>
                <w:color w:val="auto"/>
                <w:kern w:val="0"/>
                <w:szCs w:val="21"/>
                <w:highlight w:val="none"/>
              </w:rPr>
            </w:pPr>
          </w:p>
        </w:tc>
      </w:tr>
      <w:tr w14:paraId="411681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DE41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5C5468CC">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03813F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39881106">
            <w:pPr>
              <w:autoSpaceDE w:val="0"/>
              <w:autoSpaceDN w:val="0"/>
              <w:adjustRightInd w:val="0"/>
              <w:snapToGrid w:val="0"/>
              <w:jc w:val="center"/>
              <w:rPr>
                <w:rFonts w:ascii="宋体" w:hAnsi="宋体"/>
                <w:color w:val="auto"/>
                <w:kern w:val="0"/>
                <w:szCs w:val="21"/>
                <w:highlight w:val="none"/>
              </w:rPr>
            </w:pPr>
          </w:p>
        </w:tc>
      </w:tr>
      <w:tr w14:paraId="0C00B4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5030BEC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409BFEB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57A85347">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1E70B3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5F114782">
            <w:pPr>
              <w:autoSpaceDE w:val="0"/>
              <w:autoSpaceDN w:val="0"/>
              <w:adjustRightInd w:val="0"/>
              <w:snapToGrid w:val="0"/>
              <w:jc w:val="center"/>
              <w:rPr>
                <w:rFonts w:ascii="宋体" w:hAnsi="宋体"/>
                <w:color w:val="auto"/>
                <w:kern w:val="0"/>
                <w:szCs w:val="21"/>
                <w:highlight w:val="none"/>
              </w:rPr>
            </w:pPr>
          </w:p>
        </w:tc>
      </w:tr>
      <w:tr w14:paraId="21BA75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9F23FB8">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412214A5">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01FC51BA">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44BD8B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1BDF7E2F">
            <w:pPr>
              <w:autoSpaceDE w:val="0"/>
              <w:autoSpaceDN w:val="0"/>
              <w:adjustRightInd w:val="0"/>
              <w:snapToGrid w:val="0"/>
              <w:jc w:val="center"/>
              <w:rPr>
                <w:rFonts w:ascii="宋体" w:hAnsi="宋体"/>
                <w:color w:val="auto"/>
                <w:kern w:val="0"/>
                <w:szCs w:val="21"/>
                <w:highlight w:val="none"/>
              </w:rPr>
            </w:pPr>
          </w:p>
        </w:tc>
      </w:tr>
      <w:tr w14:paraId="0917BF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E350DF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2C759876">
            <w:pPr>
              <w:autoSpaceDE w:val="0"/>
              <w:autoSpaceDN w:val="0"/>
              <w:adjustRightInd w:val="0"/>
              <w:snapToGrid w:val="0"/>
              <w:jc w:val="center"/>
              <w:rPr>
                <w:rFonts w:ascii="宋体" w:hAnsi="宋体"/>
                <w:color w:val="auto"/>
                <w:kern w:val="0"/>
                <w:szCs w:val="21"/>
                <w:highlight w:val="none"/>
              </w:rPr>
            </w:pPr>
          </w:p>
        </w:tc>
      </w:tr>
      <w:tr w14:paraId="37F1B2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155536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68A9205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34B8B55D">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44C718B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55EDF4F2">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59E96F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6EEB10A">
            <w:pPr>
              <w:autoSpaceDE w:val="0"/>
              <w:autoSpaceDN w:val="0"/>
              <w:adjustRightInd w:val="0"/>
              <w:snapToGrid w:val="0"/>
              <w:jc w:val="center"/>
              <w:rPr>
                <w:rFonts w:ascii="宋体" w:hAnsi="宋体"/>
                <w:color w:val="auto"/>
                <w:kern w:val="0"/>
                <w:szCs w:val="21"/>
                <w:highlight w:val="none"/>
              </w:rPr>
            </w:pPr>
          </w:p>
        </w:tc>
      </w:tr>
      <w:tr w14:paraId="7DC761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7FDC3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5B645AA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3596ADF8">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031D95D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12064504">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2022FA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71094798">
            <w:pPr>
              <w:autoSpaceDE w:val="0"/>
              <w:autoSpaceDN w:val="0"/>
              <w:adjustRightInd w:val="0"/>
              <w:snapToGrid w:val="0"/>
              <w:jc w:val="center"/>
              <w:rPr>
                <w:rFonts w:ascii="宋体" w:hAnsi="宋体"/>
                <w:color w:val="auto"/>
                <w:kern w:val="0"/>
                <w:szCs w:val="21"/>
                <w:highlight w:val="none"/>
              </w:rPr>
            </w:pPr>
          </w:p>
        </w:tc>
      </w:tr>
      <w:tr w14:paraId="6B520B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C0B5A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34CA6B21">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310F34E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66863E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9A8452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299DB965">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43D0BC6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12DEBEB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26DE7A10">
            <w:pPr>
              <w:autoSpaceDE w:val="0"/>
              <w:autoSpaceDN w:val="0"/>
              <w:adjustRightInd w:val="0"/>
              <w:snapToGrid w:val="0"/>
              <w:jc w:val="center"/>
              <w:rPr>
                <w:rFonts w:ascii="宋体" w:hAnsi="宋体"/>
                <w:color w:val="auto"/>
                <w:kern w:val="0"/>
                <w:szCs w:val="21"/>
                <w:highlight w:val="none"/>
              </w:rPr>
            </w:pPr>
          </w:p>
        </w:tc>
      </w:tr>
      <w:tr w14:paraId="103E02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E342AD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192E504A">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4F0D0BB4">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46622FC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6CBE1FE3">
            <w:pPr>
              <w:autoSpaceDE w:val="0"/>
              <w:autoSpaceDN w:val="0"/>
              <w:adjustRightInd w:val="0"/>
              <w:snapToGrid w:val="0"/>
              <w:jc w:val="center"/>
              <w:rPr>
                <w:rFonts w:ascii="宋体" w:hAnsi="宋体"/>
                <w:color w:val="auto"/>
                <w:kern w:val="0"/>
                <w:szCs w:val="21"/>
                <w:highlight w:val="none"/>
              </w:rPr>
            </w:pPr>
          </w:p>
        </w:tc>
      </w:tr>
      <w:tr w14:paraId="625B4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4EB186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62078832">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07D466BB">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32CE970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5E3BC322">
            <w:pPr>
              <w:autoSpaceDE w:val="0"/>
              <w:autoSpaceDN w:val="0"/>
              <w:adjustRightInd w:val="0"/>
              <w:snapToGrid w:val="0"/>
              <w:jc w:val="center"/>
              <w:rPr>
                <w:rFonts w:ascii="宋体" w:hAnsi="宋体"/>
                <w:color w:val="auto"/>
                <w:kern w:val="0"/>
                <w:szCs w:val="21"/>
                <w:highlight w:val="none"/>
              </w:rPr>
            </w:pPr>
          </w:p>
        </w:tc>
      </w:tr>
      <w:tr w14:paraId="413BBE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E2A97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41969D7C">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5FEFCB52">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2EF0A8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2DA1FE74">
            <w:pPr>
              <w:autoSpaceDE w:val="0"/>
              <w:autoSpaceDN w:val="0"/>
              <w:adjustRightInd w:val="0"/>
              <w:snapToGrid w:val="0"/>
              <w:jc w:val="center"/>
              <w:rPr>
                <w:rFonts w:ascii="宋体" w:hAnsi="宋体"/>
                <w:color w:val="auto"/>
                <w:kern w:val="0"/>
                <w:szCs w:val="21"/>
                <w:highlight w:val="none"/>
              </w:rPr>
            </w:pPr>
          </w:p>
        </w:tc>
      </w:tr>
      <w:tr w14:paraId="1341A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8211D8E">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40A7452F">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2792736E">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117D5208">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6F051745">
            <w:pPr>
              <w:autoSpaceDE w:val="0"/>
              <w:autoSpaceDN w:val="0"/>
              <w:adjustRightInd w:val="0"/>
              <w:snapToGrid w:val="0"/>
              <w:jc w:val="center"/>
              <w:rPr>
                <w:rFonts w:ascii="宋体" w:hAnsi="宋体"/>
                <w:color w:val="auto"/>
                <w:kern w:val="0"/>
                <w:szCs w:val="21"/>
                <w:highlight w:val="none"/>
              </w:rPr>
            </w:pPr>
          </w:p>
        </w:tc>
      </w:tr>
      <w:tr w14:paraId="23B39F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3D6CD7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5C00465F">
            <w:pPr>
              <w:autoSpaceDE w:val="0"/>
              <w:autoSpaceDN w:val="0"/>
              <w:adjustRightInd w:val="0"/>
              <w:snapToGrid w:val="0"/>
              <w:jc w:val="center"/>
              <w:rPr>
                <w:rFonts w:ascii="宋体" w:hAnsi="宋体"/>
                <w:color w:val="auto"/>
                <w:kern w:val="0"/>
                <w:szCs w:val="21"/>
                <w:highlight w:val="none"/>
              </w:rPr>
            </w:pPr>
          </w:p>
        </w:tc>
      </w:tr>
      <w:tr w14:paraId="59D5A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884EC4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70F82D74">
            <w:pPr>
              <w:autoSpaceDE w:val="0"/>
              <w:autoSpaceDN w:val="0"/>
              <w:adjustRightInd w:val="0"/>
              <w:snapToGrid w:val="0"/>
              <w:jc w:val="center"/>
              <w:rPr>
                <w:rFonts w:ascii="宋体" w:hAnsi="宋体"/>
                <w:color w:val="auto"/>
                <w:kern w:val="0"/>
                <w:szCs w:val="21"/>
                <w:highlight w:val="none"/>
              </w:rPr>
            </w:pPr>
          </w:p>
        </w:tc>
      </w:tr>
    </w:tbl>
    <w:p w14:paraId="780D4724">
      <w:pPr>
        <w:spacing w:line="360" w:lineRule="auto"/>
        <w:jc w:val="center"/>
        <w:rPr>
          <w:rFonts w:ascii="宋体" w:hAnsi="宋体"/>
          <w:color w:val="auto"/>
          <w:szCs w:val="21"/>
          <w:highlight w:val="none"/>
        </w:rPr>
      </w:pPr>
    </w:p>
    <w:p w14:paraId="3E57C973">
      <w:pPr>
        <w:rPr>
          <w:rFonts w:ascii="宋体" w:hAnsi="宋体"/>
          <w:color w:val="auto"/>
          <w:highlight w:val="none"/>
        </w:rPr>
      </w:pPr>
      <w:r>
        <w:rPr>
          <w:rFonts w:ascii="宋体" w:hAnsi="宋体"/>
          <w:color w:val="auto"/>
          <w:szCs w:val="21"/>
          <w:highlight w:val="none"/>
        </w:rPr>
        <w:br w:type="page"/>
      </w:r>
      <w:bookmarkEnd w:id="370"/>
      <w:bookmarkEnd w:id="371"/>
    </w:p>
    <w:p w14:paraId="7F2F4B89">
      <w:pPr>
        <w:pStyle w:val="4"/>
        <w:spacing w:before="0" w:after="0" w:line="240" w:lineRule="auto"/>
        <w:jc w:val="center"/>
        <w:rPr>
          <w:rFonts w:ascii="宋体" w:hAnsi="宋体"/>
          <w:b w:val="0"/>
          <w:bCs w:val="0"/>
          <w:color w:val="auto"/>
          <w:highlight w:val="none"/>
        </w:rPr>
      </w:pPr>
      <w:bookmarkStart w:id="372" w:name="_Toc534185840"/>
      <w:bookmarkStart w:id="373" w:name="_Toc31370"/>
      <w:bookmarkStart w:id="374" w:name="_Toc1142"/>
      <w:bookmarkStart w:id="375" w:name="_Toc509218863"/>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）项目管理机构</w:t>
      </w:r>
      <w:bookmarkEnd w:id="372"/>
      <w:bookmarkEnd w:id="373"/>
      <w:bookmarkEnd w:id="374"/>
      <w:bookmarkEnd w:id="375"/>
    </w:p>
    <w:p w14:paraId="4DB198D3">
      <w:pPr>
        <w:spacing w:line="360" w:lineRule="auto"/>
        <w:rPr>
          <w:rFonts w:ascii="宋体" w:hAnsi="宋体"/>
          <w:color w:val="auto"/>
          <w:highlight w:val="none"/>
        </w:rPr>
      </w:pPr>
    </w:p>
    <w:p w14:paraId="175790EA">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8"/>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97B59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BEF244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6609246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3D68AEA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258257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4A4C25B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170A7C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7A8BD752">
            <w:pPr>
              <w:autoSpaceDE w:val="0"/>
              <w:autoSpaceDN w:val="0"/>
              <w:adjustRightInd w:val="0"/>
              <w:snapToGrid w:val="0"/>
              <w:jc w:val="left"/>
              <w:rPr>
                <w:rFonts w:ascii="宋体" w:hAnsi="宋体"/>
                <w:color w:val="auto"/>
                <w:kern w:val="0"/>
                <w:szCs w:val="21"/>
                <w:highlight w:val="none"/>
              </w:rPr>
            </w:pPr>
          </w:p>
        </w:tc>
        <w:tc>
          <w:tcPr>
            <w:tcW w:w="734" w:type="dxa"/>
            <w:vMerge w:val="continue"/>
          </w:tcPr>
          <w:p w14:paraId="12143181">
            <w:pPr>
              <w:autoSpaceDE w:val="0"/>
              <w:autoSpaceDN w:val="0"/>
              <w:adjustRightInd w:val="0"/>
              <w:snapToGrid w:val="0"/>
              <w:jc w:val="left"/>
              <w:rPr>
                <w:rFonts w:ascii="宋体" w:hAnsi="宋体"/>
                <w:color w:val="auto"/>
                <w:kern w:val="0"/>
                <w:szCs w:val="21"/>
                <w:highlight w:val="none"/>
              </w:rPr>
            </w:pPr>
          </w:p>
        </w:tc>
        <w:tc>
          <w:tcPr>
            <w:tcW w:w="776" w:type="dxa"/>
            <w:vMerge w:val="continue"/>
          </w:tcPr>
          <w:p w14:paraId="11A01791">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4C530AC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272F38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68EC140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7F852D3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6138157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3C024909">
            <w:pPr>
              <w:autoSpaceDE w:val="0"/>
              <w:autoSpaceDN w:val="0"/>
              <w:adjustRightInd w:val="0"/>
              <w:snapToGrid w:val="0"/>
              <w:jc w:val="left"/>
              <w:rPr>
                <w:rFonts w:ascii="宋体" w:hAnsi="宋体"/>
                <w:color w:val="auto"/>
                <w:kern w:val="0"/>
                <w:szCs w:val="21"/>
                <w:highlight w:val="none"/>
              </w:rPr>
            </w:pPr>
          </w:p>
        </w:tc>
      </w:tr>
      <w:tr w14:paraId="02388C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71B1A9F4">
            <w:pPr>
              <w:autoSpaceDE w:val="0"/>
              <w:autoSpaceDN w:val="0"/>
              <w:adjustRightInd w:val="0"/>
              <w:snapToGrid w:val="0"/>
              <w:jc w:val="center"/>
              <w:rPr>
                <w:rFonts w:ascii="宋体" w:hAnsi="宋体"/>
                <w:color w:val="auto"/>
                <w:kern w:val="0"/>
                <w:szCs w:val="21"/>
                <w:highlight w:val="none"/>
              </w:rPr>
            </w:pPr>
          </w:p>
        </w:tc>
        <w:tc>
          <w:tcPr>
            <w:tcW w:w="734" w:type="dxa"/>
          </w:tcPr>
          <w:p w14:paraId="303C9A9E">
            <w:pPr>
              <w:autoSpaceDE w:val="0"/>
              <w:autoSpaceDN w:val="0"/>
              <w:adjustRightInd w:val="0"/>
              <w:snapToGrid w:val="0"/>
              <w:jc w:val="left"/>
              <w:rPr>
                <w:rFonts w:ascii="宋体" w:hAnsi="宋体"/>
                <w:color w:val="auto"/>
                <w:kern w:val="0"/>
                <w:szCs w:val="21"/>
                <w:highlight w:val="none"/>
              </w:rPr>
            </w:pPr>
          </w:p>
        </w:tc>
        <w:tc>
          <w:tcPr>
            <w:tcW w:w="776" w:type="dxa"/>
          </w:tcPr>
          <w:p w14:paraId="53F6BA02">
            <w:pPr>
              <w:autoSpaceDE w:val="0"/>
              <w:autoSpaceDN w:val="0"/>
              <w:adjustRightInd w:val="0"/>
              <w:snapToGrid w:val="0"/>
              <w:jc w:val="left"/>
              <w:rPr>
                <w:rFonts w:ascii="宋体" w:hAnsi="宋体"/>
                <w:color w:val="auto"/>
                <w:kern w:val="0"/>
                <w:szCs w:val="21"/>
                <w:highlight w:val="none"/>
              </w:rPr>
            </w:pPr>
          </w:p>
        </w:tc>
        <w:tc>
          <w:tcPr>
            <w:tcW w:w="1167" w:type="dxa"/>
          </w:tcPr>
          <w:p w14:paraId="26523532">
            <w:pPr>
              <w:autoSpaceDE w:val="0"/>
              <w:autoSpaceDN w:val="0"/>
              <w:adjustRightInd w:val="0"/>
              <w:snapToGrid w:val="0"/>
              <w:jc w:val="left"/>
              <w:rPr>
                <w:rFonts w:ascii="宋体" w:hAnsi="宋体"/>
                <w:color w:val="auto"/>
                <w:kern w:val="0"/>
                <w:szCs w:val="21"/>
                <w:highlight w:val="none"/>
              </w:rPr>
            </w:pPr>
          </w:p>
        </w:tc>
        <w:tc>
          <w:tcPr>
            <w:tcW w:w="776" w:type="dxa"/>
          </w:tcPr>
          <w:p w14:paraId="2B52FF1A">
            <w:pPr>
              <w:autoSpaceDE w:val="0"/>
              <w:autoSpaceDN w:val="0"/>
              <w:adjustRightInd w:val="0"/>
              <w:snapToGrid w:val="0"/>
              <w:jc w:val="left"/>
              <w:rPr>
                <w:rFonts w:ascii="宋体" w:hAnsi="宋体"/>
                <w:color w:val="auto"/>
                <w:kern w:val="0"/>
                <w:szCs w:val="21"/>
                <w:highlight w:val="none"/>
              </w:rPr>
            </w:pPr>
          </w:p>
        </w:tc>
        <w:tc>
          <w:tcPr>
            <w:tcW w:w="778" w:type="dxa"/>
          </w:tcPr>
          <w:p w14:paraId="15FE53BD">
            <w:pPr>
              <w:autoSpaceDE w:val="0"/>
              <w:autoSpaceDN w:val="0"/>
              <w:adjustRightInd w:val="0"/>
              <w:snapToGrid w:val="0"/>
              <w:jc w:val="left"/>
              <w:rPr>
                <w:rFonts w:ascii="宋体" w:hAnsi="宋体"/>
                <w:color w:val="auto"/>
                <w:kern w:val="0"/>
                <w:szCs w:val="21"/>
                <w:highlight w:val="none"/>
              </w:rPr>
            </w:pPr>
          </w:p>
        </w:tc>
        <w:tc>
          <w:tcPr>
            <w:tcW w:w="776" w:type="dxa"/>
          </w:tcPr>
          <w:p w14:paraId="5C3632A9">
            <w:pPr>
              <w:autoSpaceDE w:val="0"/>
              <w:autoSpaceDN w:val="0"/>
              <w:adjustRightInd w:val="0"/>
              <w:snapToGrid w:val="0"/>
              <w:jc w:val="left"/>
              <w:rPr>
                <w:rFonts w:ascii="宋体" w:hAnsi="宋体"/>
                <w:color w:val="auto"/>
                <w:kern w:val="0"/>
                <w:szCs w:val="21"/>
                <w:highlight w:val="none"/>
              </w:rPr>
            </w:pPr>
          </w:p>
        </w:tc>
        <w:tc>
          <w:tcPr>
            <w:tcW w:w="2723" w:type="dxa"/>
          </w:tcPr>
          <w:p w14:paraId="6F952D9C">
            <w:pPr>
              <w:autoSpaceDE w:val="0"/>
              <w:autoSpaceDN w:val="0"/>
              <w:adjustRightInd w:val="0"/>
              <w:snapToGrid w:val="0"/>
              <w:jc w:val="left"/>
              <w:rPr>
                <w:rFonts w:ascii="宋体" w:hAnsi="宋体"/>
                <w:color w:val="auto"/>
                <w:kern w:val="0"/>
                <w:szCs w:val="21"/>
                <w:highlight w:val="none"/>
              </w:rPr>
            </w:pPr>
          </w:p>
        </w:tc>
        <w:tc>
          <w:tcPr>
            <w:tcW w:w="896" w:type="dxa"/>
          </w:tcPr>
          <w:p w14:paraId="6BA19F94">
            <w:pPr>
              <w:autoSpaceDE w:val="0"/>
              <w:autoSpaceDN w:val="0"/>
              <w:adjustRightInd w:val="0"/>
              <w:snapToGrid w:val="0"/>
              <w:jc w:val="left"/>
              <w:rPr>
                <w:rFonts w:ascii="宋体" w:hAnsi="宋体"/>
                <w:color w:val="auto"/>
                <w:kern w:val="0"/>
                <w:szCs w:val="21"/>
                <w:highlight w:val="none"/>
              </w:rPr>
            </w:pPr>
          </w:p>
        </w:tc>
      </w:tr>
      <w:tr w14:paraId="374B9B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79713AA0">
            <w:pPr>
              <w:autoSpaceDE w:val="0"/>
              <w:autoSpaceDN w:val="0"/>
              <w:adjustRightInd w:val="0"/>
              <w:snapToGrid w:val="0"/>
              <w:jc w:val="center"/>
              <w:rPr>
                <w:rFonts w:ascii="宋体" w:hAnsi="宋体"/>
                <w:color w:val="auto"/>
                <w:kern w:val="0"/>
                <w:szCs w:val="21"/>
                <w:highlight w:val="none"/>
              </w:rPr>
            </w:pPr>
          </w:p>
        </w:tc>
        <w:tc>
          <w:tcPr>
            <w:tcW w:w="734" w:type="dxa"/>
          </w:tcPr>
          <w:p w14:paraId="670D9938">
            <w:pPr>
              <w:autoSpaceDE w:val="0"/>
              <w:autoSpaceDN w:val="0"/>
              <w:adjustRightInd w:val="0"/>
              <w:snapToGrid w:val="0"/>
              <w:jc w:val="left"/>
              <w:rPr>
                <w:rFonts w:ascii="宋体" w:hAnsi="宋体"/>
                <w:color w:val="auto"/>
                <w:kern w:val="0"/>
                <w:szCs w:val="21"/>
                <w:highlight w:val="none"/>
              </w:rPr>
            </w:pPr>
          </w:p>
        </w:tc>
        <w:tc>
          <w:tcPr>
            <w:tcW w:w="776" w:type="dxa"/>
          </w:tcPr>
          <w:p w14:paraId="4D23FB0C">
            <w:pPr>
              <w:autoSpaceDE w:val="0"/>
              <w:autoSpaceDN w:val="0"/>
              <w:adjustRightInd w:val="0"/>
              <w:snapToGrid w:val="0"/>
              <w:jc w:val="left"/>
              <w:rPr>
                <w:rFonts w:ascii="宋体" w:hAnsi="宋体"/>
                <w:color w:val="auto"/>
                <w:kern w:val="0"/>
                <w:szCs w:val="21"/>
                <w:highlight w:val="none"/>
              </w:rPr>
            </w:pPr>
          </w:p>
        </w:tc>
        <w:tc>
          <w:tcPr>
            <w:tcW w:w="1167" w:type="dxa"/>
          </w:tcPr>
          <w:p w14:paraId="2F017B80">
            <w:pPr>
              <w:autoSpaceDE w:val="0"/>
              <w:autoSpaceDN w:val="0"/>
              <w:adjustRightInd w:val="0"/>
              <w:snapToGrid w:val="0"/>
              <w:jc w:val="left"/>
              <w:rPr>
                <w:rFonts w:ascii="宋体" w:hAnsi="宋体"/>
                <w:color w:val="auto"/>
                <w:kern w:val="0"/>
                <w:szCs w:val="21"/>
                <w:highlight w:val="none"/>
              </w:rPr>
            </w:pPr>
          </w:p>
        </w:tc>
        <w:tc>
          <w:tcPr>
            <w:tcW w:w="776" w:type="dxa"/>
          </w:tcPr>
          <w:p w14:paraId="6C7D4D08">
            <w:pPr>
              <w:autoSpaceDE w:val="0"/>
              <w:autoSpaceDN w:val="0"/>
              <w:adjustRightInd w:val="0"/>
              <w:snapToGrid w:val="0"/>
              <w:jc w:val="left"/>
              <w:rPr>
                <w:rFonts w:ascii="宋体" w:hAnsi="宋体"/>
                <w:color w:val="auto"/>
                <w:kern w:val="0"/>
                <w:szCs w:val="21"/>
                <w:highlight w:val="none"/>
              </w:rPr>
            </w:pPr>
          </w:p>
        </w:tc>
        <w:tc>
          <w:tcPr>
            <w:tcW w:w="778" w:type="dxa"/>
          </w:tcPr>
          <w:p w14:paraId="5E4F32C1">
            <w:pPr>
              <w:autoSpaceDE w:val="0"/>
              <w:autoSpaceDN w:val="0"/>
              <w:adjustRightInd w:val="0"/>
              <w:snapToGrid w:val="0"/>
              <w:jc w:val="left"/>
              <w:rPr>
                <w:rFonts w:ascii="宋体" w:hAnsi="宋体"/>
                <w:color w:val="auto"/>
                <w:kern w:val="0"/>
                <w:szCs w:val="21"/>
                <w:highlight w:val="none"/>
              </w:rPr>
            </w:pPr>
          </w:p>
        </w:tc>
        <w:tc>
          <w:tcPr>
            <w:tcW w:w="776" w:type="dxa"/>
          </w:tcPr>
          <w:p w14:paraId="4CC99929">
            <w:pPr>
              <w:autoSpaceDE w:val="0"/>
              <w:autoSpaceDN w:val="0"/>
              <w:adjustRightInd w:val="0"/>
              <w:snapToGrid w:val="0"/>
              <w:jc w:val="left"/>
              <w:rPr>
                <w:rFonts w:ascii="宋体" w:hAnsi="宋体"/>
                <w:color w:val="auto"/>
                <w:kern w:val="0"/>
                <w:szCs w:val="21"/>
                <w:highlight w:val="none"/>
              </w:rPr>
            </w:pPr>
          </w:p>
        </w:tc>
        <w:tc>
          <w:tcPr>
            <w:tcW w:w="2723" w:type="dxa"/>
          </w:tcPr>
          <w:p w14:paraId="57369A51">
            <w:pPr>
              <w:autoSpaceDE w:val="0"/>
              <w:autoSpaceDN w:val="0"/>
              <w:adjustRightInd w:val="0"/>
              <w:snapToGrid w:val="0"/>
              <w:jc w:val="left"/>
              <w:rPr>
                <w:rFonts w:ascii="宋体" w:hAnsi="宋体"/>
                <w:color w:val="auto"/>
                <w:kern w:val="0"/>
                <w:szCs w:val="21"/>
                <w:highlight w:val="none"/>
              </w:rPr>
            </w:pPr>
          </w:p>
        </w:tc>
        <w:tc>
          <w:tcPr>
            <w:tcW w:w="896" w:type="dxa"/>
          </w:tcPr>
          <w:p w14:paraId="3FAC6A53">
            <w:pPr>
              <w:autoSpaceDE w:val="0"/>
              <w:autoSpaceDN w:val="0"/>
              <w:adjustRightInd w:val="0"/>
              <w:snapToGrid w:val="0"/>
              <w:jc w:val="left"/>
              <w:rPr>
                <w:rFonts w:ascii="宋体" w:hAnsi="宋体"/>
                <w:color w:val="auto"/>
                <w:kern w:val="0"/>
                <w:szCs w:val="21"/>
                <w:highlight w:val="none"/>
              </w:rPr>
            </w:pPr>
          </w:p>
        </w:tc>
      </w:tr>
      <w:tr w14:paraId="665D73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D529ABE">
            <w:pPr>
              <w:autoSpaceDE w:val="0"/>
              <w:autoSpaceDN w:val="0"/>
              <w:adjustRightInd w:val="0"/>
              <w:snapToGrid w:val="0"/>
              <w:jc w:val="left"/>
              <w:rPr>
                <w:rFonts w:ascii="宋体" w:hAnsi="宋体"/>
                <w:color w:val="auto"/>
                <w:kern w:val="0"/>
                <w:szCs w:val="21"/>
                <w:highlight w:val="none"/>
              </w:rPr>
            </w:pPr>
          </w:p>
        </w:tc>
        <w:tc>
          <w:tcPr>
            <w:tcW w:w="734" w:type="dxa"/>
          </w:tcPr>
          <w:p w14:paraId="6410192E">
            <w:pPr>
              <w:autoSpaceDE w:val="0"/>
              <w:autoSpaceDN w:val="0"/>
              <w:adjustRightInd w:val="0"/>
              <w:snapToGrid w:val="0"/>
              <w:jc w:val="left"/>
              <w:rPr>
                <w:rFonts w:ascii="宋体" w:hAnsi="宋体"/>
                <w:color w:val="auto"/>
                <w:kern w:val="0"/>
                <w:szCs w:val="21"/>
                <w:highlight w:val="none"/>
              </w:rPr>
            </w:pPr>
          </w:p>
        </w:tc>
        <w:tc>
          <w:tcPr>
            <w:tcW w:w="776" w:type="dxa"/>
          </w:tcPr>
          <w:p w14:paraId="6CEA6481">
            <w:pPr>
              <w:autoSpaceDE w:val="0"/>
              <w:autoSpaceDN w:val="0"/>
              <w:adjustRightInd w:val="0"/>
              <w:snapToGrid w:val="0"/>
              <w:jc w:val="left"/>
              <w:rPr>
                <w:rFonts w:ascii="宋体" w:hAnsi="宋体"/>
                <w:color w:val="auto"/>
                <w:kern w:val="0"/>
                <w:szCs w:val="21"/>
                <w:highlight w:val="none"/>
              </w:rPr>
            </w:pPr>
          </w:p>
        </w:tc>
        <w:tc>
          <w:tcPr>
            <w:tcW w:w="1167" w:type="dxa"/>
          </w:tcPr>
          <w:p w14:paraId="3D0755C4">
            <w:pPr>
              <w:autoSpaceDE w:val="0"/>
              <w:autoSpaceDN w:val="0"/>
              <w:adjustRightInd w:val="0"/>
              <w:snapToGrid w:val="0"/>
              <w:jc w:val="left"/>
              <w:rPr>
                <w:rFonts w:ascii="宋体" w:hAnsi="宋体"/>
                <w:color w:val="auto"/>
                <w:kern w:val="0"/>
                <w:szCs w:val="21"/>
                <w:highlight w:val="none"/>
              </w:rPr>
            </w:pPr>
          </w:p>
        </w:tc>
        <w:tc>
          <w:tcPr>
            <w:tcW w:w="776" w:type="dxa"/>
          </w:tcPr>
          <w:p w14:paraId="2A4D747E">
            <w:pPr>
              <w:autoSpaceDE w:val="0"/>
              <w:autoSpaceDN w:val="0"/>
              <w:adjustRightInd w:val="0"/>
              <w:snapToGrid w:val="0"/>
              <w:jc w:val="left"/>
              <w:rPr>
                <w:rFonts w:ascii="宋体" w:hAnsi="宋体"/>
                <w:color w:val="auto"/>
                <w:kern w:val="0"/>
                <w:szCs w:val="21"/>
                <w:highlight w:val="none"/>
              </w:rPr>
            </w:pPr>
          </w:p>
        </w:tc>
        <w:tc>
          <w:tcPr>
            <w:tcW w:w="778" w:type="dxa"/>
          </w:tcPr>
          <w:p w14:paraId="3D650D63">
            <w:pPr>
              <w:autoSpaceDE w:val="0"/>
              <w:autoSpaceDN w:val="0"/>
              <w:adjustRightInd w:val="0"/>
              <w:snapToGrid w:val="0"/>
              <w:jc w:val="left"/>
              <w:rPr>
                <w:rFonts w:ascii="宋体" w:hAnsi="宋体"/>
                <w:color w:val="auto"/>
                <w:kern w:val="0"/>
                <w:szCs w:val="21"/>
                <w:highlight w:val="none"/>
              </w:rPr>
            </w:pPr>
          </w:p>
        </w:tc>
        <w:tc>
          <w:tcPr>
            <w:tcW w:w="776" w:type="dxa"/>
          </w:tcPr>
          <w:p w14:paraId="15E456E8">
            <w:pPr>
              <w:autoSpaceDE w:val="0"/>
              <w:autoSpaceDN w:val="0"/>
              <w:adjustRightInd w:val="0"/>
              <w:snapToGrid w:val="0"/>
              <w:jc w:val="left"/>
              <w:rPr>
                <w:rFonts w:ascii="宋体" w:hAnsi="宋体"/>
                <w:color w:val="auto"/>
                <w:kern w:val="0"/>
                <w:szCs w:val="21"/>
                <w:highlight w:val="none"/>
              </w:rPr>
            </w:pPr>
          </w:p>
        </w:tc>
        <w:tc>
          <w:tcPr>
            <w:tcW w:w="2723" w:type="dxa"/>
          </w:tcPr>
          <w:p w14:paraId="5ADF5103">
            <w:pPr>
              <w:autoSpaceDE w:val="0"/>
              <w:autoSpaceDN w:val="0"/>
              <w:adjustRightInd w:val="0"/>
              <w:snapToGrid w:val="0"/>
              <w:jc w:val="left"/>
              <w:rPr>
                <w:rFonts w:ascii="宋体" w:hAnsi="宋体"/>
                <w:color w:val="auto"/>
                <w:kern w:val="0"/>
                <w:szCs w:val="21"/>
                <w:highlight w:val="none"/>
              </w:rPr>
            </w:pPr>
          </w:p>
        </w:tc>
        <w:tc>
          <w:tcPr>
            <w:tcW w:w="896" w:type="dxa"/>
          </w:tcPr>
          <w:p w14:paraId="754184E2">
            <w:pPr>
              <w:autoSpaceDE w:val="0"/>
              <w:autoSpaceDN w:val="0"/>
              <w:adjustRightInd w:val="0"/>
              <w:snapToGrid w:val="0"/>
              <w:jc w:val="left"/>
              <w:rPr>
                <w:rFonts w:ascii="宋体" w:hAnsi="宋体"/>
                <w:color w:val="auto"/>
                <w:kern w:val="0"/>
                <w:szCs w:val="21"/>
                <w:highlight w:val="none"/>
              </w:rPr>
            </w:pPr>
          </w:p>
        </w:tc>
      </w:tr>
      <w:tr w14:paraId="54BAE7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4672EC6">
            <w:pPr>
              <w:autoSpaceDE w:val="0"/>
              <w:autoSpaceDN w:val="0"/>
              <w:adjustRightInd w:val="0"/>
              <w:snapToGrid w:val="0"/>
              <w:jc w:val="left"/>
              <w:rPr>
                <w:rFonts w:ascii="宋体" w:hAnsi="宋体"/>
                <w:color w:val="auto"/>
                <w:kern w:val="0"/>
                <w:szCs w:val="21"/>
                <w:highlight w:val="none"/>
              </w:rPr>
            </w:pPr>
          </w:p>
        </w:tc>
        <w:tc>
          <w:tcPr>
            <w:tcW w:w="734" w:type="dxa"/>
          </w:tcPr>
          <w:p w14:paraId="3DABF2A7">
            <w:pPr>
              <w:autoSpaceDE w:val="0"/>
              <w:autoSpaceDN w:val="0"/>
              <w:adjustRightInd w:val="0"/>
              <w:snapToGrid w:val="0"/>
              <w:jc w:val="left"/>
              <w:rPr>
                <w:rFonts w:ascii="宋体" w:hAnsi="宋体"/>
                <w:color w:val="auto"/>
                <w:kern w:val="0"/>
                <w:szCs w:val="21"/>
                <w:highlight w:val="none"/>
              </w:rPr>
            </w:pPr>
          </w:p>
        </w:tc>
        <w:tc>
          <w:tcPr>
            <w:tcW w:w="776" w:type="dxa"/>
          </w:tcPr>
          <w:p w14:paraId="1075E3C3">
            <w:pPr>
              <w:autoSpaceDE w:val="0"/>
              <w:autoSpaceDN w:val="0"/>
              <w:adjustRightInd w:val="0"/>
              <w:snapToGrid w:val="0"/>
              <w:jc w:val="left"/>
              <w:rPr>
                <w:rFonts w:ascii="宋体" w:hAnsi="宋体"/>
                <w:color w:val="auto"/>
                <w:kern w:val="0"/>
                <w:szCs w:val="21"/>
                <w:highlight w:val="none"/>
              </w:rPr>
            </w:pPr>
          </w:p>
        </w:tc>
        <w:tc>
          <w:tcPr>
            <w:tcW w:w="1167" w:type="dxa"/>
          </w:tcPr>
          <w:p w14:paraId="17087B98">
            <w:pPr>
              <w:autoSpaceDE w:val="0"/>
              <w:autoSpaceDN w:val="0"/>
              <w:adjustRightInd w:val="0"/>
              <w:snapToGrid w:val="0"/>
              <w:jc w:val="left"/>
              <w:rPr>
                <w:rFonts w:ascii="宋体" w:hAnsi="宋体"/>
                <w:color w:val="auto"/>
                <w:kern w:val="0"/>
                <w:szCs w:val="21"/>
                <w:highlight w:val="none"/>
              </w:rPr>
            </w:pPr>
          </w:p>
        </w:tc>
        <w:tc>
          <w:tcPr>
            <w:tcW w:w="776" w:type="dxa"/>
          </w:tcPr>
          <w:p w14:paraId="53FB22D6">
            <w:pPr>
              <w:autoSpaceDE w:val="0"/>
              <w:autoSpaceDN w:val="0"/>
              <w:adjustRightInd w:val="0"/>
              <w:snapToGrid w:val="0"/>
              <w:jc w:val="left"/>
              <w:rPr>
                <w:rFonts w:ascii="宋体" w:hAnsi="宋体"/>
                <w:color w:val="auto"/>
                <w:kern w:val="0"/>
                <w:szCs w:val="21"/>
                <w:highlight w:val="none"/>
              </w:rPr>
            </w:pPr>
          </w:p>
        </w:tc>
        <w:tc>
          <w:tcPr>
            <w:tcW w:w="778" w:type="dxa"/>
          </w:tcPr>
          <w:p w14:paraId="6C0A5C27">
            <w:pPr>
              <w:autoSpaceDE w:val="0"/>
              <w:autoSpaceDN w:val="0"/>
              <w:adjustRightInd w:val="0"/>
              <w:snapToGrid w:val="0"/>
              <w:jc w:val="left"/>
              <w:rPr>
                <w:rFonts w:ascii="宋体" w:hAnsi="宋体"/>
                <w:color w:val="auto"/>
                <w:kern w:val="0"/>
                <w:szCs w:val="21"/>
                <w:highlight w:val="none"/>
              </w:rPr>
            </w:pPr>
          </w:p>
        </w:tc>
        <w:tc>
          <w:tcPr>
            <w:tcW w:w="776" w:type="dxa"/>
          </w:tcPr>
          <w:p w14:paraId="0B9C8025">
            <w:pPr>
              <w:autoSpaceDE w:val="0"/>
              <w:autoSpaceDN w:val="0"/>
              <w:adjustRightInd w:val="0"/>
              <w:snapToGrid w:val="0"/>
              <w:jc w:val="left"/>
              <w:rPr>
                <w:rFonts w:ascii="宋体" w:hAnsi="宋体"/>
                <w:color w:val="auto"/>
                <w:kern w:val="0"/>
                <w:szCs w:val="21"/>
                <w:highlight w:val="none"/>
              </w:rPr>
            </w:pPr>
          </w:p>
        </w:tc>
        <w:tc>
          <w:tcPr>
            <w:tcW w:w="2723" w:type="dxa"/>
          </w:tcPr>
          <w:p w14:paraId="62FF5162">
            <w:pPr>
              <w:autoSpaceDE w:val="0"/>
              <w:autoSpaceDN w:val="0"/>
              <w:adjustRightInd w:val="0"/>
              <w:snapToGrid w:val="0"/>
              <w:jc w:val="left"/>
              <w:rPr>
                <w:rFonts w:ascii="宋体" w:hAnsi="宋体"/>
                <w:color w:val="auto"/>
                <w:kern w:val="0"/>
                <w:szCs w:val="21"/>
                <w:highlight w:val="none"/>
              </w:rPr>
            </w:pPr>
          </w:p>
        </w:tc>
        <w:tc>
          <w:tcPr>
            <w:tcW w:w="896" w:type="dxa"/>
          </w:tcPr>
          <w:p w14:paraId="4AE8BDFB">
            <w:pPr>
              <w:autoSpaceDE w:val="0"/>
              <w:autoSpaceDN w:val="0"/>
              <w:adjustRightInd w:val="0"/>
              <w:snapToGrid w:val="0"/>
              <w:jc w:val="left"/>
              <w:rPr>
                <w:rFonts w:ascii="宋体" w:hAnsi="宋体"/>
                <w:color w:val="auto"/>
                <w:kern w:val="0"/>
                <w:szCs w:val="21"/>
                <w:highlight w:val="none"/>
              </w:rPr>
            </w:pPr>
          </w:p>
        </w:tc>
      </w:tr>
      <w:tr w14:paraId="352C3D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86D8015">
            <w:pPr>
              <w:autoSpaceDE w:val="0"/>
              <w:autoSpaceDN w:val="0"/>
              <w:adjustRightInd w:val="0"/>
              <w:snapToGrid w:val="0"/>
              <w:jc w:val="left"/>
              <w:rPr>
                <w:rFonts w:ascii="宋体" w:hAnsi="宋体"/>
                <w:color w:val="auto"/>
                <w:kern w:val="0"/>
                <w:szCs w:val="21"/>
                <w:highlight w:val="none"/>
              </w:rPr>
            </w:pPr>
          </w:p>
        </w:tc>
        <w:tc>
          <w:tcPr>
            <w:tcW w:w="734" w:type="dxa"/>
          </w:tcPr>
          <w:p w14:paraId="07479791">
            <w:pPr>
              <w:autoSpaceDE w:val="0"/>
              <w:autoSpaceDN w:val="0"/>
              <w:adjustRightInd w:val="0"/>
              <w:snapToGrid w:val="0"/>
              <w:jc w:val="left"/>
              <w:rPr>
                <w:rFonts w:ascii="宋体" w:hAnsi="宋体"/>
                <w:color w:val="auto"/>
                <w:kern w:val="0"/>
                <w:szCs w:val="21"/>
                <w:highlight w:val="none"/>
              </w:rPr>
            </w:pPr>
          </w:p>
        </w:tc>
        <w:tc>
          <w:tcPr>
            <w:tcW w:w="776" w:type="dxa"/>
          </w:tcPr>
          <w:p w14:paraId="425EC9CD">
            <w:pPr>
              <w:autoSpaceDE w:val="0"/>
              <w:autoSpaceDN w:val="0"/>
              <w:adjustRightInd w:val="0"/>
              <w:snapToGrid w:val="0"/>
              <w:jc w:val="left"/>
              <w:rPr>
                <w:rFonts w:ascii="宋体" w:hAnsi="宋体"/>
                <w:color w:val="auto"/>
                <w:kern w:val="0"/>
                <w:szCs w:val="21"/>
                <w:highlight w:val="none"/>
              </w:rPr>
            </w:pPr>
          </w:p>
        </w:tc>
        <w:tc>
          <w:tcPr>
            <w:tcW w:w="1167" w:type="dxa"/>
          </w:tcPr>
          <w:p w14:paraId="3512DA05">
            <w:pPr>
              <w:autoSpaceDE w:val="0"/>
              <w:autoSpaceDN w:val="0"/>
              <w:adjustRightInd w:val="0"/>
              <w:snapToGrid w:val="0"/>
              <w:jc w:val="left"/>
              <w:rPr>
                <w:rFonts w:ascii="宋体" w:hAnsi="宋体"/>
                <w:color w:val="auto"/>
                <w:kern w:val="0"/>
                <w:szCs w:val="21"/>
                <w:highlight w:val="none"/>
              </w:rPr>
            </w:pPr>
          </w:p>
        </w:tc>
        <w:tc>
          <w:tcPr>
            <w:tcW w:w="776" w:type="dxa"/>
          </w:tcPr>
          <w:p w14:paraId="5BBFAEA6">
            <w:pPr>
              <w:autoSpaceDE w:val="0"/>
              <w:autoSpaceDN w:val="0"/>
              <w:adjustRightInd w:val="0"/>
              <w:snapToGrid w:val="0"/>
              <w:jc w:val="left"/>
              <w:rPr>
                <w:rFonts w:ascii="宋体" w:hAnsi="宋体"/>
                <w:color w:val="auto"/>
                <w:kern w:val="0"/>
                <w:szCs w:val="21"/>
                <w:highlight w:val="none"/>
              </w:rPr>
            </w:pPr>
          </w:p>
        </w:tc>
        <w:tc>
          <w:tcPr>
            <w:tcW w:w="778" w:type="dxa"/>
          </w:tcPr>
          <w:p w14:paraId="22A65DB5">
            <w:pPr>
              <w:autoSpaceDE w:val="0"/>
              <w:autoSpaceDN w:val="0"/>
              <w:adjustRightInd w:val="0"/>
              <w:snapToGrid w:val="0"/>
              <w:jc w:val="left"/>
              <w:rPr>
                <w:rFonts w:ascii="宋体" w:hAnsi="宋体"/>
                <w:color w:val="auto"/>
                <w:kern w:val="0"/>
                <w:szCs w:val="21"/>
                <w:highlight w:val="none"/>
              </w:rPr>
            </w:pPr>
          </w:p>
        </w:tc>
        <w:tc>
          <w:tcPr>
            <w:tcW w:w="776" w:type="dxa"/>
          </w:tcPr>
          <w:p w14:paraId="4CE221BE">
            <w:pPr>
              <w:autoSpaceDE w:val="0"/>
              <w:autoSpaceDN w:val="0"/>
              <w:adjustRightInd w:val="0"/>
              <w:snapToGrid w:val="0"/>
              <w:jc w:val="left"/>
              <w:rPr>
                <w:rFonts w:ascii="宋体" w:hAnsi="宋体"/>
                <w:color w:val="auto"/>
                <w:kern w:val="0"/>
                <w:szCs w:val="21"/>
                <w:highlight w:val="none"/>
              </w:rPr>
            </w:pPr>
          </w:p>
        </w:tc>
        <w:tc>
          <w:tcPr>
            <w:tcW w:w="2723" w:type="dxa"/>
          </w:tcPr>
          <w:p w14:paraId="216AFD1E">
            <w:pPr>
              <w:autoSpaceDE w:val="0"/>
              <w:autoSpaceDN w:val="0"/>
              <w:adjustRightInd w:val="0"/>
              <w:snapToGrid w:val="0"/>
              <w:jc w:val="left"/>
              <w:rPr>
                <w:rFonts w:ascii="宋体" w:hAnsi="宋体"/>
                <w:color w:val="auto"/>
                <w:kern w:val="0"/>
                <w:szCs w:val="21"/>
                <w:highlight w:val="none"/>
              </w:rPr>
            </w:pPr>
          </w:p>
        </w:tc>
        <w:tc>
          <w:tcPr>
            <w:tcW w:w="896" w:type="dxa"/>
          </w:tcPr>
          <w:p w14:paraId="5FC4BB7D">
            <w:pPr>
              <w:autoSpaceDE w:val="0"/>
              <w:autoSpaceDN w:val="0"/>
              <w:adjustRightInd w:val="0"/>
              <w:snapToGrid w:val="0"/>
              <w:jc w:val="left"/>
              <w:rPr>
                <w:rFonts w:ascii="宋体" w:hAnsi="宋体"/>
                <w:color w:val="auto"/>
                <w:kern w:val="0"/>
                <w:szCs w:val="21"/>
                <w:highlight w:val="none"/>
              </w:rPr>
            </w:pPr>
          </w:p>
        </w:tc>
      </w:tr>
      <w:tr w14:paraId="303C19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53D9608">
            <w:pPr>
              <w:autoSpaceDE w:val="0"/>
              <w:autoSpaceDN w:val="0"/>
              <w:adjustRightInd w:val="0"/>
              <w:snapToGrid w:val="0"/>
              <w:jc w:val="left"/>
              <w:rPr>
                <w:rFonts w:ascii="宋体" w:hAnsi="宋体"/>
                <w:color w:val="auto"/>
                <w:kern w:val="0"/>
                <w:szCs w:val="21"/>
                <w:highlight w:val="none"/>
              </w:rPr>
            </w:pPr>
          </w:p>
        </w:tc>
        <w:tc>
          <w:tcPr>
            <w:tcW w:w="734" w:type="dxa"/>
          </w:tcPr>
          <w:p w14:paraId="75C6FF6F">
            <w:pPr>
              <w:autoSpaceDE w:val="0"/>
              <w:autoSpaceDN w:val="0"/>
              <w:adjustRightInd w:val="0"/>
              <w:snapToGrid w:val="0"/>
              <w:jc w:val="left"/>
              <w:rPr>
                <w:rFonts w:ascii="宋体" w:hAnsi="宋体"/>
                <w:color w:val="auto"/>
                <w:kern w:val="0"/>
                <w:szCs w:val="21"/>
                <w:highlight w:val="none"/>
              </w:rPr>
            </w:pPr>
          </w:p>
        </w:tc>
        <w:tc>
          <w:tcPr>
            <w:tcW w:w="776" w:type="dxa"/>
          </w:tcPr>
          <w:p w14:paraId="4B95992E">
            <w:pPr>
              <w:autoSpaceDE w:val="0"/>
              <w:autoSpaceDN w:val="0"/>
              <w:adjustRightInd w:val="0"/>
              <w:snapToGrid w:val="0"/>
              <w:jc w:val="left"/>
              <w:rPr>
                <w:rFonts w:ascii="宋体" w:hAnsi="宋体"/>
                <w:color w:val="auto"/>
                <w:kern w:val="0"/>
                <w:szCs w:val="21"/>
                <w:highlight w:val="none"/>
              </w:rPr>
            </w:pPr>
          </w:p>
        </w:tc>
        <w:tc>
          <w:tcPr>
            <w:tcW w:w="1167" w:type="dxa"/>
          </w:tcPr>
          <w:p w14:paraId="03B05CBB">
            <w:pPr>
              <w:autoSpaceDE w:val="0"/>
              <w:autoSpaceDN w:val="0"/>
              <w:adjustRightInd w:val="0"/>
              <w:snapToGrid w:val="0"/>
              <w:jc w:val="left"/>
              <w:rPr>
                <w:rFonts w:ascii="宋体" w:hAnsi="宋体"/>
                <w:color w:val="auto"/>
                <w:kern w:val="0"/>
                <w:szCs w:val="21"/>
                <w:highlight w:val="none"/>
              </w:rPr>
            </w:pPr>
          </w:p>
        </w:tc>
        <w:tc>
          <w:tcPr>
            <w:tcW w:w="776" w:type="dxa"/>
          </w:tcPr>
          <w:p w14:paraId="1F4E0A36">
            <w:pPr>
              <w:autoSpaceDE w:val="0"/>
              <w:autoSpaceDN w:val="0"/>
              <w:adjustRightInd w:val="0"/>
              <w:snapToGrid w:val="0"/>
              <w:jc w:val="left"/>
              <w:rPr>
                <w:rFonts w:ascii="宋体" w:hAnsi="宋体"/>
                <w:color w:val="auto"/>
                <w:kern w:val="0"/>
                <w:szCs w:val="21"/>
                <w:highlight w:val="none"/>
              </w:rPr>
            </w:pPr>
          </w:p>
        </w:tc>
        <w:tc>
          <w:tcPr>
            <w:tcW w:w="778" w:type="dxa"/>
          </w:tcPr>
          <w:p w14:paraId="0D4ABF23">
            <w:pPr>
              <w:autoSpaceDE w:val="0"/>
              <w:autoSpaceDN w:val="0"/>
              <w:adjustRightInd w:val="0"/>
              <w:snapToGrid w:val="0"/>
              <w:jc w:val="left"/>
              <w:rPr>
                <w:rFonts w:ascii="宋体" w:hAnsi="宋体"/>
                <w:color w:val="auto"/>
                <w:kern w:val="0"/>
                <w:szCs w:val="21"/>
                <w:highlight w:val="none"/>
              </w:rPr>
            </w:pPr>
          </w:p>
        </w:tc>
        <w:tc>
          <w:tcPr>
            <w:tcW w:w="776" w:type="dxa"/>
          </w:tcPr>
          <w:p w14:paraId="635C3D22">
            <w:pPr>
              <w:autoSpaceDE w:val="0"/>
              <w:autoSpaceDN w:val="0"/>
              <w:adjustRightInd w:val="0"/>
              <w:snapToGrid w:val="0"/>
              <w:jc w:val="left"/>
              <w:rPr>
                <w:rFonts w:ascii="宋体" w:hAnsi="宋体"/>
                <w:color w:val="auto"/>
                <w:kern w:val="0"/>
                <w:szCs w:val="21"/>
                <w:highlight w:val="none"/>
              </w:rPr>
            </w:pPr>
          </w:p>
        </w:tc>
        <w:tc>
          <w:tcPr>
            <w:tcW w:w="2723" w:type="dxa"/>
          </w:tcPr>
          <w:p w14:paraId="0F97C7F0">
            <w:pPr>
              <w:autoSpaceDE w:val="0"/>
              <w:autoSpaceDN w:val="0"/>
              <w:adjustRightInd w:val="0"/>
              <w:snapToGrid w:val="0"/>
              <w:jc w:val="left"/>
              <w:rPr>
                <w:rFonts w:ascii="宋体" w:hAnsi="宋体"/>
                <w:color w:val="auto"/>
                <w:kern w:val="0"/>
                <w:szCs w:val="21"/>
                <w:highlight w:val="none"/>
              </w:rPr>
            </w:pPr>
          </w:p>
        </w:tc>
        <w:tc>
          <w:tcPr>
            <w:tcW w:w="896" w:type="dxa"/>
          </w:tcPr>
          <w:p w14:paraId="5D265CA3">
            <w:pPr>
              <w:autoSpaceDE w:val="0"/>
              <w:autoSpaceDN w:val="0"/>
              <w:adjustRightInd w:val="0"/>
              <w:snapToGrid w:val="0"/>
              <w:jc w:val="left"/>
              <w:rPr>
                <w:rFonts w:ascii="宋体" w:hAnsi="宋体"/>
                <w:color w:val="auto"/>
                <w:kern w:val="0"/>
                <w:szCs w:val="21"/>
                <w:highlight w:val="none"/>
              </w:rPr>
            </w:pPr>
          </w:p>
        </w:tc>
      </w:tr>
      <w:tr w14:paraId="34D558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1CB6789">
            <w:pPr>
              <w:autoSpaceDE w:val="0"/>
              <w:autoSpaceDN w:val="0"/>
              <w:adjustRightInd w:val="0"/>
              <w:snapToGrid w:val="0"/>
              <w:jc w:val="left"/>
              <w:rPr>
                <w:rFonts w:ascii="宋体" w:hAnsi="宋体"/>
                <w:color w:val="auto"/>
                <w:kern w:val="0"/>
                <w:szCs w:val="21"/>
                <w:highlight w:val="none"/>
              </w:rPr>
            </w:pPr>
          </w:p>
        </w:tc>
        <w:tc>
          <w:tcPr>
            <w:tcW w:w="734" w:type="dxa"/>
          </w:tcPr>
          <w:p w14:paraId="1BA01133">
            <w:pPr>
              <w:autoSpaceDE w:val="0"/>
              <w:autoSpaceDN w:val="0"/>
              <w:adjustRightInd w:val="0"/>
              <w:snapToGrid w:val="0"/>
              <w:jc w:val="left"/>
              <w:rPr>
                <w:rFonts w:ascii="宋体" w:hAnsi="宋体"/>
                <w:color w:val="auto"/>
                <w:kern w:val="0"/>
                <w:szCs w:val="21"/>
                <w:highlight w:val="none"/>
              </w:rPr>
            </w:pPr>
          </w:p>
        </w:tc>
        <w:tc>
          <w:tcPr>
            <w:tcW w:w="776" w:type="dxa"/>
          </w:tcPr>
          <w:p w14:paraId="0211B663">
            <w:pPr>
              <w:autoSpaceDE w:val="0"/>
              <w:autoSpaceDN w:val="0"/>
              <w:adjustRightInd w:val="0"/>
              <w:snapToGrid w:val="0"/>
              <w:jc w:val="left"/>
              <w:rPr>
                <w:rFonts w:ascii="宋体" w:hAnsi="宋体"/>
                <w:color w:val="auto"/>
                <w:kern w:val="0"/>
                <w:szCs w:val="21"/>
                <w:highlight w:val="none"/>
              </w:rPr>
            </w:pPr>
          </w:p>
        </w:tc>
        <w:tc>
          <w:tcPr>
            <w:tcW w:w="1167" w:type="dxa"/>
          </w:tcPr>
          <w:p w14:paraId="0193AD87">
            <w:pPr>
              <w:autoSpaceDE w:val="0"/>
              <w:autoSpaceDN w:val="0"/>
              <w:adjustRightInd w:val="0"/>
              <w:snapToGrid w:val="0"/>
              <w:jc w:val="left"/>
              <w:rPr>
                <w:rFonts w:ascii="宋体" w:hAnsi="宋体"/>
                <w:color w:val="auto"/>
                <w:kern w:val="0"/>
                <w:szCs w:val="21"/>
                <w:highlight w:val="none"/>
              </w:rPr>
            </w:pPr>
          </w:p>
        </w:tc>
        <w:tc>
          <w:tcPr>
            <w:tcW w:w="776" w:type="dxa"/>
          </w:tcPr>
          <w:p w14:paraId="46CB9E61">
            <w:pPr>
              <w:autoSpaceDE w:val="0"/>
              <w:autoSpaceDN w:val="0"/>
              <w:adjustRightInd w:val="0"/>
              <w:snapToGrid w:val="0"/>
              <w:jc w:val="left"/>
              <w:rPr>
                <w:rFonts w:ascii="宋体" w:hAnsi="宋体"/>
                <w:color w:val="auto"/>
                <w:kern w:val="0"/>
                <w:szCs w:val="21"/>
                <w:highlight w:val="none"/>
              </w:rPr>
            </w:pPr>
          </w:p>
        </w:tc>
        <w:tc>
          <w:tcPr>
            <w:tcW w:w="778" w:type="dxa"/>
          </w:tcPr>
          <w:p w14:paraId="4D31566C">
            <w:pPr>
              <w:autoSpaceDE w:val="0"/>
              <w:autoSpaceDN w:val="0"/>
              <w:adjustRightInd w:val="0"/>
              <w:snapToGrid w:val="0"/>
              <w:jc w:val="left"/>
              <w:rPr>
                <w:rFonts w:ascii="宋体" w:hAnsi="宋体"/>
                <w:color w:val="auto"/>
                <w:kern w:val="0"/>
                <w:szCs w:val="21"/>
                <w:highlight w:val="none"/>
              </w:rPr>
            </w:pPr>
          </w:p>
        </w:tc>
        <w:tc>
          <w:tcPr>
            <w:tcW w:w="776" w:type="dxa"/>
          </w:tcPr>
          <w:p w14:paraId="7C66A085">
            <w:pPr>
              <w:autoSpaceDE w:val="0"/>
              <w:autoSpaceDN w:val="0"/>
              <w:adjustRightInd w:val="0"/>
              <w:snapToGrid w:val="0"/>
              <w:jc w:val="left"/>
              <w:rPr>
                <w:rFonts w:ascii="宋体" w:hAnsi="宋体"/>
                <w:color w:val="auto"/>
                <w:kern w:val="0"/>
                <w:szCs w:val="21"/>
                <w:highlight w:val="none"/>
              </w:rPr>
            </w:pPr>
          </w:p>
        </w:tc>
        <w:tc>
          <w:tcPr>
            <w:tcW w:w="2723" w:type="dxa"/>
          </w:tcPr>
          <w:p w14:paraId="008E188A">
            <w:pPr>
              <w:autoSpaceDE w:val="0"/>
              <w:autoSpaceDN w:val="0"/>
              <w:adjustRightInd w:val="0"/>
              <w:snapToGrid w:val="0"/>
              <w:jc w:val="left"/>
              <w:rPr>
                <w:rFonts w:ascii="宋体" w:hAnsi="宋体"/>
                <w:color w:val="auto"/>
                <w:kern w:val="0"/>
                <w:szCs w:val="21"/>
                <w:highlight w:val="none"/>
              </w:rPr>
            </w:pPr>
          </w:p>
        </w:tc>
        <w:tc>
          <w:tcPr>
            <w:tcW w:w="896" w:type="dxa"/>
          </w:tcPr>
          <w:p w14:paraId="0301492C">
            <w:pPr>
              <w:autoSpaceDE w:val="0"/>
              <w:autoSpaceDN w:val="0"/>
              <w:adjustRightInd w:val="0"/>
              <w:snapToGrid w:val="0"/>
              <w:jc w:val="left"/>
              <w:rPr>
                <w:rFonts w:ascii="宋体" w:hAnsi="宋体"/>
                <w:color w:val="auto"/>
                <w:kern w:val="0"/>
                <w:szCs w:val="21"/>
                <w:highlight w:val="none"/>
              </w:rPr>
            </w:pPr>
          </w:p>
        </w:tc>
      </w:tr>
      <w:tr w14:paraId="7D4609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52F47AF">
            <w:pPr>
              <w:autoSpaceDE w:val="0"/>
              <w:autoSpaceDN w:val="0"/>
              <w:adjustRightInd w:val="0"/>
              <w:snapToGrid w:val="0"/>
              <w:jc w:val="left"/>
              <w:rPr>
                <w:rFonts w:ascii="宋体" w:hAnsi="宋体"/>
                <w:color w:val="auto"/>
                <w:kern w:val="0"/>
                <w:szCs w:val="21"/>
                <w:highlight w:val="none"/>
              </w:rPr>
            </w:pPr>
          </w:p>
        </w:tc>
        <w:tc>
          <w:tcPr>
            <w:tcW w:w="734" w:type="dxa"/>
          </w:tcPr>
          <w:p w14:paraId="277D4189">
            <w:pPr>
              <w:autoSpaceDE w:val="0"/>
              <w:autoSpaceDN w:val="0"/>
              <w:adjustRightInd w:val="0"/>
              <w:snapToGrid w:val="0"/>
              <w:jc w:val="left"/>
              <w:rPr>
                <w:rFonts w:ascii="宋体" w:hAnsi="宋体"/>
                <w:color w:val="auto"/>
                <w:kern w:val="0"/>
                <w:szCs w:val="21"/>
                <w:highlight w:val="none"/>
              </w:rPr>
            </w:pPr>
          </w:p>
        </w:tc>
        <w:tc>
          <w:tcPr>
            <w:tcW w:w="776" w:type="dxa"/>
          </w:tcPr>
          <w:p w14:paraId="2BACCA37">
            <w:pPr>
              <w:autoSpaceDE w:val="0"/>
              <w:autoSpaceDN w:val="0"/>
              <w:adjustRightInd w:val="0"/>
              <w:snapToGrid w:val="0"/>
              <w:jc w:val="left"/>
              <w:rPr>
                <w:rFonts w:ascii="宋体" w:hAnsi="宋体"/>
                <w:color w:val="auto"/>
                <w:kern w:val="0"/>
                <w:szCs w:val="21"/>
                <w:highlight w:val="none"/>
              </w:rPr>
            </w:pPr>
          </w:p>
        </w:tc>
        <w:tc>
          <w:tcPr>
            <w:tcW w:w="1167" w:type="dxa"/>
          </w:tcPr>
          <w:p w14:paraId="7E9D7989">
            <w:pPr>
              <w:autoSpaceDE w:val="0"/>
              <w:autoSpaceDN w:val="0"/>
              <w:adjustRightInd w:val="0"/>
              <w:snapToGrid w:val="0"/>
              <w:jc w:val="left"/>
              <w:rPr>
                <w:rFonts w:ascii="宋体" w:hAnsi="宋体"/>
                <w:color w:val="auto"/>
                <w:kern w:val="0"/>
                <w:szCs w:val="21"/>
                <w:highlight w:val="none"/>
              </w:rPr>
            </w:pPr>
          </w:p>
        </w:tc>
        <w:tc>
          <w:tcPr>
            <w:tcW w:w="776" w:type="dxa"/>
          </w:tcPr>
          <w:p w14:paraId="2B948E2D">
            <w:pPr>
              <w:autoSpaceDE w:val="0"/>
              <w:autoSpaceDN w:val="0"/>
              <w:adjustRightInd w:val="0"/>
              <w:snapToGrid w:val="0"/>
              <w:jc w:val="left"/>
              <w:rPr>
                <w:rFonts w:ascii="宋体" w:hAnsi="宋体"/>
                <w:color w:val="auto"/>
                <w:kern w:val="0"/>
                <w:szCs w:val="21"/>
                <w:highlight w:val="none"/>
              </w:rPr>
            </w:pPr>
          </w:p>
        </w:tc>
        <w:tc>
          <w:tcPr>
            <w:tcW w:w="778" w:type="dxa"/>
          </w:tcPr>
          <w:p w14:paraId="1441B773">
            <w:pPr>
              <w:autoSpaceDE w:val="0"/>
              <w:autoSpaceDN w:val="0"/>
              <w:adjustRightInd w:val="0"/>
              <w:snapToGrid w:val="0"/>
              <w:jc w:val="left"/>
              <w:rPr>
                <w:rFonts w:ascii="宋体" w:hAnsi="宋体"/>
                <w:color w:val="auto"/>
                <w:kern w:val="0"/>
                <w:szCs w:val="21"/>
                <w:highlight w:val="none"/>
              </w:rPr>
            </w:pPr>
          </w:p>
        </w:tc>
        <w:tc>
          <w:tcPr>
            <w:tcW w:w="776" w:type="dxa"/>
          </w:tcPr>
          <w:p w14:paraId="25359C0F">
            <w:pPr>
              <w:autoSpaceDE w:val="0"/>
              <w:autoSpaceDN w:val="0"/>
              <w:adjustRightInd w:val="0"/>
              <w:snapToGrid w:val="0"/>
              <w:jc w:val="left"/>
              <w:rPr>
                <w:rFonts w:ascii="宋体" w:hAnsi="宋体"/>
                <w:color w:val="auto"/>
                <w:kern w:val="0"/>
                <w:szCs w:val="21"/>
                <w:highlight w:val="none"/>
              </w:rPr>
            </w:pPr>
          </w:p>
        </w:tc>
        <w:tc>
          <w:tcPr>
            <w:tcW w:w="2723" w:type="dxa"/>
          </w:tcPr>
          <w:p w14:paraId="17C5CEDA">
            <w:pPr>
              <w:autoSpaceDE w:val="0"/>
              <w:autoSpaceDN w:val="0"/>
              <w:adjustRightInd w:val="0"/>
              <w:snapToGrid w:val="0"/>
              <w:jc w:val="left"/>
              <w:rPr>
                <w:rFonts w:ascii="宋体" w:hAnsi="宋体"/>
                <w:color w:val="auto"/>
                <w:kern w:val="0"/>
                <w:szCs w:val="21"/>
                <w:highlight w:val="none"/>
              </w:rPr>
            </w:pPr>
          </w:p>
        </w:tc>
        <w:tc>
          <w:tcPr>
            <w:tcW w:w="896" w:type="dxa"/>
          </w:tcPr>
          <w:p w14:paraId="09E75768">
            <w:pPr>
              <w:autoSpaceDE w:val="0"/>
              <w:autoSpaceDN w:val="0"/>
              <w:adjustRightInd w:val="0"/>
              <w:snapToGrid w:val="0"/>
              <w:jc w:val="left"/>
              <w:rPr>
                <w:rFonts w:ascii="宋体" w:hAnsi="宋体"/>
                <w:color w:val="auto"/>
                <w:kern w:val="0"/>
                <w:szCs w:val="21"/>
                <w:highlight w:val="none"/>
              </w:rPr>
            </w:pPr>
          </w:p>
        </w:tc>
      </w:tr>
      <w:tr w14:paraId="2B8331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064581E">
            <w:pPr>
              <w:autoSpaceDE w:val="0"/>
              <w:autoSpaceDN w:val="0"/>
              <w:adjustRightInd w:val="0"/>
              <w:snapToGrid w:val="0"/>
              <w:jc w:val="left"/>
              <w:rPr>
                <w:rFonts w:ascii="宋体" w:hAnsi="宋体"/>
                <w:color w:val="auto"/>
                <w:kern w:val="0"/>
                <w:szCs w:val="21"/>
                <w:highlight w:val="none"/>
              </w:rPr>
            </w:pPr>
          </w:p>
        </w:tc>
        <w:tc>
          <w:tcPr>
            <w:tcW w:w="734" w:type="dxa"/>
          </w:tcPr>
          <w:p w14:paraId="0C249A5D">
            <w:pPr>
              <w:autoSpaceDE w:val="0"/>
              <w:autoSpaceDN w:val="0"/>
              <w:adjustRightInd w:val="0"/>
              <w:snapToGrid w:val="0"/>
              <w:jc w:val="left"/>
              <w:rPr>
                <w:rFonts w:ascii="宋体" w:hAnsi="宋体"/>
                <w:color w:val="auto"/>
                <w:kern w:val="0"/>
                <w:szCs w:val="21"/>
                <w:highlight w:val="none"/>
              </w:rPr>
            </w:pPr>
          </w:p>
        </w:tc>
        <w:tc>
          <w:tcPr>
            <w:tcW w:w="776" w:type="dxa"/>
          </w:tcPr>
          <w:p w14:paraId="33F166FC">
            <w:pPr>
              <w:autoSpaceDE w:val="0"/>
              <w:autoSpaceDN w:val="0"/>
              <w:adjustRightInd w:val="0"/>
              <w:snapToGrid w:val="0"/>
              <w:jc w:val="left"/>
              <w:rPr>
                <w:rFonts w:ascii="宋体" w:hAnsi="宋体"/>
                <w:color w:val="auto"/>
                <w:kern w:val="0"/>
                <w:szCs w:val="21"/>
                <w:highlight w:val="none"/>
              </w:rPr>
            </w:pPr>
          </w:p>
        </w:tc>
        <w:tc>
          <w:tcPr>
            <w:tcW w:w="1167" w:type="dxa"/>
          </w:tcPr>
          <w:p w14:paraId="67B95F1B">
            <w:pPr>
              <w:autoSpaceDE w:val="0"/>
              <w:autoSpaceDN w:val="0"/>
              <w:adjustRightInd w:val="0"/>
              <w:snapToGrid w:val="0"/>
              <w:jc w:val="left"/>
              <w:rPr>
                <w:rFonts w:ascii="宋体" w:hAnsi="宋体"/>
                <w:color w:val="auto"/>
                <w:kern w:val="0"/>
                <w:szCs w:val="21"/>
                <w:highlight w:val="none"/>
              </w:rPr>
            </w:pPr>
          </w:p>
        </w:tc>
        <w:tc>
          <w:tcPr>
            <w:tcW w:w="776" w:type="dxa"/>
          </w:tcPr>
          <w:p w14:paraId="305937C4">
            <w:pPr>
              <w:autoSpaceDE w:val="0"/>
              <w:autoSpaceDN w:val="0"/>
              <w:adjustRightInd w:val="0"/>
              <w:snapToGrid w:val="0"/>
              <w:jc w:val="left"/>
              <w:rPr>
                <w:rFonts w:ascii="宋体" w:hAnsi="宋体"/>
                <w:color w:val="auto"/>
                <w:kern w:val="0"/>
                <w:szCs w:val="21"/>
                <w:highlight w:val="none"/>
              </w:rPr>
            </w:pPr>
          </w:p>
        </w:tc>
        <w:tc>
          <w:tcPr>
            <w:tcW w:w="778" w:type="dxa"/>
          </w:tcPr>
          <w:p w14:paraId="72E24A7E">
            <w:pPr>
              <w:autoSpaceDE w:val="0"/>
              <w:autoSpaceDN w:val="0"/>
              <w:adjustRightInd w:val="0"/>
              <w:snapToGrid w:val="0"/>
              <w:jc w:val="left"/>
              <w:rPr>
                <w:rFonts w:ascii="宋体" w:hAnsi="宋体"/>
                <w:color w:val="auto"/>
                <w:kern w:val="0"/>
                <w:szCs w:val="21"/>
                <w:highlight w:val="none"/>
              </w:rPr>
            </w:pPr>
          </w:p>
        </w:tc>
        <w:tc>
          <w:tcPr>
            <w:tcW w:w="776" w:type="dxa"/>
          </w:tcPr>
          <w:p w14:paraId="51B2217E">
            <w:pPr>
              <w:autoSpaceDE w:val="0"/>
              <w:autoSpaceDN w:val="0"/>
              <w:adjustRightInd w:val="0"/>
              <w:snapToGrid w:val="0"/>
              <w:jc w:val="left"/>
              <w:rPr>
                <w:rFonts w:ascii="宋体" w:hAnsi="宋体"/>
                <w:color w:val="auto"/>
                <w:kern w:val="0"/>
                <w:szCs w:val="21"/>
                <w:highlight w:val="none"/>
              </w:rPr>
            </w:pPr>
          </w:p>
        </w:tc>
        <w:tc>
          <w:tcPr>
            <w:tcW w:w="2723" w:type="dxa"/>
          </w:tcPr>
          <w:p w14:paraId="22F09F20">
            <w:pPr>
              <w:autoSpaceDE w:val="0"/>
              <w:autoSpaceDN w:val="0"/>
              <w:adjustRightInd w:val="0"/>
              <w:snapToGrid w:val="0"/>
              <w:jc w:val="left"/>
              <w:rPr>
                <w:rFonts w:ascii="宋体" w:hAnsi="宋体"/>
                <w:color w:val="auto"/>
                <w:kern w:val="0"/>
                <w:szCs w:val="21"/>
                <w:highlight w:val="none"/>
              </w:rPr>
            </w:pPr>
          </w:p>
        </w:tc>
        <w:tc>
          <w:tcPr>
            <w:tcW w:w="896" w:type="dxa"/>
          </w:tcPr>
          <w:p w14:paraId="3F15D443">
            <w:pPr>
              <w:autoSpaceDE w:val="0"/>
              <w:autoSpaceDN w:val="0"/>
              <w:adjustRightInd w:val="0"/>
              <w:snapToGrid w:val="0"/>
              <w:jc w:val="left"/>
              <w:rPr>
                <w:rFonts w:ascii="宋体" w:hAnsi="宋体"/>
                <w:color w:val="auto"/>
                <w:kern w:val="0"/>
                <w:szCs w:val="21"/>
                <w:highlight w:val="none"/>
              </w:rPr>
            </w:pPr>
          </w:p>
        </w:tc>
      </w:tr>
      <w:tr w14:paraId="519F46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A8A0881">
            <w:pPr>
              <w:autoSpaceDE w:val="0"/>
              <w:autoSpaceDN w:val="0"/>
              <w:adjustRightInd w:val="0"/>
              <w:snapToGrid w:val="0"/>
              <w:jc w:val="left"/>
              <w:rPr>
                <w:rFonts w:ascii="宋体" w:hAnsi="宋体"/>
                <w:color w:val="auto"/>
                <w:kern w:val="0"/>
                <w:szCs w:val="21"/>
                <w:highlight w:val="none"/>
              </w:rPr>
            </w:pPr>
          </w:p>
        </w:tc>
        <w:tc>
          <w:tcPr>
            <w:tcW w:w="734" w:type="dxa"/>
          </w:tcPr>
          <w:p w14:paraId="502A1D20">
            <w:pPr>
              <w:autoSpaceDE w:val="0"/>
              <w:autoSpaceDN w:val="0"/>
              <w:adjustRightInd w:val="0"/>
              <w:snapToGrid w:val="0"/>
              <w:jc w:val="left"/>
              <w:rPr>
                <w:rFonts w:ascii="宋体" w:hAnsi="宋体"/>
                <w:color w:val="auto"/>
                <w:kern w:val="0"/>
                <w:szCs w:val="21"/>
                <w:highlight w:val="none"/>
              </w:rPr>
            </w:pPr>
          </w:p>
        </w:tc>
        <w:tc>
          <w:tcPr>
            <w:tcW w:w="776" w:type="dxa"/>
          </w:tcPr>
          <w:p w14:paraId="0CA81096">
            <w:pPr>
              <w:autoSpaceDE w:val="0"/>
              <w:autoSpaceDN w:val="0"/>
              <w:adjustRightInd w:val="0"/>
              <w:snapToGrid w:val="0"/>
              <w:jc w:val="left"/>
              <w:rPr>
                <w:rFonts w:ascii="宋体" w:hAnsi="宋体"/>
                <w:color w:val="auto"/>
                <w:kern w:val="0"/>
                <w:szCs w:val="21"/>
                <w:highlight w:val="none"/>
              </w:rPr>
            </w:pPr>
          </w:p>
        </w:tc>
        <w:tc>
          <w:tcPr>
            <w:tcW w:w="1167" w:type="dxa"/>
          </w:tcPr>
          <w:p w14:paraId="4DA46783">
            <w:pPr>
              <w:autoSpaceDE w:val="0"/>
              <w:autoSpaceDN w:val="0"/>
              <w:adjustRightInd w:val="0"/>
              <w:snapToGrid w:val="0"/>
              <w:jc w:val="left"/>
              <w:rPr>
                <w:rFonts w:ascii="宋体" w:hAnsi="宋体"/>
                <w:color w:val="auto"/>
                <w:kern w:val="0"/>
                <w:szCs w:val="21"/>
                <w:highlight w:val="none"/>
              </w:rPr>
            </w:pPr>
          </w:p>
        </w:tc>
        <w:tc>
          <w:tcPr>
            <w:tcW w:w="776" w:type="dxa"/>
          </w:tcPr>
          <w:p w14:paraId="3A01DDC9">
            <w:pPr>
              <w:autoSpaceDE w:val="0"/>
              <w:autoSpaceDN w:val="0"/>
              <w:adjustRightInd w:val="0"/>
              <w:snapToGrid w:val="0"/>
              <w:jc w:val="left"/>
              <w:rPr>
                <w:rFonts w:ascii="宋体" w:hAnsi="宋体"/>
                <w:color w:val="auto"/>
                <w:kern w:val="0"/>
                <w:szCs w:val="21"/>
                <w:highlight w:val="none"/>
              </w:rPr>
            </w:pPr>
          </w:p>
        </w:tc>
        <w:tc>
          <w:tcPr>
            <w:tcW w:w="778" w:type="dxa"/>
          </w:tcPr>
          <w:p w14:paraId="7C35B9A1">
            <w:pPr>
              <w:autoSpaceDE w:val="0"/>
              <w:autoSpaceDN w:val="0"/>
              <w:adjustRightInd w:val="0"/>
              <w:snapToGrid w:val="0"/>
              <w:jc w:val="left"/>
              <w:rPr>
                <w:rFonts w:ascii="宋体" w:hAnsi="宋体"/>
                <w:color w:val="auto"/>
                <w:kern w:val="0"/>
                <w:szCs w:val="21"/>
                <w:highlight w:val="none"/>
              </w:rPr>
            </w:pPr>
          </w:p>
        </w:tc>
        <w:tc>
          <w:tcPr>
            <w:tcW w:w="776" w:type="dxa"/>
          </w:tcPr>
          <w:p w14:paraId="4FA65037">
            <w:pPr>
              <w:autoSpaceDE w:val="0"/>
              <w:autoSpaceDN w:val="0"/>
              <w:adjustRightInd w:val="0"/>
              <w:snapToGrid w:val="0"/>
              <w:jc w:val="left"/>
              <w:rPr>
                <w:rFonts w:ascii="宋体" w:hAnsi="宋体"/>
                <w:color w:val="auto"/>
                <w:kern w:val="0"/>
                <w:szCs w:val="21"/>
                <w:highlight w:val="none"/>
              </w:rPr>
            </w:pPr>
          </w:p>
        </w:tc>
        <w:tc>
          <w:tcPr>
            <w:tcW w:w="2723" w:type="dxa"/>
          </w:tcPr>
          <w:p w14:paraId="2F6CE536">
            <w:pPr>
              <w:autoSpaceDE w:val="0"/>
              <w:autoSpaceDN w:val="0"/>
              <w:adjustRightInd w:val="0"/>
              <w:snapToGrid w:val="0"/>
              <w:jc w:val="left"/>
              <w:rPr>
                <w:rFonts w:ascii="宋体" w:hAnsi="宋体"/>
                <w:color w:val="auto"/>
                <w:kern w:val="0"/>
                <w:szCs w:val="21"/>
                <w:highlight w:val="none"/>
              </w:rPr>
            </w:pPr>
          </w:p>
        </w:tc>
        <w:tc>
          <w:tcPr>
            <w:tcW w:w="896" w:type="dxa"/>
          </w:tcPr>
          <w:p w14:paraId="7624446F">
            <w:pPr>
              <w:autoSpaceDE w:val="0"/>
              <w:autoSpaceDN w:val="0"/>
              <w:adjustRightInd w:val="0"/>
              <w:snapToGrid w:val="0"/>
              <w:jc w:val="left"/>
              <w:rPr>
                <w:rFonts w:ascii="宋体" w:hAnsi="宋体"/>
                <w:color w:val="auto"/>
                <w:kern w:val="0"/>
                <w:szCs w:val="21"/>
                <w:highlight w:val="none"/>
              </w:rPr>
            </w:pPr>
          </w:p>
        </w:tc>
      </w:tr>
      <w:tr w14:paraId="617892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7341280">
            <w:pPr>
              <w:autoSpaceDE w:val="0"/>
              <w:autoSpaceDN w:val="0"/>
              <w:adjustRightInd w:val="0"/>
              <w:snapToGrid w:val="0"/>
              <w:jc w:val="left"/>
              <w:rPr>
                <w:rFonts w:ascii="宋体" w:hAnsi="宋体"/>
                <w:color w:val="auto"/>
                <w:kern w:val="0"/>
                <w:szCs w:val="21"/>
                <w:highlight w:val="none"/>
              </w:rPr>
            </w:pPr>
          </w:p>
        </w:tc>
        <w:tc>
          <w:tcPr>
            <w:tcW w:w="734" w:type="dxa"/>
          </w:tcPr>
          <w:p w14:paraId="32F7C4C5">
            <w:pPr>
              <w:autoSpaceDE w:val="0"/>
              <w:autoSpaceDN w:val="0"/>
              <w:adjustRightInd w:val="0"/>
              <w:snapToGrid w:val="0"/>
              <w:jc w:val="left"/>
              <w:rPr>
                <w:rFonts w:ascii="宋体" w:hAnsi="宋体"/>
                <w:color w:val="auto"/>
                <w:kern w:val="0"/>
                <w:szCs w:val="21"/>
                <w:highlight w:val="none"/>
              </w:rPr>
            </w:pPr>
          </w:p>
        </w:tc>
        <w:tc>
          <w:tcPr>
            <w:tcW w:w="776" w:type="dxa"/>
          </w:tcPr>
          <w:p w14:paraId="19684736">
            <w:pPr>
              <w:autoSpaceDE w:val="0"/>
              <w:autoSpaceDN w:val="0"/>
              <w:adjustRightInd w:val="0"/>
              <w:snapToGrid w:val="0"/>
              <w:jc w:val="left"/>
              <w:rPr>
                <w:rFonts w:ascii="宋体" w:hAnsi="宋体"/>
                <w:color w:val="auto"/>
                <w:kern w:val="0"/>
                <w:szCs w:val="21"/>
                <w:highlight w:val="none"/>
              </w:rPr>
            </w:pPr>
          </w:p>
        </w:tc>
        <w:tc>
          <w:tcPr>
            <w:tcW w:w="1167" w:type="dxa"/>
          </w:tcPr>
          <w:p w14:paraId="36E02590">
            <w:pPr>
              <w:autoSpaceDE w:val="0"/>
              <w:autoSpaceDN w:val="0"/>
              <w:adjustRightInd w:val="0"/>
              <w:snapToGrid w:val="0"/>
              <w:jc w:val="left"/>
              <w:rPr>
                <w:rFonts w:ascii="宋体" w:hAnsi="宋体"/>
                <w:color w:val="auto"/>
                <w:kern w:val="0"/>
                <w:szCs w:val="21"/>
                <w:highlight w:val="none"/>
              </w:rPr>
            </w:pPr>
          </w:p>
        </w:tc>
        <w:tc>
          <w:tcPr>
            <w:tcW w:w="776" w:type="dxa"/>
          </w:tcPr>
          <w:p w14:paraId="63D456B9">
            <w:pPr>
              <w:autoSpaceDE w:val="0"/>
              <w:autoSpaceDN w:val="0"/>
              <w:adjustRightInd w:val="0"/>
              <w:snapToGrid w:val="0"/>
              <w:jc w:val="left"/>
              <w:rPr>
                <w:rFonts w:ascii="宋体" w:hAnsi="宋体"/>
                <w:color w:val="auto"/>
                <w:kern w:val="0"/>
                <w:szCs w:val="21"/>
                <w:highlight w:val="none"/>
              </w:rPr>
            </w:pPr>
          </w:p>
        </w:tc>
        <w:tc>
          <w:tcPr>
            <w:tcW w:w="778" w:type="dxa"/>
          </w:tcPr>
          <w:p w14:paraId="0C2E4E1F">
            <w:pPr>
              <w:autoSpaceDE w:val="0"/>
              <w:autoSpaceDN w:val="0"/>
              <w:adjustRightInd w:val="0"/>
              <w:snapToGrid w:val="0"/>
              <w:jc w:val="left"/>
              <w:rPr>
                <w:rFonts w:ascii="宋体" w:hAnsi="宋体"/>
                <w:color w:val="auto"/>
                <w:kern w:val="0"/>
                <w:szCs w:val="21"/>
                <w:highlight w:val="none"/>
              </w:rPr>
            </w:pPr>
          </w:p>
        </w:tc>
        <w:tc>
          <w:tcPr>
            <w:tcW w:w="776" w:type="dxa"/>
          </w:tcPr>
          <w:p w14:paraId="25CAF4CA">
            <w:pPr>
              <w:autoSpaceDE w:val="0"/>
              <w:autoSpaceDN w:val="0"/>
              <w:adjustRightInd w:val="0"/>
              <w:snapToGrid w:val="0"/>
              <w:jc w:val="left"/>
              <w:rPr>
                <w:rFonts w:ascii="宋体" w:hAnsi="宋体"/>
                <w:color w:val="auto"/>
                <w:kern w:val="0"/>
                <w:szCs w:val="21"/>
                <w:highlight w:val="none"/>
              </w:rPr>
            </w:pPr>
          </w:p>
        </w:tc>
        <w:tc>
          <w:tcPr>
            <w:tcW w:w="2723" w:type="dxa"/>
          </w:tcPr>
          <w:p w14:paraId="71684B65">
            <w:pPr>
              <w:autoSpaceDE w:val="0"/>
              <w:autoSpaceDN w:val="0"/>
              <w:adjustRightInd w:val="0"/>
              <w:snapToGrid w:val="0"/>
              <w:jc w:val="left"/>
              <w:rPr>
                <w:rFonts w:ascii="宋体" w:hAnsi="宋体"/>
                <w:color w:val="auto"/>
                <w:kern w:val="0"/>
                <w:szCs w:val="21"/>
                <w:highlight w:val="none"/>
              </w:rPr>
            </w:pPr>
          </w:p>
        </w:tc>
        <w:tc>
          <w:tcPr>
            <w:tcW w:w="896" w:type="dxa"/>
          </w:tcPr>
          <w:p w14:paraId="7433F336">
            <w:pPr>
              <w:autoSpaceDE w:val="0"/>
              <w:autoSpaceDN w:val="0"/>
              <w:adjustRightInd w:val="0"/>
              <w:snapToGrid w:val="0"/>
              <w:jc w:val="left"/>
              <w:rPr>
                <w:rFonts w:ascii="宋体" w:hAnsi="宋体"/>
                <w:color w:val="auto"/>
                <w:kern w:val="0"/>
                <w:szCs w:val="21"/>
                <w:highlight w:val="none"/>
              </w:rPr>
            </w:pPr>
          </w:p>
        </w:tc>
      </w:tr>
      <w:tr w14:paraId="130D0D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857D0DF">
            <w:pPr>
              <w:autoSpaceDE w:val="0"/>
              <w:autoSpaceDN w:val="0"/>
              <w:adjustRightInd w:val="0"/>
              <w:snapToGrid w:val="0"/>
              <w:jc w:val="left"/>
              <w:rPr>
                <w:rFonts w:ascii="宋体" w:hAnsi="宋体"/>
                <w:color w:val="auto"/>
                <w:kern w:val="0"/>
                <w:szCs w:val="21"/>
                <w:highlight w:val="none"/>
              </w:rPr>
            </w:pPr>
          </w:p>
        </w:tc>
        <w:tc>
          <w:tcPr>
            <w:tcW w:w="734" w:type="dxa"/>
          </w:tcPr>
          <w:p w14:paraId="3487AB1B">
            <w:pPr>
              <w:autoSpaceDE w:val="0"/>
              <w:autoSpaceDN w:val="0"/>
              <w:adjustRightInd w:val="0"/>
              <w:snapToGrid w:val="0"/>
              <w:jc w:val="left"/>
              <w:rPr>
                <w:rFonts w:ascii="宋体" w:hAnsi="宋体"/>
                <w:color w:val="auto"/>
                <w:kern w:val="0"/>
                <w:szCs w:val="21"/>
                <w:highlight w:val="none"/>
              </w:rPr>
            </w:pPr>
          </w:p>
        </w:tc>
        <w:tc>
          <w:tcPr>
            <w:tcW w:w="776" w:type="dxa"/>
          </w:tcPr>
          <w:p w14:paraId="209402C7">
            <w:pPr>
              <w:autoSpaceDE w:val="0"/>
              <w:autoSpaceDN w:val="0"/>
              <w:adjustRightInd w:val="0"/>
              <w:snapToGrid w:val="0"/>
              <w:jc w:val="left"/>
              <w:rPr>
                <w:rFonts w:ascii="宋体" w:hAnsi="宋体"/>
                <w:color w:val="auto"/>
                <w:kern w:val="0"/>
                <w:szCs w:val="21"/>
                <w:highlight w:val="none"/>
              </w:rPr>
            </w:pPr>
          </w:p>
        </w:tc>
        <w:tc>
          <w:tcPr>
            <w:tcW w:w="1167" w:type="dxa"/>
          </w:tcPr>
          <w:p w14:paraId="09687147">
            <w:pPr>
              <w:autoSpaceDE w:val="0"/>
              <w:autoSpaceDN w:val="0"/>
              <w:adjustRightInd w:val="0"/>
              <w:snapToGrid w:val="0"/>
              <w:jc w:val="left"/>
              <w:rPr>
                <w:rFonts w:ascii="宋体" w:hAnsi="宋体"/>
                <w:color w:val="auto"/>
                <w:kern w:val="0"/>
                <w:szCs w:val="21"/>
                <w:highlight w:val="none"/>
              </w:rPr>
            </w:pPr>
          </w:p>
        </w:tc>
        <w:tc>
          <w:tcPr>
            <w:tcW w:w="776" w:type="dxa"/>
          </w:tcPr>
          <w:p w14:paraId="3517863F">
            <w:pPr>
              <w:autoSpaceDE w:val="0"/>
              <w:autoSpaceDN w:val="0"/>
              <w:adjustRightInd w:val="0"/>
              <w:snapToGrid w:val="0"/>
              <w:jc w:val="left"/>
              <w:rPr>
                <w:rFonts w:ascii="宋体" w:hAnsi="宋体"/>
                <w:color w:val="auto"/>
                <w:kern w:val="0"/>
                <w:szCs w:val="21"/>
                <w:highlight w:val="none"/>
              </w:rPr>
            </w:pPr>
          </w:p>
        </w:tc>
        <w:tc>
          <w:tcPr>
            <w:tcW w:w="778" w:type="dxa"/>
          </w:tcPr>
          <w:p w14:paraId="228D1D58">
            <w:pPr>
              <w:autoSpaceDE w:val="0"/>
              <w:autoSpaceDN w:val="0"/>
              <w:adjustRightInd w:val="0"/>
              <w:snapToGrid w:val="0"/>
              <w:jc w:val="left"/>
              <w:rPr>
                <w:rFonts w:ascii="宋体" w:hAnsi="宋体"/>
                <w:color w:val="auto"/>
                <w:kern w:val="0"/>
                <w:szCs w:val="21"/>
                <w:highlight w:val="none"/>
              </w:rPr>
            </w:pPr>
          </w:p>
        </w:tc>
        <w:tc>
          <w:tcPr>
            <w:tcW w:w="776" w:type="dxa"/>
          </w:tcPr>
          <w:p w14:paraId="5C3A8970">
            <w:pPr>
              <w:autoSpaceDE w:val="0"/>
              <w:autoSpaceDN w:val="0"/>
              <w:adjustRightInd w:val="0"/>
              <w:snapToGrid w:val="0"/>
              <w:jc w:val="left"/>
              <w:rPr>
                <w:rFonts w:ascii="宋体" w:hAnsi="宋体"/>
                <w:color w:val="auto"/>
                <w:kern w:val="0"/>
                <w:szCs w:val="21"/>
                <w:highlight w:val="none"/>
              </w:rPr>
            </w:pPr>
          </w:p>
        </w:tc>
        <w:tc>
          <w:tcPr>
            <w:tcW w:w="2723" w:type="dxa"/>
          </w:tcPr>
          <w:p w14:paraId="48C14603">
            <w:pPr>
              <w:autoSpaceDE w:val="0"/>
              <w:autoSpaceDN w:val="0"/>
              <w:adjustRightInd w:val="0"/>
              <w:snapToGrid w:val="0"/>
              <w:jc w:val="left"/>
              <w:rPr>
                <w:rFonts w:ascii="宋体" w:hAnsi="宋体"/>
                <w:color w:val="auto"/>
                <w:kern w:val="0"/>
                <w:szCs w:val="21"/>
                <w:highlight w:val="none"/>
              </w:rPr>
            </w:pPr>
          </w:p>
        </w:tc>
        <w:tc>
          <w:tcPr>
            <w:tcW w:w="896" w:type="dxa"/>
          </w:tcPr>
          <w:p w14:paraId="446B39D1">
            <w:pPr>
              <w:autoSpaceDE w:val="0"/>
              <w:autoSpaceDN w:val="0"/>
              <w:adjustRightInd w:val="0"/>
              <w:snapToGrid w:val="0"/>
              <w:jc w:val="left"/>
              <w:rPr>
                <w:rFonts w:ascii="宋体" w:hAnsi="宋体"/>
                <w:color w:val="auto"/>
                <w:kern w:val="0"/>
                <w:szCs w:val="21"/>
                <w:highlight w:val="none"/>
              </w:rPr>
            </w:pPr>
          </w:p>
        </w:tc>
      </w:tr>
      <w:tr w14:paraId="3469E8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5F720FF">
            <w:pPr>
              <w:autoSpaceDE w:val="0"/>
              <w:autoSpaceDN w:val="0"/>
              <w:adjustRightInd w:val="0"/>
              <w:snapToGrid w:val="0"/>
              <w:jc w:val="left"/>
              <w:rPr>
                <w:rFonts w:ascii="宋体" w:hAnsi="宋体"/>
                <w:color w:val="auto"/>
                <w:kern w:val="0"/>
                <w:szCs w:val="21"/>
                <w:highlight w:val="none"/>
              </w:rPr>
            </w:pPr>
          </w:p>
        </w:tc>
        <w:tc>
          <w:tcPr>
            <w:tcW w:w="734" w:type="dxa"/>
          </w:tcPr>
          <w:p w14:paraId="45B4A5BD">
            <w:pPr>
              <w:autoSpaceDE w:val="0"/>
              <w:autoSpaceDN w:val="0"/>
              <w:adjustRightInd w:val="0"/>
              <w:snapToGrid w:val="0"/>
              <w:jc w:val="left"/>
              <w:rPr>
                <w:rFonts w:ascii="宋体" w:hAnsi="宋体"/>
                <w:color w:val="auto"/>
                <w:kern w:val="0"/>
                <w:szCs w:val="21"/>
                <w:highlight w:val="none"/>
              </w:rPr>
            </w:pPr>
          </w:p>
        </w:tc>
        <w:tc>
          <w:tcPr>
            <w:tcW w:w="776" w:type="dxa"/>
          </w:tcPr>
          <w:p w14:paraId="56B700EC">
            <w:pPr>
              <w:autoSpaceDE w:val="0"/>
              <w:autoSpaceDN w:val="0"/>
              <w:adjustRightInd w:val="0"/>
              <w:snapToGrid w:val="0"/>
              <w:jc w:val="left"/>
              <w:rPr>
                <w:rFonts w:ascii="宋体" w:hAnsi="宋体"/>
                <w:color w:val="auto"/>
                <w:kern w:val="0"/>
                <w:szCs w:val="21"/>
                <w:highlight w:val="none"/>
              </w:rPr>
            </w:pPr>
          </w:p>
        </w:tc>
        <w:tc>
          <w:tcPr>
            <w:tcW w:w="1167" w:type="dxa"/>
          </w:tcPr>
          <w:p w14:paraId="74129E70">
            <w:pPr>
              <w:autoSpaceDE w:val="0"/>
              <w:autoSpaceDN w:val="0"/>
              <w:adjustRightInd w:val="0"/>
              <w:snapToGrid w:val="0"/>
              <w:jc w:val="left"/>
              <w:rPr>
                <w:rFonts w:ascii="宋体" w:hAnsi="宋体"/>
                <w:color w:val="auto"/>
                <w:kern w:val="0"/>
                <w:szCs w:val="21"/>
                <w:highlight w:val="none"/>
              </w:rPr>
            </w:pPr>
          </w:p>
        </w:tc>
        <w:tc>
          <w:tcPr>
            <w:tcW w:w="776" w:type="dxa"/>
          </w:tcPr>
          <w:p w14:paraId="2B2BC7AA">
            <w:pPr>
              <w:autoSpaceDE w:val="0"/>
              <w:autoSpaceDN w:val="0"/>
              <w:adjustRightInd w:val="0"/>
              <w:snapToGrid w:val="0"/>
              <w:jc w:val="left"/>
              <w:rPr>
                <w:rFonts w:ascii="宋体" w:hAnsi="宋体"/>
                <w:color w:val="auto"/>
                <w:kern w:val="0"/>
                <w:szCs w:val="21"/>
                <w:highlight w:val="none"/>
              </w:rPr>
            </w:pPr>
          </w:p>
        </w:tc>
        <w:tc>
          <w:tcPr>
            <w:tcW w:w="778" w:type="dxa"/>
          </w:tcPr>
          <w:p w14:paraId="16AE8D3E">
            <w:pPr>
              <w:autoSpaceDE w:val="0"/>
              <w:autoSpaceDN w:val="0"/>
              <w:adjustRightInd w:val="0"/>
              <w:snapToGrid w:val="0"/>
              <w:jc w:val="left"/>
              <w:rPr>
                <w:rFonts w:ascii="宋体" w:hAnsi="宋体"/>
                <w:color w:val="auto"/>
                <w:kern w:val="0"/>
                <w:szCs w:val="21"/>
                <w:highlight w:val="none"/>
              </w:rPr>
            </w:pPr>
          </w:p>
        </w:tc>
        <w:tc>
          <w:tcPr>
            <w:tcW w:w="776" w:type="dxa"/>
          </w:tcPr>
          <w:p w14:paraId="62493E24">
            <w:pPr>
              <w:autoSpaceDE w:val="0"/>
              <w:autoSpaceDN w:val="0"/>
              <w:adjustRightInd w:val="0"/>
              <w:snapToGrid w:val="0"/>
              <w:jc w:val="left"/>
              <w:rPr>
                <w:rFonts w:ascii="宋体" w:hAnsi="宋体"/>
                <w:color w:val="auto"/>
                <w:kern w:val="0"/>
                <w:szCs w:val="21"/>
                <w:highlight w:val="none"/>
              </w:rPr>
            </w:pPr>
          </w:p>
        </w:tc>
        <w:tc>
          <w:tcPr>
            <w:tcW w:w="2723" w:type="dxa"/>
          </w:tcPr>
          <w:p w14:paraId="6B41C513">
            <w:pPr>
              <w:autoSpaceDE w:val="0"/>
              <w:autoSpaceDN w:val="0"/>
              <w:adjustRightInd w:val="0"/>
              <w:snapToGrid w:val="0"/>
              <w:jc w:val="left"/>
              <w:rPr>
                <w:rFonts w:ascii="宋体" w:hAnsi="宋体"/>
                <w:color w:val="auto"/>
                <w:kern w:val="0"/>
                <w:szCs w:val="21"/>
                <w:highlight w:val="none"/>
              </w:rPr>
            </w:pPr>
          </w:p>
        </w:tc>
        <w:tc>
          <w:tcPr>
            <w:tcW w:w="896" w:type="dxa"/>
          </w:tcPr>
          <w:p w14:paraId="34BCC979">
            <w:pPr>
              <w:autoSpaceDE w:val="0"/>
              <w:autoSpaceDN w:val="0"/>
              <w:adjustRightInd w:val="0"/>
              <w:snapToGrid w:val="0"/>
              <w:jc w:val="left"/>
              <w:rPr>
                <w:rFonts w:ascii="宋体" w:hAnsi="宋体"/>
                <w:color w:val="auto"/>
                <w:kern w:val="0"/>
                <w:szCs w:val="21"/>
                <w:highlight w:val="none"/>
              </w:rPr>
            </w:pPr>
          </w:p>
        </w:tc>
      </w:tr>
      <w:tr w14:paraId="560529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CE1A2F3">
            <w:pPr>
              <w:autoSpaceDE w:val="0"/>
              <w:autoSpaceDN w:val="0"/>
              <w:adjustRightInd w:val="0"/>
              <w:snapToGrid w:val="0"/>
              <w:jc w:val="left"/>
              <w:rPr>
                <w:rFonts w:ascii="宋体" w:hAnsi="宋体"/>
                <w:color w:val="auto"/>
                <w:kern w:val="0"/>
                <w:szCs w:val="21"/>
                <w:highlight w:val="none"/>
              </w:rPr>
            </w:pPr>
          </w:p>
        </w:tc>
        <w:tc>
          <w:tcPr>
            <w:tcW w:w="734" w:type="dxa"/>
          </w:tcPr>
          <w:p w14:paraId="51D56F3E">
            <w:pPr>
              <w:autoSpaceDE w:val="0"/>
              <w:autoSpaceDN w:val="0"/>
              <w:adjustRightInd w:val="0"/>
              <w:snapToGrid w:val="0"/>
              <w:jc w:val="left"/>
              <w:rPr>
                <w:rFonts w:ascii="宋体" w:hAnsi="宋体"/>
                <w:color w:val="auto"/>
                <w:kern w:val="0"/>
                <w:szCs w:val="21"/>
                <w:highlight w:val="none"/>
              </w:rPr>
            </w:pPr>
          </w:p>
        </w:tc>
        <w:tc>
          <w:tcPr>
            <w:tcW w:w="776" w:type="dxa"/>
          </w:tcPr>
          <w:p w14:paraId="1872E65D">
            <w:pPr>
              <w:autoSpaceDE w:val="0"/>
              <w:autoSpaceDN w:val="0"/>
              <w:adjustRightInd w:val="0"/>
              <w:snapToGrid w:val="0"/>
              <w:jc w:val="left"/>
              <w:rPr>
                <w:rFonts w:ascii="宋体" w:hAnsi="宋体"/>
                <w:color w:val="auto"/>
                <w:kern w:val="0"/>
                <w:szCs w:val="21"/>
                <w:highlight w:val="none"/>
              </w:rPr>
            </w:pPr>
          </w:p>
        </w:tc>
        <w:tc>
          <w:tcPr>
            <w:tcW w:w="1167" w:type="dxa"/>
          </w:tcPr>
          <w:p w14:paraId="644A1861">
            <w:pPr>
              <w:autoSpaceDE w:val="0"/>
              <w:autoSpaceDN w:val="0"/>
              <w:adjustRightInd w:val="0"/>
              <w:snapToGrid w:val="0"/>
              <w:jc w:val="left"/>
              <w:rPr>
                <w:rFonts w:ascii="宋体" w:hAnsi="宋体"/>
                <w:color w:val="auto"/>
                <w:kern w:val="0"/>
                <w:szCs w:val="21"/>
                <w:highlight w:val="none"/>
              </w:rPr>
            </w:pPr>
          </w:p>
        </w:tc>
        <w:tc>
          <w:tcPr>
            <w:tcW w:w="776" w:type="dxa"/>
          </w:tcPr>
          <w:p w14:paraId="425E58F0">
            <w:pPr>
              <w:autoSpaceDE w:val="0"/>
              <w:autoSpaceDN w:val="0"/>
              <w:adjustRightInd w:val="0"/>
              <w:snapToGrid w:val="0"/>
              <w:jc w:val="left"/>
              <w:rPr>
                <w:rFonts w:ascii="宋体" w:hAnsi="宋体"/>
                <w:color w:val="auto"/>
                <w:kern w:val="0"/>
                <w:szCs w:val="21"/>
                <w:highlight w:val="none"/>
              </w:rPr>
            </w:pPr>
          </w:p>
        </w:tc>
        <w:tc>
          <w:tcPr>
            <w:tcW w:w="778" w:type="dxa"/>
          </w:tcPr>
          <w:p w14:paraId="41F524CD">
            <w:pPr>
              <w:autoSpaceDE w:val="0"/>
              <w:autoSpaceDN w:val="0"/>
              <w:adjustRightInd w:val="0"/>
              <w:snapToGrid w:val="0"/>
              <w:jc w:val="left"/>
              <w:rPr>
                <w:rFonts w:ascii="宋体" w:hAnsi="宋体"/>
                <w:color w:val="auto"/>
                <w:kern w:val="0"/>
                <w:szCs w:val="21"/>
                <w:highlight w:val="none"/>
              </w:rPr>
            </w:pPr>
          </w:p>
        </w:tc>
        <w:tc>
          <w:tcPr>
            <w:tcW w:w="776" w:type="dxa"/>
          </w:tcPr>
          <w:p w14:paraId="427CA4DD">
            <w:pPr>
              <w:autoSpaceDE w:val="0"/>
              <w:autoSpaceDN w:val="0"/>
              <w:adjustRightInd w:val="0"/>
              <w:snapToGrid w:val="0"/>
              <w:jc w:val="left"/>
              <w:rPr>
                <w:rFonts w:ascii="宋体" w:hAnsi="宋体"/>
                <w:color w:val="auto"/>
                <w:kern w:val="0"/>
                <w:szCs w:val="21"/>
                <w:highlight w:val="none"/>
              </w:rPr>
            </w:pPr>
          </w:p>
        </w:tc>
        <w:tc>
          <w:tcPr>
            <w:tcW w:w="2723" w:type="dxa"/>
          </w:tcPr>
          <w:p w14:paraId="1DA85440">
            <w:pPr>
              <w:autoSpaceDE w:val="0"/>
              <w:autoSpaceDN w:val="0"/>
              <w:adjustRightInd w:val="0"/>
              <w:snapToGrid w:val="0"/>
              <w:jc w:val="left"/>
              <w:rPr>
                <w:rFonts w:ascii="宋体" w:hAnsi="宋体"/>
                <w:color w:val="auto"/>
                <w:kern w:val="0"/>
                <w:szCs w:val="21"/>
                <w:highlight w:val="none"/>
              </w:rPr>
            </w:pPr>
          </w:p>
        </w:tc>
        <w:tc>
          <w:tcPr>
            <w:tcW w:w="896" w:type="dxa"/>
          </w:tcPr>
          <w:p w14:paraId="413F05EE">
            <w:pPr>
              <w:autoSpaceDE w:val="0"/>
              <w:autoSpaceDN w:val="0"/>
              <w:adjustRightInd w:val="0"/>
              <w:snapToGrid w:val="0"/>
              <w:jc w:val="left"/>
              <w:rPr>
                <w:rFonts w:ascii="宋体" w:hAnsi="宋体"/>
                <w:color w:val="auto"/>
                <w:kern w:val="0"/>
                <w:szCs w:val="21"/>
                <w:highlight w:val="none"/>
              </w:rPr>
            </w:pPr>
          </w:p>
        </w:tc>
      </w:tr>
      <w:tr w14:paraId="4435AB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F5DB4A2">
            <w:pPr>
              <w:autoSpaceDE w:val="0"/>
              <w:autoSpaceDN w:val="0"/>
              <w:adjustRightInd w:val="0"/>
              <w:snapToGrid w:val="0"/>
              <w:jc w:val="left"/>
              <w:rPr>
                <w:rFonts w:ascii="宋体" w:hAnsi="宋体"/>
                <w:color w:val="auto"/>
                <w:kern w:val="0"/>
                <w:szCs w:val="21"/>
                <w:highlight w:val="none"/>
              </w:rPr>
            </w:pPr>
          </w:p>
        </w:tc>
        <w:tc>
          <w:tcPr>
            <w:tcW w:w="734" w:type="dxa"/>
          </w:tcPr>
          <w:p w14:paraId="07A7E9BF">
            <w:pPr>
              <w:autoSpaceDE w:val="0"/>
              <w:autoSpaceDN w:val="0"/>
              <w:adjustRightInd w:val="0"/>
              <w:snapToGrid w:val="0"/>
              <w:jc w:val="left"/>
              <w:rPr>
                <w:rFonts w:ascii="宋体" w:hAnsi="宋体"/>
                <w:color w:val="auto"/>
                <w:kern w:val="0"/>
                <w:szCs w:val="21"/>
                <w:highlight w:val="none"/>
              </w:rPr>
            </w:pPr>
          </w:p>
        </w:tc>
        <w:tc>
          <w:tcPr>
            <w:tcW w:w="776" w:type="dxa"/>
          </w:tcPr>
          <w:p w14:paraId="2AA60C4C">
            <w:pPr>
              <w:autoSpaceDE w:val="0"/>
              <w:autoSpaceDN w:val="0"/>
              <w:adjustRightInd w:val="0"/>
              <w:snapToGrid w:val="0"/>
              <w:jc w:val="left"/>
              <w:rPr>
                <w:rFonts w:ascii="宋体" w:hAnsi="宋体"/>
                <w:color w:val="auto"/>
                <w:kern w:val="0"/>
                <w:szCs w:val="21"/>
                <w:highlight w:val="none"/>
              </w:rPr>
            </w:pPr>
          </w:p>
        </w:tc>
        <w:tc>
          <w:tcPr>
            <w:tcW w:w="1167" w:type="dxa"/>
          </w:tcPr>
          <w:p w14:paraId="6677C133">
            <w:pPr>
              <w:autoSpaceDE w:val="0"/>
              <w:autoSpaceDN w:val="0"/>
              <w:adjustRightInd w:val="0"/>
              <w:snapToGrid w:val="0"/>
              <w:jc w:val="left"/>
              <w:rPr>
                <w:rFonts w:ascii="宋体" w:hAnsi="宋体"/>
                <w:color w:val="auto"/>
                <w:kern w:val="0"/>
                <w:szCs w:val="21"/>
                <w:highlight w:val="none"/>
              </w:rPr>
            </w:pPr>
          </w:p>
        </w:tc>
        <w:tc>
          <w:tcPr>
            <w:tcW w:w="776" w:type="dxa"/>
          </w:tcPr>
          <w:p w14:paraId="4BC5CFDA">
            <w:pPr>
              <w:autoSpaceDE w:val="0"/>
              <w:autoSpaceDN w:val="0"/>
              <w:adjustRightInd w:val="0"/>
              <w:snapToGrid w:val="0"/>
              <w:jc w:val="left"/>
              <w:rPr>
                <w:rFonts w:ascii="宋体" w:hAnsi="宋体"/>
                <w:color w:val="auto"/>
                <w:kern w:val="0"/>
                <w:szCs w:val="21"/>
                <w:highlight w:val="none"/>
              </w:rPr>
            </w:pPr>
          </w:p>
        </w:tc>
        <w:tc>
          <w:tcPr>
            <w:tcW w:w="778" w:type="dxa"/>
          </w:tcPr>
          <w:p w14:paraId="5C99382F">
            <w:pPr>
              <w:autoSpaceDE w:val="0"/>
              <w:autoSpaceDN w:val="0"/>
              <w:adjustRightInd w:val="0"/>
              <w:snapToGrid w:val="0"/>
              <w:jc w:val="left"/>
              <w:rPr>
                <w:rFonts w:ascii="宋体" w:hAnsi="宋体"/>
                <w:color w:val="auto"/>
                <w:kern w:val="0"/>
                <w:szCs w:val="21"/>
                <w:highlight w:val="none"/>
              </w:rPr>
            </w:pPr>
          </w:p>
        </w:tc>
        <w:tc>
          <w:tcPr>
            <w:tcW w:w="776" w:type="dxa"/>
          </w:tcPr>
          <w:p w14:paraId="409F901F">
            <w:pPr>
              <w:autoSpaceDE w:val="0"/>
              <w:autoSpaceDN w:val="0"/>
              <w:adjustRightInd w:val="0"/>
              <w:snapToGrid w:val="0"/>
              <w:jc w:val="left"/>
              <w:rPr>
                <w:rFonts w:ascii="宋体" w:hAnsi="宋体"/>
                <w:color w:val="auto"/>
                <w:kern w:val="0"/>
                <w:szCs w:val="21"/>
                <w:highlight w:val="none"/>
              </w:rPr>
            </w:pPr>
          </w:p>
        </w:tc>
        <w:tc>
          <w:tcPr>
            <w:tcW w:w="2723" w:type="dxa"/>
          </w:tcPr>
          <w:p w14:paraId="7CDB4B9B">
            <w:pPr>
              <w:autoSpaceDE w:val="0"/>
              <w:autoSpaceDN w:val="0"/>
              <w:adjustRightInd w:val="0"/>
              <w:snapToGrid w:val="0"/>
              <w:jc w:val="left"/>
              <w:rPr>
                <w:rFonts w:ascii="宋体" w:hAnsi="宋体"/>
                <w:color w:val="auto"/>
                <w:kern w:val="0"/>
                <w:szCs w:val="21"/>
                <w:highlight w:val="none"/>
              </w:rPr>
            </w:pPr>
          </w:p>
        </w:tc>
        <w:tc>
          <w:tcPr>
            <w:tcW w:w="896" w:type="dxa"/>
          </w:tcPr>
          <w:p w14:paraId="15596D52">
            <w:pPr>
              <w:autoSpaceDE w:val="0"/>
              <w:autoSpaceDN w:val="0"/>
              <w:adjustRightInd w:val="0"/>
              <w:snapToGrid w:val="0"/>
              <w:jc w:val="left"/>
              <w:rPr>
                <w:rFonts w:ascii="宋体" w:hAnsi="宋体"/>
                <w:color w:val="auto"/>
                <w:kern w:val="0"/>
                <w:szCs w:val="21"/>
                <w:highlight w:val="none"/>
              </w:rPr>
            </w:pPr>
          </w:p>
        </w:tc>
      </w:tr>
      <w:tr w14:paraId="46FFF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15AB9C7">
            <w:pPr>
              <w:autoSpaceDE w:val="0"/>
              <w:autoSpaceDN w:val="0"/>
              <w:adjustRightInd w:val="0"/>
              <w:snapToGrid w:val="0"/>
              <w:jc w:val="left"/>
              <w:rPr>
                <w:rFonts w:ascii="宋体" w:hAnsi="宋体"/>
                <w:color w:val="auto"/>
                <w:kern w:val="0"/>
                <w:szCs w:val="21"/>
                <w:highlight w:val="none"/>
              </w:rPr>
            </w:pPr>
          </w:p>
        </w:tc>
        <w:tc>
          <w:tcPr>
            <w:tcW w:w="734" w:type="dxa"/>
          </w:tcPr>
          <w:p w14:paraId="771537AF">
            <w:pPr>
              <w:autoSpaceDE w:val="0"/>
              <w:autoSpaceDN w:val="0"/>
              <w:adjustRightInd w:val="0"/>
              <w:snapToGrid w:val="0"/>
              <w:jc w:val="left"/>
              <w:rPr>
                <w:rFonts w:ascii="宋体" w:hAnsi="宋体"/>
                <w:color w:val="auto"/>
                <w:kern w:val="0"/>
                <w:szCs w:val="21"/>
                <w:highlight w:val="none"/>
              </w:rPr>
            </w:pPr>
          </w:p>
        </w:tc>
        <w:tc>
          <w:tcPr>
            <w:tcW w:w="776" w:type="dxa"/>
          </w:tcPr>
          <w:p w14:paraId="50EE841B">
            <w:pPr>
              <w:autoSpaceDE w:val="0"/>
              <w:autoSpaceDN w:val="0"/>
              <w:adjustRightInd w:val="0"/>
              <w:snapToGrid w:val="0"/>
              <w:jc w:val="left"/>
              <w:rPr>
                <w:rFonts w:ascii="宋体" w:hAnsi="宋体"/>
                <w:color w:val="auto"/>
                <w:kern w:val="0"/>
                <w:szCs w:val="21"/>
                <w:highlight w:val="none"/>
              </w:rPr>
            </w:pPr>
          </w:p>
        </w:tc>
        <w:tc>
          <w:tcPr>
            <w:tcW w:w="1167" w:type="dxa"/>
          </w:tcPr>
          <w:p w14:paraId="389FE02C">
            <w:pPr>
              <w:autoSpaceDE w:val="0"/>
              <w:autoSpaceDN w:val="0"/>
              <w:adjustRightInd w:val="0"/>
              <w:snapToGrid w:val="0"/>
              <w:jc w:val="left"/>
              <w:rPr>
                <w:rFonts w:ascii="宋体" w:hAnsi="宋体"/>
                <w:color w:val="auto"/>
                <w:kern w:val="0"/>
                <w:szCs w:val="21"/>
                <w:highlight w:val="none"/>
              </w:rPr>
            </w:pPr>
          </w:p>
        </w:tc>
        <w:tc>
          <w:tcPr>
            <w:tcW w:w="776" w:type="dxa"/>
          </w:tcPr>
          <w:p w14:paraId="51D806FF">
            <w:pPr>
              <w:autoSpaceDE w:val="0"/>
              <w:autoSpaceDN w:val="0"/>
              <w:adjustRightInd w:val="0"/>
              <w:snapToGrid w:val="0"/>
              <w:jc w:val="left"/>
              <w:rPr>
                <w:rFonts w:ascii="宋体" w:hAnsi="宋体"/>
                <w:color w:val="auto"/>
                <w:kern w:val="0"/>
                <w:szCs w:val="21"/>
                <w:highlight w:val="none"/>
              </w:rPr>
            </w:pPr>
          </w:p>
        </w:tc>
        <w:tc>
          <w:tcPr>
            <w:tcW w:w="778" w:type="dxa"/>
          </w:tcPr>
          <w:p w14:paraId="45CB2ED1">
            <w:pPr>
              <w:autoSpaceDE w:val="0"/>
              <w:autoSpaceDN w:val="0"/>
              <w:adjustRightInd w:val="0"/>
              <w:snapToGrid w:val="0"/>
              <w:jc w:val="left"/>
              <w:rPr>
                <w:rFonts w:ascii="宋体" w:hAnsi="宋体"/>
                <w:color w:val="auto"/>
                <w:kern w:val="0"/>
                <w:szCs w:val="21"/>
                <w:highlight w:val="none"/>
              </w:rPr>
            </w:pPr>
          </w:p>
        </w:tc>
        <w:tc>
          <w:tcPr>
            <w:tcW w:w="776" w:type="dxa"/>
          </w:tcPr>
          <w:p w14:paraId="4E234FCD">
            <w:pPr>
              <w:autoSpaceDE w:val="0"/>
              <w:autoSpaceDN w:val="0"/>
              <w:adjustRightInd w:val="0"/>
              <w:snapToGrid w:val="0"/>
              <w:jc w:val="left"/>
              <w:rPr>
                <w:rFonts w:ascii="宋体" w:hAnsi="宋体"/>
                <w:color w:val="auto"/>
                <w:kern w:val="0"/>
                <w:szCs w:val="21"/>
                <w:highlight w:val="none"/>
              </w:rPr>
            </w:pPr>
          </w:p>
        </w:tc>
        <w:tc>
          <w:tcPr>
            <w:tcW w:w="2723" w:type="dxa"/>
          </w:tcPr>
          <w:p w14:paraId="1E4C8F61">
            <w:pPr>
              <w:autoSpaceDE w:val="0"/>
              <w:autoSpaceDN w:val="0"/>
              <w:adjustRightInd w:val="0"/>
              <w:snapToGrid w:val="0"/>
              <w:jc w:val="left"/>
              <w:rPr>
                <w:rFonts w:ascii="宋体" w:hAnsi="宋体"/>
                <w:color w:val="auto"/>
                <w:kern w:val="0"/>
                <w:szCs w:val="21"/>
                <w:highlight w:val="none"/>
              </w:rPr>
            </w:pPr>
          </w:p>
        </w:tc>
        <w:tc>
          <w:tcPr>
            <w:tcW w:w="896" w:type="dxa"/>
          </w:tcPr>
          <w:p w14:paraId="2F2BFB0D">
            <w:pPr>
              <w:autoSpaceDE w:val="0"/>
              <w:autoSpaceDN w:val="0"/>
              <w:adjustRightInd w:val="0"/>
              <w:snapToGrid w:val="0"/>
              <w:jc w:val="left"/>
              <w:rPr>
                <w:rFonts w:ascii="宋体" w:hAnsi="宋体"/>
                <w:color w:val="auto"/>
                <w:kern w:val="0"/>
                <w:szCs w:val="21"/>
                <w:highlight w:val="none"/>
              </w:rPr>
            </w:pPr>
          </w:p>
        </w:tc>
      </w:tr>
      <w:tr w14:paraId="6748F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635E3B8">
            <w:pPr>
              <w:autoSpaceDE w:val="0"/>
              <w:autoSpaceDN w:val="0"/>
              <w:adjustRightInd w:val="0"/>
              <w:snapToGrid w:val="0"/>
              <w:jc w:val="left"/>
              <w:rPr>
                <w:rFonts w:ascii="宋体" w:hAnsi="宋体"/>
                <w:color w:val="auto"/>
                <w:kern w:val="0"/>
                <w:szCs w:val="21"/>
                <w:highlight w:val="none"/>
              </w:rPr>
            </w:pPr>
          </w:p>
        </w:tc>
        <w:tc>
          <w:tcPr>
            <w:tcW w:w="734" w:type="dxa"/>
          </w:tcPr>
          <w:p w14:paraId="0A2BB2B0">
            <w:pPr>
              <w:autoSpaceDE w:val="0"/>
              <w:autoSpaceDN w:val="0"/>
              <w:adjustRightInd w:val="0"/>
              <w:snapToGrid w:val="0"/>
              <w:jc w:val="left"/>
              <w:rPr>
                <w:rFonts w:ascii="宋体" w:hAnsi="宋体"/>
                <w:color w:val="auto"/>
                <w:kern w:val="0"/>
                <w:szCs w:val="21"/>
                <w:highlight w:val="none"/>
              </w:rPr>
            </w:pPr>
          </w:p>
        </w:tc>
        <w:tc>
          <w:tcPr>
            <w:tcW w:w="776" w:type="dxa"/>
          </w:tcPr>
          <w:p w14:paraId="5C726A5C">
            <w:pPr>
              <w:autoSpaceDE w:val="0"/>
              <w:autoSpaceDN w:val="0"/>
              <w:adjustRightInd w:val="0"/>
              <w:snapToGrid w:val="0"/>
              <w:jc w:val="left"/>
              <w:rPr>
                <w:rFonts w:ascii="宋体" w:hAnsi="宋体"/>
                <w:color w:val="auto"/>
                <w:kern w:val="0"/>
                <w:szCs w:val="21"/>
                <w:highlight w:val="none"/>
              </w:rPr>
            </w:pPr>
          </w:p>
        </w:tc>
        <w:tc>
          <w:tcPr>
            <w:tcW w:w="1167" w:type="dxa"/>
          </w:tcPr>
          <w:p w14:paraId="1161CFEB">
            <w:pPr>
              <w:autoSpaceDE w:val="0"/>
              <w:autoSpaceDN w:val="0"/>
              <w:adjustRightInd w:val="0"/>
              <w:snapToGrid w:val="0"/>
              <w:jc w:val="left"/>
              <w:rPr>
                <w:rFonts w:ascii="宋体" w:hAnsi="宋体"/>
                <w:color w:val="auto"/>
                <w:kern w:val="0"/>
                <w:szCs w:val="21"/>
                <w:highlight w:val="none"/>
              </w:rPr>
            </w:pPr>
          </w:p>
        </w:tc>
        <w:tc>
          <w:tcPr>
            <w:tcW w:w="776" w:type="dxa"/>
          </w:tcPr>
          <w:p w14:paraId="3B50EC75">
            <w:pPr>
              <w:autoSpaceDE w:val="0"/>
              <w:autoSpaceDN w:val="0"/>
              <w:adjustRightInd w:val="0"/>
              <w:snapToGrid w:val="0"/>
              <w:jc w:val="left"/>
              <w:rPr>
                <w:rFonts w:ascii="宋体" w:hAnsi="宋体"/>
                <w:color w:val="auto"/>
                <w:kern w:val="0"/>
                <w:szCs w:val="21"/>
                <w:highlight w:val="none"/>
              </w:rPr>
            </w:pPr>
          </w:p>
        </w:tc>
        <w:tc>
          <w:tcPr>
            <w:tcW w:w="778" w:type="dxa"/>
          </w:tcPr>
          <w:p w14:paraId="3607F5B8">
            <w:pPr>
              <w:autoSpaceDE w:val="0"/>
              <w:autoSpaceDN w:val="0"/>
              <w:adjustRightInd w:val="0"/>
              <w:snapToGrid w:val="0"/>
              <w:jc w:val="left"/>
              <w:rPr>
                <w:rFonts w:ascii="宋体" w:hAnsi="宋体"/>
                <w:color w:val="auto"/>
                <w:kern w:val="0"/>
                <w:szCs w:val="21"/>
                <w:highlight w:val="none"/>
              </w:rPr>
            </w:pPr>
          </w:p>
        </w:tc>
        <w:tc>
          <w:tcPr>
            <w:tcW w:w="776" w:type="dxa"/>
          </w:tcPr>
          <w:p w14:paraId="16DA2966">
            <w:pPr>
              <w:autoSpaceDE w:val="0"/>
              <w:autoSpaceDN w:val="0"/>
              <w:adjustRightInd w:val="0"/>
              <w:snapToGrid w:val="0"/>
              <w:jc w:val="left"/>
              <w:rPr>
                <w:rFonts w:ascii="宋体" w:hAnsi="宋体"/>
                <w:color w:val="auto"/>
                <w:kern w:val="0"/>
                <w:szCs w:val="21"/>
                <w:highlight w:val="none"/>
              </w:rPr>
            </w:pPr>
          </w:p>
        </w:tc>
        <w:tc>
          <w:tcPr>
            <w:tcW w:w="2723" w:type="dxa"/>
          </w:tcPr>
          <w:p w14:paraId="2B530622">
            <w:pPr>
              <w:autoSpaceDE w:val="0"/>
              <w:autoSpaceDN w:val="0"/>
              <w:adjustRightInd w:val="0"/>
              <w:snapToGrid w:val="0"/>
              <w:jc w:val="left"/>
              <w:rPr>
                <w:rFonts w:ascii="宋体" w:hAnsi="宋体"/>
                <w:color w:val="auto"/>
                <w:kern w:val="0"/>
                <w:szCs w:val="21"/>
                <w:highlight w:val="none"/>
              </w:rPr>
            </w:pPr>
          </w:p>
        </w:tc>
        <w:tc>
          <w:tcPr>
            <w:tcW w:w="896" w:type="dxa"/>
          </w:tcPr>
          <w:p w14:paraId="378D5BC0">
            <w:pPr>
              <w:autoSpaceDE w:val="0"/>
              <w:autoSpaceDN w:val="0"/>
              <w:adjustRightInd w:val="0"/>
              <w:snapToGrid w:val="0"/>
              <w:jc w:val="left"/>
              <w:rPr>
                <w:rFonts w:ascii="宋体" w:hAnsi="宋体"/>
                <w:color w:val="auto"/>
                <w:kern w:val="0"/>
                <w:szCs w:val="21"/>
                <w:highlight w:val="none"/>
              </w:rPr>
            </w:pPr>
          </w:p>
        </w:tc>
      </w:tr>
      <w:tr w14:paraId="60D395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C6989CA">
            <w:pPr>
              <w:autoSpaceDE w:val="0"/>
              <w:autoSpaceDN w:val="0"/>
              <w:adjustRightInd w:val="0"/>
              <w:snapToGrid w:val="0"/>
              <w:jc w:val="left"/>
              <w:rPr>
                <w:rFonts w:ascii="宋体" w:hAnsi="宋体"/>
                <w:color w:val="auto"/>
                <w:kern w:val="0"/>
                <w:szCs w:val="21"/>
                <w:highlight w:val="none"/>
              </w:rPr>
            </w:pPr>
          </w:p>
        </w:tc>
        <w:tc>
          <w:tcPr>
            <w:tcW w:w="734" w:type="dxa"/>
          </w:tcPr>
          <w:p w14:paraId="1A5A188E">
            <w:pPr>
              <w:autoSpaceDE w:val="0"/>
              <w:autoSpaceDN w:val="0"/>
              <w:adjustRightInd w:val="0"/>
              <w:snapToGrid w:val="0"/>
              <w:jc w:val="left"/>
              <w:rPr>
                <w:rFonts w:ascii="宋体" w:hAnsi="宋体"/>
                <w:color w:val="auto"/>
                <w:kern w:val="0"/>
                <w:szCs w:val="21"/>
                <w:highlight w:val="none"/>
              </w:rPr>
            </w:pPr>
          </w:p>
        </w:tc>
        <w:tc>
          <w:tcPr>
            <w:tcW w:w="776" w:type="dxa"/>
          </w:tcPr>
          <w:p w14:paraId="160DDD53">
            <w:pPr>
              <w:autoSpaceDE w:val="0"/>
              <w:autoSpaceDN w:val="0"/>
              <w:adjustRightInd w:val="0"/>
              <w:snapToGrid w:val="0"/>
              <w:jc w:val="left"/>
              <w:rPr>
                <w:rFonts w:ascii="宋体" w:hAnsi="宋体"/>
                <w:color w:val="auto"/>
                <w:kern w:val="0"/>
                <w:szCs w:val="21"/>
                <w:highlight w:val="none"/>
              </w:rPr>
            </w:pPr>
          </w:p>
        </w:tc>
        <w:tc>
          <w:tcPr>
            <w:tcW w:w="1167" w:type="dxa"/>
          </w:tcPr>
          <w:p w14:paraId="25F4CBD1">
            <w:pPr>
              <w:autoSpaceDE w:val="0"/>
              <w:autoSpaceDN w:val="0"/>
              <w:adjustRightInd w:val="0"/>
              <w:snapToGrid w:val="0"/>
              <w:jc w:val="left"/>
              <w:rPr>
                <w:rFonts w:ascii="宋体" w:hAnsi="宋体"/>
                <w:color w:val="auto"/>
                <w:kern w:val="0"/>
                <w:szCs w:val="21"/>
                <w:highlight w:val="none"/>
              </w:rPr>
            </w:pPr>
          </w:p>
        </w:tc>
        <w:tc>
          <w:tcPr>
            <w:tcW w:w="776" w:type="dxa"/>
          </w:tcPr>
          <w:p w14:paraId="7F19391B">
            <w:pPr>
              <w:autoSpaceDE w:val="0"/>
              <w:autoSpaceDN w:val="0"/>
              <w:adjustRightInd w:val="0"/>
              <w:snapToGrid w:val="0"/>
              <w:jc w:val="left"/>
              <w:rPr>
                <w:rFonts w:ascii="宋体" w:hAnsi="宋体"/>
                <w:color w:val="auto"/>
                <w:kern w:val="0"/>
                <w:szCs w:val="21"/>
                <w:highlight w:val="none"/>
              </w:rPr>
            </w:pPr>
          </w:p>
        </w:tc>
        <w:tc>
          <w:tcPr>
            <w:tcW w:w="778" w:type="dxa"/>
          </w:tcPr>
          <w:p w14:paraId="25658C32">
            <w:pPr>
              <w:autoSpaceDE w:val="0"/>
              <w:autoSpaceDN w:val="0"/>
              <w:adjustRightInd w:val="0"/>
              <w:snapToGrid w:val="0"/>
              <w:jc w:val="left"/>
              <w:rPr>
                <w:rFonts w:ascii="宋体" w:hAnsi="宋体"/>
                <w:color w:val="auto"/>
                <w:kern w:val="0"/>
                <w:szCs w:val="21"/>
                <w:highlight w:val="none"/>
              </w:rPr>
            </w:pPr>
          </w:p>
        </w:tc>
        <w:tc>
          <w:tcPr>
            <w:tcW w:w="776" w:type="dxa"/>
          </w:tcPr>
          <w:p w14:paraId="6C421CBE">
            <w:pPr>
              <w:autoSpaceDE w:val="0"/>
              <w:autoSpaceDN w:val="0"/>
              <w:adjustRightInd w:val="0"/>
              <w:snapToGrid w:val="0"/>
              <w:jc w:val="left"/>
              <w:rPr>
                <w:rFonts w:ascii="宋体" w:hAnsi="宋体"/>
                <w:color w:val="auto"/>
                <w:kern w:val="0"/>
                <w:szCs w:val="21"/>
                <w:highlight w:val="none"/>
              </w:rPr>
            </w:pPr>
          </w:p>
        </w:tc>
        <w:tc>
          <w:tcPr>
            <w:tcW w:w="2723" w:type="dxa"/>
          </w:tcPr>
          <w:p w14:paraId="2D520061">
            <w:pPr>
              <w:autoSpaceDE w:val="0"/>
              <w:autoSpaceDN w:val="0"/>
              <w:adjustRightInd w:val="0"/>
              <w:snapToGrid w:val="0"/>
              <w:jc w:val="left"/>
              <w:rPr>
                <w:rFonts w:ascii="宋体" w:hAnsi="宋体"/>
                <w:color w:val="auto"/>
                <w:kern w:val="0"/>
                <w:szCs w:val="21"/>
                <w:highlight w:val="none"/>
              </w:rPr>
            </w:pPr>
          </w:p>
        </w:tc>
        <w:tc>
          <w:tcPr>
            <w:tcW w:w="896" w:type="dxa"/>
          </w:tcPr>
          <w:p w14:paraId="38338C88">
            <w:pPr>
              <w:autoSpaceDE w:val="0"/>
              <w:autoSpaceDN w:val="0"/>
              <w:adjustRightInd w:val="0"/>
              <w:snapToGrid w:val="0"/>
              <w:jc w:val="left"/>
              <w:rPr>
                <w:rFonts w:ascii="宋体" w:hAnsi="宋体"/>
                <w:color w:val="auto"/>
                <w:kern w:val="0"/>
                <w:szCs w:val="21"/>
                <w:highlight w:val="none"/>
              </w:rPr>
            </w:pPr>
          </w:p>
        </w:tc>
      </w:tr>
    </w:tbl>
    <w:p w14:paraId="5BEEF61D">
      <w:pPr>
        <w:spacing w:line="20" w:lineRule="exact"/>
        <w:jc w:val="center"/>
        <w:rPr>
          <w:rFonts w:ascii="宋体" w:hAnsi="宋体"/>
          <w:color w:val="auto"/>
          <w:szCs w:val="21"/>
          <w:highlight w:val="none"/>
        </w:rPr>
      </w:pPr>
    </w:p>
    <w:p w14:paraId="2339E497">
      <w:pPr>
        <w:spacing w:line="360" w:lineRule="auto"/>
        <w:ind w:firstLine="640" w:firstLineChars="200"/>
        <w:jc w:val="center"/>
        <w:rPr>
          <w:rFonts w:ascii="宋体" w:hAnsi="宋体"/>
          <w:color w:val="auto"/>
          <w:sz w:val="32"/>
          <w:szCs w:val="32"/>
          <w:highlight w:val="none"/>
        </w:rPr>
      </w:pPr>
      <w:r>
        <w:rPr>
          <w:rFonts w:ascii="宋体" w:hAnsi="宋体"/>
          <w:color w:val="auto"/>
          <w:sz w:val="32"/>
          <w:szCs w:val="32"/>
          <w:highlight w:val="none"/>
        </w:rPr>
        <w:br w:type="page"/>
      </w:r>
      <w:r>
        <w:rPr>
          <w:rFonts w:hint="eastAsia" w:ascii="宋体" w:hAnsi="宋体"/>
          <w:color w:val="auto"/>
          <w:sz w:val="32"/>
          <w:szCs w:val="32"/>
          <w:highlight w:val="none"/>
        </w:rPr>
        <w:t>项目负责人简历表</w:t>
      </w:r>
    </w:p>
    <w:tbl>
      <w:tblPr>
        <w:tblStyle w:val="48"/>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53F6D5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66ED318">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1707ADA9">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4EF0DE3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46D42379">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0EFE45D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22A2F753">
            <w:pPr>
              <w:autoSpaceDE w:val="0"/>
              <w:autoSpaceDN w:val="0"/>
              <w:adjustRightInd w:val="0"/>
              <w:snapToGrid w:val="0"/>
              <w:jc w:val="center"/>
              <w:rPr>
                <w:rFonts w:ascii="宋体" w:hAnsi="宋体"/>
                <w:color w:val="auto"/>
                <w:kern w:val="0"/>
                <w:szCs w:val="21"/>
                <w:highlight w:val="none"/>
              </w:rPr>
            </w:pPr>
          </w:p>
        </w:tc>
      </w:tr>
      <w:tr w14:paraId="28AF4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62150D9">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0AD6A15A">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3ED3F88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30742730">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703391A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18B245EC">
            <w:pPr>
              <w:autoSpaceDE w:val="0"/>
              <w:autoSpaceDN w:val="0"/>
              <w:adjustRightInd w:val="0"/>
              <w:snapToGrid w:val="0"/>
              <w:jc w:val="center"/>
              <w:rPr>
                <w:rFonts w:ascii="宋体" w:hAnsi="宋体"/>
                <w:color w:val="auto"/>
                <w:kern w:val="0"/>
                <w:szCs w:val="21"/>
                <w:highlight w:val="none"/>
              </w:rPr>
            </w:pPr>
          </w:p>
        </w:tc>
      </w:tr>
      <w:tr w14:paraId="4CDFDC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472967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279F7681">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469054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4F7453B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6707D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C17A25C">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1AEE13E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0FFECF7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6006526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36A08A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3AA62A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3FDFDC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173934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57B51E4">
            <w:pPr>
              <w:autoSpaceDE w:val="0"/>
              <w:autoSpaceDN w:val="0"/>
              <w:adjustRightInd w:val="0"/>
              <w:snapToGrid w:val="0"/>
              <w:jc w:val="center"/>
              <w:rPr>
                <w:rFonts w:ascii="宋体" w:hAnsi="宋体"/>
                <w:color w:val="auto"/>
                <w:kern w:val="0"/>
                <w:szCs w:val="21"/>
                <w:highlight w:val="none"/>
              </w:rPr>
            </w:pPr>
          </w:p>
        </w:tc>
      </w:tr>
      <w:tr w14:paraId="2D50DC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84C1F9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EE7CE1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229A8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DF60DEE">
            <w:pPr>
              <w:autoSpaceDE w:val="0"/>
              <w:autoSpaceDN w:val="0"/>
              <w:adjustRightInd w:val="0"/>
              <w:snapToGrid w:val="0"/>
              <w:jc w:val="center"/>
              <w:rPr>
                <w:rFonts w:ascii="宋体" w:hAnsi="宋体"/>
                <w:color w:val="auto"/>
                <w:kern w:val="0"/>
                <w:szCs w:val="21"/>
                <w:highlight w:val="none"/>
              </w:rPr>
            </w:pPr>
          </w:p>
        </w:tc>
      </w:tr>
      <w:tr w14:paraId="2A5683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B2B3A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75F5EB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BB3C83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3C26D72">
            <w:pPr>
              <w:autoSpaceDE w:val="0"/>
              <w:autoSpaceDN w:val="0"/>
              <w:adjustRightInd w:val="0"/>
              <w:snapToGrid w:val="0"/>
              <w:jc w:val="center"/>
              <w:rPr>
                <w:rFonts w:ascii="宋体" w:hAnsi="宋体"/>
                <w:color w:val="auto"/>
                <w:kern w:val="0"/>
                <w:szCs w:val="21"/>
                <w:highlight w:val="none"/>
              </w:rPr>
            </w:pPr>
          </w:p>
        </w:tc>
      </w:tr>
      <w:tr w14:paraId="65D754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2E0B1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8FF761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99E641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EDC8370">
            <w:pPr>
              <w:autoSpaceDE w:val="0"/>
              <w:autoSpaceDN w:val="0"/>
              <w:adjustRightInd w:val="0"/>
              <w:snapToGrid w:val="0"/>
              <w:jc w:val="center"/>
              <w:rPr>
                <w:rFonts w:ascii="宋体" w:hAnsi="宋体"/>
                <w:color w:val="auto"/>
                <w:kern w:val="0"/>
                <w:szCs w:val="21"/>
                <w:highlight w:val="none"/>
              </w:rPr>
            </w:pPr>
          </w:p>
        </w:tc>
      </w:tr>
      <w:tr w14:paraId="382CDF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D1193B">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7D52C6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60950BB">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3EF5520">
            <w:pPr>
              <w:autoSpaceDE w:val="0"/>
              <w:autoSpaceDN w:val="0"/>
              <w:adjustRightInd w:val="0"/>
              <w:snapToGrid w:val="0"/>
              <w:jc w:val="center"/>
              <w:rPr>
                <w:rFonts w:ascii="宋体" w:hAnsi="宋体"/>
                <w:color w:val="auto"/>
                <w:kern w:val="0"/>
                <w:szCs w:val="21"/>
                <w:highlight w:val="none"/>
              </w:rPr>
            </w:pPr>
          </w:p>
        </w:tc>
      </w:tr>
      <w:tr w14:paraId="571ED0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101288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6F7746F">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99D17C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406A0BC">
            <w:pPr>
              <w:autoSpaceDE w:val="0"/>
              <w:autoSpaceDN w:val="0"/>
              <w:adjustRightInd w:val="0"/>
              <w:snapToGrid w:val="0"/>
              <w:jc w:val="center"/>
              <w:rPr>
                <w:rFonts w:ascii="宋体" w:hAnsi="宋体"/>
                <w:color w:val="auto"/>
                <w:kern w:val="0"/>
                <w:szCs w:val="21"/>
                <w:highlight w:val="none"/>
              </w:rPr>
            </w:pPr>
          </w:p>
        </w:tc>
      </w:tr>
      <w:tr w14:paraId="40AB24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A769334">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7975ED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F8FB5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AA7229A">
            <w:pPr>
              <w:autoSpaceDE w:val="0"/>
              <w:autoSpaceDN w:val="0"/>
              <w:adjustRightInd w:val="0"/>
              <w:snapToGrid w:val="0"/>
              <w:jc w:val="center"/>
              <w:rPr>
                <w:rFonts w:ascii="宋体" w:hAnsi="宋体"/>
                <w:color w:val="auto"/>
                <w:kern w:val="0"/>
                <w:szCs w:val="21"/>
                <w:highlight w:val="none"/>
              </w:rPr>
            </w:pPr>
          </w:p>
        </w:tc>
      </w:tr>
      <w:tr w14:paraId="7144D2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961A23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BA3A22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AA65B9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600D621">
            <w:pPr>
              <w:autoSpaceDE w:val="0"/>
              <w:autoSpaceDN w:val="0"/>
              <w:adjustRightInd w:val="0"/>
              <w:snapToGrid w:val="0"/>
              <w:jc w:val="center"/>
              <w:rPr>
                <w:rFonts w:ascii="宋体" w:hAnsi="宋体"/>
                <w:color w:val="auto"/>
                <w:kern w:val="0"/>
                <w:szCs w:val="21"/>
                <w:highlight w:val="none"/>
              </w:rPr>
            </w:pPr>
          </w:p>
        </w:tc>
      </w:tr>
      <w:tr w14:paraId="3107B3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A8537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F3ED99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4858A0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E9679FC">
            <w:pPr>
              <w:autoSpaceDE w:val="0"/>
              <w:autoSpaceDN w:val="0"/>
              <w:adjustRightInd w:val="0"/>
              <w:snapToGrid w:val="0"/>
              <w:jc w:val="center"/>
              <w:rPr>
                <w:rFonts w:ascii="宋体" w:hAnsi="宋体"/>
                <w:color w:val="auto"/>
                <w:kern w:val="0"/>
                <w:szCs w:val="21"/>
                <w:highlight w:val="none"/>
              </w:rPr>
            </w:pPr>
          </w:p>
        </w:tc>
      </w:tr>
      <w:tr w14:paraId="5960BC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B9BD33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CD85EBE">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22EA65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BFDB7F4">
            <w:pPr>
              <w:autoSpaceDE w:val="0"/>
              <w:autoSpaceDN w:val="0"/>
              <w:adjustRightInd w:val="0"/>
              <w:snapToGrid w:val="0"/>
              <w:jc w:val="center"/>
              <w:rPr>
                <w:rFonts w:ascii="宋体" w:hAnsi="宋体"/>
                <w:color w:val="auto"/>
                <w:kern w:val="0"/>
                <w:szCs w:val="21"/>
                <w:highlight w:val="none"/>
              </w:rPr>
            </w:pPr>
          </w:p>
        </w:tc>
      </w:tr>
      <w:tr w14:paraId="75234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0D3030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0BDCEE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458A2E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555A736">
            <w:pPr>
              <w:autoSpaceDE w:val="0"/>
              <w:autoSpaceDN w:val="0"/>
              <w:adjustRightInd w:val="0"/>
              <w:snapToGrid w:val="0"/>
              <w:jc w:val="center"/>
              <w:rPr>
                <w:rFonts w:ascii="宋体" w:hAnsi="宋体"/>
                <w:color w:val="auto"/>
                <w:kern w:val="0"/>
                <w:szCs w:val="21"/>
                <w:highlight w:val="none"/>
              </w:rPr>
            </w:pPr>
          </w:p>
        </w:tc>
      </w:tr>
      <w:tr w14:paraId="7DB18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3CA24F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7DFB12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6C0795D">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C16E137">
            <w:pPr>
              <w:autoSpaceDE w:val="0"/>
              <w:autoSpaceDN w:val="0"/>
              <w:adjustRightInd w:val="0"/>
              <w:snapToGrid w:val="0"/>
              <w:jc w:val="center"/>
              <w:rPr>
                <w:rFonts w:ascii="宋体" w:hAnsi="宋体"/>
                <w:color w:val="auto"/>
                <w:kern w:val="0"/>
                <w:szCs w:val="21"/>
                <w:highlight w:val="none"/>
              </w:rPr>
            </w:pPr>
          </w:p>
        </w:tc>
      </w:tr>
      <w:tr w14:paraId="0FC6DE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98B96D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708731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7AEC853">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6BFFDA1">
            <w:pPr>
              <w:autoSpaceDE w:val="0"/>
              <w:autoSpaceDN w:val="0"/>
              <w:adjustRightInd w:val="0"/>
              <w:snapToGrid w:val="0"/>
              <w:jc w:val="center"/>
              <w:rPr>
                <w:rFonts w:ascii="宋体" w:hAnsi="宋体"/>
                <w:color w:val="auto"/>
                <w:kern w:val="0"/>
                <w:szCs w:val="21"/>
                <w:highlight w:val="none"/>
              </w:rPr>
            </w:pPr>
          </w:p>
        </w:tc>
      </w:tr>
    </w:tbl>
    <w:p w14:paraId="0BB8397F">
      <w:pPr>
        <w:spacing w:line="360" w:lineRule="auto"/>
        <w:rPr>
          <w:rFonts w:ascii="宋体" w:hAnsi="宋体"/>
          <w:color w:val="auto"/>
          <w:highlight w:val="none"/>
        </w:rPr>
      </w:pPr>
    </w:p>
    <w:p w14:paraId="493A3A22">
      <w:pPr>
        <w:bidi w:val="0"/>
        <w:rPr>
          <w:color w:val="auto"/>
        </w:rPr>
      </w:pPr>
      <w:bookmarkStart w:id="376" w:name="_Toc430530551"/>
      <w:bookmarkStart w:id="377" w:name="_Toc287620835"/>
      <w:bookmarkStart w:id="378" w:name="_Toc224103516"/>
      <w:bookmarkStart w:id="379" w:name="_Toc287607889"/>
      <w:bookmarkStart w:id="380" w:name="_Toc277082661"/>
      <w:r>
        <w:rPr>
          <w:color w:val="auto"/>
        </w:rPr>
        <w:br w:type="page"/>
      </w:r>
      <w:bookmarkEnd w:id="376"/>
      <w:bookmarkEnd w:id="377"/>
      <w:bookmarkEnd w:id="378"/>
      <w:bookmarkEnd w:id="379"/>
      <w:bookmarkEnd w:id="380"/>
    </w:p>
    <w:p w14:paraId="3E18C263">
      <w:pPr>
        <w:pStyle w:val="4"/>
        <w:spacing w:before="0" w:after="0" w:line="360" w:lineRule="auto"/>
        <w:jc w:val="center"/>
        <w:rPr>
          <w:rFonts w:ascii="宋体" w:hAnsi="宋体"/>
          <w:b w:val="0"/>
          <w:color w:val="auto"/>
          <w:highlight w:val="none"/>
        </w:rPr>
      </w:pPr>
      <w:bookmarkStart w:id="381" w:name="_Toc287607893"/>
      <w:bookmarkStart w:id="382" w:name="_Toc224103520"/>
      <w:bookmarkStart w:id="383" w:name="_Toc430530552"/>
      <w:bookmarkStart w:id="384" w:name="_Toc287620839"/>
      <w:bookmarkStart w:id="385" w:name="_Toc277082663"/>
      <w:bookmarkStart w:id="386" w:name="_Toc20080"/>
      <w:bookmarkStart w:id="387" w:name="_Toc534185843"/>
      <w:bookmarkStart w:id="388" w:name="_Toc509218866"/>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bookmarkEnd w:id="381"/>
      <w:bookmarkEnd w:id="382"/>
      <w:bookmarkEnd w:id="383"/>
      <w:bookmarkEnd w:id="384"/>
      <w:bookmarkEnd w:id="385"/>
      <w:r>
        <w:rPr>
          <w:rFonts w:hint="eastAsia" w:ascii="宋体" w:hAnsi="宋体"/>
          <w:b w:val="0"/>
          <w:color w:val="auto"/>
          <w:highlight w:val="none"/>
        </w:rPr>
        <w:t>承诺</w:t>
      </w:r>
      <w:bookmarkEnd w:id="386"/>
    </w:p>
    <w:bookmarkEnd w:id="387"/>
    <w:bookmarkEnd w:id="388"/>
    <w:p w14:paraId="670680C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2BA204F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1B32980F">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021718F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76329A9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6B43B5A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5AE3832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33B53EB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2、我公司若中标，</w:t>
      </w:r>
      <w:r>
        <w:rPr>
          <w:rFonts w:hint="eastAsia" w:ascii="宋体" w:hAnsi="宋体" w:cs="宋体"/>
          <w:color w:val="auto"/>
          <w:highlight w:val="none"/>
        </w:rPr>
        <w:t>在签订合同之前，按照有关行政部门的要求组建项目</w:t>
      </w:r>
      <w:r>
        <w:rPr>
          <w:rFonts w:hint="eastAsia" w:ascii="宋体" w:hAnsi="宋体" w:cs="宋体"/>
          <w:color w:val="auto"/>
          <w:highlight w:val="none"/>
          <w:lang w:eastAsia="zh-CN"/>
        </w:rPr>
        <w:t>检测</w:t>
      </w:r>
      <w:r>
        <w:rPr>
          <w:rFonts w:hint="eastAsia" w:ascii="宋体" w:hAnsi="宋体" w:cs="宋体"/>
          <w:color w:val="auto"/>
          <w:highlight w:val="none"/>
        </w:rPr>
        <w:t>部，配置项目专业</w:t>
      </w:r>
      <w:r>
        <w:rPr>
          <w:rFonts w:hint="eastAsia" w:ascii="宋体" w:hAnsi="宋体" w:cs="宋体"/>
          <w:color w:val="auto"/>
          <w:highlight w:val="none"/>
          <w:lang w:eastAsia="zh-CN"/>
        </w:rPr>
        <w:t>检测</w:t>
      </w:r>
      <w:r>
        <w:rPr>
          <w:rFonts w:hint="eastAsia" w:ascii="宋体" w:hAnsi="宋体" w:cs="宋体"/>
          <w:color w:val="auto"/>
          <w:highlight w:val="none"/>
        </w:rPr>
        <w:t>工程师及</w:t>
      </w:r>
      <w:r>
        <w:rPr>
          <w:rFonts w:hint="eastAsia" w:ascii="宋体" w:hAnsi="宋体" w:cs="宋体"/>
          <w:color w:val="auto"/>
          <w:highlight w:val="none"/>
          <w:lang w:eastAsia="zh-CN"/>
        </w:rPr>
        <w:t>检测</w:t>
      </w:r>
      <w:r>
        <w:rPr>
          <w:rFonts w:hint="eastAsia" w:ascii="宋体" w:hAnsi="宋体" w:cs="宋体"/>
          <w:color w:val="auto"/>
          <w:highlight w:val="none"/>
        </w:rPr>
        <w:t>员，出具任命文件。任命文件应当明确各人员的职责、岗位设置、人员配备，并书面通知比选人。各人员应持有有关行政部门要求的证书，并提供竞选人为其缴纳的养老保险证明材料。中标后不能满足该要求的，比选人可取消其中标资格；签订合同后不满足该要求的，比选人按合同相关条款要求竞选人承担责任并上报有关行政部门；给比选人造成损失的，竞选人依法承担赔偿责任或违约责任。</w:t>
      </w:r>
    </w:p>
    <w:p w14:paraId="182822A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我公司在资格审查部分中提供的相关证明材料真实有效，不存在弄虚作假情形。贵单位在合同签订前均有权对我公司提供的资料进行核实，若发现弄虚作假，取消我公司中标资格，并按相关法律法规报招标投标监督部门，投标保证金不予退还，我公司自愿承担因此造成的相关责任并赔偿相应损失。</w:t>
      </w:r>
    </w:p>
    <w:p w14:paraId="2159F87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4、我公司不存在</w:t>
      </w:r>
      <w:r>
        <w:rPr>
          <w:rFonts w:hint="eastAsia" w:ascii="宋体" w:hAnsi="宋体"/>
          <w:color w:val="auto"/>
          <w:szCs w:val="21"/>
          <w:highlight w:val="none"/>
          <w:lang w:val="en-US" w:eastAsia="zh-CN"/>
        </w:rPr>
        <w:t>比选</w:t>
      </w:r>
      <w:r>
        <w:rPr>
          <w:rFonts w:hint="eastAsia" w:ascii="宋体" w:hAnsi="宋体"/>
          <w:color w:val="auto"/>
          <w:szCs w:val="21"/>
          <w:highlight w:val="none"/>
        </w:rPr>
        <w:t xml:space="preserve">文件第二章 </w:t>
      </w:r>
      <w:r>
        <w:rPr>
          <w:rFonts w:hint="eastAsia" w:ascii="宋体" w:hAnsi="宋体"/>
          <w:color w:val="auto"/>
          <w:szCs w:val="21"/>
          <w:highlight w:val="none"/>
          <w:lang w:val="en-US" w:eastAsia="zh-CN"/>
        </w:rPr>
        <w:t>竞标</w:t>
      </w:r>
      <w:r>
        <w:rPr>
          <w:rFonts w:hint="eastAsia" w:ascii="宋体" w:hAnsi="宋体"/>
          <w:color w:val="auto"/>
          <w:szCs w:val="21"/>
          <w:highlight w:val="none"/>
        </w:rPr>
        <w:t>人须知第 1.4.3 项规定的任何一种情形。</w:t>
      </w:r>
    </w:p>
    <w:p w14:paraId="2A6FA5C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 xml:space="preserve">文件第二章 </w:t>
      </w:r>
      <w:r>
        <w:rPr>
          <w:rFonts w:hint="eastAsia" w:ascii="宋体" w:hAnsi="宋体"/>
          <w:color w:val="auto"/>
          <w:szCs w:val="21"/>
          <w:highlight w:val="none"/>
          <w:lang w:val="en-US" w:eastAsia="zh-CN"/>
        </w:rPr>
        <w:t>竞标</w:t>
      </w:r>
      <w:r>
        <w:rPr>
          <w:rFonts w:hint="eastAsia" w:ascii="宋体" w:hAnsi="宋体"/>
          <w:color w:val="auto"/>
          <w:szCs w:val="21"/>
          <w:highlight w:val="none"/>
        </w:rPr>
        <w:t>人须知第 1.4.1 项的规定。</w:t>
      </w:r>
    </w:p>
    <w:p w14:paraId="08AE0FB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文件第四章 合同条款及格式规定，投标文件中没有贵单位不能接受的条件。</w:t>
      </w:r>
    </w:p>
    <w:p w14:paraId="7279BD4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文件第五章“发包人要求”</w:t>
      </w:r>
      <w:r>
        <w:rPr>
          <w:rFonts w:hint="eastAsia" w:ascii="宋体" w:hAnsi="宋体" w:cs="宋体"/>
          <w:color w:val="auto"/>
          <w:kern w:val="0"/>
          <w:highlight w:val="none"/>
        </w:rPr>
        <w:t>中的实质性要求和条件</w:t>
      </w:r>
      <w:r>
        <w:rPr>
          <w:rFonts w:hint="eastAsia" w:ascii="宋体" w:hAnsi="宋体"/>
          <w:color w:val="auto"/>
          <w:szCs w:val="21"/>
          <w:highlight w:val="none"/>
        </w:rPr>
        <w:t>。</w:t>
      </w:r>
    </w:p>
    <w:p w14:paraId="4E3C9CA3">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p w14:paraId="1708DAB5">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E5EF1A1">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6A596CF5">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6895FA2A">
      <w:pPr>
        <w:rPr>
          <w:color w:val="auto"/>
          <w:highlight w:val="none"/>
        </w:rPr>
      </w:pPr>
      <w:r>
        <w:rPr>
          <w:color w:val="auto"/>
          <w:highlight w:val="none"/>
        </w:rPr>
        <w:br w:type="page"/>
      </w:r>
    </w:p>
    <w:p w14:paraId="5D90FB0D">
      <w:pPr>
        <w:pStyle w:val="4"/>
        <w:spacing w:before="0" w:line="360" w:lineRule="auto"/>
        <w:jc w:val="center"/>
        <w:rPr>
          <w:rFonts w:ascii="宋体" w:hAnsi="宋体"/>
          <w:b w:val="0"/>
          <w:color w:val="auto"/>
          <w:highlight w:val="none"/>
        </w:rPr>
      </w:pPr>
      <w:bookmarkStart w:id="389" w:name="_Toc12573"/>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389"/>
    </w:p>
    <w:p w14:paraId="364DE1E1">
      <w:pPr>
        <w:rPr>
          <w:rFonts w:ascii="宋体" w:hAnsi="宋体"/>
          <w:b/>
          <w:color w:val="auto"/>
          <w:highlight w:val="none"/>
        </w:rPr>
      </w:pPr>
    </w:p>
    <w:p w14:paraId="672970B3">
      <w:pPr>
        <w:pStyle w:val="18"/>
        <w:rPr>
          <w:rFonts w:ascii="宋体" w:hAnsi="宋体"/>
          <w:b/>
          <w:color w:val="auto"/>
          <w:highlight w:val="none"/>
        </w:rPr>
      </w:pPr>
    </w:p>
    <w:p w14:paraId="2F3CA674">
      <w:pPr>
        <w:rPr>
          <w:rFonts w:ascii="宋体" w:hAnsi="宋体"/>
          <w:b/>
          <w:color w:val="auto"/>
          <w:highlight w:val="none"/>
        </w:rPr>
      </w:pPr>
    </w:p>
    <w:p w14:paraId="71A87A2A">
      <w:pPr>
        <w:rPr>
          <w:rFonts w:ascii="宋体" w:hAnsi="宋体"/>
          <w:b/>
          <w:color w:val="auto"/>
          <w:highlight w:val="none"/>
        </w:rPr>
      </w:pPr>
    </w:p>
    <w:p w14:paraId="10EC09E5">
      <w:pPr>
        <w:rPr>
          <w:rFonts w:hint="eastAsia"/>
          <w:color w:val="auto"/>
          <w:highlight w:val="none"/>
          <w:lang w:val="en-US" w:eastAsia="zh-CN"/>
        </w:rPr>
      </w:pPr>
      <w:r>
        <w:rPr>
          <w:rFonts w:hint="eastAsia"/>
          <w:color w:val="auto"/>
          <w:highlight w:val="none"/>
          <w:lang w:val="en-US" w:eastAsia="zh-CN"/>
        </w:rPr>
        <w:br w:type="page"/>
      </w:r>
    </w:p>
    <w:p w14:paraId="5F0D141B">
      <w:pPr>
        <w:jc w:val="left"/>
        <w:rPr>
          <w:rFonts w:hint="eastAsia"/>
          <w:color w:val="auto"/>
          <w:highlight w:val="none"/>
          <w:lang w:val="en-US" w:eastAsia="zh-CN"/>
        </w:rPr>
      </w:pPr>
      <w:r>
        <w:rPr>
          <w:rFonts w:hint="eastAsia"/>
          <w:color w:val="auto"/>
          <w:highlight w:val="none"/>
          <w:lang w:val="en-US" w:eastAsia="zh-CN"/>
        </w:rPr>
        <w:t>附：</w:t>
      </w:r>
    </w:p>
    <w:p w14:paraId="1F6A8FDC">
      <w:pPr>
        <w:jc w:val="center"/>
        <w:rPr>
          <w:rFonts w:hint="eastAsia" w:eastAsia="黑体"/>
          <w:b/>
          <w:bCs/>
          <w:color w:val="auto"/>
          <w:sz w:val="44"/>
          <w:szCs w:val="44"/>
          <w:highlight w:val="none"/>
          <w:lang w:val="en-US" w:eastAsia="zh-CN"/>
        </w:rPr>
      </w:pPr>
      <w:r>
        <w:rPr>
          <w:rFonts w:hint="eastAsia" w:eastAsia="黑体"/>
          <w:b/>
          <w:bCs/>
          <w:color w:val="auto"/>
          <w:sz w:val="44"/>
          <w:szCs w:val="44"/>
          <w:highlight w:val="none"/>
          <w:lang w:val="en-US" w:eastAsia="zh-CN"/>
        </w:rPr>
        <w:t>比选文件发售登记表</w:t>
      </w:r>
    </w:p>
    <w:p w14:paraId="6D7564FF">
      <w:pPr>
        <w:pStyle w:val="18"/>
        <w:rPr>
          <w:color w:val="auto"/>
          <w:highlight w:val="none"/>
        </w:rPr>
      </w:pPr>
    </w:p>
    <w:tbl>
      <w:tblPr>
        <w:tblStyle w:val="4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030"/>
        <w:gridCol w:w="1015"/>
        <w:gridCol w:w="3476"/>
      </w:tblGrid>
      <w:tr w14:paraId="7720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139" w:type="dxa"/>
            <w:vAlign w:val="center"/>
          </w:tcPr>
          <w:p w14:paraId="52909E9A">
            <w:pPr>
              <w:jc w:val="center"/>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报名时间</w:t>
            </w:r>
          </w:p>
        </w:tc>
        <w:tc>
          <w:tcPr>
            <w:tcW w:w="6521" w:type="dxa"/>
            <w:gridSpan w:val="3"/>
            <w:vAlign w:val="center"/>
          </w:tcPr>
          <w:p w14:paraId="0384D239">
            <w:pPr>
              <w:jc w:val="center"/>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年    月    日</w:t>
            </w:r>
          </w:p>
        </w:tc>
      </w:tr>
      <w:tr w14:paraId="0168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139" w:type="dxa"/>
            <w:vAlign w:val="center"/>
          </w:tcPr>
          <w:p w14:paraId="66D071CD">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项目名称</w:t>
            </w:r>
          </w:p>
        </w:tc>
        <w:tc>
          <w:tcPr>
            <w:tcW w:w="6521" w:type="dxa"/>
            <w:gridSpan w:val="3"/>
            <w:vAlign w:val="center"/>
          </w:tcPr>
          <w:p w14:paraId="3A0AD166">
            <w:pPr>
              <w:jc w:val="center"/>
              <w:rPr>
                <w:rFonts w:ascii="宋体" w:hAnsi="宋体" w:eastAsia="宋体"/>
                <w:color w:val="auto"/>
                <w:sz w:val="28"/>
                <w:szCs w:val="28"/>
                <w:highlight w:val="none"/>
              </w:rPr>
            </w:pPr>
          </w:p>
        </w:tc>
      </w:tr>
      <w:tr w14:paraId="35BB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2139" w:type="dxa"/>
            <w:vAlign w:val="center"/>
          </w:tcPr>
          <w:p w14:paraId="324B2DC6">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单位名称</w:t>
            </w:r>
          </w:p>
        </w:tc>
        <w:tc>
          <w:tcPr>
            <w:tcW w:w="6521" w:type="dxa"/>
            <w:gridSpan w:val="3"/>
            <w:vAlign w:val="bottom"/>
          </w:tcPr>
          <w:p w14:paraId="1CD0C19F">
            <w:pPr>
              <w:jc w:val="right"/>
              <w:rPr>
                <w:rFonts w:ascii="宋体" w:hAnsi="宋体" w:eastAsia="宋体"/>
                <w:color w:val="auto"/>
                <w:sz w:val="28"/>
                <w:szCs w:val="28"/>
                <w:highlight w:val="none"/>
              </w:rPr>
            </w:pPr>
            <w:r>
              <w:rPr>
                <w:rFonts w:hint="eastAsia" w:ascii="宋体" w:hAnsi="宋体" w:eastAsia="宋体"/>
                <w:color w:val="auto"/>
                <w:sz w:val="28"/>
                <w:szCs w:val="28"/>
                <w:highlight w:val="none"/>
              </w:rPr>
              <w:t>（公章）</w:t>
            </w:r>
          </w:p>
        </w:tc>
      </w:tr>
      <w:tr w14:paraId="17D0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139" w:type="dxa"/>
            <w:vAlign w:val="center"/>
          </w:tcPr>
          <w:p w14:paraId="608249E0">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联系人</w:t>
            </w:r>
          </w:p>
        </w:tc>
        <w:tc>
          <w:tcPr>
            <w:tcW w:w="2030" w:type="dxa"/>
            <w:vAlign w:val="center"/>
          </w:tcPr>
          <w:p w14:paraId="28792C93">
            <w:pPr>
              <w:jc w:val="left"/>
              <w:rPr>
                <w:rFonts w:ascii="宋体" w:hAnsi="宋体" w:eastAsia="宋体"/>
                <w:color w:val="auto"/>
                <w:sz w:val="28"/>
                <w:szCs w:val="28"/>
                <w:highlight w:val="none"/>
              </w:rPr>
            </w:pPr>
          </w:p>
        </w:tc>
        <w:tc>
          <w:tcPr>
            <w:tcW w:w="1015" w:type="dxa"/>
            <w:vAlign w:val="center"/>
          </w:tcPr>
          <w:p w14:paraId="0F9E53BD">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手机</w:t>
            </w:r>
          </w:p>
        </w:tc>
        <w:tc>
          <w:tcPr>
            <w:tcW w:w="3476" w:type="dxa"/>
            <w:vAlign w:val="center"/>
          </w:tcPr>
          <w:p w14:paraId="4F26404A">
            <w:pPr>
              <w:jc w:val="left"/>
              <w:rPr>
                <w:rFonts w:ascii="宋体" w:hAnsi="宋体" w:eastAsia="宋体"/>
                <w:color w:val="auto"/>
                <w:sz w:val="28"/>
                <w:szCs w:val="28"/>
                <w:highlight w:val="none"/>
              </w:rPr>
            </w:pPr>
          </w:p>
        </w:tc>
      </w:tr>
      <w:tr w14:paraId="1634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139" w:type="dxa"/>
            <w:vAlign w:val="center"/>
          </w:tcPr>
          <w:p w14:paraId="2330FFCA">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办公电话</w:t>
            </w:r>
          </w:p>
        </w:tc>
        <w:tc>
          <w:tcPr>
            <w:tcW w:w="2030" w:type="dxa"/>
            <w:vAlign w:val="center"/>
          </w:tcPr>
          <w:p w14:paraId="283D2CDB">
            <w:pPr>
              <w:jc w:val="left"/>
              <w:rPr>
                <w:rFonts w:ascii="宋体" w:hAnsi="宋体" w:eastAsia="宋体"/>
                <w:color w:val="auto"/>
                <w:sz w:val="28"/>
                <w:szCs w:val="28"/>
                <w:highlight w:val="none"/>
              </w:rPr>
            </w:pPr>
          </w:p>
        </w:tc>
        <w:tc>
          <w:tcPr>
            <w:tcW w:w="1015" w:type="dxa"/>
            <w:vAlign w:val="center"/>
          </w:tcPr>
          <w:p w14:paraId="769FFBF8">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传真</w:t>
            </w:r>
          </w:p>
        </w:tc>
        <w:tc>
          <w:tcPr>
            <w:tcW w:w="3476" w:type="dxa"/>
            <w:vAlign w:val="center"/>
          </w:tcPr>
          <w:p w14:paraId="68B2482E">
            <w:pPr>
              <w:jc w:val="left"/>
              <w:rPr>
                <w:rFonts w:ascii="宋体" w:hAnsi="宋体" w:eastAsia="宋体"/>
                <w:color w:val="auto"/>
                <w:sz w:val="28"/>
                <w:szCs w:val="28"/>
                <w:highlight w:val="none"/>
              </w:rPr>
            </w:pPr>
          </w:p>
        </w:tc>
      </w:tr>
      <w:tr w14:paraId="1F0C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139" w:type="dxa"/>
            <w:vAlign w:val="center"/>
          </w:tcPr>
          <w:p w14:paraId="02AC1291">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E-mail</w:t>
            </w:r>
          </w:p>
        </w:tc>
        <w:tc>
          <w:tcPr>
            <w:tcW w:w="6521" w:type="dxa"/>
            <w:gridSpan w:val="3"/>
            <w:vAlign w:val="center"/>
          </w:tcPr>
          <w:p w14:paraId="4CCBA8AA">
            <w:pPr>
              <w:jc w:val="left"/>
              <w:rPr>
                <w:rFonts w:ascii="宋体" w:hAnsi="宋体" w:eastAsia="宋体"/>
                <w:color w:val="auto"/>
                <w:sz w:val="28"/>
                <w:szCs w:val="28"/>
                <w:highlight w:val="none"/>
              </w:rPr>
            </w:pPr>
          </w:p>
        </w:tc>
      </w:tr>
      <w:tr w14:paraId="031A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139" w:type="dxa"/>
            <w:vAlign w:val="center"/>
          </w:tcPr>
          <w:p w14:paraId="0A475876">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单位地址</w:t>
            </w:r>
          </w:p>
        </w:tc>
        <w:tc>
          <w:tcPr>
            <w:tcW w:w="6521" w:type="dxa"/>
            <w:gridSpan w:val="3"/>
            <w:vAlign w:val="center"/>
          </w:tcPr>
          <w:p w14:paraId="3BBDAAC9">
            <w:pPr>
              <w:jc w:val="left"/>
              <w:rPr>
                <w:rFonts w:ascii="宋体" w:hAnsi="宋体" w:eastAsia="宋体"/>
                <w:color w:val="auto"/>
                <w:sz w:val="28"/>
                <w:szCs w:val="28"/>
                <w:highlight w:val="none"/>
              </w:rPr>
            </w:pPr>
          </w:p>
        </w:tc>
      </w:tr>
      <w:tr w14:paraId="1F97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660" w:type="dxa"/>
            <w:gridSpan w:val="4"/>
            <w:vAlign w:val="center"/>
          </w:tcPr>
          <w:p w14:paraId="68B3C8F9">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备注：</w:t>
            </w:r>
          </w:p>
        </w:tc>
      </w:tr>
    </w:tbl>
    <w:p w14:paraId="6E2735F2">
      <w:pPr>
        <w:spacing w:line="48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说明：在</w:t>
      </w:r>
      <w:r>
        <w:rPr>
          <w:rFonts w:hint="eastAsia" w:ascii="宋体" w:hAnsi="宋体"/>
          <w:b/>
          <w:color w:val="auto"/>
          <w:sz w:val="24"/>
          <w:highlight w:val="none"/>
          <w:lang w:eastAsia="zh-CN"/>
        </w:rPr>
        <w:t>规定时间内</w:t>
      </w:r>
      <w:r>
        <w:rPr>
          <w:rFonts w:hint="eastAsia" w:ascii="宋体" w:hAnsi="宋体"/>
          <w:b/>
          <w:color w:val="auto"/>
          <w:sz w:val="24"/>
          <w:highlight w:val="none"/>
          <w:lang w:val="en-US" w:eastAsia="zh-CN"/>
        </w:rPr>
        <w:t>报名</w:t>
      </w:r>
      <w:r>
        <w:rPr>
          <w:rFonts w:hint="eastAsia" w:ascii="宋体" w:hAnsi="宋体"/>
          <w:b/>
          <w:color w:val="auto"/>
          <w:sz w:val="24"/>
          <w:highlight w:val="none"/>
          <w:lang w:eastAsia="zh-CN"/>
        </w:rPr>
        <w:t>的竞选人，其竞选文件才被接收。</w:t>
      </w:r>
    </w:p>
    <w:p w14:paraId="276CD9A1">
      <w:pPr>
        <w:rPr>
          <w:rFonts w:ascii="宋体" w:hAnsi="宋体"/>
          <w:b/>
          <w:color w:val="auto"/>
          <w:highlight w:val="none"/>
        </w:rPr>
      </w:pPr>
    </w:p>
    <w:sectPr>
      <w:footerReference r:id="rId6"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仿宋"/>
    <w:panose1 w:val="00000000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9528">
    <w:pPr>
      <w:pStyle w:val="30"/>
      <w:framePr w:wrap="around" w:vAnchor="text" w:hAnchor="margin" w:xAlign="center" w:y="1"/>
      <w:rPr>
        <w:rStyle w:val="53"/>
      </w:rPr>
    </w:pPr>
    <w:r>
      <w:fldChar w:fldCharType="begin"/>
    </w:r>
    <w:r>
      <w:rPr>
        <w:rStyle w:val="53"/>
      </w:rPr>
      <w:instrText xml:space="preserve">PAGE  </w:instrText>
    </w:r>
    <w:r>
      <w:fldChar w:fldCharType="separate"/>
    </w:r>
    <w:r>
      <w:rPr>
        <w:rStyle w:val="53"/>
      </w:rPr>
      <w:t>- 2 -</w:t>
    </w:r>
    <w:r>
      <w:fldChar w:fldCharType="end"/>
    </w:r>
  </w:p>
  <w:p w14:paraId="7E04B71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9E7B">
    <w:pPr>
      <w:pStyle w:val="3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136A3">
                          <w:pPr>
                            <w:pStyle w:val="3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E0136A3">
                    <w:pPr>
                      <w:pStyle w:val="3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C5F44">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4E1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818AB"/>
    <w:multiLevelType w:val="singleLevel"/>
    <w:tmpl w:val="245818AB"/>
    <w:lvl w:ilvl="0" w:tentative="0">
      <w:start w:val="6"/>
      <w:numFmt w:val="chineseCounting"/>
      <w:suff w:val="space"/>
      <w:lvlText w:val="第%1章"/>
      <w:lvlJc w:val="left"/>
      <w:rPr>
        <w:rFonts w:hint="eastAsia"/>
      </w:rPr>
    </w:lvl>
  </w:abstractNum>
  <w:abstractNum w:abstractNumId="1">
    <w:nsid w:val="69D18A9E"/>
    <w:multiLevelType w:val="singleLevel"/>
    <w:tmpl w:val="69D18A9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hideSpellingErrors/>
  <w:documentProtection w:enforcement="0"/>
  <w:defaultTabStop w:val="420"/>
  <w:drawingGridHorizontalSpacing w:val="105"/>
  <w:drawingGridVerticalSpacing w:val="170"/>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MjY0Y2RkNWExOGEzYTYwYjdhY2FkODY4NWZlZT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440"/>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0512"/>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1B9E"/>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C7618"/>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EB5"/>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6E9E"/>
    <w:rsid w:val="001A77C4"/>
    <w:rsid w:val="001A7BE0"/>
    <w:rsid w:val="001B15C6"/>
    <w:rsid w:val="001B17D1"/>
    <w:rsid w:val="001B229E"/>
    <w:rsid w:val="001B2B2F"/>
    <w:rsid w:val="001B2DEF"/>
    <w:rsid w:val="001B3B8F"/>
    <w:rsid w:val="001B412E"/>
    <w:rsid w:val="001B48E0"/>
    <w:rsid w:val="001B4A7A"/>
    <w:rsid w:val="001B4B2D"/>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3100"/>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64F"/>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132D"/>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8B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8DE"/>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38C8"/>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627"/>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5C82"/>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948"/>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773"/>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286"/>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06EBF"/>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5DF0"/>
    <w:rsid w:val="00756C7E"/>
    <w:rsid w:val="007604FB"/>
    <w:rsid w:val="007615EF"/>
    <w:rsid w:val="00761B67"/>
    <w:rsid w:val="00762375"/>
    <w:rsid w:val="00763440"/>
    <w:rsid w:val="0076352C"/>
    <w:rsid w:val="00763A24"/>
    <w:rsid w:val="00763A72"/>
    <w:rsid w:val="00764085"/>
    <w:rsid w:val="0076426C"/>
    <w:rsid w:val="00767B35"/>
    <w:rsid w:val="007706B0"/>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26D1"/>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49E"/>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033"/>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5CB5"/>
    <w:rsid w:val="00A27A0B"/>
    <w:rsid w:val="00A27BCB"/>
    <w:rsid w:val="00A304D0"/>
    <w:rsid w:val="00A30ED2"/>
    <w:rsid w:val="00A345A7"/>
    <w:rsid w:val="00A364B9"/>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62A"/>
    <w:rsid w:val="00A75C0F"/>
    <w:rsid w:val="00A760F3"/>
    <w:rsid w:val="00A776C2"/>
    <w:rsid w:val="00A776D1"/>
    <w:rsid w:val="00A77E09"/>
    <w:rsid w:val="00A812E1"/>
    <w:rsid w:val="00A816AF"/>
    <w:rsid w:val="00A81720"/>
    <w:rsid w:val="00A818E4"/>
    <w:rsid w:val="00A81E5C"/>
    <w:rsid w:val="00A82B19"/>
    <w:rsid w:val="00A83ED1"/>
    <w:rsid w:val="00A84DE6"/>
    <w:rsid w:val="00A85372"/>
    <w:rsid w:val="00A853D0"/>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3E10"/>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D9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E0C"/>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887"/>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3C10"/>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7B8"/>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79D"/>
    <w:rsid w:val="00E97CAF"/>
    <w:rsid w:val="00EA02C5"/>
    <w:rsid w:val="00EA0800"/>
    <w:rsid w:val="00EA0B57"/>
    <w:rsid w:val="00EA1013"/>
    <w:rsid w:val="00EA1072"/>
    <w:rsid w:val="00EA2AE8"/>
    <w:rsid w:val="00EA415F"/>
    <w:rsid w:val="00EA46E3"/>
    <w:rsid w:val="00EA513C"/>
    <w:rsid w:val="00EA576B"/>
    <w:rsid w:val="00EA5B39"/>
    <w:rsid w:val="00EA5D05"/>
    <w:rsid w:val="00EA7670"/>
    <w:rsid w:val="00EB072E"/>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85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263"/>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49F7"/>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0AE5"/>
    <w:rsid w:val="012422F1"/>
    <w:rsid w:val="01253372"/>
    <w:rsid w:val="013F4369"/>
    <w:rsid w:val="01423F24"/>
    <w:rsid w:val="014852B3"/>
    <w:rsid w:val="01762077"/>
    <w:rsid w:val="01C0753F"/>
    <w:rsid w:val="01D31020"/>
    <w:rsid w:val="01D77F38"/>
    <w:rsid w:val="02197498"/>
    <w:rsid w:val="022C24DE"/>
    <w:rsid w:val="022C33BC"/>
    <w:rsid w:val="02445A7A"/>
    <w:rsid w:val="02533F0F"/>
    <w:rsid w:val="02750329"/>
    <w:rsid w:val="028440C8"/>
    <w:rsid w:val="02936A01"/>
    <w:rsid w:val="02950DC4"/>
    <w:rsid w:val="029B6737"/>
    <w:rsid w:val="029E16D8"/>
    <w:rsid w:val="02B250DA"/>
    <w:rsid w:val="02D3433D"/>
    <w:rsid w:val="02DE2EF8"/>
    <w:rsid w:val="02E7478A"/>
    <w:rsid w:val="02F46BC4"/>
    <w:rsid w:val="03000A08"/>
    <w:rsid w:val="03195159"/>
    <w:rsid w:val="03303212"/>
    <w:rsid w:val="03304250"/>
    <w:rsid w:val="03345AEF"/>
    <w:rsid w:val="033C3C2D"/>
    <w:rsid w:val="03454DED"/>
    <w:rsid w:val="034664B6"/>
    <w:rsid w:val="03467196"/>
    <w:rsid w:val="03781995"/>
    <w:rsid w:val="038C76D9"/>
    <w:rsid w:val="03960557"/>
    <w:rsid w:val="03AD3AF7"/>
    <w:rsid w:val="03C07382"/>
    <w:rsid w:val="03C545D6"/>
    <w:rsid w:val="03DD7F34"/>
    <w:rsid w:val="03F842E2"/>
    <w:rsid w:val="040C3B6D"/>
    <w:rsid w:val="041031C6"/>
    <w:rsid w:val="04273D3A"/>
    <w:rsid w:val="04510922"/>
    <w:rsid w:val="046D5737"/>
    <w:rsid w:val="04717E20"/>
    <w:rsid w:val="049D3B67"/>
    <w:rsid w:val="04B35139"/>
    <w:rsid w:val="04BD04CB"/>
    <w:rsid w:val="04C226C5"/>
    <w:rsid w:val="04C41803"/>
    <w:rsid w:val="04DC7F02"/>
    <w:rsid w:val="04E946B7"/>
    <w:rsid w:val="05201FDF"/>
    <w:rsid w:val="05220AC4"/>
    <w:rsid w:val="05241B93"/>
    <w:rsid w:val="0530236C"/>
    <w:rsid w:val="057C552B"/>
    <w:rsid w:val="057C6BB8"/>
    <w:rsid w:val="057F3208"/>
    <w:rsid w:val="05880374"/>
    <w:rsid w:val="05993309"/>
    <w:rsid w:val="059B00A7"/>
    <w:rsid w:val="05AB059E"/>
    <w:rsid w:val="05DC71B6"/>
    <w:rsid w:val="05E337FC"/>
    <w:rsid w:val="05E7509A"/>
    <w:rsid w:val="05E83EA0"/>
    <w:rsid w:val="060E6ACB"/>
    <w:rsid w:val="06147E59"/>
    <w:rsid w:val="061B781D"/>
    <w:rsid w:val="062906E7"/>
    <w:rsid w:val="06344057"/>
    <w:rsid w:val="06420522"/>
    <w:rsid w:val="064E7CD8"/>
    <w:rsid w:val="0662770E"/>
    <w:rsid w:val="06665122"/>
    <w:rsid w:val="06893196"/>
    <w:rsid w:val="06A50AB1"/>
    <w:rsid w:val="06B61737"/>
    <w:rsid w:val="06C13B3D"/>
    <w:rsid w:val="06C43DE0"/>
    <w:rsid w:val="06C64491"/>
    <w:rsid w:val="06D526B8"/>
    <w:rsid w:val="06E415DA"/>
    <w:rsid w:val="06E85D06"/>
    <w:rsid w:val="06F2019A"/>
    <w:rsid w:val="07006739"/>
    <w:rsid w:val="07043A2A"/>
    <w:rsid w:val="07464042"/>
    <w:rsid w:val="074A1FE5"/>
    <w:rsid w:val="077305E3"/>
    <w:rsid w:val="078D3A1F"/>
    <w:rsid w:val="07BA233A"/>
    <w:rsid w:val="07D72EEC"/>
    <w:rsid w:val="07DB2C0D"/>
    <w:rsid w:val="07EF6488"/>
    <w:rsid w:val="08033CE1"/>
    <w:rsid w:val="080A52B6"/>
    <w:rsid w:val="081417E0"/>
    <w:rsid w:val="08236132"/>
    <w:rsid w:val="085602B5"/>
    <w:rsid w:val="08760957"/>
    <w:rsid w:val="087E5E6D"/>
    <w:rsid w:val="08AD688E"/>
    <w:rsid w:val="08C05228"/>
    <w:rsid w:val="08DD2784"/>
    <w:rsid w:val="09045F63"/>
    <w:rsid w:val="090C6F76"/>
    <w:rsid w:val="0935436E"/>
    <w:rsid w:val="095A3DD5"/>
    <w:rsid w:val="09612984"/>
    <w:rsid w:val="09684744"/>
    <w:rsid w:val="097A3797"/>
    <w:rsid w:val="09AE2F67"/>
    <w:rsid w:val="0A0F550E"/>
    <w:rsid w:val="0A6A374B"/>
    <w:rsid w:val="0A93506B"/>
    <w:rsid w:val="0A9B54A0"/>
    <w:rsid w:val="0AD11E75"/>
    <w:rsid w:val="0AEC5712"/>
    <w:rsid w:val="0AFD6936"/>
    <w:rsid w:val="0B0E2A57"/>
    <w:rsid w:val="0B133596"/>
    <w:rsid w:val="0B1D3CDA"/>
    <w:rsid w:val="0B3348DE"/>
    <w:rsid w:val="0B4C5836"/>
    <w:rsid w:val="0B4E1717"/>
    <w:rsid w:val="0B752F96"/>
    <w:rsid w:val="0B7F5D75"/>
    <w:rsid w:val="0B837613"/>
    <w:rsid w:val="0B862E5F"/>
    <w:rsid w:val="0B8C1164"/>
    <w:rsid w:val="0B8C3FEE"/>
    <w:rsid w:val="0B9E48FD"/>
    <w:rsid w:val="0BB622A7"/>
    <w:rsid w:val="0BCC389B"/>
    <w:rsid w:val="0BCF6B5B"/>
    <w:rsid w:val="0BD87233"/>
    <w:rsid w:val="0BD97DE4"/>
    <w:rsid w:val="0BE877E8"/>
    <w:rsid w:val="0BEC77B0"/>
    <w:rsid w:val="0C073DEF"/>
    <w:rsid w:val="0C1B3AFB"/>
    <w:rsid w:val="0C3E42BE"/>
    <w:rsid w:val="0C5C5076"/>
    <w:rsid w:val="0C6311F3"/>
    <w:rsid w:val="0C687B19"/>
    <w:rsid w:val="0C7E602C"/>
    <w:rsid w:val="0C8252F9"/>
    <w:rsid w:val="0C966FE2"/>
    <w:rsid w:val="0CB22DCB"/>
    <w:rsid w:val="0CB3217A"/>
    <w:rsid w:val="0CBD0903"/>
    <w:rsid w:val="0CCC48E0"/>
    <w:rsid w:val="0CD30459"/>
    <w:rsid w:val="0CD81BE1"/>
    <w:rsid w:val="0CDF2F6F"/>
    <w:rsid w:val="0CE75980"/>
    <w:rsid w:val="0CEA6115"/>
    <w:rsid w:val="0CEB1914"/>
    <w:rsid w:val="0D044784"/>
    <w:rsid w:val="0D053ED9"/>
    <w:rsid w:val="0D1E3B0E"/>
    <w:rsid w:val="0D312155"/>
    <w:rsid w:val="0D3B51DE"/>
    <w:rsid w:val="0D3D12FE"/>
    <w:rsid w:val="0D4806BF"/>
    <w:rsid w:val="0D834AA8"/>
    <w:rsid w:val="0DAE2941"/>
    <w:rsid w:val="0DB937C0"/>
    <w:rsid w:val="0DBE0DD6"/>
    <w:rsid w:val="0DC70C42"/>
    <w:rsid w:val="0DD87787"/>
    <w:rsid w:val="0E024D74"/>
    <w:rsid w:val="0E0B0A7A"/>
    <w:rsid w:val="0E285928"/>
    <w:rsid w:val="0E3C619F"/>
    <w:rsid w:val="0E41316F"/>
    <w:rsid w:val="0E484301"/>
    <w:rsid w:val="0E5F1249"/>
    <w:rsid w:val="0E7476E7"/>
    <w:rsid w:val="0E843362"/>
    <w:rsid w:val="0EA025EA"/>
    <w:rsid w:val="0EA93835"/>
    <w:rsid w:val="0EAF24CD"/>
    <w:rsid w:val="0EAF6971"/>
    <w:rsid w:val="0EB775D4"/>
    <w:rsid w:val="0EC145B8"/>
    <w:rsid w:val="0ECB7EDB"/>
    <w:rsid w:val="0ED85EC8"/>
    <w:rsid w:val="0EDC57C9"/>
    <w:rsid w:val="0EDC7874"/>
    <w:rsid w:val="0EF32D02"/>
    <w:rsid w:val="0F2E7521"/>
    <w:rsid w:val="0F5E547E"/>
    <w:rsid w:val="0F6566EC"/>
    <w:rsid w:val="0F665DED"/>
    <w:rsid w:val="0F781459"/>
    <w:rsid w:val="0F9B03FB"/>
    <w:rsid w:val="0FB35FED"/>
    <w:rsid w:val="0FD60A0D"/>
    <w:rsid w:val="0FD83CA6"/>
    <w:rsid w:val="0FFF56D6"/>
    <w:rsid w:val="1008458B"/>
    <w:rsid w:val="100E1475"/>
    <w:rsid w:val="101D6023"/>
    <w:rsid w:val="102277DD"/>
    <w:rsid w:val="102B5AE8"/>
    <w:rsid w:val="103709CC"/>
    <w:rsid w:val="10594DE6"/>
    <w:rsid w:val="10611A0A"/>
    <w:rsid w:val="109B1928"/>
    <w:rsid w:val="10AC5059"/>
    <w:rsid w:val="10B3168B"/>
    <w:rsid w:val="10BB784F"/>
    <w:rsid w:val="10F670C6"/>
    <w:rsid w:val="11000A34"/>
    <w:rsid w:val="1119049E"/>
    <w:rsid w:val="11472E91"/>
    <w:rsid w:val="115E22D4"/>
    <w:rsid w:val="116A4DD1"/>
    <w:rsid w:val="116D0F4A"/>
    <w:rsid w:val="117556CB"/>
    <w:rsid w:val="118C11EC"/>
    <w:rsid w:val="11910609"/>
    <w:rsid w:val="11F43433"/>
    <w:rsid w:val="11F748B7"/>
    <w:rsid w:val="121F5BBC"/>
    <w:rsid w:val="12301B77"/>
    <w:rsid w:val="12403C8F"/>
    <w:rsid w:val="12411FD6"/>
    <w:rsid w:val="124C6787"/>
    <w:rsid w:val="12631F4C"/>
    <w:rsid w:val="12705F50"/>
    <w:rsid w:val="127A292F"/>
    <w:rsid w:val="127A7296"/>
    <w:rsid w:val="1282121E"/>
    <w:rsid w:val="12AC38F3"/>
    <w:rsid w:val="13012641"/>
    <w:rsid w:val="13076D7C"/>
    <w:rsid w:val="1313230D"/>
    <w:rsid w:val="131B2827"/>
    <w:rsid w:val="132C67E2"/>
    <w:rsid w:val="134504D8"/>
    <w:rsid w:val="135246AF"/>
    <w:rsid w:val="13585D28"/>
    <w:rsid w:val="135D599E"/>
    <w:rsid w:val="13741F37"/>
    <w:rsid w:val="137B1518"/>
    <w:rsid w:val="13960100"/>
    <w:rsid w:val="13A16058"/>
    <w:rsid w:val="13A4281C"/>
    <w:rsid w:val="13B11791"/>
    <w:rsid w:val="13BB1914"/>
    <w:rsid w:val="13FD7A4B"/>
    <w:rsid w:val="141D612B"/>
    <w:rsid w:val="143376FC"/>
    <w:rsid w:val="144813FA"/>
    <w:rsid w:val="14533375"/>
    <w:rsid w:val="14592DFD"/>
    <w:rsid w:val="146E3E3D"/>
    <w:rsid w:val="147541B9"/>
    <w:rsid w:val="14817F29"/>
    <w:rsid w:val="14A15A72"/>
    <w:rsid w:val="14A8633C"/>
    <w:rsid w:val="14B06CFB"/>
    <w:rsid w:val="14C50C9C"/>
    <w:rsid w:val="14CC75EE"/>
    <w:rsid w:val="14D83A9F"/>
    <w:rsid w:val="14DC6FEA"/>
    <w:rsid w:val="14FB646C"/>
    <w:rsid w:val="151614F8"/>
    <w:rsid w:val="15205A5A"/>
    <w:rsid w:val="15265371"/>
    <w:rsid w:val="152F2422"/>
    <w:rsid w:val="154D2A40"/>
    <w:rsid w:val="15597637"/>
    <w:rsid w:val="15745B33"/>
    <w:rsid w:val="158051BA"/>
    <w:rsid w:val="15883A78"/>
    <w:rsid w:val="158E6BC9"/>
    <w:rsid w:val="15931F5D"/>
    <w:rsid w:val="15C74668"/>
    <w:rsid w:val="15D77B87"/>
    <w:rsid w:val="15F36B10"/>
    <w:rsid w:val="15F67B8F"/>
    <w:rsid w:val="15F87315"/>
    <w:rsid w:val="15F873A5"/>
    <w:rsid w:val="162163A6"/>
    <w:rsid w:val="162A44F8"/>
    <w:rsid w:val="163008E4"/>
    <w:rsid w:val="164B69CD"/>
    <w:rsid w:val="166041CE"/>
    <w:rsid w:val="16B832B1"/>
    <w:rsid w:val="16CD33F4"/>
    <w:rsid w:val="16D0271B"/>
    <w:rsid w:val="16E1457B"/>
    <w:rsid w:val="16E54F9E"/>
    <w:rsid w:val="16F26FDC"/>
    <w:rsid w:val="16FA41E7"/>
    <w:rsid w:val="170B78DA"/>
    <w:rsid w:val="170F61FF"/>
    <w:rsid w:val="17367C2F"/>
    <w:rsid w:val="17374372"/>
    <w:rsid w:val="17432CA3"/>
    <w:rsid w:val="17721137"/>
    <w:rsid w:val="17AB365B"/>
    <w:rsid w:val="17B437C0"/>
    <w:rsid w:val="17E75995"/>
    <w:rsid w:val="17FB162F"/>
    <w:rsid w:val="180E6167"/>
    <w:rsid w:val="181B0BD3"/>
    <w:rsid w:val="18226406"/>
    <w:rsid w:val="183A54FD"/>
    <w:rsid w:val="184E4CAC"/>
    <w:rsid w:val="18673E19"/>
    <w:rsid w:val="18735851"/>
    <w:rsid w:val="18736C61"/>
    <w:rsid w:val="18921FDE"/>
    <w:rsid w:val="18950986"/>
    <w:rsid w:val="18954E2A"/>
    <w:rsid w:val="189B3AC2"/>
    <w:rsid w:val="18B5797C"/>
    <w:rsid w:val="18E831AB"/>
    <w:rsid w:val="18F02060"/>
    <w:rsid w:val="19006747"/>
    <w:rsid w:val="192A750C"/>
    <w:rsid w:val="19450E59"/>
    <w:rsid w:val="195271C6"/>
    <w:rsid w:val="195A5FE0"/>
    <w:rsid w:val="19600F94"/>
    <w:rsid w:val="19810F0A"/>
    <w:rsid w:val="19813FB0"/>
    <w:rsid w:val="198C1D89"/>
    <w:rsid w:val="198F3627"/>
    <w:rsid w:val="19E56DD6"/>
    <w:rsid w:val="19E613F2"/>
    <w:rsid w:val="19F4792E"/>
    <w:rsid w:val="1A0F29BA"/>
    <w:rsid w:val="1A3D4C07"/>
    <w:rsid w:val="1A750A6F"/>
    <w:rsid w:val="1A977BB8"/>
    <w:rsid w:val="1AAC5DFB"/>
    <w:rsid w:val="1AB97981"/>
    <w:rsid w:val="1AC7726A"/>
    <w:rsid w:val="1AD75285"/>
    <w:rsid w:val="1AD934C1"/>
    <w:rsid w:val="1AE300CE"/>
    <w:rsid w:val="1AF01042"/>
    <w:rsid w:val="1AFF390B"/>
    <w:rsid w:val="1B140288"/>
    <w:rsid w:val="1B2474CF"/>
    <w:rsid w:val="1B281F85"/>
    <w:rsid w:val="1B3E3557"/>
    <w:rsid w:val="1B55264E"/>
    <w:rsid w:val="1B5A4D98"/>
    <w:rsid w:val="1B610368"/>
    <w:rsid w:val="1B62623E"/>
    <w:rsid w:val="1B765E86"/>
    <w:rsid w:val="1B840C15"/>
    <w:rsid w:val="1B850A80"/>
    <w:rsid w:val="1BA96B88"/>
    <w:rsid w:val="1BB235FD"/>
    <w:rsid w:val="1BC05D1A"/>
    <w:rsid w:val="1BC31CAE"/>
    <w:rsid w:val="1BD6793F"/>
    <w:rsid w:val="1BEE234F"/>
    <w:rsid w:val="1C0A1B81"/>
    <w:rsid w:val="1C136791"/>
    <w:rsid w:val="1C417161"/>
    <w:rsid w:val="1C5823F6"/>
    <w:rsid w:val="1C6A496F"/>
    <w:rsid w:val="1C783C72"/>
    <w:rsid w:val="1C8A6328"/>
    <w:rsid w:val="1C915908"/>
    <w:rsid w:val="1C995197"/>
    <w:rsid w:val="1CA55A16"/>
    <w:rsid w:val="1CC27CF4"/>
    <w:rsid w:val="1CC7757C"/>
    <w:rsid w:val="1CE1063D"/>
    <w:rsid w:val="1CEE024A"/>
    <w:rsid w:val="1CFE2CAE"/>
    <w:rsid w:val="1D4674EB"/>
    <w:rsid w:val="1D5424EE"/>
    <w:rsid w:val="1D5B1FD4"/>
    <w:rsid w:val="1D5C4168"/>
    <w:rsid w:val="1DAF24EA"/>
    <w:rsid w:val="1DBE44DB"/>
    <w:rsid w:val="1DC00253"/>
    <w:rsid w:val="1DD063A3"/>
    <w:rsid w:val="1DD1244F"/>
    <w:rsid w:val="1DEA5DCF"/>
    <w:rsid w:val="1E047C52"/>
    <w:rsid w:val="1E087E4C"/>
    <w:rsid w:val="1E162569"/>
    <w:rsid w:val="1E3C0273"/>
    <w:rsid w:val="1E42797B"/>
    <w:rsid w:val="1E652BA8"/>
    <w:rsid w:val="1E816D2D"/>
    <w:rsid w:val="1EA06969"/>
    <w:rsid w:val="1EB853CE"/>
    <w:rsid w:val="1EDD7E07"/>
    <w:rsid w:val="1EE3430B"/>
    <w:rsid w:val="1EE47F71"/>
    <w:rsid w:val="1EF20C77"/>
    <w:rsid w:val="1EF87EC0"/>
    <w:rsid w:val="1F096272"/>
    <w:rsid w:val="1F125176"/>
    <w:rsid w:val="1F130856"/>
    <w:rsid w:val="1F374DC3"/>
    <w:rsid w:val="1F83778A"/>
    <w:rsid w:val="1FB33873"/>
    <w:rsid w:val="1FFE6BEE"/>
    <w:rsid w:val="200B63A3"/>
    <w:rsid w:val="20310CA7"/>
    <w:rsid w:val="2039200A"/>
    <w:rsid w:val="203D202F"/>
    <w:rsid w:val="2054789A"/>
    <w:rsid w:val="206477DC"/>
    <w:rsid w:val="20765541"/>
    <w:rsid w:val="20827A42"/>
    <w:rsid w:val="208512E0"/>
    <w:rsid w:val="209D5B61"/>
    <w:rsid w:val="20BA340F"/>
    <w:rsid w:val="20D12777"/>
    <w:rsid w:val="21026DD4"/>
    <w:rsid w:val="21073363"/>
    <w:rsid w:val="210E1A59"/>
    <w:rsid w:val="2116462E"/>
    <w:rsid w:val="212925B3"/>
    <w:rsid w:val="213A051B"/>
    <w:rsid w:val="214B7D38"/>
    <w:rsid w:val="21537630"/>
    <w:rsid w:val="21575EA1"/>
    <w:rsid w:val="215E44A7"/>
    <w:rsid w:val="216F43E6"/>
    <w:rsid w:val="216F7993"/>
    <w:rsid w:val="21701F90"/>
    <w:rsid w:val="21747CD2"/>
    <w:rsid w:val="21825E03"/>
    <w:rsid w:val="21867BCC"/>
    <w:rsid w:val="218C4119"/>
    <w:rsid w:val="21A77E4B"/>
    <w:rsid w:val="21BB220E"/>
    <w:rsid w:val="21C1376B"/>
    <w:rsid w:val="21C916A0"/>
    <w:rsid w:val="221D5633"/>
    <w:rsid w:val="223942B3"/>
    <w:rsid w:val="223C3B60"/>
    <w:rsid w:val="227453DF"/>
    <w:rsid w:val="227B4222"/>
    <w:rsid w:val="22A719E1"/>
    <w:rsid w:val="22B37412"/>
    <w:rsid w:val="22B673C3"/>
    <w:rsid w:val="22B91715"/>
    <w:rsid w:val="22B9629C"/>
    <w:rsid w:val="22D629CA"/>
    <w:rsid w:val="22EA5D72"/>
    <w:rsid w:val="22F15352"/>
    <w:rsid w:val="22FD5AA5"/>
    <w:rsid w:val="23166B67"/>
    <w:rsid w:val="232758FC"/>
    <w:rsid w:val="23297026"/>
    <w:rsid w:val="232E3EB1"/>
    <w:rsid w:val="235D69C1"/>
    <w:rsid w:val="2393729C"/>
    <w:rsid w:val="23A128D5"/>
    <w:rsid w:val="23BA5744"/>
    <w:rsid w:val="23CF1F26"/>
    <w:rsid w:val="23D31501"/>
    <w:rsid w:val="23D36806"/>
    <w:rsid w:val="23D9206E"/>
    <w:rsid w:val="23DA5DE6"/>
    <w:rsid w:val="24080C27"/>
    <w:rsid w:val="24362041"/>
    <w:rsid w:val="243674C1"/>
    <w:rsid w:val="244558F0"/>
    <w:rsid w:val="24594A29"/>
    <w:rsid w:val="24653902"/>
    <w:rsid w:val="246A716A"/>
    <w:rsid w:val="24985092"/>
    <w:rsid w:val="24A10DF8"/>
    <w:rsid w:val="24BB2C14"/>
    <w:rsid w:val="24C645E0"/>
    <w:rsid w:val="24CA50C6"/>
    <w:rsid w:val="24D223DD"/>
    <w:rsid w:val="24EB0995"/>
    <w:rsid w:val="250B04B9"/>
    <w:rsid w:val="250F386E"/>
    <w:rsid w:val="25140E84"/>
    <w:rsid w:val="252523ED"/>
    <w:rsid w:val="252E63EA"/>
    <w:rsid w:val="252F613E"/>
    <w:rsid w:val="253146FA"/>
    <w:rsid w:val="254944BC"/>
    <w:rsid w:val="2570107C"/>
    <w:rsid w:val="25AD2640"/>
    <w:rsid w:val="25BF7042"/>
    <w:rsid w:val="25C8595C"/>
    <w:rsid w:val="25D30D3F"/>
    <w:rsid w:val="25D6510D"/>
    <w:rsid w:val="25DA20CE"/>
    <w:rsid w:val="25F62749"/>
    <w:rsid w:val="260053A6"/>
    <w:rsid w:val="26064C71"/>
    <w:rsid w:val="2608197C"/>
    <w:rsid w:val="262D66A1"/>
    <w:rsid w:val="263135A5"/>
    <w:rsid w:val="265A05A4"/>
    <w:rsid w:val="265F25D3"/>
    <w:rsid w:val="26661BB3"/>
    <w:rsid w:val="267825D1"/>
    <w:rsid w:val="267C332F"/>
    <w:rsid w:val="26812549"/>
    <w:rsid w:val="26B80661"/>
    <w:rsid w:val="26C171CB"/>
    <w:rsid w:val="26C80178"/>
    <w:rsid w:val="26DD391D"/>
    <w:rsid w:val="26F471BF"/>
    <w:rsid w:val="27124AEC"/>
    <w:rsid w:val="271C4A6F"/>
    <w:rsid w:val="272829C1"/>
    <w:rsid w:val="2762006E"/>
    <w:rsid w:val="276E0D20"/>
    <w:rsid w:val="27F16519"/>
    <w:rsid w:val="27FD6D84"/>
    <w:rsid w:val="27FE6547"/>
    <w:rsid w:val="2805374C"/>
    <w:rsid w:val="28054429"/>
    <w:rsid w:val="281178FD"/>
    <w:rsid w:val="28213FE4"/>
    <w:rsid w:val="285A1251"/>
    <w:rsid w:val="285A3E82"/>
    <w:rsid w:val="285B27AE"/>
    <w:rsid w:val="28620159"/>
    <w:rsid w:val="286E52FC"/>
    <w:rsid w:val="287A79C9"/>
    <w:rsid w:val="28812CD5"/>
    <w:rsid w:val="2893284B"/>
    <w:rsid w:val="28936238"/>
    <w:rsid w:val="2893630E"/>
    <w:rsid w:val="289C74AE"/>
    <w:rsid w:val="289C7B0E"/>
    <w:rsid w:val="28B27332"/>
    <w:rsid w:val="28C50F38"/>
    <w:rsid w:val="28CF3A40"/>
    <w:rsid w:val="28D769F2"/>
    <w:rsid w:val="29027663"/>
    <w:rsid w:val="29477A7A"/>
    <w:rsid w:val="2953641F"/>
    <w:rsid w:val="2959155B"/>
    <w:rsid w:val="295F5243"/>
    <w:rsid w:val="296A5695"/>
    <w:rsid w:val="298F4F7D"/>
    <w:rsid w:val="29BF5862"/>
    <w:rsid w:val="29D62BAC"/>
    <w:rsid w:val="29DC2957"/>
    <w:rsid w:val="29EE17E2"/>
    <w:rsid w:val="29F55728"/>
    <w:rsid w:val="2A475858"/>
    <w:rsid w:val="2A4B4255"/>
    <w:rsid w:val="2A555D5C"/>
    <w:rsid w:val="2A6952D3"/>
    <w:rsid w:val="2A6D09C5"/>
    <w:rsid w:val="2A791CF4"/>
    <w:rsid w:val="2A8E3487"/>
    <w:rsid w:val="2A9A1E2C"/>
    <w:rsid w:val="2ABB7DF2"/>
    <w:rsid w:val="2AC7306D"/>
    <w:rsid w:val="2ACB46DB"/>
    <w:rsid w:val="2ADC1FC3"/>
    <w:rsid w:val="2ADE448E"/>
    <w:rsid w:val="2AE412F9"/>
    <w:rsid w:val="2AF561AC"/>
    <w:rsid w:val="2AFB6D6E"/>
    <w:rsid w:val="2AFE04E8"/>
    <w:rsid w:val="2B195446"/>
    <w:rsid w:val="2B1A7FB8"/>
    <w:rsid w:val="2B1B11BE"/>
    <w:rsid w:val="2B22254D"/>
    <w:rsid w:val="2B2362C5"/>
    <w:rsid w:val="2B3D33A5"/>
    <w:rsid w:val="2B463685"/>
    <w:rsid w:val="2B5B000B"/>
    <w:rsid w:val="2B6F55CF"/>
    <w:rsid w:val="2B7B63D1"/>
    <w:rsid w:val="2B8B1489"/>
    <w:rsid w:val="2B911481"/>
    <w:rsid w:val="2BD902EC"/>
    <w:rsid w:val="2C106B48"/>
    <w:rsid w:val="2C160ADE"/>
    <w:rsid w:val="2C17411D"/>
    <w:rsid w:val="2C3D5164"/>
    <w:rsid w:val="2C540104"/>
    <w:rsid w:val="2C581F9E"/>
    <w:rsid w:val="2C626349"/>
    <w:rsid w:val="2C9C2318"/>
    <w:rsid w:val="2C9E37D8"/>
    <w:rsid w:val="2CAE7C0A"/>
    <w:rsid w:val="2CC94095"/>
    <w:rsid w:val="2CED6B8B"/>
    <w:rsid w:val="2CF87289"/>
    <w:rsid w:val="2D2325AC"/>
    <w:rsid w:val="2D2D2C93"/>
    <w:rsid w:val="2D39592C"/>
    <w:rsid w:val="2D782DD6"/>
    <w:rsid w:val="2DD75EB5"/>
    <w:rsid w:val="2DEE2BBA"/>
    <w:rsid w:val="2E135BB8"/>
    <w:rsid w:val="2E2170F9"/>
    <w:rsid w:val="2E25631E"/>
    <w:rsid w:val="2E2A1A6C"/>
    <w:rsid w:val="2E343BD8"/>
    <w:rsid w:val="2E386092"/>
    <w:rsid w:val="2E456552"/>
    <w:rsid w:val="2E756E38"/>
    <w:rsid w:val="2E7B5944"/>
    <w:rsid w:val="2E7F7CB6"/>
    <w:rsid w:val="2E8D0988"/>
    <w:rsid w:val="2EA27D60"/>
    <w:rsid w:val="2EDC6EB7"/>
    <w:rsid w:val="2EE248F4"/>
    <w:rsid w:val="2EE737A0"/>
    <w:rsid w:val="2EF21CAB"/>
    <w:rsid w:val="2F012479"/>
    <w:rsid w:val="2F0A7BE4"/>
    <w:rsid w:val="2F1729C2"/>
    <w:rsid w:val="2F261EE0"/>
    <w:rsid w:val="2F3841ED"/>
    <w:rsid w:val="2F3960B7"/>
    <w:rsid w:val="2F3C7955"/>
    <w:rsid w:val="2F58187C"/>
    <w:rsid w:val="2F6E5FB6"/>
    <w:rsid w:val="2F93178D"/>
    <w:rsid w:val="2FAC6889"/>
    <w:rsid w:val="2FB958F6"/>
    <w:rsid w:val="2FCE1F78"/>
    <w:rsid w:val="2FD61B58"/>
    <w:rsid w:val="2FF16992"/>
    <w:rsid w:val="2FFB7875"/>
    <w:rsid w:val="2FFC766F"/>
    <w:rsid w:val="301D1535"/>
    <w:rsid w:val="3057108A"/>
    <w:rsid w:val="309C4B4F"/>
    <w:rsid w:val="30B1408E"/>
    <w:rsid w:val="30B87993"/>
    <w:rsid w:val="30C57FF6"/>
    <w:rsid w:val="30CE71F9"/>
    <w:rsid w:val="30DE251B"/>
    <w:rsid w:val="30EF67E5"/>
    <w:rsid w:val="30FC196D"/>
    <w:rsid w:val="310311E3"/>
    <w:rsid w:val="311D51E8"/>
    <w:rsid w:val="31527E83"/>
    <w:rsid w:val="31554CFE"/>
    <w:rsid w:val="315905C8"/>
    <w:rsid w:val="315A00D5"/>
    <w:rsid w:val="316244E8"/>
    <w:rsid w:val="318850D4"/>
    <w:rsid w:val="319C46DB"/>
    <w:rsid w:val="31A26361"/>
    <w:rsid w:val="31CA749A"/>
    <w:rsid w:val="31CD6F8B"/>
    <w:rsid w:val="31DB3455"/>
    <w:rsid w:val="31E22A36"/>
    <w:rsid w:val="31E63934"/>
    <w:rsid w:val="31F4722E"/>
    <w:rsid w:val="322E1E8E"/>
    <w:rsid w:val="325D41F6"/>
    <w:rsid w:val="326E06BF"/>
    <w:rsid w:val="32714935"/>
    <w:rsid w:val="32794A1C"/>
    <w:rsid w:val="327B2543"/>
    <w:rsid w:val="3283371F"/>
    <w:rsid w:val="328D7DE2"/>
    <w:rsid w:val="32A85455"/>
    <w:rsid w:val="32B06982"/>
    <w:rsid w:val="32BA571C"/>
    <w:rsid w:val="32CC0FF0"/>
    <w:rsid w:val="32EE6C13"/>
    <w:rsid w:val="33264BA4"/>
    <w:rsid w:val="3332273D"/>
    <w:rsid w:val="337A6C9E"/>
    <w:rsid w:val="33A146B4"/>
    <w:rsid w:val="33B026C0"/>
    <w:rsid w:val="33B73A4E"/>
    <w:rsid w:val="33DD3064"/>
    <w:rsid w:val="33EB2FF0"/>
    <w:rsid w:val="340B78F6"/>
    <w:rsid w:val="34157E83"/>
    <w:rsid w:val="34374461"/>
    <w:rsid w:val="344D3544"/>
    <w:rsid w:val="3450087A"/>
    <w:rsid w:val="345453E4"/>
    <w:rsid w:val="34627E5E"/>
    <w:rsid w:val="346A286F"/>
    <w:rsid w:val="348320CD"/>
    <w:rsid w:val="34983880"/>
    <w:rsid w:val="349A1157"/>
    <w:rsid w:val="34D101A4"/>
    <w:rsid w:val="34D66156"/>
    <w:rsid w:val="35715AD4"/>
    <w:rsid w:val="35AD5174"/>
    <w:rsid w:val="35DB1C68"/>
    <w:rsid w:val="35E1263E"/>
    <w:rsid w:val="35EC697A"/>
    <w:rsid w:val="35F40894"/>
    <w:rsid w:val="35F745D6"/>
    <w:rsid w:val="361C403D"/>
    <w:rsid w:val="36214281"/>
    <w:rsid w:val="362829E1"/>
    <w:rsid w:val="365A4BD6"/>
    <w:rsid w:val="366C6C7C"/>
    <w:rsid w:val="366F6862"/>
    <w:rsid w:val="36700C56"/>
    <w:rsid w:val="367750F1"/>
    <w:rsid w:val="367B012D"/>
    <w:rsid w:val="369C1AFC"/>
    <w:rsid w:val="36B14785"/>
    <w:rsid w:val="36C87829"/>
    <w:rsid w:val="36DF5796"/>
    <w:rsid w:val="36E55870"/>
    <w:rsid w:val="36E7289C"/>
    <w:rsid w:val="36E74BCF"/>
    <w:rsid w:val="36F4767F"/>
    <w:rsid w:val="36F6663C"/>
    <w:rsid w:val="3715740A"/>
    <w:rsid w:val="371D675E"/>
    <w:rsid w:val="371E2613"/>
    <w:rsid w:val="372C02AF"/>
    <w:rsid w:val="373D2A8F"/>
    <w:rsid w:val="37575A24"/>
    <w:rsid w:val="37774E31"/>
    <w:rsid w:val="377F2AD5"/>
    <w:rsid w:val="378418A7"/>
    <w:rsid w:val="37971BCD"/>
    <w:rsid w:val="37AF3154"/>
    <w:rsid w:val="37C116E8"/>
    <w:rsid w:val="37C36E66"/>
    <w:rsid w:val="37C4673A"/>
    <w:rsid w:val="37EB1F18"/>
    <w:rsid w:val="37F82BA8"/>
    <w:rsid w:val="3805122C"/>
    <w:rsid w:val="381D762F"/>
    <w:rsid w:val="38270896"/>
    <w:rsid w:val="383C102E"/>
    <w:rsid w:val="384444B5"/>
    <w:rsid w:val="386709AA"/>
    <w:rsid w:val="387168C2"/>
    <w:rsid w:val="387D642F"/>
    <w:rsid w:val="38860B0E"/>
    <w:rsid w:val="38871C41"/>
    <w:rsid w:val="38883C0B"/>
    <w:rsid w:val="388A34DF"/>
    <w:rsid w:val="38A345A1"/>
    <w:rsid w:val="38B16CBE"/>
    <w:rsid w:val="38C6103F"/>
    <w:rsid w:val="38C6627D"/>
    <w:rsid w:val="38D86C09"/>
    <w:rsid w:val="38DE1A7D"/>
    <w:rsid w:val="38E30E42"/>
    <w:rsid w:val="38E8046F"/>
    <w:rsid w:val="38FD63A7"/>
    <w:rsid w:val="3919772A"/>
    <w:rsid w:val="3923007A"/>
    <w:rsid w:val="39370BE1"/>
    <w:rsid w:val="394A2C6F"/>
    <w:rsid w:val="39564FA9"/>
    <w:rsid w:val="396106E4"/>
    <w:rsid w:val="3965126B"/>
    <w:rsid w:val="397718FE"/>
    <w:rsid w:val="39904B26"/>
    <w:rsid w:val="39B32F0A"/>
    <w:rsid w:val="39B90520"/>
    <w:rsid w:val="3A274209"/>
    <w:rsid w:val="3A2A0555"/>
    <w:rsid w:val="3A310809"/>
    <w:rsid w:val="3A39340F"/>
    <w:rsid w:val="3A3C6A5B"/>
    <w:rsid w:val="3A437DEA"/>
    <w:rsid w:val="3A445910"/>
    <w:rsid w:val="3A7645E5"/>
    <w:rsid w:val="3A8543E9"/>
    <w:rsid w:val="3AA01AB2"/>
    <w:rsid w:val="3AC705C2"/>
    <w:rsid w:val="3ADC3D9A"/>
    <w:rsid w:val="3AFC57B7"/>
    <w:rsid w:val="3B07350D"/>
    <w:rsid w:val="3B182CC7"/>
    <w:rsid w:val="3B2220F5"/>
    <w:rsid w:val="3B2A6D61"/>
    <w:rsid w:val="3B2F3B39"/>
    <w:rsid w:val="3B3339E2"/>
    <w:rsid w:val="3B3855C2"/>
    <w:rsid w:val="3B3D0CDD"/>
    <w:rsid w:val="3B4130B9"/>
    <w:rsid w:val="3B464036"/>
    <w:rsid w:val="3B497682"/>
    <w:rsid w:val="3B9C1EA7"/>
    <w:rsid w:val="3BB27559"/>
    <w:rsid w:val="3BB323D3"/>
    <w:rsid w:val="3BBF0327"/>
    <w:rsid w:val="3BBF395E"/>
    <w:rsid w:val="3BDF14CC"/>
    <w:rsid w:val="3BED2703"/>
    <w:rsid w:val="3C0838C1"/>
    <w:rsid w:val="3C1E41B5"/>
    <w:rsid w:val="3C20015F"/>
    <w:rsid w:val="3C2109FD"/>
    <w:rsid w:val="3C3E2B2A"/>
    <w:rsid w:val="3C5938F5"/>
    <w:rsid w:val="3CCE6E7F"/>
    <w:rsid w:val="3CE67D07"/>
    <w:rsid w:val="3CF1691A"/>
    <w:rsid w:val="3D090124"/>
    <w:rsid w:val="3D3A5CC1"/>
    <w:rsid w:val="3D4027C3"/>
    <w:rsid w:val="3D6411B7"/>
    <w:rsid w:val="3DA02485"/>
    <w:rsid w:val="3DAD1CC3"/>
    <w:rsid w:val="3DB46376"/>
    <w:rsid w:val="3DC56D68"/>
    <w:rsid w:val="3DC92CFC"/>
    <w:rsid w:val="3DD11BB1"/>
    <w:rsid w:val="3DFB39FD"/>
    <w:rsid w:val="3E041161"/>
    <w:rsid w:val="3E0C2BE9"/>
    <w:rsid w:val="3E105A20"/>
    <w:rsid w:val="3E287CA5"/>
    <w:rsid w:val="3E497999"/>
    <w:rsid w:val="3E4E6154"/>
    <w:rsid w:val="3E6A1E9A"/>
    <w:rsid w:val="3E6C6A4F"/>
    <w:rsid w:val="3E864749"/>
    <w:rsid w:val="3E8B2434"/>
    <w:rsid w:val="3E8F1850"/>
    <w:rsid w:val="3E971150"/>
    <w:rsid w:val="3EB23790"/>
    <w:rsid w:val="3EB62267"/>
    <w:rsid w:val="3ED16F9F"/>
    <w:rsid w:val="3ED95EA9"/>
    <w:rsid w:val="3EFA5B90"/>
    <w:rsid w:val="3EFE309E"/>
    <w:rsid w:val="3F19514F"/>
    <w:rsid w:val="3F2517DA"/>
    <w:rsid w:val="3F2F6B8F"/>
    <w:rsid w:val="3F3B5533"/>
    <w:rsid w:val="3F512870"/>
    <w:rsid w:val="3F5600D8"/>
    <w:rsid w:val="3F6236D0"/>
    <w:rsid w:val="3F7F7B16"/>
    <w:rsid w:val="3F94702A"/>
    <w:rsid w:val="3FA7706D"/>
    <w:rsid w:val="3FBB48C6"/>
    <w:rsid w:val="3FD00372"/>
    <w:rsid w:val="3FE06D3B"/>
    <w:rsid w:val="3FE2521F"/>
    <w:rsid w:val="4004626D"/>
    <w:rsid w:val="401E6742"/>
    <w:rsid w:val="40210BCD"/>
    <w:rsid w:val="4024246B"/>
    <w:rsid w:val="402F6D46"/>
    <w:rsid w:val="404B5C4A"/>
    <w:rsid w:val="40520D87"/>
    <w:rsid w:val="4061546E"/>
    <w:rsid w:val="40736F4F"/>
    <w:rsid w:val="408B2822"/>
    <w:rsid w:val="40956EC5"/>
    <w:rsid w:val="40B97058"/>
    <w:rsid w:val="40C41F3B"/>
    <w:rsid w:val="40C854ED"/>
    <w:rsid w:val="40D309FB"/>
    <w:rsid w:val="40E43586"/>
    <w:rsid w:val="40E579E4"/>
    <w:rsid w:val="40E85247"/>
    <w:rsid w:val="40F40090"/>
    <w:rsid w:val="40F736DC"/>
    <w:rsid w:val="40F76BA7"/>
    <w:rsid w:val="41546D80"/>
    <w:rsid w:val="41734BD4"/>
    <w:rsid w:val="41867D29"/>
    <w:rsid w:val="41A37FB5"/>
    <w:rsid w:val="41CE08E1"/>
    <w:rsid w:val="41D71CA1"/>
    <w:rsid w:val="41E77978"/>
    <w:rsid w:val="41EA60CB"/>
    <w:rsid w:val="41F30347"/>
    <w:rsid w:val="42022339"/>
    <w:rsid w:val="42095809"/>
    <w:rsid w:val="42132798"/>
    <w:rsid w:val="42134546"/>
    <w:rsid w:val="4233454F"/>
    <w:rsid w:val="425E2B56"/>
    <w:rsid w:val="42846AE2"/>
    <w:rsid w:val="42A77BCB"/>
    <w:rsid w:val="42C63DF8"/>
    <w:rsid w:val="42D737C5"/>
    <w:rsid w:val="42E17AB5"/>
    <w:rsid w:val="42EA799C"/>
    <w:rsid w:val="42F468B7"/>
    <w:rsid w:val="42F51FEF"/>
    <w:rsid w:val="430B346F"/>
    <w:rsid w:val="43527DA5"/>
    <w:rsid w:val="438E4A94"/>
    <w:rsid w:val="439A3786"/>
    <w:rsid w:val="439C240B"/>
    <w:rsid w:val="43A63197"/>
    <w:rsid w:val="43BE7E30"/>
    <w:rsid w:val="43E963FE"/>
    <w:rsid w:val="43F32881"/>
    <w:rsid w:val="43F839F3"/>
    <w:rsid w:val="4404683C"/>
    <w:rsid w:val="44103433"/>
    <w:rsid w:val="4447497A"/>
    <w:rsid w:val="445A46AE"/>
    <w:rsid w:val="446454B9"/>
    <w:rsid w:val="446C2633"/>
    <w:rsid w:val="447F2366"/>
    <w:rsid w:val="449F04D4"/>
    <w:rsid w:val="44B8597F"/>
    <w:rsid w:val="44C55076"/>
    <w:rsid w:val="44D81A76"/>
    <w:rsid w:val="44E4041B"/>
    <w:rsid w:val="44E4567B"/>
    <w:rsid w:val="44E6503E"/>
    <w:rsid w:val="44EF539B"/>
    <w:rsid w:val="45093CD4"/>
    <w:rsid w:val="450E5498"/>
    <w:rsid w:val="451C6BEA"/>
    <w:rsid w:val="45333E01"/>
    <w:rsid w:val="454A4722"/>
    <w:rsid w:val="454D7023"/>
    <w:rsid w:val="456C1406"/>
    <w:rsid w:val="457160ED"/>
    <w:rsid w:val="45756A0A"/>
    <w:rsid w:val="458D460F"/>
    <w:rsid w:val="45952F68"/>
    <w:rsid w:val="45C427BE"/>
    <w:rsid w:val="45C92BAA"/>
    <w:rsid w:val="45F85457"/>
    <w:rsid w:val="460A0A48"/>
    <w:rsid w:val="46131F38"/>
    <w:rsid w:val="464320EC"/>
    <w:rsid w:val="46503FBA"/>
    <w:rsid w:val="466A3D31"/>
    <w:rsid w:val="46733805"/>
    <w:rsid w:val="467B2000"/>
    <w:rsid w:val="46805F22"/>
    <w:rsid w:val="4688711B"/>
    <w:rsid w:val="468B4FF2"/>
    <w:rsid w:val="46A82CD0"/>
    <w:rsid w:val="46D52711"/>
    <w:rsid w:val="46D536D2"/>
    <w:rsid w:val="46DA3884"/>
    <w:rsid w:val="46DF70EC"/>
    <w:rsid w:val="46F07AD6"/>
    <w:rsid w:val="474F5AFF"/>
    <w:rsid w:val="47876C52"/>
    <w:rsid w:val="479B5ECC"/>
    <w:rsid w:val="47AC3472"/>
    <w:rsid w:val="47B15789"/>
    <w:rsid w:val="47D91395"/>
    <w:rsid w:val="47E726FC"/>
    <w:rsid w:val="481D3EC7"/>
    <w:rsid w:val="48396CD0"/>
    <w:rsid w:val="484E277B"/>
    <w:rsid w:val="48645AFB"/>
    <w:rsid w:val="486D24D6"/>
    <w:rsid w:val="48742B93"/>
    <w:rsid w:val="48826C2D"/>
    <w:rsid w:val="488937B4"/>
    <w:rsid w:val="488D6991"/>
    <w:rsid w:val="489573EB"/>
    <w:rsid w:val="48986E1F"/>
    <w:rsid w:val="48BE395E"/>
    <w:rsid w:val="48BE3CBF"/>
    <w:rsid w:val="48D34A2F"/>
    <w:rsid w:val="48E52EF2"/>
    <w:rsid w:val="48FA020D"/>
    <w:rsid w:val="490E5A67"/>
    <w:rsid w:val="491A265E"/>
    <w:rsid w:val="49261002"/>
    <w:rsid w:val="493354CD"/>
    <w:rsid w:val="49523BA5"/>
    <w:rsid w:val="4968161B"/>
    <w:rsid w:val="496833C9"/>
    <w:rsid w:val="497955D6"/>
    <w:rsid w:val="49885819"/>
    <w:rsid w:val="49BE748D"/>
    <w:rsid w:val="49CF100D"/>
    <w:rsid w:val="4A0A0924"/>
    <w:rsid w:val="4A2117CA"/>
    <w:rsid w:val="4A507877"/>
    <w:rsid w:val="4A6022F2"/>
    <w:rsid w:val="4A6873F9"/>
    <w:rsid w:val="4A871F75"/>
    <w:rsid w:val="4AAA7A11"/>
    <w:rsid w:val="4AF83480"/>
    <w:rsid w:val="4B166E55"/>
    <w:rsid w:val="4B2D5FDE"/>
    <w:rsid w:val="4B3043BA"/>
    <w:rsid w:val="4B36139E"/>
    <w:rsid w:val="4B490FDF"/>
    <w:rsid w:val="4B4B6C02"/>
    <w:rsid w:val="4B4C0AC8"/>
    <w:rsid w:val="4B581BEE"/>
    <w:rsid w:val="4B645E12"/>
    <w:rsid w:val="4B85051F"/>
    <w:rsid w:val="4BA32DDE"/>
    <w:rsid w:val="4BA40904"/>
    <w:rsid w:val="4BA51A38"/>
    <w:rsid w:val="4BAF3531"/>
    <w:rsid w:val="4BF47196"/>
    <w:rsid w:val="4BF54FD8"/>
    <w:rsid w:val="4BFB7738"/>
    <w:rsid w:val="4C324162"/>
    <w:rsid w:val="4C3C324E"/>
    <w:rsid w:val="4C454C01"/>
    <w:rsid w:val="4C4A325A"/>
    <w:rsid w:val="4C561124"/>
    <w:rsid w:val="4C5D5B32"/>
    <w:rsid w:val="4C697E15"/>
    <w:rsid w:val="4C765DFD"/>
    <w:rsid w:val="4C806421"/>
    <w:rsid w:val="4C9256BD"/>
    <w:rsid w:val="4CA0475B"/>
    <w:rsid w:val="4CA9593B"/>
    <w:rsid w:val="4CBE5A86"/>
    <w:rsid w:val="4CC21042"/>
    <w:rsid w:val="4CD3324F"/>
    <w:rsid w:val="4CDF4A30"/>
    <w:rsid w:val="4CDF7E46"/>
    <w:rsid w:val="4D0E1A0D"/>
    <w:rsid w:val="4D17314A"/>
    <w:rsid w:val="4D3D2DBF"/>
    <w:rsid w:val="4D450A84"/>
    <w:rsid w:val="4D4C0AEC"/>
    <w:rsid w:val="4D533318"/>
    <w:rsid w:val="4D5A571F"/>
    <w:rsid w:val="4D8E361A"/>
    <w:rsid w:val="4D940915"/>
    <w:rsid w:val="4D9C68C9"/>
    <w:rsid w:val="4DA600B3"/>
    <w:rsid w:val="4DB95442"/>
    <w:rsid w:val="4DD9086C"/>
    <w:rsid w:val="4DFB11F6"/>
    <w:rsid w:val="4DFF2958"/>
    <w:rsid w:val="4E1F4272"/>
    <w:rsid w:val="4E265601"/>
    <w:rsid w:val="4E2F0959"/>
    <w:rsid w:val="4E5677C9"/>
    <w:rsid w:val="4E774DAA"/>
    <w:rsid w:val="4E834801"/>
    <w:rsid w:val="4E9155FD"/>
    <w:rsid w:val="4EB33338"/>
    <w:rsid w:val="4ECF0241"/>
    <w:rsid w:val="4EE00D0F"/>
    <w:rsid w:val="4EF13B48"/>
    <w:rsid w:val="4F61335F"/>
    <w:rsid w:val="4F634F3A"/>
    <w:rsid w:val="4F770D88"/>
    <w:rsid w:val="4FA01A2D"/>
    <w:rsid w:val="4FB76013"/>
    <w:rsid w:val="4FB86591"/>
    <w:rsid w:val="4FBA4253"/>
    <w:rsid w:val="4FC81DBA"/>
    <w:rsid w:val="4FCA0E8E"/>
    <w:rsid w:val="4FD01CC8"/>
    <w:rsid w:val="4FE14544"/>
    <w:rsid w:val="4FE52E29"/>
    <w:rsid w:val="4FEB6B02"/>
    <w:rsid w:val="4FF21C3E"/>
    <w:rsid w:val="4FFB7568"/>
    <w:rsid w:val="50047BC4"/>
    <w:rsid w:val="500C2E3A"/>
    <w:rsid w:val="502F4C40"/>
    <w:rsid w:val="5032028D"/>
    <w:rsid w:val="50593A6B"/>
    <w:rsid w:val="50664363"/>
    <w:rsid w:val="5089456A"/>
    <w:rsid w:val="50AC44E3"/>
    <w:rsid w:val="50B11AF9"/>
    <w:rsid w:val="50D650BC"/>
    <w:rsid w:val="50EB36A6"/>
    <w:rsid w:val="50ED0AB6"/>
    <w:rsid w:val="50ED3F31"/>
    <w:rsid w:val="513918A9"/>
    <w:rsid w:val="51597A9B"/>
    <w:rsid w:val="516052CE"/>
    <w:rsid w:val="516650CC"/>
    <w:rsid w:val="51750D79"/>
    <w:rsid w:val="517B4996"/>
    <w:rsid w:val="51842D6A"/>
    <w:rsid w:val="51846EC9"/>
    <w:rsid w:val="518965D2"/>
    <w:rsid w:val="518C1C1F"/>
    <w:rsid w:val="51D6733E"/>
    <w:rsid w:val="52065E75"/>
    <w:rsid w:val="521A3F9A"/>
    <w:rsid w:val="523D116B"/>
    <w:rsid w:val="52655659"/>
    <w:rsid w:val="526E48F5"/>
    <w:rsid w:val="527E68E2"/>
    <w:rsid w:val="52951AB7"/>
    <w:rsid w:val="52B64958"/>
    <w:rsid w:val="52CA1D4B"/>
    <w:rsid w:val="52D80BEE"/>
    <w:rsid w:val="530A3743"/>
    <w:rsid w:val="530C3017"/>
    <w:rsid w:val="53216E56"/>
    <w:rsid w:val="532F0BB9"/>
    <w:rsid w:val="534700CF"/>
    <w:rsid w:val="53513120"/>
    <w:rsid w:val="53631B2A"/>
    <w:rsid w:val="537C336B"/>
    <w:rsid w:val="538928D5"/>
    <w:rsid w:val="539A6875"/>
    <w:rsid w:val="539F20DD"/>
    <w:rsid w:val="539F21DB"/>
    <w:rsid w:val="53BD2563"/>
    <w:rsid w:val="53C5766A"/>
    <w:rsid w:val="53D007F5"/>
    <w:rsid w:val="53F254B5"/>
    <w:rsid w:val="540A3C5A"/>
    <w:rsid w:val="54124A42"/>
    <w:rsid w:val="54261E03"/>
    <w:rsid w:val="544057FD"/>
    <w:rsid w:val="5449726B"/>
    <w:rsid w:val="544A7F16"/>
    <w:rsid w:val="546A2608"/>
    <w:rsid w:val="546B6E19"/>
    <w:rsid w:val="54715343"/>
    <w:rsid w:val="5475533D"/>
    <w:rsid w:val="54803934"/>
    <w:rsid w:val="548254F0"/>
    <w:rsid w:val="5485514F"/>
    <w:rsid w:val="548D558B"/>
    <w:rsid w:val="549A6C2B"/>
    <w:rsid w:val="54A8538E"/>
    <w:rsid w:val="54AC51AF"/>
    <w:rsid w:val="54AD3BB1"/>
    <w:rsid w:val="54BA4CF5"/>
    <w:rsid w:val="54C36344"/>
    <w:rsid w:val="550167C3"/>
    <w:rsid w:val="55082A65"/>
    <w:rsid w:val="5523747A"/>
    <w:rsid w:val="554A7ADE"/>
    <w:rsid w:val="556C5E8F"/>
    <w:rsid w:val="5587082F"/>
    <w:rsid w:val="55911302"/>
    <w:rsid w:val="55B950FF"/>
    <w:rsid w:val="55C45E2B"/>
    <w:rsid w:val="55C53EA6"/>
    <w:rsid w:val="55D32512"/>
    <w:rsid w:val="55E83909"/>
    <w:rsid w:val="55FD6573"/>
    <w:rsid w:val="561641AD"/>
    <w:rsid w:val="561B17C3"/>
    <w:rsid w:val="562B40FC"/>
    <w:rsid w:val="564D7C03"/>
    <w:rsid w:val="56503058"/>
    <w:rsid w:val="565B7FD3"/>
    <w:rsid w:val="56B23ED5"/>
    <w:rsid w:val="56C05B91"/>
    <w:rsid w:val="56CE1DB8"/>
    <w:rsid w:val="56D014DF"/>
    <w:rsid w:val="56E524FD"/>
    <w:rsid w:val="56E85B49"/>
    <w:rsid w:val="56F52014"/>
    <w:rsid w:val="57007C70"/>
    <w:rsid w:val="57376AD1"/>
    <w:rsid w:val="57377952"/>
    <w:rsid w:val="57435475"/>
    <w:rsid w:val="574C6E0F"/>
    <w:rsid w:val="57580F21"/>
    <w:rsid w:val="576F174B"/>
    <w:rsid w:val="57792C45"/>
    <w:rsid w:val="57D4668D"/>
    <w:rsid w:val="57DF609E"/>
    <w:rsid w:val="58005114"/>
    <w:rsid w:val="58030761"/>
    <w:rsid w:val="58070251"/>
    <w:rsid w:val="58263B5F"/>
    <w:rsid w:val="582C415B"/>
    <w:rsid w:val="583A0626"/>
    <w:rsid w:val="584F5295"/>
    <w:rsid w:val="58515ED5"/>
    <w:rsid w:val="58574B26"/>
    <w:rsid w:val="585F3F16"/>
    <w:rsid w:val="586503D5"/>
    <w:rsid w:val="58D053E0"/>
    <w:rsid w:val="58E10F36"/>
    <w:rsid w:val="58E34992"/>
    <w:rsid w:val="58E705F6"/>
    <w:rsid w:val="58EC5D3C"/>
    <w:rsid w:val="59016536"/>
    <w:rsid w:val="590C29FE"/>
    <w:rsid w:val="59237CED"/>
    <w:rsid w:val="592E4385"/>
    <w:rsid w:val="59382F53"/>
    <w:rsid w:val="593C29B5"/>
    <w:rsid w:val="59513E7A"/>
    <w:rsid w:val="595B2265"/>
    <w:rsid w:val="59965D30"/>
    <w:rsid w:val="599F547E"/>
    <w:rsid w:val="59A537CB"/>
    <w:rsid w:val="59B83EF9"/>
    <w:rsid w:val="59C87461"/>
    <w:rsid w:val="59CF4D9E"/>
    <w:rsid w:val="59E9690A"/>
    <w:rsid w:val="59EF2443"/>
    <w:rsid w:val="59F26FCA"/>
    <w:rsid w:val="5A063E3B"/>
    <w:rsid w:val="5A2B7E5E"/>
    <w:rsid w:val="5A3C754B"/>
    <w:rsid w:val="5A4B6B1B"/>
    <w:rsid w:val="5A4C4641"/>
    <w:rsid w:val="5A6C75D8"/>
    <w:rsid w:val="5A70032F"/>
    <w:rsid w:val="5A702DFA"/>
    <w:rsid w:val="5A821E11"/>
    <w:rsid w:val="5A8D6E0C"/>
    <w:rsid w:val="5A985AD8"/>
    <w:rsid w:val="5AA07F40"/>
    <w:rsid w:val="5AAB75B9"/>
    <w:rsid w:val="5ABB5323"/>
    <w:rsid w:val="5ABE7E1B"/>
    <w:rsid w:val="5AD1185B"/>
    <w:rsid w:val="5AD76600"/>
    <w:rsid w:val="5ADF54B5"/>
    <w:rsid w:val="5AE67E70"/>
    <w:rsid w:val="5B071AB3"/>
    <w:rsid w:val="5B28184F"/>
    <w:rsid w:val="5B31425D"/>
    <w:rsid w:val="5B3E042E"/>
    <w:rsid w:val="5B433C96"/>
    <w:rsid w:val="5B5163B3"/>
    <w:rsid w:val="5B644A23"/>
    <w:rsid w:val="5B650D9F"/>
    <w:rsid w:val="5B70610D"/>
    <w:rsid w:val="5B7C4A30"/>
    <w:rsid w:val="5B835E40"/>
    <w:rsid w:val="5B94782C"/>
    <w:rsid w:val="5B9B5880"/>
    <w:rsid w:val="5BCC5A39"/>
    <w:rsid w:val="5BDE0537"/>
    <w:rsid w:val="5BED4D57"/>
    <w:rsid w:val="5C0D2396"/>
    <w:rsid w:val="5C1F025F"/>
    <w:rsid w:val="5C2A578C"/>
    <w:rsid w:val="5C34586C"/>
    <w:rsid w:val="5C3A1D29"/>
    <w:rsid w:val="5C5D30F4"/>
    <w:rsid w:val="5C817072"/>
    <w:rsid w:val="5C902F0B"/>
    <w:rsid w:val="5C9304DA"/>
    <w:rsid w:val="5CB564CD"/>
    <w:rsid w:val="5CC7539F"/>
    <w:rsid w:val="5CEA7FA9"/>
    <w:rsid w:val="5D35760E"/>
    <w:rsid w:val="5D3A50DF"/>
    <w:rsid w:val="5D4D387D"/>
    <w:rsid w:val="5D577585"/>
    <w:rsid w:val="5D646797"/>
    <w:rsid w:val="5D6851F5"/>
    <w:rsid w:val="5D7A3273"/>
    <w:rsid w:val="5DB67411"/>
    <w:rsid w:val="5E2254EE"/>
    <w:rsid w:val="5E3C677A"/>
    <w:rsid w:val="5E3E24F3"/>
    <w:rsid w:val="5E531B97"/>
    <w:rsid w:val="5E6B54B1"/>
    <w:rsid w:val="5EB379E0"/>
    <w:rsid w:val="5EBD7285"/>
    <w:rsid w:val="5EC85701"/>
    <w:rsid w:val="5ED77613"/>
    <w:rsid w:val="5EEB267A"/>
    <w:rsid w:val="5EF43590"/>
    <w:rsid w:val="5EFA0A12"/>
    <w:rsid w:val="5F0337AE"/>
    <w:rsid w:val="5F144DEA"/>
    <w:rsid w:val="5F317957"/>
    <w:rsid w:val="5F7E3018"/>
    <w:rsid w:val="5F8E1258"/>
    <w:rsid w:val="60025ECE"/>
    <w:rsid w:val="60243AEA"/>
    <w:rsid w:val="60397415"/>
    <w:rsid w:val="60402552"/>
    <w:rsid w:val="60455DBA"/>
    <w:rsid w:val="60554E30"/>
    <w:rsid w:val="60844B35"/>
    <w:rsid w:val="60855547"/>
    <w:rsid w:val="60A461F2"/>
    <w:rsid w:val="60AE3960"/>
    <w:rsid w:val="60C531B3"/>
    <w:rsid w:val="60DD4A82"/>
    <w:rsid w:val="60F1388E"/>
    <w:rsid w:val="60FA4DF7"/>
    <w:rsid w:val="60FB7781"/>
    <w:rsid w:val="610E08A2"/>
    <w:rsid w:val="61214226"/>
    <w:rsid w:val="61333E65"/>
    <w:rsid w:val="61342A4A"/>
    <w:rsid w:val="61594480"/>
    <w:rsid w:val="616B02CD"/>
    <w:rsid w:val="61A134C4"/>
    <w:rsid w:val="61A3723C"/>
    <w:rsid w:val="61A77079"/>
    <w:rsid w:val="61DA61FE"/>
    <w:rsid w:val="61EE5FDE"/>
    <w:rsid w:val="61FE4473"/>
    <w:rsid w:val="62514EEA"/>
    <w:rsid w:val="62600C89"/>
    <w:rsid w:val="626F0699"/>
    <w:rsid w:val="62747372"/>
    <w:rsid w:val="6292105F"/>
    <w:rsid w:val="62A35517"/>
    <w:rsid w:val="62A41BB4"/>
    <w:rsid w:val="62A82D70"/>
    <w:rsid w:val="62A96AD4"/>
    <w:rsid w:val="62B92A90"/>
    <w:rsid w:val="62BE1E54"/>
    <w:rsid w:val="62D6732E"/>
    <w:rsid w:val="62E418BB"/>
    <w:rsid w:val="62F052D2"/>
    <w:rsid w:val="62F4609A"/>
    <w:rsid w:val="63041F5D"/>
    <w:rsid w:val="630B32EB"/>
    <w:rsid w:val="631C412D"/>
    <w:rsid w:val="635527B8"/>
    <w:rsid w:val="635C0E45"/>
    <w:rsid w:val="636659DA"/>
    <w:rsid w:val="6367377F"/>
    <w:rsid w:val="638279B4"/>
    <w:rsid w:val="639473F3"/>
    <w:rsid w:val="639C64A0"/>
    <w:rsid w:val="63C54BC1"/>
    <w:rsid w:val="63DD6563"/>
    <w:rsid w:val="63E853DA"/>
    <w:rsid w:val="640D3ADF"/>
    <w:rsid w:val="641235FA"/>
    <w:rsid w:val="64124205"/>
    <w:rsid w:val="641B438D"/>
    <w:rsid w:val="641F5EA8"/>
    <w:rsid w:val="642372D3"/>
    <w:rsid w:val="642503DD"/>
    <w:rsid w:val="64341C13"/>
    <w:rsid w:val="64460353"/>
    <w:rsid w:val="645B6C72"/>
    <w:rsid w:val="646C0914"/>
    <w:rsid w:val="64852C29"/>
    <w:rsid w:val="648C78E7"/>
    <w:rsid w:val="64B03C3F"/>
    <w:rsid w:val="64BD7D3B"/>
    <w:rsid w:val="64BE25DF"/>
    <w:rsid w:val="64E10FFC"/>
    <w:rsid w:val="64FB2EEB"/>
    <w:rsid w:val="65000502"/>
    <w:rsid w:val="651708B8"/>
    <w:rsid w:val="652E1513"/>
    <w:rsid w:val="65454382"/>
    <w:rsid w:val="65532D27"/>
    <w:rsid w:val="655D7FBE"/>
    <w:rsid w:val="65640A91"/>
    <w:rsid w:val="65884920"/>
    <w:rsid w:val="658E3D60"/>
    <w:rsid w:val="65911D40"/>
    <w:rsid w:val="65C14135"/>
    <w:rsid w:val="65E6594A"/>
    <w:rsid w:val="65ED6F4C"/>
    <w:rsid w:val="65F24568"/>
    <w:rsid w:val="65F97079"/>
    <w:rsid w:val="65FF1E91"/>
    <w:rsid w:val="66154481"/>
    <w:rsid w:val="664A6492"/>
    <w:rsid w:val="665365F0"/>
    <w:rsid w:val="665705F5"/>
    <w:rsid w:val="66650F64"/>
    <w:rsid w:val="6672630C"/>
    <w:rsid w:val="667F4F0E"/>
    <w:rsid w:val="669B46E7"/>
    <w:rsid w:val="66D32372"/>
    <w:rsid w:val="66D41C46"/>
    <w:rsid w:val="66F928BE"/>
    <w:rsid w:val="674212A6"/>
    <w:rsid w:val="67472418"/>
    <w:rsid w:val="674E7C4A"/>
    <w:rsid w:val="67917B37"/>
    <w:rsid w:val="67A755AC"/>
    <w:rsid w:val="67B010BC"/>
    <w:rsid w:val="67B657F0"/>
    <w:rsid w:val="67BF6452"/>
    <w:rsid w:val="67C40077"/>
    <w:rsid w:val="67CF52F1"/>
    <w:rsid w:val="68294213"/>
    <w:rsid w:val="682F27E3"/>
    <w:rsid w:val="68727968"/>
    <w:rsid w:val="68BB4E93"/>
    <w:rsid w:val="68C86C1E"/>
    <w:rsid w:val="68C966C7"/>
    <w:rsid w:val="68F70246"/>
    <w:rsid w:val="69143F32"/>
    <w:rsid w:val="69286279"/>
    <w:rsid w:val="693E3CEF"/>
    <w:rsid w:val="6959602B"/>
    <w:rsid w:val="697C0F04"/>
    <w:rsid w:val="69A43B52"/>
    <w:rsid w:val="69A77179"/>
    <w:rsid w:val="69DA3A17"/>
    <w:rsid w:val="69E45686"/>
    <w:rsid w:val="69F767C2"/>
    <w:rsid w:val="6A2922A9"/>
    <w:rsid w:val="6A3A6264"/>
    <w:rsid w:val="6A3D7B02"/>
    <w:rsid w:val="6A5512F0"/>
    <w:rsid w:val="6A681023"/>
    <w:rsid w:val="6A6B466F"/>
    <w:rsid w:val="6A750417"/>
    <w:rsid w:val="6A7A0B7A"/>
    <w:rsid w:val="6A7B2288"/>
    <w:rsid w:val="6A9F17ED"/>
    <w:rsid w:val="6ABD617F"/>
    <w:rsid w:val="6AC25622"/>
    <w:rsid w:val="6AEC3960"/>
    <w:rsid w:val="6B122D3D"/>
    <w:rsid w:val="6B482C03"/>
    <w:rsid w:val="6B527AA8"/>
    <w:rsid w:val="6B57195A"/>
    <w:rsid w:val="6B6537B4"/>
    <w:rsid w:val="6B715CB5"/>
    <w:rsid w:val="6B8320C0"/>
    <w:rsid w:val="6B855C05"/>
    <w:rsid w:val="6BD154CC"/>
    <w:rsid w:val="6BDF4621"/>
    <w:rsid w:val="6BE10B92"/>
    <w:rsid w:val="6BE446D9"/>
    <w:rsid w:val="6BEC7A32"/>
    <w:rsid w:val="6C1A634D"/>
    <w:rsid w:val="6C1D408F"/>
    <w:rsid w:val="6C2B2308"/>
    <w:rsid w:val="6C305C8F"/>
    <w:rsid w:val="6C354FE2"/>
    <w:rsid w:val="6C6905AE"/>
    <w:rsid w:val="6CAF2C3A"/>
    <w:rsid w:val="6CB5251A"/>
    <w:rsid w:val="6CBC7404"/>
    <w:rsid w:val="6CC92D08"/>
    <w:rsid w:val="6CCC6520"/>
    <w:rsid w:val="6CEA21C3"/>
    <w:rsid w:val="6CF84AFB"/>
    <w:rsid w:val="6D101F46"/>
    <w:rsid w:val="6D231231"/>
    <w:rsid w:val="6D25144D"/>
    <w:rsid w:val="6D54506F"/>
    <w:rsid w:val="6D763A57"/>
    <w:rsid w:val="6D7C6B93"/>
    <w:rsid w:val="6D805845"/>
    <w:rsid w:val="6DC72505"/>
    <w:rsid w:val="6DE94229"/>
    <w:rsid w:val="6E071562"/>
    <w:rsid w:val="6E13574A"/>
    <w:rsid w:val="6E165BD9"/>
    <w:rsid w:val="6E1967BA"/>
    <w:rsid w:val="6E29477C"/>
    <w:rsid w:val="6E3556C0"/>
    <w:rsid w:val="6E3A43B9"/>
    <w:rsid w:val="6E4B0A38"/>
    <w:rsid w:val="6E625D89"/>
    <w:rsid w:val="6E8757F0"/>
    <w:rsid w:val="6E906D9A"/>
    <w:rsid w:val="6EBC7B8F"/>
    <w:rsid w:val="6ED4144E"/>
    <w:rsid w:val="6EE028B7"/>
    <w:rsid w:val="6EE721AB"/>
    <w:rsid w:val="6EFA2466"/>
    <w:rsid w:val="6F0143B1"/>
    <w:rsid w:val="6F083740"/>
    <w:rsid w:val="6F172914"/>
    <w:rsid w:val="6FBB39A3"/>
    <w:rsid w:val="6FD63CDD"/>
    <w:rsid w:val="6FE105F2"/>
    <w:rsid w:val="6FEE03BB"/>
    <w:rsid w:val="6FFF26AD"/>
    <w:rsid w:val="70051ADB"/>
    <w:rsid w:val="706E4EB9"/>
    <w:rsid w:val="708727AC"/>
    <w:rsid w:val="7089584F"/>
    <w:rsid w:val="70950698"/>
    <w:rsid w:val="70955915"/>
    <w:rsid w:val="70983CE4"/>
    <w:rsid w:val="709C13CF"/>
    <w:rsid w:val="70C04FE9"/>
    <w:rsid w:val="70C31D6B"/>
    <w:rsid w:val="70C525FF"/>
    <w:rsid w:val="70DF7B65"/>
    <w:rsid w:val="70E64A50"/>
    <w:rsid w:val="70F74CDB"/>
    <w:rsid w:val="712210AB"/>
    <w:rsid w:val="712D491D"/>
    <w:rsid w:val="71680632"/>
    <w:rsid w:val="717C53B4"/>
    <w:rsid w:val="71904B0C"/>
    <w:rsid w:val="71A010A2"/>
    <w:rsid w:val="71C73801"/>
    <w:rsid w:val="71CD0CB1"/>
    <w:rsid w:val="71DC40A5"/>
    <w:rsid w:val="71E51B16"/>
    <w:rsid w:val="71E847F7"/>
    <w:rsid w:val="71F92460"/>
    <w:rsid w:val="721E268A"/>
    <w:rsid w:val="722E5429"/>
    <w:rsid w:val="7233601F"/>
    <w:rsid w:val="72343EE1"/>
    <w:rsid w:val="72347A17"/>
    <w:rsid w:val="723B526F"/>
    <w:rsid w:val="726F6CC7"/>
    <w:rsid w:val="727A179E"/>
    <w:rsid w:val="727B38BE"/>
    <w:rsid w:val="727F33AE"/>
    <w:rsid w:val="728B5CD6"/>
    <w:rsid w:val="72B34E05"/>
    <w:rsid w:val="72B56DCF"/>
    <w:rsid w:val="72D134DE"/>
    <w:rsid w:val="72D80D10"/>
    <w:rsid w:val="72DB7DD6"/>
    <w:rsid w:val="731735E6"/>
    <w:rsid w:val="73245D03"/>
    <w:rsid w:val="73262214"/>
    <w:rsid w:val="733A67CD"/>
    <w:rsid w:val="736844A0"/>
    <w:rsid w:val="736F095A"/>
    <w:rsid w:val="7375030D"/>
    <w:rsid w:val="73DA13E5"/>
    <w:rsid w:val="73DE78B6"/>
    <w:rsid w:val="73E11791"/>
    <w:rsid w:val="73E8397D"/>
    <w:rsid w:val="73F166B8"/>
    <w:rsid w:val="74033665"/>
    <w:rsid w:val="740C6EC3"/>
    <w:rsid w:val="740D2781"/>
    <w:rsid w:val="744877CF"/>
    <w:rsid w:val="744C0E93"/>
    <w:rsid w:val="74533F62"/>
    <w:rsid w:val="745374F7"/>
    <w:rsid w:val="746565D3"/>
    <w:rsid w:val="74777CF5"/>
    <w:rsid w:val="74891E24"/>
    <w:rsid w:val="74B17A6A"/>
    <w:rsid w:val="74C552BF"/>
    <w:rsid w:val="74D177C5"/>
    <w:rsid w:val="74EF066E"/>
    <w:rsid w:val="74F87447"/>
    <w:rsid w:val="750B717B"/>
    <w:rsid w:val="753A7A60"/>
    <w:rsid w:val="75461F61"/>
    <w:rsid w:val="7548217D"/>
    <w:rsid w:val="75492412"/>
    <w:rsid w:val="75631015"/>
    <w:rsid w:val="75886F8B"/>
    <w:rsid w:val="75CB6EB8"/>
    <w:rsid w:val="75F6664F"/>
    <w:rsid w:val="76571F4C"/>
    <w:rsid w:val="76612DCA"/>
    <w:rsid w:val="766F7295"/>
    <w:rsid w:val="76724FD8"/>
    <w:rsid w:val="76A2766B"/>
    <w:rsid w:val="76B61368"/>
    <w:rsid w:val="76BD44A5"/>
    <w:rsid w:val="76C667BC"/>
    <w:rsid w:val="76D75E34"/>
    <w:rsid w:val="76E2215D"/>
    <w:rsid w:val="76EB0BA9"/>
    <w:rsid w:val="77212C85"/>
    <w:rsid w:val="774A27DE"/>
    <w:rsid w:val="775B5A6C"/>
    <w:rsid w:val="77646FC0"/>
    <w:rsid w:val="776C1A27"/>
    <w:rsid w:val="776F0CF3"/>
    <w:rsid w:val="77732DB5"/>
    <w:rsid w:val="77840F6C"/>
    <w:rsid w:val="77876861"/>
    <w:rsid w:val="7789082B"/>
    <w:rsid w:val="778F5FCB"/>
    <w:rsid w:val="77A2161B"/>
    <w:rsid w:val="77A621AC"/>
    <w:rsid w:val="77B353F1"/>
    <w:rsid w:val="77CD4BBB"/>
    <w:rsid w:val="78176CDE"/>
    <w:rsid w:val="78405FDD"/>
    <w:rsid w:val="785D5BF2"/>
    <w:rsid w:val="786C7F30"/>
    <w:rsid w:val="78992912"/>
    <w:rsid w:val="78D750E8"/>
    <w:rsid w:val="78DB67FF"/>
    <w:rsid w:val="78E026CC"/>
    <w:rsid w:val="78F44AA5"/>
    <w:rsid w:val="79181E66"/>
    <w:rsid w:val="79900DE0"/>
    <w:rsid w:val="79CD0EA3"/>
    <w:rsid w:val="79EA1A55"/>
    <w:rsid w:val="79FE79DA"/>
    <w:rsid w:val="79FF4DD4"/>
    <w:rsid w:val="7A127B9E"/>
    <w:rsid w:val="7A252A8D"/>
    <w:rsid w:val="7A291E51"/>
    <w:rsid w:val="7A2F56B9"/>
    <w:rsid w:val="7A304F8E"/>
    <w:rsid w:val="7A342CD0"/>
    <w:rsid w:val="7A4C797B"/>
    <w:rsid w:val="7A515AA2"/>
    <w:rsid w:val="7A5A2A7A"/>
    <w:rsid w:val="7A665F33"/>
    <w:rsid w:val="7A717781"/>
    <w:rsid w:val="7A735C17"/>
    <w:rsid w:val="7A7B000A"/>
    <w:rsid w:val="7A87102F"/>
    <w:rsid w:val="7A887546"/>
    <w:rsid w:val="7A8D418E"/>
    <w:rsid w:val="7A9719D9"/>
    <w:rsid w:val="7A99244D"/>
    <w:rsid w:val="7AA71D7C"/>
    <w:rsid w:val="7AAD5FEE"/>
    <w:rsid w:val="7AB14320"/>
    <w:rsid w:val="7ABA3AA8"/>
    <w:rsid w:val="7ADF5DF9"/>
    <w:rsid w:val="7B191EC6"/>
    <w:rsid w:val="7B3B008E"/>
    <w:rsid w:val="7B4C6168"/>
    <w:rsid w:val="7B6F1AE6"/>
    <w:rsid w:val="7B737828"/>
    <w:rsid w:val="7B9638E8"/>
    <w:rsid w:val="7B9A223B"/>
    <w:rsid w:val="7BAB4C32"/>
    <w:rsid w:val="7BCB4AE2"/>
    <w:rsid w:val="7BEB5610"/>
    <w:rsid w:val="7BF06666"/>
    <w:rsid w:val="7BF9402F"/>
    <w:rsid w:val="7C044924"/>
    <w:rsid w:val="7C0900EB"/>
    <w:rsid w:val="7C2A29F8"/>
    <w:rsid w:val="7C4D4974"/>
    <w:rsid w:val="7C5A2180"/>
    <w:rsid w:val="7C5B09E8"/>
    <w:rsid w:val="7CAD66A6"/>
    <w:rsid w:val="7CB15915"/>
    <w:rsid w:val="7CE309DD"/>
    <w:rsid w:val="7CF312BE"/>
    <w:rsid w:val="7D133397"/>
    <w:rsid w:val="7D287CAD"/>
    <w:rsid w:val="7D382289"/>
    <w:rsid w:val="7D6C09D3"/>
    <w:rsid w:val="7D9120E2"/>
    <w:rsid w:val="7DCF4ABD"/>
    <w:rsid w:val="7E3A6EB0"/>
    <w:rsid w:val="7E5C0A47"/>
    <w:rsid w:val="7E695E0F"/>
    <w:rsid w:val="7E7421DD"/>
    <w:rsid w:val="7E910D86"/>
    <w:rsid w:val="7E951ADF"/>
    <w:rsid w:val="7ED54355"/>
    <w:rsid w:val="7ED72A0A"/>
    <w:rsid w:val="7F1629A4"/>
    <w:rsid w:val="7F800765"/>
    <w:rsid w:val="7F945FBF"/>
    <w:rsid w:val="7F991773"/>
    <w:rsid w:val="7FA375EB"/>
    <w:rsid w:val="7FD003CD"/>
    <w:rsid w:val="7FD16703"/>
    <w:rsid w:val="7FE629AD"/>
    <w:rsid w:val="7FF97519"/>
    <w:rsid w:val="A9976DAD"/>
    <w:rsid w:val="B5BDFA0D"/>
    <w:rsid w:val="BEF76702"/>
    <w:rsid w:val="BF3BEBE7"/>
    <w:rsid w:val="FDF8C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27"/>
    <w:qFormat/>
    <w:uiPriority w:val="0"/>
    <w:pPr>
      <w:keepNext/>
      <w:keepLines/>
      <w:spacing w:before="260" w:after="260" w:line="416" w:lineRule="auto"/>
      <w:outlineLvl w:val="2"/>
    </w:pPr>
    <w:rPr>
      <w:b/>
      <w:bCs/>
      <w:sz w:val="32"/>
      <w:szCs w:val="32"/>
    </w:rPr>
  </w:style>
  <w:style w:type="paragraph" w:styleId="5">
    <w:name w:val="heading 4"/>
    <w:basedOn w:val="1"/>
    <w:next w:val="1"/>
    <w:link w:val="191"/>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link w:val="30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206"/>
    <w:qFormat/>
    <w:uiPriority w:val="0"/>
    <w:pPr>
      <w:keepNext/>
      <w:keepLines/>
      <w:ind w:firstLine="200" w:firstLineChars="200"/>
      <w:outlineLvl w:val="5"/>
    </w:pPr>
    <w:rPr>
      <w:rFonts w:hAnsi="Arial"/>
    </w:rPr>
  </w:style>
  <w:style w:type="paragraph" w:styleId="9">
    <w:name w:val="heading 7"/>
    <w:basedOn w:val="1"/>
    <w:next w:val="1"/>
    <w:link w:val="28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7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20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List 3"/>
    <w:basedOn w:val="1"/>
    <w:next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15"/>
    <w:qFormat/>
    <w:uiPriority w:val="0"/>
    <w:pPr>
      <w:shd w:val="clear" w:color="auto" w:fill="000080"/>
    </w:pPr>
  </w:style>
  <w:style w:type="paragraph" w:styleId="16">
    <w:name w:val="annotation text"/>
    <w:basedOn w:val="1"/>
    <w:link w:val="299"/>
    <w:qFormat/>
    <w:uiPriority w:val="99"/>
    <w:pPr>
      <w:jc w:val="left"/>
    </w:pPr>
  </w:style>
  <w:style w:type="paragraph" w:styleId="17">
    <w:name w:val="Body Text 3"/>
    <w:basedOn w:val="1"/>
    <w:link w:val="318"/>
    <w:qFormat/>
    <w:uiPriority w:val="0"/>
    <w:pPr>
      <w:spacing w:after="120"/>
    </w:pPr>
    <w:rPr>
      <w:sz w:val="16"/>
      <w:szCs w:val="16"/>
    </w:rPr>
  </w:style>
  <w:style w:type="paragraph" w:styleId="18">
    <w:name w:val="Body Text"/>
    <w:basedOn w:val="1"/>
    <w:next w:val="1"/>
    <w:link w:val="225"/>
    <w:qFormat/>
    <w:uiPriority w:val="0"/>
    <w:pPr>
      <w:spacing w:after="120"/>
    </w:pPr>
  </w:style>
  <w:style w:type="paragraph" w:styleId="19">
    <w:name w:val="Body Text Indent"/>
    <w:basedOn w:val="1"/>
    <w:link w:val="27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1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70"/>
    <w:qFormat/>
    <w:uiPriority w:val="0"/>
    <w:pPr>
      <w:ind w:left="100" w:leftChars="2500"/>
    </w:pPr>
  </w:style>
  <w:style w:type="paragraph" w:styleId="27">
    <w:name w:val="Body Text Indent 2"/>
    <w:basedOn w:val="1"/>
    <w:link w:val="281"/>
    <w:qFormat/>
    <w:uiPriority w:val="0"/>
    <w:pPr>
      <w:widowControl/>
      <w:spacing w:line="480" w:lineRule="auto"/>
      <w:ind w:firstLine="560"/>
      <w:jc w:val="left"/>
    </w:pPr>
    <w:rPr>
      <w:kern w:val="0"/>
      <w:sz w:val="28"/>
    </w:rPr>
  </w:style>
  <w:style w:type="paragraph" w:styleId="28">
    <w:name w:val="endnote text"/>
    <w:basedOn w:val="1"/>
    <w:link w:val="193"/>
    <w:qFormat/>
    <w:uiPriority w:val="0"/>
    <w:pPr>
      <w:widowControl/>
      <w:snapToGrid w:val="0"/>
      <w:jc w:val="left"/>
    </w:pPr>
    <w:rPr>
      <w:rFonts w:ascii="Arial" w:hAnsi="Arial" w:cs="Arial"/>
      <w:kern w:val="0"/>
      <w:sz w:val="20"/>
      <w:lang w:eastAsia="en-US"/>
    </w:rPr>
  </w:style>
  <w:style w:type="paragraph" w:styleId="29">
    <w:name w:val="Balloon Text"/>
    <w:basedOn w:val="1"/>
    <w:link w:val="219"/>
    <w:qFormat/>
    <w:uiPriority w:val="0"/>
    <w:rPr>
      <w:sz w:val="18"/>
      <w:szCs w:val="18"/>
    </w:rPr>
  </w:style>
  <w:style w:type="paragraph" w:styleId="30">
    <w:name w:val="footer"/>
    <w:basedOn w:val="1"/>
    <w:link w:val="207"/>
    <w:qFormat/>
    <w:uiPriority w:val="0"/>
    <w:pPr>
      <w:tabs>
        <w:tab w:val="center" w:pos="4153"/>
        <w:tab w:val="right" w:pos="8306"/>
      </w:tabs>
      <w:snapToGrid w:val="0"/>
      <w:jc w:val="left"/>
    </w:pPr>
    <w:rPr>
      <w:sz w:val="18"/>
      <w:szCs w:val="18"/>
    </w:rPr>
  </w:style>
  <w:style w:type="paragraph" w:styleId="31">
    <w:name w:val="header"/>
    <w:basedOn w:val="1"/>
    <w:link w:val="24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11"/>
    <w:qFormat/>
    <w:uiPriority w:val="0"/>
    <w:pPr>
      <w:widowControl/>
      <w:jc w:val="center"/>
    </w:pPr>
    <w:rPr>
      <w:kern w:val="0"/>
      <w:sz w:val="20"/>
      <w:u w:val="single"/>
      <w:lang w:eastAsia="en-US"/>
    </w:rPr>
  </w:style>
  <w:style w:type="paragraph" w:styleId="35">
    <w:name w:val="footnote text"/>
    <w:basedOn w:val="1"/>
    <w:link w:val="227"/>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78"/>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74"/>
    <w:qFormat/>
    <w:uiPriority w:val="0"/>
    <w:rPr>
      <w:i/>
      <w:iCs/>
      <w:sz w:val="26"/>
    </w:rPr>
  </w:style>
  <w:style w:type="paragraph" w:styleId="41">
    <w:name w:val="HTML Preformatted"/>
    <w:basedOn w:val="1"/>
    <w:link w:val="18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22"/>
    <w:qFormat/>
    <w:uiPriority w:val="0"/>
    <w:pPr>
      <w:widowControl/>
      <w:jc w:val="center"/>
    </w:pPr>
    <w:rPr>
      <w:kern w:val="0"/>
      <w:sz w:val="20"/>
      <w:u w:val="single"/>
      <w:lang w:eastAsia="en-US"/>
    </w:rPr>
  </w:style>
  <w:style w:type="paragraph" w:styleId="45">
    <w:name w:val="annotation subject"/>
    <w:basedOn w:val="16"/>
    <w:next w:val="16"/>
    <w:link w:val="273"/>
    <w:qFormat/>
    <w:uiPriority w:val="0"/>
    <w:rPr>
      <w:b/>
      <w:bCs/>
    </w:rPr>
  </w:style>
  <w:style w:type="paragraph" w:styleId="46">
    <w:name w:val="Body Text First Indent"/>
    <w:basedOn w:val="1"/>
    <w:next w:val="12"/>
    <w:qFormat/>
    <w:uiPriority w:val="0"/>
    <w:pPr>
      <w:spacing w:line="360" w:lineRule="auto"/>
      <w:ind w:firstLine="420"/>
    </w:pPr>
    <w:rPr>
      <w:rFonts w:ascii="宋体" w:hAnsi="宋体"/>
      <w:sz w:val="24"/>
    </w:rPr>
  </w:style>
  <w:style w:type="paragraph" w:styleId="47">
    <w:name w:val="Body Text First Indent 2"/>
    <w:basedOn w:val="19"/>
    <w:unhideWhenUsed/>
    <w:qFormat/>
    <w:uiPriority w:val="99"/>
    <w:pPr>
      <w:spacing w:after="120"/>
      <w:ind w:left="200" w:leftChars="200" w:firstLine="420"/>
    </w:pPr>
  </w:style>
  <w:style w:type="table" w:styleId="49">
    <w:name w:val="Table Grid"/>
    <w:basedOn w:val="4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TML Definition"/>
    <w:basedOn w:val="50"/>
    <w:qFormat/>
    <w:uiPriority w:val="0"/>
  </w:style>
  <w:style w:type="character" w:styleId="57">
    <w:name w:val="HTML Typewriter"/>
    <w:basedOn w:val="50"/>
    <w:qFormat/>
    <w:uiPriority w:val="0"/>
    <w:rPr>
      <w:rFonts w:hint="default" w:ascii="monospace" w:hAnsi="monospace" w:eastAsia="monospace" w:cs="monospace"/>
      <w:sz w:val="20"/>
    </w:rPr>
  </w:style>
  <w:style w:type="character" w:styleId="58">
    <w:name w:val="HTML Acronym"/>
    <w:basedOn w:val="50"/>
    <w:qFormat/>
    <w:uiPriority w:val="0"/>
  </w:style>
  <w:style w:type="character" w:styleId="59">
    <w:name w:val="HTML Variable"/>
    <w:basedOn w:val="50"/>
    <w:qFormat/>
    <w:uiPriority w:val="0"/>
  </w:style>
  <w:style w:type="character" w:styleId="60">
    <w:name w:val="Hyperlink"/>
    <w:qFormat/>
    <w:uiPriority w:val="99"/>
    <w:rPr>
      <w:color w:val="0000FF"/>
      <w:u w:val="single"/>
    </w:rPr>
  </w:style>
  <w:style w:type="character" w:styleId="61">
    <w:name w:val="HTML Code"/>
    <w:basedOn w:val="50"/>
    <w:qFormat/>
    <w:uiPriority w:val="0"/>
    <w:rPr>
      <w:rFonts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0"/>
    <w:qFormat/>
    <w:uiPriority w:val="0"/>
  </w:style>
  <w:style w:type="character" w:styleId="64">
    <w:name w:val="footnote reference"/>
    <w:qFormat/>
    <w:uiPriority w:val="0"/>
    <w:rPr>
      <w:vertAlign w:val="superscript"/>
    </w:rPr>
  </w:style>
  <w:style w:type="character" w:styleId="65">
    <w:name w:val="HTML Keyboard"/>
    <w:basedOn w:val="50"/>
    <w:qFormat/>
    <w:uiPriority w:val="0"/>
    <w:rPr>
      <w:rFonts w:hint="default" w:ascii="monospace" w:hAnsi="monospace" w:eastAsia="monospace" w:cs="monospace"/>
      <w:sz w:val="20"/>
    </w:rPr>
  </w:style>
  <w:style w:type="character" w:styleId="66">
    <w:name w:val="HTML Sample"/>
    <w:basedOn w:val="50"/>
    <w:qFormat/>
    <w:uiPriority w:val="0"/>
    <w:rPr>
      <w:rFonts w:hint="default" w:ascii="monospace" w:hAnsi="monospace" w:eastAsia="monospace" w:cs="monospace"/>
    </w:rPr>
  </w:style>
  <w:style w:type="paragraph" w:customStyle="1" w:styleId="67">
    <w:name w:val="样式1"/>
    <w:basedOn w:val="1"/>
    <w:next w:val="5"/>
    <w:qFormat/>
    <w:uiPriority w:val="0"/>
    <w:pPr>
      <w:spacing w:line="360" w:lineRule="auto"/>
      <w:ind w:firstLine="420" w:firstLineChars="200"/>
    </w:pPr>
    <w:rPr>
      <w:rFonts w:ascii="宋体" w:hAnsi="宋体"/>
      <w:szCs w:val="21"/>
    </w:rPr>
  </w:style>
  <w:style w:type="character" w:customStyle="1" w:styleId="68">
    <w:name w:val="标题 2 字符"/>
    <w:link w:val="3"/>
    <w:qFormat/>
    <w:uiPriority w:val="0"/>
    <w:rPr>
      <w:rFonts w:ascii="Cambria" w:hAnsi="Cambria" w:eastAsia="宋体"/>
      <w:b/>
      <w:bCs/>
      <w:kern w:val="2"/>
      <w:sz w:val="32"/>
      <w:szCs w:val="32"/>
      <w:lang w:val="en-US" w:eastAsia="zh-CN" w:bidi="ar-SA"/>
    </w:rPr>
  </w:style>
  <w:style w:type="character" w:customStyle="1" w:styleId="69">
    <w:name w:val="标题 1 Char"/>
    <w:qFormat/>
    <w:uiPriority w:val="0"/>
    <w:rPr>
      <w:rFonts w:ascii="Times New Roman" w:hAnsi="Times New Roman" w:eastAsia="宋体" w:cs="Times New Roman"/>
      <w:b/>
      <w:bCs/>
      <w:kern w:val="44"/>
      <w:sz w:val="44"/>
      <w:szCs w:val="44"/>
    </w:rPr>
  </w:style>
  <w:style w:type="character" w:customStyle="1" w:styleId="70">
    <w:name w:val="标题 2 Char"/>
    <w:qFormat/>
    <w:uiPriority w:val="0"/>
    <w:rPr>
      <w:rFonts w:ascii="仿宋_GB2312" w:hAnsi="Calibri" w:eastAsia="仿宋_GB2312" w:cs="Times New Roman"/>
      <w:b/>
      <w:spacing w:val="1"/>
      <w:w w:val="99"/>
      <w:kern w:val="0"/>
      <w:sz w:val="28"/>
      <w:szCs w:val="32"/>
    </w:rPr>
  </w:style>
  <w:style w:type="paragraph" w:customStyle="1" w:styleId="7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72">
    <w:name w:val="_Style 101"/>
    <w:basedOn w:val="1"/>
    <w:qFormat/>
    <w:uiPriority w:val="99"/>
    <w:pPr>
      <w:ind w:firstLine="420" w:firstLineChars="200"/>
    </w:pPr>
    <w:rPr>
      <w:sz w:val="28"/>
      <w:szCs w:val="28"/>
    </w:rPr>
  </w:style>
  <w:style w:type="paragraph" w:customStyle="1" w:styleId="73">
    <w:name w:val="表格标题"/>
    <w:basedOn w:val="74"/>
    <w:qFormat/>
    <w:uiPriority w:val="0"/>
  </w:style>
  <w:style w:type="paragraph" w:customStyle="1" w:styleId="74">
    <w:name w:val="表格内容"/>
    <w:basedOn w:val="1"/>
    <w:qFormat/>
    <w:uiPriority w:val="0"/>
    <w:pPr>
      <w:suppressLineNumbers/>
      <w:suppressAutoHyphens/>
    </w:pPr>
  </w:style>
  <w:style w:type="paragraph" w:customStyle="1" w:styleId="7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6">
    <w:name w:val="修订1"/>
    <w:qFormat/>
    <w:uiPriority w:val="0"/>
    <w:rPr>
      <w:rFonts w:ascii="Times New Roman" w:hAnsi="Times New Roman" w:eastAsia="宋体" w:cs="Times New Roman"/>
      <w:kern w:val="2"/>
      <w:sz w:val="21"/>
      <w:szCs w:val="24"/>
      <w:lang w:val="en-US" w:eastAsia="zh-CN" w:bidi="ar-SA"/>
    </w:rPr>
  </w:style>
  <w:style w:type="paragraph" w:customStyle="1" w:styleId="7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78">
    <w:name w:val="标准样式1"/>
    <w:basedOn w:val="1"/>
    <w:qFormat/>
    <w:uiPriority w:val="0"/>
    <w:pPr>
      <w:spacing w:line="600" w:lineRule="exact"/>
      <w:ind w:firstLine="567"/>
    </w:pPr>
    <w:rPr>
      <w:rFonts w:ascii="Calibri" w:hAnsi="Calibri"/>
      <w:sz w:val="28"/>
    </w:rPr>
  </w:style>
  <w:style w:type="paragraph" w:customStyle="1" w:styleId="79">
    <w:name w:val="列出段落11"/>
    <w:basedOn w:val="1"/>
    <w:qFormat/>
    <w:uiPriority w:val="0"/>
    <w:pPr>
      <w:ind w:firstLine="420" w:firstLineChars="200"/>
    </w:pPr>
    <w:rPr>
      <w:sz w:val="28"/>
      <w:szCs w:val="28"/>
    </w:rPr>
  </w:style>
  <w:style w:type="paragraph" w:customStyle="1" w:styleId="80">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81">
    <w:name w:val="WW-表格标题"/>
    <w:basedOn w:val="82"/>
    <w:qFormat/>
    <w:uiPriority w:val="0"/>
  </w:style>
  <w:style w:type="paragraph" w:customStyle="1" w:styleId="82">
    <w:name w:val="WW-表格内容"/>
    <w:basedOn w:val="1"/>
    <w:qFormat/>
    <w:uiPriority w:val="0"/>
    <w:pPr>
      <w:suppressLineNumbers/>
      <w:suppressAutoHyphens/>
    </w:pPr>
  </w:style>
  <w:style w:type="paragraph" w:customStyle="1" w:styleId="83">
    <w:name w:val="引用2"/>
    <w:basedOn w:val="1"/>
    <w:next w:val="1"/>
    <w:link w:val="310"/>
    <w:qFormat/>
    <w:uiPriority w:val="0"/>
    <w:rPr>
      <w:i/>
      <w:iCs/>
      <w:color w:val="000000"/>
    </w:rPr>
  </w:style>
  <w:style w:type="paragraph" w:customStyle="1" w:styleId="8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8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6">
    <w:name w:val="Char Char Char Char"/>
    <w:basedOn w:val="15"/>
    <w:qFormat/>
    <w:uiPriority w:val="0"/>
    <w:pPr>
      <w:spacing w:line="360" w:lineRule="auto"/>
      <w:ind w:firstLine="200" w:firstLineChars="200"/>
    </w:pPr>
    <w:rPr>
      <w:rFonts w:ascii="Tahoma" w:hAnsi="Tahoma"/>
      <w:sz w:val="24"/>
    </w:rPr>
  </w:style>
  <w:style w:type="paragraph" w:customStyle="1" w:styleId="87">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8">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89">
    <w:name w:val="p16"/>
    <w:basedOn w:val="1"/>
    <w:qFormat/>
    <w:uiPriority w:val="0"/>
    <w:pPr>
      <w:widowControl/>
    </w:pPr>
    <w:rPr>
      <w:rFonts w:ascii="Calibri" w:hAnsi="Calibri" w:cs="宋体"/>
      <w:kern w:val="0"/>
      <w:szCs w:val="21"/>
    </w:rPr>
  </w:style>
  <w:style w:type="paragraph" w:customStyle="1" w:styleId="90">
    <w:name w:val="列出段落1"/>
    <w:basedOn w:val="1"/>
    <w:qFormat/>
    <w:uiPriority w:val="0"/>
    <w:pPr>
      <w:ind w:firstLine="420" w:firstLineChars="200"/>
    </w:pPr>
    <w:rPr>
      <w:sz w:val="28"/>
      <w:szCs w:val="28"/>
    </w:rPr>
  </w:style>
  <w:style w:type="paragraph" w:customStyle="1" w:styleId="9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92">
    <w:name w:val="Char9 Char Char Char Char Char Char"/>
    <w:basedOn w:val="15"/>
    <w:qFormat/>
    <w:uiPriority w:val="0"/>
    <w:pPr>
      <w:spacing w:line="360" w:lineRule="auto"/>
      <w:ind w:firstLine="200" w:firstLineChars="200"/>
    </w:pPr>
    <w:rPr>
      <w:rFonts w:ascii="Tahoma" w:hAnsi="Tahoma"/>
      <w:sz w:val="24"/>
    </w:rPr>
  </w:style>
  <w:style w:type="paragraph" w:customStyle="1" w:styleId="93">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94">
    <w:name w:val="引用1"/>
    <w:basedOn w:val="1"/>
    <w:next w:val="1"/>
    <w:link w:val="163"/>
    <w:qFormat/>
    <w:uiPriority w:val="29"/>
    <w:rPr>
      <w:i/>
      <w:iCs/>
      <w:color w:val="000000"/>
      <w:szCs w:val="20"/>
    </w:rPr>
  </w:style>
  <w:style w:type="paragraph" w:customStyle="1" w:styleId="95">
    <w:name w:val="表格文字"/>
    <w:basedOn w:val="1"/>
    <w:qFormat/>
    <w:uiPriority w:val="0"/>
    <w:pPr>
      <w:adjustRightInd w:val="0"/>
      <w:spacing w:line="420" w:lineRule="atLeast"/>
      <w:jc w:val="left"/>
      <w:textAlignment w:val="baseline"/>
    </w:pPr>
    <w:rPr>
      <w:kern w:val="0"/>
      <w:szCs w:val="20"/>
    </w:rPr>
  </w:style>
  <w:style w:type="paragraph" w:customStyle="1" w:styleId="96">
    <w:name w:val="_Style 96"/>
    <w:semiHidden/>
    <w:qFormat/>
    <w:uiPriority w:val="99"/>
    <w:rPr>
      <w:rFonts w:ascii="Calibri" w:hAnsi="Calibri" w:eastAsia="宋体" w:cs="Times New Roman"/>
      <w:kern w:val="2"/>
      <w:sz w:val="21"/>
      <w:szCs w:val="24"/>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98">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9">
    <w:name w:val="正  文"/>
    <w:basedOn w:val="1"/>
    <w:qFormat/>
    <w:uiPriority w:val="0"/>
    <w:pPr>
      <w:spacing w:line="360" w:lineRule="auto"/>
      <w:ind w:firstLine="200" w:firstLineChars="200"/>
    </w:pPr>
    <w:rPr>
      <w:rFonts w:ascii="宋体" w:hAnsi="Calibri"/>
      <w:sz w:val="24"/>
    </w:rPr>
  </w:style>
  <w:style w:type="paragraph" w:customStyle="1" w:styleId="100">
    <w:name w:val="标题4"/>
    <w:basedOn w:val="3"/>
    <w:next w:val="21"/>
    <w:link w:val="254"/>
    <w:qFormat/>
    <w:uiPriority w:val="0"/>
    <w:pPr>
      <w:spacing w:line="413" w:lineRule="auto"/>
    </w:pPr>
    <w:rPr>
      <w:rFonts w:ascii="Arial" w:hAnsi="Arial"/>
      <w:kern w:val="0"/>
      <w:sz w:val="24"/>
    </w:rPr>
  </w:style>
  <w:style w:type="paragraph" w:customStyle="1" w:styleId="101">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0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08">
    <w:name w:val="1 Char"/>
    <w:basedOn w:val="1"/>
    <w:qFormat/>
    <w:uiPriority w:val="0"/>
    <w:pPr>
      <w:widowControl/>
      <w:spacing w:after="160" w:line="240" w:lineRule="exact"/>
      <w:jc w:val="left"/>
    </w:pPr>
    <w:rPr>
      <w:rFonts w:ascii="Calibri" w:hAnsi="Calibri"/>
      <w:szCs w:val="20"/>
    </w:rPr>
  </w:style>
  <w:style w:type="paragraph" w:customStyle="1" w:styleId="10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10">
    <w:name w:val="pa-34"/>
    <w:basedOn w:val="1"/>
    <w:qFormat/>
    <w:uiPriority w:val="0"/>
    <w:pPr>
      <w:widowControl/>
      <w:spacing w:line="360" w:lineRule="atLeast"/>
      <w:ind w:firstLine="420"/>
      <w:jc w:val="left"/>
    </w:pPr>
    <w:rPr>
      <w:rFonts w:ascii="宋体" w:hAnsi="宋体" w:cs="宋体"/>
      <w:kern w:val="0"/>
      <w:sz w:val="24"/>
    </w:rPr>
  </w:style>
  <w:style w:type="paragraph" w:customStyle="1" w:styleId="111">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2">
    <w:name w:val="p15"/>
    <w:basedOn w:val="1"/>
    <w:qFormat/>
    <w:uiPriority w:val="0"/>
    <w:pPr>
      <w:widowControl/>
      <w:spacing w:after="120"/>
    </w:pPr>
    <w:rPr>
      <w:kern w:val="0"/>
      <w:szCs w:val="21"/>
    </w:rPr>
  </w:style>
  <w:style w:type="paragraph" w:customStyle="1" w:styleId="1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15">
    <w:name w:val="_Style 124"/>
    <w:basedOn w:val="1"/>
    <w:next w:val="1"/>
    <w:link w:val="208"/>
    <w:qFormat/>
    <w:uiPriority w:val="0"/>
    <w:rPr>
      <w:i/>
      <w:iCs/>
      <w:color w:val="000000"/>
      <w:szCs w:val="22"/>
    </w:rPr>
  </w:style>
  <w:style w:type="paragraph" w:customStyle="1" w:styleId="11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1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8">
    <w:name w:val="Char Char"/>
    <w:basedOn w:val="1"/>
    <w:qFormat/>
    <w:uiPriority w:val="0"/>
    <w:pPr>
      <w:widowControl/>
      <w:jc w:val="left"/>
    </w:pPr>
    <w:rPr>
      <w:rFonts w:ascii="Verdana" w:hAnsi="Verdana" w:eastAsia="Times New Roman"/>
      <w:kern w:val="0"/>
      <w:sz w:val="16"/>
      <w:szCs w:val="20"/>
      <w:lang w:eastAsia="en-US"/>
    </w:rPr>
  </w:style>
  <w:style w:type="paragraph" w:customStyle="1" w:styleId="11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pa-27"/>
    <w:basedOn w:val="1"/>
    <w:qFormat/>
    <w:uiPriority w:val="0"/>
    <w:pPr>
      <w:widowControl/>
      <w:spacing w:line="360" w:lineRule="atLeast"/>
      <w:ind w:firstLine="420"/>
    </w:pPr>
    <w:rPr>
      <w:rFonts w:ascii="宋体" w:hAnsi="宋体" w:cs="宋体"/>
      <w:kern w:val="0"/>
      <w:sz w:val="24"/>
    </w:rPr>
  </w:style>
  <w:style w:type="paragraph" w:customStyle="1" w:styleId="121">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2">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3">
    <w:name w:val="表格"/>
    <w:basedOn w:val="1"/>
    <w:qFormat/>
    <w:uiPriority w:val="0"/>
    <w:pPr>
      <w:jc w:val="center"/>
      <w:textAlignment w:val="center"/>
    </w:pPr>
    <w:rPr>
      <w:rFonts w:ascii="华文细黑" w:hAnsi="华文细黑"/>
      <w:kern w:val="0"/>
      <w:szCs w:val="20"/>
    </w:rPr>
  </w:style>
  <w:style w:type="paragraph" w:customStyle="1" w:styleId="124">
    <w:name w:val="明显引用1"/>
    <w:basedOn w:val="1"/>
    <w:next w:val="1"/>
    <w:link w:val="308"/>
    <w:qFormat/>
    <w:uiPriority w:val="30"/>
    <w:pPr>
      <w:pBdr>
        <w:bottom w:val="single" w:color="4F81BD" w:sz="4" w:space="4"/>
      </w:pBdr>
      <w:spacing w:before="200" w:after="280"/>
      <w:ind w:left="936" w:right="936"/>
    </w:pPr>
    <w:rPr>
      <w:b/>
      <w:bCs/>
      <w:i/>
      <w:iCs/>
      <w:color w:val="4F81BD"/>
      <w:szCs w:val="20"/>
    </w:rPr>
  </w:style>
  <w:style w:type="paragraph" w:customStyle="1" w:styleId="125">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26">
    <w:name w:val="TOC 标题2"/>
    <w:basedOn w:val="2"/>
    <w:next w:val="1"/>
    <w:unhideWhenUsed/>
    <w:qFormat/>
    <w:uiPriority w:val="0"/>
    <w:pPr>
      <w:outlineLvl w:val="9"/>
    </w:pPr>
    <w:rPr>
      <w:rFonts w:ascii="Calibri" w:hAnsi="Calibri"/>
    </w:rPr>
  </w:style>
  <w:style w:type="paragraph" w:customStyle="1" w:styleId="12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标题5"/>
    <w:basedOn w:val="4"/>
    <w:link w:val="177"/>
    <w:qFormat/>
    <w:uiPriority w:val="0"/>
    <w:pPr>
      <w:spacing w:line="413" w:lineRule="auto"/>
    </w:pPr>
    <w:rPr>
      <w:rFonts w:ascii="Arial" w:hAnsi="Arial"/>
      <w:kern w:val="0"/>
      <w:sz w:val="24"/>
    </w:rPr>
  </w:style>
  <w:style w:type="paragraph" w:customStyle="1" w:styleId="130">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31">
    <w:name w:val="_Style 64"/>
    <w:basedOn w:val="1"/>
    <w:next w:val="1"/>
    <w:link w:val="307"/>
    <w:qFormat/>
    <w:uiPriority w:val="0"/>
    <w:pPr>
      <w:pBdr>
        <w:bottom w:val="single" w:color="4F81BD" w:sz="4" w:space="4"/>
      </w:pBdr>
      <w:spacing w:before="200" w:after="280"/>
      <w:ind w:left="936" w:right="936"/>
    </w:pPr>
    <w:rPr>
      <w:b/>
      <w:bCs/>
      <w:i/>
      <w:iCs/>
      <w:color w:val="4F81BD"/>
      <w:szCs w:val="22"/>
    </w:rPr>
  </w:style>
  <w:style w:type="paragraph" w:customStyle="1" w:styleId="132">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3">
    <w:name w:val="Char2"/>
    <w:basedOn w:val="1"/>
    <w:qFormat/>
    <w:uiPriority w:val="0"/>
    <w:rPr>
      <w:rFonts w:ascii="Calibri" w:hAnsi="Calibri"/>
    </w:rPr>
  </w:style>
  <w:style w:type="paragraph" w:customStyle="1" w:styleId="134">
    <w:name w:val="_Style 87"/>
    <w:basedOn w:val="1"/>
    <w:qFormat/>
    <w:uiPriority w:val="99"/>
    <w:pPr>
      <w:ind w:firstLine="420" w:firstLineChars="200"/>
    </w:pPr>
    <w:rPr>
      <w:rFonts w:ascii="Calibri" w:hAnsi="Calibri"/>
      <w:sz w:val="28"/>
      <w:szCs w:val="28"/>
    </w:rPr>
  </w:style>
  <w:style w:type="paragraph" w:customStyle="1" w:styleId="135">
    <w:name w:val="自定样式1"/>
    <w:basedOn w:val="1"/>
    <w:qFormat/>
    <w:uiPriority w:val="0"/>
    <w:pPr>
      <w:suppressAutoHyphens/>
      <w:jc w:val="center"/>
    </w:pPr>
    <w:rPr>
      <w:rFonts w:ascii="宋体" w:hAnsi="宋体"/>
      <w:color w:val="000000"/>
      <w:sz w:val="18"/>
    </w:rPr>
  </w:style>
  <w:style w:type="paragraph" w:customStyle="1" w:styleId="136">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Char"/>
    <w:basedOn w:val="1"/>
    <w:qFormat/>
    <w:uiPriority w:val="0"/>
  </w:style>
  <w:style w:type="paragraph" w:customStyle="1" w:styleId="138">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列表段落1"/>
    <w:basedOn w:val="1"/>
    <w:qFormat/>
    <w:uiPriority w:val="34"/>
    <w:pPr>
      <w:ind w:firstLine="420" w:firstLineChars="200"/>
    </w:pPr>
    <w:rPr>
      <w:rFonts w:ascii="Calibri" w:hAnsi="Calibri"/>
    </w:rPr>
  </w:style>
  <w:style w:type="paragraph" w:customStyle="1" w:styleId="14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41">
    <w:name w:val="表体"/>
    <w:basedOn w:val="1"/>
    <w:next w:val="1"/>
    <w:qFormat/>
    <w:uiPriority w:val="0"/>
    <w:pPr>
      <w:spacing w:line="0" w:lineRule="atLeast"/>
    </w:pPr>
    <w:rPr>
      <w:rFonts w:ascii="Calibri" w:hAnsi="Calibri"/>
      <w:b/>
      <w:snapToGrid w:val="0"/>
      <w:szCs w:val="20"/>
    </w:rPr>
  </w:style>
  <w:style w:type="paragraph" w:customStyle="1" w:styleId="14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4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44">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5">
    <w:name w:val="Char11"/>
    <w:basedOn w:val="1"/>
    <w:qFormat/>
    <w:uiPriority w:val="0"/>
  </w:style>
  <w:style w:type="paragraph" w:customStyle="1" w:styleId="14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7">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48">
    <w:name w:val="_Style 86"/>
    <w:qFormat/>
    <w:uiPriority w:val="0"/>
    <w:rPr>
      <w:rFonts w:ascii="Times New Roman" w:hAnsi="Times New Roman" w:eastAsia="宋体" w:cs="Times New Roman"/>
      <w:kern w:val="2"/>
      <w:sz w:val="21"/>
      <w:szCs w:val="24"/>
      <w:lang w:val="en-US" w:eastAsia="zh-CN" w:bidi="ar-SA"/>
    </w:rPr>
  </w:style>
  <w:style w:type="paragraph" w:customStyle="1" w:styleId="149">
    <w:name w:val="Char1"/>
    <w:basedOn w:val="1"/>
    <w:qFormat/>
    <w:uiPriority w:val="0"/>
  </w:style>
  <w:style w:type="paragraph" w:customStyle="1" w:styleId="15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1">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5">
    <w:name w:val="正文文本 Char2"/>
    <w:qFormat/>
    <w:uiPriority w:val="99"/>
    <w:rPr>
      <w:kern w:val="2"/>
      <w:sz w:val="21"/>
      <w:szCs w:val="24"/>
    </w:rPr>
  </w:style>
  <w:style w:type="character" w:customStyle="1" w:styleId="156">
    <w:name w:val="尾注文本 Char1"/>
    <w:qFormat/>
    <w:uiPriority w:val="0"/>
    <w:rPr>
      <w:rFonts w:ascii="Arial" w:hAnsi="Arial" w:cs="Arial"/>
      <w:szCs w:val="24"/>
      <w:lang w:eastAsia="en-US"/>
    </w:rPr>
  </w:style>
  <w:style w:type="character" w:customStyle="1" w:styleId="157">
    <w:name w:val="脚注文本 Char"/>
    <w:qFormat/>
    <w:uiPriority w:val="0"/>
    <w:rPr>
      <w:rFonts w:ascii="Arial" w:hAnsi="Arial" w:eastAsia="宋体" w:cs="Arial"/>
      <w:sz w:val="18"/>
      <w:szCs w:val="18"/>
      <w:lang w:eastAsia="en-US"/>
    </w:rPr>
  </w:style>
  <w:style w:type="character" w:customStyle="1" w:styleId="158">
    <w:name w:val="Char Char17"/>
    <w:qFormat/>
    <w:uiPriority w:val="0"/>
    <w:rPr>
      <w:kern w:val="2"/>
      <w:sz w:val="26"/>
      <w:szCs w:val="24"/>
    </w:rPr>
  </w:style>
  <w:style w:type="character" w:customStyle="1" w:styleId="159">
    <w:name w:val="副标题 Char1"/>
    <w:qFormat/>
    <w:uiPriority w:val="0"/>
    <w:rPr>
      <w:szCs w:val="24"/>
      <w:u w:val="single"/>
      <w:lang w:eastAsia="en-US"/>
    </w:rPr>
  </w:style>
  <w:style w:type="character" w:customStyle="1" w:styleId="160">
    <w:name w:val="标题 Char1"/>
    <w:qFormat/>
    <w:uiPriority w:val="10"/>
    <w:rPr>
      <w:szCs w:val="24"/>
      <w:u w:val="single"/>
      <w:lang w:eastAsia="en-US"/>
    </w:rPr>
  </w:style>
  <w:style w:type="character" w:customStyle="1" w:styleId="161">
    <w:name w:val="Char Char24"/>
    <w:qFormat/>
    <w:uiPriority w:val="0"/>
    <w:rPr>
      <w:b/>
      <w:bCs/>
      <w:kern w:val="44"/>
      <w:sz w:val="44"/>
      <w:szCs w:val="44"/>
    </w:rPr>
  </w:style>
  <w:style w:type="character" w:customStyle="1" w:styleId="162">
    <w:name w:val="批注主题 Char"/>
    <w:qFormat/>
    <w:uiPriority w:val="0"/>
    <w:rPr>
      <w:rFonts w:ascii="宋体" w:hAnsi="宋体" w:eastAsia="宋体"/>
      <w:kern w:val="2"/>
      <w:sz w:val="24"/>
      <w:szCs w:val="28"/>
      <w:lang w:val="en-US" w:eastAsia="zh-CN" w:bidi="ar-SA"/>
    </w:rPr>
  </w:style>
  <w:style w:type="character" w:customStyle="1" w:styleId="163">
    <w:name w:val="引用 Char1"/>
    <w:link w:val="94"/>
    <w:qFormat/>
    <w:uiPriority w:val="29"/>
    <w:rPr>
      <w:i/>
      <w:iCs/>
      <w:color w:val="000000"/>
      <w:kern w:val="2"/>
      <w:sz w:val="21"/>
    </w:rPr>
  </w:style>
  <w:style w:type="character" w:customStyle="1" w:styleId="164">
    <w:name w:val="Char Char23"/>
    <w:qFormat/>
    <w:uiPriority w:val="0"/>
    <w:rPr>
      <w:rFonts w:ascii="Cambria" w:hAnsi="Cambria" w:eastAsia="宋体" w:cs="Times New Roman"/>
      <w:b/>
      <w:bCs/>
      <w:kern w:val="2"/>
      <w:sz w:val="32"/>
      <w:szCs w:val="32"/>
    </w:rPr>
  </w:style>
  <w:style w:type="character" w:customStyle="1" w:styleId="165">
    <w:name w:val="ITTHEADER2 Char"/>
    <w:qFormat/>
    <w:uiPriority w:val="0"/>
    <w:rPr>
      <w:rFonts w:ascii="仿宋_GB2312" w:eastAsia="仿宋_GB2312" w:cs="MingLiU"/>
      <w:b/>
      <w:spacing w:val="1"/>
      <w:w w:val="99"/>
      <w:sz w:val="28"/>
      <w:szCs w:val="32"/>
      <w:lang w:val="en-US" w:eastAsia="zh-CN" w:bidi="ar-SA"/>
    </w:rPr>
  </w:style>
  <w:style w:type="character" w:customStyle="1" w:styleId="166">
    <w:name w:val="标题 9 Char1"/>
    <w:qFormat/>
    <w:uiPriority w:val="0"/>
    <w:rPr>
      <w:rFonts w:ascii="Times New Roman" w:hAnsi="Times New Roman" w:eastAsia="仿宋_GB2312" w:cs="Times New Roman"/>
      <w:sz w:val="30"/>
      <w:szCs w:val="20"/>
    </w:rPr>
  </w:style>
  <w:style w:type="character" w:customStyle="1" w:styleId="167">
    <w:name w:val="正文文本 Char1"/>
    <w:qFormat/>
    <w:uiPriority w:val="0"/>
    <w:rPr>
      <w:kern w:val="2"/>
      <w:sz w:val="21"/>
      <w:szCs w:val="22"/>
    </w:rPr>
  </w:style>
  <w:style w:type="character" w:customStyle="1" w:styleId="168">
    <w:name w:val="引用 Char2"/>
    <w:qFormat/>
    <w:uiPriority w:val="99"/>
    <w:rPr>
      <w:i/>
      <w:iCs/>
      <w:color w:val="000000"/>
      <w:kern w:val="2"/>
      <w:sz w:val="21"/>
      <w:szCs w:val="24"/>
    </w:rPr>
  </w:style>
  <w:style w:type="character" w:customStyle="1" w:styleId="169">
    <w:name w:val="正文文本 Char3"/>
    <w:semiHidden/>
    <w:qFormat/>
    <w:uiPriority w:val="99"/>
    <w:rPr>
      <w:rFonts w:ascii="Calibri" w:hAnsi="Calibri" w:eastAsia="宋体" w:cs="Times New Roman"/>
      <w:szCs w:val="24"/>
    </w:rPr>
  </w:style>
  <w:style w:type="character" w:customStyle="1" w:styleId="170">
    <w:name w:val="日期 字符"/>
    <w:link w:val="26"/>
    <w:qFormat/>
    <w:uiPriority w:val="0"/>
    <w:rPr>
      <w:rFonts w:eastAsia="宋体"/>
      <w:kern w:val="2"/>
      <w:sz w:val="21"/>
      <w:szCs w:val="24"/>
      <w:lang w:val="en-US" w:eastAsia="zh-CN" w:bidi="ar-SA"/>
    </w:rPr>
  </w:style>
  <w:style w:type="character" w:customStyle="1" w:styleId="171">
    <w:name w:val="标题 7 Char"/>
    <w:qFormat/>
    <w:uiPriority w:val="0"/>
    <w:rPr>
      <w:rFonts w:ascii="Calibri" w:hAnsi="Calibri" w:eastAsia="宋体" w:cs="Times New Roman"/>
      <w:b/>
      <w:bCs/>
      <w:sz w:val="24"/>
      <w:szCs w:val="24"/>
    </w:rPr>
  </w:style>
  <w:style w:type="character" w:customStyle="1" w:styleId="172">
    <w:name w:val="批注框文本 Char1"/>
    <w:qFormat/>
    <w:uiPriority w:val="0"/>
    <w:rPr>
      <w:kern w:val="2"/>
      <w:sz w:val="18"/>
      <w:szCs w:val="18"/>
    </w:rPr>
  </w:style>
  <w:style w:type="character" w:customStyle="1" w:styleId="173">
    <w:name w:val="日期 Char1"/>
    <w:qFormat/>
    <w:uiPriority w:val="0"/>
    <w:rPr>
      <w:kern w:val="2"/>
      <w:sz w:val="21"/>
      <w:szCs w:val="22"/>
    </w:rPr>
  </w:style>
  <w:style w:type="character" w:customStyle="1" w:styleId="174">
    <w:name w:val="_Style 171"/>
    <w:qFormat/>
    <w:uiPriority w:val="0"/>
    <w:rPr>
      <w:b/>
      <w:bCs/>
      <w:i/>
      <w:iCs/>
      <w:color w:val="4F81BD"/>
    </w:rPr>
  </w:style>
  <w:style w:type="character" w:customStyle="1" w:styleId="175">
    <w:name w:val="Char Char22"/>
    <w:qFormat/>
    <w:uiPriority w:val="0"/>
    <w:rPr>
      <w:b/>
      <w:bCs/>
      <w:kern w:val="2"/>
      <w:sz w:val="32"/>
      <w:szCs w:val="32"/>
    </w:rPr>
  </w:style>
  <w:style w:type="character" w:customStyle="1" w:styleId="176">
    <w:name w:val="标题 6 Char1"/>
    <w:qFormat/>
    <w:uiPriority w:val="0"/>
    <w:rPr>
      <w:rFonts w:ascii="Times New Roman" w:hAnsi="Arial" w:eastAsia="仿宋_GB2312" w:cs="Times New Roman"/>
      <w:sz w:val="30"/>
      <w:szCs w:val="20"/>
    </w:rPr>
  </w:style>
  <w:style w:type="character" w:customStyle="1" w:styleId="177">
    <w:name w:val="标题5 Char Char"/>
    <w:link w:val="129"/>
    <w:qFormat/>
    <w:uiPriority w:val="0"/>
    <w:rPr>
      <w:rFonts w:ascii="Arial" w:hAnsi="Arial"/>
      <w:b/>
      <w:bCs/>
      <w:sz w:val="24"/>
      <w:szCs w:val="32"/>
      <w:lang w:bidi="ar-SA"/>
    </w:rPr>
  </w:style>
  <w:style w:type="character" w:customStyle="1" w:styleId="178">
    <w:name w:val="正文文本缩进 Char1"/>
    <w:qFormat/>
    <w:uiPriority w:val="0"/>
    <w:rPr>
      <w:kern w:val="2"/>
      <w:sz w:val="21"/>
      <w:szCs w:val="24"/>
    </w:rPr>
  </w:style>
  <w:style w:type="character" w:customStyle="1" w:styleId="179">
    <w:name w:val="标题 4 Char1"/>
    <w:qFormat/>
    <w:uiPriority w:val="0"/>
    <w:rPr>
      <w:rFonts w:ascii="宋体" w:hAnsi="宋体" w:eastAsia="宋体" w:cs="宋体"/>
      <w:b/>
      <w:bCs/>
      <w:sz w:val="24"/>
      <w:szCs w:val="24"/>
    </w:rPr>
  </w:style>
  <w:style w:type="character" w:customStyle="1" w:styleId="180">
    <w:name w:val="尾注文本 Char"/>
    <w:qFormat/>
    <w:uiPriority w:val="0"/>
    <w:rPr>
      <w:kern w:val="2"/>
      <w:sz w:val="21"/>
      <w:szCs w:val="24"/>
    </w:rPr>
  </w:style>
  <w:style w:type="character" w:customStyle="1" w:styleId="181">
    <w:name w:val="HTML 预设格式 字符"/>
    <w:link w:val="41"/>
    <w:qFormat/>
    <w:uiPriority w:val="0"/>
    <w:rPr>
      <w:rFonts w:ascii="宋体" w:hAnsi="宋体" w:eastAsia="宋体" w:cs="宋体"/>
      <w:color w:val="000000"/>
      <w:sz w:val="24"/>
      <w:szCs w:val="24"/>
      <w:lang w:val="en-US" w:eastAsia="zh-CN" w:bidi="ar-SA"/>
    </w:rPr>
  </w:style>
  <w:style w:type="character" w:customStyle="1" w:styleId="182">
    <w:name w:val="尾注文本 Char2"/>
    <w:semiHidden/>
    <w:qFormat/>
    <w:uiPriority w:val="99"/>
    <w:rPr>
      <w:rFonts w:ascii="Calibri" w:hAnsi="Calibri" w:eastAsia="宋体" w:cs="Times New Roman"/>
      <w:szCs w:val="24"/>
    </w:rPr>
  </w:style>
  <w:style w:type="character" w:customStyle="1" w:styleId="183">
    <w:name w:val="明显强调1"/>
    <w:qFormat/>
    <w:uiPriority w:val="0"/>
    <w:rPr>
      <w:b/>
      <w:bCs/>
      <w:i/>
      <w:iCs/>
      <w:color w:val="4F81BD"/>
    </w:rPr>
  </w:style>
  <w:style w:type="character" w:customStyle="1" w:styleId="184">
    <w:name w:val="正文文本 Char"/>
    <w:qFormat/>
    <w:uiPriority w:val="0"/>
    <w:rPr>
      <w:sz w:val="26"/>
      <w:szCs w:val="24"/>
    </w:rPr>
  </w:style>
  <w:style w:type="character" w:customStyle="1" w:styleId="185">
    <w:name w:val="脚注文本 Char2"/>
    <w:semiHidden/>
    <w:qFormat/>
    <w:uiPriority w:val="99"/>
    <w:rPr>
      <w:rFonts w:ascii="Calibri" w:hAnsi="Calibri" w:eastAsia="宋体" w:cs="Times New Roman"/>
      <w:sz w:val="18"/>
      <w:szCs w:val="18"/>
    </w:rPr>
  </w:style>
  <w:style w:type="character" w:customStyle="1" w:styleId="186">
    <w:name w:val="正文文本 2 Char1"/>
    <w:semiHidden/>
    <w:qFormat/>
    <w:uiPriority w:val="99"/>
    <w:rPr>
      <w:rFonts w:ascii="Calibri" w:hAnsi="Calibri" w:eastAsia="宋体" w:cs="Times New Roman"/>
      <w:szCs w:val="24"/>
    </w:rPr>
  </w:style>
  <w:style w:type="character" w:customStyle="1" w:styleId="187">
    <w:name w:val="_Style 248"/>
    <w:qFormat/>
    <w:uiPriority w:val="0"/>
    <w:rPr>
      <w:b/>
      <w:bCs/>
      <w:smallCaps/>
      <w:spacing w:val="5"/>
    </w:rPr>
  </w:style>
  <w:style w:type="character" w:customStyle="1" w:styleId="188">
    <w:name w:val="明显引用 Char3"/>
    <w:qFormat/>
    <w:uiPriority w:val="30"/>
    <w:rPr>
      <w:rFonts w:ascii="Calibri" w:hAnsi="Calibri" w:eastAsia="宋体" w:cs="Times New Roman"/>
      <w:b/>
      <w:bCs/>
      <w:i/>
      <w:iCs/>
      <w:color w:val="4F81BD"/>
      <w:szCs w:val="24"/>
    </w:rPr>
  </w:style>
  <w:style w:type="character" w:customStyle="1" w:styleId="189">
    <w:name w:val="_Style 254"/>
    <w:qFormat/>
    <w:uiPriority w:val="0"/>
    <w:rPr>
      <w:b/>
      <w:bCs/>
      <w:smallCaps/>
      <w:color w:val="C0504D"/>
      <w:spacing w:val="5"/>
      <w:u w:val="single"/>
    </w:rPr>
  </w:style>
  <w:style w:type="character" w:customStyle="1" w:styleId="190">
    <w:name w:val="正文文本缩进 Char2"/>
    <w:semiHidden/>
    <w:qFormat/>
    <w:uiPriority w:val="99"/>
    <w:rPr>
      <w:rFonts w:ascii="Calibri" w:hAnsi="Calibri" w:eastAsia="宋体" w:cs="Times New Roman"/>
      <w:szCs w:val="24"/>
    </w:rPr>
  </w:style>
  <w:style w:type="character" w:customStyle="1" w:styleId="191">
    <w:name w:val="标题 4 字符"/>
    <w:link w:val="5"/>
    <w:qFormat/>
    <w:uiPriority w:val="0"/>
    <w:rPr>
      <w:rFonts w:ascii="宋体" w:hAnsi="宋体" w:eastAsia="宋体" w:cs="宋体"/>
      <w:b/>
      <w:bCs/>
      <w:sz w:val="24"/>
      <w:szCs w:val="24"/>
      <w:lang w:val="en-US" w:eastAsia="zh-CN" w:bidi="ar-SA"/>
    </w:rPr>
  </w:style>
  <w:style w:type="character" w:customStyle="1" w:styleId="192">
    <w:name w:val="正文文本缩进 3 Char"/>
    <w:qFormat/>
    <w:uiPriority w:val="0"/>
    <w:rPr>
      <w:kern w:val="2"/>
      <w:sz w:val="16"/>
      <w:szCs w:val="16"/>
    </w:rPr>
  </w:style>
  <w:style w:type="character" w:customStyle="1" w:styleId="193">
    <w:name w:val="尾注文本 字符"/>
    <w:link w:val="28"/>
    <w:qFormat/>
    <w:uiPriority w:val="0"/>
    <w:rPr>
      <w:rFonts w:ascii="Arial" w:hAnsi="Arial" w:eastAsia="宋体" w:cs="Arial"/>
      <w:szCs w:val="24"/>
      <w:lang w:val="en-US" w:eastAsia="en-US" w:bidi="ar-SA"/>
    </w:rPr>
  </w:style>
  <w:style w:type="character" w:customStyle="1" w:styleId="194">
    <w:name w:val="引用 Char3"/>
    <w:qFormat/>
    <w:uiPriority w:val="29"/>
    <w:rPr>
      <w:rFonts w:ascii="Calibri" w:hAnsi="Calibri" w:eastAsia="宋体" w:cs="Times New Roman"/>
      <w:i/>
      <w:iCs/>
      <w:color w:val="000000"/>
      <w:szCs w:val="24"/>
    </w:rPr>
  </w:style>
  <w:style w:type="character" w:customStyle="1" w:styleId="195">
    <w:name w:val="Char Char32"/>
    <w:qFormat/>
    <w:uiPriority w:val="0"/>
    <w:rPr>
      <w:rFonts w:ascii="仿宋_GB2312" w:eastAsia="仿宋_GB2312" w:cs="MingLiU"/>
      <w:b/>
      <w:spacing w:val="1"/>
      <w:w w:val="99"/>
      <w:sz w:val="28"/>
      <w:szCs w:val="32"/>
    </w:rPr>
  </w:style>
  <w:style w:type="character" w:customStyle="1" w:styleId="196">
    <w:name w:val="日期 Char"/>
    <w:qFormat/>
    <w:uiPriority w:val="0"/>
    <w:rPr>
      <w:rFonts w:eastAsia="宋体"/>
      <w:szCs w:val="24"/>
    </w:rPr>
  </w:style>
  <w:style w:type="character" w:customStyle="1" w:styleId="197">
    <w:name w:val="页脚 Char"/>
    <w:qFormat/>
    <w:uiPriority w:val="0"/>
    <w:rPr>
      <w:sz w:val="18"/>
      <w:szCs w:val="18"/>
    </w:rPr>
  </w:style>
  <w:style w:type="character" w:customStyle="1" w:styleId="198">
    <w:name w:val="style121"/>
    <w:qFormat/>
    <w:uiPriority w:val="0"/>
    <w:rPr>
      <w:rFonts w:hint="eastAsia" w:ascii="宋体" w:hAnsi="宋体" w:eastAsia="宋体"/>
      <w:sz w:val="18"/>
      <w:szCs w:val="18"/>
    </w:rPr>
  </w:style>
  <w:style w:type="character" w:customStyle="1" w:styleId="199">
    <w:name w:val="ss16"/>
    <w:qFormat/>
    <w:uiPriority w:val="0"/>
    <w:rPr>
      <w:rFonts w:hint="eastAsia" w:ascii="宋体" w:hAnsi="宋体" w:eastAsia="宋体"/>
      <w:color w:val="000000"/>
      <w:sz w:val="9"/>
      <w:szCs w:val="9"/>
    </w:rPr>
  </w:style>
  <w:style w:type="character" w:customStyle="1" w:styleId="200">
    <w:name w:val="textcontents"/>
    <w:qFormat/>
    <w:uiPriority w:val="0"/>
    <w:rPr>
      <w:rFonts w:cs="Times New Roman"/>
    </w:rPr>
  </w:style>
  <w:style w:type="character" w:customStyle="1" w:styleId="201">
    <w:name w:val="14t1"/>
    <w:qFormat/>
    <w:uiPriority w:val="0"/>
    <w:rPr>
      <w:rFonts w:hint="eastAsia" w:ascii="宋体" w:hAnsi="宋体" w:eastAsia="宋体"/>
      <w:sz w:val="11"/>
      <w:szCs w:val="11"/>
    </w:rPr>
  </w:style>
  <w:style w:type="character" w:customStyle="1" w:styleId="202">
    <w:name w:val="不明显参考1"/>
    <w:qFormat/>
    <w:uiPriority w:val="0"/>
    <w:rPr>
      <w:smallCaps/>
      <w:color w:val="C0504D"/>
      <w:u w:val="single"/>
    </w:rPr>
  </w:style>
  <w:style w:type="character" w:customStyle="1" w:styleId="203">
    <w:name w:val="unnamed1"/>
    <w:basedOn w:val="50"/>
    <w:qFormat/>
    <w:uiPriority w:val="0"/>
  </w:style>
  <w:style w:type="character" w:customStyle="1" w:styleId="204">
    <w:name w:val="批注主题 Char3"/>
    <w:semiHidden/>
    <w:qFormat/>
    <w:uiPriority w:val="99"/>
    <w:rPr>
      <w:rFonts w:ascii="Calibri" w:hAnsi="Calibri" w:eastAsia="宋体" w:cs="Times New Roman"/>
      <w:b/>
      <w:bCs/>
      <w:szCs w:val="24"/>
    </w:rPr>
  </w:style>
  <w:style w:type="character" w:customStyle="1" w:styleId="205">
    <w:name w:val="标题 3 字符"/>
    <w:link w:val="4"/>
    <w:qFormat/>
    <w:uiPriority w:val="0"/>
    <w:rPr>
      <w:rFonts w:eastAsia="宋体"/>
      <w:b/>
      <w:bCs/>
      <w:kern w:val="2"/>
      <w:sz w:val="32"/>
      <w:szCs w:val="32"/>
      <w:lang w:val="en-US" w:eastAsia="zh-CN" w:bidi="ar-SA"/>
    </w:rPr>
  </w:style>
  <w:style w:type="character" w:customStyle="1" w:styleId="206">
    <w:name w:val="标题 6 字符"/>
    <w:link w:val="7"/>
    <w:qFormat/>
    <w:uiPriority w:val="0"/>
    <w:rPr>
      <w:rFonts w:hAnsi="Arial" w:eastAsia="仿宋_GB2312"/>
      <w:sz w:val="30"/>
      <w:lang w:val="en-US" w:eastAsia="zh-CN" w:bidi="ar-SA"/>
    </w:rPr>
  </w:style>
  <w:style w:type="character" w:customStyle="1" w:styleId="207">
    <w:name w:val="页脚 字符"/>
    <w:link w:val="30"/>
    <w:qFormat/>
    <w:uiPriority w:val="0"/>
    <w:rPr>
      <w:rFonts w:eastAsia="宋体"/>
      <w:kern w:val="2"/>
      <w:sz w:val="18"/>
      <w:szCs w:val="18"/>
      <w:lang w:val="en-US" w:eastAsia="zh-CN" w:bidi="ar-SA"/>
    </w:rPr>
  </w:style>
  <w:style w:type="character" w:customStyle="1" w:styleId="208">
    <w:name w:val="引用 Char4"/>
    <w:link w:val="115"/>
    <w:qFormat/>
    <w:uiPriority w:val="0"/>
    <w:rPr>
      <w:i/>
      <w:iCs/>
      <w:color w:val="000000"/>
      <w:kern w:val="2"/>
      <w:sz w:val="21"/>
      <w:szCs w:val="22"/>
      <w:lang w:bidi="ar-SA"/>
    </w:rPr>
  </w:style>
  <w:style w:type="character" w:customStyle="1" w:styleId="209">
    <w:name w:val="标题 9 字符"/>
    <w:link w:val="11"/>
    <w:qFormat/>
    <w:uiPriority w:val="0"/>
    <w:rPr>
      <w:rFonts w:eastAsia="仿宋_GB2312"/>
      <w:sz w:val="30"/>
      <w:lang w:val="en-US" w:eastAsia="zh-CN" w:bidi="ar-SA"/>
    </w:rPr>
  </w:style>
  <w:style w:type="character" w:customStyle="1" w:styleId="210">
    <w:name w:val="标题 3 Char"/>
    <w:qFormat/>
    <w:uiPriority w:val="0"/>
    <w:rPr>
      <w:rFonts w:ascii="仿宋_GB2312" w:hAnsi="Calibri" w:eastAsia="仿宋_GB2312" w:cs="Times New Roman"/>
      <w:b/>
      <w:kern w:val="0"/>
      <w:sz w:val="24"/>
      <w:szCs w:val="28"/>
    </w:rPr>
  </w:style>
  <w:style w:type="character" w:customStyle="1" w:styleId="211">
    <w:name w:val="批注文字 Char2"/>
    <w:qFormat/>
    <w:uiPriority w:val="0"/>
    <w:rPr>
      <w:rFonts w:ascii="Calibri" w:hAnsi="Calibri" w:eastAsia="宋体" w:cs="Times New Roman"/>
      <w:szCs w:val="24"/>
    </w:rPr>
  </w:style>
  <w:style w:type="character" w:customStyle="1" w:styleId="212">
    <w:name w:val="normaltext1"/>
    <w:qFormat/>
    <w:uiPriority w:val="0"/>
    <w:rPr>
      <w:rFonts w:hint="default" w:ascii="ˎ̥" w:hAnsi="ˎ̥"/>
      <w:sz w:val="9"/>
      <w:szCs w:val="9"/>
    </w:rPr>
  </w:style>
  <w:style w:type="character" w:customStyle="1" w:styleId="213">
    <w:name w:val="ca-141"/>
    <w:qFormat/>
    <w:uiPriority w:val="0"/>
    <w:rPr>
      <w:rFonts w:hint="eastAsia" w:ascii="仿宋_GB2312" w:eastAsia="仿宋_GB2312"/>
      <w:sz w:val="21"/>
      <w:szCs w:val="21"/>
    </w:rPr>
  </w:style>
  <w:style w:type="character" w:customStyle="1" w:styleId="214">
    <w:name w:val="main_tdbg_7601"/>
    <w:qFormat/>
    <w:uiPriority w:val="0"/>
    <w:rPr>
      <w:sz w:val="14"/>
      <w:szCs w:val="14"/>
    </w:rPr>
  </w:style>
  <w:style w:type="character" w:customStyle="1" w:styleId="215">
    <w:name w:val="文档结构图 字符"/>
    <w:link w:val="15"/>
    <w:qFormat/>
    <w:uiPriority w:val="0"/>
    <w:rPr>
      <w:rFonts w:eastAsia="宋体"/>
      <w:kern w:val="2"/>
      <w:sz w:val="21"/>
      <w:szCs w:val="24"/>
      <w:lang w:val="en-US" w:eastAsia="zh-CN" w:bidi="ar-SA"/>
    </w:rPr>
  </w:style>
  <w:style w:type="character" w:customStyle="1" w:styleId="216">
    <w:name w:val="批注框文本 Char3"/>
    <w:semiHidden/>
    <w:qFormat/>
    <w:uiPriority w:val="99"/>
    <w:rPr>
      <w:rFonts w:ascii="Calibri" w:hAnsi="Calibri" w:eastAsia="宋体" w:cs="Times New Roman"/>
      <w:sz w:val="18"/>
      <w:szCs w:val="18"/>
    </w:rPr>
  </w:style>
  <w:style w:type="character" w:customStyle="1" w:styleId="217">
    <w:name w:val="Char Char9"/>
    <w:qFormat/>
    <w:locked/>
    <w:uiPriority w:val="0"/>
    <w:rPr>
      <w:rFonts w:ascii="仿宋_GB2312" w:eastAsia="仿宋_GB2312" w:cs="MingLiU"/>
      <w:b/>
      <w:sz w:val="24"/>
      <w:szCs w:val="28"/>
      <w:lang w:val="en-US" w:eastAsia="zh-CN" w:bidi="ar-SA"/>
    </w:rPr>
  </w:style>
  <w:style w:type="character" w:customStyle="1" w:styleId="218">
    <w:name w:val="title11"/>
    <w:qFormat/>
    <w:uiPriority w:val="0"/>
    <w:rPr>
      <w:b/>
      <w:bCs/>
      <w:color w:val="FFFFFF"/>
      <w:sz w:val="11"/>
      <w:szCs w:val="11"/>
    </w:rPr>
  </w:style>
  <w:style w:type="character" w:customStyle="1" w:styleId="219">
    <w:name w:val="批注框文本 字符"/>
    <w:link w:val="29"/>
    <w:qFormat/>
    <w:uiPriority w:val="0"/>
    <w:rPr>
      <w:rFonts w:eastAsia="宋体"/>
      <w:kern w:val="2"/>
      <w:sz w:val="18"/>
      <w:szCs w:val="18"/>
      <w:lang w:val="en-US" w:eastAsia="zh-CN" w:bidi="ar-SA"/>
    </w:rPr>
  </w:style>
  <w:style w:type="character" w:customStyle="1" w:styleId="220">
    <w:name w:val="标题 8 Char1"/>
    <w:qFormat/>
    <w:uiPriority w:val="0"/>
    <w:rPr>
      <w:rFonts w:ascii="Times New Roman" w:hAnsi="Arial" w:eastAsia="仿宋_GB2312" w:cs="Times New Roman"/>
      <w:sz w:val="30"/>
      <w:szCs w:val="20"/>
    </w:rPr>
  </w:style>
  <w:style w:type="character" w:customStyle="1" w:styleId="221">
    <w:name w:val="标题 Char2"/>
    <w:qFormat/>
    <w:uiPriority w:val="10"/>
    <w:rPr>
      <w:rFonts w:ascii="Cambria" w:hAnsi="Cambria" w:eastAsia="宋体" w:cs="Times New Roman"/>
      <w:b/>
      <w:bCs/>
      <w:sz w:val="32"/>
      <w:szCs w:val="32"/>
    </w:rPr>
  </w:style>
  <w:style w:type="character" w:customStyle="1" w:styleId="222">
    <w:name w:val="标题 字符"/>
    <w:link w:val="44"/>
    <w:qFormat/>
    <w:uiPriority w:val="0"/>
    <w:rPr>
      <w:rFonts w:eastAsia="宋体"/>
      <w:szCs w:val="24"/>
      <w:u w:val="single"/>
      <w:lang w:val="en-US" w:eastAsia="en-US" w:bidi="ar-SA"/>
    </w:rPr>
  </w:style>
  <w:style w:type="character" w:customStyle="1" w:styleId="223">
    <w:name w:val="批注主题 Char1"/>
    <w:qFormat/>
    <w:uiPriority w:val="0"/>
    <w:rPr>
      <w:b/>
      <w:bCs/>
      <w:kern w:val="2"/>
      <w:sz w:val="21"/>
      <w:szCs w:val="22"/>
    </w:rPr>
  </w:style>
  <w:style w:type="character" w:customStyle="1" w:styleId="224">
    <w:name w:val="副标题 Char"/>
    <w:qFormat/>
    <w:uiPriority w:val="0"/>
    <w:rPr>
      <w:rFonts w:ascii="Cambria" w:hAnsi="Cambria" w:eastAsia="宋体" w:cs="Times New Roman"/>
      <w:b/>
      <w:bCs/>
      <w:kern w:val="28"/>
      <w:sz w:val="32"/>
      <w:szCs w:val="32"/>
    </w:rPr>
  </w:style>
  <w:style w:type="character" w:customStyle="1" w:styleId="225">
    <w:name w:val="正文文本 字符"/>
    <w:link w:val="18"/>
    <w:qFormat/>
    <w:uiPriority w:val="0"/>
    <w:rPr>
      <w:rFonts w:eastAsia="宋体"/>
      <w:kern w:val="2"/>
      <w:sz w:val="21"/>
      <w:szCs w:val="24"/>
      <w:lang w:val="en-US" w:eastAsia="zh-CN" w:bidi="ar-SA"/>
    </w:rPr>
  </w:style>
  <w:style w:type="character" w:customStyle="1" w:styleId="226">
    <w:name w:val="纯文本 Char1"/>
    <w:qFormat/>
    <w:uiPriority w:val="0"/>
    <w:rPr>
      <w:rFonts w:ascii="宋体" w:hAnsi="Courier New" w:cs="Courier New"/>
      <w:kern w:val="2"/>
      <w:sz w:val="21"/>
      <w:szCs w:val="21"/>
    </w:rPr>
  </w:style>
  <w:style w:type="character" w:customStyle="1" w:styleId="227">
    <w:name w:val="脚注文本 字符"/>
    <w:link w:val="35"/>
    <w:qFormat/>
    <w:uiPriority w:val="0"/>
    <w:rPr>
      <w:rFonts w:ascii="Arial" w:hAnsi="Arial" w:eastAsia="宋体" w:cs="Arial"/>
      <w:sz w:val="18"/>
      <w:szCs w:val="18"/>
      <w:lang w:val="en-US" w:eastAsia="en-US" w:bidi="ar-SA"/>
    </w:rPr>
  </w:style>
  <w:style w:type="character" w:customStyle="1" w:styleId="228">
    <w:name w:val="标题 2 Char1"/>
    <w:qFormat/>
    <w:uiPriority w:val="0"/>
    <w:rPr>
      <w:rFonts w:ascii="Cambria" w:hAnsi="Cambria" w:eastAsia="宋体" w:cs="Times New Roman"/>
      <w:b/>
      <w:bCs/>
      <w:kern w:val="2"/>
      <w:sz w:val="32"/>
      <w:szCs w:val="32"/>
    </w:rPr>
  </w:style>
  <w:style w:type="character" w:customStyle="1" w:styleId="229">
    <w:name w:val="脚注文本 Char1"/>
    <w:qFormat/>
    <w:uiPriority w:val="0"/>
    <w:rPr>
      <w:rFonts w:ascii="Arial" w:hAnsi="Arial" w:cs="Arial"/>
      <w:sz w:val="18"/>
      <w:szCs w:val="18"/>
      <w:lang w:eastAsia="en-US"/>
    </w:rPr>
  </w:style>
  <w:style w:type="character" w:customStyle="1" w:styleId="230">
    <w:name w:val="HTML 预设格式 Char2"/>
    <w:semiHidden/>
    <w:qFormat/>
    <w:uiPriority w:val="99"/>
    <w:rPr>
      <w:rFonts w:ascii="Courier New" w:hAnsi="Courier New" w:eastAsia="宋体" w:cs="Courier New"/>
      <w:sz w:val="20"/>
      <w:szCs w:val="20"/>
    </w:rPr>
  </w:style>
  <w:style w:type="character" w:customStyle="1" w:styleId="231">
    <w:name w:val="标题 8 Char"/>
    <w:qFormat/>
    <w:uiPriority w:val="0"/>
    <w:rPr>
      <w:rFonts w:ascii="Arial" w:hAnsi="Arial" w:eastAsia="黑体" w:cs="Times New Roman"/>
      <w:sz w:val="24"/>
      <w:szCs w:val="24"/>
    </w:rPr>
  </w:style>
  <w:style w:type="character" w:customStyle="1" w:styleId="232">
    <w:name w:val="s3"/>
    <w:qFormat/>
    <w:uiPriority w:val="0"/>
  </w:style>
  <w:style w:type="character" w:customStyle="1" w:styleId="233">
    <w:name w:val="标题 4 Char"/>
    <w:qFormat/>
    <w:uiPriority w:val="0"/>
    <w:rPr>
      <w:rFonts w:ascii="仿宋_GB2312" w:hAnsi="Calibri" w:eastAsia="仿宋_GB2312" w:cs="Times New Roman"/>
      <w:b/>
      <w:kern w:val="0"/>
      <w:sz w:val="24"/>
      <w:szCs w:val="28"/>
    </w:rPr>
  </w:style>
  <w:style w:type="character" w:customStyle="1" w:styleId="234">
    <w:name w:val="正文文本缩进 2 Char"/>
    <w:qFormat/>
    <w:uiPriority w:val="0"/>
    <w:rPr>
      <w:kern w:val="2"/>
      <w:sz w:val="21"/>
      <w:szCs w:val="24"/>
    </w:rPr>
  </w:style>
  <w:style w:type="character" w:customStyle="1" w:styleId="235">
    <w:name w:val="style21"/>
    <w:qFormat/>
    <w:uiPriority w:val="0"/>
    <w:rPr>
      <w:b/>
      <w:bCs/>
      <w:sz w:val="28"/>
      <w:szCs w:val="28"/>
    </w:rPr>
  </w:style>
  <w:style w:type="character" w:customStyle="1" w:styleId="236">
    <w:name w:val="正文文本缩进 2 Char2"/>
    <w:semiHidden/>
    <w:qFormat/>
    <w:uiPriority w:val="99"/>
    <w:rPr>
      <w:rFonts w:ascii="Calibri" w:hAnsi="Calibri" w:eastAsia="宋体" w:cs="Times New Roman"/>
      <w:szCs w:val="24"/>
    </w:rPr>
  </w:style>
  <w:style w:type="character" w:customStyle="1" w:styleId="237">
    <w:name w:val="ht1"/>
    <w:qFormat/>
    <w:uiPriority w:val="0"/>
    <w:rPr>
      <w:rFonts w:ascii="黑体" w:eastAsia="黑体"/>
      <w:b/>
      <w:bCs/>
    </w:rPr>
  </w:style>
  <w:style w:type="character" w:customStyle="1" w:styleId="238">
    <w:name w:val="文档结构图 Char3"/>
    <w:semiHidden/>
    <w:qFormat/>
    <w:uiPriority w:val="99"/>
    <w:rPr>
      <w:rFonts w:ascii="宋体" w:hAnsi="Calibri" w:eastAsia="宋体" w:cs="Times New Roman"/>
      <w:sz w:val="18"/>
      <w:szCs w:val="18"/>
    </w:rPr>
  </w:style>
  <w:style w:type="character" w:customStyle="1" w:styleId="239">
    <w:name w:val="书籍标题1"/>
    <w:qFormat/>
    <w:uiPriority w:val="0"/>
    <w:rPr>
      <w:b/>
      <w:bCs/>
      <w:smallCaps/>
      <w:spacing w:val="5"/>
    </w:rPr>
  </w:style>
  <w:style w:type="character" w:customStyle="1" w:styleId="240">
    <w:name w:val="标题 7 Char1"/>
    <w:qFormat/>
    <w:uiPriority w:val="0"/>
    <w:rPr>
      <w:rFonts w:ascii="Times New Roman" w:hAnsi="Times New Roman" w:eastAsia="仿宋_GB2312" w:cs="Times New Roman"/>
      <w:sz w:val="30"/>
      <w:szCs w:val="20"/>
    </w:rPr>
  </w:style>
  <w:style w:type="character" w:customStyle="1" w:styleId="241">
    <w:name w:val="明显引用 Char2"/>
    <w:qFormat/>
    <w:uiPriority w:val="99"/>
    <w:rPr>
      <w:b/>
      <w:bCs/>
      <w:i/>
      <w:iCs/>
      <w:color w:val="4F81BD"/>
      <w:kern w:val="2"/>
      <w:sz w:val="21"/>
      <w:szCs w:val="24"/>
    </w:rPr>
  </w:style>
  <w:style w:type="character" w:customStyle="1" w:styleId="242">
    <w:name w:val="不明显强调1"/>
    <w:qFormat/>
    <w:uiPriority w:val="0"/>
    <w:rPr>
      <w:i/>
      <w:iCs/>
      <w:color w:val="808080"/>
    </w:rPr>
  </w:style>
  <w:style w:type="character" w:customStyle="1" w:styleId="243">
    <w:name w:val="普通文字 Char Char2"/>
    <w:qFormat/>
    <w:uiPriority w:val="0"/>
    <w:rPr>
      <w:rFonts w:ascii="宋体" w:hAnsi="Courier New"/>
      <w:kern w:val="2"/>
      <w:sz w:val="28"/>
      <w:szCs w:val="28"/>
    </w:rPr>
  </w:style>
  <w:style w:type="character" w:customStyle="1" w:styleId="244">
    <w:name w:val="标题 6 Char"/>
    <w:qFormat/>
    <w:uiPriority w:val="0"/>
    <w:rPr>
      <w:rFonts w:ascii="Arial" w:hAnsi="Arial" w:eastAsia="黑体" w:cs="Times New Roman"/>
      <w:b/>
      <w:bCs/>
      <w:sz w:val="24"/>
      <w:szCs w:val="24"/>
    </w:rPr>
  </w:style>
  <w:style w:type="character" w:customStyle="1" w:styleId="245">
    <w:name w:val="l1"/>
    <w:basedOn w:val="50"/>
    <w:qFormat/>
    <w:uiPriority w:val="0"/>
  </w:style>
  <w:style w:type="character" w:customStyle="1" w:styleId="246">
    <w:name w:val="未处理的提及1"/>
    <w:unhideWhenUsed/>
    <w:qFormat/>
    <w:uiPriority w:val="99"/>
    <w:rPr>
      <w:color w:val="808080"/>
      <w:shd w:val="clear" w:color="auto" w:fill="E6E6E6"/>
    </w:rPr>
  </w:style>
  <w:style w:type="character" w:customStyle="1" w:styleId="247">
    <w:name w:val="页眉 字符"/>
    <w:link w:val="31"/>
    <w:qFormat/>
    <w:uiPriority w:val="0"/>
    <w:rPr>
      <w:rFonts w:eastAsia="宋体"/>
      <w:kern w:val="2"/>
      <w:sz w:val="18"/>
      <w:szCs w:val="18"/>
      <w:lang w:val="en-US" w:eastAsia="zh-CN" w:bidi="ar-SA"/>
    </w:rPr>
  </w:style>
  <w:style w:type="character" w:customStyle="1" w:styleId="248">
    <w:name w:val="Char Char35"/>
    <w:qFormat/>
    <w:uiPriority w:val="0"/>
    <w:rPr>
      <w:rFonts w:ascii="仿宋_GB2312" w:eastAsia="仿宋_GB2312" w:cs="MingLiU"/>
      <w:b/>
      <w:sz w:val="24"/>
      <w:szCs w:val="28"/>
    </w:rPr>
  </w:style>
  <w:style w:type="character" w:customStyle="1" w:styleId="249">
    <w:name w:val="Char Char11"/>
    <w:qFormat/>
    <w:locked/>
    <w:uiPriority w:val="0"/>
    <w:rPr>
      <w:rFonts w:eastAsia="黑体"/>
      <w:kern w:val="2"/>
      <w:sz w:val="44"/>
      <w:szCs w:val="44"/>
      <w:lang w:val="en-US" w:eastAsia="zh-CN" w:bidi="ar-SA"/>
    </w:rPr>
  </w:style>
  <w:style w:type="character" w:customStyle="1" w:styleId="250">
    <w:name w:val="style31"/>
    <w:qFormat/>
    <w:uiPriority w:val="0"/>
    <w:rPr>
      <w:sz w:val="10"/>
      <w:szCs w:val="10"/>
    </w:rPr>
  </w:style>
  <w:style w:type="character" w:customStyle="1" w:styleId="251">
    <w:name w:val="0d1471"/>
    <w:qFormat/>
    <w:uiPriority w:val="0"/>
    <w:rPr>
      <w:color w:val="000000"/>
      <w:sz w:val="11"/>
      <w:szCs w:val="11"/>
      <w:u w:val="none"/>
    </w:rPr>
  </w:style>
  <w:style w:type="character" w:customStyle="1" w:styleId="252">
    <w:name w:val="标题 9 Char"/>
    <w:qFormat/>
    <w:uiPriority w:val="0"/>
    <w:rPr>
      <w:rFonts w:ascii="Arial" w:hAnsi="Arial" w:eastAsia="黑体" w:cs="Times New Roman"/>
      <w:szCs w:val="21"/>
    </w:rPr>
  </w:style>
  <w:style w:type="character" w:customStyle="1" w:styleId="253">
    <w:name w:val="标题 3 Char1"/>
    <w:qFormat/>
    <w:uiPriority w:val="0"/>
    <w:rPr>
      <w:rFonts w:ascii="Times New Roman" w:hAnsi="Times New Roman" w:eastAsia="宋体" w:cs="Times New Roman"/>
      <w:b/>
      <w:bCs/>
      <w:kern w:val="2"/>
      <w:sz w:val="32"/>
      <w:szCs w:val="32"/>
    </w:rPr>
  </w:style>
  <w:style w:type="character" w:customStyle="1" w:styleId="254">
    <w:name w:val="标题4 Char Char"/>
    <w:link w:val="100"/>
    <w:qFormat/>
    <w:uiPriority w:val="0"/>
    <w:rPr>
      <w:rFonts w:ascii="Arial" w:hAnsi="Arial"/>
      <w:b/>
      <w:bCs/>
      <w:sz w:val="24"/>
      <w:szCs w:val="32"/>
      <w:lang w:bidi="ar-SA"/>
    </w:rPr>
  </w:style>
  <w:style w:type="character" w:customStyle="1" w:styleId="255">
    <w:name w:val="标题 5 Char1"/>
    <w:qFormat/>
    <w:uiPriority w:val="0"/>
    <w:rPr>
      <w:rFonts w:ascii="宋体" w:hAnsi="宋体" w:eastAsia="宋体" w:cs="宋体"/>
      <w:b/>
      <w:bCs/>
      <w:sz w:val="20"/>
      <w:szCs w:val="20"/>
    </w:rPr>
  </w:style>
  <w:style w:type="character" w:customStyle="1" w:styleId="256">
    <w:name w:val="正文文本缩进 3 Char1"/>
    <w:qFormat/>
    <w:uiPriority w:val="0"/>
    <w:rPr>
      <w:rFonts w:ascii="宋体" w:hAnsi="宋体"/>
      <w:kern w:val="2"/>
      <w:sz w:val="28"/>
      <w:szCs w:val="28"/>
    </w:rPr>
  </w:style>
  <w:style w:type="character" w:customStyle="1" w:styleId="257">
    <w:name w:val="Char Char33"/>
    <w:qFormat/>
    <w:uiPriority w:val="0"/>
    <w:rPr>
      <w:rFonts w:ascii="仿宋_GB2312" w:eastAsia="仿宋_GB2312" w:cs="MingLiU"/>
      <w:b/>
      <w:sz w:val="24"/>
      <w:szCs w:val="28"/>
    </w:rPr>
  </w:style>
  <w:style w:type="character" w:customStyle="1" w:styleId="258">
    <w:name w:val="批注文字 Char1"/>
    <w:qFormat/>
    <w:uiPriority w:val="99"/>
    <w:rPr>
      <w:rFonts w:ascii="Times New Roman" w:hAnsi="Times New Roman" w:eastAsia="宋体" w:cs="Times New Roman"/>
      <w:szCs w:val="24"/>
    </w:rPr>
  </w:style>
  <w:style w:type="character" w:customStyle="1" w:styleId="259">
    <w:name w:val="正文文本 3 Char1"/>
    <w:qFormat/>
    <w:uiPriority w:val="0"/>
    <w:rPr>
      <w:kern w:val="2"/>
      <w:sz w:val="16"/>
      <w:szCs w:val="16"/>
    </w:rPr>
  </w:style>
  <w:style w:type="character" w:customStyle="1" w:styleId="260">
    <w:name w:val="页眉 Char"/>
    <w:qFormat/>
    <w:uiPriority w:val="0"/>
    <w:rPr>
      <w:sz w:val="18"/>
      <w:szCs w:val="18"/>
    </w:rPr>
  </w:style>
  <w:style w:type="character" w:customStyle="1" w:styleId="261">
    <w:name w:val="明显引用 Char"/>
    <w:qFormat/>
    <w:uiPriority w:val="0"/>
    <w:rPr>
      <w:rFonts w:ascii="Times New Roman" w:hAnsi="Times New Roman" w:eastAsia="宋体" w:cs="Times New Roman"/>
      <w:b/>
      <w:bCs/>
      <w:i/>
      <w:iCs/>
      <w:color w:val="4F81BD"/>
      <w:kern w:val="2"/>
      <w:sz w:val="21"/>
      <w:szCs w:val="24"/>
    </w:rPr>
  </w:style>
  <w:style w:type="character" w:customStyle="1" w:styleId="262">
    <w:name w:val="color_red1"/>
    <w:qFormat/>
    <w:uiPriority w:val="0"/>
    <w:rPr>
      <w:color w:val="FA0004"/>
    </w:rPr>
  </w:style>
  <w:style w:type="character" w:customStyle="1" w:styleId="263">
    <w:name w:val="批注主题 Char2"/>
    <w:qFormat/>
    <w:uiPriority w:val="99"/>
    <w:rPr>
      <w:b/>
      <w:bCs/>
      <w:kern w:val="2"/>
      <w:sz w:val="21"/>
      <w:szCs w:val="24"/>
    </w:rPr>
  </w:style>
  <w:style w:type="character" w:customStyle="1" w:styleId="264">
    <w:name w:val="Char Char34"/>
    <w:qFormat/>
    <w:uiPriority w:val="0"/>
    <w:rPr>
      <w:rFonts w:ascii="仿宋_GB2312" w:eastAsia="仿宋_GB2312" w:cs="MingLiU"/>
      <w:b/>
      <w:spacing w:val="1"/>
      <w:w w:val="99"/>
      <w:sz w:val="28"/>
      <w:szCs w:val="32"/>
    </w:rPr>
  </w:style>
  <w:style w:type="character" w:customStyle="1" w:styleId="265">
    <w:name w:val="docpro"/>
    <w:basedOn w:val="50"/>
    <w:qFormat/>
    <w:uiPriority w:val="0"/>
  </w:style>
  <w:style w:type="character" w:customStyle="1" w:styleId="266">
    <w:name w:val="正文文本 3 Char"/>
    <w:qFormat/>
    <w:uiPriority w:val="0"/>
    <w:rPr>
      <w:kern w:val="2"/>
      <w:sz w:val="16"/>
      <w:szCs w:val="16"/>
    </w:rPr>
  </w:style>
  <w:style w:type="character" w:customStyle="1" w:styleId="267">
    <w:name w:val="标题 5 Char"/>
    <w:qFormat/>
    <w:uiPriority w:val="0"/>
    <w:rPr>
      <w:rFonts w:ascii="Calibri" w:hAnsi="Calibri" w:eastAsia="宋体" w:cs="Times New Roman"/>
      <w:b/>
      <w:bCs/>
      <w:sz w:val="28"/>
      <w:szCs w:val="28"/>
    </w:rPr>
  </w:style>
  <w:style w:type="character" w:customStyle="1" w:styleId="268">
    <w:name w:val="style161"/>
    <w:qFormat/>
    <w:uiPriority w:val="0"/>
    <w:rPr>
      <w:b/>
      <w:bCs/>
      <w:color w:val="333333"/>
    </w:rPr>
  </w:style>
  <w:style w:type="character" w:customStyle="1" w:styleId="269">
    <w:name w:val="文档结构图 Char2"/>
    <w:qFormat/>
    <w:uiPriority w:val="99"/>
    <w:rPr>
      <w:kern w:val="2"/>
      <w:sz w:val="21"/>
      <w:szCs w:val="24"/>
      <w:shd w:val="clear" w:color="auto" w:fill="000080"/>
    </w:rPr>
  </w:style>
  <w:style w:type="character" w:customStyle="1" w:styleId="270">
    <w:name w:val="页脚 Char1"/>
    <w:semiHidden/>
    <w:qFormat/>
    <w:uiPriority w:val="99"/>
    <w:rPr>
      <w:kern w:val="2"/>
      <w:sz w:val="18"/>
      <w:szCs w:val="18"/>
    </w:rPr>
  </w:style>
  <w:style w:type="character" w:customStyle="1" w:styleId="271">
    <w:name w:val="日期 Char2"/>
    <w:qFormat/>
    <w:uiPriority w:val="99"/>
    <w:rPr>
      <w:kern w:val="2"/>
      <w:sz w:val="21"/>
      <w:szCs w:val="24"/>
    </w:rPr>
  </w:style>
  <w:style w:type="character" w:customStyle="1" w:styleId="272">
    <w:name w:val="HTML 预设格式 Char"/>
    <w:qFormat/>
    <w:uiPriority w:val="0"/>
    <w:rPr>
      <w:rFonts w:ascii="宋体" w:hAnsi="宋体" w:eastAsia="宋体" w:cs="宋体"/>
      <w:color w:val="000000"/>
      <w:sz w:val="24"/>
      <w:szCs w:val="24"/>
    </w:rPr>
  </w:style>
  <w:style w:type="character" w:customStyle="1" w:styleId="273">
    <w:name w:val="批注主题 字符"/>
    <w:link w:val="45"/>
    <w:qFormat/>
    <w:uiPriority w:val="0"/>
    <w:rPr>
      <w:rFonts w:eastAsia="宋体"/>
      <w:b/>
      <w:bCs/>
      <w:kern w:val="2"/>
      <w:sz w:val="21"/>
      <w:szCs w:val="24"/>
      <w:lang w:val="en-US" w:eastAsia="zh-CN" w:bidi="ar-SA"/>
    </w:rPr>
  </w:style>
  <w:style w:type="character" w:customStyle="1" w:styleId="274">
    <w:name w:val="正文文本 2 字符"/>
    <w:link w:val="40"/>
    <w:qFormat/>
    <w:uiPriority w:val="0"/>
    <w:rPr>
      <w:i/>
      <w:iCs/>
      <w:kern w:val="2"/>
      <w:sz w:val="26"/>
      <w:szCs w:val="24"/>
    </w:rPr>
  </w:style>
  <w:style w:type="character" w:customStyle="1" w:styleId="275">
    <w:name w:val="批注框文本 Char"/>
    <w:qFormat/>
    <w:uiPriority w:val="0"/>
    <w:rPr>
      <w:sz w:val="18"/>
      <w:szCs w:val="18"/>
    </w:rPr>
  </w:style>
  <w:style w:type="character" w:customStyle="1" w:styleId="276">
    <w:name w:val="文档结构图 Char"/>
    <w:qFormat/>
    <w:uiPriority w:val="0"/>
    <w:rPr>
      <w:rFonts w:ascii="宋体"/>
      <w:kern w:val="2"/>
      <w:sz w:val="18"/>
      <w:szCs w:val="18"/>
    </w:rPr>
  </w:style>
  <w:style w:type="character" w:customStyle="1" w:styleId="277">
    <w:name w:val="标题 8 字符"/>
    <w:link w:val="10"/>
    <w:qFormat/>
    <w:uiPriority w:val="0"/>
    <w:rPr>
      <w:rFonts w:hAnsi="Arial" w:eastAsia="仿宋_GB2312"/>
      <w:sz w:val="30"/>
      <w:lang w:val="en-US" w:eastAsia="zh-CN" w:bidi="ar-SA"/>
    </w:rPr>
  </w:style>
  <w:style w:type="character" w:customStyle="1" w:styleId="278">
    <w:name w:val="正文文本缩进 3 字符"/>
    <w:link w:val="37"/>
    <w:qFormat/>
    <w:uiPriority w:val="0"/>
    <w:rPr>
      <w:rFonts w:ascii="宋体" w:hAnsi="宋体" w:eastAsia="宋体"/>
      <w:kern w:val="2"/>
      <w:sz w:val="28"/>
      <w:szCs w:val="28"/>
      <w:lang w:val="en-US" w:eastAsia="zh-CN" w:bidi="ar-SA"/>
    </w:rPr>
  </w:style>
  <w:style w:type="character" w:customStyle="1" w:styleId="279">
    <w:name w:val="正文文本缩进 字符"/>
    <w:link w:val="19"/>
    <w:qFormat/>
    <w:uiPriority w:val="0"/>
    <w:rPr>
      <w:rFonts w:eastAsia="宋体"/>
      <w:kern w:val="2"/>
      <w:sz w:val="21"/>
      <w:szCs w:val="24"/>
      <w:lang w:val="en-US" w:eastAsia="zh-CN" w:bidi="ar-SA"/>
    </w:rPr>
  </w:style>
  <w:style w:type="character" w:customStyle="1" w:styleId="280">
    <w:name w:val="_Style 196"/>
    <w:qFormat/>
    <w:uiPriority w:val="0"/>
    <w:rPr>
      <w:i/>
      <w:iCs/>
      <w:color w:val="808080"/>
    </w:rPr>
  </w:style>
  <w:style w:type="character" w:customStyle="1" w:styleId="281">
    <w:name w:val="正文文本缩进 2 字符"/>
    <w:link w:val="27"/>
    <w:qFormat/>
    <w:uiPriority w:val="0"/>
    <w:rPr>
      <w:rFonts w:eastAsia="宋体"/>
      <w:sz w:val="28"/>
      <w:szCs w:val="24"/>
      <w:lang w:val="en-US" w:eastAsia="zh-CN" w:bidi="ar-SA"/>
    </w:rPr>
  </w:style>
  <w:style w:type="character" w:customStyle="1" w:styleId="282">
    <w:name w:val="标题 7 字符"/>
    <w:link w:val="9"/>
    <w:qFormat/>
    <w:uiPriority w:val="0"/>
    <w:rPr>
      <w:rFonts w:eastAsia="仿宋_GB2312"/>
      <w:sz w:val="30"/>
      <w:lang w:val="en-US" w:eastAsia="zh-CN" w:bidi="ar-SA"/>
    </w:rPr>
  </w:style>
  <w:style w:type="character" w:customStyle="1" w:styleId="283">
    <w:name w:val="Char Char13"/>
    <w:qFormat/>
    <w:uiPriority w:val="0"/>
    <w:rPr>
      <w:kern w:val="2"/>
      <w:sz w:val="18"/>
      <w:szCs w:val="18"/>
    </w:rPr>
  </w:style>
  <w:style w:type="character" w:customStyle="1" w:styleId="284">
    <w:name w:val="正文文本缩进 2 Char1"/>
    <w:qFormat/>
    <w:uiPriority w:val="0"/>
    <w:rPr>
      <w:sz w:val="28"/>
      <w:szCs w:val="24"/>
    </w:rPr>
  </w:style>
  <w:style w:type="character" w:customStyle="1" w:styleId="285">
    <w:name w:val="Char Char21"/>
    <w:qFormat/>
    <w:uiPriority w:val="0"/>
    <w:rPr>
      <w:rFonts w:ascii="宋体" w:hAnsi="宋体" w:cs="宋体"/>
      <w:b/>
      <w:bCs/>
      <w:sz w:val="24"/>
      <w:szCs w:val="24"/>
    </w:rPr>
  </w:style>
  <w:style w:type="character" w:customStyle="1" w:styleId="286">
    <w:name w:val="文档结构图 Char1"/>
    <w:qFormat/>
    <w:uiPriority w:val="0"/>
    <w:rPr>
      <w:rFonts w:ascii="宋体"/>
      <w:kern w:val="2"/>
      <w:sz w:val="18"/>
      <w:szCs w:val="18"/>
    </w:rPr>
  </w:style>
  <w:style w:type="character" w:customStyle="1" w:styleId="287">
    <w:name w:val="标题 Char"/>
    <w:qFormat/>
    <w:uiPriority w:val="0"/>
    <w:rPr>
      <w:rFonts w:ascii="Cambria" w:hAnsi="Cambria" w:eastAsia="宋体" w:cs="Times New Roman"/>
      <w:b/>
      <w:bCs/>
      <w:kern w:val="2"/>
      <w:sz w:val="32"/>
      <w:szCs w:val="32"/>
    </w:rPr>
  </w:style>
  <w:style w:type="character" w:customStyle="1" w:styleId="288">
    <w:name w:val="_Style 275"/>
    <w:qFormat/>
    <w:uiPriority w:val="0"/>
    <w:rPr>
      <w:smallCaps/>
      <w:color w:val="C0504D"/>
      <w:u w:val="single"/>
    </w:rPr>
  </w:style>
  <w:style w:type="character" w:customStyle="1" w:styleId="289">
    <w:name w:val="Char Char12"/>
    <w:qFormat/>
    <w:uiPriority w:val="0"/>
    <w:rPr>
      <w:rFonts w:eastAsia="黑体"/>
      <w:kern w:val="2"/>
      <w:sz w:val="44"/>
      <w:szCs w:val="44"/>
      <w:lang w:val="en-US" w:eastAsia="zh-CN" w:bidi="ar-SA"/>
    </w:rPr>
  </w:style>
  <w:style w:type="character" w:customStyle="1" w:styleId="290">
    <w:name w:val="明显参考1"/>
    <w:qFormat/>
    <w:uiPriority w:val="0"/>
    <w:rPr>
      <w:b/>
      <w:bCs/>
      <w:smallCaps/>
      <w:color w:val="C0504D"/>
      <w:spacing w:val="5"/>
      <w:u w:val="single"/>
    </w:rPr>
  </w:style>
  <w:style w:type="character" w:customStyle="1" w:styleId="291">
    <w:name w:val="Char Char36"/>
    <w:qFormat/>
    <w:uiPriority w:val="0"/>
    <w:rPr>
      <w:rFonts w:ascii="仿宋_GB2312" w:eastAsia="仿宋_GB2312" w:cs="MingLiU"/>
      <w:b/>
      <w:sz w:val="24"/>
      <w:szCs w:val="28"/>
    </w:rPr>
  </w:style>
  <w:style w:type="character" w:customStyle="1" w:styleId="292">
    <w:name w:val="批注框文本 Char2"/>
    <w:qFormat/>
    <w:uiPriority w:val="99"/>
    <w:rPr>
      <w:kern w:val="2"/>
      <w:sz w:val="18"/>
      <w:szCs w:val="18"/>
    </w:rPr>
  </w:style>
  <w:style w:type="character" w:customStyle="1" w:styleId="293">
    <w:name w:val="subhead1"/>
    <w:qFormat/>
    <w:uiPriority w:val="0"/>
    <w:rPr>
      <w:rFonts w:hint="default" w:ascii="Tahoma" w:hAnsi="Tahoma" w:cs="Tahoma"/>
      <w:color w:val="000000"/>
      <w:sz w:val="18"/>
      <w:szCs w:val="18"/>
      <w:u w:val="none"/>
      <w:shd w:val="clear" w:color="auto" w:fill="FFFFFF"/>
    </w:rPr>
  </w:style>
  <w:style w:type="character" w:customStyle="1" w:styleId="294">
    <w:name w:val="正文文本缩进 3 Char2"/>
    <w:semiHidden/>
    <w:qFormat/>
    <w:uiPriority w:val="99"/>
    <w:rPr>
      <w:rFonts w:ascii="Calibri" w:hAnsi="Calibri" w:eastAsia="宋体" w:cs="Times New Roman"/>
      <w:sz w:val="16"/>
      <w:szCs w:val="16"/>
    </w:rPr>
  </w:style>
  <w:style w:type="character" w:customStyle="1" w:styleId="295">
    <w:name w:val="纯文本 Char"/>
    <w:qFormat/>
    <w:uiPriority w:val="0"/>
    <w:rPr>
      <w:rFonts w:ascii="宋体" w:hAnsi="Courier New"/>
      <w:sz w:val="28"/>
      <w:szCs w:val="28"/>
    </w:rPr>
  </w:style>
  <w:style w:type="character" w:customStyle="1" w:styleId="296">
    <w:name w:val="纯文本 Char2"/>
    <w:semiHidden/>
    <w:qFormat/>
    <w:uiPriority w:val="99"/>
    <w:rPr>
      <w:rFonts w:ascii="宋体" w:hAnsi="Courier New" w:eastAsia="宋体" w:cs="Courier New"/>
      <w:szCs w:val="21"/>
    </w:rPr>
  </w:style>
  <w:style w:type="character" w:customStyle="1" w:styleId="297">
    <w:name w:val="页眉 Char1"/>
    <w:semiHidden/>
    <w:qFormat/>
    <w:uiPriority w:val="99"/>
    <w:rPr>
      <w:kern w:val="2"/>
      <w:sz w:val="18"/>
      <w:szCs w:val="18"/>
    </w:rPr>
  </w:style>
  <w:style w:type="character" w:customStyle="1" w:styleId="298">
    <w:name w:val="Char Char14"/>
    <w:qFormat/>
    <w:uiPriority w:val="0"/>
    <w:rPr>
      <w:kern w:val="2"/>
      <w:sz w:val="18"/>
      <w:szCs w:val="18"/>
    </w:rPr>
  </w:style>
  <w:style w:type="character" w:customStyle="1" w:styleId="299">
    <w:name w:val="批注文字 字符"/>
    <w:link w:val="16"/>
    <w:qFormat/>
    <w:uiPriority w:val="99"/>
    <w:rPr>
      <w:rFonts w:eastAsia="宋体"/>
      <w:kern w:val="2"/>
      <w:sz w:val="21"/>
      <w:szCs w:val="24"/>
      <w:lang w:val="en-US" w:eastAsia="zh-CN" w:bidi="ar-SA"/>
    </w:rPr>
  </w:style>
  <w:style w:type="character" w:customStyle="1" w:styleId="300">
    <w:name w:val="批注文字 Char Char"/>
    <w:qFormat/>
    <w:uiPriority w:val="0"/>
    <w:rPr>
      <w:rFonts w:ascii="宋体" w:hAnsi="Times New Roman" w:eastAsia="宋体" w:cs="Times New Roman"/>
      <w:sz w:val="28"/>
      <w:szCs w:val="20"/>
    </w:rPr>
  </w:style>
  <w:style w:type="character" w:customStyle="1" w:styleId="301">
    <w:name w:val="标题 1 Char1"/>
    <w:qFormat/>
    <w:uiPriority w:val="0"/>
    <w:rPr>
      <w:rFonts w:ascii="Times New Roman" w:hAnsi="Times New Roman" w:eastAsia="宋体" w:cs="Times New Roman"/>
      <w:b/>
      <w:bCs/>
      <w:kern w:val="44"/>
      <w:sz w:val="44"/>
      <w:szCs w:val="44"/>
    </w:rPr>
  </w:style>
  <w:style w:type="character" w:customStyle="1" w:styleId="302">
    <w:name w:val="标题 5 字符"/>
    <w:link w:val="6"/>
    <w:qFormat/>
    <w:uiPriority w:val="0"/>
    <w:rPr>
      <w:rFonts w:ascii="宋体" w:hAnsi="宋体" w:eastAsia="宋体" w:cs="宋体"/>
      <w:b/>
      <w:bCs/>
      <w:lang w:val="en-US" w:eastAsia="zh-CN" w:bidi="ar-SA"/>
    </w:rPr>
  </w:style>
  <w:style w:type="character" w:customStyle="1" w:styleId="303">
    <w:name w:val="手改 Char Char"/>
    <w:qFormat/>
    <w:uiPriority w:val="0"/>
    <w:rPr>
      <w:kern w:val="2"/>
      <w:sz w:val="21"/>
      <w:szCs w:val="24"/>
    </w:rPr>
  </w:style>
  <w:style w:type="character" w:customStyle="1" w:styleId="304">
    <w:name w:val="标题 1 字符"/>
    <w:link w:val="2"/>
    <w:qFormat/>
    <w:uiPriority w:val="0"/>
    <w:rPr>
      <w:rFonts w:eastAsia="宋体"/>
      <w:b/>
      <w:bCs/>
      <w:kern w:val="44"/>
      <w:sz w:val="44"/>
      <w:szCs w:val="44"/>
      <w:lang w:val="en-US" w:eastAsia="zh-CN" w:bidi="ar-SA"/>
    </w:rPr>
  </w:style>
  <w:style w:type="character" w:customStyle="1" w:styleId="305">
    <w:name w:val="intel3"/>
    <w:basedOn w:val="50"/>
    <w:qFormat/>
    <w:uiPriority w:val="0"/>
  </w:style>
  <w:style w:type="character" w:customStyle="1" w:styleId="306">
    <w:name w:val="副标题 Char2"/>
    <w:qFormat/>
    <w:uiPriority w:val="11"/>
    <w:rPr>
      <w:rFonts w:ascii="Cambria" w:hAnsi="Cambria" w:eastAsia="宋体" w:cs="Times New Roman"/>
      <w:b/>
      <w:bCs/>
      <w:kern w:val="28"/>
      <w:sz w:val="32"/>
      <w:szCs w:val="32"/>
    </w:rPr>
  </w:style>
  <w:style w:type="character" w:customStyle="1" w:styleId="307">
    <w:name w:val="明显引用 Char4"/>
    <w:link w:val="131"/>
    <w:qFormat/>
    <w:uiPriority w:val="0"/>
    <w:rPr>
      <w:b/>
      <w:bCs/>
      <w:i/>
      <w:iCs/>
      <w:color w:val="4F81BD"/>
      <w:kern w:val="2"/>
      <w:sz w:val="21"/>
      <w:szCs w:val="22"/>
      <w:lang w:bidi="ar-SA"/>
    </w:rPr>
  </w:style>
  <w:style w:type="character" w:customStyle="1" w:styleId="308">
    <w:name w:val="明显引用 Char1"/>
    <w:link w:val="124"/>
    <w:qFormat/>
    <w:uiPriority w:val="30"/>
    <w:rPr>
      <w:b/>
      <w:bCs/>
      <w:i/>
      <w:iCs/>
      <w:color w:val="4F81BD"/>
      <w:kern w:val="2"/>
      <w:sz w:val="21"/>
    </w:rPr>
  </w:style>
  <w:style w:type="character" w:customStyle="1" w:styleId="309">
    <w:name w:val="HTML 预设格式 Char1"/>
    <w:qFormat/>
    <w:uiPriority w:val="0"/>
    <w:rPr>
      <w:rFonts w:ascii="宋体" w:hAnsi="宋体" w:cs="宋体"/>
      <w:color w:val="000000"/>
      <w:sz w:val="24"/>
      <w:szCs w:val="24"/>
    </w:rPr>
  </w:style>
  <w:style w:type="character" w:customStyle="1" w:styleId="310">
    <w:name w:val="引用 Char"/>
    <w:link w:val="83"/>
    <w:qFormat/>
    <w:uiPriority w:val="0"/>
    <w:rPr>
      <w:rFonts w:ascii="Times New Roman" w:hAnsi="Times New Roman" w:eastAsia="宋体" w:cs="Times New Roman"/>
      <w:i/>
      <w:iCs/>
      <w:color w:val="000000"/>
      <w:kern w:val="2"/>
      <w:sz w:val="21"/>
      <w:szCs w:val="24"/>
    </w:rPr>
  </w:style>
  <w:style w:type="character" w:customStyle="1" w:styleId="311">
    <w:name w:val="副标题 字符"/>
    <w:link w:val="34"/>
    <w:qFormat/>
    <w:uiPriority w:val="0"/>
    <w:rPr>
      <w:rFonts w:eastAsia="宋体"/>
      <w:szCs w:val="24"/>
      <w:u w:val="single"/>
      <w:lang w:val="en-US" w:eastAsia="en-US" w:bidi="ar-SA"/>
    </w:rPr>
  </w:style>
  <w:style w:type="character" w:customStyle="1" w:styleId="312">
    <w:name w:val="ITTHEADER1 Char"/>
    <w:qFormat/>
    <w:uiPriority w:val="0"/>
    <w:rPr>
      <w:rFonts w:eastAsia="黑体"/>
      <w:kern w:val="2"/>
      <w:sz w:val="44"/>
      <w:szCs w:val="44"/>
      <w:lang w:val="en-US" w:eastAsia="zh-CN" w:bidi="ar-SA"/>
    </w:rPr>
  </w:style>
  <w:style w:type="character" w:customStyle="1" w:styleId="313">
    <w:name w:val="日期 Char3"/>
    <w:semiHidden/>
    <w:qFormat/>
    <w:uiPriority w:val="99"/>
    <w:rPr>
      <w:rFonts w:ascii="Calibri" w:hAnsi="Calibri" w:eastAsia="宋体" w:cs="Times New Roman"/>
      <w:szCs w:val="24"/>
    </w:rPr>
  </w:style>
  <w:style w:type="character" w:customStyle="1" w:styleId="314">
    <w:name w:val="纯文本 字符"/>
    <w:link w:val="24"/>
    <w:qFormat/>
    <w:uiPriority w:val="0"/>
    <w:rPr>
      <w:rFonts w:ascii="宋体" w:hAnsi="Courier New" w:eastAsia="宋体" w:cs="Courier New"/>
      <w:kern w:val="2"/>
      <w:sz w:val="21"/>
      <w:szCs w:val="21"/>
      <w:lang w:val="en-US" w:eastAsia="zh-CN" w:bidi="ar-SA"/>
    </w:rPr>
  </w:style>
  <w:style w:type="character" w:customStyle="1" w:styleId="315">
    <w:name w:val="批注文字 Char"/>
    <w:qFormat/>
    <w:uiPriority w:val="0"/>
    <w:rPr>
      <w:rFonts w:ascii="Times New Roman" w:hAnsi="Times New Roman" w:eastAsia="宋体" w:cs="Times New Roman"/>
      <w:kern w:val="2"/>
      <w:sz w:val="21"/>
      <w:szCs w:val="24"/>
    </w:rPr>
  </w:style>
  <w:style w:type="character" w:customStyle="1" w:styleId="316">
    <w:name w:val="Section Char"/>
    <w:qFormat/>
    <w:uiPriority w:val="0"/>
    <w:rPr>
      <w:rFonts w:ascii="仿宋_GB2312" w:eastAsia="仿宋_GB2312" w:cs="MingLiU"/>
      <w:b/>
      <w:sz w:val="24"/>
      <w:szCs w:val="28"/>
      <w:lang w:val="en-US" w:eastAsia="zh-CN" w:bidi="ar-SA"/>
    </w:rPr>
  </w:style>
  <w:style w:type="character" w:customStyle="1" w:styleId="317">
    <w:name w:val="正文文本 3 Char2"/>
    <w:semiHidden/>
    <w:qFormat/>
    <w:uiPriority w:val="99"/>
    <w:rPr>
      <w:rFonts w:ascii="Calibri" w:hAnsi="Calibri" w:eastAsia="宋体" w:cs="Times New Roman"/>
      <w:sz w:val="16"/>
      <w:szCs w:val="16"/>
    </w:rPr>
  </w:style>
  <w:style w:type="character" w:customStyle="1" w:styleId="318">
    <w:name w:val="正文文本 3 字符"/>
    <w:link w:val="17"/>
    <w:qFormat/>
    <w:uiPriority w:val="0"/>
    <w:rPr>
      <w:rFonts w:eastAsia="宋体"/>
      <w:kern w:val="2"/>
      <w:sz w:val="16"/>
      <w:szCs w:val="16"/>
      <w:lang w:val="en-US" w:eastAsia="zh-CN" w:bidi="ar-SA"/>
    </w:rPr>
  </w:style>
  <w:style w:type="character" w:customStyle="1" w:styleId="319">
    <w:name w:val="普通文字 Char Char1"/>
    <w:qFormat/>
    <w:uiPriority w:val="0"/>
    <w:rPr>
      <w:rFonts w:ascii="宋体" w:hAnsi="Courier New"/>
      <w:kern w:val="2"/>
      <w:sz w:val="28"/>
      <w:szCs w:val="28"/>
    </w:rPr>
  </w:style>
  <w:style w:type="character" w:customStyle="1" w:styleId="320">
    <w:name w:val="正文文本缩进 Char"/>
    <w:qFormat/>
    <w:uiPriority w:val="0"/>
    <w:rPr>
      <w:rFonts w:ascii="黑体" w:hAnsi="宋体" w:eastAsia="黑体"/>
      <w:color w:val="000000"/>
      <w:sz w:val="28"/>
      <w:szCs w:val="32"/>
    </w:rPr>
  </w:style>
  <w:style w:type="character" w:customStyle="1" w:styleId="321">
    <w:name w:val="font161"/>
    <w:qFormat/>
    <w:uiPriority w:val="0"/>
    <w:rPr>
      <w:b/>
      <w:bCs/>
      <w:sz w:val="32"/>
      <w:szCs w:val="32"/>
    </w:rPr>
  </w:style>
  <w:style w:type="paragraph" w:customStyle="1" w:styleId="322">
    <w:name w:val="列出段落2"/>
    <w:basedOn w:val="1"/>
    <w:qFormat/>
    <w:uiPriority w:val="99"/>
    <w:pPr>
      <w:ind w:firstLine="420" w:firstLineChars="200"/>
    </w:pPr>
    <w:rPr>
      <w:sz w:val="28"/>
      <w:szCs w:val="28"/>
    </w:rPr>
  </w:style>
  <w:style w:type="paragraph" w:customStyle="1" w:styleId="32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24">
    <w:name w:val="正文(缩进)"/>
    <w:basedOn w:val="1"/>
    <w:qFormat/>
    <w:uiPriority w:val="0"/>
    <w:pPr>
      <w:ind w:left="57" w:firstLine="200" w:firstLineChars="200"/>
    </w:pPr>
    <w:rPr>
      <w:rFonts w:ascii="Calibri" w:hAnsi="Calibri"/>
      <w:sz w:val="24"/>
    </w:rPr>
  </w:style>
  <w:style w:type="table" w:customStyle="1" w:styleId="325">
    <w:name w:val="Table Normal"/>
    <w:semiHidden/>
    <w:unhideWhenUsed/>
    <w:qFormat/>
    <w:uiPriority w:val="0"/>
    <w:tblPr>
      <w:tblCellMar>
        <w:top w:w="0" w:type="dxa"/>
        <w:left w:w="0" w:type="dxa"/>
        <w:bottom w:w="0" w:type="dxa"/>
        <w:right w:w="0" w:type="dxa"/>
      </w:tblCellMar>
    </w:tblPr>
  </w:style>
  <w:style w:type="paragraph" w:customStyle="1" w:styleId="326">
    <w:name w:val="目录 53"/>
    <w:next w:val="1"/>
    <w:qFormat/>
    <w:uiPriority w:val="99"/>
    <w:pPr>
      <w:wordWrap w:val="0"/>
      <w:ind w:left="1275"/>
      <w:jc w:val="both"/>
    </w:pPr>
    <w:rPr>
      <w:rFonts w:ascii="Calibri" w:hAnsi="Calibri" w:eastAsia="宋体" w:cs="Times New Roman"/>
      <w:sz w:val="21"/>
      <w:lang w:val="en-US" w:eastAsia="zh-CN" w:bidi="ar-SA"/>
    </w:rPr>
  </w:style>
  <w:style w:type="character" w:customStyle="1" w:styleId="327">
    <w:name w:val="标题 3 Char2"/>
    <w:link w:val="4"/>
    <w:qFormat/>
    <w:uiPriority w:val="0"/>
    <w:rPr>
      <w:rFonts w:eastAsia="宋体"/>
      <w:b/>
      <w:bCs/>
      <w:kern w:val="2"/>
      <w:sz w:val="32"/>
      <w:szCs w:val="32"/>
      <w:lang w:val="en-US" w:eastAsia="zh-CN" w:bidi="ar-SA"/>
    </w:rPr>
  </w:style>
  <w:style w:type="paragraph" w:customStyle="1" w:styleId="328">
    <w:name w:val="扉首"/>
    <w:basedOn w:val="1"/>
    <w:qFormat/>
    <w:uiPriority w:val="99"/>
    <w:pPr>
      <w:spacing w:line="480" w:lineRule="auto"/>
      <w:ind w:firstLine="560"/>
      <w:jc w:val="center"/>
    </w:pPr>
    <w:rPr>
      <w:rFonts w:ascii="黑体" w:hAnsi="黑体" w:eastAsia="仿宋_GB2312" w:cs="黑体"/>
      <w:b/>
      <w:color w:val="000000"/>
      <w:kern w:val="2"/>
      <w:sz w:val="52"/>
      <w:lang w:bidi="ar-SA"/>
    </w:rPr>
  </w:style>
  <w:style w:type="paragraph" w:styleId="329">
    <w:name w:val="List Paragraph"/>
    <w:basedOn w:val="1"/>
    <w:qFormat/>
    <w:uiPriority w:val="0"/>
    <w:pPr>
      <w:ind w:firstLine="420" w:firstLineChars="200"/>
    </w:pPr>
    <w:rPr>
      <w:sz w:val="28"/>
      <w:szCs w:val="28"/>
    </w:rPr>
  </w:style>
  <w:style w:type="character" w:customStyle="1" w:styleId="330">
    <w:name w:val="NormalCharacter"/>
    <w:semiHidden/>
    <w:qFormat/>
    <w:uiPriority w:val="0"/>
    <w:rPr>
      <w:rFonts w:ascii="宋体" w:hAnsi="宋体" w:eastAsia="宋体" w:cs="宋体"/>
      <w:sz w:val="22"/>
      <w:szCs w:val="22"/>
      <w:lang w:val="en-US" w:eastAsia="en-US" w:bidi="ar-SA"/>
    </w:rPr>
  </w:style>
  <w:style w:type="paragraph" w:customStyle="1" w:styleId="331">
    <w:name w:val="Table Paragraph"/>
    <w:basedOn w:val="1"/>
    <w:qFormat/>
    <w:uiPriority w:val="1"/>
  </w:style>
  <w:style w:type="paragraph" w:customStyle="1" w:styleId="332">
    <w:name w:val="UserStyle_348"/>
    <w:basedOn w:val="1"/>
    <w:qFormat/>
    <w:uiPriority w:val="0"/>
    <w:pPr>
      <w:spacing w:line="288" w:lineRule="auto"/>
      <w:ind w:left="200" w:hanging="20"/>
      <w:jc w:val="both"/>
      <w:textAlignment w:val="baseline"/>
    </w:pPr>
    <w:rPr>
      <w:color w:val="000000"/>
      <w:kern w:val="2"/>
      <w:sz w:val="24"/>
      <w:szCs w:val="24"/>
      <w:lang w:eastAsia="zh-CN"/>
    </w:rPr>
  </w:style>
  <w:style w:type="paragraph" w:styleId="333">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34">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24724</Words>
  <Characters>26359</Characters>
  <Lines>489</Lines>
  <Paragraphs>137</Paragraphs>
  <TotalTime>95</TotalTime>
  <ScaleCrop>false</ScaleCrop>
  <LinksUpToDate>false</LinksUpToDate>
  <CharactersWithSpaces>27756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2021-12-18T03:12:00Z</dcterms:created>
  <dc:creator>USER</dc:creator>
  <cp:lastModifiedBy>重庆修为工程咨询有限公司</cp:lastModifiedBy>
  <cp:lastPrinted>2023-04-26T19:35:00Z</cp:lastPrinted>
  <dcterms:modified xsi:type="dcterms:W3CDTF">2025-12-23T09:49:44Z</dcterms:modified>
  <dc:title>第一卷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879C8D241A6D41079F8AEE631A530CF7_13</vt:lpwstr>
  </property>
  <property fmtid="{D5CDD505-2E9C-101B-9397-08002B2CF9AE}" pid="4" name="KSOTemplateDocerSaveRecord">
    <vt:lpwstr>eyJoZGlkIjoiMDEyYmViZDA2NTJjZjEwNzlhOTJjNGFjY2ZmZmFhZDEiLCJ1c2VySWQiOiI5ODI2MTYzNjQifQ==</vt:lpwstr>
  </property>
</Properties>
</file>