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p>
    <w:p>
      <w:pPr>
        <w:spacing w:line="1600" w:lineRule="exact"/>
        <w:jc w:val="center"/>
        <w:outlineLvl w:val="0"/>
        <w:rPr>
          <w:rFonts w:ascii="仿宋" w:hAnsi="仿宋" w:eastAsia="仿宋"/>
          <w:color w:val="auto"/>
          <w:sz w:val="130"/>
          <w:szCs w:val="130"/>
        </w:rPr>
      </w:pPr>
      <w:r>
        <w:rPr>
          <w:rFonts w:hint="eastAsia" w:ascii="仿宋" w:hAnsi="仿宋" w:eastAsia="仿宋"/>
          <w:color w:val="auto"/>
          <w:sz w:val="130"/>
          <w:szCs w:val="130"/>
        </w:rPr>
        <w:t>竞争性磋商文件</w:t>
      </w:r>
    </w:p>
    <w:p>
      <w:pPr>
        <w:spacing w:line="700" w:lineRule="exact"/>
        <w:jc w:val="center"/>
        <w:rPr>
          <w:rFonts w:ascii="仿宋" w:hAnsi="仿宋" w:eastAsia="仿宋"/>
          <w:color w:val="auto"/>
          <w:sz w:val="32"/>
        </w:rPr>
      </w:pPr>
    </w:p>
    <w:p>
      <w:pPr>
        <w:spacing w:line="700" w:lineRule="exact"/>
        <w:jc w:val="center"/>
        <w:rPr>
          <w:rFonts w:ascii="仿宋" w:hAnsi="仿宋" w:eastAsia="仿宋"/>
          <w:color w:val="auto"/>
          <w:sz w:val="32"/>
        </w:rPr>
      </w:pPr>
    </w:p>
    <w:p>
      <w:pPr>
        <w:spacing w:line="700" w:lineRule="exact"/>
        <w:jc w:val="center"/>
        <w:rPr>
          <w:rFonts w:ascii="仿宋" w:hAnsi="仿宋" w:eastAsia="仿宋"/>
          <w:color w:val="auto"/>
          <w:sz w:val="32"/>
        </w:rPr>
      </w:pPr>
    </w:p>
    <w:p>
      <w:pPr>
        <w:spacing w:line="700" w:lineRule="exact"/>
        <w:jc w:val="center"/>
        <w:rPr>
          <w:rFonts w:ascii="仿宋" w:hAnsi="仿宋" w:eastAsia="仿宋"/>
          <w:color w:val="auto"/>
          <w:sz w:val="32"/>
        </w:rPr>
      </w:pPr>
    </w:p>
    <w:p>
      <w:pPr>
        <w:spacing w:line="500" w:lineRule="exact"/>
        <w:ind w:firstLine="1265" w:firstLineChars="350"/>
        <w:outlineLvl w:val="0"/>
        <w:rPr>
          <w:rFonts w:ascii="仿宋" w:hAnsi="仿宋" w:eastAsia="仿宋"/>
          <w:b/>
          <w:bCs/>
          <w:color w:val="auto"/>
          <w:sz w:val="36"/>
          <w:szCs w:val="36"/>
        </w:rPr>
      </w:pPr>
      <w:r>
        <w:rPr>
          <w:rFonts w:hint="eastAsia" w:ascii="仿宋" w:hAnsi="仿宋" w:eastAsia="仿宋"/>
          <w:b/>
          <w:bCs/>
          <w:color w:val="auto"/>
          <w:sz w:val="36"/>
          <w:szCs w:val="36"/>
        </w:rPr>
        <w:t>项  目  号：HH-252686</w:t>
      </w:r>
    </w:p>
    <w:p>
      <w:pPr>
        <w:spacing w:line="500" w:lineRule="exact"/>
        <w:ind w:firstLine="1265" w:firstLineChars="350"/>
        <w:outlineLvl w:val="0"/>
        <w:rPr>
          <w:rFonts w:ascii="仿宋" w:hAnsi="仿宋" w:eastAsia="仿宋"/>
          <w:b/>
          <w:bCs/>
          <w:color w:val="auto"/>
          <w:sz w:val="36"/>
          <w:szCs w:val="36"/>
        </w:rPr>
      </w:pPr>
      <w:r>
        <w:rPr>
          <w:rFonts w:hint="eastAsia" w:ascii="仿宋" w:hAnsi="仿宋" w:eastAsia="仿宋"/>
          <w:b/>
          <w:bCs/>
          <w:color w:val="auto"/>
          <w:sz w:val="36"/>
          <w:szCs w:val="36"/>
        </w:rPr>
        <w:t>磋商项目名称：林火视频监控摄像头采购安装项目</w:t>
      </w:r>
    </w:p>
    <w:p>
      <w:pPr>
        <w:spacing w:line="700" w:lineRule="exact"/>
        <w:ind w:firstLine="1756" w:firstLineChars="486"/>
        <w:rPr>
          <w:rFonts w:ascii="仿宋" w:hAnsi="仿宋" w:eastAsia="仿宋"/>
          <w:b/>
          <w:bCs/>
          <w:color w:val="auto"/>
          <w:sz w:val="36"/>
          <w:szCs w:val="36"/>
        </w:rPr>
      </w:pPr>
    </w:p>
    <w:p>
      <w:pPr>
        <w:spacing w:line="700" w:lineRule="exact"/>
        <w:ind w:firstLine="1756" w:firstLineChars="486"/>
        <w:rPr>
          <w:rFonts w:ascii="仿宋" w:hAnsi="仿宋" w:eastAsia="仿宋"/>
          <w:b/>
          <w:bCs/>
          <w:color w:val="auto"/>
          <w:sz w:val="36"/>
          <w:szCs w:val="36"/>
        </w:rPr>
      </w:pPr>
    </w:p>
    <w:p>
      <w:pPr>
        <w:spacing w:line="700" w:lineRule="exact"/>
        <w:ind w:firstLine="1756" w:firstLineChars="486"/>
        <w:rPr>
          <w:rFonts w:ascii="仿宋" w:hAnsi="仿宋" w:eastAsia="仿宋"/>
          <w:b/>
          <w:bCs/>
          <w:color w:val="auto"/>
          <w:sz w:val="36"/>
          <w:szCs w:val="36"/>
        </w:rPr>
      </w:pPr>
    </w:p>
    <w:p>
      <w:pPr>
        <w:spacing w:line="700" w:lineRule="exact"/>
        <w:ind w:firstLine="1756" w:firstLineChars="486"/>
        <w:rPr>
          <w:rFonts w:ascii="仿宋" w:hAnsi="仿宋" w:eastAsia="仿宋"/>
          <w:b/>
          <w:bCs/>
          <w:color w:val="auto"/>
          <w:sz w:val="36"/>
          <w:szCs w:val="36"/>
        </w:rPr>
      </w:pPr>
    </w:p>
    <w:p>
      <w:pPr>
        <w:spacing w:line="700" w:lineRule="exact"/>
        <w:ind w:firstLine="1756" w:firstLineChars="486"/>
        <w:rPr>
          <w:rFonts w:ascii="仿宋" w:hAnsi="仿宋" w:eastAsia="仿宋"/>
          <w:b/>
          <w:bCs/>
          <w:color w:val="auto"/>
          <w:sz w:val="36"/>
          <w:szCs w:val="36"/>
        </w:rPr>
      </w:pPr>
    </w:p>
    <w:p>
      <w:pPr>
        <w:spacing w:line="700" w:lineRule="exact"/>
        <w:jc w:val="center"/>
        <w:rPr>
          <w:rFonts w:ascii="仿宋" w:hAnsi="仿宋" w:eastAsia="仿宋"/>
          <w:b/>
          <w:bCs/>
          <w:color w:val="auto"/>
          <w:sz w:val="36"/>
          <w:szCs w:val="36"/>
        </w:rPr>
      </w:pPr>
    </w:p>
    <w:p>
      <w:pPr>
        <w:spacing w:line="500" w:lineRule="exact"/>
        <w:jc w:val="center"/>
        <w:outlineLvl w:val="0"/>
        <w:rPr>
          <w:rFonts w:ascii="仿宋" w:hAnsi="仿宋" w:eastAsia="仿宋"/>
          <w:b/>
          <w:bCs/>
          <w:color w:val="auto"/>
          <w:sz w:val="36"/>
          <w:szCs w:val="36"/>
        </w:rPr>
      </w:pPr>
      <w:r>
        <w:rPr>
          <w:rFonts w:hint="eastAsia" w:ascii="仿宋" w:hAnsi="仿宋" w:eastAsia="仿宋"/>
          <w:b/>
          <w:bCs/>
          <w:color w:val="auto"/>
          <w:sz w:val="36"/>
          <w:szCs w:val="36"/>
        </w:rPr>
        <w:t>采购人：重庆市南川区森林草原火灾预防中心</w:t>
      </w:r>
      <w:r>
        <w:rPr>
          <w:rFonts w:ascii="仿宋" w:hAnsi="仿宋" w:eastAsia="仿宋"/>
          <w:b/>
          <w:bCs/>
          <w:color w:val="auto"/>
          <w:sz w:val="36"/>
          <w:szCs w:val="36"/>
        </w:rPr>
        <w:br w:type="textWrapping"/>
      </w:r>
      <w:r>
        <w:rPr>
          <w:rFonts w:hint="eastAsia" w:ascii="仿宋" w:hAnsi="仿宋" w:eastAsia="仿宋"/>
          <w:b/>
          <w:bCs/>
          <w:color w:val="auto"/>
          <w:sz w:val="36"/>
          <w:szCs w:val="36"/>
        </w:rPr>
        <w:t>采购代理机构：重庆市汇昊招标代理有限公司</w:t>
      </w:r>
    </w:p>
    <w:p>
      <w:pPr>
        <w:spacing w:line="500" w:lineRule="exact"/>
        <w:jc w:val="center"/>
        <w:outlineLvl w:val="0"/>
        <w:rPr>
          <w:rFonts w:ascii="仿宋" w:hAnsi="仿宋" w:eastAsia="仿宋"/>
          <w:b/>
          <w:bCs/>
          <w:color w:val="auto"/>
          <w:sz w:val="36"/>
          <w:szCs w:val="36"/>
        </w:rPr>
      </w:pPr>
    </w:p>
    <w:p>
      <w:pPr>
        <w:spacing w:line="720" w:lineRule="exact"/>
        <w:jc w:val="center"/>
        <w:outlineLvl w:val="0"/>
        <w:rPr>
          <w:rFonts w:ascii="仿宋" w:hAnsi="仿宋" w:eastAsia="仿宋"/>
          <w:b/>
          <w:bCs/>
          <w:color w:val="auto"/>
          <w:sz w:val="48"/>
          <w:szCs w:val="32"/>
        </w:rPr>
      </w:pPr>
      <w:r>
        <w:rPr>
          <w:rFonts w:hint="eastAsia" w:ascii="仿宋" w:hAnsi="仿宋" w:eastAsia="仿宋"/>
          <w:b/>
          <w:bCs/>
          <w:color w:val="auto"/>
          <w:sz w:val="36"/>
          <w:szCs w:val="36"/>
        </w:rPr>
        <w:t>二〇二五年七月</w:t>
      </w:r>
    </w:p>
    <w:p>
      <w:pPr>
        <w:spacing w:line="720" w:lineRule="exact"/>
        <w:jc w:val="center"/>
        <w:outlineLvl w:val="0"/>
        <w:rPr>
          <w:rFonts w:ascii="仿宋" w:hAnsi="仿宋" w:eastAsia="仿宋"/>
          <w:color w:val="auto"/>
          <w:sz w:val="48"/>
          <w:szCs w:val="32"/>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ascii="仿宋" w:hAnsi="仿宋" w:eastAsia="仿宋"/>
          <w:color w:val="auto"/>
          <w:sz w:val="44"/>
          <w:szCs w:val="28"/>
        </w:rPr>
      </w:pPr>
      <w:r>
        <w:rPr>
          <w:rFonts w:hint="eastAsia" w:ascii="仿宋" w:hAnsi="仿宋" w:eastAsia="仿宋"/>
          <w:color w:val="auto"/>
          <w:sz w:val="44"/>
          <w:szCs w:val="28"/>
        </w:rPr>
        <w:t>目   录</w:t>
      </w:r>
    </w:p>
    <w:p>
      <w:pPr>
        <w:pStyle w:val="46"/>
        <w:tabs>
          <w:tab w:val="right" w:leader="dot" w:pos="9402"/>
        </w:tabs>
        <w:ind w:left="560"/>
        <w:rPr>
          <w:rFonts w:ascii="等线" w:hAnsi="等线" w:eastAsia="等线"/>
          <w:color w:val="auto"/>
          <w:sz w:val="22"/>
          <w:szCs w:val="24"/>
        </w:rPr>
      </w:pPr>
      <w:r>
        <w:rPr>
          <w:rFonts w:hint="eastAsia" w:ascii="仿宋" w:hAnsi="仿宋" w:eastAsia="仿宋"/>
          <w:color w:val="auto"/>
          <w:sz w:val="21"/>
          <w:szCs w:val="21"/>
        </w:rPr>
        <w:fldChar w:fldCharType="begin"/>
      </w:r>
      <w:r>
        <w:rPr>
          <w:rFonts w:hint="eastAsia" w:ascii="仿宋" w:hAnsi="仿宋" w:eastAsia="仿宋"/>
          <w:color w:val="auto"/>
          <w:sz w:val="21"/>
          <w:szCs w:val="21"/>
        </w:rPr>
        <w:instrText xml:space="preserve"> TOC \o "1-3" \h \z </w:instrText>
      </w:r>
      <w:r>
        <w:rPr>
          <w:rFonts w:hint="eastAsia" w:ascii="仿宋" w:hAnsi="仿宋" w:eastAsia="仿宋"/>
          <w:color w:val="auto"/>
          <w:sz w:val="21"/>
          <w:szCs w:val="21"/>
        </w:rPr>
        <w:fldChar w:fldCharType="separate"/>
      </w:r>
      <w:r>
        <w:rPr>
          <w:color w:val="auto"/>
        </w:rPr>
        <w:fldChar w:fldCharType="begin"/>
      </w:r>
      <w:r>
        <w:rPr>
          <w:color w:val="auto"/>
        </w:rPr>
        <w:instrText xml:space="preserve"> HYPERLINK \l "_Toc187768626" </w:instrText>
      </w:r>
      <w:r>
        <w:rPr>
          <w:color w:val="auto"/>
        </w:rPr>
        <w:fldChar w:fldCharType="separate"/>
      </w:r>
      <w:r>
        <w:rPr>
          <w:rStyle w:val="65"/>
          <w:rFonts w:ascii="仿宋" w:hAnsi="仿宋" w:eastAsia="仿宋"/>
          <w:color w:val="auto"/>
        </w:rPr>
        <w:t>第一篇  采购邀请书</w:t>
      </w:r>
      <w:r>
        <w:rPr>
          <w:color w:val="auto"/>
        </w:rPr>
        <w:tab/>
      </w:r>
      <w:r>
        <w:rPr>
          <w:color w:val="auto"/>
        </w:rPr>
        <w:fldChar w:fldCharType="begin"/>
      </w:r>
      <w:r>
        <w:rPr>
          <w:color w:val="auto"/>
        </w:rPr>
        <w:instrText xml:space="preserve"> PAGEREF _Toc187768626 \h </w:instrText>
      </w:r>
      <w:r>
        <w:rPr>
          <w:color w:val="auto"/>
        </w:rPr>
        <w:fldChar w:fldCharType="separate"/>
      </w:r>
      <w:r>
        <w:rPr>
          <w:color w:val="auto"/>
        </w:rPr>
        <w:t>- 3 -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"_Toc187768627" </w:instrText>
      </w:r>
      <w:r>
        <w:rPr>
          <w:color w:val="auto"/>
        </w:rPr>
        <w:fldChar w:fldCharType="separate"/>
      </w:r>
      <w:r>
        <w:rPr>
          <w:rStyle w:val="65"/>
          <w:rFonts w:ascii="仿宋" w:hAnsi="仿宋" w:eastAsia="仿宋"/>
          <w:color w:val="auto"/>
        </w:rPr>
        <w:t>一、竞争性磋商内容</w:t>
      </w:r>
      <w:r>
        <w:rPr>
          <w:color w:val="auto"/>
        </w:rPr>
        <w:tab/>
      </w:r>
      <w:r>
        <w:rPr>
          <w:color w:val="auto"/>
        </w:rPr>
        <w:fldChar w:fldCharType="begin"/>
      </w:r>
      <w:r>
        <w:rPr>
          <w:color w:val="auto"/>
        </w:rPr>
        <w:instrText xml:space="preserve"> PAGEREF _Toc187768627 \h </w:instrText>
      </w:r>
      <w:r>
        <w:rPr>
          <w:color w:val="auto"/>
        </w:rPr>
        <w:fldChar w:fldCharType="separate"/>
      </w:r>
      <w:r>
        <w:rPr>
          <w:color w:val="auto"/>
        </w:rPr>
        <w:t>- 3 -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"_Toc187768628" </w:instrText>
      </w:r>
      <w:r>
        <w:rPr>
          <w:color w:val="auto"/>
        </w:rPr>
        <w:fldChar w:fldCharType="separate"/>
      </w:r>
      <w:r>
        <w:rPr>
          <w:rStyle w:val="65"/>
          <w:rFonts w:ascii="仿宋" w:hAnsi="仿宋" w:eastAsia="仿宋"/>
          <w:color w:val="auto"/>
        </w:rPr>
        <w:t>二、资金来源</w:t>
      </w:r>
      <w:r>
        <w:rPr>
          <w:color w:val="auto"/>
        </w:rPr>
        <w:tab/>
      </w:r>
      <w:r>
        <w:rPr>
          <w:color w:val="auto"/>
        </w:rPr>
        <w:fldChar w:fldCharType="begin"/>
      </w:r>
      <w:r>
        <w:rPr>
          <w:color w:val="auto"/>
        </w:rPr>
        <w:instrText xml:space="preserve"> PAGEREF _Toc187768628 \h </w:instrText>
      </w:r>
      <w:r>
        <w:rPr>
          <w:color w:val="auto"/>
        </w:rPr>
        <w:fldChar w:fldCharType="separate"/>
      </w:r>
      <w:r>
        <w:rPr>
          <w:color w:val="auto"/>
        </w:rPr>
        <w:t>- 3 -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"_Toc187768629" </w:instrText>
      </w:r>
      <w:r>
        <w:rPr>
          <w:color w:val="auto"/>
        </w:rPr>
        <w:fldChar w:fldCharType="separate"/>
      </w:r>
      <w:r>
        <w:rPr>
          <w:rStyle w:val="65"/>
          <w:rFonts w:ascii="仿宋" w:hAnsi="仿宋" w:eastAsia="仿宋"/>
          <w:color w:val="auto"/>
        </w:rPr>
        <w:t>三、供应商资格条件</w:t>
      </w:r>
      <w:r>
        <w:rPr>
          <w:color w:val="auto"/>
        </w:rPr>
        <w:tab/>
      </w:r>
      <w:r>
        <w:rPr>
          <w:color w:val="auto"/>
        </w:rPr>
        <w:fldChar w:fldCharType="begin"/>
      </w:r>
      <w:r>
        <w:rPr>
          <w:color w:val="auto"/>
        </w:rPr>
        <w:instrText xml:space="preserve"> PAGEREF _Toc187768629 \h </w:instrText>
      </w:r>
      <w:r>
        <w:rPr>
          <w:color w:val="auto"/>
        </w:rPr>
        <w:fldChar w:fldCharType="separate"/>
      </w:r>
      <w:r>
        <w:rPr>
          <w:color w:val="auto"/>
        </w:rPr>
        <w:t>- 3 -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"_Toc187768630" </w:instrText>
      </w:r>
      <w:r>
        <w:rPr>
          <w:color w:val="auto"/>
        </w:rPr>
        <w:fldChar w:fldCharType="separate"/>
      </w:r>
      <w:r>
        <w:rPr>
          <w:rStyle w:val="65"/>
          <w:rFonts w:ascii="仿宋" w:hAnsi="仿宋" w:eastAsia="仿宋"/>
          <w:color w:val="auto"/>
        </w:rPr>
        <w:t>四、磋商有关说明</w:t>
      </w:r>
      <w:r>
        <w:rPr>
          <w:color w:val="auto"/>
        </w:rPr>
        <w:tab/>
      </w:r>
      <w:r>
        <w:rPr>
          <w:color w:val="auto"/>
        </w:rPr>
        <w:fldChar w:fldCharType="begin"/>
      </w:r>
      <w:r>
        <w:rPr>
          <w:color w:val="auto"/>
        </w:rPr>
        <w:instrText xml:space="preserve"> PAGEREF _Toc187768630 \h </w:instrText>
      </w:r>
      <w:r>
        <w:rPr>
          <w:color w:val="auto"/>
        </w:rPr>
        <w:fldChar w:fldCharType="separate"/>
      </w:r>
      <w:r>
        <w:rPr>
          <w:color w:val="auto"/>
        </w:rPr>
        <w:t>- 3 -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"_Toc187768631" </w:instrText>
      </w:r>
      <w:r>
        <w:rPr>
          <w:color w:val="auto"/>
        </w:rPr>
        <w:fldChar w:fldCharType="separate"/>
      </w:r>
      <w:r>
        <w:rPr>
          <w:rStyle w:val="65"/>
          <w:rFonts w:ascii="仿宋" w:hAnsi="仿宋" w:eastAsia="仿宋"/>
          <w:color w:val="auto"/>
        </w:rPr>
        <w:t>五、其它有关规定</w:t>
      </w:r>
      <w:r>
        <w:rPr>
          <w:color w:val="auto"/>
        </w:rPr>
        <w:tab/>
      </w:r>
      <w:r>
        <w:rPr>
          <w:color w:val="auto"/>
        </w:rPr>
        <w:fldChar w:fldCharType="begin"/>
      </w:r>
      <w:r>
        <w:rPr>
          <w:color w:val="auto"/>
        </w:rPr>
        <w:instrText xml:space="preserve"> PAGEREF _Toc187768631 \h </w:instrText>
      </w:r>
      <w:r>
        <w:rPr>
          <w:color w:val="auto"/>
        </w:rPr>
        <w:fldChar w:fldCharType="separate"/>
      </w:r>
      <w:r>
        <w:rPr>
          <w:color w:val="auto"/>
        </w:rPr>
        <w:t>- 4 -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"_Toc187768632" </w:instrText>
      </w:r>
      <w:r>
        <w:rPr>
          <w:color w:val="auto"/>
        </w:rPr>
        <w:fldChar w:fldCharType="separate"/>
      </w:r>
      <w:r>
        <w:rPr>
          <w:rStyle w:val="65"/>
          <w:rFonts w:ascii="仿宋" w:hAnsi="仿宋" w:eastAsia="仿宋"/>
          <w:color w:val="auto"/>
        </w:rPr>
        <w:t>六、联系方式</w:t>
      </w:r>
      <w:r>
        <w:rPr>
          <w:color w:val="auto"/>
        </w:rPr>
        <w:tab/>
      </w:r>
      <w:r>
        <w:rPr>
          <w:color w:val="auto"/>
        </w:rPr>
        <w:fldChar w:fldCharType="begin"/>
      </w:r>
      <w:r>
        <w:rPr>
          <w:color w:val="auto"/>
        </w:rPr>
        <w:instrText xml:space="preserve"> PAGEREF _Toc187768632 \h </w:instrText>
      </w:r>
      <w:r>
        <w:rPr>
          <w:color w:val="auto"/>
        </w:rPr>
        <w:fldChar w:fldCharType="separate"/>
      </w:r>
      <w:r>
        <w:rPr>
          <w:color w:val="auto"/>
        </w:rPr>
        <w:t>- 4 -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"_Toc187768633" </w:instrText>
      </w:r>
      <w:r>
        <w:rPr>
          <w:color w:val="auto"/>
        </w:rPr>
        <w:fldChar w:fldCharType="separate"/>
      </w:r>
      <w:r>
        <w:rPr>
          <w:rStyle w:val="65"/>
          <w:rFonts w:ascii="仿宋" w:hAnsi="仿宋" w:eastAsia="仿宋"/>
          <w:color w:val="auto"/>
        </w:rPr>
        <w:t>第二篇  项目服务需求</w:t>
      </w:r>
      <w:r>
        <w:rPr>
          <w:color w:val="auto"/>
        </w:rPr>
        <w:tab/>
      </w:r>
      <w:r>
        <w:rPr>
          <w:color w:val="auto"/>
        </w:rPr>
        <w:fldChar w:fldCharType="begin"/>
      </w:r>
      <w:r>
        <w:rPr>
          <w:color w:val="auto"/>
        </w:rPr>
        <w:instrText xml:space="preserve"> PAGEREF _Toc187768633 \h </w:instrText>
      </w:r>
      <w:r>
        <w:rPr>
          <w:color w:val="auto"/>
        </w:rPr>
        <w:fldChar w:fldCharType="separate"/>
      </w:r>
      <w:r>
        <w:rPr>
          <w:color w:val="auto"/>
        </w:rPr>
        <w:t>- 5 -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"_Toc187768634" </w:instrText>
      </w:r>
      <w:r>
        <w:rPr>
          <w:color w:val="auto"/>
        </w:rPr>
        <w:fldChar w:fldCharType="separate"/>
      </w:r>
      <w:r>
        <w:rPr>
          <w:rStyle w:val="65"/>
          <w:rFonts w:ascii="仿宋" w:hAnsi="仿宋" w:eastAsia="仿宋"/>
          <w:color w:val="auto"/>
        </w:rPr>
        <w:t>※一、招标项目一览表</w:t>
      </w:r>
      <w:r>
        <w:rPr>
          <w:color w:val="auto"/>
        </w:rPr>
        <w:tab/>
      </w:r>
      <w:r>
        <w:rPr>
          <w:color w:val="auto"/>
        </w:rPr>
        <w:fldChar w:fldCharType="begin"/>
      </w:r>
      <w:r>
        <w:rPr>
          <w:color w:val="auto"/>
        </w:rPr>
        <w:instrText xml:space="preserve"> PAGEREF _Toc187768634 \h </w:instrText>
      </w:r>
      <w:r>
        <w:rPr>
          <w:color w:val="auto"/>
        </w:rPr>
        <w:fldChar w:fldCharType="separate"/>
      </w:r>
      <w:r>
        <w:rPr>
          <w:color w:val="auto"/>
        </w:rPr>
        <w:t>- 5 -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"_Toc187768635" </w:instrText>
      </w:r>
      <w:r>
        <w:rPr>
          <w:color w:val="auto"/>
        </w:rPr>
        <w:fldChar w:fldCharType="separate"/>
      </w:r>
      <w:r>
        <w:rPr>
          <w:rStyle w:val="65"/>
          <w:rFonts w:ascii="仿宋" w:hAnsi="仿宋" w:eastAsia="仿宋"/>
          <w:color w:val="auto"/>
        </w:rPr>
        <w:t>※二、踏勘现场</w:t>
      </w:r>
      <w:r>
        <w:rPr>
          <w:color w:val="auto"/>
        </w:rPr>
        <w:tab/>
      </w:r>
      <w:r>
        <w:rPr>
          <w:color w:val="auto"/>
        </w:rPr>
        <w:fldChar w:fldCharType="begin"/>
      </w:r>
      <w:r>
        <w:rPr>
          <w:color w:val="auto"/>
        </w:rPr>
        <w:instrText xml:space="preserve"> PAGEREF _Toc187768635 \h </w:instrText>
      </w:r>
      <w:r>
        <w:rPr>
          <w:color w:val="auto"/>
        </w:rPr>
        <w:fldChar w:fldCharType="separate"/>
      </w:r>
      <w:r>
        <w:rPr>
          <w:color w:val="auto"/>
        </w:rPr>
        <w:t>- 8 -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"_Toc187768636" </w:instrText>
      </w:r>
      <w:r>
        <w:rPr>
          <w:color w:val="auto"/>
        </w:rPr>
        <w:fldChar w:fldCharType="separate"/>
      </w:r>
      <w:r>
        <w:rPr>
          <w:rStyle w:val="65"/>
          <w:rFonts w:ascii="仿宋" w:hAnsi="仿宋" w:eastAsia="仿宋"/>
          <w:color w:val="auto"/>
        </w:rPr>
        <w:t>※三、其他要求</w:t>
      </w:r>
      <w:r>
        <w:rPr>
          <w:color w:val="auto"/>
        </w:rPr>
        <w:tab/>
      </w:r>
      <w:r>
        <w:rPr>
          <w:color w:val="auto"/>
        </w:rPr>
        <w:fldChar w:fldCharType="begin"/>
      </w:r>
      <w:r>
        <w:rPr>
          <w:color w:val="auto"/>
        </w:rPr>
        <w:instrText xml:space="preserve"> PAGEREF _Toc187768636 \h </w:instrText>
      </w:r>
      <w:r>
        <w:rPr>
          <w:color w:val="auto"/>
        </w:rPr>
        <w:fldChar w:fldCharType="separate"/>
      </w:r>
      <w:r>
        <w:rPr>
          <w:color w:val="auto"/>
        </w:rPr>
        <w:t>- 8 -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"_Toc187768637" </w:instrText>
      </w:r>
      <w:r>
        <w:rPr>
          <w:color w:val="auto"/>
        </w:rPr>
        <w:fldChar w:fldCharType="separate"/>
      </w:r>
      <w:r>
        <w:rPr>
          <w:rStyle w:val="65"/>
          <w:rFonts w:ascii="仿宋" w:hAnsi="仿宋" w:eastAsia="仿宋"/>
          <w:color w:val="auto"/>
        </w:rPr>
        <w:t>第三篇  项目商务需求</w:t>
      </w:r>
      <w:r>
        <w:rPr>
          <w:color w:val="auto"/>
        </w:rPr>
        <w:tab/>
      </w:r>
      <w:r>
        <w:rPr>
          <w:color w:val="auto"/>
        </w:rPr>
        <w:fldChar w:fldCharType="begin"/>
      </w:r>
      <w:r>
        <w:rPr>
          <w:color w:val="auto"/>
        </w:rPr>
        <w:instrText xml:space="preserve"> PAGEREF _Toc187768637 \h </w:instrText>
      </w:r>
      <w:r>
        <w:rPr>
          <w:color w:val="auto"/>
        </w:rPr>
        <w:fldChar w:fldCharType="separate"/>
      </w:r>
      <w:r>
        <w:rPr>
          <w:color w:val="auto"/>
        </w:rPr>
        <w:t>- 9 -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"_Toc187768638" </w:instrText>
      </w:r>
      <w:r>
        <w:rPr>
          <w:color w:val="auto"/>
        </w:rPr>
        <w:fldChar w:fldCharType="separate"/>
      </w:r>
      <w:r>
        <w:rPr>
          <w:rStyle w:val="65"/>
          <w:rFonts w:ascii="仿宋" w:hAnsi="仿宋" w:eastAsia="仿宋"/>
          <w:color w:val="auto"/>
        </w:rPr>
        <w:t>※一、实施时间、地点及验收方式</w:t>
      </w:r>
      <w:r>
        <w:rPr>
          <w:color w:val="auto"/>
        </w:rPr>
        <w:tab/>
      </w:r>
      <w:r>
        <w:rPr>
          <w:color w:val="auto"/>
        </w:rPr>
        <w:fldChar w:fldCharType="begin"/>
      </w:r>
      <w:r>
        <w:rPr>
          <w:color w:val="auto"/>
        </w:rPr>
        <w:instrText xml:space="preserve"> PAGEREF _Toc187768638 \h </w:instrText>
      </w:r>
      <w:r>
        <w:rPr>
          <w:color w:val="auto"/>
        </w:rPr>
        <w:fldChar w:fldCharType="separate"/>
      </w:r>
      <w:r>
        <w:rPr>
          <w:color w:val="auto"/>
        </w:rPr>
        <w:t>- 9 -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"_Toc187768639" </w:instrText>
      </w:r>
      <w:r>
        <w:rPr>
          <w:color w:val="auto"/>
        </w:rPr>
        <w:fldChar w:fldCharType="separate"/>
      </w:r>
      <w:r>
        <w:rPr>
          <w:rStyle w:val="65"/>
          <w:rFonts w:ascii="仿宋" w:hAnsi="仿宋" w:eastAsia="仿宋"/>
          <w:color w:val="auto"/>
        </w:rPr>
        <w:t>※二、报价要求</w:t>
      </w:r>
      <w:r>
        <w:rPr>
          <w:color w:val="auto"/>
        </w:rPr>
        <w:tab/>
      </w:r>
      <w:r>
        <w:rPr>
          <w:color w:val="auto"/>
        </w:rPr>
        <w:fldChar w:fldCharType="begin"/>
      </w:r>
      <w:r>
        <w:rPr>
          <w:color w:val="auto"/>
        </w:rPr>
        <w:instrText xml:space="preserve"> PAGEREF _Toc187768639 \h </w:instrText>
      </w:r>
      <w:r>
        <w:rPr>
          <w:color w:val="auto"/>
        </w:rPr>
        <w:fldChar w:fldCharType="separate"/>
      </w:r>
      <w:r>
        <w:rPr>
          <w:color w:val="auto"/>
        </w:rPr>
        <w:t>- 9 -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"_Toc187768640" </w:instrText>
      </w:r>
      <w:r>
        <w:rPr>
          <w:color w:val="auto"/>
        </w:rPr>
        <w:fldChar w:fldCharType="separate"/>
      </w:r>
      <w:r>
        <w:rPr>
          <w:rStyle w:val="65"/>
          <w:rFonts w:ascii="仿宋" w:hAnsi="仿宋" w:eastAsia="仿宋"/>
          <w:color w:val="auto"/>
        </w:rPr>
        <w:t>※三、售后服务要求</w:t>
      </w:r>
      <w:r>
        <w:rPr>
          <w:color w:val="auto"/>
        </w:rPr>
        <w:tab/>
      </w:r>
      <w:r>
        <w:rPr>
          <w:color w:val="auto"/>
        </w:rPr>
        <w:fldChar w:fldCharType="begin"/>
      </w:r>
      <w:r>
        <w:rPr>
          <w:color w:val="auto"/>
        </w:rPr>
        <w:instrText xml:space="preserve"> PAGEREF _Toc187768640 \h </w:instrText>
      </w:r>
      <w:r>
        <w:rPr>
          <w:color w:val="auto"/>
        </w:rPr>
        <w:fldChar w:fldCharType="separate"/>
      </w:r>
      <w:r>
        <w:rPr>
          <w:color w:val="auto"/>
        </w:rPr>
        <w:t>- 9 -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"_Toc187768641" </w:instrText>
      </w:r>
      <w:r>
        <w:rPr>
          <w:color w:val="auto"/>
        </w:rPr>
        <w:fldChar w:fldCharType="separate"/>
      </w:r>
      <w:r>
        <w:rPr>
          <w:rStyle w:val="65"/>
          <w:rFonts w:ascii="仿宋" w:hAnsi="仿宋" w:eastAsia="仿宋"/>
          <w:color w:val="auto"/>
        </w:rPr>
        <w:t>※四、付款方式</w:t>
      </w:r>
      <w:r>
        <w:rPr>
          <w:color w:val="auto"/>
        </w:rPr>
        <w:tab/>
      </w:r>
      <w:r>
        <w:rPr>
          <w:color w:val="auto"/>
        </w:rPr>
        <w:fldChar w:fldCharType="begin"/>
      </w:r>
      <w:r>
        <w:rPr>
          <w:color w:val="auto"/>
        </w:rPr>
        <w:instrText xml:space="preserve"> PAGEREF _Toc187768641 \h </w:instrText>
      </w:r>
      <w:r>
        <w:rPr>
          <w:color w:val="auto"/>
        </w:rPr>
        <w:fldChar w:fldCharType="separate"/>
      </w:r>
      <w:r>
        <w:rPr>
          <w:color w:val="auto"/>
        </w:rPr>
        <w:t>- 10 -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"_Toc187768642" </w:instrText>
      </w:r>
      <w:r>
        <w:rPr>
          <w:color w:val="auto"/>
        </w:rPr>
        <w:fldChar w:fldCharType="separate"/>
      </w:r>
      <w:r>
        <w:rPr>
          <w:rStyle w:val="65"/>
          <w:rFonts w:ascii="仿宋" w:hAnsi="仿宋" w:eastAsia="仿宋"/>
          <w:color w:val="auto"/>
        </w:rPr>
        <w:t>※五、分包</w:t>
      </w:r>
      <w:r>
        <w:rPr>
          <w:color w:val="auto"/>
        </w:rPr>
        <w:tab/>
      </w:r>
      <w:r>
        <w:rPr>
          <w:color w:val="auto"/>
        </w:rPr>
        <w:fldChar w:fldCharType="begin"/>
      </w:r>
      <w:r>
        <w:rPr>
          <w:color w:val="auto"/>
        </w:rPr>
        <w:instrText xml:space="preserve"> PAGEREF _Toc187768642 \h </w:instrText>
      </w:r>
      <w:r>
        <w:rPr>
          <w:color w:val="auto"/>
        </w:rPr>
        <w:fldChar w:fldCharType="separate"/>
      </w:r>
      <w:r>
        <w:rPr>
          <w:color w:val="auto"/>
        </w:rPr>
        <w:t>- 10 -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"_Toc187768643" </w:instrText>
      </w:r>
      <w:r>
        <w:rPr>
          <w:color w:val="auto"/>
        </w:rPr>
        <w:fldChar w:fldCharType="separate"/>
      </w:r>
      <w:r>
        <w:rPr>
          <w:rStyle w:val="65"/>
          <w:rFonts w:ascii="仿宋" w:hAnsi="仿宋" w:eastAsia="仿宋"/>
          <w:color w:val="auto"/>
        </w:rPr>
        <w:t>※六、服务成果要求</w:t>
      </w:r>
      <w:r>
        <w:rPr>
          <w:color w:val="auto"/>
        </w:rPr>
        <w:tab/>
      </w:r>
      <w:r>
        <w:rPr>
          <w:color w:val="auto"/>
        </w:rPr>
        <w:fldChar w:fldCharType="begin"/>
      </w:r>
      <w:r>
        <w:rPr>
          <w:color w:val="auto"/>
        </w:rPr>
        <w:instrText xml:space="preserve"> PAGEREF _Toc187768643 \h </w:instrText>
      </w:r>
      <w:r>
        <w:rPr>
          <w:color w:val="auto"/>
        </w:rPr>
        <w:fldChar w:fldCharType="separate"/>
      </w:r>
      <w:r>
        <w:rPr>
          <w:color w:val="auto"/>
        </w:rPr>
        <w:t>- 10 -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"_Toc187768644" </w:instrText>
      </w:r>
      <w:r>
        <w:rPr>
          <w:color w:val="auto"/>
        </w:rPr>
        <w:fldChar w:fldCharType="separate"/>
      </w:r>
      <w:r>
        <w:rPr>
          <w:rStyle w:val="65"/>
          <w:rFonts w:ascii="仿宋" w:hAnsi="仿宋" w:eastAsia="仿宋"/>
          <w:color w:val="auto"/>
        </w:rPr>
        <w:t>※七、其他</w:t>
      </w:r>
      <w:r>
        <w:rPr>
          <w:color w:val="auto"/>
        </w:rPr>
        <w:tab/>
      </w:r>
      <w:r>
        <w:rPr>
          <w:color w:val="auto"/>
        </w:rPr>
        <w:fldChar w:fldCharType="begin"/>
      </w:r>
      <w:r>
        <w:rPr>
          <w:color w:val="auto"/>
        </w:rPr>
        <w:instrText xml:space="preserve"> PAGEREF _Toc187768644 \h </w:instrText>
      </w:r>
      <w:r>
        <w:rPr>
          <w:color w:val="auto"/>
        </w:rPr>
        <w:fldChar w:fldCharType="separate"/>
      </w:r>
      <w:r>
        <w:rPr>
          <w:color w:val="auto"/>
        </w:rPr>
        <w:t>- 11 -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"_Toc187768645" </w:instrText>
      </w:r>
      <w:r>
        <w:rPr>
          <w:color w:val="auto"/>
        </w:rPr>
        <w:fldChar w:fldCharType="separate"/>
      </w:r>
      <w:r>
        <w:rPr>
          <w:rStyle w:val="65"/>
          <w:rFonts w:ascii="仿宋" w:hAnsi="仿宋" w:eastAsia="仿宋"/>
          <w:color w:val="auto"/>
        </w:rPr>
        <w:t>第四篇  磋商程序及方法、评审标准、无效响应和采购终止</w:t>
      </w:r>
      <w:r>
        <w:rPr>
          <w:color w:val="auto"/>
        </w:rPr>
        <w:tab/>
      </w:r>
      <w:r>
        <w:rPr>
          <w:color w:val="auto"/>
        </w:rPr>
        <w:fldChar w:fldCharType="begin"/>
      </w:r>
      <w:r>
        <w:rPr>
          <w:color w:val="auto"/>
        </w:rPr>
        <w:instrText xml:space="preserve"> PAGEREF _Toc187768645 \h </w:instrText>
      </w:r>
      <w:r>
        <w:rPr>
          <w:color w:val="auto"/>
        </w:rPr>
        <w:fldChar w:fldCharType="separate"/>
      </w:r>
      <w:r>
        <w:rPr>
          <w:color w:val="auto"/>
        </w:rPr>
        <w:t>- 12 -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"_Toc187768646" </w:instrText>
      </w:r>
      <w:r>
        <w:rPr>
          <w:color w:val="auto"/>
        </w:rPr>
        <w:fldChar w:fldCharType="separate"/>
      </w:r>
      <w:r>
        <w:rPr>
          <w:rStyle w:val="65"/>
          <w:rFonts w:ascii="仿宋" w:hAnsi="仿宋" w:eastAsia="仿宋"/>
          <w:color w:val="auto"/>
        </w:rPr>
        <w:t>一、磋商程序及方法</w:t>
      </w:r>
      <w:r>
        <w:rPr>
          <w:color w:val="auto"/>
        </w:rPr>
        <w:tab/>
      </w:r>
      <w:r>
        <w:rPr>
          <w:color w:val="auto"/>
        </w:rPr>
        <w:fldChar w:fldCharType="begin"/>
      </w:r>
      <w:r>
        <w:rPr>
          <w:color w:val="auto"/>
        </w:rPr>
        <w:instrText xml:space="preserve"> PAGEREF _Toc187768646 \h </w:instrText>
      </w:r>
      <w:r>
        <w:rPr>
          <w:color w:val="auto"/>
        </w:rPr>
        <w:fldChar w:fldCharType="separate"/>
      </w:r>
      <w:r>
        <w:rPr>
          <w:color w:val="auto"/>
        </w:rPr>
        <w:t>- 12 -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"_Toc187768647" </w:instrText>
      </w:r>
      <w:r>
        <w:rPr>
          <w:color w:val="auto"/>
        </w:rPr>
        <w:fldChar w:fldCharType="separate"/>
      </w:r>
      <w:r>
        <w:rPr>
          <w:rStyle w:val="65"/>
          <w:rFonts w:ascii="仿宋" w:hAnsi="仿宋" w:eastAsia="仿宋"/>
          <w:color w:val="auto"/>
        </w:rPr>
        <w:t>二、评审标准</w:t>
      </w:r>
      <w:r>
        <w:rPr>
          <w:color w:val="auto"/>
        </w:rPr>
        <w:tab/>
      </w:r>
      <w:r>
        <w:rPr>
          <w:color w:val="auto"/>
        </w:rPr>
        <w:fldChar w:fldCharType="begin"/>
      </w:r>
      <w:r>
        <w:rPr>
          <w:color w:val="auto"/>
        </w:rPr>
        <w:instrText xml:space="preserve"> PAGEREF _Toc187768647 \h </w:instrText>
      </w:r>
      <w:r>
        <w:rPr>
          <w:color w:val="auto"/>
        </w:rPr>
        <w:fldChar w:fldCharType="separate"/>
      </w:r>
      <w:r>
        <w:rPr>
          <w:color w:val="auto"/>
        </w:rPr>
        <w:t>- 14 -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"_Toc187768648" </w:instrText>
      </w:r>
      <w:r>
        <w:rPr>
          <w:color w:val="auto"/>
        </w:rPr>
        <w:fldChar w:fldCharType="separate"/>
      </w:r>
      <w:r>
        <w:rPr>
          <w:rStyle w:val="65"/>
          <w:rFonts w:ascii="仿宋" w:hAnsi="仿宋" w:eastAsia="仿宋"/>
          <w:color w:val="auto"/>
        </w:rPr>
        <w:t>三、无效响应</w:t>
      </w:r>
      <w:r>
        <w:rPr>
          <w:color w:val="auto"/>
        </w:rPr>
        <w:tab/>
      </w:r>
      <w:r>
        <w:rPr>
          <w:color w:val="auto"/>
        </w:rPr>
        <w:fldChar w:fldCharType="begin"/>
      </w:r>
      <w:r>
        <w:rPr>
          <w:color w:val="auto"/>
        </w:rPr>
        <w:instrText xml:space="preserve"> PAGEREF _Toc187768648 \h </w:instrText>
      </w:r>
      <w:r>
        <w:rPr>
          <w:color w:val="auto"/>
        </w:rPr>
        <w:fldChar w:fldCharType="separate"/>
      </w:r>
      <w:r>
        <w:rPr>
          <w:color w:val="auto"/>
        </w:rPr>
        <w:t>- 15 -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"_Toc187768649" </w:instrText>
      </w:r>
      <w:r>
        <w:rPr>
          <w:color w:val="auto"/>
        </w:rPr>
        <w:fldChar w:fldCharType="separate"/>
      </w:r>
      <w:r>
        <w:rPr>
          <w:rStyle w:val="65"/>
          <w:rFonts w:ascii="仿宋" w:hAnsi="仿宋" w:eastAsia="仿宋"/>
          <w:color w:val="auto"/>
        </w:rPr>
        <w:t>四、采购终止</w:t>
      </w:r>
      <w:r>
        <w:rPr>
          <w:color w:val="auto"/>
        </w:rPr>
        <w:tab/>
      </w:r>
      <w:r>
        <w:rPr>
          <w:color w:val="auto"/>
        </w:rPr>
        <w:fldChar w:fldCharType="begin"/>
      </w:r>
      <w:r>
        <w:rPr>
          <w:color w:val="auto"/>
        </w:rPr>
        <w:instrText xml:space="preserve"> PAGEREF _Toc187768649 \h </w:instrText>
      </w:r>
      <w:r>
        <w:rPr>
          <w:color w:val="auto"/>
        </w:rPr>
        <w:fldChar w:fldCharType="separate"/>
      </w:r>
      <w:r>
        <w:rPr>
          <w:color w:val="auto"/>
        </w:rPr>
        <w:t>- 16 -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"_Toc187768650" </w:instrText>
      </w:r>
      <w:r>
        <w:rPr>
          <w:color w:val="auto"/>
        </w:rPr>
        <w:fldChar w:fldCharType="separate"/>
      </w:r>
      <w:r>
        <w:rPr>
          <w:rStyle w:val="65"/>
          <w:rFonts w:ascii="仿宋" w:hAnsi="仿宋" w:eastAsia="仿宋"/>
          <w:bCs/>
          <w:color w:val="auto"/>
        </w:rPr>
        <w:t>第五篇  供应商须知</w:t>
      </w:r>
      <w:r>
        <w:rPr>
          <w:color w:val="auto"/>
        </w:rPr>
        <w:tab/>
      </w:r>
      <w:r>
        <w:rPr>
          <w:color w:val="auto"/>
        </w:rPr>
        <w:fldChar w:fldCharType="begin"/>
      </w:r>
      <w:r>
        <w:rPr>
          <w:color w:val="auto"/>
        </w:rPr>
        <w:instrText xml:space="preserve"> PAGEREF _Toc187768650 \h </w:instrText>
      </w:r>
      <w:r>
        <w:rPr>
          <w:color w:val="auto"/>
        </w:rPr>
        <w:fldChar w:fldCharType="separate"/>
      </w:r>
      <w:r>
        <w:rPr>
          <w:color w:val="auto"/>
        </w:rPr>
        <w:t>- 17 -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"_Toc187768651" </w:instrText>
      </w:r>
      <w:r>
        <w:rPr>
          <w:color w:val="auto"/>
        </w:rPr>
        <w:fldChar w:fldCharType="separate"/>
      </w:r>
      <w:r>
        <w:rPr>
          <w:rStyle w:val="65"/>
          <w:rFonts w:ascii="仿宋" w:hAnsi="仿宋" w:eastAsia="仿宋"/>
          <w:color w:val="auto"/>
        </w:rPr>
        <w:t>一、磋商费用</w:t>
      </w:r>
      <w:r>
        <w:rPr>
          <w:color w:val="auto"/>
        </w:rPr>
        <w:tab/>
      </w:r>
      <w:r>
        <w:rPr>
          <w:color w:val="auto"/>
        </w:rPr>
        <w:fldChar w:fldCharType="begin"/>
      </w:r>
      <w:r>
        <w:rPr>
          <w:color w:val="auto"/>
        </w:rPr>
        <w:instrText xml:space="preserve"> PAGEREF _Toc187768651 \h </w:instrText>
      </w:r>
      <w:r>
        <w:rPr>
          <w:color w:val="auto"/>
        </w:rPr>
        <w:fldChar w:fldCharType="separate"/>
      </w:r>
      <w:r>
        <w:rPr>
          <w:color w:val="auto"/>
        </w:rPr>
        <w:t>- 17 -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"_Toc187768652" </w:instrText>
      </w:r>
      <w:r>
        <w:rPr>
          <w:color w:val="auto"/>
        </w:rPr>
        <w:fldChar w:fldCharType="separate"/>
      </w:r>
      <w:r>
        <w:rPr>
          <w:rStyle w:val="65"/>
          <w:rFonts w:ascii="仿宋" w:hAnsi="仿宋" w:eastAsia="仿宋"/>
          <w:color w:val="auto"/>
        </w:rPr>
        <w:t>二、竞争性磋商文件</w:t>
      </w:r>
      <w:r>
        <w:rPr>
          <w:color w:val="auto"/>
        </w:rPr>
        <w:tab/>
      </w:r>
      <w:r>
        <w:rPr>
          <w:color w:val="auto"/>
        </w:rPr>
        <w:fldChar w:fldCharType="begin"/>
      </w:r>
      <w:r>
        <w:rPr>
          <w:color w:val="auto"/>
        </w:rPr>
        <w:instrText xml:space="preserve"> PAGEREF _Toc187768652 \h </w:instrText>
      </w:r>
      <w:r>
        <w:rPr>
          <w:color w:val="auto"/>
        </w:rPr>
        <w:fldChar w:fldCharType="separate"/>
      </w:r>
      <w:r>
        <w:rPr>
          <w:color w:val="auto"/>
        </w:rPr>
        <w:t>- 17 -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"_Toc187768653" </w:instrText>
      </w:r>
      <w:r>
        <w:rPr>
          <w:color w:val="auto"/>
        </w:rPr>
        <w:fldChar w:fldCharType="separate"/>
      </w:r>
      <w:r>
        <w:rPr>
          <w:rStyle w:val="65"/>
          <w:rFonts w:ascii="仿宋" w:hAnsi="仿宋" w:eastAsia="仿宋"/>
          <w:color w:val="auto"/>
        </w:rPr>
        <w:t>三、磋商要求</w:t>
      </w:r>
      <w:r>
        <w:rPr>
          <w:color w:val="auto"/>
        </w:rPr>
        <w:tab/>
      </w:r>
      <w:r>
        <w:rPr>
          <w:color w:val="auto"/>
        </w:rPr>
        <w:fldChar w:fldCharType="begin"/>
      </w:r>
      <w:r>
        <w:rPr>
          <w:color w:val="auto"/>
        </w:rPr>
        <w:instrText xml:space="preserve"> PAGEREF _Toc187768653 \h </w:instrText>
      </w:r>
      <w:r>
        <w:rPr>
          <w:color w:val="auto"/>
        </w:rPr>
        <w:fldChar w:fldCharType="separate"/>
      </w:r>
      <w:r>
        <w:rPr>
          <w:color w:val="auto"/>
        </w:rPr>
        <w:t>- 17 -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"_Toc187768654" </w:instrText>
      </w:r>
      <w:r>
        <w:rPr>
          <w:color w:val="auto"/>
        </w:rPr>
        <w:fldChar w:fldCharType="separate"/>
      </w:r>
      <w:r>
        <w:rPr>
          <w:rStyle w:val="65"/>
          <w:rFonts w:ascii="仿宋" w:hAnsi="仿宋" w:eastAsia="仿宋"/>
          <w:color w:val="auto"/>
        </w:rPr>
        <w:t>四、成交供应商的确认和变更</w:t>
      </w:r>
      <w:r>
        <w:rPr>
          <w:color w:val="auto"/>
        </w:rPr>
        <w:tab/>
      </w:r>
      <w:r>
        <w:rPr>
          <w:color w:val="auto"/>
        </w:rPr>
        <w:fldChar w:fldCharType="begin"/>
      </w:r>
      <w:r>
        <w:rPr>
          <w:color w:val="auto"/>
        </w:rPr>
        <w:instrText xml:space="preserve"> PAGEREF _Toc187768654 \h </w:instrText>
      </w:r>
      <w:r>
        <w:rPr>
          <w:color w:val="auto"/>
        </w:rPr>
        <w:fldChar w:fldCharType="separate"/>
      </w:r>
      <w:r>
        <w:rPr>
          <w:color w:val="auto"/>
        </w:rPr>
        <w:t>- 18 -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"_Toc187768655" </w:instrText>
      </w:r>
      <w:r>
        <w:rPr>
          <w:color w:val="auto"/>
        </w:rPr>
        <w:fldChar w:fldCharType="separate"/>
      </w:r>
      <w:r>
        <w:rPr>
          <w:rStyle w:val="65"/>
          <w:rFonts w:ascii="仿宋" w:hAnsi="仿宋" w:eastAsia="仿宋"/>
          <w:color w:val="auto"/>
        </w:rPr>
        <w:t>五、成交通知</w:t>
      </w:r>
      <w:r>
        <w:rPr>
          <w:color w:val="auto"/>
        </w:rPr>
        <w:tab/>
      </w:r>
      <w:r>
        <w:rPr>
          <w:color w:val="auto"/>
        </w:rPr>
        <w:fldChar w:fldCharType="begin"/>
      </w:r>
      <w:r>
        <w:rPr>
          <w:color w:val="auto"/>
        </w:rPr>
        <w:instrText xml:space="preserve"> PAGEREF _Toc187768655 \h </w:instrText>
      </w:r>
      <w:r>
        <w:rPr>
          <w:color w:val="auto"/>
        </w:rPr>
        <w:fldChar w:fldCharType="separate"/>
      </w:r>
      <w:r>
        <w:rPr>
          <w:color w:val="auto"/>
        </w:rPr>
        <w:t>- 18 -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"_Toc187768656" </w:instrText>
      </w:r>
      <w:r>
        <w:rPr>
          <w:color w:val="auto"/>
        </w:rPr>
        <w:fldChar w:fldCharType="separate"/>
      </w:r>
      <w:r>
        <w:rPr>
          <w:rStyle w:val="65"/>
          <w:rFonts w:ascii="仿宋" w:hAnsi="仿宋" w:eastAsia="仿宋"/>
          <w:color w:val="auto"/>
        </w:rPr>
        <w:t>六、关于质疑和投诉</w:t>
      </w:r>
      <w:r>
        <w:rPr>
          <w:color w:val="auto"/>
        </w:rPr>
        <w:tab/>
      </w:r>
      <w:r>
        <w:rPr>
          <w:color w:val="auto"/>
        </w:rPr>
        <w:fldChar w:fldCharType="begin"/>
      </w:r>
      <w:r>
        <w:rPr>
          <w:color w:val="auto"/>
        </w:rPr>
        <w:instrText xml:space="preserve"> PAGEREF _Toc187768656 \h </w:instrText>
      </w:r>
      <w:r>
        <w:rPr>
          <w:color w:val="auto"/>
        </w:rPr>
        <w:fldChar w:fldCharType="separate"/>
      </w:r>
      <w:r>
        <w:rPr>
          <w:color w:val="auto"/>
        </w:rPr>
        <w:t>- 19 -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"_Toc187768657" </w:instrText>
      </w:r>
      <w:r>
        <w:rPr>
          <w:color w:val="auto"/>
        </w:rPr>
        <w:fldChar w:fldCharType="separate"/>
      </w:r>
      <w:r>
        <w:rPr>
          <w:rStyle w:val="65"/>
          <w:rFonts w:ascii="仿宋" w:hAnsi="仿宋" w:eastAsia="仿宋"/>
          <w:color w:val="auto"/>
        </w:rPr>
        <w:t>七、采购代理服务费</w:t>
      </w:r>
      <w:r>
        <w:rPr>
          <w:color w:val="auto"/>
        </w:rPr>
        <w:tab/>
      </w:r>
      <w:r>
        <w:rPr>
          <w:color w:val="auto"/>
        </w:rPr>
        <w:fldChar w:fldCharType="begin"/>
      </w:r>
      <w:r>
        <w:rPr>
          <w:color w:val="auto"/>
        </w:rPr>
        <w:instrText xml:space="preserve"> PAGEREF _Toc187768657 \h </w:instrText>
      </w:r>
      <w:r>
        <w:rPr>
          <w:color w:val="auto"/>
        </w:rPr>
        <w:fldChar w:fldCharType="separate"/>
      </w:r>
      <w:r>
        <w:rPr>
          <w:color w:val="auto"/>
        </w:rPr>
        <w:t>- 20 -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"_Toc187768658" </w:instrText>
      </w:r>
      <w:r>
        <w:rPr>
          <w:color w:val="auto"/>
        </w:rPr>
        <w:fldChar w:fldCharType="separate"/>
      </w:r>
      <w:r>
        <w:rPr>
          <w:rStyle w:val="65"/>
          <w:rFonts w:ascii="仿宋" w:hAnsi="仿宋" w:eastAsia="仿宋"/>
          <w:color w:val="auto"/>
        </w:rPr>
        <w:t>八、签订合同</w:t>
      </w:r>
      <w:r>
        <w:rPr>
          <w:color w:val="auto"/>
        </w:rPr>
        <w:tab/>
      </w:r>
      <w:r>
        <w:rPr>
          <w:color w:val="auto"/>
        </w:rPr>
        <w:fldChar w:fldCharType="begin"/>
      </w:r>
      <w:r>
        <w:rPr>
          <w:color w:val="auto"/>
        </w:rPr>
        <w:instrText xml:space="preserve"> PAGEREF _Toc187768658 \h </w:instrText>
      </w:r>
      <w:r>
        <w:rPr>
          <w:color w:val="auto"/>
        </w:rPr>
        <w:fldChar w:fldCharType="separate"/>
      </w:r>
      <w:r>
        <w:rPr>
          <w:color w:val="auto"/>
        </w:rPr>
        <w:t>- 20 -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"_Toc187768659" </w:instrText>
      </w:r>
      <w:r>
        <w:rPr>
          <w:color w:val="auto"/>
        </w:rPr>
        <w:fldChar w:fldCharType="separate"/>
      </w:r>
      <w:r>
        <w:rPr>
          <w:rStyle w:val="65"/>
          <w:rFonts w:ascii="仿宋" w:hAnsi="仿宋" w:eastAsia="仿宋"/>
          <w:color w:val="auto"/>
        </w:rPr>
        <w:t>第六篇  采购合同</w:t>
      </w:r>
      <w:r>
        <w:rPr>
          <w:color w:val="auto"/>
        </w:rPr>
        <w:tab/>
      </w:r>
      <w:r>
        <w:rPr>
          <w:color w:val="auto"/>
        </w:rPr>
        <w:fldChar w:fldCharType="begin"/>
      </w:r>
      <w:r>
        <w:rPr>
          <w:color w:val="auto"/>
        </w:rPr>
        <w:instrText xml:space="preserve"> PAGEREF _Toc187768659 \h </w:instrText>
      </w:r>
      <w:r>
        <w:rPr>
          <w:color w:val="auto"/>
        </w:rPr>
        <w:fldChar w:fldCharType="separate"/>
      </w:r>
      <w:r>
        <w:rPr>
          <w:color w:val="auto"/>
        </w:rPr>
        <w:t>- 21 -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"_Toc187768660" </w:instrText>
      </w:r>
      <w:r>
        <w:rPr>
          <w:color w:val="auto"/>
        </w:rPr>
        <w:fldChar w:fldCharType="separate"/>
      </w:r>
      <w:r>
        <w:rPr>
          <w:rStyle w:val="65"/>
          <w:rFonts w:ascii="仿宋" w:hAnsi="仿宋" w:eastAsia="仿宋"/>
          <w:color w:val="auto"/>
        </w:rPr>
        <w:t>第七篇  响应文件编制要求</w:t>
      </w:r>
      <w:r>
        <w:rPr>
          <w:color w:val="auto"/>
        </w:rPr>
        <w:tab/>
      </w:r>
      <w:r>
        <w:rPr>
          <w:color w:val="auto"/>
        </w:rPr>
        <w:fldChar w:fldCharType="begin"/>
      </w:r>
      <w:r>
        <w:rPr>
          <w:color w:val="auto"/>
        </w:rPr>
        <w:instrText xml:space="preserve"> PAGEREF _Toc187768660 \h </w:instrText>
      </w:r>
      <w:r>
        <w:rPr>
          <w:color w:val="auto"/>
        </w:rPr>
        <w:fldChar w:fldCharType="separate"/>
      </w:r>
      <w:r>
        <w:rPr>
          <w:color w:val="auto"/>
        </w:rPr>
        <w:t>- 22 -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"_Toc187768661" </w:instrText>
      </w:r>
      <w:r>
        <w:rPr>
          <w:color w:val="auto"/>
        </w:rPr>
        <w:fldChar w:fldCharType="separate"/>
      </w:r>
      <w:r>
        <w:rPr>
          <w:rStyle w:val="65"/>
          <w:rFonts w:ascii="仿宋" w:hAnsi="仿宋" w:eastAsia="仿宋"/>
          <w:color w:val="auto"/>
        </w:rPr>
        <w:t>一、经济部分</w:t>
      </w:r>
      <w:r>
        <w:rPr>
          <w:color w:val="auto"/>
        </w:rPr>
        <w:tab/>
      </w:r>
      <w:r>
        <w:rPr>
          <w:color w:val="auto"/>
        </w:rPr>
        <w:fldChar w:fldCharType="begin"/>
      </w:r>
      <w:r>
        <w:rPr>
          <w:color w:val="auto"/>
        </w:rPr>
        <w:instrText xml:space="preserve"> PAGEREF _Toc187768661 \h </w:instrText>
      </w:r>
      <w:r>
        <w:rPr>
          <w:color w:val="auto"/>
        </w:rPr>
        <w:fldChar w:fldCharType="separate"/>
      </w:r>
      <w:r>
        <w:rPr>
          <w:color w:val="auto"/>
        </w:rPr>
        <w:t>- 23 -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"_Toc187768662" </w:instrText>
      </w:r>
      <w:r>
        <w:rPr>
          <w:color w:val="auto"/>
        </w:rPr>
        <w:fldChar w:fldCharType="separate"/>
      </w:r>
      <w:r>
        <w:rPr>
          <w:rStyle w:val="65"/>
          <w:rFonts w:ascii="仿宋" w:hAnsi="仿宋" w:eastAsia="仿宋"/>
          <w:color w:val="auto"/>
        </w:rPr>
        <w:t>二、服务部分</w:t>
      </w:r>
      <w:r>
        <w:rPr>
          <w:color w:val="auto"/>
        </w:rPr>
        <w:tab/>
      </w:r>
      <w:r>
        <w:rPr>
          <w:color w:val="auto"/>
        </w:rPr>
        <w:fldChar w:fldCharType="begin"/>
      </w:r>
      <w:r>
        <w:rPr>
          <w:color w:val="auto"/>
        </w:rPr>
        <w:instrText xml:space="preserve"> PAGEREF _Toc187768662 \h </w:instrText>
      </w:r>
      <w:r>
        <w:rPr>
          <w:color w:val="auto"/>
        </w:rPr>
        <w:fldChar w:fldCharType="separate"/>
      </w:r>
      <w:r>
        <w:rPr>
          <w:color w:val="auto"/>
        </w:rPr>
        <w:t>- 25 -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"_Toc187768663" </w:instrText>
      </w:r>
      <w:r>
        <w:rPr>
          <w:color w:val="auto"/>
        </w:rPr>
        <w:fldChar w:fldCharType="separate"/>
      </w:r>
      <w:r>
        <w:rPr>
          <w:rStyle w:val="65"/>
          <w:rFonts w:ascii="仿宋" w:hAnsi="仿宋" w:eastAsia="仿宋"/>
          <w:color w:val="auto"/>
        </w:rPr>
        <w:t>三、商务部分</w:t>
      </w:r>
      <w:r>
        <w:rPr>
          <w:color w:val="auto"/>
        </w:rPr>
        <w:tab/>
      </w:r>
      <w:r>
        <w:rPr>
          <w:color w:val="auto"/>
        </w:rPr>
        <w:fldChar w:fldCharType="begin"/>
      </w:r>
      <w:r>
        <w:rPr>
          <w:color w:val="auto"/>
        </w:rPr>
        <w:instrText xml:space="preserve"> PAGEREF _Toc187768663 \h </w:instrText>
      </w:r>
      <w:r>
        <w:rPr>
          <w:color w:val="auto"/>
        </w:rPr>
        <w:fldChar w:fldCharType="separate"/>
      </w:r>
      <w:r>
        <w:rPr>
          <w:color w:val="auto"/>
        </w:rPr>
        <w:t>- 27 -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"_Toc187768664" </w:instrText>
      </w:r>
      <w:r>
        <w:rPr>
          <w:color w:val="auto"/>
        </w:rPr>
        <w:fldChar w:fldCharType="separate"/>
      </w:r>
      <w:r>
        <w:rPr>
          <w:rStyle w:val="65"/>
          <w:rFonts w:ascii="仿宋" w:hAnsi="仿宋" w:eastAsia="仿宋"/>
          <w:color w:val="auto"/>
        </w:rPr>
        <w:t>四、资格条件</w:t>
      </w:r>
      <w:r>
        <w:rPr>
          <w:color w:val="auto"/>
        </w:rPr>
        <w:tab/>
      </w:r>
      <w:r>
        <w:rPr>
          <w:color w:val="auto"/>
        </w:rPr>
        <w:fldChar w:fldCharType="begin"/>
      </w:r>
      <w:r>
        <w:rPr>
          <w:color w:val="auto"/>
        </w:rPr>
        <w:instrText xml:space="preserve"> PAGEREF _Toc187768664 \h </w:instrText>
      </w:r>
      <w:r>
        <w:rPr>
          <w:color w:val="auto"/>
        </w:rPr>
        <w:fldChar w:fldCharType="separate"/>
      </w:r>
      <w:r>
        <w:rPr>
          <w:color w:val="auto"/>
        </w:rPr>
        <w:t>- 29 -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"_Toc187768665" </w:instrText>
      </w:r>
      <w:r>
        <w:rPr>
          <w:color w:val="auto"/>
        </w:rPr>
        <w:fldChar w:fldCharType="separate"/>
      </w:r>
      <w:r>
        <w:rPr>
          <w:rStyle w:val="65"/>
          <w:rFonts w:ascii="仿宋" w:hAnsi="仿宋" w:eastAsia="仿宋"/>
          <w:color w:val="auto"/>
        </w:rPr>
        <w:t>五、其他资料</w:t>
      </w:r>
      <w:r>
        <w:rPr>
          <w:color w:val="auto"/>
        </w:rPr>
        <w:tab/>
      </w:r>
      <w:r>
        <w:rPr>
          <w:color w:val="auto"/>
        </w:rPr>
        <w:fldChar w:fldCharType="begin"/>
      </w:r>
      <w:r>
        <w:rPr>
          <w:color w:val="auto"/>
        </w:rPr>
        <w:instrText xml:space="preserve"> PAGEREF _Toc187768665 \h </w:instrText>
      </w:r>
      <w:r>
        <w:rPr>
          <w:color w:val="auto"/>
        </w:rPr>
        <w:fldChar w:fldCharType="separate"/>
      </w:r>
      <w:r>
        <w:rPr>
          <w:color w:val="auto"/>
        </w:rPr>
        <w:t>- 34 -</w:t>
      </w:r>
      <w:r>
        <w:rPr>
          <w:color w:val="auto"/>
        </w:rPr>
        <w:fldChar w:fldCharType="end"/>
      </w:r>
      <w:r>
        <w:rPr>
          <w:color w:val="auto"/>
        </w:rPr>
        <w:fldChar w:fldCharType="end"/>
      </w:r>
    </w:p>
    <w:p>
      <w:pPr>
        <w:pStyle w:val="46"/>
        <w:tabs>
          <w:tab w:val="right" w:leader="dot" w:pos="9402"/>
        </w:tabs>
        <w:ind w:left="560"/>
        <w:rPr>
          <w:rFonts w:ascii="等线" w:hAnsi="等线" w:eastAsia="等线"/>
          <w:color w:val="auto"/>
          <w:sz w:val="22"/>
          <w:szCs w:val="24"/>
        </w:rPr>
      </w:pPr>
      <w:r>
        <w:rPr>
          <w:color w:val="auto"/>
        </w:rPr>
        <w:fldChar w:fldCharType="begin"/>
      </w:r>
      <w:r>
        <w:rPr>
          <w:color w:val="auto"/>
        </w:rPr>
        <w:instrText xml:space="preserve"> HYPERLINK \l "_Toc187768666" </w:instrText>
      </w:r>
      <w:r>
        <w:rPr>
          <w:color w:val="auto"/>
        </w:rPr>
        <w:fldChar w:fldCharType="separate"/>
      </w:r>
      <w:r>
        <w:rPr>
          <w:rStyle w:val="65"/>
          <w:rFonts w:ascii="仿宋" w:hAnsi="仿宋" w:eastAsia="仿宋"/>
          <w:color w:val="auto"/>
        </w:rPr>
        <w:t>附件：</w:t>
      </w:r>
      <w:r>
        <w:rPr>
          <w:color w:val="auto"/>
        </w:rPr>
        <w:tab/>
      </w:r>
      <w:r>
        <w:rPr>
          <w:color w:val="auto"/>
        </w:rPr>
        <w:fldChar w:fldCharType="begin"/>
      </w:r>
      <w:r>
        <w:rPr>
          <w:color w:val="auto"/>
        </w:rPr>
        <w:instrText xml:space="preserve"> PAGEREF _Toc187768666 \h </w:instrText>
      </w:r>
      <w:r>
        <w:rPr>
          <w:color w:val="auto"/>
        </w:rPr>
        <w:fldChar w:fldCharType="separate"/>
      </w:r>
      <w:r>
        <w:rPr>
          <w:color w:val="auto"/>
        </w:rPr>
        <w:t>- 35 -</w:t>
      </w:r>
      <w:r>
        <w:rPr>
          <w:color w:val="auto"/>
        </w:rPr>
        <w:fldChar w:fldCharType="end"/>
      </w:r>
      <w:r>
        <w:rPr>
          <w:color w:val="auto"/>
        </w:rPr>
        <w:fldChar w:fldCharType="end"/>
      </w:r>
    </w:p>
    <w:p>
      <w:pPr>
        <w:pStyle w:val="46"/>
        <w:tabs>
          <w:tab w:val="right" w:leader="dot" w:pos="9402"/>
        </w:tabs>
        <w:spacing w:line="480" w:lineRule="exact"/>
        <w:ind w:left="560"/>
        <w:jc w:val="center"/>
        <w:rPr>
          <w:rFonts w:ascii="仿宋" w:hAnsi="仿宋" w:eastAsia="仿宋"/>
          <w:color w:val="auto"/>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仿宋" w:hAnsi="仿宋" w:eastAsia="仿宋"/>
          <w:color w:val="auto"/>
          <w:szCs w:val="21"/>
        </w:rPr>
        <w:fldChar w:fldCharType="end"/>
      </w:r>
    </w:p>
    <w:p>
      <w:pPr>
        <w:pStyle w:val="4"/>
        <w:spacing w:line="240" w:lineRule="auto"/>
        <w:jc w:val="center"/>
        <w:rPr>
          <w:rFonts w:ascii="仿宋" w:hAnsi="仿宋" w:eastAsia="仿宋"/>
          <w:b w:val="0"/>
          <w:color w:val="auto"/>
          <w:szCs w:val="30"/>
        </w:rPr>
      </w:pPr>
      <w:bookmarkStart w:id="0" w:name="_Toc11641050"/>
      <w:bookmarkStart w:id="1" w:name="_Toc187768626"/>
      <w:bookmarkStart w:id="2" w:name="_Toc76462316"/>
      <w:bookmarkStart w:id="3" w:name="_Toc12789052"/>
      <w:r>
        <w:rPr>
          <w:rFonts w:hint="eastAsia" w:ascii="仿宋" w:hAnsi="仿宋" w:eastAsia="仿宋"/>
          <w:b w:val="0"/>
          <w:color w:val="auto"/>
          <w:sz w:val="36"/>
          <w:szCs w:val="30"/>
        </w:rPr>
        <w:t>第一篇  采购邀请书</w:t>
      </w:r>
      <w:bookmarkEnd w:id="0"/>
      <w:bookmarkEnd w:id="1"/>
      <w:bookmarkEnd w:id="2"/>
      <w:bookmarkEnd w:id="3"/>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重庆市汇昊招标代理有限公司（以下简称：采购代理机构）接受重庆市南川区森林草原火灾预防中心（以下简称：采购人）的委托，对</w:t>
      </w:r>
      <w:r>
        <w:rPr>
          <w:rFonts w:hint="eastAsia" w:ascii="仿宋" w:hAnsi="仿宋" w:eastAsia="仿宋"/>
          <w:color w:val="auto"/>
          <w:sz w:val="24"/>
          <w:szCs w:val="18"/>
        </w:rPr>
        <w:t>林火视频监控摄像头采购安装项目</w:t>
      </w:r>
      <w:r>
        <w:rPr>
          <w:rFonts w:hint="eastAsia" w:ascii="仿宋" w:hAnsi="仿宋" w:eastAsia="仿宋"/>
          <w:color w:val="auto"/>
          <w:sz w:val="24"/>
          <w:szCs w:val="24"/>
        </w:rPr>
        <w:t>进行竞争性磋商采购。欢迎有资格的供应商前来参与磋商。</w:t>
      </w:r>
    </w:p>
    <w:p>
      <w:pPr>
        <w:pStyle w:val="4"/>
        <w:adjustRightInd w:val="0"/>
        <w:snapToGrid w:val="0"/>
        <w:spacing w:line="240" w:lineRule="auto"/>
        <w:ind w:firstLine="482" w:firstLineChars="200"/>
        <w:rPr>
          <w:rFonts w:ascii="仿宋" w:hAnsi="仿宋" w:eastAsia="仿宋"/>
          <w:color w:val="auto"/>
          <w:sz w:val="24"/>
        </w:rPr>
      </w:pPr>
      <w:bookmarkStart w:id="4" w:name="_Toc76462317"/>
      <w:bookmarkStart w:id="5" w:name="_Toc317775175"/>
      <w:bookmarkStart w:id="6" w:name="_Toc313893526"/>
      <w:bookmarkStart w:id="7" w:name="_Toc187768627"/>
      <w:r>
        <w:rPr>
          <w:rFonts w:hint="eastAsia" w:ascii="仿宋" w:hAnsi="仿宋" w:eastAsia="仿宋"/>
          <w:color w:val="auto"/>
          <w:sz w:val="24"/>
        </w:rPr>
        <w:t>一、竞争性磋商内容</w:t>
      </w:r>
      <w:bookmarkEnd w:id="4"/>
      <w:bookmarkEnd w:id="5"/>
      <w:bookmarkEnd w:id="6"/>
      <w:bookmarkEnd w:id="7"/>
    </w:p>
    <w:tbl>
      <w:tblPr>
        <w:tblStyle w:val="58"/>
        <w:tblW w:w="94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2131"/>
        <w:gridCol w:w="213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3631" w:type="dxa"/>
            <w:vAlign w:val="center"/>
          </w:tcPr>
          <w:p>
            <w:pPr>
              <w:jc w:val="center"/>
              <w:rPr>
                <w:rFonts w:ascii="仿宋" w:hAnsi="仿宋" w:eastAsia="仿宋"/>
                <w:b/>
                <w:bCs/>
                <w:color w:val="auto"/>
                <w:sz w:val="24"/>
                <w:szCs w:val="18"/>
              </w:rPr>
            </w:pPr>
            <w:bookmarkStart w:id="8" w:name="_Toc76462318"/>
            <w:bookmarkStart w:id="9" w:name="_Toc373860293"/>
            <w:bookmarkStart w:id="10" w:name="_Toc317775178"/>
            <w:r>
              <w:rPr>
                <w:rFonts w:hint="eastAsia" w:ascii="仿宋" w:hAnsi="仿宋" w:eastAsia="仿宋"/>
                <w:b/>
                <w:bCs/>
                <w:color w:val="auto"/>
                <w:sz w:val="24"/>
                <w:szCs w:val="18"/>
              </w:rPr>
              <w:t>项目名称</w:t>
            </w:r>
          </w:p>
        </w:tc>
        <w:tc>
          <w:tcPr>
            <w:tcW w:w="2131" w:type="dxa"/>
            <w:vAlign w:val="center"/>
          </w:tcPr>
          <w:p>
            <w:pPr>
              <w:jc w:val="center"/>
              <w:rPr>
                <w:rFonts w:ascii="仿宋" w:hAnsi="仿宋" w:eastAsia="仿宋"/>
                <w:b/>
                <w:bCs/>
                <w:color w:val="auto"/>
                <w:sz w:val="24"/>
                <w:szCs w:val="18"/>
              </w:rPr>
            </w:pPr>
            <w:r>
              <w:rPr>
                <w:rFonts w:hint="eastAsia" w:ascii="仿宋" w:hAnsi="仿宋" w:eastAsia="仿宋"/>
                <w:b/>
                <w:bCs/>
                <w:color w:val="auto"/>
                <w:sz w:val="24"/>
                <w:szCs w:val="18"/>
              </w:rPr>
              <w:t>预算金额（元）</w:t>
            </w:r>
          </w:p>
        </w:tc>
        <w:tc>
          <w:tcPr>
            <w:tcW w:w="2131" w:type="dxa"/>
            <w:vAlign w:val="center"/>
          </w:tcPr>
          <w:p>
            <w:pPr>
              <w:jc w:val="center"/>
              <w:rPr>
                <w:rFonts w:ascii="仿宋" w:hAnsi="仿宋" w:eastAsia="仿宋"/>
                <w:b/>
                <w:bCs/>
                <w:color w:val="auto"/>
                <w:sz w:val="24"/>
                <w:szCs w:val="18"/>
              </w:rPr>
            </w:pPr>
            <w:r>
              <w:rPr>
                <w:rFonts w:hint="eastAsia" w:ascii="仿宋" w:hAnsi="仿宋" w:eastAsia="仿宋"/>
                <w:b/>
                <w:bCs/>
                <w:color w:val="auto"/>
                <w:sz w:val="24"/>
                <w:szCs w:val="18"/>
              </w:rPr>
              <w:t>最高限价（元）</w:t>
            </w:r>
          </w:p>
        </w:tc>
        <w:tc>
          <w:tcPr>
            <w:tcW w:w="1559" w:type="dxa"/>
            <w:vAlign w:val="center"/>
          </w:tcPr>
          <w:p>
            <w:pPr>
              <w:jc w:val="center"/>
              <w:rPr>
                <w:rFonts w:ascii="仿宋" w:hAnsi="仿宋" w:eastAsia="仿宋"/>
                <w:b/>
                <w:bCs/>
                <w:color w:val="auto"/>
                <w:sz w:val="24"/>
                <w:szCs w:val="18"/>
              </w:rPr>
            </w:pPr>
            <w:r>
              <w:rPr>
                <w:rFonts w:hint="eastAsia" w:ascii="仿宋" w:hAnsi="仿宋" w:eastAsia="仿宋"/>
                <w:b/>
                <w:bCs/>
                <w:color w:val="auto"/>
                <w:sz w:val="24"/>
                <w:szCs w:val="18"/>
              </w:rPr>
              <w:t>成交供应商</w:t>
            </w:r>
          </w:p>
          <w:p>
            <w:pPr>
              <w:jc w:val="center"/>
              <w:rPr>
                <w:rFonts w:ascii="仿宋" w:hAnsi="仿宋" w:eastAsia="仿宋"/>
                <w:b/>
                <w:bCs/>
                <w:color w:val="auto"/>
                <w:sz w:val="24"/>
                <w:szCs w:val="18"/>
              </w:rPr>
            </w:pPr>
            <w:r>
              <w:rPr>
                <w:rFonts w:hint="eastAsia" w:ascii="仿宋" w:hAnsi="仿宋" w:eastAsia="仿宋"/>
                <w:b/>
                <w:bCs/>
                <w:color w:val="auto"/>
                <w:sz w:val="24"/>
                <w:szCs w:val="18"/>
              </w:rPr>
              <w:t>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3631" w:type="dxa"/>
            <w:vAlign w:val="center"/>
          </w:tcPr>
          <w:p>
            <w:pPr>
              <w:jc w:val="center"/>
              <w:rPr>
                <w:rFonts w:ascii="仿宋" w:hAnsi="仿宋" w:eastAsia="仿宋"/>
                <w:color w:val="auto"/>
                <w:sz w:val="24"/>
                <w:szCs w:val="18"/>
              </w:rPr>
            </w:pPr>
            <w:r>
              <w:rPr>
                <w:rFonts w:hint="eastAsia" w:ascii="仿宋" w:hAnsi="仿宋" w:eastAsia="仿宋"/>
                <w:color w:val="auto"/>
                <w:sz w:val="24"/>
                <w:szCs w:val="18"/>
              </w:rPr>
              <w:t>林火视频监控摄像头采购安装项目</w:t>
            </w:r>
          </w:p>
        </w:tc>
        <w:tc>
          <w:tcPr>
            <w:tcW w:w="2131" w:type="dxa"/>
            <w:vAlign w:val="center"/>
          </w:tcPr>
          <w:p>
            <w:pPr>
              <w:jc w:val="center"/>
              <w:rPr>
                <w:rFonts w:ascii="仿宋" w:hAnsi="仿宋" w:eastAsia="仿宋"/>
                <w:color w:val="auto"/>
                <w:sz w:val="24"/>
                <w:szCs w:val="18"/>
              </w:rPr>
            </w:pPr>
            <w:r>
              <w:rPr>
                <w:rFonts w:hint="eastAsia" w:ascii="仿宋" w:hAnsi="仿宋" w:eastAsia="仿宋"/>
                <w:color w:val="auto"/>
                <w:sz w:val="24"/>
                <w:szCs w:val="18"/>
              </w:rPr>
              <w:t>240000.00</w:t>
            </w:r>
          </w:p>
        </w:tc>
        <w:tc>
          <w:tcPr>
            <w:tcW w:w="2131" w:type="dxa"/>
            <w:vAlign w:val="center"/>
          </w:tcPr>
          <w:p>
            <w:pPr>
              <w:jc w:val="center"/>
              <w:rPr>
                <w:rFonts w:ascii="仿宋" w:hAnsi="仿宋" w:eastAsia="仿宋"/>
                <w:color w:val="auto"/>
                <w:sz w:val="24"/>
                <w:szCs w:val="18"/>
              </w:rPr>
            </w:pPr>
            <w:r>
              <w:rPr>
                <w:rFonts w:hint="eastAsia" w:ascii="仿宋" w:hAnsi="仿宋" w:eastAsia="仿宋"/>
                <w:color w:val="auto"/>
                <w:sz w:val="24"/>
                <w:szCs w:val="18"/>
              </w:rPr>
              <w:t>240000.00</w:t>
            </w:r>
          </w:p>
        </w:tc>
        <w:tc>
          <w:tcPr>
            <w:tcW w:w="1559" w:type="dxa"/>
            <w:vAlign w:val="center"/>
          </w:tcPr>
          <w:p>
            <w:pPr>
              <w:jc w:val="center"/>
              <w:rPr>
                <w:rFonts w:ascii="仿宋" w:hAnsi="仿宋" w:eastAsia="仿宋"/>
                <w:color w:val="auto"/>
                <w:sz w:val="24"/>
                <w:szCs w:val="18"/>
              </w:rPr>
            </w:pPr>
            <w:r>
              <w:rPr>
                <w:rFonts w:hint="eastAsia" w:ascii="仿宋" w:hAnsi="仿宋" w:eastAsia="仿宋"/>
                <w:color w:val="auto"/>
                <w:sz w:val="24"/>
                <w:szCs w:val="18"/>
              </w:rPr>
              <w:t>1</w:t>
            </w:r>
          </w:p>
        </w:tc>
      </w:tr>
    </w:tbl>
    <w:p>
      <w:pPr>
        <w:pStyle w:val="4"/>
        <w:adjustRightInd w:val="0"/>
        <w:snapToGrid w:val="0"/>
        <w:spacing w:line="240" w:lineRule="auto"/>
        <w:ind w:firstLine="482" w:firstLineChars="200"/>
        <w:rPr>
          <w:rFonts w:ascii="仿宋" w:hAnsi="仿宋" w:eastAsia="仿宋"/>
          <w:color w:val="auto"/>
          <w:sz w:val="24"/>
        </w:rPr>
      </w:pPr>
      <w:bookmarkStart w:id="11" w:name="_Toc187768628"/>
      <w:r>
        <w:rPr>
          <w:rFonts w:hint="eastAsia" w:ascii="仿宋" w:hAnsi="仿宋" w:eastAsia="仿宋"/>
          <w:color w:val="auto"/>
          <w:sz w:val="24"/>
        </w:rPr>
        <w:t>二、资金来源</w:t>
      </w:r>
      <w:bookmarkEnd w:id="8"/>
      <w:bookmarkEnd w:id="11"/>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财政性资金。</w:t>
      </w:r>
    </w:p>
    <w:p>
      <w:pPr>
        <w:pStyle w:val="4"/>
        <w:adjustRightInd w:val="0"/>
        <w:snapToGrid w:val="0"/>
        <w:spacing w:line="240" w:lineRule="auto"/>
        <w:ind w:firstLine="482" w:firstLineChars="200"/>
        <w:rPr>
          <w:rFonts w:ascii="仿宋" w:hAnsi="仿宋" w:eastAsia="仿宋"/>
          <w:color w:val="auto"/>
          <w:sz w:val="24"/>
        </w:rPr>
      </w:pPr>
      <w:bookmarkStart w:id="12" w:name="_Toc76462319"/>
      <w:bookmarkStart w:id="13" w:name="_Toc187768629"/>
      <w:r>
        <w:rPr>
          <w:rFonts w:hint="eastAsia" w:ascii="仿宋" w:hAnsi="仿宋" w:eastAsia="仿宋"/>
          <w:color w:val="auto"/>
          <w:sz w:val="24"/>
        </w:rPr>
        <w:t>三、供应商资格条件</w:t>
      </w:r>
      <w:bookmarkEnd w:id="12"/>
      <w:bookmarkEnd w:id="13"/>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（一）满足《中华人民共和国政府采购法》第二十二条规定；</w:t>
      </w:r>
    </w:p>
    <w:p>
      <w:pPr>
        <w:spacing w:line="400" w:lineRule="exact"/>
        <w:ind w:firstLine="480" w:firstLineChars="200"/>
        <w:rPr>
          <w:rFonts w:ascii="仿宋" w:hAnsi="仿宋" w:eastAsia="仿宋"/>
          <w:iCs/>
          <w:color w:val="auto"/>
          <w:sz w:val="24"/>
          <w:szCs w:val="24"/>
        </w:rPr>
      </w:pPr>
      <w:r>
        <w:rPr>
          <w:rFonts w:hint="eastAsia" w:ascii="仿宋" w:hAnsi="仿宋" w:eastAsia="仿宋"/>
          <w:color w:val="auto"/>
          <w:sz w:val="24"/>
          <w:szCs w:val="24"/>
        </w:rPr>
        <w:t>（二）本项目的特定资格要求：</w:t>
      </w:r>
      <w:bookmarkStart w:id="14" w:name="_Toc76462320"/>
      <w:r>
        <w:rPr>
          <w:rFonts w:hint="eastAsia" w:ascii="仿宋" w:hAnsi="仿宋" w:eastAsia="仿宋"/>
          <w:color w:val="auto"/>
          <w:sz w:val="24"/>
          <w:szCs w:val="24"/>
        </w:rPr>
        <w:t>无。</w:t>
      </w:r>
    </w:p>
    <w:p>
      <w:pPr>
        <w:pStyle w:val="4"/>
        <w:adjustRightInd w:val="0"/>
        <w:snapToGrid w:val="0"/>
        <w:spacing w:line="240" w:lineRule="auto"/>
        <w:ind w:firstLine="482" w:firstLineChars="200"/>
        <w:rPr>
          <w:rFonts w:ascii="仿宋" w:hAnsi="仿宋" w:eastAsia="仿宋"/>
          <w:color w:val="auto"/>
          <w:sz w:val="24"/>
        </w:rPr>
      </w:pPr>
      <w:bookmarkStart w:id="15" w:name="_Toc187768630"/>
      <w:r>
        <w:rPr>
          <w:rFonts w:hint="eastAsia" w:ascii="仿宋" w:hAnsi="仿宋" w:eastAsia="仿宋"/>
          <w:color w:val="auto"/>
          <w:sz w:val="24"/>
        </w:rPr>
        <w:t>四、磋商有关说明</w:t>
      </w:r>
      <w:bookmarkEnd w:id="9"/>
      <w:bookmarkEnd w:id="14"/>
      <w:bookmarkEnd w:id="15"/>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凡有意参加磋商的供应商，请在行采家（https://www.gec123.com/）网上下载或到采购代理机构处领取本项目竞争性磋商文件以及澄清等磋商前公布的所有项目资料，无论供应商下载或领取与否，均视为已知晓所有磋商实质性要求内容。</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（二）竞争性磋商公告期限：自采购公告发布之日起三个工作日。</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（三）竞争性磋商文件发售期限： </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1.竞争性磋商文件发售期：</w:t>
      </w:r>
      <w:r>
        <w:rPr>
          <w:rFonts w:hint="eastAsia" w:ascii="仿宋" w:hAnsi="仿宋" w:eastAsia="仿宋"/>
          <w:color w:val="auto"/>
          <w:sz w:val="24"/>
          <w:szCs w:val="24"/>
        </w:rPr>
        <w:t>2025年7月8日至2025年7月16日</w:t>
      </w:r>
      <w:r>
        <w:rPr>
          <w:rFonts w:hint="eastAsia" w:ascii="仿宋" w:hAnsi="仿宋" w:eastAsia="仿宋"/>
          <w:color w:val="auto"/>
          <w:sz w:val="24"/>
          <w:szCs w:val="24"/>
        </w:rPr>
        <w:t>。</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报名方式：在报名及招标文件发售期内，供应商将招标文件购买费用支付至以下账户内进行购买，并将购买招标文件支付凭证（注明项目编号、公司名称、文件费）、《采购文件发售登记表》（加盖供应商公章）扫描后发送至664313343@qq.com。</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户  名：重庆市汇昊招标代理有限公司</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开户行：中国工商银行股份有限公司南川支行</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账  号：3100010109100027510</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2.2在报名和招标文件发售期内购买了招标文件的供应商，其递交的投标文件才被接收。</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2.3《采购文件发售登记表》见文件最后页附件。</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3.竞争性磋商文件售价：人民币300元/包。</w:t>
      </w:r>
    </w:p>
    <w:p>
      <w:pPr>
        <w:spacing w:line="400" w:lineRule="exact"/>
        <w:ind w:firstLine="480" w:firstLineChars="200"/>
        <w:rPr>
          <w:rFonts w:ascii="仿宋" w:hAnsi="仿宋" w:eastAsia="仿宋"/>
          <w:color w:val="auto"/>
          <w:sz w:val="24"/>
          <w:szCs w:val="24"/>
        </w:rPr>
      </w:pPr>
      <w:bookmarkStart w:id="16" w:name="_Toc373860294"/>
      <w:bookmarkStart w:id="17" w:name="_Toc76462321"/>
      <w:r>
        <w:rPr>
          <w:rFonts w:hint="eastAsia" w:ascii="仿宋" w:hAnsi="仿宋" w:eastAsia="仿宋"/>
          <w:color w:val="auto"/>
          <w:sz w:val="24"/>
          <w:szCs w:val="24"/>
        </w:rPr>
        <w:t>（四）投标地点：重庆市南川区金川路168号2层接件处</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（五）投标开始时间：</w:t>
      </w:r>
      <w:r>
        <w:rPr>
          <w:rFonts w:hint="eastAsia" w:ascii="仿宋" w:hAnsi="仿宋" w:eastAsia="仿宋"/>
          <w:color w:val="auto"/>
          <w:sz w:val="24"/>
          <w:szCs w:val="24"/>
        </w:rPr>
        <w:t>2025年7月21日北京时间14:30</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（六）投标截止时间：</w:t>
      </w:r>
      <w:r>
        <w:rPr>
          <w:rFonts w:hint="eastAsia" w:ascii="仿宋" w:hAnsi="仿宋" w:eastAsia="仿宋"/>
          <w:color w:val="auto"/>
          <w:sz w:val="24"/>
          <w:szCs w:val="24"/>
        </w:rPr>
        <w:t>2025年7月21日北京时间15:00</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（七）开标时间：</w:t>
      </w:r>
      <w:r>
        <w:rPr>
          <w:rFonts w:hint="eastAsia" w:ascii="仿宋" w:hAnsi="仿宋" w:eastAsia="仿宋"/>
          <w:color w:val="auto"/>
          <w:sz w:val="24"/>
          <w:szCs w:val="24"/>
        </w:rPr>
        <w:t>2025年7月21日北京时间15:00</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（八）开标地点：同投标地点。</w:t>
      </w:r>
    </w:p>
    <w:bookmarkEnd w:id="10"/>
    <w:bookmarkEnd w:id="16"/>
    <w:bookmarkEnd w:id="17"/>
    <w:p>
      <w:pPr>
        <w:pStyle w:val="4"/>
        <w:adjustRightInd w:val="0"/>
        <w:snapToGrid w:val="0"/>
        <w:spacing w:line="240" w:lineRule="auto"/>
        <w:ind w:firstLine="482" w:firstLineChars="200"/>
        <w:rPr>
          <w:rFonts w:ascii="仿宋" w:hAnsi="仿宋" w:eastAsia="仿宋"/>
          <w:color w:val="auto"/>
          <w:sz w:val="24"/>
        </w:rPr>
      </w:pPr>
      <w:bookmarkStart w:id="18" w:name="_Toc187768631"/>
      <w:bookmarkStart w:id="19" w:name="_Toc480466699"/>
      <w:bookmarkStart w:id="20" w:name="_Toc76462322"/>
      <w:r>
        <w:rPr>
          <w:rFonts w:hint="eastAsia" w:ascii="仿宋" w:hAnsi="仿宋" w:eastAsia="仿宋"/>
          <w:color w:val="auto"/>
          <w:sz w:val="24"/>
        </w:rPr>
        <w:t>五、其它有关规定</w:t>
      </w:r>
      <w:bookmarkEnd w:id="18"/>
      <w:bookmarkEnd w:id="19"/>
      <w:bookmarkEnd w:id="20"/>
    </w:p>
    <w:p>
      <w:pPr>
        <w:snapToGrid w:val="0"/>
        <w:spacing w:line="400" w:lineRule="exact"/>
        <w:ind w:firstLine="360" w:firstLineChars="150"/>
        <w:rPr>
          <w:rFonts w:ascii="仿宋" w:hAnsi="仿宋" w:eastAsia="仿宋"/>
          <w:color w:val="auto"/>
          <w:sz w:val="24"/>
          <w:szCs w:val="24"/>
        </w:rPr>
      </w:pPr>
      <w:r>
        <w:rPr>
          <w:rFonts w:hint="eastAsia" w:ascii="仿宋" w:hAnsi="仿宋" w:eastAsia="仿宋"/>
          <w:color w:val="auto"/>
          <w:sz w:val="24"/>
          <w:szCs w:val="24"/>
        </w:rPr>
        <w:t>（一）单位负责人为同一人或者存在直接控股、管理关系的不同供应商，</w:t>
      </w:r>
      <w:r>
        <w:rPr>
          <w:rFonts w:ascii="仿宋" w:hAnsi="仿宋" w:eastAsia="仿宋"/>
          <w:color w:val="auto"/>
          <w:sz w:val="24"/>
          <w:szCs w:val="24"/>
        </w:rPr>
        <w:t>不得参加同一合同项</w:t>
      </w:r>
      <w:r>
        <w:rPr>
          <w:rFonts w:hint="eastAsia" w:ascii="仿宋" w:hAnsi="仿宋" w:eastAsia="仿宋"/>
          <w:color w:val="auto"/>
          <w:sz w:val="24"/>
          <w:szCs w:val="24"/>
        </w:rPr>
        <w:t>（包）</w:t>
      </w:r>
      <w:r>
        <w:rPr>
          <w:rFonts w:ascii="仿宋" w:hAnsi="仿宋" w:eastAsia="仿宋"/>
          <w:color w:val="auto"/>
          <w:sz w:val="24"/>
          <w:szCs w:val="24"/>
        </w:rPr>
        <w:t>下的采购活动</w:t>
      </w:r>
      <w:r>
        <w:rPr>
          <w:rFonts w:hint="eastAsia" w:ascii="仿宋" w:hAnsi="仿宋" w:eastAsia="仿宋"/>
          <w:color w:val="auto"/>
          <w:sz w:val="24"/>
          <w:szCs w:val="24"/>
        </w:rPr>
        <w:t>，否则均为无效响应。</w:t>
      </w:r>
    </w:p>
    <w:p>
      <w:pPr>
        <w:snapToGrid w:val="0"/>
        <w:spacing w:line="400" w:lineRule="exact"/>
        <w:ind w:firstLine="360" w:firstLineChars="150"/>
        <w:rPr>
          <w:rFonts w:ascii="仿宋" w:hAnsi="仿宋" w:eastAsia="仿宋"/>
          <w:color w:val="auto"/>
          <w:sz w:val="24"/>
          <w:szCs w:val="24"/>
        </w:rPr>
      </w:pPr>
      <w:r>
        <w:rPr>
          <w:rFonts w:hint="eastAsia" w:ascii="仿宋" w:hAnsi="仿宋" w:eastAsia="仿宋"/>
          <w:color w:val="auto"/>
          <w:sz w:val="24"/>
          <w:szCs w:val="24"/>
        </w:rPr>
        <w:t>（二）为采购项目提供整体设计、规范编制或者项目管理、监理、检测等服务的供应商，不得再</w:t>
      </w:r>
      <w:r>
        <w:rPr>
          <w:rFonts w:ascii="仿宋" w:hAnsi="仿宋" w:eastAsia="仿宋"/>
          <w:color w:val="auto"/>
          <w:sz w:val="24"/>
          <w:szCs w:val="24"/>
        </w:rPr>
        <w:t>参加</w:t>
      </w:r>
      <w:r>
        <w:rPr>
          <w:rFonts w:hint="eastAsia" w:ascii="仿宋" w:hAnsi="仿宋" w:eastAsia="仿宋"/>
          <w:color w:val="auto"/>
          <w:sz w:val="24"/>
          <w:szCs w:val="24"/>
        </w:rPr>
        <w:t>该采购</w:t>
      </w:r>
      <w:r>
        <w:rPr>
          <w:rFonts w:ascii="仿宋" w:hAnsi="仿宋" w:eastAsia="仿宋"/>
          <w:color w:val="auto"/>
          <w:sz w:val="24"/>
          <w:szCs w:val="24"/>
        </w:rPr>
        <w:t>项目的</w:t>
      </w:r>
      <w:r>
        <w:rPr>
          <w:rFonts w:hint="eastAsia" w:ascii="仿宋" w:hAnsi="仿宋" w:eastAsia="仿宋"/>
          <w:color w:val="auto"/>
          <w:sz w:val="24"/>
          <w:szCs w:val="24"/>
        </w:rPr>
        <w:t>其他</w:t>
      </w:r>
      <w:r>
        <w:rPr>
          <w:rFonts w:ascii="仿宋" w:hAnsi="仿宋" w:eastAsia="仿宋"/>
          <w:color w:val="auto"/>
          <w:sz w:val="24"/>
          <w:szCs w:val="24"/>
        </w:rPr>
        <w:t>采购活动</w:t>
      </w:r>
      <w:r>
        <w:rPr>
          <w:rFonts w:hint="eastAsia" w:ascii="仿宋" w:hAnsi="仿宋" w:eastAsia="仿宋"/>
          <w:color w:val="auto"/>
          <w:sz w:val="24"/>
          <w:szCs w:val="24"/>
        </w:rPr>
        <w:t>。</w:t>
      </w:r>
    </w:p>
    <w:p>
      <w:pPr>
        <w:snapToGrid w:val="0"/>
        <w:spacing w:line="400" w:lineRule="exact"/>
        <w:ind w:firstLine="360" w:firstLineChars="150"/>
        <w:rPr>
          <w:rFonts w:ascii="仿宋" w:hAnsi="仿宋" w:eastAsia="仿宋"/>
          <w:color w:val="auto"/>
          <w:sz w:val="24"/>
          <w:szCs w:val="24"/>
        </w:rPr>
      </w:pPr>
      <w:r>
        <w:rPr>
          <w:rFonts w:hint="eastAsia" w:ascii="仿宋" w:hAnsi="仿宋" w:eastAsia="仿宋"/>
          <w:color w:val="auto"/>
          <w:sz w:val="24"/>
          <w:szCs w:val="24"/>
        </w:rPr>
        <w:t>（三）本项目的澄清文件（如果有）一律在行采家（https://www.gec123.com/）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ascii="仿宋" w:hAnsi="仿宋" w:eastAsia="仿宋"/>
          <w:color w:val="auto"/>
          <w:sz w:val="24"/>
          <w:szCs w:val="24"/>
        </w:rPr>
      </w:pPr>
      <w:r>
        <w:rPr>
          <w:rFonts w:hint="eastAsia" w:ascii="仿宋" w:hAnsi="仿宋" w:eastAsia="仿宋"/>
          <w:color w:val="auto"/>
          <w:sz w:val="24"/>
          <w:szCs w:val="24"/>
        </w:rPr>
        <w:t>（四）超过响应文件截止时间递交的响应文件，恕不接收。</w:t>
      </w:r>
    </w:p>
    <w:p>
      <w:pPr>
        <w:snapToGrid w:val="0"/>
        <w:spacing w:line="400" w:lineRule="exact"/>
        <w:ind w:firstLine="360" w:firstLineChars="150"/>
        <w:rPr>
          <w:rFonts w:ascii="仿宋" w:hAnsi="仿宋" w:eastAsia="仿宋"/>
          <w:color w:val="auto"/>
          <w:sz w:val="24"/>
          <w:szCs w:val="24"/>
        </w:rPr>
      </w:pPr>
      <w:r>
        <w:rPr>
          <w:rFonts w:hint="eastAsia" w:ascii="仿宋" w:hAnsi="仿宋" w:eastAsia="仿宋"/>
          <w:color w:val="auto"/>
          <w:sz w:val="24"/>
          <w:szCs w:val="24"/>
        </w:rPr>
        <w:t>（五）磋商费用：无论磋商结果如何，供应商参与本项目磋商的所有费用均应由供应商自行承担。</w:t>
      </w:r>
    </w:p>
    <w:p>
      <w:pPr>
        <w:snapToGrid w:val="0"/>
        <w:spacing w:line="400" w:lineRule="exact"/>
        <w:ind w:firstLine="360" w:firstLineChars="150"/>
        <w:rPr>
          <w:rFonts w:ascii="仿宋" w:hAnsi="仿宋" w:eastAsia="仿宋"/>
          <w:b/>
          <w:color w:val="auto"/>
          <w:sz w:val="24"/>
          <w:szCs w:val="24"/>
        </w:rPr>
      </w:pPr>
      <w:r>
        <w:rPr>
          <w:rFonts w:hint="eastAsia" w:ascii="仿宋" w:hAnsi="仿宋" w:eastAsia="仿宋"/>
          <w:color w:val="auto"/>
          <w:sz w:val="24"/>
          <w:szCs w:val="24"/>
        </w:rPr>
        <w:t>（六）</w:t>
      </w:r>
      <w:r>
        <w:rPr>
          <w:rFonts w:hint="eastAsia" w:ascii="仿宋" w:hAnsi="仿宋" w:eastAsia="仿宋"/>
          <w:b/>
          <w:color w:val="auto"/>
          <w:sz w:val="24"/>
          <w:szCs w:val="24"/>
        </w:rPr>
        <w:t>本项目不接受联合体参与磋商，否则按无效处理。</w:t>
      </w:r>
    </w:p>
    <w:p>
      <w:pPr>
        <w:snapToGrid w:val="0"/>
        <w:spacing w:line="400" w:lineRule="exact"/>
        <w:ind w:firstLine="360" w:firstLineChars="150"/>
        <w:rPr>
          <w:rFonts w:ascii="仿宋" w:hAnsi="仿宋" w:eastAsia="仿宋"/>
          <w:color w:val="auto"/>
          <w:sz w:val="24"/>
          <w:szCs w:val="24"/>
        </w:rPr>
      </w:pPr>
      <w:r>
        <w:rPr>
          <w:rFonts w:hint="eastAsia" w:ascii="仿宋" w:hAnsi="仿宋" w:eastAsia="仿宋"/>
          <w:color w:val="auto"/>
          <w:sz w:val="24"/>
          <w:szCs w:val="24"/>
        </w:rPr>
        <w:t>（七）</w:t>
      </w:r>
      <w:r>
        <w:rPr>
          <w:rFonts w:hint="eastAsia" w:ascii="仿宋" w:hAnsi="仿宋" w:eastAsia="仿宋"/>
          <w:b/>
          <w:color w:val="auto"/>
          <w:sz w:val="24"/>
          <w:szCs w:val="24"/>
        </w:rPr>
        <w:t>本项目不接受合同分包，否则按无效处理。</w:t>
      </w:r>
    </w:p>
    <w:p>
      <w:pPr>
        <w:snapToGrid w:val="0"/>
        <w:spacing w:line="400" w:lineRule="exact"/>
        <w:ind w:firstLine="360" w:firstLineChars="150"/>
        <w:rPr>
          <w:rFonts w:ascii="仿宋" w:hAnsi="仿宋" w:eastAsia="仿宋"/>
          <w:color w:val="auto"/>
          <w:sz w:val="24"/>
          <w:szCs w:val="24"/>
        </w:rPr>
      </w:pPr>
      <w:r>
        <w:rPr>
          <w:rFonts w:hint="eastAsia" w:ascii="仿宋" w:hAnsi="仿宋" w:eastAsia="仿宋"/>
          <w:color w:val="auto"/>
          <w:sz w:val="24"/>
          <w:szCs w:val="24"/>
        </w:rPr>
        <w:t>（八）</w:t>
      </w:r>
      <w:bookmarkStart w:id="21" w:name="_Toc480466700"/>
      <w:r>
        <w:rPr>
          <w:rFonts w:hint="eastAsia" w:ascii="仿宋" w:hAnsi="仿宋" w:eastAsia="仿宋"/>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pStyle w:val="4"/>
        <w:adjustRightInd w:val="0"/>
        <w:snapToGrid w:val="0"/>
        <w:spacing w:line="240" w:lineRule="auto"/>
        <w:ind w:firstLine="482" w:firstLineChars="200"/>
        <w:rPr>
          <w:rFonts w:ascii="仿宋" w:hAnsi="仿宋" w:eastAsia="仿宋"/>
          <w:color w:val="auto"/>
          <w:sz w:val="24"/>
        </w:rPr>
      </w:pPr>
      <w:bookmarkStart w:id="22" w:name="_Toc187768632"/>
      <w:bookmarkStart w:id="23" w:name="_Toc76462323"/>
      <w:r>
        <w:rPr>
          <w:rFonts w:hint="eastAsia" w:ascii="仿宋" w:hAnsi="仿宋" w:eastAsia="仿宋"/>
          <w:color w:val="auto"/>
          <w:sz w:val="24"/>
        </w:rPr>
        <w:t>六、联系方式</w:t>
      </w:r>
      <w:bookmarkEnd w:id="21"/>
      <w:bookmarkEnd w:id="22"/>
      <w:bookmarkEnd w:id="23"/>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（一）采购人：重庆市南川区森林草原火灾预防中心</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联系人：陈老师</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手  机：15310108902</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地  址：南川区西城街道隆化大道9号综合服务中心1号楼6楼614室</w:t>
      </w:r>
    </w:p>
    <w:p>
      <w:pPr>
        <w:snapToGrid w:val="0"/>
        <w:spacing w:line="400" w:lineRule="exact"/>
        <w:ind w:firstLine="480" w:firstLineChars="200"/>
        <w:rPr>
          <w:rFonts w:ascii="仿宋" w:hAnsi="仿宋" w:eastAsia="仿宋"/>
          <w:color w:val="auto"/>
          <w:sz w:val="24"/>
          <w:szCs w:val="24"/>
        </w:rPr>
      </w:pP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（二）采购代理机构：重庆市汇昊招标代理有限公司</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联系人：张老师</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电  话：15123690194</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地  址：重庆市南川区金川路168号</w:t>
      </w:r>
    </w:p>
    <w:p>
      <w:pPr>
        <w:snapToGrid w:val="0"/>
        <w:spacing w:line="400" w:lineRule="exact"/>
        <w:ind w:firstLine="482" w:firstLineChars="200"/>
        <w:rPr>
          <w:rFonts w:ascii="仿宋" w:hAnsi="仿宋" w:eastAsia="仿宋"/>
          <w:b/>
          <w:color w:val="auto"/>
          <w:sz w:val="24"/>
          <w:szCs w:val="24"/>
        </w:rPr>
        <w:sectPr>
          <w:pgSz w:w="11907" w:h="16840"/>
          <w:pgMar w:top="1134" w:right="1418" w:bottom="1134" w:left="1418" w:header="964" w:footer="992" w:gutter="0"/>
          <w:pgNumType w:fmt="numberInDash"/>
          <w:cols w:space="720" w:num="1"/>
          <w:docGrid w:linePitch="312" w:charSpace="0"/>
        </w:sectPr>
      </w:pPr>
    </w:p>
    <w:p>
      <w:pPr>
        <w:pStyle w:val="4"/>
        <w:spacing w:line="240" w:lineRule="auto"/>
        <w:jc w:val="center"/>
        <w:rPr>
          <w:rFonts w:ascii="仿宋" w:hAnsi="仿宋" w:eastAsia="仿宋"/>
          <w:b w:val="0"/>
          <w:color w:val="auto"/>
          <w:sz w:val="30"/>
          <w:szCs w:val="30"/>
        </w:rPr>
      </w:pPr>
      <w:bookmarkStart w:id="24" w:name="_Toc76462324"/>
      <w:bookmarkStart w:id="25" w:name="_Toc187768633"/>
      <w:r>
        <w:rPr>
          <w:rFonts w:hint="eastAsia" w:ascii="仿宋" w:hAnsi="仿宋" w:eastAsia="仿宋"/>
          <w:b w:val="0"/>
          <w:color w:val="auto"/>
          <w:sz w:val="36"/>
          <w:szCs w:val="30"/>
        </w:rPr>
        <w:t>第二篇  项目服务需求</w:t>
      </w:r>
      <w:bookmarkEnd w:id="24"/>
      <w:bookmarkEnd w:id="25"/>
    </w:p>
    <w:p>
      <w:pPr>
        <w:spacing w:line="400" w:lineRule="exact"/>
        <w:ind w:firstLine="480" w:firstLineChars="200"/>
        <w:rPr>
          <w:rFonts w:ascii="仿宋" w:hAnsi="仿宋" w:eastAsia="仿宋"/>
          <w:color w:val="auto"/>
          <w:sz w:val="24"/>
          <w:szCs w:val="24"/>
        </w:rPr>
      </w:pPr>
      <w:bookmarkStart w:id="26" w:name="_Toc76462325"/>
      <w:bookmarkStart w:id="27" w:name="_Toc12789058"/>
      <w:r>
        <w:rPr>
          <w:rFonts w:hint="eastAsia" w:ascii="仿宋" w:hAnsi="仿宋" w:eastAsia="仿宋"/>
          <w:color w:val="auto"/>
          <w:sz w:val="24"/>
          <w:szCs w:val="24"/>
        </w:rPr>
        <w:t>“※”标注的服务需求为符合性审查中的实质性要求，响应文件若不满足按无效响应处理。</w:t>
      </w:r>
    </w:p>
    <w:bookmarkEnd w:id="26"/>
    <w:p>
      <w:pPr>
        <w:pStyle w:val="4"/>
        <w:adjustRightInd w:val="0"/>
        <w:snapToGrid w:val="0"/>
        <w:spacing w:line="240" w:lineRule="auto"/>
        <w:ind w:firstLine="482" w:firstLineChars="200"/>
        <w:rPr>
          <w:rFonts w:ascii="仿宋" w:hAnsi="仿宋" w:eastAsia="仿宋"/>
          <w:color w:val="auto"/>
          <w:sz w:val="24"/>
        </w:rPr>
      </w:pPr>
      <w:bookmarkStart w:id="28" w:name="_Toc5666"/>
      <w:bookmarkStart w:id="29" w:name="_Toc187768634"/>
      <w:r>
        <w:rPr>
          <w:rFonts w:hint="eastAsia" w:ascii="仿宋" w:hAnsi="仿宋" w:eastAsia="仿宋"/>
          <w:color w:val="auto"/>
          <w:sz w:val="24"/>
        </w:rPr>
        <w:t>※一、</w:t>
      </w:r>
      <w:bookmarkEnd w:id="28"/>
      <w:bookmarkEnd w:id="29"/>
      <w:bookmarkStart w:id="30" w:name="_Toc176192137"/>
      <w:bookmarkStart w:id="31" w:name="_Toc187768635"/>
      <w:r>
        <w:rPr>
          <w:rFonts w:hint="eastAsia" w:ascii="仿宋" w:hAnsi="仿宋" w:eastAsia="仿宋"/>
          <w:color w:val="auto"/>
          <w:sz w:val="24"/>
        </w:rPr>
        <w:t>技术要求</w:t>
      </w:r>
    </w:p>
    <w:tbl>
      <w:tblPr>
        <w:tblStyle w:val="58"/>
        <w:tblW w:w="9406" w:type="dxa"/>
        <w:tblInd w:w="0" w:type="dxa"/>
        <w:tblLayout w:type="fixed"/>
        <w:tblCellMar>
          <w:top w:w="0" w:type="dxa"/>
          <w:left w:w="0" w:type="dxa"/>
          <w:bottom w:w="0" w:type="dxa"/>
          <w:right w:w="0" w:type="dxa"/>
        </w:tblCellMar>
      </w:tblPr>
      <w:tblGrid>
        <w:gridCol w:w="413"/>
        <w:gridCol w:w="628"/>
        <w:gridCol w:w="7719"/>
        <w:gridCol w:w="646"/>
      </w:tblGrid>
      <w:tr>
        <w:tblPrEx>
          <w:tblLayout w:type="fixed"/>
          <w:tblCellMar>
            <w:top w:w="0" w:type="dxa"/>
            <w:left w:w="0" w:type="dxa"/>
            <w:bottom w:w="0" w:type="dxa"/>
            <w:right w:w="0" w:type="dxa"/>
          </w:tblCellMar>
        </w:tblPrEx>
        <w:trPr>
          <w:trHeight w:val="364" w:hRule="atLeast"/>
        </w:trPr>
        <w:tc>
          <w:tcPr>
            <w:tcW w:w="4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auto"/>
                <w:sz w:val="20"/>
              </w:rPr>
            </w:pPr>
            <w:r>
              <w:rPr>
                <w:rFonts w:hint="eastAsia" w:ascii="仿宋" w:hAnsi="仿宋" w:eastAsia="仿宋" w:cs="仿宋"/>
                <w:b/>
                <w:color w:val="auto"/>
                <w:kern w:val="0"/>
                <w:sz w:val="20"/>
                <w:lang w:bidi="ar"/>
              </w:rPr>
              <w:t>序号</w:t>
            </w: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auto"/>
                <w:sz w:val="20"/>
              </w:rPr>
            </w:pPr>
            <w:r>
              <w:rPr>
                <w:rFonts w:hint="eastAsia" w:ascii="仿宋" w:hAnsi="仿宋" w:eastAsia="仿宋" w:cs="仿宋"/>
                <w:b/>
                <w:color w:val="auto"/>
                <w:kern w:val="0"/>
                <w:sz w:val="20"/>
                <w:lang w:bidi="ar"/>
              </w:rPr>
              <w:t>产品名称</w:t>
            </w:r>
          </w:p>
        </w:tc>
        <w:tc>
          <w:tcPr>
            <w:tcW w:w="7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auto"/>
                <w:sz w:val="20"/>
              </w:rPr>
            </w:pPr>
            <w:r>
              <w:rPr>
                <w:rFonts w:hint="eastAsia" w:ascii="仿宋" w:hAnsi="仿宋" w:eastAsia="仿宋" w:cs="仿宋"/>
                <w:b/>
                <w:color w:val="auto"/>
                <w:kern w:val="0"/>
                <w:sz w:val="20"/>
                <w:lang w:bidi="ar"/>
              </w:rPr>
              <w:t>基础参数</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auto"/>
                <w:sz w:val="20"/>
              </w:rPr>
            </w:pPr>
            <w:r>
              <w:rPr>
                <w:rFonts w:hint="eastAsia" w:ascii="仿宋" w:hAnsi="仿宋" w:eastAsia="仿宋" w:cs="仿宋"/>
                <w:b/>
                <w:color w:val="auto"/>
                <w:kern w:val="0"/>
                <w:sz w:val="20"/>
                <w:lang w:bidi="ar"/>
              </w:rPr>
              <w:t>数量</w:t>
            </w:r>
          </w:p>
        </w:tc>
      </w:tr>
      <w:tr>
        <w:tblPrEx>
          <w:tblLayout w:type="fixed"/>
          <w:tblCellMar>
            <w:top w:w="0" w:type="dxa"/>
            <w:left w:w="0" w:type="dxa"/>
            <w:bottom w:w="0" w:type="dxa"/>
            <w:right w:w="0" w:type="dxa"/>
          </w:tblCellMar>
        </w:tblPrEx>
        <w:trPr>
          <w:trHeight w:val="7643" w:hRule="atLeast"/>
        </w:trPr>
        <w:tc>
          <w:tcPr>
            <w:tcW w:w="4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auto"/>
                <w:sz w:val="20"/>
              </w:rPr>
            </w:pPr>
            <w:r>
              <w:rPr>
                <w:rFonts w:hint="eastAsia" w:ascii="仿宋" w:hAnsi="仿宋" w:eastAsia="仿宋" w:cs="仿宋"/>
                <w:color w:val="auto"/>
                <w:sz w:val="20"/>
              </w:rPr>
              <w:t>1</w:t>
            </w:r>
          </w:p>
        </w:tc>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auto"/>
                <w:sz w:val="20"/>
              </w:rPr>
            </w:pPr>
            <w:r>
              <w:rPr>
                <w:rFonts w:hint="eastAsia" w:ascii="仿宋" w:hAnsi="仿宋" w:eastAsia="仿宋" w:cs="仿宋"/>
                <w:color w:val="auto"/>
                <w:kern w:val="0"/>
                <w:sz w:val="20"/>
                <w:lang w:bidi="ar"/>
              </w:rPr>
              <w:t>热成像双光谱中载云台</w:t>
            </w:r>
          </w:p>
        </w:tc>
        <w:tc>
          <w:tcPr>
            <w:tcW w:w="7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auto"/>
                <w:sz w:val="20"/>
              </w:rPr>
            </w:pPr>
            <w:r>
              <w:rPr>
                <w:rFonts w:hint="eastAsia" w:ascii="仿宋" w:hAnsi="仿宋" w:eastAsia="仿宋" w:cs="仿宋"/>
                <w:color w:val="auto"/>
                <w:kern w:val="0"/>
                <w:sz w:val="20"/>
                <w:lang w:bidi="ar"/>
              </w:rPr>
              <w:t>1、★具备故障自诊断系统，可自动识别系统故障（包括视频图像异常、系统异常重启、云台异常、镜头运行状态异常、网络异常、智能分析异常、算法状态异常、电机状态异常等）并可通过OSD进行显示及后台输出；</w:t>
            </w:r>
            <w:r>
              <w:rPr>
                <w:rFonts w:hint="eastAsia" w:ascii="仿宋" w:hAnsi="仿宋" w:eastAsia="仿宋" w:cs="仿宋"/>
                <w:color w:val="auto"/>
                <w:kern w:val="0"/>
                <w:sz w:val="20"/>
                <w:lang w:bidi="ar"/>
              </w:rPr>
              <w:br w:type="textWrapping"/>
            </w:r>
            <w:r>
              <w:rPr>
                <w:rFonts w:hint="eastAsia" w:ascii="仿宋" w:hAnsi="仿宋" w:eastAsia="仿宋" w:cs="仿宋"/>
                <w:color w:val="auto"/>
                <w:kern w:val="0"/>
                <w:sz w:val="20"/>
                <w:lang w:bidi="ar"/>
              </w:rPr>
              <w:t>2、★可根据温度变化自动调整聚焦；</w:t>
            </w:r>
            <w:r>
              <w:rPr>
                <w:rFonts w:hint="eastAsia" w:ascii="仿宋" w:hAnsi="仿宋" w:eastAsia="仿宋" w:cs="仿宋"/>
                <w:color w:val="auto"/>
                <w:kern w:val="0"/>
                <w:sz w:val="20"/>
                <w:lang w:bidi="ar"/>
              </w:rPr>
              <w:br w:type="textWrapping"/>
            </w:r>
            <w:r>
              <w:rPr>
                <w:rFonts w:hint="eastAsia" w:ascii="仿宋" w:hAnsi="仿宋" w:eastAsia="仿宋" w:cs="仿宋"/>
                <w:color w:val="auto"/>
                <w:kern w:val="0"/>
                <w:sz w:val="20"/>
                <w:lang w:bidi="ar"/>
              </w:rPr>
              <w:t>3、★支持目标热源细节凸显，并可对指定热源细节进行增强显示；</w:t>
            </w:r>
            <w:r>
              <w:rPr>
                <w:rFonts w:hint="eastAsia" w:ascii="仿宋" w:hAnsi="仿宋" w:eastAsia="仿宋" w:cs="仿宋"/>
                <w:color w:val="auto"/>
                <w:kern w:val="0"/>
                <w:sz w:val="20"/>
                <w:lang w:bidi="ar"/>
              </w:rPr>
              <w:br w:type="textWrapping"/>
            </w:r>
            <w:r>
              <w:rPr>
                <w:rFonts w:hint="eastAsia" w:ascii="仿宋" w:hAnsi="仿宋" w:eastAsia="仿宋" w:cs="仿宋"/>
                <w:color w:val="auto"/>
                <w:kern w:val="0"/>
                <w:sz w:val="20"/>
                <w:lang w:bidi="ar"/>
              </w:rPr>
              <w:t>4、★设备支持3个MCU独立控制系统、设备支持热成像镜头磁编反馈系统、设备含有姿态感知模块；</w:t>
            </w:r>
            <w:r>
              <w:rPr>
                <w:rFonts w:hint="eastAsia" w:ascii="仿宋" w:hAnsi="仿宋" w:eastAsia="仿宋" w:cs="仿宋"/>
                <w:color w:val="auto"/>
                <w:kern w:val="0"/>
                <w:sz w:val="20"/>
                <w:lang w:bidi="ar"/>
              </w:rPr>
              <w:br w:type="textWrapping"/>
            </w:r>
            <w:r>
              <w:rPr>
                <w:rFonts w:hint="eastAsia" w:ascii="仿宋" w:hAnsi="仿宋" w:eastAsia="仿宋" w:cs="仿宋"/>
                <w:color w:val="auto"/>
                <w:kern w:val="0"/>
                <w:sz w:val="20"/>
                <w:lang w:bidi="ar"/>
              </w:rPr>
              <w:t>5、噪声等效温差(NETD)在8mk及以下、最小可分辨温差（MRTD）在150mk及以下；</w:t>
            </w:r>
            <w:r>
              <w:rPr>
                <w:rFonts w:hint="eastAsia" w:ascii="仿宋" w:hAnsi="仿宋" w:eastAsia="仿宋" w:cs="仿宋"/>
                <w:color w:val="auto"/>
                <w:kern w:val="0"/>
                <w:sz w:val="20"/>
                <w:lang w:bidi="ar"/>
              </w:rPr>
              <w:br w:type="textWrapping"/>
            </w:r>
            <w:r>
              <w:rPr>
                <w:rFonts w:hint="eastAsia" w:ascii="仿宋" w:hAnsi="仿宋" w:eastAsia="仿宋" w:cs="仿宋"/>
                <w:color w:val="auto"/>
                <w:kern w:val="0"/>
                <w:sz w:val="20"/>
                <w:lang w:bidi="ar"/>
              </w:rPr>
              <w:t>6、在40%的网络丢包环境中,可正常显示监视画面；</w:t>
            </w:r>
            <w:r>
              <w:rPr>
                <w:rFonts w:hint="eastAsia" w:ascii="仿宋" w:hAnsi="仿宋" w:eastAsia="仿宋" w:cs="仿宋"/>
                <w:color w:val="auto"/>
                <w:kern w:val="0"/>
                <w:sz w:val="20"/>
                <w:lang w:bidi="ar"/>
              </w:rPr>
              <w:br w:type="textWrapping"/>
            </w:r>
            <w:r>
              <w:rPr>
                <w:rFonts w:hint="eastAsia" w:ascii="仿宋" w:hAnsi="仿宋" w:eastAsia="仿宋" w:cs="仿宋"/>
                <w:color w:val="auto"/>
                <w:kern w:val="0"/>
                <w:sz w:val="20"/>
                <w:lang w:bidi="ar"/>
              </w:rPr>
              <w:t>7、可对当前样机安装倾角进行检测，并可将检测结果与烟火定位功能进行参数同步；</w:t>
            </w:r>
            <w:r>
              <w:rPr>
                <w:rFonts w:hint="eastAsia" w:ascii="仿宋" w:hAnsi="仿宋" w:eastAsia="仿宋" w:cs="仿宋"/>
                <w:color w:val="auto"/>
                <w:kern w:val="0"/>
                <w:sz w:val="20"/>
                <w:lang w:bidi="ar"/>
              </w:rPr>
              <w:br w:type="textWrapping"/>
            </w:r>
            <w:r>
              <w:rPr>
                <w:rFonts w:hint="eastAsia" w:ascii="仿宋" w:hAnsi="仿宋" w:eastAsia="仿宋" w:cs="仿宋"/>
                <w:color w:val="auto"/>
                <w:kern w:val="0"/>
                <w:sz w:val="20"/>
                <w:lang w:bidi="ar"/>
              </w:rPr>
              <w:t>8、当开启挡片或自动转动功能后，检测到太阳直射时，可自动挡片遮挡或自动转动到预选设定的角度；</w:t>
            </w:r>
            <w:r>
              <w:rPr>
                <w:rFonts w:hint="eastAsia" w:ascii="仿宋" w:hAnsi="仿宋" w:eastAsia="仿宋" w:cs="仿宋"/>
                <w:color w:val="auto"/>
                <w:kern w:val="0"/>
                <w:sz w:val="20"/>
                <w:lang w:bidi="ar"/>
              </w:rPr>
              <w:br w:type="textWrapping"/>
            </w:r>
            <w:r>
              <w:rPr>
                <w:rFonts w:hint="eastAsia" w:ascii="仿宋" w:hAnsi="仿宋" w:eastAsia="仿宋" w:cs="仿宋"/>
                <w:color w:val="auto"/>
                <w:kern w:val="0"/>
                <w:sz w:val="20"/>
                <w:lang w:bidi="ar"/>
              </w:rPr>
              <w:t>9、具有集成智能火点算法和可见光深度学习火点误报过滤算法设置选项，实现烟火检测、行为分析、测温应用、废气检测、车辆检测、雷达联动等智能应用；</w:t>
            </w:r>
            <w:r>
              <w:rPr>
                <w:rFonts w:hint="eastAsia" w:ascii="仿宋" w:hAnsi="仿宋" w:eastAsia="仿宋" w:cs="仿宋"/>
                <w:color w:val="auto"/>
                <w:kern w:val="0"/>
                <w:sz w:val="20"/>
                <w:lang w:bidi="ar"/>
              </w:rPr>
              <w:br w:type="textWrapping"/>
            </w:r>
            <w:r>
              <w:rPr>
                <w:rFonts w:hint="eastAsia" w:ascii="仿宋" w:hAnsi="仿宋" w:eastAsia="仿宋" w:cs="仿宋"/>
                <w:color w:val="auto"/>
                <w:kern w:val="0"/>
                <w:sz w:val="20"/>
                <w:lang w:bidi="ar"/>
              </w:rPr>
              <w:t>10、热成像分辨率：</w:t>
            </w:r>
            <w:r>
              <w:rPr>
                <w:rFonts w:hint="eastAsia" w:ascii="宋体" w:hAnsi="宋体" w:cs="宋体"/>
                <w:color w:val="auto"/>
                <w:kern w:val="0"/>
                <w:sz w:val="20"/>
                <w:lang w:bidi="ar"/>
              </w:rPr>
              <w:t>≧</w:t>
            </w:r>
            <w:r>
              <w:rPr>
                <w:rFonts w:hint="eastAsia" w:ascii="仿宋" w:hAnsi="仿宋" w:eastAsia="仿宋" w:cs="仿宋"/>
                <w:color w:val="auto"/>
                <w:kern w:val="0"/>
                <w:sz w:val="20"/>
                <w:lang w:bidi="ar"/>
              </w:rPr>
              <w:t>384 × 288，支持电子放大功能,放大倍数可达32倍，火点最远报警距离（以2米*2米为准）可达6000m；</w:t>
            </w:r>
            <w:r>
              <w:rPr>
                <w:rFonts w:hint="eastAsia" w:ascii="仿宋" w:hAnsi="仿宋" w:eastAsia="仿宋" w:cs="仿宋"/>
                <w:color w:val="auto"/>
                <w:kern w:val="0"/>
                <w:sz w:val="20"/>
                <w:lang w:bidi="ar"/>
              </w:rPr>
              <w:br w:type="textWrapping"/>
            </w:r>
            <w:r>
              <w:rPr>
                <w:rFonts w:hint="eastAsia" w:ascii="仿宋" w:hAnsi="仿宋" w:eastAsia="仿宋" w:cs="仿宋"/>
                <w:color w:val="auto"/>
                <w:kern w:val="0"/>
                <w:sz w:val="20"/>
                <w:lang w:bidi="ar"/>
              </w:rPr>
              <w:t>11、可见光视频图像：视频图像：当监控场景内存在雾、霾、雷、云、丁达尔效应产生的光线、树枝、建筑物、水、车辆等物体时，不应触发报警；</w:t>
            </w:r>
            <w:r>
              <w:rPr>
                <w:rFonts w:hint="eastAsia" w:ascii="仿宋" w:hAnsi="仿宋" w:eastAsia="仿宋" w:cs="仿宋"/>
                <w:color w:val="auto"/>
                <w:kern w:val="0"/>
                <w:sz w:val="20"/>
                <w:lang w:bidi="ar"/>
              </w:rPr>
              <w:br w:type="textWrapping"/>
            </w:r>
            <w:r>
              <w:rPr>
                <w:rFonts w:hint="eastAsia" w:ascii="仿宋" w:hAnsi="仿宋" w:eastAsia="仿宋" w:cs="仿宋"/>
                <w:color w:val="auto"/>
                <w:kern w:val="0"/>
                <w:sz w:val="20"/>
                <w:lang w:bidi="ar"/>
              </w:rPr>
              <w:t>12、热成像视频图像：当监控场景内存在太阳、汽车、香炉、烟囱、探照灯等热源时，不应触发报警；</w:t>
            </w:r>
            <w:r>
              <w:rPr>
                <w:rFonts w:hint="eastAsia" w:ascii="仿宋" w:hAnsi="仿宋" w:eastAsia="仿宋" w:cs="仿宋"/>
                <w:color w:val="auto"/>
                <w:kern w:val="0"/>
                <w:sz w:val="20"/>
                <w:lang w:bidi="ar"/>
              </w:rPr>
              <w:br w:type="textWrapping"/>
            </w:r>
            <w:r>
              <w:rPr>
                <w:rFonts w:hint="eastAsia" w:ascii="仿宋" w:hAnsi="仿宋" w:eastAsia="仿宋" w:cs="仿宋"/>
                <w:color w:val="auto"/>
                <w:kern w:val="0"/>
                <w:sz w:val="20"/>
                <w:lang w:bidi="ar"/>
              </w:rPr>
              <w:t>13、模式显示检验：热成像视频图像具有白热、黑热、融合1、融合2、彩虹、铁红1、铁红2、深褐色、色彩1、色彩2、冰火、雨、红热、绿热、深蓝、热点、冰火2、冰、热点2、绚丽，青紫，聚变1，聚变2，金秋1，金秋2，午日1，午日2，彩虹1，彩虹2，夕阳1，夕阳2，琥珀1，琥珀2，玉石1，玉石2，油画，石榴，翡翠，春，夏，秋，冬，深红，浅蓝，黄昏等45种显示模式；</w:t>
            </w:r>
            <w:r>
              <w:rPr>
                <w:rFonts w:hint="eastAsia" w:ascii="仿宋" w:hAnsi="仿宋" w:eastAsia="仿宋" w:cs="仿宋"/>
                <w:color w:val="auto"/>
                <w:kern w:val="0"/>
                <w:sz w:val="20"/>
                <w:lang w:bidi="ar"/>
              </w:rPr>
              <w:br w:type="textWrapping"/>
            </w:r>
            <w:r>
              <w:rPr>
                <w:rFonts w:hint="eastAsia" w:ascii="仿宋" w:hAnsi="仿宋" w:eastAsia="仿宋" w:cs="仿宋"/>
                <w:color w:val="auto"/>
                <w:kern w:val="0"/>
                <w:sz w:val="20"/>
                <w:lang w:bidi="ar"/>
              </w:rPr>
              <w:t>14、设备支持接入南川森林防火系统平台并能在发生险情时触发报警。</w:t>
            </w:r>
            <w:r>
              <w:rPr>
                <w:rFonts w:hint="eastAsia" w:ascii="仿宋" w:hAnsi="仿宋" w:eastAsia="仿宋" w:cs="仿宋"/>
                <w:color w:val="auto"/>
                <w:kern w:val="0"/>
                <w:sz w:val="20"/>
                <w:lang w:bidi="ar"/>
              </w:rPr>
              <w:br w:type="textWrapping"/>
            </w:r>
            <w:r>
              <w:rPr>
                <w:rFonts w:hint="eastAsia" w:ascii="仿宋" w:hAnsi="仿宋" w:eastAsia="仿宋" w:cs="仿宋"/>
                <w:color w:val="auto"/>
                <w:kern w:val="0"/>
                <w:sz w:val="20"/>
                <w:lang w:bidi="ar"/>
              </w:rPr>
              <w:t>标“★”参数需提供具有国家权威检测机构出具的检测报告复印件。</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auto"/>
                <w:sz w:val="16"/>
                <w:szCs w:val="16"/>
              </w:rPr>
            </w:pPr>
            <w:r>
              <w:rPr>
                <w:rFonts w:hint="eastAsia" w:ascii="仿宋" w:hAnsi="仿宋" w:eastAsia="仿宋" w:cs="仿宋"/>
                <w:color w:val="auto"/>
                <w:kern w:val="0"/>
                <w:sz w:val="16"/>
                <w:szCs w:val="16"/>
                <w:lang w:bidi="ar"/>
              </w:rPr>
              <w:t>4</w:t>
            </w:r>
          </w:p>
        </w:tc>
      </w:tr>
    </w:tbl>
    <w:p>
      <w:pPr>
        <w:pStyle w:val="4"/>
        <w:adjustRightInd w:val="0"/>
        <w:snapToGrid w:val="0"/>
        <w:spacing w:line="240" w:lineRule="auto"/>
        <w:ind w:firstLine="482" w:firstLineChars="200"/>
        <w:rPr>
          <w:rFonts w:ascii="仿宋" w:hAnsi="仿宋" w:eastAsia="仿宋"/>
          <w:color w:val="auto"/>
          <w:sz w:val="24"/>
        </w:rPr>
      </w:pPr>
      <w:bookmarkStart w:id="32" w:name="_Toc340223141"/>
      <w:bookmarkStart w:id="33" w:name="_Toc195534071"/>
      <w:r>
        <w:rPr>
          <w:rFonts w:hint="eastAsia" w:ascii="仿宋" w:hAnsi="仿宋" w:eastAsia="仿宋"/>
          <w:color w:val="auto"/>
          <w:sz w:val="24"/>
        </w:rPr>
        <w:t>※二、</w:t>
      </w:r>
      <w:bookmarkEnd w:id="32"/>
      <w:r>
        <w:rPr>
          <w:rFonts w:hint="eastAsia" w:ascii="仿宋" w:hAnsi="仿宋" w:eastAsia="仿宋"/>
          <w:color w:val="auto"/>
          <w:sz w:val="24"/>
        </w:rPr>
        <w:t>项目需要求及功能作用</w:t>
      </w:r>
      <w:bookmarkEnd w:id="33"/>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1、环境条件</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1.1安装位置需避开强电磁干扰源（如高压电线、大型电机），避免影响热成像和可见光传感器的稳定性。</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1.2避免阳光直射镜头（尤其是热成像镜头），防止强光干扰成像效果，可加装遮阳罩。</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2、安装方式与固定</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2.1支架与结构采用高强度金属支架（如不锈钢或铝合金），承重需大于设备总重量的 2倍</w:t>
      </w:r>
      <w:r>
        <w:rPr>
          <w:rFonts w:hint="eastAsia" w:ascii="仿宋" w:hAnsi="仿宋" w:eastAsia="仿宋" w:cs="微软雅黑"/>
          <w:color w:val="auto"/>
          <w:sz w:val="24"/>
          <w:szCs w:val="24"/>
        </w:rPr>
        <w:t>，抗风等级≥12级。</w:t>
      </w:r>
      <w:r>
        <w:rPr>
          <w:rFonts w:hint="eastAsia" w:ascii="仿宋" w:hAnsi="仿宋" w:eastAsia="仿宋" w:cs="微软雅黑"/>
          <w:color w:val="auto"/>
          <w:sz w:val="24"/>
          <w:szCs w:val="24"/>
        </w:rPr>
        <w:t>安装需牢固可靠，避免云台转动时产生晃动，影响图像稳定性。</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2.2防雷接地设备需接入独立防雷系统，接地电阻≤4Ω，避免雷击损坏电路（尤其在户外场景）。电源和信号线路需穿金属管保护，并做浪涌防护处理。</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3、安全与维护</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3.1安全防护设备外壳需具备防拆报警功能，非法拆卸时自动触发报警并上传信息。</w:t>
      </w:r>
    </w:p>
    <w:p>
      <w:pPr>
        <w:snapToGrid w:val="0"/>
        <w:spacing w:line="360" w:lineRule="auto"/>
        <w:rPr>
          <w:rFonts w:ascii="仿宋" w:hAnsi="仿宋" w:eastAsia="仿宋" w:cs="微软雅黑"/>
          <w:color w:val="auto"/>
          <w:sz w:val="24"/>
          <w:szCs w:val="24"/>
        </w:rPr>
      </w:pPr>
      <w:r>
        <w:rPr>
          <w:rFonts w:hint="eastAsia" w:ascii="仿宋" w:hAnsi="仿宋" w:eastAsia="仿宋" w:cs="微软雅黑"/>
          <w:color w:val="auto"/>
          <w:sz w:val="24"/>
          <w:szCs w:val="24"/>
        </w:rPr>
        <w:t>高温环境（如工业场景）需加装散热装置，避免设备过热死机。</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3.2维护要求定期清理镜头灰尘（建议每季度一次），使用专用镜头布和清洁剂，避免刮伤镜片。每年检查支架螺丝紧固度、线路老化情况，更新设备固件以优化性能。</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4、施工人员资质与防护</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4.1资质要求安装人员需具备高空作业证（如涉及登高≥2 米）、电工证，并接受设备厂商的安全培训（如防触电、防坠落操作）。</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4.2个人防护高空作业时必须佩戴双钩安全带（承重≥150kg），使用防滑鞋，工具需用防坠绳固定（避免掉落砸伤）。</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4.3强光环境下需佩戴护目镜，避免热成像激光辅助对焦（如配备激光灯）直射眼睛。</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5、通电前检查</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5.1确认电源电压与设备标称值一致，避免接错电源导致烧毁；检查线路绝缘电阻≥10MΩ（用兆欧表测试）。</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5.2调试防护热成像镜头禁止直视强热源（如太阳、火焰），避免探测器过曝损坏；可见光镜头调试时，禁止长时间对准强光（如探照灯），防止传感器老化。</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5.3运行监控设备启动后，需观察散热风扇是否正常运转，外壳温度≤50℃（环境温度 25℃时），若发现异常发热或异响，立即断电检修。</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6、警示标识</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设备外壳需粘贴“高压危险”“禁止攀爬”等标识，镜头附近标注“禁止直视”警告，防止人员误操作。</w:t>
      </w:r>
    </w:p>
    <w:p>
      <w:pPr>
        <w:pStyle w:val="2"/>
        <w:numPr>
          <w:ilvl w:val="0"/>
          <w:numId w:val="0"/>
        </w:numPr>
        <w:ind w:firstLine="480" w:firstLineChars="200"/>
        <w:rPr>
          <w:color w:val="auto"/>
        </w:rPr>
      </w:pPr>
      <w:r>
        <w:rPr>
          <w:rFonts w:hint="eastAsia" w:ascii="仿宋" w:hAnsi="仿宋" w:eastAsia="仿宋" w:cs="微软雅黑"/>
          <w:color w:val="auto"/>
          <w:sz w:val="24"/>
          <w:szCs w:val="24"/>
        </w:rPr>
        <w:t>7、供应商提供的设备须与采购人现有系统设备实现无缝接入，否则不予验收通过，由此产生的一切损失由供应商承担。</w:t>
      </w:r>
    </w:p>
    <w:p>
      <w:pPr>
        <w:pStyle w:val="4"/>
        <w:adjustRightInd w:val="0"/>
        <w:snapToGrid w:val="0"/>
        <w:spacing w:line="240" w:lineRule="auto"/>
        <w:ind w:firstLine="482" w:firstLineChars="200"/>
        <w:rPr>
          <w:rFonts w:ascii="仿宋" w:hAnsi="仿宋" w:eastAsia="仿宋"/>
          <w:color w:val="auto"/>
          <w:sz w:val="24"/>
        </w:rPr>
      </w:pPr>
      <w:r>
        <w:rPr>
          <w:rFonts w:hint="eastAsia" w:ascii="仿宋" w:hAnsi="仿宋" w:eastAsia="仿宋"/>
          <w:color w:val="auto"/>
          <w:sz w:val="24"/>
        </w:rPr>
        <w:t>※三、踏勘现场</w:t>
      </w:r>
      <w:bookmarkEnd w:id="30"/>
      <w:bookmarkEnd w:id="31"/>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各供应商自行现场踏勘，以便获取本项目编制响应文件和签署合同所需的所有数据。踏勘现场所发生的所有费用（包含因踏勘现场而造成的死亡、人身伤害、财产损失和产生的其他费用）均由供应商自行承担。供应商一旦中标，供应商不得以不完全了解现场情况为借口而提出额外赔偿，或延长交付期等要求。</w:t>
      </w:r>
    </w:p>
    <w:p>
      <w:pPr>
        <w:pStyle w:val="4"/>
        <w:adjustRightInd w:val="0"/>
        <w:snapToGrid w:val="0"/>
        <w:spacing w:line="240" w:lineRule="auto"/>
        <w:ind w:firstLine="482" w:firstLineChars="200"/>
        <w:rPr>
          <w:rFonts w:ascii="仿宋" w:hAnsi="仿宋" w:eastAsia="仿宋"/>
          <w:color w:val="auto"/>
          <w:sz w:val="24"/>
        </w:rPr>
      </w:pPr>
      <w:bookmarkStart w:id="34" w:name="_Toc201221263"/>
      <w:bookmarkStart w:id="35" w:name="_Toc187768636"/>
      <w:r>
        <w:rPr>
          <w:rFonts w:hint="eastAsia" w:ascii="仿宋" w:hAnsi="仿宋" w:eastAsia="仿宋"/>
          <w:color w:val="auto"/>
          <w:sz w:val="24"/>
        </w:rPr>
        <w:t>※四、安全要求</w:t>
      </w:r>
      <w:bookmarkEnd w:id="34"/>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供应商应遵守安全生产的有关管理规定，严格按照安全标准组织实施，采取必要的安全防护措施，消除隐患。在施工过程中由于投标人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供应商承担赔偿责任。</w:t>
      </w:r>
    </w:p>
    <w:p>
      <w:pPr>
        <w:pStyle w:val="4"/>
        <w:adjustRightInd w:val="0"/>
        <w:snapToGrid w:val="0"/>
        <w:spacing w:line="240" w:lineRule="auto"/>
        <w:ind w:firstLine="482" w:firstLineChars="200"/>
        <w:rPr>
          <w:rFonts w:ascii="仿宋" w:hAnsi="仿宋" w:eastAsia="仿宋"/>
          <w:color w:val="auto"/>
          <w:sz w:val="24"/>
        </w:rPr>
      </w:pPr>
      <w:r>
        <w:rPr>
          <w:rFonts w:hint="eastAsia" w:ascii="仿宋" w:hAnsi="仿宋" w:eastAsia="仿宋"/>
          <w:color w:val="auto"/>
          <w:sz w:val="24"/>
        </w:rPr>
        <w:t>※五、其他要求</w:t>
      </w:r>
      <w:bookmarkEnd w:id="35"/>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（一）成交供应商的工作人员在为采购人的服务期间，因疾病、工伤、意外伤害、疾病传染、劳动保护、职业病等所产生的一切费用，均由成交供应商自行负责。</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二）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（三）成交供应商人员因自身工作失误造成货物、现场、人员及其他损失由成交供应商自行负责，采购人不承担责任。</w:t>
      </w:r>
    </w:p>
    <w:p>
      <w:pPr>
        <w:spacing w:line="400" w:lineRule="exact"/>
        <w:rPr>
          <w:rFonts w:ascii="仿宋" w:hAnsi="仿宋" w:eastAsia="仿宋"/>
          <w:color w:val="auto"/>
          <w:sz w:val="24"/>
          <w:szCs w:val="24"/>
        </w:rPr>
      </w:pPr>
    </w:p>
    <w:p>
      <w:pPr>
        <w:spacing w:line="400" w:lineRule="exact"/>
        <w:ind w:firstLine="480" w:firstLineChars="200"/>
        <w:rPr>
          <w:rFonts w:ascii="仿宋" w:hAnsi="仿宋" w:eastAsia="仿宋"/>
          <w:color w:val="auto"/>
          <w:sz w:val="24"/>
          <w:szCs w:val="24"/>
        </w:rPr>
      </w:pPr>
    </w:p>
    <w:p>
      <w:pPr>
        <w:spacing w:line="400" w:lineRule="exact"/>
        <w:ind w:firstLine="480" w:firstLineChars="200"/>
        <w:rPr>
          <w:rFonts w:ascii="仿宋" w:hAnsi="仿宋" w:eastAsia="仿宋"/>
          <w:color w:val="auto"/>
          <w:sz w:val="24"/>
          <w:szCs w:val="24"/>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4"/>
        <w:spacing w:line="240" w:lineRule="auto"/>
        <w:jc w:val="center"/>
        <w:rPr>
          <w:rFonts w:ascii="仿宋" w:hAnsi="仿宋" w:eastAsia="仿宋"/>
          <w:b w:val="0"/>
          <w:color w:val="auto"/>
          <w:sz w:val="36"/>
          <w:szCs w:val="30"/>
        </w:rPr>
      </w:pPr>
      <w:bookmarkStart w:id="36" w:name="_Toc187768637"/>
      <w:bookmarkStart w:id="37" w:name="_Toc76462327"/>
      <w:r>
        <w:rPr>
          <w:rFonts w:hint="eastAsia" w:ascii="仿宋" w:hAnsi="仿宋" w:eastAsia="仿宋"/>
          <w:b w:val="0"/>
          <w:color w:val="auto"/>
          <w:sz w:val="36"/>
          <w:szCs w:val="30"/>
        </w:rPr>
        <w:t xml:space="preserve">第三篇  </w:t>
      </w:r>
      <w:bookmarkEnd w:id="27"/>
      <w:r>
        <w:rPr>
          <w:rFonts w:hint="eastAsia" w:ascii="仿宋" w:hAnsi="仿宋" w:eastAsia="仿宋"/>
          <w:b w:val="0"/>
          <w:color w:val="auto"/>
          <w:sz w:val="36"/>
          <w:szCs w:val="30"/>
        </w:rPr>
        <w:t>项目商务需求</w:t>
      </w:r>
      <w:bookmarkEnd w:id="36"/>
      <w:bookmarkEnd w:id="37"/>
    </w:p>
    <w:p>
      <w:pPr>
        <w:pStyle w:val="34"/>
        <w:spacing w:line="400" w:lineRule="exact"/>
        <w:ind w:firstLine="480" w:firstLineChars="200"/>
        <w:rPr>
          <w:rFonts w:ascii="仿宋" w:hAnsi="仿宋" w:eastAsia="仿宋"/>
          <w:color w:val="auto"/>
          <w:sz w:val="24"/>
          <w:szCs w:val="24"/>
        </w:rPr>
      </w:pPr>
      <w:bookmarkStart w:id="38" w:name="_Toc344475120"/>
      <w:bookmarkStart w:id="39" w:name="_Toc76462328"/>
      <w:r>
        <w:rPr>
          <w:rFonts w:hint="eastAsia" w:ascii="仿宋" w:hAnsi="仿宋" w:eastAsia="仿宋"/>
          <w:color w:val="auto"/>
          <w:sz w:val="24"/>
          <w:szCs w:val="24"/>
        </w:rPr>
        <w:t>“※”标注的商务需求为符合性审查中的实质性要求，响应文件若不满足按无效响应处理。</w:t>
      </w:r>
    </w:p>
    <w:bookmarkEnd w:id="38"/>
    <w:bookmarkEnd w:id="39"/>
    <w:p>
      <w:pPr>
        <w:pStyle w:val="4"/>
        <w:adjustRightInd w:val="0"/>
        <w:snapToGrid w:val="0"/>
        <w:spacing w:line="240" w:lineRule="auto"/>
        <w:ind w:firstLine="482" w:firstLineChars="200"/>
        <w:rPr>
          <w:rFonts w:ascii="仿宋" w:hAnsi="仿宋" w:eastAsia="仿宋"/>
          <w:color w:val="auto"/>
          <w:sz w:val="24"/>
        </w:rPr>
      </w:pPr>
      <w:bookmarkStart w:id="40" w:name="_Toc152234727"/>
      <w:bookmarkStart w:id="41" w:name="_Toc267320049"/>
      <w:bookmarkStart w:id="42" w:name="_Toc116638612"/>
      <w:bookmarkStart w:id="43" w:name="_Toc530492462"/>
      <w:bookmarkStart w:id="44" w:name="_Toc100652788"/>
      <w:bookmarkStart w:id="45" w:name="_Toc187768638"/>
      <w:bookmarkStart w:id="46" w:name="_Toc20756"/>
      <w:bookmarkStart w:id="47" w:name="_Toc22743"/>
      <w:bookmarkStart w:id="48" w:name="_Toc28829"/>
      <w:bookmarkStart w:id="49" w:name="_Toc4049"/>
      <w:bookmarkStart w:id="50" w:name="_Toc76462332"/>
      <w:r>
        <w:rPr>
          <w:rFonts w:hint="eastAsia" w:ascii="仿宋" w:hAnsi="仿宋" w:eastAsia="仿宋"/>
          <w:color w:val="auto"/>
          <w:sz w:val="24"/>
        </w:rPr>
        <w:t>※一、实施时间、地点及验收方式</w:t>
      </w:r>
      <w:bookmarkEnd w:id="40"/>
      <w:bookmarkEnd w:id="41"/>
      <w:bookmarkEnd w:id="42"/>
      <w:bookmarkEnd w:id="43"/>
      <w:bookmarkEnd w:id="44"/>
      <w:bookmarkEnd w:id="45"/>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（一）实施时间</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实施周期：</w:t>
      </w:r>
      <w:r>
        <w:rPr>
          <w:rFonts w:hint="eastAsia" w:ascii="仿宋" w:hAnsi="仿宋" w:eastAsia="仿宋" w:cs="微软雅黑"/>
          <w:color w:val="auto"/>
          <w:sz w:val="24"/>
          <w:szCs w:val="24"/>
        </w:rPr>
        <w:t>签订合同之日起30日历天内完工。</w:t>
      </w:r>
      <w:bookmarkStart w:id="174" w:name="_GoBack"/>
      <w:bookmarkEnd w:id="174"/>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（二）实施地点</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采购人指定地点。</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（三）验收方式</w:t>
      </w:r>
    </w:p>
    <w:p>
      <w:pPr>
        <w:snapToGrid w:val="0"/>
        <w:spacing w:line="360" w:lineRule="auto"/>
        <w:ind w:firstLine="480" w:firstLineChars="200"/>
        <w:rPr>
          <w:rFonts w:ascii="仿宋" w:hAnsi="仿宋" w:eastAsia="仿宋" w:cs="微软雅黑"/>
          <w:color w:val="auto"/>
          <w:sz w:val="24"/>
          <w:szCs w:val="24"/>
        </w:rPr>
      </w:pPr>
      <w:bookmarkStart w:id="51" w:name="_Toc267320050"/>
      <w:bookmarkStart w:id="52" w:name="_Toc100652789"/>
      <w:bookmarkStart w:id="53" w:name="_Toc530492463"/>
      <w:r>
        <w:rPr>
          <w:rFonts w:hint="eastAsia" w:ascii="仿宋" w:hAnsi="仿宋" w:eastAsia="仿宋" w:cs="微软雅黑"/>
          <w:color w:val="auto"/>
          <w:sz w:val="24"/>
          <w:szCs w:val="24"/>
        </w:rPr>
        <w:t>1、由采购人组织验收工作，必须通过采购人验收合格；满足招标文件和响应文件要求；技术资料、和其他资料等已经按规定的数量移交完毕</w:t>
      </w:r>
      <w:bookmarkStart w:id="54" w:name="_Toc31795"/>
      <w:r>
        <w:rPr>
          <w:rFonts w:hint="eastAsia" w:ascii="仿宋" w:hAnsi="仿宋" w:eastAsia="仿宋" w:cs="微软雅黑"/>
          <w:color w:val="auto"/>
          <w:sz w:val="24"/>
          <w:szCs w:val="24"/>
        </w:rPr>
        <w:t>后即视为项目合格。</w:t>
      </w:r>
      <w:bookmarkEnd w:id="54"/>
    </w:p>
    <w:p>
      <w:pPr>
        <w:snapToGrid w:val="0"/>
        <w:spacing w:line="360" w:lineRule="auto"/>
        <w:ind w:firstLine="480" w:firstLineChars="200"/>
        <w:rPr>
          <w:rFonts w:ascii="仿宋" w:hAnsi="仿宋" w:eastAsia="仿宋"/>
          <w:color w:val="auto"/>
          <w:sz w:val="24"/>
          <w:szCs w:val="22"/>
        </w:rPr>
      </w:pPr>
      <w:r>
        <w:rPr>
          <w:rFonts w:hint="eastAsia" w:ascii="仿宋" w:hAnsi="仿宋" w:eastAsia="仿宋"/>
          <w:color w:val="auto"/>
          <w:sz w:val="24"/>
          <w:szCs w:val="22"/>
        </w:rPr>
        <w:t>2、质量验收</w:t>
      </w:r>
      <w:r>
        <w:rPr>
          <w:rFonts w:ascii="仿宋" w:hAnsi="仿宋" w:eastAsia="仿宋"/>
          <w:color w:val="auto"/>
          <w:sz w:val="24"/>
          <w:szCs w:val="22"/>
        </w:rPr>
        <w:t>：</w:t>
      </w:r>
    </w:p>
    <w:p>
      <w:pPr>
        <w:snapToGrid w:val="0"/>
        <w:spacing w:line="360" w:lineRule="auto"/>
        <w:ind w:firstLine="480" w:firstLineChars="200"/>
        <w:rPr>
          <w:rFonts w:ascii="仿宋" w:hAnsi="仿宋" w:eastAsia="仿宋"/>
          <w:color w:val="auto"/>
          <w:sz w:val="24"/>
          <w:szCs w:val="22"/>
        </w:rPr>
      </w:pPr>
      <w:r>
        <w:rPr>
          <w:rFonts w:ascii="仿宋" w:hAnsi="仿宋" w:eastAsia="仿宋"/>
          <w:color w:val="auto"/>
          <w:sz w:val="24"/>
          <w:szCs w:val="22"/>
        </w:rPr>
        <w:t>核查设备出厂合格证、检测报告、认证文件，现场测试成像清晰度、云台转动精度、测温误差等指标，确保符合合同要求。</w:t>
      </w:r>
    </w:p>
    <w:p>
      <w:pPr>
        <w:numPr>
          <w:ilvl w:val="0"/>
          <w:numId w:val="13"/>
        </w:numPr>
        <w:snapToGrid w:val="0"/>
        <w:spacing w:line="360" w:lineRule="auto"/>
        <w:ind w:firstLine="480" w:firstLineChars="200"/>
        <w:rPr>
          <w:rFonts w:ascii="仿宋" w:hAnsi="仿宋" w:eastAsia="仿宋"/>
          <w:color w:val="auto"/>
          <w:sz w:val="24"/>
          <w:szCs w:val="22"/>
        </w:rPr>
      </w:pPr>
      <w:r>
        <w:rPr>
          <w:rFonts w:ascii="仿宋" w:hAnsi="仿宋" w:eastAsia="仿宋"/>
          <w:color w:val="auto"/>
          <w:sz w:val="24"/>
          <w:szCs w:val="22"/>
        </w:rPr>
        <w:t>安全验收：</w:t>
      </w:r>
    </w:p>
    <w:p>
      <w:pPr>
        <w:snapToGrid w:val="0"/>
        <w:spacing w:line="360" w:lineRule="auto"/>
        <w:ind w:firstLine="480" w:firstLineChars="200"/>
        <w:rPr>
          <w:rFonts w:ascii="仿宋" w:hAnsi="仿宋" w:eastAsia="仿宋"/>
          <w:color w:val="auto"/>
          <w:sz w:val="24"/>
          <w:szCs w:val="22"/>
        </w:rPr>
      </w:pPr>
      <w:r>
        <w:rPr>
          <w:rFonts w:ascii="仿宋" w:hAnsi="仿宋" w:eastAsia="仿宋"/>
          <w:color w:val="auto"/>
          <w:sz w:val="24"/>
          <w:szCs w:val="22"/>
        </w:rPr>
        <w:t>检查接地电阻、防雷措施、支架承重测试报告，模拟报警联动功能（如触发报警时设备是否自动停止转动并上传信号）。</w:t>
      </w:r>
    </w:p>
    <w:p>
      <w:pPr>
        <w:numPr>
          <w:ilvl w:val="0"/>
          <w:numId w:val="13"/>
        </w:numPr>
        <w:snapToGrid w:val="0"/>
        <w:spacing w:line="360" w:lineRule="auto"/>
        <w:ind w:firstLine="480" w:firstLineChars="200"/>
        <w:rPr>
          <w:rFonts w:ascii="仿宋" w:hAnsi="仿宋" w:eastAsia="仿宋"/>
          <w:color w:val="auto"/>
          <w:sz w:val="24"/>
          <w:szCs w:val="22"/>
        </w:rPr>
      </w:pPr>
      <w:r>
        <w:rPr>
          <w:rFonts w:ascii="仿宋" w:hAnsi="仿宋" w:eastAsia="仿宋"/>
          <w:color w:val="auto"/>
          <w:sz w:val="24"/>
          <w:szCs w:val="22"/>
        </w:rPr>
        <w:t>定期维护：</w:t>
      </w:r>
    </w:p>
    <w:p>
      <w:pPr>
        <w:snapToGrid w:val="0"/>
        <w:spacing w:line="360" w:lineRule="auto"/>
        <w:ind w:firstLine="480" w:firstLineChars="200"/>
        <w:rPr>
          <w:rFonts w:ascii="仿宋" w:hAnsi="仿宋" w:eastAsia="仿宋"/>
          <w:color w:val="auto"/>
          <w:sz w:val="24"/>
          <w:szCs w:val="22"/>
        </w:rPr>
      </w:pPr>
      <w:r>
        <w:rPr>
          <w:rFonts w:ascii="仿宋" w:hAnsi="仿宋" w:eastAsia="仿宋"/>
          <w:color w:val="auto"/>
          <w:sz w:val="24"/>
          <w:szCs w:val="22"/>
        </w:rPr>
        <w:t>每半年检查一次螺丝紧固度、线路老化情况，清洁镜头时使用防静电无尘布，避免带电操作；维护人员需佩戴绝缘手套，使用绝缘工具。</w:t>
      </w:r>
    </w:p>
    <w:bookmarkEnd w:id="51"/>
    <w:bookmarkEnd w:id="52"/>
    <w:bookmarkEnd w:id="53"/>
    <w:p>
      <w:pPr>
        <w:pStyle w:val="4"/>
        <w:adjustRightInd w:val="0"/>
        <w:snapToGrid w:val="0"/>
        <w:spacing w:line="240" w:lineRule="auto"/>
        <w:ind w:firstLine="482" w:firstLineChars="200"/>
        <w:rPr>
          <w:rFonts w:ascii="仿宋" w:hAnsi="仿宋" w:eastAsia="仿宋"/>
          <w:color w:val="auto"/>
          <w:sz w:val="24"/>
        </w:rPr>
      </w:pPr>
      <w:bookmarkStart w:id="55" w:name="_Toc116638613"/>
      <w:bookmarkStart w:id="56" w:name="_Toc100652790"/>
      <w:bookmarkStart w:id="57" w:name="_Toc369093217"/>
      <w:bookmarkStart w:id="58" w:name="_Toc368296452"/>
      <w:bookmarkStart w:id="59" w:name="_Toc368296267"/>
      <w:bookmarkStart w:id="60" w:name="_Toc152234728"/>
      <w:bookmarkStart w:id="61" w:name="_Toc187768639"/>
      <w:bookmarkStart w:id="62" w:name="_Toc530492464"/>
      <w:bookmarkStart w:id="63" w:name="_Toc370395549"/>
      <w:bookmarkStart w:id="64" w:name="_Toc267320051"/>
      <w:r>
        <w:rPr>
          <w:rFonts w:hint="eastAsia" w:ascii="仿宋" w:hAnsi="仿宋" w:eastAsia="仿宋"/>
          <w:color w:val="auto"/>
          <w:sz w:val="24"/>
        </w:rPr>
        <w:t>※二、报价要求</w:t>
      </w:r>
      <w:bookmarkEnd w:id="55"/>
      <w:bookmarkEnd w:id="56"/>
      <w:bookmarkEnd w:id="57"/>
      <w:bookmarkEnd w:id="58"/>
      <w:bookmarkEnd w:id="59"/>
      <w:bookmarkEnd w:id="60"/>
      <w:bookmarkEnd w:id="61"/>
      <w:bookmarkEnd w:id="62"/>
      <w:bookmarkEnd w:id="63"/>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1.本次报价须为人民币报价，供应商还需对</w:t>
      </w:r>
      <w:r>
        <w:rPr>
          <w:rFonts w:hint="eastAsia" w:ascii="仿宋" w:hAnsi="仿宋" w:eastAsia="仿宋"/>
          <w:color w:val="auto"/>
          <w:sz w:val="24"/>
        </w:rPr>
        <w:t>招标项目一览表中所列产品进行报价，单价和总价不得超过采购人给出的最高限价。</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2</w:t>
      </w:r>
      <w:r>
        <w:rPr>
          <w:rFonts w:ascii="仿宋" w:hAnsi="仿宋" w:eastAsia="仿宋" w:cs="微软雅黑"/>
          <w:color w:val="auto"/>
          <w:sz w:val="24"/>
          <w:szCs w:val="24"/>
        </w:rPr>
        <w:t>.</w:t>
      </w:r>
      <w:r>
        <w:rPr>
          <w:rFonts w:hint="eastAsia" w:ascii="仿宋" w:hAnsi="仿宋" w:eastAsia="仿宋" w:cs="微软雅黑"/>
          <w:color w:val="auto"/>
          <w:sz w:val="24"/>
          <w:szCs w:val="24"/>
        </w:rPr>
        <w:t>投标报价应包括供应商中标后为完成合同规定的全部工作需支付的一切费用和拟获得的利润，并考虑了应承担的风险。</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3.投标总价应包括拟供运行及维护所需的一切费用，包括企业运行、货物、安装、运输、服务、售后、验收、仓储、人员、保险、税金、技术服务等所涉及的相关的一切费用。投标报价表中的报价，是指供应商中标后按照本招标书规定的条件，履行本合同文件规定的全部义务所发生的全部费用（包括各种直接费、间接费、税金、保险、运杂费等）和利润等一切费用的综合报价，供应商在投标报价</w:t>
      </w:r>
      <w:bookmarkStart w:id="65" w:name="_Hlt237505"/>
      <w:bookmarkEnd w:id="65"/>
      <w:r>
        <w:rPr>
          <w:rFonts w:hint="eastAsia" w:ascii="仿宋" w:hAnsi="仿宋" w:eastAsia="仿宋" w:cs="微软雅黑"/>
          <w:color w:val="auto"/>
          <w:sz w:val="24"/>
          <w:szCs w:val="24"/>
        </w:rPr>
        <w:t>时应充分考虑其中的风险因素，如因供应商自身原因造成不能按时履约或给采购人造成损失的，应承担相关法律责任，并赔偿给采购人带来的损失。</w:t>
      </w:r>
    </w:p>
    <w:p>
      <w:pPr>
        <w:pStyle w:val="4"/>
        <w:adjustRightInd w:val="0"/>
        <w:snapToGrid w:val="0"/>
        <w:spacing w:line="240" w:lineRule="auto"/>
        <w:ind w:firstLine="482" w:firstLineChars="200"/>
        <w:rPr>
          <w:rFonts w:ascii="仿宋" w:hAnsi="仿宋" w:eastAsia="仿宋"/>
          <w:color w:val="auto"/>
          <w:sz w:val="24"/>
        </w:rPr>
      </w:pPr>
      <w:bookmarkStart w:id="66" w:name="_Toc152234729"/>
      <w:bookmarkStart w:id="67" w:name="_Toc187768640"/>
      <w:r>
        <w:rPr>
          <w:rFonts w:hint="eastAsia" w:ascii="仿宋" w:hAnsi="仿宋" w:eastAsia="仿宋"/>
          <w:color w:val="auto"/>
          <w:sz w:val="24"/>
        </w:rPr>
        <w:t>※三、售后服务要求</w:t>
      </w:r>
      <w:bookmarkEnd w:id="66"/>
      <w:bookmarkEnd w:id="67"/>
    </w:p>
    <w:p>
      <w:pPr>
        <w:spacing w:line="360" w:lineRule="auto"/>
        <w:ind w:firstLine="480" w:firstLineChars="200"/>
        <w:rPr>
          <w:rFonts w:ascii="仿宋" w:hAnsi="仿宋" w:eastAsia="仿宋"/>
          <w:color w:val="auto"/>
          <w:sz w:val="24"/>
          <w:szCs w:val="24"/>
        </w:rPr>
      </w:pPr>
      <w:bookmarkStart w:id="68" w:name="_Toc152234730"/>
      <w:bookmarkStart w:id="69" w:name="_Toc116638614"/>
      <w:r>
        <w:rPr>
          <w:rFonts w:hint="eastAsia" w:ascii="仿宋" w:hAnsi="仿宋" w:eastAsia="仿宋"/>
          <w:color w:val="auto"/>
          <w:sz w:val="24"/>
          <w:szCs w:val="24"/>
        </w:rPr>
        <w:t>（一）产品质量保证期：自验收合格之日起，提供3年的质保期。</w:t>
      </w:r>
      <w:r>
        <w:rPr>
          <w:rFonts w:ascii="仿宋" w:hAnsi="仿宋" w:eastAsia="仿宋"/>
          <w:color w:val="auto"/>
          <w:sz w:val="24"/>
          <w:szCs w:val="22"/>
        </w:rPr>
        <w:t>（自验收合格之日起算）质保期内因设备质量问题（非人为损坏）导致的故障，厂商需免费更换或整机维修。</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（二）售后服务内容</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供应商在质量保证期内应当为采购人提供以下技术支持服务：</w:t>
      </w:r>
    </w:p>
    <w:p>
      <w:pPr>
        <w:spacing w:line="360" w:lineRule="auto"/>
        <w:ind w:firstLine="480" w:firstLineChars="200"/>
        <w:outlineLvl w:val="2"/>
        <w:rPr>
          <w:rFonts w:ascii="仿宋" w:hAnsi="仿宋" w:eastAsia="仿宋"/>
          <w:color w:val="auto"/>
          <w:sz w:val="24"/>
          <w:szCs w:val="24"/>
        </w:rPr>
      </w:pPr>
      <w:r>
        <w:rPr>
          <w:rFonts w:hint="eastAsia" w:ascii="仿宋" w:hAnsi="仿宋" w:eastAsia="仿宋"/>
          <w:color w:val="auto"/>
          <w:sz w:val="24"/>
          <w:szCs w:val="24"/>
        </w:rPr>
        <w:t>1.质量保证期内服务要求</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1.1电话咨询</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成交供应商应当为用户提供技术援助电话，解答用户在使用中遇到的问题，及时为用户提出解决问题的建议。</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1.2现场响应</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用户遇到使用及技术问题，电话咨询不能解决的，成交供应商或制造商应在2小时内采取相应响应措施；无法在4小时内解决的，应在8小时内派出专业人员进行技术支持。</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1.3技术升级</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在质保期内，如果成交供应商的产品技术升级，成交供应商应及时通知采购人，如采购人有相应要求，成交供应商应对采购人进行升级服务。</w:t>
      </w:r>
    </w:p>
    <w:p>
      <w:pPr>
        <w:spacing w:line="360" w:lineRule="auto"/>
        <w:ind w:firstLine="480" w:firstLineChars="200"/>
        <w:outlineLvl w:val="2"/>
        <w:rPr>
          <w:rFonts w:ascii="仿宋" w:hAnsi="仿宋" w:eastAsia="仿宋"/>
          <w:color w:val="auto"/>
          <w:sz w:val="24"/>
          <w:szCs w:val="24"/>
        </w:rPr>
      </w:pPr>
      <w:r>
        <w:rPr>
          <w:rFonts w:hint="eastAsia" w:ascii="仿宋" w:hAnsi="仿宋" w:eastAsia="仿宋"/>
          <w:color w:val="auto"/>
          <w:sz w:val="24"/>
          <w:szCs w:val="24"/>
        </w:rPr>
        <w:t>2.质保期外服务要求</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2.1质量保证期过后，成交供应商应同样提供免费电话咨询服务，并应承诺提供产品上门维护服务。</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2.2质量保证期过后，采购人需要继续由原成交供应商提供售后服务的，成交供应商应以优惠价格提供售后服务。</w:t>
      </w:r>
    </w:p>
    <w:p>
      <w:pPr>
        <w:snapToGrid w:val="0"/>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（三）备品备件及易损件</w:t>
      </w:r>
    </w:p>
    <w:p>
      <w:pPr>
        <w:spacing w:line="360" w:lineRule="auto"/>
        <w:ind w:firstLine="480" w:firstLineChars="200"/>
        <w:rPr>
          <w:rFonts w:ascii="仿宋" w:hAnsi="仿宋" w:eastAsia="仿宋"/>
          <w:color w:val="auto"/>
          <w:sz w:val="24"/>
          <w:szCs w:val="24"/>
        </w:rPr>
      </w:pPr>
      <w:r>
        <w:rPr>
          <w:rFonts w:hint="eastAsia" w:ascii="仿宋" w:hAnsi="仿宋" w:eastAsia="仿宋" w:cs="宋体"/>
          <w:color w:val="auto"/>
          <w:kern w:val="0"/>
          <w:sz w:val="24"/>
          <w:szCs w:val="24"/>
        </w:rPr>
        <w:t>供应商售后服务中，备品备件应为原厂配件，未经采购人同意不得使用非原厂配件。</w:t>
      </w:r>
    </w:p>
    <w:bookmarkEnd w:id="68"/>
    <w:bookmarkEnd w:id="69"/>
    <w:p>
      <w:pPr>
        <w:pStyle w:val="4"/>
        <w:adjustRightInd w:val="0"/>
        <w:snapToGrid w:val="0"/>
        <w:spacing w:line="240" w:lineRule="auto"/>
        <w:ind w:firstLine="482" w:firstLineChars="200"/>
        <w:rPr>
          <w:rFonts w:ascii="仿宋" w:hAnsi="仿宋" w:eastAsia="仿宋"/>
          <w:color w:val="auto"/>
          <w:sz w:val="24"/>
        </w:rPr>
      </w:pPr>
      <w:bookmarkStart w:id="70" w:name="_Toc152234731"/>
      <w:bookmarkStart w:id="71" w:name="_Toc187768641"/>
      <w:bookmarkStart w:id="72" w:name="_Toc530492465"/>
      <w:bookmarkStart w:id="73" w:name="_Toc116638615"/>
      <w:bookmarkStart w:id="74" w:name="_Toc100652791"/>
      <w:r>
        <w:rPr>
          <w:rFonts w:hint="eastAsia" w:ascii="仿宋" w:hAnsi="仿宋" w:eastAsia="仿宋"/>
          <w:color w:val="auto"/>
          <w:sz w:val="24"/>
        </w:rPr>
        <w:t>※四、付款方式</w:t>
      </w:r>
      <w:bookmarkEnd w:id="64"/>
      <w:bookmarkEnd w:id="70"/>
      <w:bookmarkEnd w:id="71"/>
      <w:bookmarkEnd w:id="72"/>
      <w:bookmarkEnd w:id="73"/>
      <w:bookmarkEnd w:id="74"/>
    </w:p>
    <w:p>
      <w:pPr>
        <w:snapToGrid w:val="0"/>
        <w:spacing w:line="360" w:lineRule="auto"/>
        <w:ind w:firstLine="480" w:firstLineChars="200"/>
        <w:rPr>
          <w:rFonts w:ascii="仿宋" w:hAnsi="仿宋" w:eastAsia="仿宋"/>
          <w:color w:val="auto"/>
          <w:sz w:val="24"/>
          <w:szCs w:val="24"/>
        </w:rPr>
      </w:pPr>
      <w:bookmarkStart w:id="75" w:name="OLE_LINK4"/>
      <w:bookmarkStart w:id="76" w:name="OLE_LINK3"/>
      <w:bookmarkStart w:id="77" w:name="_Toc101510085"/>
      <w:bookmarkStart w:id="78" w:name="_Toc152234732"/>
      <w:bookmarkStart w:id="79" w:name="_Toc116638616"/>
      <w:bookmarkStart w:id="80" w:name="_Toc79420327"/>
      <w:bookmarkStart w:id="81" w:name="_Toc267320053"/>
      <w:bookmarkStart w:id="82" w:name="_Toc530492467"/>
      <w:bookmarkStart w:id="83" w:name="_Toc100652793"/>
      <w:r>
        <w:rPr>
          <w:rFonts w:hint="eastAsia" w:ascii="仿宋" w:hAnsi="仿宋" w:eastAsia="仿宋"/>
          <w:color w:val="auto"/>
          <w:sz w:val="24"/>
          <w:szCs w:val="24"/>
        </w:rPr>
        <w:t>1.合同签订时成交人向采购人缴纳合同金额5%的履约保证金（以支票、汇票、本票或者金融机构、担保机构出具的保函、对公转账等形式提交）</w:t>
      </w:r>
      <w:bookmarkEnd w:id="75"/>
      <w:r>
        <w:rPr>
          <w:rFonts w:hint="eastAsia" w:ascii="仿宋" w:hAnsi="仿宋" w:eastAsia="仿宋"/>
          <w:color w:val="auto"/>
          <w:sz w:val="24"/>
          <w:szCs w:val="24"/>
        </w:rPr>
        <w:t>。采购人在项目验收合格且缺陷责任期满1年，不存在质量问题的情况下，将无息退还该履约保证金。</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2.在设备安装调试完成并经采购人验收合格，待上级相关</w:t>
      </w:r>
      <w:r>
        <w:rPr>
          <w:rFonts w:hint="eastAsia" w:ascii="仿宋" w:hAnsi="仿宋" w:eastAsia="仿宋"/>
          <w:color w:val="auto"/>
          <w:sz w:val="24"/>
          <w:szCs w:val="24"/>
          <w:lang w:eastAsia="zh-Hans"/>
        </w:rPr>
        <w:t>资金</w:t>
      </w:r>
      <w:r>
        <w:rPr>
          <w:rFonts w:hint="eastAsia" w:ascii="仿宋" w:hAnsi="仿宋" w:eastAsia="仿宋"/>
          <w:color w:val="auto"/>
          <w:sz w:val="24"/>
          <w:szCs w:val="24"/>
        </w:rPr>
        <w:t>下拨后一次性支付合同全部金额</w:t>
      </w:r>
      <w:bookmarkEnd w:id="76"/>
      <w:r>
        <w:rPr>
          <w:rFonts w:hint="eastAsia" w:ascii="仿宋" w:hAnsi="仿宋" w:eastAsia="仿宋"/>
          <w:color w:val="auto"/>
          <w:sz w:val="24"/>
          <w:szCs w:val="24"/>
        </w:rPr>
        <w:t>。</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3.本项目首先保证农民工工资不拖欠，供应商必须及时支付人工费、材料费等费用，如有投诉材料费、人工费未结清的情况，采购单位将暂停余款支付，并有权动用成交供应商一切费用解决属实的投诉纠纷。</w:t>
      </w:r>
    </w:p>
    <w:p>
      <w:pPr>
        <w:pStyle w:val="4"/>
        <w:adjustRightInd w:val="0"/>
        <w:snapToGrid w:val="0"/>
        <w:spacing w:line="240" w:lineRule="auto"/>
        <w:ind w:firstLine="482" w:firstLineChars="200"/>
        <w:rPr>
          <w:rFonts w:ascii="仿宋" w:hAnsi="仿宋" w:eastAsia="仿宋"/>
          <w:color w:val="auto"/>
          <w:sz w:val="24"/>
        </w:rPr>
      </w:pPr>
      <w:bookmarkStart w:id="84" w:name="_Toc187768642"/>
      <w:r>
        <w:rPr>
          <w:rFonts w:hint="eastAsia" w:ascii="仿宋" w:hAnsi="仿宋" w:eastAsia="仿宋"/>
          <w:color w:val="auto"/>
          <w:sz w:val="24"/>
        </w:rPr>
        <w:t>※五、分包</w:t>
      </w:r>
      <w:bookmarkEnd w:id="77"/>
      <w:bookmarkEnd w:id="78"/>
      <w:bookmarkEnd w:id="79"/>
      <w:bookmarkEnd w:id="80"/>
      <w:bookmarkEnd w:id="84"/>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成交供应商未经采购人书面同意，不得将项目分包给第三方，如成交供应商将本项目分包给第三方的，采购人有权解除合同，同时采购人有权要求成交供应商按合同总金额的10 %支付违约金，因此给采购人造成的损失应由成交供应商承担赔偿责任。</w:t>
      </w:r>
    </w:p>
    <w:bookmarkEnd w:id="81"/>
    <w:bookmarkEnd w:id="82"/>
    <w:bookmarkEnd w:id="83"/>
    <w:p>
      <w:pPr>
        <w:pStyle w:val="4"/>
        <w:adjustRightInd w:val="0"/>
        <w:snapToGrid w:val="0"/>
        <w:spacing w:line="240" w:lineRule="auto"/>
        <w:ind w:firstLine="482" w:firstLineChars="200"/>
        <w:rPr>
          <w:rFonts w:ascii="仿宋" w:hAnsi="仿宋" w:eastAsia="仿宋"/>
          <w:color w:val="auto"/>
          <w:sz w:val="24"/>
        </w:rPr>
      </w:pPr>
      <w:bookmarkStart w:id="85" w:name="_Toc116638618"/>
      <w:bookmarkStart w:id="86" w:name="_Toc187768643"/>
      <w:bookmarkStart w:id="87" w:name="_Toc152234734"/>
      <w:bookmarkStart w:id="88" w:name="_Toc100652794"/>
      <w:bookmarkStart w:id="89" w:name="_Toc267320054"/>
      <w:bookmarkStart w:id="90" w:name="_Toc530492468"/>
      <w:r>
        <w:rPr>
          <w:rFonts w:hint="eastAsia" w:ascii="仿宋" w:hAnsi="仿宋" w:eastAsia="仿宋"/>
          <w:color w:val="auto"/>
          <w:sz w:val="24"/>
        </w:rPr>
        <w:t>※六、服务成果要求</w:t>
      </w:r>
      <w:bookmarkEnd w:id="85"/>
      <w:bookmarkEnd w:id="86"/>
      <w:bookmarkEnd w:id="87"/>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（一）中标人服务标准不得低于国家及相关行业规定。</w:t>
      </w:r>
    </w:p>
    <w:p>
      <w:pPr>
        <w:snapToGrid w:val="0"/>
        <w:spacing w:line="360" w:lineRule="auto"/>
        <w:ind w:firstLine="480" w:firstLineChars="200"/>
        <w:rPr>
          <w:rFonts w:ascii="仿宋" w:hAnsi="仿宋" w:eastAsia="仿宋" w:cs="微软雅黑"/>
          <w:color w:val="auto"/>
          <w:sz w:val="24"/>
          <w:szCs w:val="24"/>
        </w:rPr>
      </w:pPr>
      <w:r>
        <w:rPr>
          <w:rFonts w:hint="eastAsia" w:ascii="仿宋" w:hAnsi="仿宋" w:eastAsia="仿宋" w:cs="微软雅黑"/>
          <w:color w:val="auto"/>
          <w:sz w:val="24"/>
          <w:szCs w:val="24"/>
        </w:rPr>
        <w:t>（二）中标人应自觉维护采购人的利益，不得向任何单位和个人泄露所掌握的商业秘密事项;不得利用所掌握的商业秘密牟取私利;凡以直接、间接、口头或书面等形式提供涉及保密内容的行为均属泄密。</w:t>
      </w:r>
    </w:p>
    <w:p>
      <w:pPr>
        <w:pStyle w:val="4"/>
        <w:adjustRightInd w:val="0"/>
        <w:snapToGrid w:val="0"/>
        <w:spacing w:line="240" w:lineRule="auto"/>
        <w:ind w:firstLine="482" w:firstLineChars="200"/>
        <w:rPr>
          <w:rFonts w:ascii="仿宋" w:hAnsi="仿宋" w:eastAsia="仿宋"/>
          <w:color w:val="auto"/>
          <w:sz w:val="24"/>
        </w:rPr>
      </w:pPr>
      <w:bookmarkStart w:id="91" w:name="_Toc152234736"/>
      <w:bookmarkStart w:id="92" w:name="_Toc116638619"/>
      <w:bookmarkStart w:id="93" w:name="_Toc187768644"/>
      <w:r>
        <w:rPr>
          <w:rFonts w:hint="eastAsia" w:ascii="仿宋" w:hAnsi="仿宋" w:eastAsia="仿宋"/>
          <w:color w:val="auto"/>
          <w:sz w:val="24"/>
        </w:rPr>
        <w:t>※七、其他</w:t>
      </w:r>
      <w:bookmarkEnd w:id="88"/>
      <w:bookmarkEnd w:id="89"/>
      <w:bookmarkEnd w:id="90"/>
      <w:bookmarkEnd w:id="91"/>
      <w:bookmarkEnd w:id="92"/>
      <w:bookmarkEnd w:id="93"/>
    </w:p>
    <w:p>
      <w:pPr>
        <w:snapToGrid w:val="0"/>
        <w:spacing w:line="360" w:lineRule="auto"/>
        <w:ind w:firstLine="480" w:firstLineChars="200"/>
        <w:outlineLvl w:val="0"/>
        <w:rPr>
          <w:rFonts w:ascii="仿宋" w:hAnsi="仿宋" w:eastAsia="仿宋"/>
          <w:color w:val="auto"/>
        </w:rPr>
      </w:pPr>
      <w:r>
        <w:rPr>
          <w:rFonts w:hint="eastAsia" w:ascii="仿宋" w:hAnsi="仿宋" w:eastAsia="仿宋" w:cs="微软雅黑"/>
          <w:color w:val="auto"/>
          <w:sz w:val="24"/>
          <w:szCs w:val="24"/>
        </w:rPr>
        <w:t>其他未尽事宜由供需双方在采购合同中详细约定。</w:t>
      </w:r>
    </w:p>
    <w:bookmarkEnd w:id="46"/>
    <w:bookmarkEnd w:id="47"/>
    <w:bookmarkEnd w:id="48"/>
    <w:bookmarkEnd w:id="49"/>
    <w:p>
      <w:pPr>
        <w:pStyle w:val="4"/>
        <w:pageBreakBefore/>
        <w:spacing w:line="240" w:lineRule="auto"/>
        <w:jc w:val="center"/>
        <w:rPr>
          <w:rFonts w:ascii="仿宋" w:hAnsi="仿宋" w:eastAsia="仿宋"/>
          <w:b w:val="0"/>
          <w:color w:val="auto"/>
          <w:sz w:val="36"/>
          <w:szCs w:val="30"/>
        </w:rPr>
      </w:pPr>
      <w:bookmarkStart w:id="94" w:name="_Toc187768645"/>
      <w:r>
        <w:rPr>
          <w:rFonts w:hint="eastAsia" w:ascii="仿宋" w:hAnsi="仿宋" w:eastAsia="仿宋"/>
          <w:b w:val="0"/>
          <w:color w:val="auto"/>
          <w:sz w:val="36"/>
          <w:szCs w:val="30"/>
        </w:rPr>
        <w:t>第四篇  磋商程序及方法、评审标准、无效响应和</w:t>
      </w:r>
      <w:r>
        <w:rPr>
          <w:rFonts w:hint="eastAsia" w:ascii="仿宋" w:hAnsi="仿宋" w:eastAsia="仿宋"/>
          <w:b w:val="0"/>
          <w:color w:val="auto"/>
          <w:sz w:val="36"/>
          <w:szCs w:val="36"/>
        </w:rPr>
        <w:t>采购终止</w:t>
      </w:r>
      <w:bookmarkEnd w:id="50"/>
      <w:bookmarkEnd w:id="94"/>
    </w:p>
    <w:p>
      <w:pPr>
        <w:pStyle w:val="4"/>
        <w:adjustRightInd w:val="0"/>
        <w:snapToGrid w:val="0"/>
        <w:spacing w:line="240" w:lineRule="auto"/>
        <w:ind w:firstLine="482" w:firstLineChars="200"/>
        <w:rPr>
          <w:rFonts w:ascii="仿宋" w:hAnsi="仿宋" w:eastAsia="仿宋"/>
          <w:color w:val="auto"/>
          <w:sz w:val="24"/>
        </w:rPr>
      </w:pPr>
      <w:bookmarkStart w:id="95" w:name="_Toc76462333"/>
      <w:bookmarkStart w:id="96" w:name="_Toc187768646"/>
      <w:r>
        <w:rPr>
          <w:rFonts w:hint="eastAsia" w:ascii="仿宋" w:hAnsi="仿宋" w:eastAsia="仿宋"/>
          <w:color w:val="auto"/>
          <w:sz w:val="24"/>
        </w:rPr>
        <w:t>一、磋商程序及方法</w:t>
      </w:r>
      <w:bookmarkEnd w:id="95"/>
      <w:bookmarkEnd w:id="96"/>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磋商按竞争性磋商文件规定的时间和地点进行，供应商须有法定代表人/负责人（或其授权代表）或自然人参加并签到。竞争性磋商以抽签的形式确定磋商顺序，由本项目依法组建的竞争性磋商小组（以下简称磋商小组）分别与各供应商进行磋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仿宋" w:hAnsi="仿宋" w:eastAsia="仿宋" w:cs="宋体"/>
          <w:color w:val="auto"/>
          <w:kern w:val="0"/>
          <w:sz w:val="24"/>
          <w:szCs w:val="24"/>
        </w:rPr>
      </w:pPr>
      <w:r>
        <w:rPr>
          <w:rFonts w:hint="eastAsia" w:ascii="仿宋" w:hAnsi="仿宋" w:eastAsia="仿宋"/>
          <w:color w:val="auto"/>
          <w:sz w:val="24"/>
          <w:szCs w:val="24"/>
        </w:rPr>
        <w:t>1.</w:t>
      </w:r>
      <w:r>
        <w:rPr>
          <w:rFonts w:hint="eastAsia" w:ascii="仿宋" w:hAnsi="仿宋" w:eastAsia="仿宋" w:cs="宋体"/>
          <w:color w:val="auto"/>
          <w:kern w:val="0"/>
          <w:sz w:val="24"/>
          <w:szCs w:val="24"/>
        </w:rPr>
        <w:t>资格性审查。依据法律法规和竞争性磋商文件的规定，对响应文件中的资格证明、等进行审查，以确定供应商是否具备磋商资格。资格性审查资料表如下：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color w:val="auto"/>
                <w:kern w:val="0"/>
                <w:sz w:val="21"/>
                <w:szCs w:val="21"/>
              </w:rPr>
            </w:pPr>
            <w:r>
              <w:rPr>
                <w:rFonts w:hint="eastAsia" w:ascii="仿宋" w:hAnsi="仿宋" w:eastAsia="仿宋"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color w:val="auto"/>
                <w:kern w:val="0"/>
                <w:sz w:val="21"/>
                <w:szCs w:val="21"/>
              </w:rPr>
            </w:pPr>
            <w:r>
              <w:rPr>
                <w:rFonts w:hint="eastAsia" w:ascii="仿宋" w:hAnsi="仿宋" w:eastAsia="仿宋"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color w:val="auto"/>
                <w:kern w:val="0"/>
                <w:sz w:val="21"/>
                <w:szCs w:val="21"/>
              </w:rPr>
            </w:pPr>
            <w:r>
              <w:rPr>
                <w:rFonts w:hint="eastAsia" w:ascii="仿宋" w:hAnsi="仿宋" w:eastAsia="仿宋" w:cs="宋体"/>
                <w:b/>
                <w:color w:val="auto"/>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jc w:val="center"/>
              <w:rPr>
                <w:rFonts w:ascii="仿宋" w:hAnsi="仿宋" w:eastAsia="仿宋"/>
                <w:color w:val="auto"/>
                <w:sz w:val="21"/>
                <w:szCs w:val="21"/>
              </w:rPr>
            </w:pPr>
            <w:r>
              <w:rPr>
                <w:rFonts w:hint="eastAsia" w:ascii="仿宋" w:hAnsi="仿宋" w:eastAsia="仿宋"/>
                <w:color w:val="auto"/>
                <w:sz w:val="21"/>
                <w:szCs w:val="21"/>
              </w:rPr>
              <w:t>（一）</w:t>
            </w:r>
          </w:p>
        </w:tc>
        <w:tc>
          <w:tcPr>
            <w:tcW w:w="709" w:type="dxa"/>
            <w:vMerge w:val="restart"/>
            <w:vAlign w:val="center"/>
          </w:tcPr>
          <w:p>
            <w:pPr>
              <w:rPr>
                <w:rFonts w:ascii="仿宋" w:hAnsi="仿宋" w:eastAsia="仿宋" w:cs="仿宋_GB2312"/>
                <w:color w:val="auto"/>
                <w:sz w:val="21"/>
                <w:szCs w:val="21"/>
                <w:lang w:val="zh-CN"/>
              </w:rPr>
            </w:pPr>
            <w:r>
              <w:rPr>
                <w:rFonts w:hint="eastAsia" w:ascii="仿宋" w:hAnsi="仿宋" w:eastAsia="仿宋" w:cs="仿宋_GB2312"/>
                <w:color w:val="auto"/>
                <w:sz w:val="21"/>
                <w:szCs w:val="21"/>
                <w:lang w:val="zh-CN"/>
              </w:rPr>
              <w:t>《中华人民共和国政府采购法》第二十二条规定</w:t>
            </w:r>
          </w:p>
        </w:tc>
        <w:tc>
          <w:tcPr>
            <w:tcW w:w="3118" w:type="dxa"/>
            <w:vAlign w:val="center"/>
          </w:tcPr>
          <w:p>
            <w:pPr>
              <w:rPr>
                <w:rFonts w:ascii="仿宋" w:hAnsi="仿宋" w:eastAsia="仿宋"/>
                <w:color w:val="auto"/>
                <w:sz w:val="21"/>
                <w:szCs w:val="21"/>
              </w:rPr>
            </w:pPr>
            <w:r>
              <w:rPr>
                <w:rFonts w:hint="eastAsia" w:ascii="仿宋" w:hAnsi="仿宋" w:eastAsia="仿宋"/>
                <w:color w:val="auto"/>
                <w:sz w:val="21"/>
                <w:szCs w:val="21"/>
              </w:rPr>
              <w:t>1.具有独立承担民事责任的能力</w:t>
            </w:r>
          </w:p>
        </w:tc>
        <w:tc>
          <w:tcPr>
            <w:tcW w:w="4984" w:type="dxa"/>
            <w:vAlign w:val="center"/>
          </w:tcPr>
          <w:p>
            <w:pPr>
              <w:rPr>
                <w:rFonts w:ascii="仿宋" w:hAnsi="仿宋" w:eastAsia="仿宋"/>
                <w:color w:val="auto"/>
                <w:sz w:val="21"/>
                <w:szCs w:val="21"/>
              </w:rPr>
            </w:pPr>
            <w:r>
              <w:rPr>
                <w:rFonts w:hint="eastAsia" w:ascii="仿宋" w:hAnsi="仿宋" w:eastAsia="仿宋"/>
                <w:color w:val="auto"/>
                <w:sz w:val="21"/>
                <w:szCs w:val="21"/>
              </w:rPr>
              <w:t xml:space="preserve">1.供应商法人营业执照（副本）或事业单位法人证书（副本）或个体工商户营业执照或有效的自然人身份证明或社会团体法人登记证书（提供复印件）。 </w:t>
            </w:r>
          </w:p>
          <w:p>
            <w:pPr>
              <w:rPr>
                <w:rFonts w:ascii="仿宋" w:hAnsi="仿宋" w:eastAsia="仿宋"/>
                <w:color w:val="auto"/>
                <w:sz w:val="21"/>
                <w:szCs w:val="21"/>
              </w:rPr>
            </w:pPr>
            <w:r>
              <w:rPr>
                <w:rFonts w:hint="eastAsia" w:ascii="仿宋" w:hAnsi="仿宋" w:eastAsia="仿宋"/>
                <w:color w:val="auto"/>
                <w:sz w:val="21"/>
                <w:szCs w:val="21"/>
              </w:rPr>
              <w:t>2.供应商法定代表人/负责人身份证明和法定代表人/负责人授权代表委托书。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仿宋" w:hAnsi="仿宋" w:eastAsia="仿宋"/>
                <w:color w:val="auto"/>
                <w:sz w:val="21"/>
                <w:szCs w:val="21"/>
              </w:rPr>
            </w:pPr>
          </w:p>
        </w:tc>
        <w:tc>
          <w:tcPr>
            <w:tcW w:w="709" w:type="dxa"/>
            <w:vMerge w:val="continue"/>
            <w:vAlign w:val="center"/>
          </w:tcPr>
          <w:p>
            <w:pPr>
              <w:rPr>
                <w:rFonts w:ascii="仿宋" w:hAnsi="仿宋" w:eastAsia="仿宋" w:cs="仿宋_GB2312"/>
                <w:color w:val="auto"/>
                <w:sz w:val="21"/>
                <w:szCs w:val="21"/>
                <w:lang w:val="zh-CN"/>
              </w:rPr>
            </w:pPr>
          </w:p>
        </w:tc>
        <w:tc>
          <w:tcPr>
            <w:tcW w:w="3118" w:type="dxa"/>
            <w:vAlign w:val="center"/>
          </w:tcPr>
          <w:p>
            <w:pPr>
              <w:rPr>
                <w:rFonts w:ascii="仿宋" w:hAnsi="仿宋" w:eastAsia="仿宋"/>
                <w:color w:val="auto"/>
                <w:sz w:val="21"/>
                <w:szCs w:val="21"/>
              </w:rPr>
            </w:pPr>
            <w:r>
              <w:rPr>
                <w:rFonts w:hint="eastAsia" w:ascii="仿宋" w:hAnsi="仿宋" w:eastAsia="仿宋" w:cs="仿宋_GB2312"/>
                <w:color w:val="auto"/>
                <w:sz w:val="21"/>
                <w:szCs w:val="21"/>
                <w:lang w:val="zh-CN"/>
              </w:rPr>
              <w:t>2.</w:t>
            </w:r>
            <w:r>
              <w:rPr>
                <w:rFonts w:hint="eastAsia" w:ascii="仿宋" w:hAnsi="仿宋" w:eastAsia="仿宋"/>
                <w:color w:val="auto"/>
                <w:sz w:val="21"/>
                <w:szCs w:val="21"/>
              </w:rPr>
              <w:t>具有良好的商业信誉和健全的财务会计制度</w:t>
            </w:r>
          </w:p>
        </w:tc>
        <w:tc>
          <w:tcPr>
            <w:tcW w:w="4984" w:type="dxa"/>
            <w:vMerge w:val="restart"/>
            <w:vAlign w:val="center"/>
          </w:tcPr>
          <w:p>
            <w:pPr>
              <w:rPr>
                <w:rFonts w:ascii="仿宋" w:hAnsi="仿宋" w:eastAsia="仿宋"/>
                <w:b/>
                <w:color w:val="auto"/>
                <w:sz w:val="21"/>
                <w:szCs w:val="21"/>
              </w:rPr>
            </w:pPr>
            <w:r>
              <w:rPr>
                <w:rFonts w:hint="eastAsia" w:ascii="仿宋" w:hAnsi="仿宋" w:eastAsia="仿宋"/>
                <w:color w:val="auto"/>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仿宋" w:hAnsi="仿宋" w:eastAsia="仿宋"/>
                <w:color w:val="auto"/>
                <w:sz w:val="21"/>
                <w:szCs w:val="21"/>
              </w:rPr>
            </w:pPr>
          </w:p>
        </w:tc>
        <w:tc>
          <w:tcPr>
            <w:tcW w:w="709" w:type="dxa"/>
            <w:vMerge w:val="continue"/>
            <w:vAlign w:val="center"/>
          </w:tcPr>
          <w:p>
            <w:pPr>
              <w:rPr>
                <w:rFonts w:ascii="仿宋" w:hAnsi="仿宋" w:eastAsia="仿宋" w:cs="仿宋_GB2312"/>
                <w:color w:val="auto"/>
                <w:sz w:val="21"/>
                <w:szCs w:val="21"/>
                <w:lang w:val="zh-CN"/>
              </w:rPr>
            </w:pPr>
          </w:p>
        </w:tc>
        <w:tc>
          <w:tcPr>
            <w:tcW w:w="3118" w:type="dxa"/>
            <w:vAlign w:val="center"/>
          </w:tcPr>
          <w:p>
            <w:pPr>
              <w:rPr>
                <w:rFonts w:ascii="仿宋" w:hAnsi="仿宋" w:eastAsia="仿宋" w:cs="仿宋_GB2312"/>
                <w:color w:val="auto"/>
                <w:sz w:val="21"/>
                <w:szCs w:val="21"/>
                <w:lang w:val="zh-CN"/>
              </w:rPr>
            </w:pPr>
            <w:r>
              <w:rPr>
                <w:rFonts w:hint="eastAsia" w:ascii="仿宋" w:hAnsi="仿宋" w:eastAsia="仿宋" w:cs="仿宋_GB2312"/>
                <w:color w:val="auto"/>
                <w:sz w:val="21"/>
                <w:szCs w:val="21"/>
                <w:lang w:val="zh-CN"/>
              </w:rPr>
              <w:t>3.具有履行合同所必需的设备和专业技术能力</w:t>
            </w:r>
          </w:p>
        </w:tc>
        <w:tc>
          <w:tcPr>
            <w:tcW w:w="4984" w:type="dxa"/>
            <w:vMerge w:val="continue"/>
            <w:vAlign w:val="center"/>
          </w:tcPr>
          <w:p>
            <w:pP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仿宋" w:hAnsi="仿宋" w:eastAsia="仿宋"/>
                <w:color w:val="auto"/>
                <w:sz w:val="21"/>
                <w:szCs w:val="21"/>
              </w:rPr>
            </w:pPr>
          </w:p>
        </w:tc>
        <w:tc>
          <w:tcPr>
            <w:tcW w:w="709" w:type="dxa"/>
            <w:vMerge w:val="continue"/>
            <w:vAlign w:val="center"/>
          </w:tcPr>
          <w:p>
            <w:pPr>
              <w:rPr>
                <w:rFonts w:ascii="仿宋" w:hAnsi="仿宋" w:eastAsia="仿宋" w:cs="仿宋_GB2312"/>
                <w:color w:val="auto"/>
                <w:sz w:val="21"/>
                <w:szCs w:val="21"/>
                <w:lang w:val="zh-CN"/>
              </w:rPr>
            </w:pPr>
          </w:p>
        </w:tc>
        <w:tc>
          <w:tcPr>
            <w:tcW w:w="3118" w:type="dxa"/>
            <w:vAlign w:val="center"/>
          </w:tcPr>
          <w:p>
            <w:pPr>
              <w:rPr>
                <w:rFonts w:ascii="仿宋" w:hAnsi="仿宋" w:eastAsia="仿宋" w:cs="仿宋_GB2312"/>
                <w:color w:val="auto"/>
                <w:sz w:val="21"/>
                <w:szCs w:val="21"/>
                <w:lang w:val="zh-CN"/>
              </w:rPr>
            </w:pPr>
            <w:r>
              <w:rPr>
                <w:rFonts w:hint="eastAsia" w:ascii="仿宋" w:hAnsi="仿宋" w:eastAsia="仿宋" w:cs="仿宋_GB2312"/>
                <w:color w:val="auto"/>
                <w:sz w:val="21"/>
                <w:szCs w:val="21"/>
                <w:lang w:val="zh-CN"/>
              </w:rPr>
              <w:t>4.有依法缴纳税收和社会保障金的良好记录</w:t>
            </w:r>
          </w:p>
        </w:tc>
        <w:tc>
          <w:tcPr>
            <w:tcW w:w="4984" w:type="dxa"/>
            <w:vMerge w:val="continue"/>
            <w:vAlign w:val="center"/>
          </w:tcPr>
          <w:p>
            <w:pP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仿宋" w:hAnsi="仿宋" w:eastAsia="仿宋"/>
                <w:color w:val="auto"/>
                <w:sz w:val="21"/>
                <w:szCs w:val="21"/>
              </w:rPr>
            </w:pPr>
          </w:p>
        </w:tc>
        <w:tc>
          <w:tcPr>
            <w:tcW w:w="709" w:type="dxa"/>
            <w:vMerge w:val="continue"/>
            <w:vAlign w:val="center"/>
          </w:tcPr>
          <w:p>
            <w:pPr>
              <w:rPr>
                <w:rFonts w:ascii="仿宋" w:hAnsi="仿宋" w:eastAsia="仿宋" w:cs="仿宋_GB2312"/>
                <w:color w:val="auto"/>
                <w:sz w:val="21"/>
                <w:szCs w:val="21"/>
                <w:lang w:val="zh-CN"/>
              </w:rPr>
            </w:pPr>
          </w:p>
        </w:tc>
        <w:tc>
          <w:tcPr>
            <w:tcW w:w="3118" w:type="dxa"/>
            <w:vAlign w:val="center"/>
          </w:tcPr>
          <w:p>
            <w:pPr>
              <w:rPr>
                <w:rFonts w:ascii="仿宋" w:hAnsi="仿宋" w:eastAsia="仿宋" w:cs="仿宋_GB2312"/>
                <w:color w:val="auto"/>
                <w:sz w:val="21"/>
                <w:szCs w:val="21"/>
                <w:lang w:val="zh-CN"/>
              </w:rPr>
            </w:pPr>
            <w:r>
              <w:rPr>
                <w:rFonts w:hint="eastAsia" w:ascii="仿宋" w:hAnsi="仿宋" w:eastAsia="仿宋"/>
                <w:color w:val="auto"/>
                <w:sz w:val="21"/>
                <w:szCs w:val="21"/>
              </w:rPr>
              <w:t>5.参加政府采购活动前三年内，在经营活动中没有重大违法记录</w:t>
            </w:r>
          </w:p>
        </w:tc>
        <w:tc>
          <w:tcPr>
            <w:tcW w:w="4984" w:type="dxa"/>
            <w:vMerge w:val="continue"/>
            <w:vAlign w:val="center"/>
          </w:tcPr>
          <w:p>
            <w:pPr>
              <w:rPr>
                <w:rFonts w:ascii="仿宋" w:hAnsi="仿宋" w:eastAsia="仿宋"/>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jc w:val="center"/>
              <w:rPr>
                <w:rFonts w:ascii="仿宋" w:hAnsi="仿宋" w:eastAsia="仿宋"/>
                <w:color w:val="auto"/>
                <w:sz w:val="21"/>
                <w:szCs w:val="21"/>
              </w:rPr>
            </w:pPr>
          </w:p>
        </w:tc>
        <w:tc>
          <w:tcPr>
            <w:tcW w:w="709" w:type="dxa"/>
            <w:vMerge w:val="continue"/>
            <w:vAlign w:val="center"/>
          </w:tcPr>
          <w:p>
            <w:pPr>
              <w:rPr>
                <w:rFonts w:ascii="仿宋" w:hAnsi="仿宋" w:eastAsia="仿宋" w:cs="仿宋_GB2312"/>
                <w:color w:val="auto"/>
                <w:sz w:val="21"/>
                <w:szCs w:val="21"/>
              </w:rPr>
            </w:pPr>
          </w:p>
        </w:tc>
        <w:tc>
          <w:tcPr>
            <w:tcW w:w="3118" w:type="dxa"/>
            <w:vAlign w:val="center"/>
          </w:tcPr>
          <w:p>
            <w:pPr>
              <w:rPr>
                <w:rFonts w:ascii="仿宋" w:hAnsi="仿宋" w:eastAsia="仿宋"/>
                <w:color w:val="auto"/>
                <w:sz w:val="21"/>
                <w:szCs w:val="21"/>
              </w:rPr>
            </w:pPr>
            <w:r>
              <w:rPr>
                <w:rFonts w:hint="eastAsia" w:ascii="仿宋" w:hAnsi="仿宋" w:eastAsia="仿宋"/>
                <w:color w:val="auto"/>
                <w:sz w:val="21"/>
                <w:szCs w:val="21"/>
              </w:rPr>
              <w:t>6.法律、行政法规规定的其他条件</w:t>
            </w:r>
          </w:p>
        </w:tc>
        <w:tc>
          <w:tcPr>
            <w:tcW w:w="4984" w:type="dxa"/>
            <w:vAlign w:val="center"/>
          </w:tcPr>
          <w:p>
            <w:pP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jc w:val="center"/>
              <w:rPr>
                <w:rFonts w:ascii="仿宋" w:hAnsi="仿宋" w:eastAsia="仿宋"/>
                <w:color w:val="auto"/>
                <w:sz w:val="21"/>
                <w:szCs w:val="21"/>
              </w:rPr>
            </w:pPr>
          </w:p>
        </w:tc>
        <w:tc>
          <w:tcPr>
            <w:tcW w:w="709" w:type="dxa"/>
            <w:vMerge w:val="continue"/>
            <w:vAlign w:val="center"/>
          </w:tcPr>
          <w:p>
            <w:pPr>
              <w:rPr>
                <w:rFonts w:ascii="仿宋" w:hAnsi="仿宋" w:eastAsia="仿宋" w:cs="仿宋_GB2312"/>
                <w:color w:val="auto"/>
                <w:sz w:val="21"/>
                <w:szCs w:val="21"/>
              </w:rPr>
            </w:pPr>
          </w:p>
        </w:tc>
        <w:tc>
          <w:tcPr>
            <w:tcW w:w="3118" w:type="dxa"/>
            <w:vAlign w:val="center"/>
          </w:tcPr>
          <w:p>
            <w:pPr>
              <w:rPr>
                <w:rFonts w:ascii="仿宋" w:hAnsi="仿宋" w:eastAsia="仿宋"/>
                <w:color w:val="auto"/>
                <w:sz w:val="21"/>
                <w:szCs w:val="21"/>
              </w:rPr>
            </w:pPr>
            <w:r>
              <w:rPr>
                <w:rFonts w:hint="eastAsia" w:ascii="仿宋" w:hAnsi="仿宋" w:eastAsia="仿宋"/>
                <w:color w:val="auto"/>
                <w:sz w:val="21"/>
                <w:szCs w:val="21"/>
              </w:rPr>
              <w:t>7.本项目的特定资格要求</w:t>
            </w:r>
          </w:p>
        </w:tc>
        <w:tc>
          <w:tcPr>
            <w:tcW w:w="4984" w:type="dxa"/>
            <w:vAlign w:val="center"/>
          </w:tcPr>
          <w:p>
            <w:pPr>
              <w:rPr>
                <w:rFonts w:ascii="仿宋" w:hAnsi="仿宋" w:eastAsia="仿宋"/>
                <w:color w:val="auto"/>
                <w:sz w:val="21"/>
                <w:szCs w:val="21"/>
              </w:rPr>
            </w:pPr>
            <w:r>
              <w:rPr>
                <w:rFonts w:hint="eastAsia" w:ascii="仿宋" w:hAnsi="仿宋" w:eastAsia="仿宋"/>
                <w:color w:val="auto"/>
                <w:sz w:val="21"/>
                <w:szCs w:val="21"/>
              </w:rPr>
              <w:t>按“第一篇三、供应商资格要求（三）本项目的特定资格要求”的要求提交（如果有）。</w:t>
            </w:r>
          </w:p>
        </w:tc>
      </w:tr>
    </w:tbl>
    <w:p>
      <w:pPr>
        <w:snapToGrid w:val="0"/>
        <w:spacing w:line="400" w:lineRule="exact"/>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注：</w:t>
      </w:r>
    </w:p>
    <w:p>
      <w:pPr>
        <w:snapToGrid w:val="0"/>
        <w:spacing w:line="400" w:lineRule="exact"/>
        <w:ind w:firstLine="480" w:firstLineChars="200"/>
        <w:rPr>
          <w:rFonts w:ascii="仿宋" w:hAnsi="仿宋" w:eastAsia="仿宋" w:cs="宋体"/>
          <w:color w:val="auto"/>
          <w:kern w:val="0"/>
          <w:sz w:val="24"/>
          <w:szCs w:val="24"/>
        </w:rPr>
      </w:pPr>
      <w:r>
        <w:rPr>
          <w:rFonts w:ascii="仿宋" w:hAnsi="仿宋" w:eastAsia="仿宋" w:cs="宋体"/>
          <w:color w:val="auto"/>
          <w:kern w:val="0"/>
          <w:sz w:val="24"/>
          <w:szCs w:val="24"/>
        </w:rPr>
        <w:fldChar w:fldCharType="begin"/>
      </w:r>
      <w:r>
        <w:rPr>
          <w:rFonts w:ascii="仿宋" w:hAnsi="仿宋" w:eastAsia="仿宋" w:cs="宋体"/>
          <w:color w:val="auto"/>
          <w:kern w:val="0"/>
          <w:sz w:val="24"/>
          <w:szCs w:val="24"/>
        </w:rPr>
        <w:instrText xml:space="preserve"> </w:instrText>
      </w:r>
      <w:r>
        <w:rPr>
          <w:rFonts w:hint="eastAsia" w:ascii="仿宋" w:hAnsi="仿宋" w:eastAsia="仿宋" w:cs="宋体"/>
          <w:color w:val="auto"/>
          <w:kern w:val="0"/>
          <w:sz w:val="24"/>
          <w:szCs w:val="24"/>
        </w:rPr>
        <w:instrText xml:space="preserve">eq \o\ac(○,</w:instrText>
      </w:r>
      <w:r>
        <w:rPr>
          <w:rFonts w:hint="eastAsia" w:ascii="仿宋" w:hAnsi="仿宋" w:eastAsia="仿宋" w:cs="宋体"/>
          <w:color w:val="auto"/>
          <w:kern w:val="0"/>
          <w:position w:val="3"/>
          <w:sz w:val="16"/>
          <w:szCs w:val="24"/>
        </w:rPr>
        <w:instrText xml:space="preserve">1</w:instrText>
      </w:r>
      <w:r>
        <w:rPr>
          <w:rFonts w:hint="eastAsia" w:ascii="仿宋" w:hAnsi="仿宋" w:eastAsia="仿宋" w:cs="宋体"/>
          <w:color w:val="auto"/>
          <w:kern w:val="0"/>
          <w:sz w:val="24"/>
          <w:szCs w:val="24"/>
        </w:rPr>
        <w:instrText xml:space="preserve">)</w:instrText>
      </w:r>
      <w:r>
        <w:rPr>
          <w:rFonts w:ascii="仿宋" w:hAnsi="仿宋" w:eastAsia="仿宋" w:cs="宋体"/>
          <w:color w:val="auto"/>
          <w:kern w:val="0"/>
          <w:sz w:val="24"/>
          <w:szCs w:val="24"/>
        </w:rPr>
        <w:fldChar w:fldCharType="end"/>
      </w:r>
      <w:r>
        <w:rPr>
          <w:rFonts w:hint="eastAsia" w:ascii="仿宋" w:hAnsi="仿宋" w:eastAsia="仿宋" w:cs="宋体"/>
          <w:color w:val="auto"/>
          <w:kern w:val="0"/>
          <w:sz w:val="24"/>
          <w:szCs w:val="24"/>
        </w:rPr>
        <w:t>根据《</w:t>
      </w:r>
      <w:r>
        <w:rPr>
          <w:rFonts w:ascii="仿宋" w:hAnsi="仿宋" w:eastAsia="仿宋" w:cs="宋体"/>
          <w:color w:val="auto"/>
          <w:kern w:val="0"/>
          <w:sz w:val="24"/>
          <w:szCs w:val="24"/>
        </w:rPr>
        <w:t>中华人民共和国政府采购法实施条例</w:t>
      </w:r>
      <w:r>
        <w:rPr>
          <w:rFonts w:hint="eastAsia" w:ascii="仿宋" w:hAnsi="仿宋" w:eastAsia="仿宋" w:cs="宋体"/>
          <w:color w:val="auto"/>
          <w:kern w:val="0"/>
          <w:sz w:val="24"/>
          <w:szCs w:val="24"/>
        </w:rPr>
        <w:t>》第十九条“参加政府采购活动前三年内，在经营活动中没有重大违法记录”中“重大违法记录”</w:t>
      </w:r>
      <w:r>
        <w:rPr>
          <w:rFonts w:ascii="仿宋" w:hAnsi="仿宋" w:eastAsia="仿宋" w:cs="宋体"/>
          <w:color w:val="auto"/>
          <w:kern w:val="0"/>
          <w:sz w:val="24"/>
          <w:szCs w:val="24"/>
        </w:rPr>
        <w:t>，是指供应商因违法经营受到刑事处罚或者责令停产停业、吊销许可证或者执照、较大数额罚款等行政处罚。</w:t>
      </w:r>
      <w:r>
        <w:rPr>
          <w:rFonts w:hint="eastAsia" w:ascii="仿宋" w:hAnsi="仿宋" w:eastAsia="仿宋" w:cs="宋体"/>
          <w:color w:val="auto"/>
          <w:kern w:val="0"/>
          <w:sz w:val="24"/>
          <w:szCs w:val="24"/>
        </w:rPr>
        <w:t>行政处罚中“较大数额”的认定标准，按照“</w:t>
      </w:r>
      <w:r>
        <w:rPr>
          <w:rFonts w:ascii="仿宋" w:hAnsi="仿宋" w:eastAsia="仿宋" w:cs="宋体"/>
          <w:color w:val="auto"/>
          <w:kern w:val="0"/>
          <w:sz w:val="24"/>
          <w:szCs w:val="24"/>
        </w:rPr>
        <w:t>财政部关于《中华人民共和国政府采购法实施条例》第十九条第一款“较大数额罚款”具体适用问题的意见</w:t>
      </w:r>
      <w:r>
        <w:rPr>
          <w:rFonts w:hint="eastAsia" w:ascii="仿宋" w:hAnsi="仿宋" w:eastAsia="仿宋" w:cs="宋体"/>
          <w:color w:val="auto"/>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仿宋" w:hAnsi="仿宋" w:eastAsia="仿宋"/>
          <w:color w:val="auto"/>
          <w:kern w:val="0"/>
          <w:sz w:val="24"/>
          <w:szCs w:val="24"/>
        </w:rPr>
      </w:pPr>
      <w:r>
        <w:rPr>
          <w:rFonts w:hint="eastAsia" w:ascii="仿宋" w:hAnsi="仿宋" w:eastAsia="仿宋" w:cs="宋体"/>
          <w:color w:val="auto"/>
          <w:kern w:val="0"/>
          <w:sz w:val="24"/>
          <w:szCs w:val="24"/>
        </w:rPr>
        <w:t>2.符合性审查。依据竞争性磋商文件的规定，从响应文件的有效性、完整性和对竞争性磋商文件的响应程度进行审查，以确定是否对竞争性磋商文件的实质性要求作出响应。</w:t>
      </w:r>
      <w:r>
        <w:rPr>
          <w:rFonts w:hint="eastAsia" w:ascii="仿宋" w:hAnsi="仿宋" w:eastAsia="仿宋"/>
          <w:color w:val="auto"/>
          <w:kern w:val="0"/>
          <w:sz w:val="24"/>
          <w:szCs w:val="24"/>
        </w:rPr>
        <w:t>符合性审查资料表如下：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jc w:val="center"/>
              <w:rPr>
                <w:rFonts w:ascii="仿宋" w:hAnsi="仿宋" w:eastAsia="仿宋" w:cs="宋体"/>
                <w:b/>
                <w:color w:val="auto"/>
                <w:kern w:val="0"/>
                <w:sz w:val="21"/>
                <w:szCs w:val="21"/>
              </w:rPr>
            </w:pPr>
            <w:r>
              <w:rPr>
                <w:rFonts w:hint="eastAsia" w:ascii="仿宋" w:hAnsi="仿宋" w:eastAsia="仿宋" w:cs="宋体"/>
                <w:b/>
                <w:color w:val="auto"/>
                <w:kern w:val="0"/>
                <w:sz w:val="21"/>
                <w:szCs w:val="21"/>
              </w:rPr>
              <w:t>序号</w:t>
            </w:r>
          </w:p>
        </w:tc>
        <w:tc>
          <w:tcPr>
            <w:tcW w:w="3544" w:type="dxa"/>
            <w:gridSpan w:val="2"/>
            <w:vAlign w:val="center"/>
          </w:tcPr>
          <w:p>
            <w:pPr>
              <w:jc w:val="center"/>
              <w:rPr>
                <w:rFonts w:ascii="仿宋" w:hAnsi="仿宋" w:eastAsia="仿宋" w:cs="宋体"/>
                <w:b/>
                <w:color w:val="auto"/>
                <w:kern w:val="0"/>
                <w:sz w:val="21"/>
                <w:szCs w:val="21"/>
              </w:rPr>
            </w:pPr>
            <w:r>
              <w:rPr>
                <w:rFonts w:hint="eastAsia" w:ascii="仿宋" w:hAnsi="仿宋" w:eastAsia="仿宋" w:cs="宋体"/>
                <w:b/>
                <w:color w:val="auto"/>
                <w:kern w:val="0"/>
                <w:sz w:val="21"/>
                <w:szCs w:val="21"/>
              </w:rPr>
              <w:t>评审因素</w:t>
            </w:r>
          </w:p>
        </w:tc>
        <w:tc>
          <w:tcPr>
            <w:tcW w:w="5409" w:type="dxa"/>
            <w:vAlign w:val="center"/>
          </w:tcPr>
          <w:p>
            <w:pPr>
              <w:jc w:val="center"/>
              <w:rPr>
                <w:rFonts w:ascii="仿宋" w:hAnsi="仿宋" w:eastAsia="仿宋" w:cs="宋体"/>
                <w:b/>
                <w:color w:val="auto"/>
                <w:kern w:val="0"/>
                <w:sz w:val="21"/>
                <w:szCs w:val="21"/>
              </w:rPr>
            </w:pPr>
            <w:r>
              <w:rPr>
                <w:rFonts w:hint="eastAsia" w:ascii="仿宋" w:hAnsi="仿宋" w:eastAsia="仿宋" w:cs="宋体"/>
                <w:b/>
                <w:color w:val="auto"/>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1</w:t>
            </w:r>
          </w:p>
        </w:tc>
        <w:tc>
          <w:tcPr>
            <w:tcW w:w="1560" w:type="dxa"/>
            <w:vMerge w:val="restart"/>
            <w:vAlign w:val="center"/>
          </w:tcPr>
          <w:p>
            <w:pPr>
              <w:rPr>
                <w:rFonts w:ascii="仿宋" w:hAnsi="仿宋" w:eastAsia="仿宋" w:cs="宋体"/>
                <w:color w:val="auto"/>
                <w:kern w:val="0"/>
                <w:sz w:val="21"/>
                <w:szCs w:val="21"/>
              </w:rPr>
            </w:pPr>
            <w:r>
              <w:rPr>
                <w:rFonts w:hint="eastAsia" w:ascii="仿宋" w:hAnsi="仿宋" w:eastAsia="仿宋" w:cs="宋体"/>
                <w:color w:val="auto"/>
                <w:kern w:val="0"/>
                <w:sz w:val="21"/>
                <w:szCs w:val="21"/>
              </w:rPr>
              <w:t>有效性审查</w:t>
            </w:r>
          </w:p>
        </w:tc>
        <w:tc>
          <w:tcPr>
            <w:tcW w:w="1984" w:type="dxa"/>
            <w:vAlign w:val="center"/>
          </w:tcPr>
          <w:p>
            <w:pPr>
              <w:rPr>
                <w:rFonts w:ascii="仿宋" w:hAnsi="仿宋" w:eastAsia="仿宋" w:cs="宋体"/>
                <w:color w:val="auto"/>
                <w:kern w:val="0"/>
                <w:sz w:val="21"/>
                <w:szCs w:val="21"/>
              </w:rPr>
            </w:pPr>
            <w:r>
              <w:rPr>
                <w:rFonts w:hint="eastAsia" w:ascii="仿宋" w:hAnsi="仿宋" w:eastAsia="仿宋"/>
                <w:color w:val="auto"/>
                <w:sz w:val="21"/>
                <w:szCs w:val="21"/>
              </w:rPr>
              <w:t>响应文件签署或盖章</w:t>
            </w:r>
          </w:p>
        </w:tc>
        <w:tc>
          <w:tcPr>
            <w:tcW w:w="5409" w:type="dxa"/>
            <w:vAlign w:val="center"/>
          </w:tcPr>
          <w:p>
            <w:pPr>
              <w:rPr>
                <w:rFonts w:ascii="仿宋" w:hAnsi="仿宋" w:eastAsia="仿宋" w:cs="宋体"/>
                <w:color w:val="auto"/>
                <w:kern w:val="0"/>
                <w:sz w:val="21"/>
                <w:szCs w:val="21"/>
              </w:rPr>
            </w:pPr>
            <w:r>
              <w:rPr>
                <w:rFonts w:hint="eastAsia" w:ascii="仿宋" w:hAnsi="仿宋" w:eastAsia="仿宋"/>
                <w:color w:val="auto"/>
                <w:sz w:val="21"/>
                <w:szCs w:val="21"/>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vAlign w:val="center"/>
          </w:tcPr>
          <w:p>
            <w:pPr>
              <w:jc w:val="center"/>
              <w:rPr>
                <w:rFonts w:ascii="仿宋" w:hAnsi="仿宋" w:eastAsia="仿宋" w:cs="宋体"/>
                <w:color w:val="auto"/>
                <w:kern w:val="0"/>
                <w:sz w:val="21"/>
                <w:szCs w:val="21"/>
              </w:rPr>
            </w:pPr>
          </w:p>
        </w:tc>
        <w:tc>
          <w:tcPr>
            <w:tcW w:w="1560" w:type="dxa"/>
            <w:vMerge w:val="continue"/>
            <w:vAlign w:val="center"/>
          </w:tcPr>
          <w:p>
            <w:pPr>
              <w:rPr>
                <w:rFonts w:ascii="仿宋" w:hAnsi="仿宋" w:eastAsia="仿宋" w:cs="宋体"/>
                <w:color w:val="auto"/>
                <w:kern w:val="0"/>
                <w:sz w:val="21"/>
                <w:szCs w:val="21"/>
              </w:rPr>
            </w:pPr>
          </w:p>
        </w:tc>
        <w:tc>
          <w:tcPr>
            <w:tcW w:w="1984" w:type="dxa"/>
            <w:vAlign w:val="center"/>
          </w:tcPr>
          <w:p>
            <w:pPr>
              <w:rPr>
                <w:rFonts w:ascii="仿宋" w:hAnsi="仿宋" w:eastAsia="仿宋"/>
                <w:color w:val="auto"/>
                <w:sz w:val="21"/>
                <w:szCs w:val="21"/>
              </w:rPr>
            </w:pPr>
            <w:r>
              <w:rPr>
                <w:rFonts w:hint="eastAsia" w:ascii="仿宋" w:hAnsi="仿宋" w:eastAsia="仿宋"/>
                <w:color w:val="auto"/>
                <w:sz w:val="21"/>
                <w:szCs w:val="21"/>
              </w:rPr>
              <w:t>法定代表人/负责人身份证明及授权委托书</w:t>
            </w:r>
          </w:p>
        </w:tc>
        <w:tc>
          <w:tcPr>
            <w:tcW w:w="5409" w:type="dxa"/>
            <w:vAlign w:val="center"/>
          </w:tcPr>
          <w:p>
            <w:pPr>
              <w:rPr>
                <w:rFonts w:ascii="仿宋" w:hAnsi="仿宋" w:eastAsia="仿宋"/>
                <w:color w:val="auto"/>
                <w:sz w:val="21"/>
                <w:szCs w:val="21"/>
              </w:rPr>
            </w:pPr>
            <w:r>
              <w:rPr>
                <w:rFonts w:hint="eastAsia" w:ascii="仿宋" w:hAnsi="仿宋" w:eastAsia="仿宋"/>
                <w:color w:val="auto"/>
                <w:sz w:val="21"/>
                <w:szCs w:val="21"/>
              </w:rPr>
              <w:t>法定代表人/负责人身份证明及授权委托书有效，符合竞争性磋商文件规定的格式，签署或盖章齐全。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jc w:val="center"/>
              <w:rPr>
                <w:rFonts w:ascii="仿宋" w:hAnsi="仿宋" w:eastAsia="仿宋" w:cs="宋体"/>
                <w:color w:val="auto"/>
                <w:kern w:val="0"/>
                <w:sz w:val="21"/>
                <w:szCs w:val="21"/>
              </w:rPr>
            </w:pPr>
          </w:p>
        </w:tc>
        <w:tc>
          <w:tcPr>
            <w:tcW w:w="1560" w:type="dxa"/>
            <w:vMerge w:val="continue"/>
            <w:vAlign w:val="center"/>
          </w:tcPr>
          <w:p>
            <w:pPr>
              <w:rPr>
                <w:rFonts w:ascii="仿宋" w:hAnsi="仿宋" w:eastAsia="仿宋" w:cs="宋体"/>
                <w:color w:val="auto"/>
                <w:kern w:val="0"/>
                <w:sz w:val="21"/>
                <w:szCs w:val="21"/>
              </w:rPr>
            </w:pPr>
          </w:p>
        </w:tc>
        <w:tc>
          <w:tcPr>
            <w:tcW w:w="1984" w:type="dxa"/>
            <w:vAlign w:val="center"/>
          </w:tcPr>
          <w:p>
            <w:pPr>
              <w:rPr>
                <w:rFonts w:ascii="仿宋" w:hAnsi="仿宋" w:eastAsia="仿宋" w:cs="仿宋_GB2312"/>
                <w:color w:val="auto"/>
                <w:sz w:val="21"/>
                <w:szCs w:val="21"/>
                <w:lang w:val="zh-CN"/>
              </w:rPr>
            </w:pPr>
            <w:r>
              <w:rPr>
                <w:rFonts w:hint="eastAsia" w:ascii="仿宋" w:hAnsi="仿宋" w:eastAsia="仿宋" w:cs="仿宋_GB2312"/>
                <w:color w:val="auto"/>
                <w:sz w:val="21"/>
                <w:szCs w:val="21"/>
              </w:rPr>
              <w:t>响应</w:t>
            </w:r>
            <w:r>
              <w:rPr>
                <w:rFonts w:hint="eastAsia" w:ascii="仿宋" w:hAnsi="仿宋" w:eastAsia="仿宋" w:cs="仿宋_GB2312"/>
                <w:color w:val="auto"/>
                <w:sz w:val="21"/>
                <w:szCs w:val="21"/>
                <w:lang w:val="zh-CN"/>
              </w:rPr>
              <w:t>方案</w:t>
            </w:r>
          </w:p>
        </w:tc>
        <w:tc>
          <w:tcPr>
            <w:tcW w:w="5409" w:type="dxa"/>
            <w:vAlign w:val="center"/>
          </w:tcPr>
          <w:p>
            <w:pPr>
              <w:rPr>
                <w:rFonts w:ascii="仿宋" w:hAnsi="仿宋" w:eastAsia="仿宋" w:cs="宋体"/>
                <w:color w:val="auto"/>
                <w:kern w:val="0"/>
                <w:sz w:val="21"/>
                <w:szCs w:val="21"/>
              </w:rPr>
            </w:pPr>
            <w:r>
              <w:rPr>
                <w:rFonts w:hint="eastAsia" w:ascii="仿宋" w:hAnsi="仿宋" w:eastAsia="仿宋" w:cs="仿宋_GB2312"/>
                <w:color w:val="auto"/>
                <w:sz w:val="21"/>
                <w:szCs w:val="21"/>
                <w:lang w:val="zh-CN"/>
              </w:rPr>
              <w:t>每个包只能有一个</w:t>
            </w:r>
            <w:r>
              <w:rPr>
                <w:rFonts w:hint="eastAsia" w:ascii="仿宋" w:hAnsi="仿宋" w:eastAsia="仿宋" w:cs="仿宋_GB2312"/>
                <w:color w:val="auto"/>
                <w:sz w:val="21"/>
                <w:szCs w:val="21"/>
              </w:rPr>
              <w:t>响应</w:t>
            </w:r>
            <w:r>
              <w:rPr>
                <w:rFonts w:hint="eastAsia" w:ascii="仿宋" w:hAnsi="仿宋" w:eastAsia="仿宋" w:cs="仿宋_GB2312"/>
                <w:color w:val="auto"/>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jc w:val="center"/>
              <w:rPr>
                <w:rFonts w:ascii="仿宋" w:hAnsi="仿宋" w:eastAsia="仿宋" w:cs="宋体"/>
                <w:color w:val="auto"/>
                <w:kern w:val="0"/>
                <w:sz w:val="21"/>
                <w:szCs w:val="21"/>
              </w:rPr>
            </w:pPr>
          </w:p>
        </w:tc>
        <w:tc>
          <w:tcPr>
            <w:tcW w:w="1560" w:type="dxa"/>
            <w:vMerge w:val="continue"/>
            <w:vAlign w:val="center"/>
          </w:tcPr>
          <w:p>
            <w:pPr>
              <w:rPr>
                <w:rFonts w:ascii="仿宋" w:hAnsi="仿宋" w:eastAsia="仿宋" w:cs="宋体"/>
                <w:color w:val="auto"/>
                <w:kern w:val="0"/>
                <w:sz w:val="21"/>
                <w:szCs w:val="21"/>
              </w:rPr>
            </w:pPr>
          </w:p>
        </w:tc>
        <w:tc>
          <w:tcPr>
            <w:tcW w:w="1984" w:type="dxa"/>
            <w:vAlign w:val="center"/>
          </w:tcPr>
          <w:p>
            <w:pPr>
              <w:rPr>
                <w:rFonts w:ascii="仿宋" w:hAnsi="仿宋" w:eastAsia="仿宋" w:cs="仿宋_GB2312"/>
                <w:color w:val="auto"/>
                <w:sz w:val="21"/>
                <w:szCs w:val="21"/>
                <w:lang w:val="zh-CN"/>
              </w:rPr>
            </w:pPr>
            <w:r>
              <w:rPr>
                <w:rFonts w:hint="eastAsia" w:ascii="仿宋" w:hAnsi="仿宋" w:eastAsia="仿宋"/>
                <w:color w:val="auto"/>
                <w:sz w:val="21"/>
                <w:szCs w:val="21"/>
              </w:rPr>
              <w:t>报价唯一</w:t>
            </w:r>
          </w:p>
        </w:tc>
        <w:tc>
          <w:tcPr>
            <w:tcW w:w="5409" w:type="dxa"/>
            <w:vAlign w:val="center"/>
          </w:tcPr>
          <w:p>
            <w:pPr>
              <w:rPr>
                <w:rFonts w:ascii="仿宋" w:hAnsi="仿宋" w:eastAsia="仿宋" w:cs="宋体"/>
                <w:color w:val="auto"/>
                <w:kern w:val="0"/>
                <w:sz w:val="21"/>
                <w:szCs w:val="21"/>
              </w:rPr>
            </w:pPr>
            <w:r>
              <w:rPr>
                <w:rFonts w:hint="eastAsia" w:ascii="仿宋" w:hAnsi="仿宋" w:eastAsia="仿宋"/>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75" w:type="dxa"/>
            <w:vAlign w:val="center"/>
          </w:tcPr>
          <w:p>
            <w:pPr>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w:t>
            </w:r>
          </w:p>
        </w:tc>
        <w:tc>
          <w:tcPr>
            <w:tcW w:w="1560" w:type="dxa"/>
            <w:vAlign w:val="center"/>
          </w:tcPr>
          <w:p>
            <w:pPr>
              <w:rPr>
                <w:rFonts w:ascii="仿宋" w:hAnsi="仿宋" w:eastAsia="仿宋" w:cs="宋体"/>
                <w:color w:val="auto"/>
                <w:kern w:val="0"/>
                <w:sz w:val="21"/>
                <w:szCs w:val="21"/>
              </w:rPr>
            </w:pPr>
            <w:r>
              <w:rPr>
                <w:rFonts w:hint="eastAsia" w:ascii="仿宋" w:hAnsi="仿宋" w:eastAsia="仿宋" w:cs="宋体"/>
                <w:color w:val="auto"/>
                <w:kern w:val="0"/>
                <w:sz w:val="21"/>
                <w:szCs w:val="21"/>
              </w:rPr>
              <w:t>完整性审查</w:t>
            </w:r>
          </w:p>
        </w:tc>
        <w:tc>
          <w:tcPr>
            <w:tcW w:w="1984" w:type="dxa"/>
            <w:vAlign w:val="center"/>
          </w:tcPr>
          <w:p>
            <w:pPr>
              <w:rPr>
                <w:rFonts w:ascii="仿宋" w:hAnsi="仿宋" w:eastAsia="仿宋" w:cs="宋体"/>
                <w:color w:val="auto"/>
                <w:kern w:val="0"/>
                <w:sz w:val="21"/>
                <w:szCs w:val="21"/>
              </w:rPr>
            </w:pPr>
            <w:r>
              <w:rPr>
                <w:rFonts w:hint="eastAsia" w:ascii="仿宋" w:hAnsi="仿宋" w:eastAsia="仿宋" w:cs="仿宋_GB2312"/>
                <w:color w:val="auto"/>
                <w:sz w:val="21"/>
                <w:szCs w:val="21"/>
              </w:rPr>
              <w:t>响应</w:t>
            </w:r>
            <w:r>
              <w:rPr>
                <w:rFonts w:hint="eastAsia" w:ascii="仿宋" w:hAnsi="仿宋" w:eastAsia="仿宋" w:cs="仿宋_GB2312"/>
                <w:color w:val="auto"/>
                <w:sz w:val="21"/>
                <w:szCs w:val="21"/>
                <w:lang w:val="zh-CN"/>
              </w:rPr>
              <w:t>文件份数</w:t>
            </w:r>
          </w:p>
        </w:tc>
        <w:tc>
          <w:tcPr>
            <w:tcW w:w="5409" w:type="dxa"/>
            <w:vAlign w:val="center"/>
          </w:tcPr>
          <w:p>
            <w:pPr>
              <w:rPr>
                <w:rFonts w:ascii="仿宋" w:hAnsi="仿宋" w:eastAsia="仿宋" w:cs="宋体"/>
                <w:color w:val="auto"/>
                <w:kern w:val="0"/>
                <w:sz w:val="21"/>
                <w:szCs w:val="21"/>
              </w:rPr>
            </w:pPr>
            <w:r>
              <w:rPr>
                <w:rFonts w:hint="eastAsia" w:ascii="仿宋" w:hAnsi="仿宋" w:eastAsia="仿宋" w:cs="仿宋_GB2312"/>
                <w:color w:val="auto"/>
                <w:sz w:val="21"/>
                <w:szCs w:val="21"/>
              </w:rPr>
              <w:t>响应</w:t>
            </w:r>
            <w:r>
              <w:rPr>
                <w:rFonts w:hint="eastAsia" w:ascii="仿宋" w:hAnsi="仿宋" w:eastAsia="仿宋" w:cs="仿宋_GB2312"/>
                <w:color w:val="auto"/>
                <w:sz w:val="21"/>
                <w:szCs w:val="21"/>
                <w:lang w:val="zh-CN"/>
              </w:rPr>
              <w:t>文件正、副本数量符合</w:t>
            </w:r>
            <w:r>
              <w:rPr>
                <w:rFonts w:hint="eastAsia" w:ascii="仿宋" w:hAnsi="仿宋" w:eastAsia="仿宋" w:cs="仿宋_GB2312"/>
                <w:color w:val="auto"/>
                <w:sz w:val="21"/>
                <w:szCs w:val="21"/>
              </w:rPr>
              <w:t>竞争性磋商</w:t>
            </w:r>
            <w:r>
              <w:rPr>
                <w:rFonts w:hint="eastAsia" w:ascii="仿宋" w:hAnsi="仿宋" w:eastAsia="仿宋" w:cs="仿宋_GB2312"/>
                <w:color w:val="auto"/>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3</w:t>
            </w:r>
          </w:p>
        </w:tc>
        <w:tc>
          <w:tcPr>
            <w:tcW w:w="1560" w:type="dxa"/>
            <w:vMerge w:val="restart"/>
            <w:vAlign w:val="center"/>
          </w:tcPr>
          <w:p>
            <w:pPr>
              <w:rPr>
                <w:rFonts w:ascii="仿宋" w:hAnsi="仿宋" w:eastAsia="仿宋" w:cs="仿宋_GB2312"/>
                <w:color w:val="auto"/>
                <w:sz w:val="21"/>
                <w:szCs w:val="21"/>
                <w:lang w:val="zh-CN"/>
              </w:rPr>
            </w:pPr>
            <w:r>
              <w:rPr>
                <w:rFonts w:hint="eastAsia" w:ascii="仿宋" w:hAnsi="仿宋" w:eastAsia="仿宋" w:cs="宋体"/>
                <w:color w:val="auto"/>
                <w:kern w:val="0"/>
                <w:sz w:val="21"/>
                <w:szCs w:val="21"/>
              </w:rPr>
              <w:t>响应程度审查</w:t>
            </w:r>
          </w:p>
        </w:tc>
        <w:tc>
          <w:tcPr>
            <w:tcW w:w="1984" w:type="dxa"/>
            <w:vAlign w:val="center"/>
          </w:tcPr>
          <w:p>
            <w:pPr>
              <w:rPr>
                <w:rFonts w:ascii="仿宋" w:hAnsi="仿宋" w:eastAsia="仿宋" w:cs="宋体"/>
                <w:color w:val="auto"/>
                <w:kern w:val="0"/>
                <w:sz w:val="21"/>
                <w:szCs w:val="21"/>
              </w:rPr>
            </w:pPr>
            <w:r>
              <w:rPr>
                <w:rFonts w:hint="eastAsia" w:ascii="仿宋" w:hAnsi="仿宋" w:eastAsia="仿宋" w:cs="宋体"/>
                <w:color w:val="auto"/>
                <w:kern w:val="0"/>
                <w:sz w:val="21"/>
                <w:szCs w:val="21"/>
              </w:rPr>
              <w:t>实质性响应</w:t>
            </w:r>
          </w:p>
        </w:tc>
        <w:tc>
          <w:tcPr>
            <w:tcW w:w="5409" w:type="dxa"/>
            <w:vAlign w:val="center"/>
          </w:tcPr>
          <w:p>
            <w:pPr>
              <w:pStyle w:val="33"/>
              <w:rPr>
                <w:rFonts w:ascii="仿宋" w:hAnsi="仿宋" w:eastAsia="仿宋" w:cs="宋体"/>
                <w:color w:val="auto"/>
                <w:kern w:val="0"/>
                <w:sz w:val="21"/>
                <w:szCs w:val="21"/>
              </w:rPr>
            </w:pPr>
            <w:r>
              <w:rPr>
                <w:rFonts w:hint="eastAsia" w:ascii="仿宋" w:hAnsi="仿宋" w:eastAsia="仿宋" w:cs="宋体"/>
                <w:color w:val="auto"/>
                <w:kern w:val="0"/>
                <w:sz w:val="21"/>
                <w:szCs w:val="21"/>
              </w:rPr>
              <w:t>竞争性磋商文件第二篇、第三篇“</w:t>
            </w:r>
            <w:r>
              <w:rPr>
                <w:rFonts w:hint="eastAsia" w:ascii="仿宋" w:hAnsi="仿宋" w:eastAsia="仿宋"/>
                <w:color w:val="auto"/>
                <w:sz w:val="24"/>
                <w:szCs w:val="24"/>
              </w:rPr>
              <w:t>※</w:t>
            </w:r>
            <w:r>
              <w:rPr>
                <w:rFonts w:hint="eastAsia" w:ascii="仿宋" w:hAnsi="仿宋" w:eastAsia="仿宋" w:cs="宋体"/>
                <w:color w:val="auto"/>
                <w:kern w:val="0"/>
                <w:sz w:val="21"/>
                <w:szCs w:val="21"/>
              </w:rPr>
              <w:t>”标注部分。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675" w:type="dxa"/>
            <w:vMerge w:val="continue"/>
            <w:vAlign w:val="center"/>
          </w:tcPr>
          <w:p>
            <w:pPr>
              <w:jc w:val="center"/>
              <w:rPr>
                <w:rFonts w:ascii="仿宋" w:hAnsi="仿宋" w:eastAsia="仿宋" w:cs="宋体"/>
                <w:color w:val="auto"/>
                <w:kern w:val="0"/>
                <w:sz w:val="21"/>
                <w:szCs w:val="21"/>
              </w:rPr>
            </w:pPr>
          </w:p>
        </w:tc>
        <w:tc>
          <w:tcPr>
            <w:tcW w:w="1560" w:type="dxa"/>
            <w:vMerge w:val="continue"/>
            <w:vAlign w:val="center"/>
          </w:tcPr>
          <w:p>
            <w:pPr>
              <w:rPr>
                <w:rFonts w:ascii="仿宋" w:hAnsi="仿宋" w:eastAsia="仿宋" w:cs="仿宋_GB2312"/>
                <w:color w:val="auto"/>
                <w:sz w:val="21"/>
                <w:szCs w:val="21"/>
                <w:lang w:val="zh-CN"/>
              </w:rPr>
            </w:pPr>
          </w:p>
        </w:tc>
        <w:tc>
          <w:tcPr>
            <w:tcW w:w="1984" w:type="dxa"/>
            <w:vAlign w:val="center"/>
          </w:tcPr>
          <w:p>
            <w:pPr>
              <w:rPr>
                <w:rFonts w:ascii="仿宋" w:hAnsi="仿宋" w:eastAsia="仿宋" w:cs="宋体"/>
                <w:color w:val="auto"/>
                <w:kern w:val="0"/>
                <w:sz w:val="21"/>
                <w:szCs w:val="21"/>
              </w:rPr>
            </w:pPr>
            <w:r>
              <w:rPr>
                <w:rFonts w:hint="eastAsia" w:ascii="仿宋" w:hAnsi="仿宋" w:eastAsia="仿宋" w:cs="宋体"/>
                <w:color w:val="auto"/>
                <w:kern w:val="0"/>
                <w:sz w:val="21"/>
                <w:szCs w:val="21"/>
              </w:rPr>
              <w:t>磋商有效期</w:t>
            </w:r>
          </w:p>
        </w:tc>
        <w:tc>
          <w:tcPr>
            <w:tcW w:w="5409" w:type="dxa"/>
            <w:vAlign w:val="center"/>
          </w:tcPr>
          <w:p>
            <w:pPr>
              <w:rPr>
                <w:rFonts w:ascii="仿宋" w:hAnsi="仿宋" w:eastAsia="仿宋" w:cs="宋体"/>
                <w:color w:val="auto"/>
                <w:kern w:val="0"/>
                <w:sz w:val="21"/>
                <w:szCs w:val="21"/>
              </w:rPr>
            </w:pPr>
            <w:r>
              <w:rPr>
                <w:rFonts w:hint="eastAsia" w:ascii="仿宋" w:hAnsi="仿宋" w:eastAsia="仿宋" w:cs="宋体"/>
                <w:color w:val="auto"/>
                <w:kern w:val="0"/>
                <w:sz w:val="21"/>
                <w:szCs w:val="21"/>
              </w:rPr>
              <w:t>响应文件及有关承诺文件有效期为提交响应文件截止时间起90天。</w:t>
            </w:r>
          </w:p>
        </w:tc>
      </w:tr>
    </w:tbl>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磋商小组要求供应商澄清、说明或者更正响应文件应当以书面形式作出。供应商的澄清、说明或者更正应当由法定代表人/负责人（或其授权代表）或自然人（供应商为自然人）签署或者加盖公章。由授权代表签署的，应当附法定代表人/负责人授权书。供应商为自然人的，应当由本人签署并附身份证明。</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（五）在磋商过程中磋商的任何一方不得向他人透露与磋商有关的服务资料、价格或其他信息。</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（七）供应商在磋商时作出的所有书面承诺须由法定代表人/负责人（或其授权代表）或自然人（供应商为自然人）签署。</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w:t>
      </w:r>
      <w:r>
        <w:rPr>
          <w:rFonts w:ascii="仿宋" w:hAnsi="仿宋" w:eastAsia="仿宋"/>
          <w:color w:val="auto"/>
          <w:sz w:val="24"/>
          <w:szCs w:val="24"/>
        </w:rPr>
        <w:t>已提交响应文件</w:t>
      </w:r>
      <w:r>
        <w:rPr>
          <w:rFonts w:hint="eastAsia" w:ascii="仿宋" w:hAnsi="仿宋" w:eastAsia="仿宋"/>
          <w:color w:val="auto"/>
          <w:sz w:val="24"/>
          <w:szCs w:val="24"/>
        </w:rPr>
        <w:t>但未在规定时间内进行最后报价</w:t>
      </w:r>
      <w:r>
        <w:rPr>
          <w:rFonts w:ascii="仿宋" w:hAnsi="仿宋" w:eastAsia="仿宋"/>
          <w:color w:val="auto"/>
          <w:sz w:val="24"/>
          <w:szCs w:val="24"/>
        </w:rPr>
        <w:t>的供应商，</w:t>
      </w:r>
      <w:r>
        <w:rPr>
          <w:rFonts w:hint="eastAsia" w:ascii="仿宋" w:hAnsi="仿宋" w:eastAsia="仿宋"/>
          <w:color w:val="auto"/>
          <w:sz w:val="24"/>
          <w:szCs w:val="24"/>
        </w:rPr>
        <w:t>视为放弃最后报价，以供应商响应文件中的报价为准。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（九）磋商小组采用综合评分法对提交最后报价的供应商的响应文件和最后报价（含有效书面承诺）进行综合评分。</w:t>
      </w:r>
      <w:r>
        <w:rPr>
          <w:rFonts w:hint="eastAsia" w:ascii="仿宋" w:hAnsi="仿宋" w:eastAsia="仿宋" w:cs="宋体"/>
          <w:color w:val="auto"/>
          <w:kern w:val="0"/>
          <w:sz w:val="24"/>
          <w:szCs w:val="24"/>
        </w:rPr>
        <w:t>综合评分法，是指响应</w:t>
      </w:r>
      <w:r>
        <w:rPr>
          <w:rFonts w:ascii="仿宋" w:hAnsi="仿宋" w:eastAsia="仿宋" w:cs="宋体"/>
          <w:color w:val="auto"/>
          <w:kern w:val="0"/>
          <w:sz w:val="24"/>
          <w:szCs w:val="24"/>
        </w:rPr>
        <w:t>文件满足</w:t>
      </w:r>
      <w:r>
        <w:rPr>
          <w:rFonts w:hint="eastAsia" w:ascii="仿宋" w:hAnsi="仿宋" w:eastAsia="仿宋" w:cs="宋体"/>
          <w:color w:val="auto"/>
          <w:kern w:val="0"/>
          <w:sz w:val="24"/>
          <w:szCs w:val="24"/>
        </w:rPr>
        <w:t>竞争性磋商</w:t>
      </w:r>
      <w:r>
        <w:rPr>
          <w:rFonts w:ascii="仿宋" w:hAnsi="仿宋" w:eastAsia="仿宋" w:cs="宋体"/>
          <w:color w:val="auto"/>
          <w:kern w:val="0"/>
          <w:sz w:val="24"/>
          <w:szCs w:val="24"/>
        </w:rPr>
        <w:t>文件全部实质性要求且按照评审因素的量化指标评审得分最高的供应商为</w:t>
      </w:r>
      <w:r>
        <w:rPr>
          <w:rFonts w:hint="eastAsia" w:ascii="仿宋" w:hAnsi="仿宋" w:eastAsia="仿宋" w:cs="宋体"/>
          <w:color w:val="auto"/>
          <w:kern w:val="0"/>
          <w:sz w:val="24"/>
          <w:szCs w:val="24"/>
        </w:rPr>
        <w:t>成交</w:t>
      </w:r>
      <w:r>
        <w:rPr>
          <w:rFonts w:ascii="仿宋" w:hAnsi="仿宋" w:eastAsia="仿宋" w:cs="宋体"/>
          <w:color w:val="auto"/>
          <w:kern w:val="0"/>
          <w:sz w:val="24"/>
          <w:szCs w:val="24"/>
        </w:rPr>
        <w:t>候选</w:t>
      </w:r>
      <w:r>
        <w:rPr>
          <w:rFonts w:hint="eastAsia" w:ascii="仿宋" w:hAnsi="仿宋" w:eastAsia="仿宋" w:cs="宋体"/>
          <w:color w:val="auto"/>
          <w:kern w:val="0"/>
          <w:sz w:val="24"/>
          <w:szCs w:val="24"/>
        </w:rPr>
        <w:t>供应商</w:t>
      </w:r>
      <w:r>
        <w:rPr>
          <w:rFonts w:ascii="仿宋" w:hAnsi="仿宋" w:eastAsia="仿宋" w:cs="宋体"/>
          <w:color w:val="auto"/>
          <w:kern w:val="0"/>
          <w:sz w:val="24"/>
          <w:szCs w:val="24"/>
        </w:rPr>
        <w:t>的</w:t>
      </w:r>
      <w:r>
        <w:rPr>
          <w:rFonts w:hint="eastAsia" w:ascii="仿宋" w:hAnsi="仿宋" w:eastAsia="仿宋" w:cs="宋体"/>
          <w:color w:val="auto"/>
          <w:kern w:val="0"/>
          <w:sz w:val="24"/>
          <w:szCs w:val="24"/>
        </w:rPr>
        <w:t>评审</w:t>
      </w:r>
      <w:r>
        <w:rPr>
          <w:rFonts w:ascii="仿宋" w:hAnsi="仿宋" w:eastAsia="仿宋" w:cs="宋体"/>
          <w:color w:val="auto"/>
          <w:kern w:val="0"/>
          <w:sz w:val="24"/>
          <w:szCs w:val="24"/>
        </w:rPr>
        <w:t>方法</w:t>
      </w:r>
      <w:r>
        <w:rPr>
          <w:rFonts w:hint="eastAsia" w:ascii="仿宋" w:hAnsi="仿宋" w:eastAsia="仿宋" w:cs="宋体"/>
          <w:color w:val="auto"/>
          <w:kern w:val="0"/>
          <w:sz w:val="24"/>
          <w:szCs w:val="24"/>
        </w:rPr>
        <w:t>。供应商总得分为价格、服务、商务等评定因素分别按照相应权重值计算分项得分后相加，满分为100分</w:t>
      </w:r>
      <w:r>
        <w:rPr>
          <w:rFonts w:hint="eastAsia" w:ascii="仿宋" w:hAnsi="仿宋" w:eastAsia="仿宋"/>
          <w:color w:val="auto"/>
          <w:sz w:val="24"/>
          <w:szCs w:val="24"/>
        </w:rPr>
        <w:t>。</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（十）磋商小组各成员独立对每个有效响应（通过资格性审查、</w:t>
      </w:r>
      <w:r>
        <w:rPr>
          <w:rFonts w:hint="eastAsia" w:ascii="仿宋" w:hAnsi="仿宋" w:eastAsia="仿宋" w:cs="宋体"/>
          <w:color w:val="auto"/>
          <w:kern w:val="0"/>
          <w:sz w:val="24"/>
          <w:szCs w:val="24"/>
        </w:rPr>
        <w:t>符合性审查的供应商</w:t>
      </w:r>
      <w:r>
        <w:rPr>
          <w:rFonts w:hint="eastAsia" w:ascii="仿宋" w:hAnsi="仿宋" w:eastAsia="仿宋"/>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提示：请慎重考虑</w:t>
      </w:r>
      <w:r>
        <w:rPr>
          <w:rFonts w:ascii="仿宋" w:hAnsi="仿宋" w:eastAsia="仿宋"/>
          <w:color w:val="auto"/>
          <w:sz w:val="24"/>
          <w:szCs w:val="24"/>
        </w:rPr>
        <w:t>是否推荐</w:t>
      </w:r>
      <w:r>
        <w:rPr>
          <w:rFonts w:hint="eastAsia" w:ascii="仿宋" w:hAnsi="仿宋" w:eastAsia="仿宋"/>
          <w:color w:val="auto"/>
          <w:sz w:val="24"/>
          <w:szCs w:val="24"/>
        </w:rPr>
        <w:t>服务部分</w:t>
      </w:r>
      <w:r>
        <w:rPr>
          <w:rFonts w:ascii="仿宋" w:hAnsi="仿宋" w:eastAsia="仿宋"/>
          <w:color w:val="auto"/>
          <w:sz w:val="24"/>
          <w:szCs w:val="24"/>
        </w:rPr>
        <w:t>得分为</w:t>
      </w:r>
      <w:r>
        <w:rPr>
          <w:rFonts w:hint="eastAsia" w:ascii="仿宋" w:hAnsi="仿宋" w:eastAsia="仿宋"/>
          <w:color w:val="auto"/>
          <w:sz w:val="24"/>
          <w:szCs w:val="24"/>
        </w:rPr>
        <w:t>0分</w:t>
      </w:r>
      <w:r>
        <w:rPr>
          <w:rFonts w:ascii="仿宋" w:hAnsi="仿宋" w:eastAsia="仿宋"/>
          <w:color w:val="auto"/>
          <w:sz w:val="24"/>
          <w:szCs w:val="24"/>
        </w:rPr>
        <w:t>的</w:t>
      </w:r>
      <w:r>
        <w:rPr>
          <w:rFonts w:hint="eastAsia" w:ascii="仿宋" w:hAnsi="仿宋" w:eastAsia="仿宋"/>
          <w:color w:val="auto"/>
          <w:sz w:val="24"/>
          <w:szCs w:val="24"/>
        </w:rPr>
        <w:t>供应商</w:t>
      </w:r>
      <w:r>
        <w:rPr>
          <w:rFonts w:ascii="仿宋" w:hAnsi="仿宋" w:eastAsia="仿宋"/>
          <w:color w:val="auto"/>
          <w:sz w:val="24"/>
          <w:szCs w:val="24"/>
        </w:rPr>
        <w:t>成为</w:t>
      </w:r>
      <w:r>
        <w:rPr>
          <w:rFonts w:hint="eastAsia" w:ascii="仿宋" w:hAnsi="仿宋" w:eastAsia="仿宋"/>
          <w:color w:val="auto"/>
          <w:sz w:val="24"/>
          <w:szCs w:val="24"/>
        </w:rPr>
        <w:t>成交候选供应商，应在</w:t>
      </w:r>
      <w:r>
        <w:rPr>
          <w:rFonts w:hint="eastAsia" w:ascii="仿宋" w:hAnsi="仿宋" w:eastAsia="仿宋" w:cs="宋体"/>
          <w:color w:val="auto"/>
          <w:kern w:val="0"/>
          <w:sz w:val="24"/>
          <w:szCs w:val="24"/>
        </w:rPr>
        <w:t>竞争性磋商</w:t>
      </w:r>
      <w:r>
        <w:rPr>
          <w:rFonts w:ascii="仿宋" w:hAnsi="仿宋" w:eastAsia="仿宋" w:cs="宋体"/>
          <w:color w:val="auto"/>
          <w:kern w:val="0"/>
          <w:sz w:val="24"/>
          <w:szCs w:val="24"/>
        </w:rPr>
        <w:t>文件</w:t>
      </w:r>
      <w:r>
        <w:rPr>
          <w:rFonts w:hint="eastAsia" w:ascii="仿宋" w:hAnsi="仿宋" w:eastAsia="仿宋"/>
          <w:color w:val="auto"/>
          <w:sz w:val="24"/>
          <w:szCs w:val="24"/>
        </w:rPr>
        <w:t>中对该种情况的处理方式予以明确</w:t>
      </w:r>
      <w:r>
        <w:rPr>
          <w:rFonts w:ascii="仿宋" w:hAnsi="仿宋" w:eastAsia="仿宋"/>
          <w:color w:val="auto"/>
          <w:sz w:val="24"/>
          <w:szCs w:val="24"/>
        </w:rPr>
        <w:t>。</w:t>
      </w:r>
      <w:r>
        <w:rPr>
          <w:rFonts w:hint="eastAsia" w:ascii="仿宋" w:hAnsi="仿宋" w:eastAsia="仿宋"/>
          <w:color w:val="auto"/>
          <w:sz w:val="24"/>
          <w:szCs w:val="24"/>
        </w:rPr>
        <w:t>）</w:t>
      </w:r>
    </w:p>
    <w:p>
      <w:pPr>
        <w:pStyle w:val="4"/>
        <w:adjustRightInd w:val="0"/>
        <w:snapToGrid w:val="0"/>
        <w:spacing w:line="240" w:lineRule="auto"/>
        <w:ind w:firstLine="482" w:firstLineChars="200"/>
        <w:rPr>
          <w:rFonts w:ascii="仿宋" w:hAnsi="仿宋" w:eastAsia="仿宋"/>
          <w:color w:val="auto"/>
          <w:sz w:val="24"/>
        </w:rPr>
      </w:pPr>
      <w:bookmarkStart w:id="97" w:name="_Toc76462334"/>
      <w:bookmarkStart w:id="98" w:name="_Toc187768647"/>
      <w:r>
        <w:rPr>
          <w:rFonts w:hint="eastAsia" w:ascii="仿宋" w:hAnsi="仿宋" w:eastAsia="仿宋"/>
          <w:color w:val="auto"/>
          <w:sz w:val="24"/>
        </w:rPr>
        <w:t>二、</w:t>
      </w:r>
      <w:bookmarkStart w:id="99" w:name="_Toc102227320"/>
      <w:bookmarkStart w:id="100" w:name="_Toc342913394"/>
      <w:r>
        <w:rPr>
          <w:rFonts w:hint="eastAsia" w:ascii="仿宋" w:hAnsi="仿宋" w:eastAsia="仿宋"/>
          <w:color w:val="auto"/>
          <w:sz w:val="24"/>
        </w:rPr>
        <w:t>评审标准</w:t>
      </w:r>
      <w:bookmarkEnd w:id="97"/>
      <w:bookmarkEnd w:id="98"/>
    </w:p>
    <w:tbl>
      <w:tblPr>
        <w:tblStyle w:val="58"/>
        <w:tblW w:w="95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21"/>
        <w:gridCol w:w="945"/>
        <w:gridCol w:w="5079"/>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pacing w:line="240" w:lineRule="atLeast"/>
              <w:ind w:firstLine="28"/>
              <w:jc w:val="center"/>
              <w:rPr>
                <w:rFonts w:ascii="仿宋" w:hAnsi="仿宋" w:eastAsia="仿宋" w:cs="仿宋"/>
                <w:b/>
                <w:color w:val="auto"/>
                <w:sz w:val="24"/>
                <w:szCs w:val="24"/>
              </w:rPr>
            </w:pPr>
            <w:r>
              <w:rPr>
                <w:rFonts w:hint="eastAsia" w:ascii="仿宋" w:hAnsi="仿宋" w:eastAsia="仿宋" w:cs="仿宋"/>
                <w:b/>
                <w:color w:val="auto"/>
                <w:sz w:val="24"/>
                <w:szCs w:val="24"/>
              </w:rPr>
              <w:t>序号</w:t>
            </w:r>
          </w:p>
        </w:tc>
        <w:tc>
          <w:tcPr>
            <w:tcW w:w="1321" w:type="dxa"/>
            <w:vAlign w:val="center"/>
          </w:tcPr>
          <w:p>
            <w:pPr>
              <w:spacing w:line="240" w:lineRule="atLeast"/>
              <w:ind w:firstLine="28"/>
              <w:jc w:val="center"/>
              <w:rPr>
                <w:rFonts w:ascii="仿宋" w:hAnsi="仿宋" w:eastAsia="仿宋" w:cs="仿宋"/>
                <w:b/>
                <w:color w:val="auto"/>
                <w:sz w:val="24"/>
                <w:szCs w:val="24"/>
              </w:rPr>
            </w:pPr>
            <w:r>
              <w:rPr>
                <w:rFonts w:hint="eastAsia" w:ascii="仿宋" w:hAnsi="仿宋" w:eastAsia="仿宋" w:cs="仿宋"/>
                <w:b/>
                <w:color w:val="auto"/>
                <w:sz w:val="24"/>
                <w:szCs w:val="24"/>
              </w:rPr>
              <w:t>评分因素</w:t>
            </w:r>
          </w:p>
          <w:p>
            <w:pPr>
              <w:spacing w:line="240" w:lineRule="atLeast"/>
              <w:ind w:firstLine="28"/>
              <w:jc w:val="center"/>
              <w:rPr>
                <w:rFonts w:ascii="仿宋" w:hAnsi="仿宋" w:eastAsia="仿宋" w:cs="仿宋"/>
                <w:b/>
                <w:color w:val="auto"/>
                <w:sz w:val="24"/>
                <w:szCs w:val="24"/>
              </w:rPr>
            </w:pPr>
            <w:r>
              <w:rPr>
                <w:rFonts w:hint="eastAsia" w:ascii="仿宋" w:hAnsi="仿宋" w:eastAsia="仿宋" w:cs="仿宋"/>
                <w:b/>
                <w:color w:val="auto"/>
                <w:sz w:val="24"/>
                <w:szCs w:val="24"/>
              </w:rPr>
              <w:t>及权重</w:t>
            </w:r>
          </w:p>
        </w:tc>
        <w:tc>
          <w:tcPr>
            <w:tcW w:w="945" w:type="dxa"/>
            <w:vAlign w:val="center"/>
          </w:tcPr>
          <w:p>
            <w:pPr>
              <w:spacing w:line="240" w:lineRule="atLeast"/>
              <w:ind w:firstLine="28"/>
              <w:jc w:val="center"/>
              <w:rPr>
                <w:rFonts w:ascii="仿宋" w:hAnsi="仿宋" w:eastAsia="仿宋" w:cs="仿宋"/>
                <w:b/>
                <w:color w:val="auto"/>
                <w:sz w:val="24"/>
                <w:szCs w:val="24"/>
              </w:rPr>
            </w:pPr>
            <w:r>
              <w:rPr>
                <w:rFonts w:hint="eastAsia" w:ascii="仿宋" w:hAnsi="仿宋" w:eastAsia="仿宋" w:cs="仿宋"/>
                <w:b/>
                <w:color w:val="auto"/>
                <w:sz w:val="24"/>
                <w:szCs w:val="24"/>
              </w:rPr>
              <w:t>分值</w:t>
            </w:r>
          </w:p>
        </w:tc>
        <w:tc>
          <w:tcPr>
            <w:tcW w:w="5079" w:type="dxa"/>
            <w:vAlign w:val="center"/>
          </w:tcPr>
          <w:p>
            <w:pPr>
              <w:spacing w:line="240" w:lineRule="atLeast"/>
              <w:ind w:firstLine="28"/>
              <w:jc w:val="center"/>
              <w:rPr>
                <w:rFonts w:ascii="仿宋" w:hAnsi="仿宋" w:eastAsia="仿宋" w:cs="仿宋"/>
                <w:b/>
                <w:color w:val="auto"/>
                <w:sz w:val="24"/>
                <w:szCs w:val="24"/>
              </w:rPr>
            </w:pPr>
            <w:r>
              <w:rPr>
                <w:rFonts w:hint="eastAsia" w:ascii="仿宋" w:hAnsi="仿宋" w:eastAsia="仿宋" w:cs="仿宋"/>
                <w:b/>
                <w:color w:val="auto"/>
                <w:sz w:val="24"/>
                <w:szCs w:val="24"/>
              </w:rPr>
              <w:t>评分标准</w:t>
            </w:r>
          </w:p>
        </w:tc>
        <w:tc>
          <w:tcPr>
            <w:tcW w:w="1408" w:type="dxa"/>
            <w:vAlign w:val="center"/>
          </w:tcPr>
          <w:p>
            <w:pPr>
              <w:pStyle w:val="239"/>
              <w:spacing w:before="0" w:after="0" w:line="240" w:lineRule="atLeast"/>
              <w:jc w:val="both"/>
              <w:rPr>
                <w:rFonts w:ascii="仿宋" w:hAnsi="仿宋" w:eastAsia="仿宋" w:cs="仿宋"/>
                <w:color w:val="auto"/>
                <w:szCs w:val="24"/>
              </w:rPr>
            </w:pPr>
            <w:r>
              <w:rPr>
                <w:rFonts w:hint="eastAsia" w:ascii="仿宋" w:hAnsi="仿宋" w:eastAsia="仿宋" w:cs="仿宋"/>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831" w:type="dxa"/>
            <w:vAlign w:val="center"/>
          </w:tcPr>
          <w:p>
            <w:pPr>
              <w:snapToGrid w:val="0"/>
              <w:spacing w:line="400" w:lineRule="exact"/>
              <w:jc w:val="center"/>
              <w:rPr>
                <w:rFonts w:ascii="仿宋" w:hAnsi="仿宋" w:eastAsia="仿宋" w:cs="仿宋"/>
                <w:color w:val="auto"/>
                <w:sz w:val="22"/>
                <w:szCs w:val="22"/>
              </w:rPr>
            </w:pPr>
            <w:r>
              <w:rPr>
                <w:rFonts w:hint="eastAsia" w:ascii="仿宋" w:hAnsi="仿宋" w:eastAsia="仿宋" w:cs="仿宋"/>
                <w:color w:val="auto"/>
                <w:sz w:val="22"/>
                <w:szCs w:val="22"/>
              </w:rPr>
              <w:t>1</w:t>
            </w:r>
          </w:p>
        </w:tc>
        <w:tc>
          <w:tcPr>
            <w:tcW w:w="1321" w:type="dxa"/>
            <w:vAlign w:val="center"/>
          </w:tcPr>
          <w:p>
            <w:pPr>
              <w:snapToGrid w:val="0"/>
              <w:spacing w:line="400" w:lineRule="exact"/>
              <w:jc w:val="center"/>
              <w:rPr>
                <w:rFonts w:ascii="仿宋" w:hAnsi="仿宋" w:eastAsia="仿宋" w:cs="仿宋"/>
                <w:color w:val="auto"/>
                <w:sz w:val="22"/>
                <w:szCs w:val="22"/>
              </w:rPr>
            </w:pPr>
            <w:r>
              <w:rPr>
                <w:rFonts w:hint="eastAsia" w:ascii="仿宋" w:hAnsi="仿宋" w:eastAsia="仿宋" w:cs="仿宋"/>
                <w:color w:val="auto"/>
                <w:sz w:val="22"/>
                <w:szCs w:val="22"/>
              </w:rPr>
              <w:t>报价部分（30%）</w:t>
            </w:r>
          </w:p>
        </w:tc>
        <w:tc>
          <w:tcPr>
            <w:tcW w:w="945" w:type="dxa"/>
            <w:vAlign w:val="center"/>
          </w:tcPr>
          <w:p>
            <w:pPr>
              <w:snapToGrid w:val="0"/>
              <w:spacing w:line="400" w:lineRule="exact"/>
              <w:jc w:val="center"/>
              <w:rPr>
                <w:rFonts w:ascii="仿宋" w:hAnsi="仿宋" w:eastAsia="仿宋" w:cs="仿宋"/>
                <w:color w:val="auto"/>
                <w:sz w:val="22"/>
                <w:szCs w:val="22"/>
              </w:rPr>
            </w:pPr>
            <w:r>
              <w:rPr>
                <w:rFonts w:hint="eastAsia" w:ascii="仿宋" w:hAnsi="仿宋" w:eastAsia="仿宋" w:cs="仿宋"/>
                <w:color w:val="auto"/>
                <w:sz w:val="22"/>
                <w:szCs w:val="22"/>
              </w:rPr>
              <w:t>30</w:t>
            </w:r>
          </w:p>
        </w:tc>
        <w:tc>
          <w:tcPr>
            <w:tcW w:w="6487" w:type="dxa"/>
            <w:gridSpan w:val="2"/>
            <w:vAlign w:val="center"/>
          </w:tcPr>
          <w:p>
            <w:pPr>
              <w:snapToGrid w:val="0"/>
              <w:rPr>
                <w:rFonts w:ascii="仿宋" w:hAnsi="仿宋" w:eastAsia="仿宋" w:cs="仿宋"/>
                <w:color w:val="auto"/>
                <w:sz w:val="22"/>
                <w:szCs w:val="22"/>
              </w:rPr>
            </w:pPr>
            <w:r>
              <w:rPr>
                <w:rFonts w:hint="eastAsia" w:ascii="仿宋" w:hAnsi="仿宋" w:eastAsia="仿宋" w:cs="仿宋"/>
                <w:color w:val="auto"/>
                <w:sz w:val="22"/>
                <w:szCs w:val="22"/>
              </w:rPr>
              <w:t>满足磋商文件资格性、符合性审查要求且最后报价最低的供应商的价格为磋商基准价，其价格分为满分。其他供应商的价格分统一按照下列公式计算：</w:t>
            </w:r>
          </w:p>
          <w:p>
            <w:pPr>
              <w:snapToGrid w:val="0"/>
              <w:rPr>
                <w:rFonts w:ascii="仿宋" w:hAnsi="仿宋" w:eastAsia="仿宋" w:cs="仿宋"/>
                <w:color w:val="auto"/>
                <w:sz w:val="22"/>
                <w:szCs w:val="22"/>
              </w:rPr>
            </w:pPr>
            <w:r>
              <w:rPr>
                <w:rFonts w:hint="eastAsia" w:ascii="仿宋" w:hAnsi="仿宋" w:eastAsia="仿宋" w:cs="仿宋"/>
                <w:color w:val="auto"/>
                <w:sz w:val="22"/>
                <w:szCs w:val="22"/>
              </w:rPr>
              <w:t>磋商报价得分=（磋商基准价/最后磋商报价）×价格权值×100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2" w:hRule="atLeast"/>
          <w:jc w:val="center"/>
        </w:trPr>
        <w:tc>
          <w:tcPr>
            <w:tcW w:w="831" w:type="dxa"/>
            <w:vMerge w:val="restart"/>
            <w:vAlign w:val="center"/>
          </w:tcPr>
          <w:p>
            <w:pPr>
              <w:snapToGrid w:val="0"/>
              <w:spacing w:line="400" w:lineRule="exact"/>
              <w:jc w:val="center"/>
              <w:rPr>
                <w:rFonts w:ascii="仿宋" w:hAnsi="仿宋" w:eastAsia="仿宋" w:cs="仿宋"/>
                <w:color w:val="auto"/>
                <w:sz w:val="22"/>
                <w:szCs w:val="22"/>
              </w:rPr>
            </w:pPr>
            <w:r>
              <w:rPr>
                <w:rFonts w:hint="eastAsia" w:ascii="仿宋" w:hAnsi="仿宋" w:eastAsia="仿宋" w:cs="仿宋"/>
                <w:color w:val="auto"/>
                <w:sz w:val="22"/>
                <w:szCs w:val="22"/>
              </w:rPr>
              <w:t>2</w:t>
            </w:r>
          </w:p>
        </w:tc>
        <w:tc>
          <w:tcPr>
            <w:tcW w:w="1321" w:type="dxa"/>
            <w:vMerge w:val="restart"/>
            <w:vAlign w:val="center"/>
          </w:tcPr>
          <w:p>
            <w:pPr>
              <w:snapToGrid w:val="0"/>
              <w:spacing w:line="400" w:lineRule="exact"/>
              <w:jc w:val="center"/>
              <w:rPr>
                <w:rFonts w:ascii="仿宋" w:hAnsi="仿宋" w:eastAsia="仿宋" w:cs="仿宋"/>
                <w:color w:val="auto"/>
                <w:sz w:val="22"/>
                <w:szCs w:val="22"/>
              </w:rPr>
            </w:pPr>
            <w:r>
              <w:rPr>
                <w:rFonts w:hint="eastAsia" w:ascii="仿宋" w:hAnsi="仿宋" w:eastAsia="仿宋" w:cs="仿宋"/>
                <w:color w:val="auto"/>
                <w:sz w:val="22"/>
                <w:szCs w:val="22"/>
              </w:rPr>
              <w:t>技术部分</w:t>
            </w:r>
          </w:p>
          <w:p>
            <w:pPr>
              <w:snapToGrid w:val="0"/>
              <w:spacing w:line="400" w:lineRule="exact"/>
              <w:jc w:val="center"/>
              <w:rPr>
                <w:rFonts w:ascii="仿宋" w:hAnsi="仿宋" w:eastAsia="仿宋" w:cs="仿宋"/>
                <w:color w:val="auto"/>
                <w:sz w:val="22"/>
                <w:szCs w:val="22"/>
              </w:rPr>
            </w:pPr>
            <w:r>
              <w:rPr>
                <w:rFonts w:hint="eastAsia" w:ascii="仿宋" w:hAnsi="仿宋" w:eastAsia="仿宋" w:cs="仿宋"/>
                <w:color w:val="auto"/>
                <w:sz w:val="22"/>
                <w:szCs w:val="22"/>
              </w:rPr>
              <w:t>（60%）</w:t>
            </w:r>
          </w:p>
        </w:tc>
        <w:tc>
          <w:tcPr>
            <w:tcW w:w="945" w:type="dxa"/>
            <w:vAlign w:val="center"/>
          </w:tcPr>
          <w:p>
            <w:pPr>
              <w:snapToGrid w:val="0"/>
              <w:spacing w:line="400" w:lineRule="exact"/>
              <w:rPr>
                <w:rFonts w:ascii="仿宋" w:hAnsi="仿宋" w:eastAsia="仿宋" w:cs="仿宋"/>
                <w:color w:val="auto"/>
                <w:sz w:val="22"/>
                <w:szCs w:val="22"/>
              </w:rPr>
            </w:pPr>
            <w:r>
              <w:rPr>
                <w:rFonts w:hint="eastAsia" w:ascii="仿宋" w:hAnsi="仿宋" w:eastAsia="仿宋" w:cs="仿宋"/>
                <w:color w:val="auto"/>
                <w:sz w:val="21"/>
                <w:szCs w:val="21"/>
              </w:rPr>
              <w:t>项目实施方案（30分）</w:t>
            </w:r>
          </w:p>
        </w:tc>
        <w:tc>
          <w:tcPr>
            <w:tcW w:w="5079" w:type="dxa"/>
            <w:vAlign w:val="center"/>
          </w:tcPr>
          <w:p>
            <w:pPr>
              <w:snapToGrid w:val="0"/>
              <w:rPr>
                <w:rFonts w:ascii="仿宋" w:hAnsi="仿宋" w:eastAsia="仿宋" w:cs="仿宋"/>
                <w:color w:val="auto"/>
                <w:sz w:val="22"/>
                <w:szCs w:val="22"/>
              </w:rPr>
            </w:pPr>
            <w:r>
              <w:rPr>
                <w:rFonts w:hint="eastAsia" w:ascii="仿宋" w:hAnsi="仿宋" w:eastAsia="仿宋" w:cs="仿宋"/>
                <w:color w:val="auto"/>
                <w:sz w:val="22"/>
                <w:szCs w:val="22"/>
              </w:rPr>
              <w:t>供应商对具体需求及现场情况全面梳理，提供合理有效的实施方案。方案中应明确产品性能、技术方案、系统测试计划、质量保障、风险措施、安全性保障等详细信息。</w:t>
            </w:r>
            <w:r>
              <w:rPr>
                <w:rFonts w:hint="eastAsia" w:ascii="仿宋" w:hAnsi="仿宋" w:eastAsia="仿宋" w:cs="仿宋"/>
                <w:color w:val="auto"/>
                <w:sz w:val="22"/>
                <w:szCs w:val="22"/>
              </w:rPr>
              <w:br w:type="textWrapping"/>
            </w:r>
            <w:r>
              <w:rPr>
                <w:rFonts w:hint="eastAsia" w:ascii="仿宋" w:hAnsi="仿宋" w:eastAsia="仿宋" w:cs="仿宋"/>
                <w:color w:val="auto"/>
                <w:sz w:val="22"/>
                <w:szCs w:val="22"/>
              </w:rPr>
              <w:t>根据投标人方案的完整性、合理性进行综合评定：</w:t>
            </w:r>
          </w:p>
          <w:p>
            <w:pPr>
              <w:jc w:val="left"/>
              <w:rPr>
                <w:rFonts w:ascii="仿宋" w:hAnsi="仿宋" w:eastAsia="仿宋" w:cs="仿宋"/>
                <w:color w:val="auto"/>
                <w:sz w:val="21"/>
                <w:szCs w:val="21"/>
              </w:rPr>
            </w:pPr>
            <w:r>
              <w:rPr>
                <w:rFonts w:hint="eastAsia" w:ascii="仿宋" w:hAnsi="仿宋" w:eastAsia="仿宋" w:cs="仿宋"/>
                <w:color w:val="auto"/>
                <w:sz w:val="21"/>
                <w:szCs w:val="21"/>
              </w:rPr>
              <w:t>1.方案包含上述所有内容且符合招标文件中产品技术和性能要求的，内容不存在瑕疵的得30分；</w:t>
            </w:r>
          </w:p>
          <w:p>
            <w:pPr>
              <w:jc w:val="left"/>
              <w:rPr>
                <w:rFonts w:ascii="仿宋" w:hAnsi="仿宋" w:eastAsia="仿宋" w:cs="仿宋"/>
                <w:color w:val="auto"/>
                <w:sz w:val="21"/>
                <w:szCs w:val="21"/>
              </w:rPr>
            </w:pPr>
            <w:r>
              <w:rPr>
                <w:rFonts w:hint="eastAsia" w:ascii="仿宋" w:hAnsi="仿宋" w:eastAsia="仿宋" w:cs="仿宋"/>
                <w:color w:val="auto"/>
                <w:sz w:val="21"/>
                <w:szCs w:val="21"/>
              </w:rPr>
              <w:t>2.方案包含上述所有内容的基础上，产品技术性能和内容存在1处瑕疵的得20分；</w:t>
            </w:r>
          </w:p>
          <w:p>
            <w:pPr>
              <w:jc w:val="left"/>
              <w:rPr>
                <w:rFonts w:ascii="仿宋" w:hAnsi="仿宋" w:eastAsia="仿宋" w:cs="仿宋"/>
                <w:color w:val="auto"/>
                <w:sz w:val="21"/>
                <w:szCs w:val="21"/>
              </w:rPr>
            </w:pPr>
            <w:r>
              <w:rPr>
                <w:rFonts w:hint="eastAsia" w:ascii="仿宋" w:hAnsi="仿宋" w:eastAsia="仿宋" w:cs="仿宋"/>
                <w:color w:val="auto"/>
                <w:sz w:val="21"/>
                <w:szCs w:val="21"/>
              </w:rPr>
              <w:t>3.方案包含上述所有内容的基础上，产品技术性能和内容存在2处瑕疵的得15分；</w:t>
            </w:r>
          </w:p>
          <w:p>
            <w:pPr>
              <w:jc w:val="left"/>
              <w:rPr>
                <w:rFonts w:ascii="仿宋" w:hAnsi="仿宋" w:eastAsia="仿宋" w:cs="仿宋"/>
                <w:color w:val="auto"/>
                <w:sz w:val="21"/>
                <w:szCs w:val="21"/>
              </w:rPr>
            </w:pPr>
            <w:r>
              <w:rPr>
                <w:rFonts w:hint="eastAsia" w:ascii="仿宋" w:hAnsi="仿宋" w:eastAsia="仿宋" w:cs="仿宋"/>
                <w:color w:val="auto"/>
                <w:sz w:val="21"/>
                <w:szCs w:val="21"/>
              </w:rPr>
              <w:t>4.方案包含上述所有内容的基础上，产品技术性能和内容存在3处瑕疵的得10分；</w:t>
            </w:r>
          </w:p>
          <w:p>
            <w:pPr>
              <w:pStyle w:val="57"/>
              <w:ind w:left="0" w:leftChars="0" w:firstLine="0" w:firstLineChars="0"/>
              <w:rPr>
                <w:rFonts w:ascii="仿宋" w:hAnsi="仿宋" w:eastAsia="仿宋" w:cs="仿宋"/>
                <w:color w:val="auto"/>
                <w:sz w:val="22"/>
                <w:szCs w:val="22"/>
              </w:rPr>
            </w:pPr>
            <w:r>
              <w:rPr>
                <w:rFonts w:hint="eastAsia" w:ascii="仿宋" w:hAnsi="仿宋" w:eastAsia="仿宋" w:cs="仿宋"/>
                <w:color w:val="auto"/>
                <w:sz w:val="21"/>
                <w:szCs w:val="21"/>
              </w:rPr>
              <w:t>5.方案包含上述内容不全或产品技术性能和内容存在4处以上瑕疵的或未提供得0分。</w:t>
            </w:r>
          </w:p>
        </w:tc>
        <w:tc>
          <w:tcPr>
            <w:tcW w:w="1408" w:type="dxa"/>
            <w:vMerge w:val="restart"/>
            <w:vAlign w:val="center"/>
          </w:tcPr>
          <w:p>
            <w:pPr>
              <w:snapToGrid w:val="0"/>
              <w:rPr>
                <w:rFonts w:ascii="仿宋" w:hAnsi="仿宋" w:eastAsia="仿宋" w:cs="仿宋"/>
                <w:color w:val="auto"/>
                <w:sz w:val="21"/>
                <w:szCs w:val="21"/>
              </w:rPr>
            </w:pPr>
            <w:r>
              <w:rPr>
                <w:rFonts w:hint="eastAsia" w:ascii="仿宋" w:hAnsi="仿宋" w:eastAsia="仿宋" w:cs="仿宋"/>
                <w:color w:val="auto"/>
                <w:sz w:val="21"/>
                <w:szCs w:val="21"/>
              </w:rPr>
              <w:t>提供技术方案，格式自定。</w:t>
            </w:r>
          </w:p>
          <w:p>
            <w:pPr>
              <w:snapToGrid w:val="0"/>
              <w:ind w:firstLine="315" w:firstLineChars="150"/>
              <w:rPr>
                <w:rFonts w:ascii="仿宋" w:hAnsi="仿宋" w:eastAsia="仿宋" w:cs="仿宋"/>
                <w:color w:val="auto"/>
                <w:sz w:val="22"/>
                <w:szCs w:val="22"/>
              </w:rPr>
            </w:pPr>
            <w:r>
              <w:rPr>
                <w:rFonts w:hint="eastAsia" w:ascii="仿宋" w:hAnsi="仿宋" w:eastAsia="仿宋" w:cs="仿宋"/>
                <w:color w:val="auto"/>
                <w:sz w:val="21"/>
                <w:szCs w:val="21"/>
              </w:rPr>
              <w:t>方案评审标准：本项内容中所称的“瑕疵”是指内容与实际情况不符、内容与项目无关、内容表述错误、内容前后表述矛盾、内容与项目不匹配、项目信息错误、不符合本项目涉及的相关规范或标准或服务要求、套用其他方案、存在逻辑漏洞以及不可能实现的夸大情形、内容不完整或缺少关键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jc w:val="center"/>
        </w:trPr>
        <w:tc>
          <w:tcPr>
            <w:tcW w:w="831" w:type="dxa"/>
            <w:vMerge w:val="continue"/>
            <w:vAlign w:val="center"/>
          </w:tcPr>
          <w:p>
            <w:pPr>
              <w:snapToGrid w:val="0"/>
              <w:spacing w:line="400" w:lineRule="exact"/>
              <w:jc w:val="center"/>
              <w:rPr>
                <w:rFonts w:ascii="仿宋" w:hAnsi="仿宋" w:eastAsia="仿宋" w:cs="仿宋"/>
                <w:color w:val="auto"/>
                <w:sz w:val="22"/>
                <w:szCs w:val="22"/>
              </w:rPr>
            </w:pPr>
          </w:p>
        </w:tc>
        <w:tc>
          <w:tcPr>
            <w:tcW w:w="1321" w:type="dxa"/>
            <w:vMerge w:val="continue"/>
            <w:vAlign w:val="center"/>
          </w:tcPr>
          <w:p>
            <w:pPr>
              <w:snapToGrid w:val="0"/>
              <w:spacing w:line="400" w:lineRule="exact"/>
              <w:jc w:val="center"/>
              <w:rPr>
                <w:rFonts w:ascii="仿宋" w:hAnsi="仿宋" w:eastAsia="仿宋" w:cs="仿宋"/>
                <w:color w:val="auto"/>
                <w:sz w:val="22"/>
                <w:szCs w:val="22"/>
              </w:rPr>
            </w:pPr>
          </w:p>
        </w:tc>
        <w:tc>
          <w:tcPr>
            <w:tcW w:w="945" w:type="dxa"/>
            <w:vAlign w:val="center"/>
          </w:tcPr>
          <w:p>
            <w:pPr>
              <w:snapToGrid w:val="0"/>
              <w:spacing w:line="400" w:lineRule="exact"/>
              <w:rPr>
                <w:rFonts w:ascii="仿宋" w:hAnsi="仿宋" w:eastAsia="仿宋" w:cs="仿宋"/>
                <w:color w:val="auto"/>
                <w:sz w:val="22"/>
                <w:szCs w:val="22"/>
              </w:rPr>
            </w:pPr>
            <w:r>
              <w:rPr>
                <w:rFonts w:hint="eastAsia" w:ascii="仿宋" w:hAnsi="仿宋" w:eastAsia="仿宋" w:cs="仿宋"/>
                <w:color w:val="auto"/>
                <w:sz w:val="22"/>
                <w:szCs w:val="22"/>
              </w:rPr>
              <w:t>售后服务方案（30分）</w:t>
            </w:r>
          </w:p>
        </w:tc>
        <w:tc>
          <w:tcPr>
            <w:tcW w:w="5079" w:type="dxa"/>
            <w:vAlign w:val="center"/>
          </w:tcPr>
          <w:p>
            <w:pPr>
              <w:snapToGrid w:val="0"/>
              <w:rPr>
                <w:rFonts w:ascii="仿宋" w:hAnsi="仿宋" w:eastAsia="仿宋" w:cs="仿宋"/>
                <w:color w:val="auto"/>
                <w:sz w:val="22"/>
                <w:szCs w:val="22"/>
              </w:rPr>
            </w:pPr>
            <w:r>
              <w:rPr>
                <w:rFonts w:hint="eastAsia" w:ascii="仿宋" w:hAnsi="仿宋" w:eastAsia="仿宋" w:cs="仿宋"/>
                <w:color w:val="auto"/>
                <w:sz w:val="22"/>
                <w:szCs w:val="22"/>
              </w:rPr>
              <w:t>供应商提供售后服务方案，方案内容包括售后服务方式、服务团队、技术培训、故障处理（响应时间、上门时间、维修时间)等。对投标人提供的方案进行评审</w:t>
            </w:r>
          </w:p>
          <w:p>
            <w:pPr>
              <w:jc w:val="left"/>
              <w:rPr>
                <w:rFonts w:ascii="仿宋" w:hAnsi="仿宋" w:eastAsia="仿宋" w:cs="仿宋"/>
                <w:color w:val="auto"/>
                <w:sz w:val="21"/>
                <w:szCs w:val="21"/>
              </w:rPr>
            </w:pPr>
            <w:r>
              <w:rPr>
                <w:rFonts w:hint="eastAsia" w:ascii="仿宋" w:hAnsi="仿宋" w:eastAsia="仿宋" w:cs="仿宋"/>
                <w:color w:val="auto"/>
                <w:sz w:val="21"/>
                <w:szCs w:val="21"/>
              </w:rPr>
              <w:t>1.方案包含上述所有内容的基础上，内容不存在瑕疵的得30分；</w:t>
            </w:r>
          </w:p>
          <w:p>
            <w:pPr>
              <w:jc w:val="left"/>
              <w:rPr>
                <w:rFonts w:ascii="仿宋" w:hAnsi="仿宋" w:eastAsia="仿宋" w:cs="仿宋"/>
                <w:color w:val="auto"/>
                <w:sz w:val="21"/>
                <w:szCs w:val="21"/>
              </w:rPr>
            </w:pPr>
            <w:r>
              <w:rPr>
                <w:rFonts w:hint="eastAsia" w:ascii="仿宋" w:hAnsi="仿宋" w:eastAsia="仿宋" w:cs="仿宋"/>
                <w:color w:val="auto"/>
                <w:sz w:val="21"/>
                <w:szCs w:val="21"/>
              </w:rPr>
              <w:t>2.方案包含上述所有内容的基础上，内容存在1处瑕疵的得20分；</w:t>
            </w:r>
          </w:p>
          <w:p>
            <w:pPr>
              <w:jc w:val="left"/>
              <w:rPr>
                <w:rFonts w:ascii="仿宋" w:hAnsi="仿宋" w:eastAsia="仿宋" w:cs="仿宋"/>
                <w:color w:val="auto"/>
                <w:sz w:val="21"/>
                <w:szCs w:val="21"/>
              </w:rPr>
            </w:pPr>
            <w:r>
              <w:rPr>
                <w:rFonts w:hint="eastAsia" w:ascii="仿宋" w:hAnsi="仿宋" w:eastAsia="仿宋" w:cs="仿宋"/>
                <w:color w:val="auto"/>
                <w:sz w:val="21"/>
                <w:szCs w:val="21"/>
              </w:rPr>
              <w:t>3.方案包含上述所有内容的基础上，内容存在2处瑕疵的得15分；</w:t>
            </w:r>
          </w:p>
          <w:p>
            <w:pPr>
              <w:jc w:val="left"/>
              <w:rPr>
                <w:rFonts w:ascii="仿宋" w:hAnsi="仿宋" w:eastAsia="仿宋" w:cs="仿宋"/>
                <w:color w:val="auto"/>
                <w:sz w:val="21"/>
                <w:szCs w:val="21"/>
              </w:rPr>
            </w:pPr>
            <w:r>
              <w:rPr>
                <w:rFonts w:hint="eastAsia" w:ascii="仿宋" w:hAnsi="仿宋" w:eastAsia="仿宋" w:cs="仿宋"/>
                <w:color w:val="auto"/>
                <w:sz w:val="21"/>
                <w:szCs w:val="21"/>
              </w:rPr>
              <w:t>4.方案包含上述所有内容的基础上，内容存在3处瑕疵的得10分；</w:t>
            </w:r>
          </w:p>
          <w:p>
            <w:pPr>
              <w:snapToGrid w:val="0"/>
              <w:rPr>
                <w:rFonts w:ascii="仿宋" w:hAnsi="仿宋" w:eastAsia="仿宋" w:cs="仿宋"/>
                <w:color w:val="auto"/>
                <w:sz w:val="21"/>
                <w:szCs w:val="21"/>
              </w:rPr>
            </w:pPr>
            <w:r>
              <w:rPr>
                <w:rFonts w:hint="eastAsia" w:ascii="仿宋" w:hAnsi="仿宋" w:eastAsia="仿宋" w:cs="仿宋"/>
                <w:color w:val="auto"/>
                <w:sz w:val="21"/>
                <w:szCs w:val="21"/>
              </w:rPr>
              <w:t>5.方案包含上述内容不全或内容存在4处以上瑕疵的或未提供得0分。</w:t>
            </w:r>
          </w:p>
        </w:tc>
        <w:tc>
          <w:tcPr>
            <w:tcW w:w="1408" w:type="dxa"/>
            <w:vMerge w:val="continue"/>
            <w:vAlign w:val="center"/>
          </w:tcPr>
          <w:p>
            <w:pPr>
              <w:snapToGrid w:val="0"/>
              <w:spacing w:line="400" w:lineRule="exact"/>
              <w:ind w:firstLine="330" w:firstLineChars="150"/>
              <w:rPr>
                <w:rFonts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831" w:type="dxa"/>
            <w:vMerge w:val="restart"/>
            <w:vAlign w:val="center"/>
          </w:tcPr>
          <w:p>
            <w:pPr>
              <w:snapToGrid w:val="0"/>
              <w:spacing w:line="400" w:lineRule="exact"/>
              <w:jc w:val="center"/>
              <w:rPr>
                <w:rFonts w:ascii="仿宋" w:hAnsi="仿宋" w:eastAsia="仿宋" w:cs="仿宋"/>
                <w:color w:val="auto"/>
                <w:sz w:val="22"/>
                <w:szCs w:val="22"/>
              </w:rPr>
            </w:pPr>
            <w:r>
              <w:rPr>
                <w:rFonts w:hint="eastAsia" w:ascii="仿宋" w:hAnsi="仿宋" w:eastAsia="仿宋" w:cs="仿宋"/>
                <w:color w:val="auto"/>
                <w:sz w:val="22"/>
                <w:szCs w:val="22"/>
              </w:rPr>
              <w:t>3</w:t>
            </w:r>
          </w:p>
        </w:tc>
        <w:tc>
          <w:tcPr>
            <w:tcW w:w="1321" w:type="dxa"/>
            <w:vMerge w:val="restart"/>
            <w:vAlign w:val="center"/>
          </w:tcPr>
          <w:p>
            <w:pPr>
              <w:snapToGrid w:val="0"/>
              <w:spacing w:line="400" w:lineRule="exact"/>
              <w:jc w:val="center"/>
              <w:rPr>
                <w:rFonts w:ascii="仿宋" w:hAnsi="仿宋" w:eastAsia="仿宋" w:cs="仿宋"/>
                <w:color w:val="auto"/>
                <w:sz w:val="22"/>
                <w:szCs w:val="22"/>
              </w:rPr>
            </w:pPr>
            <w:r>
              <w:rPr>
                <w:rFonts w:hint="eastAsia" w:ascii="仿宋" w:hAnsi="仿宋" w:eastAsia="仿宋" w:cs="仿宋"/>
                <w:color w:val="auto"/>
                <w:sz w:val="22"/>
                <w:szCs w:val="22"/>
              </w:rPr>
              <w:t>商务部分</w:t>
            </w:r>
          </w:p>
          <w:p>
            <w:pPr>
              <w:snapToGrid w:val="0"/>
              <w:spacing w:line="400" w:lineRule="exact"/>
              <w:jc w:val="center"/>
              <w:rPr>
                <w:rFonts w:ascii="仿宋" w:hAnsi="仿宋" w:eastAsia="仿宋" w:cs="仿宋"/>
                <w:color w:val="auto"/>
                <w:sz w:val="22"/>
                <w:szCs w:val="22"/>
              </w:rPr>
            </w:pPr>
            <w:r>
              <w:rPr>
                <w:rFonts w:hint="eastAsia" w:ascii="仿宋" w:hAnsi="仿宋" w:eastAsia="仿宋" w:cs="仿宋"/>
                <w:color w:val="auto"/>
                <w:sz w:val="22"/>
                <w:szCs w:val="22"/>
              </w:rPr>
              <w:t>（10%）</w:t>
            </w:r>
          </w:p>
        </w:tc>
        <w:tc>
          <w:tcPr>
            <w:tcW w:w="945" w:type="dxa"/>
            <w:vAlign w:val="center"/>
          </w:tcPr>
          <w:p>
            <w:pPr>
              <w:snapToGrid w:val="0"/>
              <w:spacing w:line="400" w:lineRule="exact"/>
              <w:rPr>
                <w:rFonts w:ascii="仿宋" w:hAnsi="仿宋" w:eastAsia="仿宋" w:cs="仿宋"/>
                <w:color w:val="auto"/>
                <w:sz w:val="22"/>
                <w:szCs w:val="22"/>
              </w:rPr>
            </w:pPr>
            <w:r>
              <w:rPr>
                <w:rFonts w:hint="eastAsia" w:ascii="仿宋" w:hAnsi="仿宋" w:eastAsia="仿宋" w:cs="仿宋"/>
                <w:color w:val="auto"/>
                <w:sz w:val="22"/>
                <w:szCs w:val="22"/>
              </w:rPr>
              <w:t>业绩（4分）</w:t>
            </w:r>
          </w:p>
        </w:tc>
        <w:tc>
          <w:tcPr>
            <w:tcW w:w="5079" w:type="dxa"/>
            <w:vAlign w:val="center"/>
          </w:tcPr>
          <w:p>
            <w:pPr>
              <w:snapToGrid w:val="0"/>
              <w:ind w:firstLine="330" w:firstLineChars="150"/>
              <w:rPr>
                <w:rFonts w:ascii="仿宋" w:hAnsi="仿宋" w:eastAsia="仿宋" w:cs="仿宋"/>
                <w:color w:val="auto"/>
                <w:sz w:val="22"/>
                <w:szCs w:val="22"/>
              </w:rPr>
            </w:pPr>
            <w:r>
              <w:rPr>
                <w:rFonts w:hint="eastAsia" w:ascii="仿宋" w:hAnsi="仿宋" w:eastAsia="仿宋" w:cs="仿宋"/>
                <w:color w:val="auto"/>
                <w:sz w:val="22"/>
                <w:szCs w:val="22"/>
              </w:rPr>
              <w:t>供应商自2022年起至投标截止时间止，承担过符合国家相关标准的森林防火智能监控项目，同时提供客户满意度证明为“满意”或“好”评价的，每提供1个，得2分，最多4分；未提供得0分。</w:t>
            </w:r>
          </w:p>
        </w:tc>
        <w:tc>
          <w:tcPr>
            <w:tcW w:w="1408" w:type="dxa"/>
            <w:vAlign w:val="center"/>
          </w:tcPr>
          <w:p>
            <w:pPr>
              <w:snapToGrid w:val="0"/>
              <w:rPr>
                <w:rFonts w:ascii="仿宋" w:hAnsi="仿宋" w:eastAsia="仿宋" w:cs="仿宋"/>
                <w:color w:val="auto"/>
                <w:sz w:val="22"/>
                <w:szCs w:val="22"/>
              </w:rPr>
            </w:pPr>
            <w:r>
              <w:rPr>
                <w:rFonts w:hint="eastAsia" w:ascii="仿宋" w:hAnsi="仿宋" w:eastAsia="仿宋" w:cs="仿宋"/>
                <w:color w:val="auto"/>
                <w:sz w:val="22"/>
                <w:szCs w:val="22"/>
              </w:rPr>
              <w:t>提供有效证明材料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831" w:type="dxa"/>
            <w:vMerge w:val="continue"/>
            <w:vAlign w:val="center"/>
          </w:tcPr>
          <w:p>
            <w:pPr>
              <w:snapToGrid w:val="0"/>
              <w:spacing w:line="400" w:lineRule="exact"/>
              <w:jc w:val="center"/>
              <w:rPr>
                <w:rFonts w:ascii="仿宋" w:hAnsi="仿宋" w:eastAsia="仿宋" w:cs="仿宋"/>
                <w:color w:val="auto"/>
                <w:sz w:val="22"/>
                <w:szCs w:val="22"/>
              </w:rPr>
            </w:pPr>
          </w:p>
        </w:tc>
        <w:tc>
          <w:tcPr>
            <w:tcW w:w="1321" w:type="dxa"/>
            <w:vMerge w:val="continue"/>
            <w:vAlign w:val="center"/>
          </w:tcPr>
          <w:p>
            <w:pPr>
              <w:snapToGrid w:val="0"/>
              <w:spacing w:line="400" w:lineRule="exact"/>
              <w:jc w:val="center"/>
              <w:rPr>
                <w:rFonts w:ascii="仿宋" w:hAnsi="仿宋" w:eastAsia="仿宋" w:cs="仿宋"/>
                <w:color w:val="auto"/>
                <w:sz w:val="22"/>
                <w:szCs w:val="22"/>
              </w:rPr>
            </w:pPr>
          </w:p>
        </w:tc>
        <w:tc>
          <w:tcPr>
            <w:tcW w:w="945" w:type="dxa"/>
            <w:vAlign w:val="center"/>
          </w:tcPr>
          <w:p>
            <w:pPr>
              <w:snapToGrid w:val="0"/>
              <w:spacing w:line="400" w:lineRule="exact"/>
              <w:rPr>
                <w:rFonts w:ascii="仿宋" w:hAnsi="仿宋" w:eastAsia="仿宋" w:cs="仿宋"/>
                <w:color w:val="auto"/>
                <w:sz w:val="22"/>
                <w:szCs w:val="22"/>
              </w:rPr>
            </w:pPr>
            <w:r>
              <w:rPr>
                <w:rFonts w:hint="eastAsia" w:ascii="仿宋" w:hAnsi="仿宋" w:eastAsia="仿宋" w:cs="仿宋"/>
                <w:color w:val="auto"/>
                <w:sz w:val="22"/>
                <w:szCs w:val="22"/>
              </w:rPr>
              <w:t>其他优惠承诺（6分）</w:t>
            </w:r>
          </w:p>
        </w:tc>
        <w:tc>
          <w:tcPr>
            <w:tcW w:w="5079" w:type="dxa"/>
            <w:vAlign w:val="center"/>
          </w:tcPr>
          <w:p>
            <w:pPr>
              <w:snapToGrid w:val="0"/>
              <w:ind w:firstLine="330" w:firstLineChars="150"/>
              <w:rPr>
                <w:rFonts w:ascii="仿宋" w:hAnsi="仿宋" w:eastAsia="仿宋" w:cs="仿宋"/>
                <w:color w:val="auto"/>
                <w:sz w:val="22"/>
                <w:szCs w:val="22"/>
              </w:rPr>
            </w:pPr>
            <w:r>
              <w:rPr>
                <w:rFonts w:hint="eastAsia" w:ascii="仿宋" w:hAnsi="仿宋" w:eastAsia="仿宋" w:cs="仿宋"/>
                <w:color w:val="auto"/>
                <w:sz w:val="22"/>
                <w:szCs w:val="22"/>
              </w:rPr>
              <w:t>投标人对利于项目执行的其他优惠承诺</w:t>
            </w:r>
          </w:p>
          <w:p>
            <w:pPr>
              <w:snapToGrid w:val="0"/>
              <w:ind w:firstLine="330" w:firstLineChars="150"/>
              <w:rPr>
                <w:rFonts w:ascii="仿宋" w:hAnsi="仿宋" w:eastAsia="仿宋" w:cs="仿宋"/>
                <w:color w:val="auto"/>
                <w:sz w:val="22"/>
                <w:szCs w:val="22"/>
              </w:rPr>
            </w:pPr>
            <w:r>
              <w:rPr>
                <w:rFonts w:hint="eastAsia" w:ascii="仿宋" w:hAnsi="仿宋" w:eastAsia="仿宋" w:cs="仿宋"/>
                <w:color w:val="auto"/>
                <w:sz w:val="22"/>
                <w:szCs w:val="22"/>
              </w:rPr>
              <w:t>例如：承诺在3年服务期外延长满足招标文件质量要求的服务期，每延长一年得3分，最高得分不超过6分；未提供得0分。</w:t>
            </w:r>
          </w:p>
        </w:tc>
        <w:tc>
          <w:tcPr>
            <w:tcW w:w="1408" w:type="dxa"/>
            <w:vAlign w:val="center"/>
          </w:tcPr>
          <w:p>
            <w:pPr>
              <w:snapToGrid w:val="0"/>
              <w:rPr>
                <w:rFonts w:ascii="仿宋" w:hAnsi="仿宋" w:eastAsia="仿宋" w:cs="仿宋"/>
                <w:color w:val="auto"/>
                <w:sz w:val="22"/>
                <w:szCs w:val="22"/>
              </w:rPr>
            </w:pPr>
          </w:p>
        </w:tc>
      </w:tr>
    </w:tbl>
    <w:p>
      <w:pPr>
        <w:pStyle w:val="4"/>
        <w:adjustRightInd w:val="0"/>
        <w:snapToGrid w:val="0"/>
        <w:spacing w:line="240" w:lineRule="auto"/>
        <w:ind w:firstLine="482" w:firstLineChars="200"/>
        <w:rPr>
          <w:rFonts w:ascii="仿宋" w:hAnsi="仿宋" w:eastAsia="仿宋"/>
          <w:color w:val="auto"/>
          <w:sz w:val="24"/>
        </w:rPr>
      </w:pPr>
      <w:bookmarkStart w:id="101" w:name="_Toc76462335"/>
      <w:bookmarkStart w:id="102" w:name="_Toc187768648"/>
      <w:r>
        <w:rPr>
          <w:rFonts w:hint="eastAsia" w:ascii="仿宋" w:hAnsi="仿宋" w:eastAsia="仿宋"/>
          <w:color w:val="auto"/>
          <w:sz w:val="24"/>
        </w:rPr>
        <w:t>三、无效响应</w:t>
      </w:r>
      <w:bookmarkEnd w:id="101"/>
      <w:bookmarkEnd w:id="102"/>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供应商发生以下条款情况之一者，视为无效响应，其响应文件将被拒绝：</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（一）供应商不符合规定的资格条件的；</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（二）供应商的法定代表人/负责人（或其授权代表）或自然人未参加磋商；</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（三）供应商所提交的响应文件不按“第七篇响应文件编制要求”要求签署或盖章；</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（四）供应商的最后报价超过采购预算或最高限价的；</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（五）法定代表人/负责人为同一个人的两个及两个以上法人，母公司、全资子公司及其控股公司，在同一包采购中同时参与磋商；</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（六）单位负责人为同一人或者存在直接控股、管理关系的不同供应商，参加同一合同项下的采购活动的；</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（七）</w:t>
      </w:r>
      <w:r>
        <w:rPr>
          <w:rFonts w:ascii="仿宋" w:hAnsi="仿宋" w:eastAsia="仿宋"/>
          <w:color w:val="auto"/>
          <w:sz w:val="24"/>
          <w:szCs w:val="24"/>
        </w:rPr>
        <w:t>为采购项目提供整体设计、规范编制或者项目管理、监理、检测等服务的供应商，再参加</w:t>
      </w:r>
      <w:r>
        <w:rPr>
          <w:rFonts w:hint="eastAsia" w:ascii="仿宋" w:hAnsi="仿宋" w:eastAsia="仿宋"/>
          <w:color w:val="auto"/>
          <w:sz w:val="24"/>
          <w:szCs w:val="24"/>
        </w:rPr>
        <w:t>该采购</w:t>
      </w:r>
      <w:r>
        <w:rPr>
          <w:rFonts w:ascii="仿宋" w:hAnsi="仿宋" w:eastAsia="仿宋"/>
          <w:color w:val="auto"/>
          <w:sz w:val="24"/>
          <w:szCs w:val="24"/>
        </w:rPr>
        <w:t>项目的</w:t>
      </w:r>
      <w:r>
        <w:rPr>
          <w:rFonts w:hint="eastAsia" w:ascii="仿宋" w:hAnsi="仿宋" w:eastAsia="仿宋"/>
          <w:color w:val="auto"/>
          <w:sz w:val="24"/>
          <w:szCs w:val="24"/>
        </w:rPr>
        <w:t>其他</w:t>
      </w:r>
      <w:r>
        <w:rPr>
          <w:rFonts w:ascii="仿宋" w:hAnsi="仿宋" w:eastAsia="仿宋"/>
          <w:color w:val="auto"/>
          <w:sz w:val="24"/>
          <w:szCs w:val="24"/>
        </w:rPr>
        <w:t>采购活动</w:t>
      </w:r>
      <w:r>
        <w:rPr>
          <w:rFonts w:hint="eastAsia" w:ascii="仿宋" w:hAnsi="仿宋" w:eastAsia="仿宋"/>
          <w:color w:val="auto"/>
          <w:sz w:val="24"/>
          <w:szCs w:val="24"/>
        </w:rPr>
        <w:t>；</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（八）供应商磋商有效期不满足竞争性磋商文件要求的；</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（九）供应商响应文件内容有与国家现行法律法规相违背的内容，或附有采购人无法接受的条件；</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（十）法律、法规和竞争性磋商文件规定的其他无效情形。</w:t>
      </w:r>
    </w:p>
    <w:p>
      <w:pPr>
        <w:pStyle w:val="4"/>
        <w:adjustRightInd w:val="0"/>
        <w:snapToGrid w:val="0"/>
        <w:spacing w:line="240" w:lineRule="auto"/>
        <w:ind w:firstLine="482" w:firstLineChars="200"/>
        <w:rPr>
          <w:rFonts w:ascii="仿宋" w:hAnsi="仿宋" w:eastAsia="仿宋"/>
          <w:color w:val="auto"/>
          <w:sz w:val="24"/>
        </w:rPr>
      </w:pPr>
      <w:bookmarkStart w:id="103" w:name="_Toc187768649"/>
      <w:bookmarkStart w:id="104" w:name="_Toc76462336"/>
      <w:r>
        <w:rPr>
          <w:rFonts w:hint="eastAsia" w:ascii="仿宋" w:hAnsi="仿宋" w:eastAsia="仿宋"/>
          <w:color w:val="auto"/>
          <w:sz w:val="24"/>
        </w:rPr>
        <w:t>四、</w:t>
      </w:r>
      <w:bookmarkEnd w:id="99"/>
      <w:bookmarkEnd w:id="100"/>
      <w:r>
        <w:rPr>
          <w:rFonts w:hint="eastAsia" w:ascii="仿宋" w:hAnsi="仿宋" w:eastAsia="仿宋"/>
          <w:color w:val="auto"/>
          <w:sz w:val="24"/>
        </w:rPr>
        <w:t>采购终止</w:t>
      </w:r>
      <w:bookmarkEnd w:id="103"/>
      <w:bookmarkEnd w:id="104"/>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（一）因情况变化，不再符合规定的竞争性磋商采购方式适用情形的；</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（二）出现影响采购公正的违法、违规行为的；</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（三）在采购过程中符合要求的供应商或者报价未超过采购预算的供应商不足3家的，但《政府采购竞争性磋商采购方式管理暂行办法》第二十一条第三款规定的情形除外。</w:t>
      </w:r>
    </w:p>
    <w:p>
      <w:pPr>
        <w:spacing w:line="400" w:lineRule="exact"/>
        <w:ind w:firstLine="480" w:firstLineChars="200"/>
        <w:rPr>
          <w:rFonts w:ascii="仿宋" w:hAnsi="仿宋" w:eastAsia="仿宋"/>
          <w:color w:val="auto"/>
          <w:sz w:val="24"/>
          <w:szCs w:val="24"/>
        </w:rPr>
        <w:sectPr>
          <w:pgSz w:w="11907" w:h="16840"/>
          <w:pgMar w:top="1134" w:right="1191" w:bottom="1134" w:left="1304" w:header="964" w:footer="992" w:gutter="0"/>
          <w:pgNumType w:fmt="numberInDash"/>
          <w:cols w:space="720" w:num="1"/>
          <w:docGrid w:linePitch="312" w:charSpace="0"/>
        </w:sectPr>
      </w:pPr>
    </w:p>
    <w:p>
      <w:pPr>
        <w:pStyle w:val="4"/>
        <w:pageBreakBefore/>
        <w:spacing w:line="240" w:lineRule="auto"/>
        <w:jc w:val="center"/>
        <w:rPr>
          <w:rFonts w:ascii="仿宋" w:hAnsi="仿宋" w:eastAsia="仿宋"/>
          <w:b w:val="0"/>
          <w:bCs/>
          <w:color w:val="auto"/>
          <w:sz w:val="36"/>
          <w:szCs w:val="30"/>
        </w:rPr>
      </w:pPr>
      <w:bookmarkStart w:id="105" w:name="_Toc76462337"/>
      <w:bookmarkStart w:id="106" w:name="_Toc187768650"/>
      <w:bookmarkStart w:id="107" w:name="_Toc102227313"/>
      <w:r>
        <w:rPr>
          <w:rFonts w:hint="eastAsia" w:ascii="仿宋" w:hAnsi="仿宋" w:eastAsia="仿宋"/>
          <w:b w:val="0"/>
          <w:bCs/>
          <w:color w:val="auto"/>
          <w:sz w:val="36"/>
          <w:szCs w:val="30"/>
        </w:rPr>
        <w:t>第五篇  供应商须知</w:t>
      </w:r>
      <w:bookmarkEnd w:id="105"/>
      <w:bookmarkEnd w:id="106"/>
      <w:bookmarkEnd w:id="107"/>
    </w:p>
    <w:p>
      <w:pPr>
        <w:pStyle w:val="4"/>
        <w:adjustRightInd w:val="0"/>
        <w:snapToGrid w:val="0"/>
        <w:spacing w:line="240" w:lineRule="auto"/>
        <w:ind w:firstLine="482" w:firstLineChars="200"/>
        <w:rPr>
          <w:rFonts w:ascii="仿宋" w:hAnsi="仿宋" w:eastAsia="仿宋"/>
          <w:color w:val="auto"/>
          <w:sz w:val="24"/>
        </w:rPr>
      </w:pPr>
      <w:bookmarkStart w:id="108" w:name="_Toc342913389"/>
      <w:bookmarkStart w:id="109" w:name="_Toc187768651"/>
      <w:bookmarkStart w:id="110" w:name="_Toc76462338"/>
      <w:r>
        <w:rPr>
          <w:rFonts w:hint="eastAsia" w:ascii="仿宋" w:hAnsi="仿宋" w:eastAsia="仿宋"/>
          <w:color w:val="auto"/>
          <w:sz w:val="24"/>
        </w:rPr>
        <w:t>一、磋商费用</w:t>
      </w:r>
      <w:bookmarkEnd w:id="108"/>
      <w:bookmarkEnd w:id="109"/>
      <w:bookmarkEnd w:id="110"/>
    </w:p>
    <w:p>
      <w:pPr>
        <w:pStyle w:val="156"/>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参与磋商的供应商应承担其编制响应文件与递交响应文件所涉及的一切费用，不论磋商结果如何，采购人和采购代理机构在任何情况下无义务也无责任承担这些费用。</w:t>
      </w:r>
    </w:p>
    <w:p>
      <w:pPr>
        <w:pStyle w:val="4"/>
        <w:adjustRightInd w:val="0"/>
        <w:snapToGrid w:val="0"/>
        <w:spacing w:line="240" w:lineRule="auto"/>
        <w:ind w:firstLine="482" w:firstLineChars="200"/>
        <w:rPr>
          <w:rFonts w:ascii="仿宋" w:hAnsi="仿宋" w:eastAsia="仿宋"/>
          <w:color w:val="auto"/>
          <w:sz w:val="24"/>
        </w:rPr>
      </w:pPr>
      <w:bookmarkStart w:id="111" w:name="_Toc76462339"/>
      <w:bookmarkStart w:id="112" w:name="_Toc342913391"/>
      <w:bookmarkStart w:id="113" w:name="_Toc187768652"/>
      <w:r>
        <w:rPr>
          <w:rFonts w:hint="eastAsia" w:ascii="仿宋" w:hAnsi="仿宋" w:eastAsia="仿宋"/>
          <w:color w:val="auto"/>
          <w:sz w:val="24"/>
        </w:rPr>
        <w:t>二、竞争性磋商文件</w:t>
      </w:r>
      <w:bookmarkEnd w:id="111"/>
      <w:bookmarkEnd w:id="112"/>
      <w:bookmarkEnd w:id="113"/>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（一）竞争性磋商文件由采购邀请书、项目服务需求、供应商须知、项目商务需求、磋商程序及方法、评审标准、无效响应和采购终止、供应商须知</w:t>
      </w:r>
      <w:r>
        <w:rPr>
          <w:rFonts w:hint="eastAsia" w:ascii="仿宋" w:hAnsi="仿宋" w:eastAsia="仿宋"/>
          <w:b/>
          <w:color w:val="auto"/>
          <w:sz w:val="24"/>
          <w:szCs w:val="24"/>
        </w:rPr>
        <w:t>、</w:t>
      </w:r>
      <w:r>
        <w:rPr>
          <w:rFonts w:hint="eastAsia" w:ascii="仿宋" w:hAnsi="仿宋" w:eastAsia="仿宋"/>
          <w:color w:val="auto"/>
          <w:sz w:val="24"/>
          <w:szCs w:val="24"/>
        </w:rPr>
        <w:t>采购合同</w:t>
      </w:r>
      <w:r>
        <w:rPr>
          <w:rFonts w:hint="eastAsia" w:ascii="仿宋" w:hAnsi="仿宋" w:eastAsia="仿宋"/>
          <w:b/>
          <w:color w:val="auto"/>
          <w:sz w:val="24"/>
          <w:szCs w:val="24"/>
        </w:rPr>
        <w:t>、</w:t>
      </w:r>
      <w:r>
        <w:rPr>
          <w:rFonts w:hint="eastAsia" w:ascii="仿宋" w:hAnsi="仿宋" w:eastAsia="仿宋"/>
          <w:color w:val="auto"/>
          <w:sz w:val="24"/>
          <w:szCs w:val="24"/>
        </w:rPr>
        <w:t>响应文件编制要求七部分组成。</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（二）采购人（或采购代理机构）所作的一切有效的书面通知、修改及补充，都是竞争性磋商文件不可分割的部分。</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（三）竞争性磋商文件的解释</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14" w:name="_Toc318159349"/>
      <w:bookmarkStart w:id="115" w:name="_Toc318159160"/>
      <w:bookmarkStart w:id="116" w:name="_Toc318166429"/>
      <w:bookmarkStart w:id="117" w:name="_Toc318159780"/>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（四）本竞争性磋商文件中，磋商小组根据与供应商进行磋商可能实质性变动的内容为竞争性磋商文件第二、三、六篇全部内容。</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（五）评审的依据为竞争性磋商文件和响应文件（含有效的书面承诺）。磋商小组判断响应文件对竞争性磋商文件的响应，仅基于响应文件本身而不靠外部证据。</w:t>
      </w:r>
    </w:p>
    <w:bookmarkEnd w:id="114"/>
    <w:bookmarkEnd w:id="115"/>
    <w:bookmarkEnd w:id="116"/>
    <w:bookmarkEnd w:id="117"/>
    <w:p>
      <w:pPr>
        <w:pStyle w:val="4"/>
        <w:adjustRightInd w:val="0"/>
        <w:snapToGrid w:val="0"/>
        <w:spacing w:line="240" w:lineRule="auto"/>
        <w:ind w:firstLine="482" w:firstLineChars="200"/>
        <w:rPr>
          <w:rFonts w:ascii="仿宋" w:hAnsi="仿宋" w:eastAsia="仿宋"/>
          <w:color w:val="auto"/>
          <w:sz w:val="24"/>
        </w:rPr>
      </w:pPr>
      <w:bookmarkStart w:id="118" w:name="_Toc76462340"/>
      <w:bookmarkStart w:id="119" w:name="_Toc187768653"/>
      <w:bookmarkStart w:id="120" w:name="_Toc342913392"/>
      <w:bookmarkStart w:id="121" w:name="_Toc179714297"/>
      <w:bookmarkStart w:id="122" w:name="_Toc102227318"/>
      <w:r>
        <w:rPr>
          <w:rFonts w:hint="eastAsia" w:ascii="仿宋" w:hAnsi="仿宋" w:eastAsia="仿宋"/>
          <w:color w:val="auto"/>
          <w:sz w:val="24"/>
        </w:rPr>
        <w:t>三、磋商要求</w:t>
      </w:r>
      <w:bookmarkEnd w:id="118"/>
      <w:bookmarkEnd w:id="119"/>
      <w:bookmarkEnd w:id="120"/>
      <w:bookmarkEnd w:id="121"/>
      <w:bookmarkEnd w:id="122"/>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（一）响应文件</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2.响应文件组成</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（二）联合体：本项目不接受联合体参与。</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（三）磋商有效期：响应文件及有关承诺文件有效期为提交响应文件截止时间起90天。</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（四）修正错误</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（五）提交响应文件的份数和签署</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w:t>
      </w:r>
      <w:r>
        <w:rPr>
          <w:rFonts w:hint="eastAsia" w:ascii="仿宋" w:hAnsi="仿宋" w:eastAsia="仿宋"/>
          <w:color w:val="auto"/>
          <w:sz w:val="24"/>
        </w:rPr>
        <w:t>响应文件按竞争性磋商文件“第七篇响应文件编制要求”要求签署或盖章。</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（六）响应文件的递交</w:t>
      </w:r>
    </w:p>
    <w:p>
      <w:pPr>
        <w:pStyle w:val="31"/>
        <w:spacing w:line="400" w:lineRule="exact"/>
        <w:ind w:firstLine="480" w:firstLineChars="200"/>
        <w:rPr>
          <w:rFonts w:ascii="仿宋" w:hAnsi="仿宋" w:eastAsia="仿宋"/>
          <w:color w:val="auto"/>
          <w:sz w:val="24"/>
        </w:rPr>
      </w:pPr>
      <w:r>
        <w:rPr>
          <w:rFonts w:hint="eastAsia" w:ascii="仿宋" w:hAnsi="仿宋" w:eastAsia="仿宋"/>
          <w:color w:val="auto"/>
          <w:sz w:val="24"/>
        </w:rPr>
        <w:t>响应文件的正本、副本均应密封送达磋商地点，应在封套上注明磋商项目名称、供应商名称。若正本、副本分别进行密封的，还应在封套上注明“正本”、“副本”字样。</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（七）供应商参与人员</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各个供应商应当派1-2名代表参与磋商，至少1人应为法定代表人/负责人（或其授权代表）或自然人（供应商为自然人）。</w:t>
      </w:r>
    </w:p>
    <w:p>
      <w:pPr>
        <w:pStyle w:val="4"/>
        <w:adjustRightInd w:val="0"/>
        <w:snapToGrid w:val="0"/>
        <w:spacing w:line="240" w:lineRule="auto"/>
        <w:ind w:firstLine="482" w:firstLineChars="200"/>
        <w:rPr>
          <w:rFonts w:ascii="仿宋" w:hAnsi="仿宋" w:eastAsia="仿宋"/>
          <w:color w:val="auto"/>
          <w:sz w:val="24"/>
        </w:rPr>
      </w:pPr>
      <w:bookmarkStart w:id="123" w:name="_Toc187768654"/>
      <w:bookmarkStart w:id="124" w:name="_Toc76462341"/>
      <w:r>
        <w:rPr>
          <w:rFonts w:hint="eastAsia" w:ascii="仿宋" w:hAnsi="仿宋" w:eastAsia="仿宋"/>
          <w:color w:val="auto"/>
          <w:sz w:val="24"/>
        </w:rPr>
        <w:t>四、成交供应商的确认和变更</w:t>
      </w:r>
      <w:bookmarkEnd w:id="123"/>
      <w:bookmarkEnd w:id="124"/>
    </w:p>
    <w:p>
      <w:pPr>
        <w:snapToGrid w:val="0"/>
        <w:spacing w:line="400" w:lineRule="exact"/>
        <w:ind w:firstLine="480" w:firstLineChars="200"/>
        <w:outlineLvl w:val="2"/>
        <w:rPr>
          <w:rFonts w:ascii="仿宋" w:hAnsi="仿宋" w:eastAsia="仿宋"/>
          <w:color w:val="auto"/>
          <w:sz w:val="24"/>
          <w:szCs w:val="24"/>
        </w:rPr>
      </w:pPr>
      <w:r>
        <w:rPr>
          <w:rFonts w:hint="eastAsia" w:ascii="仿宋" w:hAnsi="仿宋" w:eastAsia="仿宋"/>
          <w:color w:val="auto"/>
          <w:sz w:val="24"/>
          <w:szCs w:val="24"/>
        </w:rPr>
        <w:t>（一）成交供应商的确认</w:t>
      </w:r>
    </w:p>
    <w:p>
      <w:pPr>
        <w:snapToGrid w:val="0"/>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采购代理机构应当在评审结束后2个工作日内将评审报告送采购人确认。采购人应当在收到评审报告后5个工作日内</w:t>
      </w:r>
      <w:r>
        <w:rPr>
          <w:rFonts w:hint="eastAsia" w:ascii="仿宋" w:hAnsi="仿宋" w:eastAsia="仿宋"/>
          <w:color w:val="auto"/>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outlineLvl w:val="2"/>
        <w:rPr>
          <w:rFonts w:ascii="仿宋" w:hAnsi="仿宋" w:eastAsia="仿宋"/>
          <w:color w:val="auto"/>
          <w:sz w:val="24"/>
          <w:szCs w:val="24"/>
        </w:rPr>
      </w:pPr>
      <w:r>
        <w:rPr>
          <w:rFonts w:hint="eastAsia" w:ascii="仿宋" w:hAnsi="仿宋" w:eastAsia="仿宋"/>
          <w:color w:val="auto"/>
          <w:sz w:val="24"/>
          <w:szCs w:val="24"/>
        </w:rPr>
        <w:t>（二）成交供应商的变更</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rPr>
        <w:t>成交供应商拒绝与采购人签订合同的，采购人可以按照评标报告推荐的成交候选供应商顺序，确定排名下一位的候选人为成交供应商，也可以重新开展采购活动。</w:t>
      </w:r>
    </w:p>
    <w:p>
      <w:pPr>
        <w:pStyle w:val="4"/>
        <w:adjustRightInd w:val="0"/>
        <w:snapToGrid w:val="0"/>
        <w:spacing w:line="240" w:lineRule="auto"/>
        <w:ind w:firstLine="482" w:firstLineChars="200"/>
        <w:rPr>
          <w:rFonts w:ascii="仿宋" w:hAnsi="仿宋" w:eastAsia="仿宋"/>
          <w:color w:val="auto"/>
          <w:sz w:val="24"/>
        </w:rPr>
      </w:pPr>
      <w:bookmarkStart w:id="125" w:name="_Toc102227321"/>
      <w:bookmarkStart w:id="126" w:name="_Toc76462342"/>
      <w:bookmarkStart w:id="127" w:name="_Toc342913395"/>
      <w:bookmarkStart w:id="128" w:name="_Toc187768655"/>
      <w:r>
        <w:rPr>
          <w:rFonts w:hint="eastAsia" w:ascii="仿宋" w:hAnsi="仿宋" w:eastAsia="仿宋"/>
          <w:color w:val="auto"/>
          <w:sz w:val="24"/>
        </w:rPr>
        <w:t>五、成交通知</w:t>
      </w:r>
      <w:bookmarkEnd w:id="125"/>
      <w:bookmarkEnd w:id="126"/>
      <w:bookmarkEnd w:id="127"/>
      <w:bookmarkEnd w:id="128"/>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（一）成交供应商确定后，采购代理机构将在行采家（https://www.gec123.com/）上发布成交结果公告。</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（二）结果公告发出同时，采购代理机构将以书面形式发出《成交通知书》。《成交通知书》一经发出即发生法律效力。</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（三）《成交通知书》将作为签订合同的依据。</w:t>
      </w:r>
    </w:p>
    <w:p>
      <w:pPr>
        <w:pStyle w:val="4"/>
        <w:adjustRightInd w:val="0"/>
        <w:snapToGrid w:val="0"/>
        <w:spacing w:line="240" w:lineRule="auto"/>
        <w:ind w:firstLine="482" w:firstLineChars="200"/>
        <w:rPr>
          <w:rFonts w:ascii="仿宋" w:hAnsi="仿宋" w:eastAsia="仿宋"/>
          <w:color w:val="auto"/>
          <w:sz w:val="24"/>
        </w:rPr>
      </w:pPr>
      <w:bookmarkStart w:id="129" w:name="_Toc187768656"/>
      <w:bookmarkStart w:id="130" w:name="_Toc76462343"/>
      <w:r>
        <w:rPr>
          <w:rFonts w:hint="eastAsia" w:ascii="仿宋" w:hAnsi="仿宋" w:eastAsia="仿宋"/>
          <w:color w:val="auto"/>
          <w:sz w:val="24"/>
        </w:rPr>
        <w:t>六、关于质疑和投诉</w:t>
      </w:r>
      <w:bookmarkEnd w:id="129"/>
      <w:bookmarkEnd w:id="130"/>
    </w:p>
    <w:p>
      <w:pPr>
        <w:spacing w:line="400" w:lineRule="exact"/>
        <w:ind w:firstLine="480" w:firstLineChars="200"/>
        <w:outlineLvl w:val="2"/>
        <w:rPr>
          <w:rFonts w:ascii="仿宋" w:hAnsi="仿宋" w:eastAsia="仿宋"/>
          <w:color w:val="auto"/>
          <w:sz w:val="24"/>
          <w:szCs w:val="24"/>
        </w:rPr>
      </w:pPr>
      <w:r>
        <w:rPr>
          <w:rFonts w:hint="eastAsia" w:ascii="仿宋" w:hAnsi="仿宋" w:eastAsia="仿宋"/>
          <w:color w:val="auto"/>
          <w:sz w:val="24"/>
          <w:szCs w:val="24"/>
        </w:rPr>
        <w:t>（一）质疑</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供应商认为采购文件、采购过程和成交结果使自己的权益收到伤害的，可向采购人或采购代理机构以书面形式提出质疑。</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提出质疑的应当是参与所质疑项目采购活动的供应商。 </w:t>
      </w:r>
    </w:p>
    <w:p>
      <w:pPr>
        <w:spacing w:line="400" w:lineRule="exact"/>
        <w:ind w:right="12" w:firstLine="480"/>
        <w:outlineLvl w:val="2"/>
        <w:rPr>
          <w:rFonts w:ascii="仿宋" w:hAnsi="仿宋" w:eastAsia="仿宋" w:cs="仿宋"/>
          <w:color w:val="auto"/>
          <w:sz w:val="24"/>
        </w:rPr>
      </w:pPr>
      <w:r>
        <w:rPr>
          <w:rFonts w:hint="eastAsia" w:ascii="仿宋" w:hAnsi="仿宋" w:eastAsia="仿宋" w:cs="仿宋"/>
          <w:color w:val="auto"/>
          <w:sz w:val="24"/>
        </w:rPr>
        <w:t>1.质疑时限、内容</w:t>
      </w:r>
    </w:p>
    <w:p>
      <w:pPr>
        <w:spacing w:line="400" w:lineRule="exact"/>
        <w:ind w:right="12" w:firstLine="480"/>
        <w:rPr>
          <w:rFonts w:ascii="仿宋" w:hAnsi="仿宋" w:eastAsia="仿宋" w:cs="仿宋"/>
          <w:color w:val="auto"/>
          <w:sz w:val="24"/>
        </w:rPr>
      </w:pPr>
      <w:r>
        <w:rPr>
          <w:rFonts w:hint="eastAsia" w:ascii="仿宋" w:hAnsi="仿宋" w:eastAsia="仿宋" w:cs="仿宋"/>
          <w:color w:val="auto"/>
          <w:sz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仿宋" w:hAnsi="仿宋" w:eastAsia="仿宋" w:cs="仿宋"/>
          <w:color w:val="auto"/>
          <w:sz w:val="24"/>
        </w:rPr>
      </w:pPr>
      <w:r>
        <w:rPr>
          <w:rFonts w:hint="eastAsia" w:ascii="仿宋" w:hAnsi="仿宋" w:eastAsia="仿宋" w:cs="仿宋"/>
          <w:color w:val="auto"/>
          <w:sz w:val="24"/>
        </w:rPr>
        <w:t>1.2供应商提出质疑应当提交质疑函和必要的证明材料，质疑函应当包括下列内容：</w:t>
      </w:r>
    </w:p>
    <w:p>
      <w:pPr>
        <w:spacing w:line="400" w:lineRule="exact"/>
        <w:ind w:right="12" w:firstLine="480"/>
        <w:rPr>
          <w:rFonts w:ascii="仿宋" w:hAnsi="仿宋" w:eastAsia="仿宋" w:cs="仿宋"/>
          <w:color w:val="auto"/>
          <w:sz w:val="24"/>
        </w:rPr>
      </w:pPr>
      <w:r>
        <w:rPr>
          <w:rFonts w:hint="eastAsia" w:ascii="仿宋" w:hAnsi="仿宋" w:eastAsia="仿宋" w:cs="仿宋"/>
          <w:color w:val="auto"/>
          <w:sz w:val="24"/>
        </w:rPr>
        <w:t>1.2.1供应商的姓名或者名称、地址、邮编、联系人及联系电话；</w:t>
      </w:r>
    </w:p>
    <w:p>
      <w:pPr>
        <w:spacing w:line="400" w:lineRule="exact"/>
        <w:ind w:right="12" w:firstLine="480"/>
        <w:rPr>
          <w:rFonts w:ascii="仿宋" w:hAnsi="仿宋" w:eastAsia="仿宋" w:cs="仿宋"/>
          <w:color w:val="auto"/>
          <w:sz w:val="24"/>
        </w:rPr>
      </w:pPr>
      <w:r>
        <w:rPr>
          <w:rFonts w:hint="eastAsia" w:ascii="仿宋" w:hAnsi="仿宋" w:eastAsia="仿宋" w:cs="仿宋"/>
          <w:color w:val="auto"/>
          <w:sz w:val="24"/>
        </w:rPr>
        <w:t>1.2.2质疑项目的名称、项目号以及采购执行编号；</w:t>
      </w:r>
    </w:p>
    <w:p>
      <w:pPr>
        <w:spacing w:line="400" w:lineRule="exact"/>
        <w:ind w:right="12" w:firstLine="480"/>
        <w:rPr>
          <w:rFonts w:ascii="仿宋" w:hAnsi="仿宋" w:eastAsia="仿宋" w:cs="仿宋"/>
          <w:color w:val="auto"/>
          <w:sz w:val="24"/>
        </w:rPr>
      </w:pPr>
      <w:r>
        <w:rPr>
          <w:rFonts w:hint="eastAsia" w:ascii="仿宋" w:hAnsi="仿宋" w:eastAsia="仿宋" w:cs="仿宋"/>
          <w:color w:val="auto"/>
          <w:sz w:val="24"/>
        </w:rPr>
        <w:t>1.2.3具体、明确的质疑事项和与质疑事项相关的请求；</w:t>
      </w:r>
    </w:p>
    <w:p>
      <w:pPr>
        <w:spacing w:line="400" w:lineRule="exact"/>
        <w:ind w:right="12" w:firstLine="480"/>
        <w:rPr>
          <w:rFonts w:ascii="仿宋" w:hAnsi="仿宋" w:eastAsia="仿宋" w:cs="仿宋"/>
          <w:color w:val="auto"/>
          <w:sz w:val="24"/>
        </w:rPr>
      </w:pPr>
      <w:r>
        <w:rPr>
          <w:rFonts w:hint="eastAsia" w:ascii="仿宋" w:hAnsi="仿宋" w:eastAsia="仿宋" w:cs="仿宋"/>
          <w:color w:val="auto"/>
          <w:sz w:val="24"/>
        </w:rPr>
        <w:t>1.2.4事实依据；</w:t>
      </w:r>
    </w:p>
    <w:p>
      <w:pPr>
        <w:spacing w:line="400" w:lineRule="exact"/>
        <w:ind w:right="12" w:firstLine="480"/>
        <w:rPr>
          <w:rFonts w:ascii="仿宋" w:hAnsi="仿宋" w:eastAsia="仿宋" w:cs="仿宋"/>
          <w:color w:val="auto"/>
          <w:sz w:val="24"/>
        </w:rPr>
      </w:pPr>
      <w:r>
        <w:rPr>
          <w:rFonts w:hint="eastAsia" w:ascii="仿宋" w:hAnsi="仿宋" w:eastAsia="仿宋" w:cs="仿宋"/>
          <w:color w:val="auto"/>
          <w:sz w:val="24"/>
        </w:rPr>
        <w:t>1.2.5必要的法律依据；</w:t>
      </w:r>
    </w:p>
    <w:p>
      <w:pPr>
        <w:spacing w:line="400" w:lineRule="exact"/>
        <w:ind w:right="12" w:firstLine="480"/>
        <w:rPr>
          <w:rFonts w:ascii="仿宋" w:hAnsi="仿宋" w:eastAsia="仿宋" w:cs="仿宋"/>
          <w:color w:val="auto"/>
          <w:sz w:val="24"/>
        </w:rPr>
      </w:pPr>
      <w:r>
        <w:rPr>
          <w:rFonts w:hint="eastAsia" w:ascii="仿宋" w:hAnsi="仿宋" w:eastAsia="仿宋" w:cs="仿宋"/>
          <w:color w:val="auto"/>
          <w:sz w:val="24"/>
        </w:rPr>
        <w:t>1.2.6提出质疑的日期；</w:t>
      </w:r>
    </w:p>
    <w:p>
      <w:pPr>
        <w:spacing w:line="400" w:lineRule="exact"/>
        <w:ind w:right="12" w:firstLine="480"/>
        <w:rPr>
          <w:rFonts w:ascii="仿宋" w:hAnsi="仿宋" w:eastAsia="仿宋" w:cs="仿宋"/>
          <w:color w:val="auto"/>
          <w:sz w:val="24"/>
        </w:rPr>
      </w:pPr>
      <w:r>
        <w:rPr>
          <w:rFonts w:hint="eastAsia" w:ascii="仿宋" w:hAnsi="仿宋" w:eastAsia="仿宋" w:cs="仿宋"/>
          <w:color w:val="auto"/>
          <w:sz w:val="24"/>
        </w:rPr>
        <w:t>1.2.7营业执照（或事业单位法人证书，或个体工商户营业执照或有效的自然人身份证明）复印件；</w:t>
      </w:r>
    </w:p>
    <w:p>
      <w:pPr>
        <w:spacing w:line="400" w:lineRule="exact"/>
        <w:ind w:right="12" w:firstLine="480"/>
        <w:rPr>
          <w:rFonts w:ascii="仿宋" w:hAnsi="仿宋" w:eastAsia="仿宋" w:cs="仿宋"/>
          <w:color w:val="auto"/>
          <w:sz w:val="24"/>
        </w:rPr>
      </w:pPr>
      <w:r>
        <w:rPr>
          <w:rFonts w:hint="eastAsia" w:ascii="仿宋" w:hAnsi="仿宋" w:eastAsia="仿宋" w:cs="仿宋"/>
          <w:color w:val="auto"/>
          <w:sz w:val="24"/>
        </w:rPr>
        <w:t>1.2.8法定代表人/负责人授权委托书原件、法定代表人/负责人身份证复印件和其授权代表的身份证复印件（供应商为自然人的提供自然人身份证复印件）；</w:t>
      </w:r>
    </w:p>
    <w:p>
      <w:pPr>
        <w:spacing w:line="400" w:lineRule="exact"/>
        <w:ind w:right="12" w:firstLine="480"/>
        <w:rPr>
          <w:rFonts w:ascii="仿宋" w:hAnsi="仿宋" w:eastAsia="仿宋" w:cs="仿宋"/>
          <w:color w:val="auto"/>
          <w:sz w:val="24"/>
        </w:rPr>
      </w:pPr>
      <w:r>
        <w:rPr>
          <w:rFonts w:hint="eastAsia" w:ascii="仿宋" w:hAnsi="仿宋" w:eastAsia="仿宋" w:cs="仿宋"/>
          <w:color w:val="auto"/>
          <w:sz w:val="24"/>
        </w:rPr>
        <w:t>1.3供应商为自然人的，质疑函应当由本人签字；供应商为法人或者其他组织的，质疑函应当由法定代表人/负责人、主要负责人，或者其授权代表签字或者盖章，并加盖公章。</w:t>
      </w:r>
    </w:p>
    <w:p>
      <w:pPr>
        <w:spacing w:line="400" w:lineRule="exact"/>
        <w:ind w:right="12" w:firstLine="480"/>
        <w:outlineLvl w:val="2"/>
        <w:rPr>
          <w:rFonts w:ascii="仿宋" w:hAnsi="仿宋" w:eastAsia="仿宋" w:cs="仿宋"/>
          <w:color w:val="auto"/>
          <w:sz w:val="24"/>
        </w:rPr>
      </w:pPr>
      <w:r>
        <w:rPr>
          <w:rFonts w:hint="eastAsia" w:ascii="仿宋" w:hAnsi="仿宋" w:eastAsia="仿宋" w:cs="仿宋"/>
          <w:color w:val="auto"/>
          <w:sz w:val="24"/>
        </w:rPr>
        <w:t>2.质疑答复</w:t>
      </w:r>
    </w:p>
    <w:p>
      <w:pPr>
        <w:spacing w:line="400" w:lineRule="exact"/>
        <w:ind w:right="12" w:firstLine="480"/>
        <w:rPr>
          <w:rFonts w:ascii="仿宋" w:hAnsi="仿宋" w:eastAsia="仿宋" w:cs="仿宋"/>
          <w:color w:val="auto"/>
          <w:sz w:val="24"/>
        </w:rPr>
      </w:pPr>
      <w:r>
        <w:rPr>
          <w:rFonts w:hint="eastAsia" w:ascii="仿宋" w:hAnsi="仿宋" w:eastAsia="仿宋" w:cs="仿宋"/>
          <w:color w:val="auto"/>
          <w:sz w:val="24"/>
        </w:rPr>
        <w:t>采购人、采购代理机构应当在收到供应商的书面质疑后七个工作日内作出答复，并以书面形式通知质疑供应商和其他有关供应商。</w:t>
      </w:r>
    </w:p>
    <w:p>
      <w:pPr>
        <w:spacing w:line="400" w:lineRule="exact"/>
        <w:ind w:right="12" w:firstLine="480"/>
        <w:outlineLvl w:val="2"/>
        <w:rPr>
          <w:rFonts w:ascii="仿宋" w:hAnsi="仿宋" w:eastAsia="仿宋" w:cs="仿宋"/>
          <w:color w:val="auto"/>
          <w:sz w:val="24"/>
        </w:rPr>
      </w:pPr>
      <w:r>
        <w:rPr>
          <w:rFonts w:hint="eastAsia" w:ascii="仿宋" w:hAnsi="仿宋" w:eastAsia="仿宋" w:cs="仿宋"/>
          <w:color w:val="auto"/>
          <w:sz w:val="24"/>
        </w:rPr>
        <w:t>3.其他</w:t>
      </w:r>
    </w:p>
    <w:p>
      <w:pPr>
        <w:spacing w:line="400" w:lineRule="exact"/>
        <w:ind w:right="12" w:firstLine="480"/>
        <w:rPr>
          <w:rFonts w:ascii="仿宋" w:hAnsi="仿宋" w:eastAsia="仿宋" w:cs="仿宋"/>
          <w:color w:val="auto"/>
          <w:sz w:val="24"/>
        </w:rPr>
      </w:pPr>
      <w:r>
        <w:rPr>
          <w:rFonts w:hint="eastAsia" w:ascii="仿宋" w:hAnsi="仿宋" w:eastAsia="仿宋" w:cs="仿宋"/>
          <w:color w:val="auto"/>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仿宋" w:hAnsi="仿宋" w:eastAsia="仿宋" w:cs="仿宋"/>
          <w:color w:val="auto"/>
          <w:sz w:val="24"/>
        </w:rPr>
      </w:pPr>
      <w:r>
        <w:rPr>
          <w:rFonts w:hint="eastAsia" w:ascii="仿宋" w:hAnsi="仿宋" w:eastAsia="仿宋" w:cs="仿宋"/>
          <w:color w:val="auto"/>
          <w:sz w:val="24"/>
        </w:rPr>
        <w:t>3.2质疑函范本可在财政部门户网站和中国政府采购网下载。</w:t>
      </w:r>
    </w:p>
    <w:p>
      <w:pPr>
        <w:spacing w:line="400" w:lineRule="exact"/>
        <w:ind w:right="12" w:firstLine="480"/>
        <w:outlineLvl w:val="2"/>
        <w:rPr>
          <w:rFonts w:ascii="仿宋" w:hAnsi="仿宋" w:eastAsia="仿宋" w:cs="仿宋"/>
          <w:color w:val="auto"/>
          <w:sz w:val="24"/>
        </w:rPr>
      </w:pPr>
      <w:r>
        <w:rPr>
          <w:rFonts w:hint="eastAsia" w:ascii="仿宋" w:hAnsi="仿宋" w:eastAsia="仿宋" w:cs="仿宋"/>
          <w:color w:val="auto"/>
          <w:sz w:val="24"/>
        </w:rPr>
        <w:t>（二）投诉</w:t>
      </w:r>
    </w:p>
    <w:p>
      <w:pPr>
        <w:spacing w:line="400" w:lineRule="exact"/>
        <w:ind w:right="12" w:firstLine="480"/>
        <w:rPr>
          <w:rFonts w:ascii="仿宋" w:hAnsi="仿宋" w:eastAsia="仿宋" w:cs="仿宋"/>
          <w:color w:val="auto"/>
          <w:sz w:val="24"/>
        </w:rPr>
      </w:pPr>
      <w:r>
        <w:rPr>
          <w:rFonts w:hint="eastAsia" w:ascii="仿宋" w:hAnsi="仿宋" w:eastAsia="仿宋" w:cs="仿宋"/>
          <w:color w:val="auto"/>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仿宋" w:hAnsi="仿宋" w:eastAsia="仿宋" w:cs="仿宋"/>
          <w:color w:val="auto"/>
          <w:sz w:val="24"/>
        </w:rPr>
      </w:pPr>
      <w:r>
        <w:rPr>
          <w:rFonts w:hint="eastAsia" w:ascii="仿宋" w:hAnsi="仿宋" w:eastAsia="仿宋" w:cs="仿宋"/>
          <w:color w:val="auto"/>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仿宋" w:hAnsi="仿宋" w:eastAsia="仿宋" w:cs="仿宋"/>
          <w:color w:val="auto"/>
          <w:sz w:val="24"/>
        </w:rPr>
      </w:pPr>
      <w:r>
        <w:rPr>
          <w:rFonts w:hint="eastAsia" w:ascii="仿宋" w:hAnsi="仿宋" w:eastAsia="仿宋" w:cs="仿宋"/>
          <w:color w:val="auto"/>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仿宋" w:hAnsi="仿宋" w:eastAsia="仿宋"/>
          <w:color w:val="auto"/>
          <w:sz w:val="24"/>
          <w:szCs w:val="24"/>
        </w:rPr>
      </w:pPr>
      <w:r>
        <w:rPr>
          <w:rFonts w:hint="eastAsia" w:ascii="仿宋" w:hAnsi="仿宋" w:eastAsia="仿宋" w:cs="仿宋"/>
          <w:color w:val="auto"/>
          <w:sz w:val="24"/>
        </w:rPr>
        <w:t>4.在确定受理投诉后，财政部门自受理投诉之日起30个工作日内（需要检验、检测、鉴定、专家评审以及需要投诉人补正材料的，所需时间不计算在投诉处理期限内）对投诉事项做出处理决定。</w:t>
      </w:r>
    </w:p>
    <w:p>
      <w:pPr>
        <w:pStyle w:val="4"/>
        <w:adjustRightInd w:val="0"/>
        <w:snapToGrid w:val="0"/>
        <w:spacing w:line="240" w:lineRule="auto"/>
        <w:ind w:firstLine="482" w:firstLineChars="200"/>
        <w:rPr>
          <w:rFonts w:ascii="仿宋" w:hAnsi="仿宋" w:eastAsia="仿宋"/>
          <w:color w:val="auto"/>
          <w:sz w:val="24"/>
        </w:rPr>
      </w:pPr>
      <w:bookmarkStart w:id="131" w:name="_Toc76462344"/>
      <w:bookmarkStart w:id="132" w:name="_Toc187768657"/>
      <w:r>
        <w:rPr>
          <w:rFonts w:hint="eastAsia" w:ascii="仿宋" w:hAnsi="仿宋" w:eastAsia="仿宋"/>
          <w:color w:val="auto"/>
          <w:sz w:val="24"/>
        </w:rPr>
        <w:t>七、采购代理服务费</w:t>
      </w:r>
      <w:bookmarkEnd w:id="131"/>
      <w:bookmarkEnd w:id="132"/>
    </w:p>
    <w:p>
      <w:pPr>
        <w:spacing w:line="400" w:lineRule="exact"/>
        <w:ind w:firstLine="360" w:firstLineChars="150"/>
        <w:rPr>
          <w:rFonts w:ascii="仿宋" w:hAnsi="仿宋" w:eastAsia="仿宋"/>
          <w:color w:val="auto"/>
          <w:sz w:val="24"/>
          <w:szCs w:val="24"/>
        </w:rPr>
      </w:pPr>
      <w:bookmarkStart w:id="133" w:name="_Toc76462345"/>
      <w:r>
        <w:rPr>
          <w:rFonts w:hint="eastAsia" w:ascii="仿宋" w:hAnsi="仿宋" w:eastAsia="仿宋"/>
          <w:color w:val="auto"/>
          <w:sz w:val="24"/>
          <w:szCs w:val="24"/>
        </w:rPr>
        <w:t>1</w:t>
      </w:r>
      <w:r>
        <w:rPr>
          <w:rFonts w:ascii="仿宋" w:hAnsi="仿宋" w:eastAsia="仿宋"/>
          <w:color w:val="auto"/>
          <w:sz w:val="24"/>
          <w:szCs w:val="24"/>
        </w:rPr>
        <w:t>.</w:t>
      </w:r>
      <w:r>
        <w:rPr>
          <w:rFonts w:hint="eastAsia" w:ascii="仿宋" w:hAnsi="仿宋" w:eastAsia="仿宋"/>
          <w:color w:val="auto"/>
          <w:sz w:val="24"/>
          <w:szCs w:val="24"/>
        </w:rPr>
        <w:t>成交供应商在领取成交通知书的同时，需向采购代理机构缴纳采购代理服务费3500.00元（大写：叁仟伍佰元整）。</w:t>
      </w:r>
    </w:p>
    <w:p>
      <w:pPr>
        <w:spacing w:line="400" w:lineRule="exact"/>
        <w:ind w:firstLine="360" w:firstLineChars="150"/>
        <w:rPr>
          <w:rFonts w:ascii="仿宋" w:hAnsi="仿宋" w:eastAsia="仿宋"/>
          <w:color w:val="auto"/>
          <w:sz w:val="24"/>
          <w:szCs w:val="24"/>
        </w:rPr>
      </w:pPr>
      <w:r>
        <w:rPr>
          <w:rFonts w:hint="eastAsia" w:ascii="仿宋" w:hAnsi="仿宋" w:eastAsia="仿宋"/>
          <w:color w:val="auto"/>
          <w:sz w:val="24"/>
          <w:szCs w:val="24"/>
        </w:rPr>
        <w:t>2.代理服务费以转帐、微信、现金形式支付。</w:t>
      </w:r>
    </w:p>
    <w:p>
      <w:pPr>
        <w:spacing w:line="400" w:lineRule="exact"/>
        <w:ind w:firstLine="360" w:firstLineChars="150"/>
        <w:rPr>
          <w:rFonts w:ascii="仿宋" w:hAnsi="仿宋" w:eastAsia="仿宋"/>
          <w:color w:val="auto"/>
          <w:sz w:val="24"/>
          <w:szCs w:val="24"/>
        </w:rPr>
      </w:pPr>
      <w:r>
        <w:rPr>
          <w:rFonts w:hint="eastAsia" w:ascii="仿宋" w:hAnsi="仿宋" w:eastAsia="仿宋"/>
          <w:color w:val="auto"/>
          <w:sz w:val="24"/>
          <w:szCs w:val="24"/>
        </w:rPr>
        <w:t>3.费用缴纳账号：</w:t>
      </w:r>
    </w:p>
    <w:p>
      <w:pPr>
        <w:spacing w:line="400" w:lineRule="exact"/>
        <w:ind w:firstLine="360" w:firstLineChars="150"/>
        <w:rPr>
          <w:rFonts w:ascii="仿宋" w:hAnsi="仿宋" w:eastAsia="仿宋"/>
          <w:color w:val="auto"/>
          <w:sz w:val="24"/>
          <w:szCs w:val="24"/>
        </w:rPr>
      </w:pPr>
      <w:r>
        <w:rPr>
          <w:rFonts w:hint="eastAsia" w:ascii="仿宋" w:hAnsi="仿宋" w:eastAsia="仿宋"/>
          <w:color w:val="auto"/>
          <w:sz w:val="24"/>
          <w:szCs w:val="24"/>
        </w:rPr>
        <w:t>户  名：重庆市汇昊招标代理有限公司</w:t>
      </w:r>
    </w:p>
    <w:p>
      <w:pPr>
        <w:spacing w:line="400" w:lineRule="exact"/>
        <w:ind w:firstLine="360" w:firstLineChars="150"/>
        <w:rPr>
          <w:rFonts w:ascii="仿宋" w:hAnsi="仿宋" w:eastAsia="仿宋"/>
          <w:color w:val="auto"/>
          <w:sz w:val="24"/>
          <w:szCs w:val="24"/>
        </w:rPr>
      </w:pPr>
      <w:r>
        <w:rPr>
          <w:rFonts w:hint="eastAsia" w:ascii="仿宋" w:hAnsi="仿宋" w:eastAsia="仿宋"/>
          <w:color w:val="auto"/>
          <w:sz w:val="24"/>
          <w:szCs w:val="24"/>
        </w:rPr>
        <w:t>开户行：中国工商银行股份有限公司南川支行</w:t>
      </w:r>
    </w:p>
    <w:p>
      <w:pPr>
        <w:spacing w:line="400" w:lineRule="exact"/>
        <w:ind w:firstLine="360" w:firstLineChars="150"/>
        <w:rPr>
          <w:rFonts w:ascii="仿宋" w:hAnsi="仿宋" w:eastAsia="仿宋"/>
          <w:color w:val="auto"/>
          <w:sz w:val="24"/>
          <w:szCs w:val="24"/>
        </w:rPr>
      </w:pPr>
      <w:r>
        <w:rPr>
          <w:rFonts w:hint="eastAsia" w:ascii="仿宋" w:hAnsi="仿宋" w:eastAsia="仿宋"/>
          <w:color w:val="auto"/>
          <w:sz w:val="24"/>
          <w:szCs w:val="24"/>
        </w:rPr>
        <w:t>账  号：3100010109100027510</w:t>
      </w:r>
    </w:p>
    <w:bookmarkEnd w:id="133"/>
    <w:p>
      <w:pPr>
        <w:pStyle w:val="4"/>
        <w:adjustRightInd w:val="0"/>
        <w:snapToGrid w:val="0"/>
        <w:spacing w:line="240" w:lineRule="auto"/>
        <w:ind w:firstLine="482" w:firstLineChars="200"/>
        <w:rPr>
          <w:rFonts w:ascii="仿宋" w:hAnsi="仿宋" w:eastAsia="仿宋"/>
          <w:color w:val="auto"/>
          <w:sz w:val="24"/>
        </w:rPr>
      </w:pPr>
      <w:bookmarkStart w:id="134" w:name="_Toc102227322"/>
      <w:bookmarkStart w:id="135" w:name="_Toc342913396"/>
      <w:bookmarkStart w:id="136" w:name="_Toc76462346"/>
      <w:bookmarkStart w:id="137" w:name="_Toc187768658"/>
      <w:bookmarkStart w:id="138" w:name="_Toc11641055"/>
      <w:bookmarkStart w:id="139" w:name="_Toc12789059"/>
      <w:r>
        <w:rPr>
          <w:rFonts w:hint="eastAsia" w:ascii="仿宋" w:hAnsi="仿宋" w:eastAsia="仿宋"/>
          <w:color w:val="auto"/>
          <w:sz w:val="24"/>
        </w:rPr>
        <w:t>八、签订</w:t>
      </w:r>
      <w:bookmarkEnd w:id="134"/>
      <w:r>
        <w:rPr>
          <w:rFonts w:hint="eastAsia" w:ascii="仿宋" w:hAnsi="仿宋" w:eastAsia="仿宋"/>
          <w:color w:val="auto"/>
          <w:sz w:val="24"/>
        </w:rPr>
        <w:t>合同</w:t>
      </w:r>
      <w:bookmarkEnd w:id="135"/>
      <w:bookmarkEnd w:id="136"/>
      <w:bookmarkEnd w:id="137"/>
    </w:p>
    <w:p>
      <w:pPr>
        <w:spacing w:line="400" w:lineRule="exact"/>
        <w:ind w:firstLine="360" w:firstLineChars="150"/>
        <w:rPr>
          <w:rFonts w:ascii="仿宋" w:hAnsi="仿宋" w:eastAsia="仿宋"/>
          <w:color w:val="auto"/>
          <w:sz w:val="24"/>
          <w:szCs w:val="24"/>
        </w:rPr>
      </w:pPr>
      <w:r>
        <w:rPr>
          <w:rFonts w:hint="eastAsia" w:ascii="仿宋" w:hAnsi="仿宋" w:eastAsia="仿宋"/>
          <w:color w:val="auto"/>
          <w:sz w:val="24"/>
          <w:szCs w:val="24"/>
        </w:rPr>
        <w:t>（一）</w:t>
      </w:r>
      <w:r>
        <w:rPr>
          <w:rFonts w:hint="eastAsia" w:ascii="仿宋" w:hAnsi="仿宋" w:eastAsia="仿宋"/>
          <w:color w:val="auto"/>
          <w:sz w:val="24"/>
        </w:rPr>
        <w:t>采购人原则上应在成交通知书发出之日起二十日内和成交供应商签订采购合同，无正当理由不得拒绝或拖延合同签订</w:t>
      </w:r>
      <w:r>
        <w:rPr>
          <w:rFonts w:hint="eastAsia" w:ascii="仿宋" w:hAnsi="仿宋" w:eastAsia="仿宋"/>
          <w:color w:val="auto"/>
          <w:sz w:val="24"/>
          <w:szCs w:val="24"/>
        </w:rPr>
        <w:t>。所签订的合同不得对竞争性磋商文件和供应商的响应文件作实质性修改。其他未尽事宜由采购人和成交供应商在采购合同中详细约定。</w:t>
      </w:r>
    </w:p>
    <w:p>
      <w:pPr>
        <w:spacing w:line="400" w:lineRule="exact"/>
        <w:ind w:firstLine="360" w:firstLineChars="150"/>
        <w:rPr>
          <w:rFonts w:ascii="仿宋" w:hAnsi="仿宋" w:eastAsia="仿宋"/>
          <w:color w:val="auto"/>
          <w:sz w:val="24"/>
          <w:szCs w:val="24"/>
        </w:rPr>
      </w:pPr>
      <w:r>
        <w:rPr>
          <w:rFonts w:hint="eastAsia" w:ascii="仿宋" w:hAnsi="仿宋" w:eastAsia="仿宋"/>
          <w:color w:val="auto"/>
          <w:sz w:val="24"/>
          <w:szCs w:val="24"/>
        </w:rPr>
        <w:t>（二）竞争性磋商文件、供应商的响应文件及澄清文件等，均为签订采购合同的依据。</w:t>
      </w:r>
    </w:p>
    <w:p>
      <w:pPr>
        <w:spacing w:line="400" w:lineRule="exact"/>
        <w:ind w:firstLine="360" w:firstLineChars="150"/>
        <w:rPr>
          <w:rFonts w:ascii="仿宋" w:hAnsi="仿宋" w:eastAsia="仿宋"/>
          <w:color w:val="auto"/>
          <w:sz w:val="24"/>
          <w:szCs w:val="24"/>
        </w:rPr>
      </w:pPr>
      <w:r>
        <w:rPr>
          <w:rFonts w:hint="eastAsia" w:ascii="仿宋" w:hAnsi="仿宋" w:eastAsia="仿宋"/>
          <w:color w:val="auto"/>
          <w:sz w:val="24"/>
          <w:szCs w:val="24"/>
        </w:rPr>
        <w:t>（三）合同生效条款由供需双方约定，法律、行政法规规定应当办理批准、登记等手续后生效的合同，依照其规定。</w:t>
      </w:r>
    </w:p>
    <w:p>
      <w:pPr>
        <w:spacing w:line="400" w:lineRule="exact"/>
        <w:ind w:firstLine="360" w:firstLineChars="150"/>
        <w:rPr>
          <w:rFonts w:ascii="仿宋" w:hAnsi="仿宋" w:eastAsia="仿宋"/>
          <w:color w:val="auto"/>
          <w:sz w:val="24"/>
          <w:szCs w:val="24"/>
        </w:rPr>
      </w:pPr>
      <w:r>
        <w:rPr>
          <w:rFonts w:hint="eastAsia" w:ascii="仿宋" w:hAnsi="仿宋" w:eastAsia="仿宋"/>
          <w:color w:val="auto"/>
          <w:sz w:val="24"/>
          <w:szCs w:val="24"/>
        </w:rPr>
        <w:t>（四）合同原则上应按照《采购合同》签订，相关单位要求适用合同通用格式版本的，应按其要求另行签订其他合同。</w:t>
      </w:r>
    </w:p>
    <w:p>
      <w:pPr>
        <w:spacing w:line="400" w:lineRule="exact"/>
        <w:ind w:firstLine="360" w:firstLineChars="150"/>
        <w:rPr>
          <w:rFonts w:ascii="仿宋" w:hAnsi="仿宋" w:eastAsia="仿宋"/>
          <w:color w:val="auto"/>
          <w:sz w:val="24"/>
          <w:szCs w:val="24"/>
        </w:rPr>
      </w:pPr>
      <w:r>
        <w:rPr>
          <w:rFonts w:hint="eastAsia" w:ascii="仿宋" w:hAnsi="仿宋" w:eastAsia="仿宋"/>
          <w:color w:val="auto"/>
          <w:sz w:val="24"/>
          <w:szCs w:val="24"/>
        </w:rPr>
        <w:t>（五）采购人要求成交供应商提供履约保证金的，应当在竞争性磋商文件中予以约定。成交供应商履约完毕后，采购人根据采购文件规定无息退还其履约保证金。</w:t>
      </w:r>
    </w:p>
    <w:p>
      <w:pPr>
        <w:pStyle w:val="4"/>
        <w:spacing w:line="240" w:lineRule="auto"/>
        <w:jc w:val="center"/>
        <w:rPr>
          <w:rFonts w:ascii="仿宋" w:hAnsi="仿宋" w:eastAsia="仿宋"/>
          <w:b w:val="0"/>
          <w:color w:val="auto"/>
          <w:sz w:val="36"/>
          <w:szCs w:val="30"/>
        </w:rPr>
      </w:pPr>
      <w:r>
        <w:rPr>
          <w:rFonts w:ascii="仿宋" w:hAnsi="仿宋" w:eastAsia="仿宋"/>
          <w:color w:val="auto"/>
          <w:sz w:val="36"/>
          <w:szCs w:val="30"/>
        </w:rPr>
        <w:br w:type="page"/>
      </w:r>
      <w:bookmarkStart w:id="140" w:name="_Toc187768659"/>
      <w:bookmarkStart w:id="141" w:name="_Toc76462348"/>
      <w:r>
        <w:rPr>
          <w:rFonts w:hint="eastAsia" w:ascii="仿宋" w:hAnsi="仿宋" w:eastAsia="仿宋"/>
          <w:b w:val="0"/>
          <w:color w:val="auto"/>
          <w:sz w:val="36"/>
          <w:szCs w:val="30"/>
        </w:rPr>
        <w:t xml:space="preserve">第六篇  </w:t>
      </w:r>
      <w:bookmarkEnd w:id="138"/>
      <w:bookmarkEnd w:id="139"/>
      <w:r>
        <w:rPr>
          <w:rFonts w:hint="eastAsia" w:ascii="仿宋" w:hAnsi="仿宋" w:eastAsia="仿宋"/>
          <w:b w:val="0"/>
          <w:color w:val="auto"/>
          <w:sz w:val="36"/>
          <w:szCs w:val="30"/>
        </w:rPr>
        <w:t>采购合同</w:t>
      </w:r>
      <w:bookmarkEnd w:id="140"/>
      <w:bookmarkEnd w:id="141"/>
    </w:p>
    <w:p>
      <w:pPr>
        <w:spacing w:line="500" w:lineRule="exact"/>
        <w:jc w:val="center"/>
        <w:rPr>
          <w:rFonts w:ascii="仿宋" w:hAnsi="仿宋" w:eastAsia="仿宋"/>
          <w:b/>
          <w:color w:val="auto"/>
          <w:sz w:val="44"/>
        </w:rPr>
      </w:pPr>
      <w:r>
        <w:rPr>
          <w:rFonts w:hint="eastAsia" w:ascii="仿宋" w:hAnsi="仿宋" w:eastAsia="仿宋"/>
          <w:b/>
          <w:color w:val="auto"/>
          <w:sz w:val="44"/>
        </w:rPr>
        <w:t>采购合同</w:t>
      </w:r>
    </w:p>
    <w:p>
      <w:pPr>
        <w:spacing w:line="500" w:lineRule="exact"/>
        <w:jc w:val="center"/>
        <w:rPr>
          <w:rFonts w:ascii="仿宋" w:hAnsi="仿宋" w:eastAsia="仿宋"/>
          <w:color w:val="auto"/>
        </w:rPr>
      </w:pPr>
      <w:r>
        <w:rPr>
          <w:rFonts w:hint="eastAsia" w:ascii="仿宋" w:hAnsi="仿宋" w:eastAsia="仿宋"/>
          <w:color w:val="auto"/>
        </w:rPr>
        <w:t>（项目号：     ）</w:t>
      </w:r>
    </w:p>
    <w:p>
      <w:pPr>
        <w:spacing w:line="500" w:lineRule="exact"/>
        <w:rPr>
          <w:rFonts w:ascii="仿宋" w:hAnsi="仿宋" w:eastAsia="仿宋"/>
          <w:color w:val="auto"/>
          <w:sz w:val="24"/>
        </w:rPr>
      </w:pPr>
      <w:r>
        <w:rPr>
          <w:rFonts w:hint="eastAsia" w:ascii="仿宋" w:hAnsi="仿宋" w:eastAsia="仿宋"/>
          <w:color w:val="auto"/>
          <w:sz w:val="24"/>
        </w:rPr>
        <w:t>甲方（需方）：___________________________      计价单位：____________</w:t>
      </w:r>
    </w:p>
    <w:p>
      <w:pPr>
        <w:spacing w:line="500" w:lineRule="exact"/>
        <w:rPr>
          <w:rFonts w:ascii="仿宋" w:hAnsi="仿宋" w:eastAsia="仿宋"/>
          <w:color w:val="auto"/>
          <w:sz w:val="24"/>
        </w:rPr>
      </w:pPr>
      <w:r>
        <w:rPr>
          <w:rFonts w:hint="eastAsia" w:ascii="仿宋" w:hAnsi="仿宋" w:eastAsia="仿宋"/>
          <w:color w:val="auto"/>
          <w:sz w:val="24"/>
        </w:rPr>
        <w:t>乙方（供方）：___________________________      计量单位：_____________</w:t>
      </w:r>
    </w:p>
    <w:p>
      <w:pPr>
        <w:spacing w:line="500" w:lineRule="exact"/>
        <w:rPr>
          <w:rFonts w:ascii="仿宋" w:hAnsi="仿宋" w:eastAsia="仿宋"/>
          <w:color w:val="auto"/>
          <w:sz w:val="24"/>
        </w:rPr>
      </w:pPr>
    </w:p>
    <w:p>
      <w:pPr>
        <w:spacing w:line="500" w:lineRule="exact"/>
        <w:rPr>
          <w:rFonts w:ascii="仿宋" w:hAnsi="仿宋" w:eastAsia="仿宋"/>
          <w:color w:val="auto"/>
          <w:sz w:val="24"/>
        </w:rPr>
      </w:pPr>
      <w:r>
        <w:rPr>
          <w:rFonts w:hint="eastAsia" w:ascii="仿宋" w:hAnsi="仿宋" w:eastAsia="仿宋"/>
          <w:color w:val="auto"/>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仿宋" w:hAnsi="仿宋" w:eastAsia="仿宋"/>
                <w:color w:val="auto"/>
                <w:sz w:val="21"/>
                <w:szCs w:val="21"/>
              </w:rPr>
            </w:pPr>
            <w:r>
              <w:rPr>
                <w:rFonts w:hint="eastAsia" w:ascii="仿宋" w:hAnsi="仿宋" w:eastAsia="仿宋"/>
                <w:color w:val="auto"/>
                <w:sz w:val="21"/>
                <w:szCs w:val="21"/>
              </w:rPr>
              <w:t>磋商项目名称</w:t>
            </w:r>
          </w:p>
        </w:tc>
        <w:tc>
          <w:tcPr>
            <w:tcW w:w="984" w:type="dxa"/>
            <w:vAlign w:val="center"/>
          </w:tcPr>
          <w:p>
            <w:pPr>
              <w:spacing w:line="240" w:lineRule="atLeast"/>
              <w:jc w:val="center"/>
              <w:rPr>
                <w:rFonts w:ascii="仿宋" w:hAnsi="仿宋" w:eastAsia="仿宋"/>
                <w:color w:val="auto"/>
                <w:sz w:val="21"/>
                <w:szCs w:val="21"/>
              </w:rPr>
            </w:pPr>
            <w:r>
              <w:rPr>
                <w:rFonts w:hint="eastAsia" w:ascii="仿宋" w:hAnsi="仿宋" w:eastAsia="仿宋"/>
                <w:color w:val="auto"/>
                <w:sz w:val="21"/>
                <w:szCs w:val="21"/>
              </w:rPr>
              <w:t>数量</w:t>
            </w:r>
          </w:p>
        </w:tc>
        <w:tc>
          <w:tcPr>
            <w:tcW w:w="1298" w:type="dxa"/>
            <w:gridSpan w:val="2"/>
            <w:vAlign w:val="center"/>
          </w:tcPr>
          <w:p>
            <w:pPr>
              <w:spacing w:line="240" w:lineRule="atLeast"/>
              <w:jc w:val="center"/>
              <w:rPr>
                <w:rFonts w:ascii="仿宋" w:hAnsi="仿宋" w:eastAsia="仿宋"/>
                <w:color w:val="auto"/>
                <w:sz w:val="21"/>
                <w:szCs w:val="21"/>
              </w:rPr>
            </w:pPr>
            <w:r>
              <w:rPr>
                <w:rFonts w:hint="eastAsia" w:ascii="仿宋" w:hAnsi="仿宋" w:eastAsia="仿宋"/>
                <w:color w:val="auto"/>
                <w:sz w:val="21"/>
                <w:szCs w:val="21"/>
              </w:rPr>
              <w:t>综合单价</w:t>
            </w:r>
          </w:p>
        </w:tc>
        <w:tc>
          <w:tcPr>
            <w:tcW w:w="1134" w:type="dxa"/>
            <w:vAlign w:val="center"/>
          </w:tcPr>
          <w:p>
            <w:pPr>
              <w:spacing w:line="240" w:lineRule="atLeast"/>
              <w:jc w:val="center"/>
              <w:rPr>
                <w:rFonts w:ascii="仿宋" w:hAnsi="仿宋" w:eastAsia="仿宋"/>
                <w:color w:val="auto"/>
                <w:sz w:val="21"/>
                <w:szCs w:val="21"/>
              </w:rPr>
            </w:pPr>
            <w:r>
              <w:rPr>
                <w:rFonts w:hint="eastAsia" w:ascii="仿宋" w:hAnsi="仿宋" w:eastAsia="仿宋"/>
                <w:color w:val="auto"/>
                <w:sz w:val="21"/>
                <w:szCs w:val="21"/>
              </w:rPr>
              <w:t>总价</w:t>
            </w:r>
          </w:p>
        </w:tc>
        <w:tc>
          <w:tcPr>
            <w:tcW w:w="1559" w:type="dxa"/>
            <w:vAlign w:val="center"/>
          </w:tcPr>
          <w:p>
            <w:pPr>
              <w:spacing w:line="240" w:lineRule="atLeast"/>
              <w:jc w:val="center"/>
              <w:rPr>
                <w:rFonts w:ascii="仿宋" w:hAnsi="仿宋" w:eastAsia="仿宋"/>
                <w:color w:val="auto"/>
                <w:sz w:val="21"/>
                <w:szCs w:val="21"/>
              </w:rPr>
            </w:pPr>
            <w:r>
              <w:rPr>
                <w:rFonts w:hint="eastAsia" w:ascii="仿宋" w:hAnsi="仿宋" w:eastAsia="仿宋"/>
                <w:color w:val="auto"/>
                <w:sz w:val="21"/>
                <w:szCs w:val="21"/>
              </w:rPr>
              <w:t>服务时间</w:t>
            </w:r>
          </w:p>
        </w:tc>
        <w:tc>
          <w:tcPr>
            <w:tcW w:w="1567" w:type="dxa"/>
            <w:vAlign w:val="center"/>
          </w:tcPr>
          <w:p>
            <w:pPr>
              <w:spacing w:line="240" w:lineRule="atLeast"/>
              <w:jc w:val="center"/>
              <w:rPr>
                <w:rFonts w:ascii="仿宋" w:hAnsi="仿宋" w:eastAsia="仿宋"/>
                <w:color w:val="auto"/>
                <w:sz w:val="21"/>
                <w:szCs w:val="21"/>
              </w:rPr>
            </w:pPr>
            <w:r>
              <w:rPr>
                <w:rFonts w:hint="eastAsia" w:ascii="仿宋" w:hAnsi="仿宋" w:eastAsia="仿宋"/>
                <w:color w:val="auto"/>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仿宋" w:hAnsi="仿宋" w:eastAsia="仿宋"/>
                <w:color w:val="auto"/>
                <w:sz w:val="21"/>
                <w:szCs w:val="21"/>
              </w:rPr>
            </w:pPr>
          </w:p>
        </w:tc>
        <w:tc>
          <w:tcPr>
            <w:tcW w:w="984" w:type="dxa"/>
            <w:vAlign w:val="center"/>
          </w:tcPr>
          <w:p>
            <w:pPr>
              <w:spacing w:line="240" w:lineRule="atLeast"/>
              <w:jc w:val="center"/>
              <w:rPr>
                <w:rFonts w:ascii="仿宋" w:hAnsi="仿宋" w:eastAsia="仿宋"/>
                <w:color w:val="auto"/>
                <w:sz w:val="21"/>
                <w:szCs w:val="21"/>
              </w:rPr>
            </w:pPr>
          </w:p>
        </w:tc>
        <w:tc>
          <w:tcPr>
            <w:tcW w:w="1298" w:type="dxa"/>
            <w:gridSpan w:val="2"/>
            <w:vAlign w:val="center"/>
          </w:tcPr>
          <w:p>
            <w:pPr>
              <w:spacing w:line="240" w:lineRule="atLeast"/>
              <w:jc w:val="center"/>
              <w:rPr>
                <w:rFonts w:ascii="仿宋" w:hAnsi="仿宋" w:eastAsia="仿宋"/>
                <w:color w:val="auto"/>
                <w:sz w:val="21"/>
                <w:szCs w:val="21"/>
              </w:rPr>
            </w:pPr>
          </w:p>
        </w:tc>
        <w:tc>
          <w:tcPr>
            <w:tcW w:w="1134" w:type="dxa"/>
            <w:vAlign w:val="center"/>
          </w:tcPr>
          <w:p>
            <w:pPr>
              <w:spacing w:line="240" w:lineRule="atLeast"/>
              <w:jc w:val="center"/>
              <w:rPr>
                <w:rFonts w:ascii="仿宋" w:hAnsi="仿宋" w:eastAsia="仿宋"/>
                <w:color w:val="auto"/>
                <w:sz w:val="21"/>
                <w:szCs w:val="21"/>
              </w:rPr>
            </w:pPr>
          </w:p>
        </w:tc>
        <w:tc>
          <w:tcPr>
            <w:tcW w:w="1559" w:type="dxa"/>
            <w:vAlign w:val="center"/>
          </w:tcPr>
          <w:p>
            <w:pPr>
              <w:spacing w:line="240" w:lineRule="atLeast"/>
              <w:jc w:val="center"/>
              <w:rPr>
                <w:rFonts w:ascii="仿宋" w:hAnsi="仿宋" w:eastAsia="仿宋"/>
                <w:color w:val="auto"/>
                <w:sz w:val="21"/>
                <w:szCs w:val="21"/>
              </w:rPr>
            </w:pPr>
          </w:p>
        </w:tc>
        <w:tc>
          <w:tcPr>
            <w:tcW w:w="1567" w:type="dxa"/>
            <w:vAlign w:val="center"/>
          </w:tcPr>
          <w:p>
            <w:pPr>
              <w:spacing w:line="240" w:lineRule="atLeast"/>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仿宋" w:hAnsi="仿宋" w:eastAsia="仿宋"/>
                <w:color w:val="auto"/>
                <w:sz w:val="21"/>
                <w:szCs w:val="21"/>
              </w:rPr>
            </w:pPr>
          </w:p>
        </w:tc>
        <w:tc>
          <w:tcPr>
            <w:tcW w:w="984" w:type="dxa"/>
            <w:vAlign w:val="center"/>
          </w:tcPr>
          <w:p>
            <w:pPr>
              <w:spacing w:line="240" w:lineRule="atLeast"/>
              <w:jc w:val="center"/>
              <w:rPr>
                <w:rFonts w:ascii="仿宋" w:hAnsi="仿宋" w:eastAsia="仿宋"/>
                <w:color w:val="auto"/>
                <w:sz w:val="21"/>
                <w:szCs w:val="21"/>
              </w:rPr>
            </w:pPr>
          </w:p>
        </w:tc>
        <w:tc>
          <w:tcPr>
            <w:tcW w:w="1298" w:type="dxa"/>
            <w:gridSpan w:val="2"/>
            <w:vAlign w:val="center"/>
          </w:tcPr>
          <w:p>
            <w:pPr>
              <w:spacing w:line="240" w:lineRule="atLeast"/>
              <w:jc w:val="center"/>
              <w:rPr>
                <w:rFonts w:ascii="仿宋" w:hAnsi="仿宋" w:eastAsia="仿宋"/>
                <w:color w:val="auto"/>
                <w:sz w:val="21"/>
                <w:szCs w:val="21"/>
              </w:rPr>
            </w:pPr>
          </w:p>
        </w:tc>
        <w:tc>
          <w:tcPr>
            <w:tcW w:w="1134" w:type="dxa"/>
            <w:vAlign w:val="center"/>
          </w:tcPr>
          <w:p>
            <w:pPr>
              <w:spacing w:line="240" w:lineRule="atLeast"/>
              <w:jc w:val="center"/>
              <w:rPr>
                <w:rFonts w:ascii="仿宋" w:hAnsi="仿宋" w:eastAsia="仿宋"/>
                <w:color w:val="auto"/>
                <w:sz w:val="21"/>
                <w:szCs w:val="21"/>
              </w:rPr>
            </w:pPr>
          </w:p>
        </w:tc>
        <w:tc>
          <w:tcPr>
            <w:tcW w:w="1559" w:type="dxa"/>
            <w:vAlign w:val="center"/>
          </w:tcPr>
          <w:p>
            <w:pPr>
              <w:spacing w:line="240" w:lineRule="atLeast"/>
              <w:jc w:val="center"/>
              <w:rPr>
                <w:rFonts w:ascii="仿宋" w:hAnsi="仿宋" w:eastAsia="仿宋"/>
                <w:color w:val="auto"/>
                <w:sz w:val="21"/>
                <w:szCs w:val="21"/>
              </w:rPr>
            </w:pPr>
          </w:p>
        </w:tc>
        <w:tc>
          <w:tcPr>
            <w:tcW w:w="1567" w:type="dxa"/>
            <w:vAlign w:val="center"/>
          </w:tcPr>
          <w:p>
            <w:pPr>
              <w:spacing w:line="240" w:lineRule="atLeast"/>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仿宋" w:hAnsi="仿宋" w:eastAsia="仿宋"/>
                <w:color w:val="auto"/>
                <w:sz w:val="21"/>
                <w:szCs w:val="21"/>
              </w:rPr>
            </w:pPr>
            <w:r>
              <w:rPr>
                <w:rFonts w:hint="eastAsia" w:ascii="仿宋" w:hAnsi="仿宋" w:eastAsia="仿宋"/>
                <w:color w:val="auto"/>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仿宋" w:hAnsi="仿宋" w:eastAsia="仿宋"/>
                <w:color w:val="auto"/>
                <w:sz w:val="21"/>
                <w:szCs w:val="21"/>
              </w:rPr>
            </w:pPr>
            <w:r>
              <w:rPr>
                <w:rFonts w:hint="eastAsia" w:ascii="仿宋" w:hAnsi="仿宋" w:eastAsia="仿宋"/>
                <w:color w:val="auto"/>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仿宋" w:hAnsi="仿宋" w:eastAsia="仿宋"/>
                <w:color w:val="auto"/>
                <w:sz w:val="21"/>
                <w:szCs w:val="21"/>
              </w:rPr>
            </w:pPr>
            <w:r>
              <w:rPr>
                <w:rFonts w:hint="eastAsia" w:ascii="仿宋" w:hAnsi="仿宋" w:eastAsia="仿宋"/>
                <w:color w:val="auto"/>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9628" w:type="dxa"/>
            <w:gridSpan w:val="8"/>
          </w:tcPr>
          <w:p>
            <w:pPr>
              <w:spacing w:line="240" w:lineRule="atLeast"/>
              <w:rPr>
                <w:rFonts w:ascii="仿宋" w:hAnsi="仿宋" w:eastAsia="仿宋"/>
                <w:color w:val="auto"/>
                <w:sz w:val="21"/>
                <w:szCs w:val="21"/>
              </w:rPr>
            </w:pPr>
            <w:r>
              <w:rPr>
                <w:rFonts w:hint="eastAsia" w:ascii="仿宋" w:hAnsi="仿宋" w:eastAsia="仿宋"/>
                <w:color w:val="auto"/>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9628" w:type="dxa"/>
            <w:gridSpan w:val="8"/>
          </w:tcPr>
          <w:p>
            <w:pPr>
              <w:spacing w:line="240" w:lineRule="atLeast"/>
              <w:rPr>
                <w:rFonts w:ascii="仿宋" w:hAnsi="仿宋" w:eastAsia="仿宋"/>
                <w:color w:val="auto"/>
                <w:sz w:val="21"/>
                <w:szCs w:val="21"/>
              </w:rPr>
            </w:pPr>
            <w:r>
              <w:rPr>
                <w:rFonts w:hint="eastAsia" w:ascii="仿宋" w:hAnsi="仿宋" w:eastAsia="仿宋"/>
                <w:color w:val="auto"/>
                <w:sz w:val="21"/>
                <w:szCs w:val="21"/>
              </w:rPr>
              <w:t>三、付款方式：</w:t>
            </w:r>
          </w:p>
          <w:p>
            <w:pP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9628" w:type="dxa"/>
            <w:gridSpan w:val="8"/>
          </w:tcPr>
          <w:p>
            <w:pPr>
              <w:rPr>
                <w:rFonts w:ascii="仿宋" w:hAnsi="仿宋" w:eastAsia="仿宋"/>
                <w:color w:val="auto"/>
                <w:sz w:val="21"/>
                <w:szCs w:val="21"/>
              </w:rPr>
            </w:pPr>
            <w:r>
              <w:rPr>
                <w:rFonts w:hint="eastAsia" w:ascii="仿宋" w:hAnsi="仿宋" w:eastAsia="仿宋"/>
                <w:color w:val="auto"/>
                <w:sz w:val="21"/>
                <w:szCs w:val="21"/>
              </w:rPr>
              <w:t>X、履约保证金</w:t>
            </w:r>
            <w:r>
              <w:rPr>
                <w:rFonts w:ascii="仿宋" w:hAnsi="仿宋" w:eastAsia="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仿宋" w:hAnsi="仿宋" w:eastAsia="仿宋"/>
                <w:color w:val="auto"/>
                <w:sz w:val="21"/>
                <w:szCs w:val="21"/>
              </w:rPr>
            </w:pPr>
            <w:r>
              <w:rPr>
                <w:rFonts w:hint="eastAsia" w:ascii="仿宋" w:hAnsi="仿宋" w:eastAsia="仿宋"/>
                <w:color w:val="auto"/>
                <w:sz w:val="21"/>
                <w:szCs w:val="21"/>
              </w:rPr>
              <w:t>四、违约责任：</w:t>
            </w:r>
          </w:p>
          <w:p>
            <w:pPr>
              <w:spacing w:line="240" w:lineRule="atLeast"/>
              <w:rPr>
                <w:rFonts w:ascii="仿宋" w:hAnsi="仿宋" w:eastAsia="仿宋"/>
                <w:color w:val="auto"/>
                <w:sz w:val="21"/>
                <w:szCs w:val="21"/>
              </w:rPr>
            </w:pPr>
            <w:r>
              <w:rPr>
                <w:rFonts w:hint="eastAsia" w:ascii="仿宋" w:hAnsi="仿宋" w:eastAsia="仿宋"/>
                <w:color w:val="auto"/>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仿宋" w:hAnsi="仿宋" w:eastAsia="仿宋"/>
                <w:color w:val="auto"/>
                <w:sz w:val="21"/>
                <w:szCs w:val="21"/>
              </w:rPr>
            </w:pPr>
            <w:r>
              <w:rPr>
                <w:rFonts w:hint="eastAsia" w:ascii="仿宋" w:hAnsi="仿宋" w:eastAsia="仿宋"/>
                <w:color w:val="auto"/>
                <w:sz w:val="21"/>
                <w:szCs w:val="21"/>
              </w:rPr>
              <w:t>五、其他约定事项：</w:t>
            </w:r>
          </w:p>
          <w:p>
            <w:pPr>
              <w:spacing w:line="240" w:lineRule="atLeast"/>
              <w:rPr>
                <w:rFonts w:ascii="仿宋" w:hAnsi="仿宋" w:eastAsia="仿宋"/>
                <w:color w:val="auto"/>
                <w:sz w:val="21"/>
                <w:szCs w:val="21"/>
              </w:rPr>
            </w:pPr>
            <w:r>
              <w:rPr>
                <w:rFonts w:hint="eastAsia" w:ascii="仿宋" w:hAnsi="仿宋" w:eastAsia="仿宋"/>
                <w:color w:val="auto"/>
                <w:sz w:val="21"/>
                <w:szCs w:val="21"/>
              </w:rPr>
              <w:t>1.采购文件及其澄清文件、响应文件和承诺是本合同不可分割的部分。</w:t>
            </w:r>
          </w:p>
          <w:p>
            <w:pPr>
              <w:spacing w:line="240" w:lineRule="atLeast"/>
              <w:rPr>
                <w:rFonts w:ascii="仿宋" w:hAnsi="仿宋" w:eastAsia="仿宋"/>
                <w:color w:val="auto"/>
                <w:sz w:val="21"/>
                <w:szCs w:val="21"/>
              </w:rPr>
            </w:pPr>
            <w:r>
              <w:rPr>
                <w:rFonts w:hint="eastAsia" w:ascii="仿宋" w:hAnsi="仿宋" w:eastAsia="仿宋"/>
                <w:color w:val="auto"/>
                <w:sz w:val="21"/>
                <w:szCs w:val="21"/>
              </w:rPr>
              <w:t>2.本合同如发生争议由双方协商解决，协商不成向需方所在人民法院提请诉讼。</w:t>
            </w:r>
          </w:p>
          <w:p>
            <w:pPr>
              <w:spacing w:line="240" w:lineRule="atLeast"/>
              <w:rPr>
                <w:rFonts w:ascii="仿宋" w:hAnsi="仿宋" w:eastAsia="仿宋"/>
                <w:color w:val="auto"/>
                <w:sz w:val="21"/>
                <w:szCs w:val="21"/>
              </w:rPr>
            </w:pPr>
            <w:r>
              <w:rPr>
                <w:rFonts w:hint="eastAsia" w:ascii="仿宋" w:hAnsi="仿宋" w:eastAsia="仿宋"/>
                <w:color w:val="auto"/>
                <w:sz w:val="21"/>
                <w:szCs w:val="21"/>
              </w:rPr>
              <w:t>3.本合同一式__份， 需方__份，供方__份，具同等法律效力。</w:t>
            </w:r>
          </w:p>
          <w:p>
            <w:pPr>
              <w:spacing w:line="240" w:lineRule="atLeast"/>
              <w:rPr>
                <w:rFonts w:ascii="仿宋" w:hAnsi="仿宋" w:eastAsia="仿宋"/>
                <w:color w:val="auto"/>
                <w:sz w:val="21"/>
                <w:szCs w:val="21"/>
              </w:rPr>
            </w:pPr>
            <w:r>
              <w:rPr>
                <w:rFonts w:hint="eastAsia" w:ascii="仿宋" w:hAnsi="仿宋" w:eastAsia="仿宋"/>
                <w:color w:val="auto"/>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gridSpan w:val="3"/>
          </w:tcPr>
          <w:p>
            <w:pPr>
              <w:spacing w:line="240" w:lineRule="atLeast"/>
              <w:rPr>
                <w:rFonts w:ascii="仿宋" w:hAnsi="仿宋" w:eastAsia="仿宋"/>
                <w:color w:val="auto"/>
                <w:sz w:val="21"/>
                <w:szCs w:val="21"/>
              </w:rPr>
            </w:pPr>
            <w:r>
              <w:rPr>
                <w:rFonts w:hint="eastAsia" w:ascii="仿宋" w:hAnsi="仿宋" w:eastAsia="仿宋"/>
                <w:color w:val="auto"/>
                <w:sz w:val="21"/>
                <w:szCs w:val="21"/>
              </w:rPr>
              <w:t>需方：</w:t>
            </w:r>
          </w:p>
          <w:p>
            <w:pPr>
              <w:spacing w:line="240" w:lineRule="atLeast"/>
              <w:rPr>
                <w:rFonts w:ascii="仿宋" w:hAnsi="仿宋" w:eastAsia="仿宋"/>
                <w:color w:val="auto"/>
                <w:sz w:val="21"/>
                <w:szCs w:val="21"/>
              </w:rPr>
            </w:pPr>
            <w:r>
              <w:rPr>
                <w:rFonts w:hint="eastAsia" w:ascii="仿宋" w:hAnsi="仿宋" w:eastAsia="仿宋"/>
                <w:color w:val="auto"/>
                <w:sz w:val="21"/>
                <w:szCs w:val="21"/>
              </w:rPr>
              <w:t>地址：</w:t>
            </w:r>
          </w:p>
          <w:p>
            <w:pPr>
              <w:spacing w:line="240" w:lineRule="atLeast"/>
              <w:rPr>
                <w:rFonts w:ascii="仿宋" w:hAnsi="仿宋" w:eastAsia="仿宋"/>
                <w:color w:val="auto"/>
                <w:sz w:val="21"/>
                <w:szCs w:val="21"/>
              </w:rPr>
            </w:pPr>
            <w:r>
              <w:rPr>
                <w:rFonts w:hint="eastAsia" w:ascii="仿宋" w:hAnsi="仿宋" w:eastAsia="仿宋"/>
                <w:color w:val="auto"/>
                <w:sz w:val="21"/>
                <w:szCs w:val="21"/>
              </w:rPr>
              <w:t>联系电话：</w:t>
            </w:r>
          </w:p>
          <w:p>
            <w:pPr>
              <w:spacing w:line="240" w:lineRule="atLeast"/>
              <w:rPr>
                <w:rFonts w:ascii="仿宋" w:hAnsi="仿宋" w:eastAsia="仿宋"/>
                <w:color w:val="auto"/>
                <w:sz w:val="21"/>
                <w:szCs w:val="21"/>
              </w:rPr>
            </w:pPr>
            <w:r>
              <w:rPr>
                <w:rFonts w:hint="eastAsia" w:ascii="仿宋" w:hAnsi="仿宋" w:eastAsia="仿宋"/>
                <w:color w:val="auto"/>
                <w:sz w:val="21"/>
                <w:szCs w:val="21"/>
              </w:rPr>
              <w:t>授权代表：</w:t>
            </w:r>
          </w:p>
        </w:tc>
        <w:tc>
          <w:tcPr>
            <w:tcW w:w="4984" w:type="dxa"/>
            <w:gridSpan w:val="5"/>
          </w:tcPr>
          <w:p>
            <w:pPr>
              <w:spacing w:line="240" w:lineRule="atLeast"/>
              <w:rPr>
                <w:rFonts w:ascii="仿宋" w:hAnsi="仿宋" w:eastAsia="仿宋"/>
                <w:color w:val="auto"/>
                <w:sz w:val="21"/>
                <w:szCs w:val="21"/>
              </w:rPr>
            </w:pPr>
            <w:r>
              <w:rPr>
                <w:rFonts w:hint="eastAsia" w:ascii="仿宋" w:hAnsi="仿宋" w:eastAsia="仿宋"/>
                <w:color w:val="auto"/>
                <w:sz w:val="21"/>
                <w:szCs w:val="21"/>
              </w:rPr>
              <w:t>供方：</w:t>
            </w:r>
          </w:p>
          <w:p>
            <w:pPr>
              <w:spacing w:line="240" w:lineRule="atLeast"/>
              <w:rPr>
                <w:rFonts w:ascii="仿宋" w:hAnsi="仿宋" w:eastAsia="仿宋"/>
                <w:color w:val="auto"/>
                <w:sz w:val="21"/>
                <w:szCs w:val="21"/>
              </w:rPr>
            </w:pPr>
            <w:r>
              <w:rPr>
                <w:rFonts w:hint="eastAsia" w:ascii="仿宋" w:hAnsi="仿宋" w:eastAsia="仿宋"/>
                <w:color w:val="auto"/>
                <w:sz w:val="21"/>
                <w:szCs w:val="21"/>
              </w:rPr>
              <w:t>地址：</w:t>
            </w:r>
          </w:p>
          <w:p>
            <w:pPr>
              <w:spacing w:line="240" w:lineRule="atLeast"/>
              <w:rPr>
                <w:rFonts w:ascii="仿宋" w:hAnsi="仿宋" w:eastAsia="仿宋"/>
                <w:color w:val="auto"/>
                <w:sz w:val="21"/>
                <w:szCs w:val="21"/>
              </w:rPr>
            </w:pPr>
            <w:r>
              <w:rPr>
                <w:rFonts w:hint="eastAsia" w:ascii="仿宋" w:hAnsi="仿宋" w:eastAsia="仿宋"/>
                <w:color w:val="auto"/>
                <w:sz w:val="21"/>
                <w:szCs w:val="21"/>
              </w:rPr>
              <w:t>电话：</w:t>
            </w:r>
          </w:p>
          <w:p>
            <w:pPr>
              <w:spacing w:line="240" w:lineRule="atLeast"/>
              <w:rPr>
                <w:rFonts w:ascii="仿宋" w:hAnsi="仿宋" w:eastAsia="仿宋"/>
                <w:color w:val="auto"/>
                <w:sz w:val="21"/>
                <w:szCs w:val="21"/>
              </w:rPr>
            </w:pPr>
            <w:r>
              <w:rPr>
                <w:rFonts w:hint="eastAsia" w:ascii="仿宋" w:hAnsi="仿宋" w:eastAsia="仿宋"/>
                <w:color w:val="auto"/>
                <w:sz w:val="21"/>
                <w:szCs w:val="21"/>
              </w:rPr>
              <w:t>传真：</w:t>
            </w:r>
          </w:p>
          <w:p>
            <w:pPr>
              <w:spacing w:line="240" w:lineRule="atLeast"/>
              <w:rPr>
                <w:rFonts w:ascii="仿宋" w:hAnsi="仿宋" w:eastAsia="仿宋"/>
                <w:color w:val="auto"/>
                <w:sz w:val="21"/>
                <w:szCs w:val="21"/>
              </w:rPr>
            </w:pPr>
            <w:r>
              <w:rPr>
                <w:rFonts w:hint="eastAsia" w:ascii="仿宋" w:hAnsi="仿宋" w:eastAsia="仿宋"/>
                <w:color w:val="auto"/>
                <w:sz w:val="21"/>
                <w:szCs w:val="21"/>
              </w:rPr>
              <w:t>开户银行：</w:t>
            </w:r>
          </w:p>
          <w:p>
            <w:pPr>
              <w:spacing w:line="240" w:lineRule="atLeast"/>
              <w:rPr>
                <w:rFonts w:ascii="仿宋" w:hAnsi="仿宋" w:eastAsia="仿宋"/>
                <w:color w:val="auto"/>
                <w:sz w:val="21"/>
                <w:szCs w:val="21"/>
              </w:rPr>
            </w:pPr>
            <w:r>
              <w:rPr>
                <w:rFonts w:hint="eastAsia" w:ascii="仿宋" w:hAnsi="仿宋" w:eastAsia="仿宋"/>
                <w:color w:val="auto"/>
                <w:sz w:val="21"/>
                <w:szCs w:val="21"/>
              </w:rPr>
              <w:t>账号：</w:t>
            </w:r>
          </w:p>
          <w:p>
            <w:pPr>
              <w:spacing w:line="240" w:lineRule="atLeast"/>
              <w:rPr>
                <w:rFonts w:ascii="仿宋" w:hAnsi="仿宋" w:eastAsia="仿宋"/>
                <w:color w:val="auto"/>
                <w:sz w:val="21"/>
                <w:szCs w:val="21"/>
              </w:rPr>
            </w:pPr>
            <w:r>
              <w:rPr>
                <w:rFonts w:hint="eastAsia" w:ascii="仿宋" w:hAnsi="仿宋" w:eastAsia="仿宋"/>
                <w:color w:val="auto"/>
                <w:sz w:val="21"/>
                <w:szCs w:val="21"/>
              </w:rPr>
              <w:t>授权代表：</w:t>
            </w:r>
          </w:p>
          <w:p>
            <w:pPr>
              <w:widowControl/>
              <w:spacing w:line="240" w:lineRule="atLeast"/>
              <w:jc w:val="left"/>
              <w:rPr>
                <w:rFonts w:ascii="仿宋" w:hAnsi="仿宋" w:eastAsia="仿宋"/>
                <w:color w:val="auto"/>
                <w:sz w:val="21"/>
                <w:szCs w:val="21"/>
              </w:rPr>
            </w:pPr>
            <w:r>
              <w:rPr>
                <w:rFonts w:hint="eastAsia" w:ascii="仿宋" w:hAnsi="仿宋" w:eastAsia="仿宋"/>
                <w:color w:val="auto"/>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仿宋" w:hAnsi="仿宋" w:eastAsia="仿宋"/>
                <w:color w:val="auto"/>
                <w:sz w:val="21"/>
                <w:szCs w:val="21"/>
              </w:rPr>
            </w:pPr>
            <w:r>
              <w:rPr>
                <w:rFonts w:hint="eastAsia" w:ascii="仿宋" w:hAnsi="仿宋" w:eastAsia="仿宋"/>
                <w:color w:val="auto"/>
                <w:sz w:val="21"/>
                <w:szCs w:val="21"/>
              </w:rPr>
              <w:t>备注：</w:t>
            </w:r>
          </w:p>
          <w:p>
            <w:pPr>
              <w:spacing w:line="240" w:lineRule="atLeast"/>
              <w:rPr>
                <w:rFonts w:ascii="仿宋" w:hAnsi="仿宋" w:eastAsia="仿宋"/>
                <w:color w:val="auto"/>
                <w:sz w:val="21"/>
                <w:szCs w:val="21"/>
              </w:rPr>
            </w:pPr>
          </w:p>
          <w:p>
            <w:pPr>
              <w:spacing w:line="240" w:lineRule="atLeast"/>
              <w:rPr>
                <w:rFonts w:ascii="仿宋" w:hAnsi="仿宋" w:eastAsia="仿宋"/>
                <w:color w:val="auto"/>
                <w:sz w:val="21"/>
                <w:szCs w:val="21"/>
              </w:rPr>
            </w:pPr>
          </w:p>
        </w:tc>
      </w:tr>
    </w:tbl>
    <w:p>
      <w:pPr>
        <w:rPr>
          <w:rFonts w:ascii="仿宋" w:hAnsi="仿宋" w:eastAsia="仿宋"/>
          <w:color w:val="auto"/>
          <w:sz w:val="24"/>
        </w:rPr>
      </w:pPr>
      <w:r>
        <w:rPr>
          <w:rFonts w:hint="eastAsia" w:ascii="仿宋" w:hAnsi="仿宋" w:eastAsia="仿宋"/>
          <w:color w:val="auto"/>
          <w:sz w:val="24"/>
        </w:rPr>
        <w:t>签约时间：           年   月   日      签约地点：</w:t>
      </w:r>
    </w:p>
    <w:p>
      <w:pPr>
        <w:tabs>
          <w:tab w:val="left" w:pos="9000"/>
        </w:tabs>
        <w:spacing w:line="276" w:lineRule="auto"/>
        <w:jc w:val="center"/>
        <w:rPr>
          <w:rFonts w:ascii="仿宋" w:hAnsi="仿宋" w:eastAsia="仿宋"/>
          <w:color w:val="auto"/>
          <w:sz w:val="21"/>
          <w:szCs w:val="21"/>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pPr>
        <w:pStyle w:val="4"/>
        <w:spacing w:line="240" w:lineRule="auto"/>
        <w:jc w:val="center"/>
        <w:rPr>
          <w:rFonts w:ascii="仿宋" w:hAnsi="仿宋" w:eastAsia="仿宋"/>
          <w:b w:val="0"/>
          <w:color w:val="auto"/>
          <w:sz w:val="36"/>
          <w:szCs w:val="30"/>
        </w:rPr>
      </w:pPr>
      <w:bookmarkStart w:id="142" w:name="_Hlt41879464"/>
      <w:bookmarkEnd w:id="142"/>
      <w:bookmarkStart w:id="143" w:name="_Toc187768660"/>
      <w:bookmarkStart w:id="144" w:name="_Toc76462349"/>
      <w:r>
        <w:rPr>
          <w:rFonts w:hint="eastAsia" w:ascii="仿宋" w:hAnsi="仿宋" w:eastAsia="仿宋"/>
          <w:b w:val="0"/>
          <w:color w:val="auto"/>
          <w:sz w:val="36"/>
          <w:szCs w:val="30"/>
        </w:rPr>
        <w:t>第七篇  响应文件编制要求</w:t>
      </w:r>
      <w:bookmarkEnd w:id="143"/>
      <w:bookmarkEnd w:id="144"/>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一、经济部分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（一）竞争性磋商报价函</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（二）明细报价表</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二、服务部分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（一）服务响应偏离表</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（二）其他资料（格式自定）</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三、商务部分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（一）商务响应偏离表</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（二）其它优惠服务承诺（格式自定）</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四、资格条件及其他</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（二）法定代表人/负责人身份证明书（格式）</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（三）法定代表人/负责人授权委托书（格式）</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（四）基本资格条件承诺函（格式）</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（五）特定资格条件证书或证明文件</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五、其他资料</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（一）其他与项目有关的资料</w:t>
      </w:r>
    </w:p>
    <w:p>
      <w:pPr>
        <w:snapToGrid w:val="0"/>
        <w:spacing w:line="360" w:lineRule="auto"/>
        <w:rPr>
          <w:rFonts w:ascii="仿宋" w:hAnsi="仿宋" w:eastAsia="仿宋"/>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adjustRightInd w:val="0"/>
        <w:snapToGrid w:val="0"/>
        <w:spacing w:line="240" w:lineRule="auto"/>
        <w:ind w:firstLine="482" w:firstLineChars="200"/>
        <w:rPr>
          <w:rFonts w:ascii="仿宋" w:hAnsi="仿宋" w:eastAsia="仿宋"/>
          <w:color w:val="auto"/>
          <w:sz w:val="24"/>
        </w:rPr>
      </w:pPr>
      <w:bookmarkStart w:id="145" w:name="_Toc76462350"/>
      <w:bookmarkStart w:id="146" w:name="_Toc342913419"/>
      <w:bookmarkStart w:id="147" w:name="_Toc313888360"/>
      <w:bookmarkStart w:id="148" w:name="_Toc313008356"/>
      <w:bookmarkStart w:id="149" w:name="_Toc187768661"/>
      <w:bookmarkStart w:id="150" w:name="_Toc283382454"/>
      <w:bookmarkStart w:id="151" w:name="_Toc12789073"/>
      <w:r>
        <w:rPr>
          <w:rFonts w:hint="eastAsia" w:ascii="仿宋" w:hAnsi="仿宋" w:eastAsia="仿宋"/>
          <w:color w:val="auto"/>
          <w:sz w:val="24"/>
        </w:rPr>
        <w:t>一、经济部分</w:t>
      </w:r>
      <w:bookmarkEnd w:id="145"/>
      <w:bookmarkEnd w:id="146"/>
      <w:bookmarkEnd w:id="147"/>
      <w:bookmarkEnd w:id="148"/>
      <w:bookmarkEnd w:id="149"/>
    </w:p>
    <w:bookmarkEnd w:id="150"/>
    <w:bookmarkEnd w:id="151"/>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（一）竞争性磋商报价函</w:t>
      </w:r>
    </w:p>
    <w:p>
      <w:pPr>
        <w:jc w:val="center"/>
        <w:rPr>
          <w:rFonts w:ascii="仿宋" w:hAnsi="仿宋" w:eastAsia="仿宋"/>
          <w:b/>
          <w:color w:val="auto"/>
          <w:szCs w:val="28"/>
        </w:rPr>
      </w:pPr>
      <w:r>
        <w:rPr>
          <w:rFonts w:hint="eastAsia" w:ascii="仿宋" w:hAnsi="仿宋" w:eastAsia="仿宋"/>
          <w:b/>
          <w:color w:val="auto"/>
          <w:szCs w:val="28"/>
        </w:rPr>
        <w:t>竞争性磋商报价函</w:t>
      </w:r>
    </w:p>
    <w:p>
      <w:pPr>
        <w:tabs>
          <w:tab w:val="left" w:pos="6300"/>
        </w:tabs>
        <w:snapToGrid w:val="0"/>
        <w:spacing w:line="312" w:lineRule="auto"/>
        <w:rPr>
          <w:rFonts w:ascii="仿宋" w:hAnsi="仿宋" w:eastAsia="仿宋"/>
          <w:color w:val="auto"/>
          <w:sz w:val="24"/>
          <w:szCs w:val="24"/>
        </w:rPr>
      </w:pPr>
      <w:r>
        <w:rPr>
          <w:rFonts w:hint="eastAsia" w:ascii="仿宋" w:hAnsi="仿宋" w:eastAsia="仿宋"/>
          <w:color w:val="auto"/>
          <w:sz w:val="24"/>
          <w:szCs w:val="24"/>
          <w:u w:val="single"/>
        </w:rPr>
        <w:t>（采购代理机构名称）</w:t>
      </w:r>
      <w:r>
        <w:rPr>
          <w:rFonts w:hint="eastAsia" w:ascii="仿宋" w:hAnsi="仿宋" w:eastAsia="仿宋"/>
          <w:color w:val="auto"/>
          <w:sz w:val="24"/>
          <w:szCs w:val="24"/>
        </w:rPr>
        <w:t>：</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1.愿意按照竞争性磋商文件中的一切要求，提供本项目的服务，初始报价为人民币大写：</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；人民币小写：</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元。以我公司最后报价为准。</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2.我方现提交的响应文件为：响应文件正本</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份，副本</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份。</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3.我方承诺：本次磋商的有效期为提交响应文件截止时间起90天。</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4.我方完全理解和接受贵方竞争性磋商文件的一切规定和要求及评审办法。</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7.如果我方成为成交供应商，保证在接到成交通知书后，向采购代理机构和</w:t>
      </w:r>
      <w:r>
        <w:rPr>
          <w:rFonts w:hint="eastAsia" w:ascii="仿宋" w:hAnsi="仿宋" w:eastAsia="仿宋"/>
          <w:color w:val="auto"/>
          <w:sz w:val="24"/>
        </w:rPr>
        <w:t>重庆联合产权交易所集团股份有限公司缴纳</w:t>
      </w:r>
      <w:r>
        <w:rPr>
          <w:rFonts w:hint="eastAsia" w:ascii="仿宋" w:hAnsi="仿宋" w:eastAsia="仿宋"/>
          <w:color w:val="auto"/>
          <w:sz w:val="24"/>
          <w:szCs w:val="24"/>
        </w:rPr>
        <w:t>竞争性磋商文件规定的采购代理服务费和交易服务费。</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8.</w:t>
      </w:r>
      <w:r>
        <w:rPr>
          <w:rFonts w:hint="eastAsia" w:ascii="仿宋" w:hAnsi="仿宋" w:eastAsia="仿宋"/>
          <w:color w:val="auto"/>
          <w:sz w:val="24"/>
          <w:szCs w:val="28"/>
        </w:rPr>
        <w:t>我方未</w:t>
      </w:r>
      <w:r>
        <w:rPr>
          <w:rFonts w:ascii="仿宋" w:hAnsi="仿宋" w:eastAsia="仿宋"/>
          <w:color w:val="auto"/>
          <w:sz w:val="24"/>
          <w:szCs w:val="24"/>
        </w:rPr>
        <w:t>为采购项目提供整体设计、规范编制或者项目管理、监理、检测等服务。</w:t>
      </w:r>
    </w:p>
    <w:p>
      <w:pPr>
        <w:tabs>
          <w:tab w:val="left" w:pos="6300"/>
        </w:tabs>
        <w:snapToGrid w:val="0"/>
        <w:spacing w:line="312" w:lineRule="auto"/>
        <w:ind w:firstLine="570"/>
        <w:rPr>
          <w:rFonts w:ascii="仿宋" w:hAnsi="仿宋" w:eastAsia="仿宋"/>
          <w:color w:val="auto"/>
          <w:sz w:val="24"/>
          <w:szCs w:val="24"/>
        </w:rPr>
      </w:pPr>
      <w:r>
        <w:rPr>
          <w:rFonts w:hint="eastAsia" w:ascii="仿宋" w:hAnsi="仿宋" w:eastAsia="仿宋"/>
          <w:color w:val="auto"/>
          <w:sz w:val="24"/>
          <w:szCs w:val="24"/>
        </w:rPr>
        <w:t>供应商（公章）或自然人签署：</w:t>
      </w:r>
    </w:p>
    <w:p>
      <w:pPr>
        <w:tabs>
          <w:tab w:val="left" w:pos="6300"/>
        </w:tabs>
        <w:snapToGrid w:val="0"/>
        <w:spacing w:line="312" w:lineRule="auto"/>
        <w:ind w:firstLine="570"/>
        <w:rPr>
          <w:rFonts w:ascii="仿宋" w:hAnsi="仿宋" w:eastAsia="仿宋"/>
          <w:color w:val="auto"/>
          <w:sz w:val="24"/>
          <w:szCs w:val="24"/>
        </w:rPr>
      </w:pPr>
      <w:r>
        <w:rPr>
          <w:rFonts w:hint="eastAsia" w:ascii="仿宋" w:hAnsi="仿宋" w:eastAsia="仿宋"/>
          <w:color w:val="auto"/>
          <w:sz w:val="24"/>
          <w:szCs w:val="24"/>
        </w:rPr>
        <w:t xml:space="preserve">地址：  </w:t>
      </w:r>
    </w:p>
    <w:p>
      <w:pPr>
        <w:tabs>
          <w:tab w:val="left" w:pos="6300"/>
        </w:tabs>
        <w:snapToGrid w:val="0"/>
        <w:spacing w:line="312" w:lineRule="auto"/>
        <w:ind w:firstLine="570"/>
        <w:rPr>
          <w:rFonts w:ascii="仿宋" w:hAnsi="仿宋" w:eastAsia="仿宋"/>
          <w:color w:val="auto"/>
          <w:sz w:val="24"/>
          <w:szCs w:val="24"/>
        </w:rPr>
      </w:pPr>
      <w:r>
        <w:rPr>
          <w:rFonts w:hint="eastAsia" w:ascii="仿宋" w:hAnsi="仿宋" w:eastAsia="仿宋"/>
          <w:color w:val="auto"/>
          <w:sz w:val="24"/>
          <w:szCs w:val="24"/>
        </w:rPr>
        <w:t>电话：                                             传真：</w:t>
      </w:r>
    </w:p>
    <w:p>
      <w:pPr>
        <w:tabs>
          <w:tab w:val="left" w:pos="6300"/>
        </w:tabs>
        <w:snapToGrid w:val="0"/>
        <w:spacing w:line="312" w:lineRule="auto"/>
        <w:ind w:firstLine="570"/>
        <w:rPr>
          <w:rFonts w:ascii="仿宋" w:hAnsi="仿宋" w:eastAsia="仿宋"/>
          <w:color w:val="auto"/>
          <w:sz w:val="24"/>
          <w:szCs w:val="24"/>
        </w:rPr>
      </w:pPr>
      <w:r>
        <w:rPr>
          <w:rFonts w:hint="eastAsia" w:ascii="仿宋" w:hAnsi="仿宋" w:eastAsia="仿宋"/>
          <w:color w:val="auto"/>
          <w:sz w:val="24"/>
          <w:szCs w:val="24"/>
        </w:rPr>
        <w:t>网址：                                             邮编：</w:t>
      </w:r>
    </w:p>
    <w:p>
      <w:pPr>
        <w:tabs>
          <w:tab w:val="left" w:pos="6300"/>
        </w:tabs>
        <w:snapToGrid w:val="0"/>
        <w:spacing w:line="312" w:lineRule="auto"/>
        <w:ind w:firstLine="570"/>
        <w:rPr>
          <w:rFonts w:ascii="仿宋" w:hAnsi="仿宋" w:eastAsia="仿宋"/>
          <w:color w:val="auto"/>
          <w:sz w:val="24"/>
          <w:szCs w:val="24"/>
        </w:rPr>
      </w:pPr>
      <w:r>
        <w:rPr>
          <w:rFonts w:hint="eastAsia" w:ascii="仿宋" w:hAnsi="仿宋" w:eastAsia="仿宋"/>
          <w:color w:val="auto"/>
          <w:sz w:val="24"/>
          <w:szCs w:val="24"/>
        </w:rPr>
        <w:t>联系人：</w:t>
      </w:r>
    </w:p>
    <w:p>
      <w:pPr>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                                                  年   月   日</w:t>
      </w:r>
    </w:p>
    <w:p>
      <w:pPr>
        <w:tabs>
          <w:tab w:val="left" w:pos="6300"/>
        </w:tabs>
        <w:snapToGrid w:val="0"/>
        <w:spacing w:line="312" w:lineRule="auto"/>
        <w:ind w:firstLine="480" w:firstLineChars="200"/>
        <w:rPr>
          <w:rFonts w:ascii="仿宋" w:hAnsi="仿宋" w:eastAsia="仿宋"/>
          <w:color w:val="auto"/>
          <w:sz w:val="24"/>
          <w:szCs w:val="24"/>
        </w:rPr>
      </w:pPr>
    </w:p>
    <w:p>
      <w:pPr>
        <w:snapToGrid w:val="0"/>
        <w:spacing w:line="312" w:lineRule="auto"/>
        <w:ind w:firstLine="480" w:firstLineChars="200"/>
        <w:rPr>
          <w:rFonts w:ascii="仿宋" w:hAnsi="仿宋" w:eastAsia="仿宋"/>
          <w:color w:val="auto"/>
          <w:sz w:val="24"/>
          <w:szCs w:val="24"/>
        </w:rPr>
      </w:pPr>
    </w:p>
    <w:p>
      <w:pPr>
        <w:snapToGrid w:val="0"/>
        <w:spacing w:line="312" w:lineRule="auto"/>
        <w:ind w:firstLine="480" w:firstLineChars="200"/>
        <w:rPr>
          <w:rFonts w:ascii="仿宋" w:hAnsi="仿宋" w:eastAsia="仿宋"/>
          <w:color w:val="auto"/>
          <w:sz w:val="24"/>
          <w:szCs w:val="24"/>
        </w:rPr>
      </w:pPr>
    </w:p>
    <w:p>
      <w:pPr>
        <w:snapToGrid w:val="0"/>
        <w:spacing w:line="312" w:lineRule="auto"/>
        <w:ind w:firstLine="480" w:firstLineChars="200"/>
        <w:rPr>
          <w:rFonts w:ascii="仿宋" w:hAnsi="仿宋" w:eastAsia="仿宋"/>
          <w:color w:val="auto"/>
          <w:sz w:val="24"/>
          <w:szCs w:val="24"/>
        </w:rPr>
        <w:sectPr>
          <w:pgSz w:w="11907" w:h="16840"/>
          <w:pgMar w:top="1134" w:right="1191" w:bottom="1134" w:left="1304" w:header="851" w:footer="992" w:gutter="0"/>
          <w:pgNumType w:fmt="numberInDash"/>
          <w:cols w:space="720" w:num="1"/>
          <w:docGrid w:linePitch="380" w:charSpace="-5735"/>
        </w:sectPr>
      </w:pPr>
    </w:p>
    <w:p>
      <w:pPr>
        <w:tabs>
          <w:tab w:val="left" w:pos="2895"/>
        </w:tabs>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（二）明细报价表</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项目号：                              </w:t>
      </w:r>
    </w:p>
    <w:p>
      <w:pPr>
        <w:spacing w:line="400" w:lineRule="exact"/>
        <w:ind w:firstLine="480" w:firstLineChars="200"/>
        <w:rPr>
          <w:rFonts w:ascii="仿宋" w:hAnsi="仿宋" w:eastAsia="仿宋"/>
          <w:color w:val="auto"/>
          <w:sz w:val="24"/>
          <w:szCs w:val="24"/>
          <w:u w:val="single"/>
        </w:rPr>
      </w:pPr>
      <w:r>
        <w:rPr>
          <w:rFonts w:hint="eastAsia" w:ascii="仿宋" w:hAnsi="仿宋" w:eastAsia="仿宋"/>
          <w:color w:val="auto"/>
          <w:sz w:val="24"/>
          <w:szCs w:val="24"/>
        </w:rPr>
        <w:t xml:space="preserve">磋商项目名称： </w:t>
      </w:r>
    </w:p>
    <w:tbl>
      <w:tblPr>
        <w:tblStyle w:val="58"/>
        <w:tblW w:w="9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939" w:type="dxa"/>
            <w:vAlign w:val="center"/>
          </w:tcPr>
          <w:p>
            <w:pPr>
              <w:jc w:val="center"/>
              <w:rPr>
                <w:rFonts w:ascii="仿宋" w:hAnsi="仿宋" w:eastAsia="仿宋"/>
                <w:b/>
                <w:color w:val="auto"/>
                <w:sz w:val="21"/>
                <w:szCs w:val="21"/>
              </w:rPr>
            </w:pPr>
            <w:r>
              <w:rPr>
                <w:rFonts w:hint="eastAsia" w:ascii="仿宋" w:hAnsi="仿宋" w:eastAsia="仿宋"/>
                <w:b/>
                <w:color w:val="auto"/>
                <w:sz w:val="21"/>
                <w:szCs w:val="21"/>
              </w:rPr>
              <w:t>序号</w:t>
            </w:r>
          </w:p>
        </w:tc>
        <w:tc>
          <w:tcPr>
            <w:tcW w:w="1557" w:type="dxa"/>
            <w:vAlign w:val="center"/>
          </w:tcPr>
          <w:p>
            <w:pPr>
              <w:jc w:val="center"/>
              <w:rPr>
                <w:rFonts w:ascii="仿宋" w:hAnsi="仿宋" w:eastAsia="仿宋"/>
                <w:b/>
                <w:color w:val="auto"/>
                <w:sz w:val="21"/>
                <w:szCs w:val="21"/>
              </w:rPr>
            </w:pPr>
            <w:r>
              <w:rPr>
                <w:rFonts w:hint="eastAsia" w:ascii="仿宋" w:hAnsi="仿宋" w:eastAsia="仿宋"/>
                <w:b/>
                <w:color w:val="auto"/>
                <w:sz w:val="21"/>
                <w:szCs w:val="21"/>
              </w:rPr>
              <w:t>名称</w:t>
            </w:r>
          </w:p>
        </w:tc>
        <w:tc>
          <w:tcPr>
            <w:tcW w:w="3127" w:type="dxa"/>
            <w:vAlign w:val="center"/>
          </w:tcPr>
          <w:p>
            <w:pPr>
              <w:jc w:val="center"/>
              <w:rPr>
                <w:rFonts w:ascii="仿宋" w:hAnsi="仿宋" w:eastAsia="仿宋"/>
                <w:b/>
                <w:color w:val="auto"/>
                <w:sz w:val="21"/>
                <w:szCs w:val="21"/>
              </w:rPr>
            </w:pPr>
            <w:r>
              <w:rPr>
                <w:rFonts w:hint="eastAsia" w:ascii="仿宋" w:hAnsi="仿宋" w:eastAsia="仿宋"/>
                <w:b/>
                <w:color w:val="auto"/>
                <w:sz w:val="21"/>
                <w:szCs w:val="21"/>
              </w:rPr>
              <w:t>相关信息</w:t>
            </w:r>
          </w:p>
        </w:tc>
        <w:tc>
          <w:tcPr>
            <w:tcW w:w="1235" w:type="dxa"/>
            <w:vAlign w:val="center"/>
          </w:tcPr>
          <w:p>
            <w:pPr>
              <w:jc w:val="center"/>
              <w:rPr>
                <w:rFonts w:ascii="仿宋" w:hAnsi="仿宋" w:eastAsia="仿宋"/>
                <w:b/>
                <w:color w:val="auto"/>
                <w:sz w:val="21"/>
                <w:szCs w:val="21"/>
              </w:rPr>
            </w:pPr>
            <w:r>
              <w:rPr>
                <w:rFonts w:hint="eastAsia" w:ascii="仿宋" w:hAnsi="仿宋" w:eastAsia="仿宋"/>
                <w:b/>
                <w:color w:val="auto"/>
                <w:sz w:val="21"/>
                <w:szCs w:val="21"/>
              </w:rPr>
              <w:t>数量</w:t>
            </w:r>
          </w:p>
        </w:tc>
        <w:tc>
          <w:tcPr>
            <w:tcW w:w="1235" w:type="dxa"/>
            <w:vAlign w:val="center"/>
          </w:tcPr>
          <w:p>
            <w:pPr>
              <w:jc w:val="center"/>
              <w:rPr>
                <w:rFonts w:ascii="仿宋" w:hAnsi="仿宋" w:eastAsia="仿宋"/>
                <w:b/>
                <w:color w:val="auto"/>
                <w:sz w:val="21"/>
                <w:szCs w:val="21"/>
              </w:rPr>
            </w:pPr>
            <w:r>
              <w:rPr>
                <w:rFonts w:hint="eastAsia" w:ascii="仿宋" w:hAnsi="仿宋" w:eastAsia="仿宋"/>
                <w:b/>
                <w:color w:val="auto"/>
                <w:sz w:val="21"/>
                <w:szCs w:val="21"/>
              </w:rPr>
              <w:t>单价</w:t>
            </w:r>
          </w:p>
        </w:tc>
        <w:tc>
          <w:tcPr>
            <w:tcW w:w="1235" w:type="dxa"/>
            <w:vAlign w:val="center"/>
          </w:tcPr>
          <w:p>
            <w:pPr>
              <w:jc w:val="center"/>
              <w:rPr>
                <w:rFonts w:ascii="仿宋" w:hAnsi="仿宋" w:eastAsia="仿宋"/>
                <w:b/>
                <w:color w:val="auto"/>
                <w:sz w:val="21"/>
                <w:szCs w:val="21"/>
              </w:rPr>
            </w:pPr>
            <w:r>
              <w:rPr>
                <w:rFonts w:hint="eastAsia" w:ascii="仿宋" w:hAnsi="仿宋" w:eastAsia="仿宋"/>
                <w:b/>
                <w:color w:val="auto"/>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ascii="仿宋" w:hAnsi="仿宋" w:eastAsia="仿宋"/>
                <w:color w:val="auto"/>
                <w:sz w:val="21"/>
                <w:szCs w:val="21"/>
              </w:rPr>
            </w:pPr>
            <w:r>
              <w:rPr>
                <w:rFonts w:hint="eastAsia" w:ascii="仿宋" w:hAnsi="仿宋" w:eastAsia="仿宋"/>
                <w:color w:val="auto"/>
                <w:sz w:val="21"/>
                <w:szCs w:val="21"/>
              </w:rPr>
              <w:t>1</w:t>
            </w:r>
          </w:p>
        </w:tc>
        <w:tc>
          <w:tcPr>
            <w:tcW w:w="1557" w:type="dxa"/>
            <w:vAlign w:val="center"/>
          </w:tcPr>
          <w:p>
            <w:pPr>
              <w:jc w:val="center"/>
              <w:rPr>
                <w:rFonts w:ascii="仿宋" w:hAnsi="仿宋" w:eastAsia="仿宋"/>
                <w:color w:val="auto"/>
                <w:sz w:val="21"/>
                <w:szCs w:val="21"/>
              </w:rPr>
            </w:pPr>
          </w:p>
        </w:tc>
        <w:tc>
          <w:tcPr>
            <w:tcW w:w="3127" w:type="dxa"/>
          </w:tcPr>
          <w:p>
            <w:pPr>
              <w:jc w:val="center"/>
              <w:rPr>
                <w:rFonts w:ascii="仿宋" w:hAnsi="仿宋" w:eastAsia="仿宋"/>
                <w:color w:val="auto"/>
                <w:sz w:val="21"/>
                <w:szCs w:val="21"/>
              </w:rPr>
            </w:pPr>
          </w:p>
        </w:tc>
        <w:tc>
          <w:tcPr>
            <w:tcW w:w="1235" w:type="dxa"/>
            <w:vAlign w:val="center"/>
          </w:tcPr>
          <w:p>
            <w:pPr>
              <w:jc w:val="center"/>
              <w:rPr>
                <w:rFonts w:ascii="仿宋" w:hAnsi="仿宋" w:eastAsia="仿宋"/>
                <w:color w:val="auto"/>
                <w:sz w:val="21"/>
                <w:szCs w:val="21"/>
              </w:rPr>
            </w:pPr>
          </w:p>
        </w:tc>
        <w:tc>
          <w:tcPr>
            <w:tcW w:w="1235" w:type="dxa"/>
          </w:tcPr>
          <w:p>
            <w:pPr>
              <w:jc w:val="center"/>
              <w:rPr>
                <w:rFonts w:ascii="仿宋" w:hAnsi="仿宋" w:eastAsia="仿宋"/>
                <w:color w:val="auto"/>
                <w:sz w:val="21"/>
                <w:szCs w:val="21"/>
              </w:rPr>
            </w:pPr>
          </w:p>
        </w:tc>
        <w:tc>
          <w:tcPr>
            <w:tcW w:w="1235" w:type="dxa"/>
          </w:tcPr>
          <w:p>
            <w:pPr>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ascii="仿宋" w:hAnsi="仿宋" w:eastAsia="仿宋"/>
                <w:color w:val="auto"/>
                <w:sz w:val="21"/>
                <w:szCs w:val="21"/>
              </w:rPr>
            </w:pPr>
            <w:r>
              <w:rPr>
                <w:rFonts w:hint="eastAsia" w:ascii="仿宋" w:hAnsi="仿宋" w:eastAsia="仿宋"/>
                <w:color w:val="auto"/>
                <w:sz w:val="21"/>
                <w:szCs w:val="21"/>
              </w:rPr>
              <w:t>2</w:t>
            </w:r>
          </w:p>
        </w:tc>
        <w:tc>
          <w:tcPr>
            <w:tcW w:w="1557" w:type="dxa"/>
            <w:vAlign w:val="center"/>
          </w:tcPr>
          <w:p>
            <w:pPr>
              <w:jc w:val="center"/>
              <w:rPr>
                <w:rFonts w:ascii="仿宋" w:hAnsi="仿宋" w:eastAsia="仿宋"/>
                <w:color w:val="auto"/>
                <w:sz w:val="21"/>
                <w:szCs w:val="21"/>
              </w:rPr>
            </w:pPr>
          </w:p>
        </w:tc>
        <w:tc>
          <w:tcPr>
            <w:tcW w:w="3127" w:type="dxa"/>
          </w:tcPr>
          <w:p>
            <w:pPr>
              <w:jc w:val="center"/>
              <w:rPr>
                <w:rFonts w:ascii="仿宋" w:hAnsi="仿宋" w:eastAsia="仿宋"/>
                <w:color w:val="auto"/>
                <w:sz w:val="21"/>
                <w:szCs w:val="21"/>
              </w:rPr>
            </w:pPr>
          </w:p>
        </w:tc>
        <w:tc>
          <w:tcPr>
            <w:tcW w:w="1235" w:type="dxa"/>
            <w:vAlign w:val="center"/>
          </w:tcPr>
          <w:p>
            <w:pPr>
              <w:jc w:val="center"/>
              <w:rPr>
                <w:rFonts w:ascii="仿宋" w:hAnsi="仿宋" w:eastAsia="仿宋"/>
                <w:color w:val="auto"/>
                <w:sz w:val="21"/>
                <w:szCs w:val="21"/>
              </w:rPr>
            </w:pPr>
          </w:p>
        </w:tc>
        <w:tc>
          <w:tcPr>
            <w:tcW w:w="1235" w:type="dxa"/>
          </w:tcPr>
          <w:p>
            <w:pPr>
              <w:jc w:val="center"/>
              <w:rPr>
                <w:rFonts w:ascii="仿宋" w:hAnsi="仿宋" w:eastAsia="仿宋"/>
                <w:color w:val="auto"/>
                <w:sz w:val="21"/>
                <w:szCs w:val="21"/>
              </w:rPr>
            </w:pPr>
          </w:p>
        </w:tc>
        <w:tc>
          <w:tcPr>
            <w:tcW w:w="1235" w:type="dxa"/>
          </w:tcPr>
          <w:p>
            <w:pPr>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ascii="仿宋" w:hAnsi="仿宋" w:eastAsia="仿宋"/>
                <w:color w:val="auto"/>
                <w:sz w:val="21"/>
                <w:szCs w:val="21"/>
              </w:rPr>
            </w:pPr>
            <w:r>
              <w:rPr>
                <w:rFonts w:hint="eastAsia" w:ascii="仿宋" w:hAnsi="仿宋" w:eastAsia="仿宋"/>
                <w:color w:val="auto"/>
                <w:sz w:val="21"/>
                <w:szCs w:val="21"/>
              </w:rPr>
              <w:t>3</w:t>
            </w:r>
          </w:p>
        </w:tc>
        <w:tc>
          <w:tcPr>
            <w:tcW w:w="1557" w:type="dxa"/>
            <w:vAlign w:val="center"/>
          </w:tcPr>
          <w:p>
            <w:pPr>
              <w:jc w:val="center"/>
              <w:rPr>
                <w:rFonts w:ascii="仿宋" w:hAnsi="仿宋" w:eastAsia="仿宋"/>
                <w:color w:val="auto"/>
                <w:sz w:val="21"/>
                <w:szCs w:val="21"/>
              </w:rPr>
            </w:pPr>
          </w:p>
        </w:tc>
        <w:tc>
          <w:tcPr>
            <w:tcW w:w="3127" w:type="dxa"/>
          </w:tcPr>
          <w:p>
            <w:pPr>
              <w:jc w:val="center"/>
              <w:rPr>
                <w:rFonts w:ascii="仿宋" w:hAnsi="仿宋" w:eastAsia="仿宋"/>
                <w:color w:val="auto"/>
                <w:sz w:val="21"/>
                <w:szCs w:val="21"/>
              </w:rPr>
            </w:pPr>
          </w:p>
        </w:tc>
        <w:tc>
          <w:tcPr>
            <w:tcW w:w="1235" w:type="dxa"/>
            <w:vAlign w:val="center"/>
          </w:tcPr>
          <w:p>
            <w:pPr>
              <w:jc w:val="center"/>
              <w:rPr>
                <w:rFonts w:ascii="仿宋" w:hAnsi="仿宋" w:eastAsia="仿宋"/>
                <w:color w:val="auto"/>
                <w:sz w:val="21"/>
                <w:szCs w:val="21"/>
              </w:rPr>
            </w:pPr>
          </w:p>
        </w:tc>
        <w:tc>
          <w:tcPr>
            <w:tcW w:w="1235" w:type="dxa"/>
          </w:tcPr>
          <w:p>
            <w:pPr>
              <w:jc w:val="center"/>
              <w:rPr>
                <w:rFonts w:ascii="仿宋" w:hAnsi="仿宋" w:eastAsia="仿宋"/>
                <w:color w:val="auto"/>
                <w:sz w:val="21"/>
                <w:szCs w:val="21"/>
              </w:rPr>
            </w:pPr>
          </w:p>
        </w:tc>
        <w:tc>
          <w:tcPr>
            <w:tcW w:w="1235" w:type="dxa"/>
          </w:tcPr>
          <w:p>
            <w:pPr>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ascii="仿宋" w:hAnsi="仿宋" w:eastAsia="仿宋"/>
                <w:color w:val="auto"/>
                <w:sz w:val="21"/>
                <w:szCs w:val="21"/>
              </w:rPr>
            </w:pPr>
            <w:r>
              <w:rPr>
                <w:rFonts w:hint="eastAsia" w:ascii="仿宋" w:hAnsi="仿宋" w:eastAsia="仿宋"/>
                <w:color w:val="auto"/>
                <w:sz w:val="21"/>
                <w:szCs w:val="21"/>
              </w:rPr>
              <w:t>4</w:t>
            </w:r>
          </w:p>
        </w:tc>
        <w:tc>
          <w:tcPr>
            <w:tcW w:w="1557" w:type="dxa"/>
            <w:vAlign w:val="center"/>
          </w:tcPr>
          <w:p>
            <w:pPr>
              <w:jc w:val="center"/>
              <w:rPr>
                <w:rFonts w:ascii="仿宋" w:hAnsi="仿宋" w:eastAsia="仿宋"/>
                <w:color w:val="auto"/>
                <w:sz w:val="21"/>
                <w:szCs w:val="21"/>
              </w:rPr>
            </w:pPr>
          </w:p>
        </w:tc>
        <w:tc>
          <w:tcPr>
            <w:tcW w:w="3127" w:type="dxa"/>
          </w:tcPr>
          <w:p>
            <w:pPr>
              <w:jc w:val="center"/>
              <w:rPr>
                <w:rFonts w:ascii="仿宋" w:hAnsi="仿宋" w:eastAsia="仿宋"/>
                <w:color w:val="auto"/>
                <w:sz w:val="21"/>
                <w:szCs w:val="21"/>
              </w:rPr>
            </w:pPr>
          </w:p>
        </w:tc>
        <w:tc>
          <w:tcPr>
            <w:tcW w:w="1235" w:type="dxa"/>
            <w:vAlign w:val="center"/>
          </w:tcPr>
          <w:p>
            <w:pPr>
              <w:jc w:val="center"/>
              <w:rPr>
                <w:rFonts w:ascii="仿宋" w:hAnsi="仿宋" w:eastAsia="仿宋"/>
                <w:color w:val="auto"/>
                <w:sz w:val="21"/>
                <w:szCs w:val="21"/>
              </w:rPr>
            </w:pPr>
          </w:p>
        </w:tc>
        <w:tc>
          <w:tcPr>
            <w:tcW w:w="1235" w:type="dxa"/>
          </w:tcPr>
          <w:p>
            <w:pPr>
              <w:jc w:val="center"/>
              <w:rPr>
                <w:rFonts w:ascii="仿宋" w:hAnsi="仿宋" w:eastAsia="仿宋"/>
                <w:color w:val="auto"/>
                <w:sz w:val="21"/>
                <w:szCs w:val="21"/>
              </w:rPr>
            </w:pPr>
          </w:p>
        </w:tc>
        <w:tc>
          <w:tcPr>
            <w:tcW w:w="1235" w:type="dxa"/>
          </w:tcPr>
          <w:p>
            <w:pPr>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ascii="仿宋" w:hAnsi="仿宋" w:eastAsia="仿宋"/>
                <w:color w:val="auto"/>
                <w:sz w:val="21"/>
                <w:szCs w:val="21"/>
              </w:rPr>
            </w:pPr>
            <w:r>
              <w:rPr>
                <w:rFonts w:hint="eastAsia" w:ascii="仿宋" w:hAnsi="仿宋" w:eastAsia="仿宋"/>
                <w:color w:val="auto"/>
                <w:sz w:val="21"/>
                <w:szCs w:val="21"/>
              </w:rPr>
              <w:t>5</w:t>
            </w:r>
          </w:p>
        </w:tc>
        <w:tc>
          <w:tcPr>
            <w:tcW w:w="1557" w:type="dxa"/>
            <w:vAlign w:val="center"/>
          </w:tcPr>
          <w:p>
            <w:pPr>
              <w:jc w:val="center"/>
              <w:rPr>
                <w:rFonts w:ascii="仿宋" w:hAnsi="仿宋" w:eastAsia="仿宋"/>
                <w:color w:val="auto"/>
                <w:sz w:val="21"/>
                <w:szCs w:val="21"/>
              </w:rPr>
            </w:pPr>
          </w:p>
        </w:tc>
        <w:tc>
          <w:tcPr>
            <w:tcW w:w="3127" w:type="dxa"/>
          </w:tcPr>
          <w:p>
            <w:pPr>
              <w:jc w:val="center"/>
              <w:rPr>
                <w:rFonts w:ascii="仿宋" w:hAnsi="仿宋" w:eastAsia="仿宋"/>
                <w:color w:val="auto"/>
                <w:sz w:val="21"/>
                <w:szCs w:val="21"/>
              </w:rPr>
            </w:pPr>
          </w:p>
        </w:tc>
        <w:tc>
          <w:tcPr>
            <w:tcW w:w="1235" w:type="dxa"/>
            <w:vAlign w:val="center"/>
          </w:tcPr>
          <w:p>
            <w:pPr>
              <w:jc w:val="center"/>
              <w:rPr>
                <w:rFonts w:ascii="仿宋" w:hAnsi="仿宋" w:eastAsia="仿宋"/>
                <w:color w:val="auto"/>
                <w:sz w:val="21"/>
                <w:szCs w:val="21"/>
              </w:rPr>
            </w:pPr>
          </w:p>
        </w:tc>
        <w:tc>
          <w:tcPr>
            <w:tcW w:w="1235" w:type="dxa"/>
          </w:tcPr>
          <w:p>
            <w:pPr>
              <w:jc w:val="center"/>
              <w:rPr>
                <w:rFonts w:ascii="仿宋" w:hAnsi="仿宋" w:eastAsia="仿宋"/>
                <w:color w:val="auto"/>
                <w:sz w:val="21"/>
                <w:szCs w:val="21"/>
              </w:rPr>
            </w:pPr>
          </w:p>
        </w:tc>
        <w:tc>
          <w:tcPr>
            <w:tcW w:w="1235" w:type="dxa"/>
          </w:tcPr>
          <w:p>
            <w:pPr>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ascii="仿宋" w:hAnsi="仿宋" w:eastAsia="仿宋"/>
                <w:color w:val="auto"/>
                <w:sz w:val="21"/>
                <w:szCs w:val="21"/>
              </w:rPr>
            </w:pPr>
            <w:r>
              <w:rPr>
                <w:rFonts w:hint="eastAsia" w:ascii="仿宋" w:hAnsi="仿宋" w:eastAsia="仿宋"/>
                <w:color w:val="auto"/>
                <w:sz w:val="21"/>
                <w:szCs w:val="21"/>
              </w:rPr>
              <w:t>6</w:t>
            </w:r>
          </w:p>
        </w:tc>
        <w:tc>
          <w:tcPr>
            <w:tcW w:w="1557" w:type="dxa"/>
            <w:vAlign w:val="center"/>
          </w:tcPr>
          <w:p>
            <w:pPr>
              <w:jc w:val="center"/>
              <w:rPr>
                <w:rFonts w:ascii="仿宋" w:hAnsi="仿宋" w:eastAsia="仿宋"/>
                <w:color w:val="auto"/>
                <w:sz w:val="21"/>
                <w:szCs w:val="21"/>
              </w:rPr>
            </w:pPr>
          </w:p>
        </w:tc>
        <w:tc>
          <w:tcPr>
            <w:tcW w:w="3127" w:type="dxa"/>
          </w:tcPr>
          <w:p>
            <w:pPr>
              <w:jc w:val="center"/>
              <w:rPr>
                <w:rFonts w:ascii="仿宋" w:hAnsi="仿宋" w:eastAsia="仿宋"/>
                <w:color w:val="auto"/>
                <w:sz w:val="21"/>
                <w:szCs w:val="21"/>
              </w:rPr>
            </w:pPr>
          </w:p>
        </w:tc>
        <w:tc>
          <w:tcPr>
            <w:tcW w:w="1235" w:type="dxa"/>
            <w:vAlign w:val="center"/>
          </w:tcPr>
          <w:p>
            <w:pPr>
              <w:jc w:val="center"/>
              <w:rPr>
                <w:rFonts w:ascii="仿宋" w:hAnsi="仿宋" w:eastAsia="仿宋"/>
                <w:color w:val="auto"/>
                <w:sz w:val="21"/>
                <w:szCs w:val="21"/>
              </w:rPr>
            </w:pPr>
          </w:p>
        </w:tc>
        <w:tc>
          <w:tcPr>
            <w:tcW w:w="1235" w:type="dxa"/>
          </w:tcPr>
          <w:p>
            <w:pPr>
              <w:jc w:val="center"/>
              <w:rPr>
                <w:rFonts w:ascii="仿宋" w:hAnsi="仿宋" w:eastAsia="仿宋"/>
                <w:color w:val="auto"/>
                <w:sz w:val="21"/>
                <w:szCs w:val="21"/>
              </w:rPr>
            </w:pPr>
          </w:p>
        </w:tc>
        <w:tc>
          <w:tcPr>
            <w:tcW w:w="1235" w:type="dxa"/>
          </w:tcPr>
          <w:p>
            <w:pPr>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ascii="仿宋" w:hAnsi="仿宋" w:eastAsia="仿宋"/>
                <w:color w:val="auto"/>
                <w:sz w:val="21"/>
                <w:szCs w:val="21"/>
              </w:rPr>
            </w:pPr>
            <w:r>
              <w:rPr>
                <w:rFonts w:hint="eastAsia" w:ascii="仿宋" w:hAnsi="仿宋" w:eastAsia="仿宋"/>
                <w:color w:val="auto"/>
                <w:sz w:val="21"/>
                <w:szCs w:val="21"/>
              </w:rPr>
              <w:t>7</w:t>
            </w:r>
          </w:p>
        </w:tc>
        <w:tc>
          <w:tcPr>
            <w:tcW w:w="1557" w:type="dxa"/>
            <w:vAlign w:val="center"/>
          </w:tcPr>
          <w:p>
            <w:pPr>
              <w:jc w:val="center"/>
              <w:rPr>
                <w:rFonts w:ascii="仿宋" w:hAnsi="仿宋" w:eastAsia="仿宋"/>
                <w:color w:val="auto"/>
                <w:sz w:val="21"/>
                <w:szCs w:val="21"/>
              </w:rPr>
            </w:pPr>
          </w:p>
        </w:tc>
        <w:tc>
          <w:tcPr>
            <w:tcW w:w="3127" w:type="dxa"/>
          </w:tcPr>
          <w:p>
            <w:pPr>
              <w:jc w:val="center"/>
              <w:rPr>
                <w:rFonts w:ascii="仿宋" w:hAnsi="仿宋" w:eastAsia="仿宋"/>
                <w:color w:val="auto"/>
                <w:sz w:val="21"/>
                <w:szCs w:val="21"/>
              </w:rPr>
            </w:pPr>
          </w:p>
        </w:tc>
        <w:tc>
          <w:tcPr>
            <w:tcW w:w="1235" w:type="dxa"/>
            <w:vAlign w:val="center"/>
          </w:tcPr>
          <w:p>
            <w:pPr>
              <w:jc w:val="center"/>
              <w:rPr>
                <w:rFonts w:ascii="仿宋" w:hAnsi="仿宋" w:eastAsia="仿宋"/>
                <w:color w:val="auto"/>
                <w:sz w:val="21"/>
                <w:szCs w:val="21"/>
              </w:rPr>
            </w:pPr>
          </w:p>
        </w:tc>
        <w:tc>
          <w:tcPr>
            <w:tcW w:w="1235" w:type="dxa"/>
          </w:tcPr>
          <w:p>
            <w:pPr>
              <w:jc w:val="center"/>
              <w:rPr>
                <w:rFonts w:ascii="仿宋" w:hAnsi="仿宋" w:eastAsia="仿宋"/>
                <w:color w:val="auto"/>
                <w:sz w:val="21"/>
                <w:szCs w:val="21"/>
              </w:rPr>
            </w:pPr>
          </w:p>
        </w:tc>
        <w:tc>
          <w:tcPr>
            <w:tcW w:w="1235" w:type="dxa"/>
          </w:tcPr>
          <w:p>
            <w:pPr>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ascii="仿宋" w:hAnsi="仿宋" w:eastAsia="仿宋"/>
                <w:color w:val="auto"/>
                <w:sz w:val="21"/>
                <w:szCs w:val="21"/>
              </w:rPr>
            </w:pPr>
            <w:r>
              <w:rPr>
                <w:rFonts w:hint="eastAsia" w:ascii="仿宋" w:hAnsi="仿宋" w:eastAsia="仿宋"/>
                <w:color w:val="auto"/>
                <w:sz w:val="21"/>
                <w:szCs w:val="21"/>
              </w:rPr>
              <w:t>8</w:t>
            </w:r>
          </w:p>
        </w:tc>
        <w:tc>
          <w:tcPr>
            <w:tcW w:w="1557" w:type="dxa"/>
            <w:vAlign w:val="center"/>
          </w:tcPr>
          <w:p>
            <w:pPr>
              <w:jc w:val="center"/>
              <w:rPr>
                <w:rFonts w:ascii="仿宋" w:hAnsi="仿宋" w:eastAsia="仿宋"/>
                <w:color w:val="auto"/>
                <w:sz w:val="21"/>
                <w:szCs w:val="21"/>
              </w:rPr>
            </w:pPr>
            <w:r>
              <w:rPr>
                <w:rFonts w:hint="eastAsia" w:ascii="仿宋" w:hAnsi="仿宋" w:eastAsia="仿宋"/>
                <w:color w:val="auto"/>
                <w:sz w:val="21"/>
                <w:szCs w:val="21"/>
              </w:rPr>
              <w:t>人工费</w:t>
            </w:r>
          </w:p>
        </w:tc>
        <w:tc>
          <w:tcPr>
            <w:tcW w:w="3127" w:type="dxa"/>
          </w:tcPr>
          <w:p>
            <w:pPr>
              <w:jc w:val="center"/>
              <w:rPr>
                <w:rFonts w:ascii="仿宋" w:hAnsi="仿宋" w:eastAsia="仿宋"/>
                <w:color w:val="auto"/>
                <w:sz w:val="21"/>
                <w:szCs w:val="21"/>
              </w:rPr>
            </w:pPr>
          </w:p>
        </w:tc>
        <w:tc>
          <w:tcPr>
            <w:tcW w:w="1235" w:type="dxa"/>
            <w:vAlign w:val="center"/>
          </w:tcPr>
          <w:p>
            <w:pPr>
              <w:jc w:val="center"/>
              <w:rPr>
                <w:rFonts w:ascii="仿宋" w:hAnsi="仿宋" w:eastAsia="仿宋"/>
                <w:color w:val="auto"/>
                <w:sz w:val="21"/>
                <w:szCs w:val="21"/>
              </w:rPr>
            </w:pPr>
            <w:r>
              <w:rPr>
                <w:rFonts w:hint="eastAsia" w:ascii="仿宋" w:hAnsi="仿宋" w:eastAsia="仿宋"/>
                <w:color w:val="auto"/>
                <w:sz w:val="21"/>
                <w:szCs w:val="21"/>
              </w:rPr>
              <w:t>/</w:t>
            </w:r>
          </w:p>
        </w:tc>
        <w:tc>
          <w:tcPr>
            <w:tcW w:w="1235" w:type="dxa"/>
          </w:tcPr>
          <w:p>
            <w:pPr>
              <w:jc w:val="center"/>
              <w:rPr>
                <w:rFonts w:ascii="仿宋" w:hAnsi="仿宋" w:eastAsia="仿宋"/>
                <w:color w:val="auto"/>
                <w:sz w:val="21"/>
                <w:szCs w:val="21"/>
              </w:rPr>
            </w:pPr>
          </w:p>
        </w:tc>
        <w:tc>
          <w:tcPr>
            <w:tcW w:w="1235" w:type="dxa"/>
          </w:tcPr>
          <w:p>
            <w:pPr>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ascii="仿宋" w:hAnsi="仿宋" w:eastAsia="仿宋"/>
                <w:color w:val="auto"/>
                <w:sz w:val="21"/>
                <w:szCs w:val="21"/>
              </w:rPr>
            </w:pPr>
            <w:r>
              <w:rPr>
                <w:rFonts w:hint="eastAsia" w:ascii="仿宋" w:hAnsi="仿宋" w:eastAsia="仿宋"/>
                <w:color w:val="auto"/>
                <w:sz w:val="21"/>
                <w:szCs w:val="21"/>
              </w:rPr>
              <w:t>9</w:t>
            </w:r>
          </w:p>
        </w:tc>
        <w:tc>
          <w:tcPr>
            <w:tcW w:w="1557" w:type="dxa"/>
            <w:vAlign w:val="center"/>
          </w:tcPr>
          <w:p>
            <w:pPr>
              <w:jc w:val="center"/>
              <w:rPr>
                <w:rFonts w:ascii="仿宋" w:hAnsi="仿宋" w:eastAsia="仿宋"/>
                <w:color w:val="auto"/>
                <w:sz w:val="21"/>
                <w:szCs w:val="21"/>
              </w:rPr>
            </w:pPr>
            <w:r>
              <w:rPr>
                <w:rFonts w:hint="eastAsia" w:ascii="仿宋" w:hAnsi="仿宋" w:eastAsia="仿宋"/>
                <w:color w:val="auto"/>
                <w:sz w:val="21"/>
                <w:szCs w:val="21"/>
              </w:rPr>
              <w:t>运输费</w:t>
            </w:r>
          </w:p>
        </w:tc>
        <w:tc>
          <w:tcPr>
            <w:tcW w:w="3127" w:type="dxa"/>
          </w:tcPr>
          <w:p>
            <w:pPr>
              <w:jc w:val="center"/>
              <w:rPr>
                <w:rFonts w:ascii="仿宋" w:hAnsi="仿宋" w:eastAsia="仿宋"/>
                <w:color w:val="auto"/>
                <w:sz w:val="21"/>
                <w:szCs w:val="21"/>
              </w:rPr>
            </w:pPr>
          </w:p>
        </w:tc>
        <w:tc>
          <w:tcPr>
            <w:tcW w:w="1235" w:type="dxa"/>
            <w:vAlign w:val="center"/>
          </w:tcPr>
          <w:p>
            <w:pPr>
              <w:jc w:val="center"/>
              <w:rPr>
                <w:rFonts w:ascii="仿宋" w:hAnsi="仿宋" w:eastAsia="仿宋"/>
                <w:color w:val="auto"/>
                <w:sz w:val="21"/>
                <w:szCs w:val="21"/>
              </w:rPr>
            </w:pPr>
            <w:r>
              <w:rPr>
                <w:rFonts w:hint="eastAsia" w:ascii="仿宋" w:hAnsi="仿宋" w:eastAsia="仿宋"/>
                <w:color w:val="auto"/>
                <w:sz w:val="21"/>
                <w:szCs w:val="21"/>
              </w:rPr>
              <w:t>/</w:t>
            </w:r>
          </w:p>
        </w:tc>
        <w:tc>
          <w:tcPr>
            <w:tcW w:w="1235" w:type="dxa"/>
          </w:tcPr>
          <w:p>
            <w:pPr>
              <w:jc w:val="center"/>
              <w:rPr>
                <w:rFonts w:ascii="仿宋" w:hAnsi="仿宋" w:eastAsia="仿宋"/>
                <w:color w:val="auto"/>
                <w:sz w:val="21"/>
                <w:szCs w:val="21"/>
              </w:rPr>
            </w:pPr>
          </w:p>
        </w:tc>
        <w:tc>
          <w:tcPr>
            <w:tcW w:w="1235" w:type="dxa"/>
          </w:tcPr>
          <w:p>
            <w:pPr>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ascii="仿宋" w:hAnsi="仿宋" w:eastAsia="仿宋"/>
                <w:color w:val="auto"/>
                <w:sz w:val="21"/>
                <w:szCs w:val="21"/>
              </w:rPr>
            </w:pPr>
            <w:r>
              <w:rPr>
                <w:rFonts w:hint="eastAsia" w:ascii="仿宋" w:hAnsi="仿宋" w:eastAsia="仿宋"/>
                <w:color w:val="auto"/>
                <w:sz w:val="21"/>
                <w:szCs w:val="21"/>
              </w:rPr>
              <w:t>10</w:t>
            </w:r>
          </w:p>
        </w:tc>
        <w:tc>
          <w:tcPr>
            <w:tcW w:w="1557" w:type="dxa"/>
            <w:vAlign w:val="center"/>
          </w:tcPr>
          <w:p>
            <w:pPr>
              <w:jc w:val="center"/>
              <w:rPr>
                <w:rFonts w:ascii="仿宋" w:hAnsi="仿宋" w:eastAsia="仿宋"/>
                <w:color w:val="auto"/>
                <w:sz w:val="21"/>
                <w:szCs w:val="21"/>
              </w:rPr>
            </w:pPr>
            <w:r>
              <w:rPr>
                <w:rFonts w:hint="eastAsia" w:ascii="仿宋" w:hAnsi="仿宋" w:eastAsia="仿宋"/>
                <w:color w:val="auto"/>
                <w:sz w:val="21"/>
                <w:szCs w:val="21"/>
              </w:rPr>
              <w:t>其他费用</w:t>
            </w:r>
          </w:p>
        </w:tc>
        <w:tc>
          <w:tcPr>
            <w:tcW w:w="3127" w:type="dxa"/>
          </w:tcPr>
          <w:p>
            <w:pPr>
              <w:jc w:val="center"/>
              <w:rPr>
                <w:rFonts w:ascii="仿宋" w:hAnsi="仿宋" w:eastAsia="仿宋"/>
                <w:color w:val="auto"/>
                <w:sz w:val="21"/>
                <w:szCs w:val="21"/>
              </w:rPr>
            </w:pPr>
          </w:p>
        </w:tc>
        <w:tc>
          <w:tcPr>
            <w:tcW w:w="1235" w:type="dxa"/>
            <w:vAlign w:val="center"/>
          </w:tcPr>
          <w:p>
            <w:pPr>
              <w:jc w:val="center"/>
              <w:rPr>
                <w:rFonts w:ascii="仿宋" w:hAnsi="仿宋" w:eastAsia="仿宋"/>
                <w:color w:val="auto"/>
                <w:sz w:val="21"/>
                <w:szCs w:val="21"/>
              </w:rPr>
            </w:pPr>
            <w:r>
              <w:rPr>
                <w:rFonts w:hint="eastAsia" w:ascii="仿宋" w:hAnsi="仿宋" w:eastAsia="仿宋"/>
                <w:color w:val="auto"/>
                <w:sz w:val="21"/>
                <w:szCs w:val="21"/>
              </w:rPr>
              <w:t>/</w:t>
            </w:r>
          </w:p>
        </w:tc>
        <w:tc>
          <w:tcPr>
            <w:tcW w:w="1235" w:type="dxa"/>
          </w:tcPr>
          <w:p>
            <w:pPr>
              <w:jc w:val="center"/>
              <w:rPr>
                <w:rFonts w:ascii="仿宋" w:hAnsi="仿宋" w:eastAsia="仿宋"/>
                <w:color w:val="auto"/>
                <w:sz w:val="21"/>
                <w:szCs w:val="21"/>
              </w:rPr>
            </w:pPr>
          </w:p>
        </w:tc>
        <w:tc>
          <w:tcPr>
            <w:tcW w:w="1235" w:type="dxa"/>
          </w:tcPr>
          <w:p>
            <w:pPr>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ascii="仿宋" w:hAnsi="仿宋" w:eastAsia="仿宋"/>
                <w:color w:val="auto"/>
                <w:sz w:val="21"/>
                <w:szCs w:val="21"/>
              </w:rPr>
            </w:pPr>
            <w:r>
              <w:rPr>
                <w:rFonts w:hint="eastAsia" w:ascii="仿宋" w:hAnsi="仿宋" w:eastAsia="仿宋"/>
                <w:color w:val="auto"/>
                <w:sz w:val="21"/>
                <w:szCs w:val="21"/>
              </w:rPr>
              <w:t>11</w:t>
            </w:r>
          </w:p>
        </w:tc>
        <w:tc>
          <w:tcPr>
            <w:tcW w:w="1557" w:type="dxa"/>
            <w:vAlign w:val="center"/>
          </w:tcPr>
          <w:p>
            <w:pPr>
              <w:jc w:val="center"/>
              <w:rPr>
                <w:rFonts w:ascii="仿宋" w:hAnsi="仿宋" w:eastAsia="仿宋"/>
                <w:color w:val="auto"/>
                <w:sz w:val="21"/>
                <w:szCs w:val="21"/>
              </w:rPr>
            </w:pPr>
            <w:r>
              <w:rPr>
                <w:rFonts w:hint="eastAsia" w:ascii="仿宋" w:hAnsi="仿宋" w:eastAsia="仿宋"/>
                <w:color w:val="auto"/>
                <w:sz w:val="21"/>
                <w:szCs w:val="21"/>
              </w:rPr>
              <w:t>……</w:t>
            </w:r>
          </w:p>
        </w:tc>
        <w:tc>
          <w:tcPr>
            <w:tcW w:w="3127" w:type="dxa"/>
          </w:tcPr>
          <w:p>
            <w:pPr>
              <w:jc w:val="center"/>
              <w:rPr>
                <w:rFonts w:ascii="仿宋" w:hAnsi="仿宋" w:eastAsia="仿宋"/>
                <w:color w:val="auto"/>
                <w:sz w:val="21"/>
                <w:szCs w:val="21"/>
              </w:rPr>
            </w:pPr>
          </w:p>
        </w:tc>
        <w:tc>
          <w:tcPr>
            <w:tcW w:w="1235" w:type="dxa"/>
            <w:vAlign w:val="center"/>
          </w:tcPr>
          <w:p>
            <w:pPr>
              <w:jc w:val="center"/>
              <w:rPr>
                <w:rFonts w:ascii="仿宋" w:hAnsi="仿宋" w:eastAsia="仿宋"/>
                <w:color w:val="auto"/>
                <w:sz w:val="21"/>
                <w:szCs w:val="21"/>
              </w:rPr>
            </w:pPr>
            <w:r>
              <w:rPr>
                <w:rFonts w:hint="eastAsia" w:ascii="仿宋" w:hAnsi="仿宋" w:eastAsia="仿宋"/>
                <w:color w:val="auto"/>
                <w:sz w:val="21"/>
                <w:szCs w:val="21"/>
              </w:rPr>
              <w:t>/</w:t>
            </w:r>
          </w:p>
        </w:tc>
        <w:tc>
          <w:tcPr>
            <w:tcW w:w="1235" w:type="dxa"/>
          </w:tcPr>
          <w:p>
            <w:pPr>
              <w:jc w:val="center"/>
              <w:rPr>
                <w:rFonts w:ascii="仿宋" w:hAnsi="仿宋" w:eastAsia="仿宋"/>
                <w:color w:val="auto"/>
                <w:sz w:val="21"/>
                <w:szCs w:val="21"/>
              </w:rPr>
            </w:pPr>
          </w:p>
        </w:tc>
        <w:tc>
          <w:tcPr>
            <w:tcW w:w="1235" w:type="dxa"/>
          </w:tcPr>
          <w:p>
            <w:pPr>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ascii="仿宋" w:hAnsi="仿宋" w:eastAsia="仿宋"/>
                <w:color w:val="auto"/>
                <w:sz w:val="21"/>
                <w:szCs w:val="21"/>
              </w:rPr>
            </w:pPr>
            <w:r>
              <w:rPr>
                <w:rFonts w:hint="eastAsia" w:ascii="仿宋" w:hAnsi="仿宋" w:eastAsia="仿宋"/>
                <w:color w:val="auto"/>
                <w:sz w:val="21"/>
                <w:szCs w:val="21"/>
              </w:rPr>
              <w:t>12</w:t>
            </w:r>
          </w:p>
        </w:tc>
        <w:tc>
          <w:tcPr>
            <w:tcW w:w="1557" w:type="dxa"/>
            <w:vAlign w:val="center"/>
          </w:tcPr>
          <w:p>
            <w:pPr>
              <w:jc w:val="center"/>
              <w:rPr>
                <w:rFonts w:ascii="仿宋" w:hAnsi="仿宋" w:eastAsia="仿宋"/>
                <w:color w:val="auto"/>
                <w:sz w:val="21"/>
                <w:szCs w:val="21"/>
              </w:rPr>
            </w:pPr>
            <w:r>
              <w:rPr>
                <w:rFonts w:hint="eastAsia" w:ascii="仿宋" w:hAnsi="仿宋" w:eastAsia="仿宋"/>
                <w:color w:val="auto"/>
                <w:sz w:val="21"/>
                <w:szCs w:val="21"/>
              </w:rPr>
              <w:t>总计</w:t>
            </w:r>
          </w:p>
        </w:tc>
        <w:tc>
          <w:tcPr>
            <w:tcW w:w="6832" w:type="dxa"/>
            <w:gridSpan w:val="4"/>
          </w:tcPr>
          <w:p>
            <w:pPr>
              <w:rPr>
                <w:rFonts w:ascii="仿宋" w:hAnsi="仿宋" w:eastAsia="仿宋"/>
                <w:color w:val="auto"/>
                <w:sz w:val="21"/>
                <w:szCs w:val="21"/>
              </w:rPr>
            </w:pPr>
          </w:p>
        </w:tc>
      </w:tr>
    </w:tbl>
    <w:p>
      <w:pPr>
        <w:snapToGrid w:val="0"/>
        <w:spacing w:line="500" w:lineRule="exact"/>
        <w:ind w:firstLine="480" w:firstLineChars="200"/>
        <w:rPr>
          <w:rFonts w:ascii="仿宋" w:hAnsi="仿宋" w:eastAsia="仿宋"/>
          <w:color w:val="auto"/>
          <w:sz w:val="24"/>
          <w:szCs w:val="28"/>
        </w:rPr>
      </w:pPr>
    </w:p>
    <w:p>
      <w:pPr>
        <w:snapToGrid w:val="0"/>
        <w:spacing w:line="500" w:lineRule="exact"/>
        <w:ind w:firstLine="480" w:firstLineChars="200"/>
        <w:rPr>
          <w:rFonts w:ascii="仿宋" w:hAnsi="仿宋" w:eastAsia="仿宋"/>
          <w:color w:val="auto"/>
          <w:sz w:val="24"/>
          <w:szCs w:val="28"/>
        </w:rPr>
      </w:pPr>
      <w:r>
        <w:rPr>
          <w:rFonts w:hint="eastAsia" w:ascii="仿宋" w:hAnsi="仿宋" w:eastAsia="仿宋"/>
          <w:color w:val="auto"/>
          <w:sz w:val="24"/>
          <w:szCs w:val="28"/>
        </w:rPr>
        <w:t>注：1.供应商应完整填写本表。</w:t>
      </w:r>
    </w:p>
    <w:p>
      <w:pPr>
        <w:snapToGrid w:val="0"/>
        <w:spacing w:line="500" w:lineRule="exact"/>
        <w:rPr>
          <w:rFonts w:ascii="仿宋" w:hAnsi="仿宋" w:eastAsia="仿宋"/>
          <w:color w:val="auto"/>
          <w:sz w:val="24"/>
          <w:szCs w:val="28"/>
        </w:rPr>
      </w:pPr>
      <w:r>
        <w:rPr>
          <w:rFonts w:hint="eastAsia" w:ascii="仿宋" w:hAnsi="仿宋" w:eastAsia="仿宋"/>
          <w:color w:val="auto"/>
          <w:sz w:val="24"/>
          <w:szCs w:val="28"/>
        </w:rPr>
        <w:t xml:space="preserve">        2.该表可扩展</w:t>
      </w:r>
      <w:bookmarkStart w:id="152" w:name="OLE_LINK2"/>
      <w:bookmarkStart w:id="153" w:name="OLE_LINK1"/>
      <w:r>
        <w:rPr>
          <w:rFonts w:hint="eastAsia" w:ascii="仿宋" w:hAnsi="仿宋" w:eastAsia="仿宋"/>
          <w:color w:val="auto"/>
          <w:sz w:val="24"/>
          <w:szCs w:val="28"/>
        </w:rPr>
        <w:t>。</w:t>
      </w:r>
      <w:bookmarkEnd w:id="152"/>
      <w:bookmarkEnd w:id="153"/>
    </w:p>
    <w:p>
      <w:pPr>
        <w:pStyle w:val="38"/>
        <w:spacing w:line="360" w:lineRule="auto"/>
        <w:rPr>
          <w:rFonts w:ascii="仿宋" w:hAnsi="仿宋" w:eastAsia="仿宋"/>
          <w:color w:val="auto"/>
          <w:sz w:val="24"/>
          <w:szCs w:val="24"/>
        </w:rPr>
      </w:pPr>
    </w:p>
    <w:p>
      <w:pPr>
        <w:pStyle w:val="38"/>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p>
      <w:pPr>
        <w:rPr>
          <w:rFonts w:ascii="仿宋" w:hAnsi="仿宋" w:eastAsia="仿宋"/>
          <w:color w:val="auto"/>
        </w:rPr>
      </w:pPr>
    </w:p>
    <w:p>
      <w:pPr>
        <w:rPr>
          <w:rFonts w:ascii="仿宋" w:hAnsi="仿宋" w:eastAsia="仿宋"/>
          <w:color w:val="auto"/>
        </w:rPr>
      </w:pPr>
    </w:p>
    <w:p>
      <w:pPr>
        <w:spacing w:line="360" w:lineRule="auto"/>
        <w:rPr>
          <w:rFonts w:ascii="仿宋" w:hAnsi="仿宋" w:eastAsia="仿宋"/>
          <w:color w:val="auto"/>
        </w:rPr>
      </w:pPr>
      <w:r>
        <w:rPr>
          <w:rFonts w:hint="eastAsia" w:ascii="仿宋" w:hAnsi="仿宋" w:eastAsia="仿宋"/>
          <w:color w:val="auto"/>
          <w:sz w:val="24"/>
          <w:szCs w:val="24"/>
        </w:rPr>
        <w:t xml:space="preserve">                                             供应商名称（公章）或自然人签署：</w:t>
      </w:r>
    </w:p>
    <w:p>
      <w:pPr>
        <w:spacing w:line="360" w:lineRule="auto"/>
        <w:ind w:right="480" w:firstLine="6480" w:firstLineChars="2700"/>
        <w:rPr>
          <w:rFonts w:ascii="仿宋" w:hAnsi="仿宋" w:eastAsia="仿宋"/>
          <w:color w:val="auto"/>
          <w:sz w:val="24"/>
          <w:szCs w:val="24"/>
        </w:rPr>
      </w:pPr>
      <w:r>
        <w:rPr>
          <w:rFonts w:hint="eastAsia" w:ascii="仿宋" w:hAnsi="仿宋" w:eastAsia="仿宋"/>
          <w:color w:val="auto"/>
          <w:sz w:val="24"/>
          <w:szCs w:val="24"/>
        </w:rPr>
        <w:t>年     月    日</w:t>
      </w:r>
    </w:p>
    <w:p>
      <w:pPr>
        <w:snapToGrid w:val="0"/>
        <w:spacing w:line="360" w:lineRule="auto"/>
        <w:ind w:firstLine="480" w:firstLineChars="200"/>
        <w:rPr>
          <w:rFonts w:ascii="仿宋" w:hAnsi="仿宋" w:eastAsia="仿宋"/>
          <w:color w:val="auto"/>
          <w:sz w:val="24"/>
          <w:szCs w:val="24"/>
          <w:bdr w:val="single" w:color="auto" w:sz="4" w:space="0"/>
        </w:rPr>
        <w:sectPr>
          <w:headerReference r:id="rId13" w:type="default"/>
          <w:pgSz w:w="11907" w:h="16840"/>
          <w:pgMar w:top="1134" w:right="1191" w:bottom="1134" w:left="1304" w:header="851" w:footer="992" w:gutter="0"/>
          <w:pgNumType w:fmt="numberInDash"/>
          <w:cols w:space="720" w:num="1"/>
          <w:docGrid w:linePitch="380" w:charSpace="-5735"/>
        </w:sectPr>
      </w:pPr>
    </w:p>
    <w:p>
      <w:pPr>
        <w:pStyle w:val="4"/>
        <w:adjustRightInd w:val="0"/>
        <w:snapToGrid w:val="0"/>
        <w:spacing w:line="240" w:lineRule="auto"/>
        <w:ind w:firstLine="482" w:firstLineChars="200"/>
        <w:rPr>
          <w:rFonts w:ascii="仿宋" w:hAnsi="仿宋" w:eastAsia="仿宋"/>
          <w:color w:val="auto"/>
          <w:sz w:val="24"/>
        </w:rPr>
      </w:pPr>
      <w:bookmarkStart w:id="154" w:name="_Toc76462351"/>
      <w:bookmarkStart w:id="155" w:name="_Toc342913420"/>
      <w:bookmarkStart w:id="156" w:name="_Toc313008357"/>
      <w:bookmarkStart w:id="157" w:name="_Toc187768662"/>
      <w:bookmarkStart w:id="158" w:name="_Toc313888361"/>
      <w:r>
        <w:rPr>
          <w:rFonts w:hint="eastAsia" w:ascii="仿宋" w:hAnsi="仿宋" w:eastAsia="仿宋"/>
          <w:color w:val="auto"/>
          <w:sz w:val="24"/>
        </w:rPr>
        <w:t>二、服务部分</w:t>
      </w:r>
      <w:bookmarkEnd w:id="154"/>
      <w:bookmarkEnd w:id="155"/>
      <w:bookmarkEnd w:id="156"/>
      <w:bookmarkEnd w:id="157"/>
      <w:bookmarkEnd w:id="158"/>
    </w:p>
    <w:p>
      <w:pPr>
        <w:tabs>
          <w:tab w:val="left" w:pos="6300"/>
        </w:tabs>
        <w:snapToGrid w:val="0"/>
        <w:spacing w:line="400" w:lineRule="exact"/>
        <w:ind w:firstLine="480" w:firstLineChars="200"/>
        <w:rPr>
          <w:rFonts w:ascii="仿宋" w:hAnsi="仿宋" w:eastAsia="仿宋"/>
          <w:color w:val="auto"/>
          <w:szCs w:val="24"/>
        </w:rPr>
      </w:pPr>
      <w:r>
        <w:rPr>
          <w:rFonts w:hint="eastAsia" w:ascii="仿宋" w:hAnsi="仿宋" w:eastAsia="仿宋"/>
          <w:color w:val="auto"/>
          <w:sz w:val="24"/>
          <w:szCs w:val="24"/>
        </w:rPr>
        <w:t>（一）服务响应偏离表</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项目号：                                </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磋商项目名称：</w:t>
      </w:r>
    </w:p>
    <w:tbl>
      <w:tblPr>
        <w:tblStyle w:val="5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500" w:lineRule="exact"/>
              <w:jc w:val="center"/>
              <w:outlineLvl w:val="0"/>
              <w:rPr>
                <w:rFonts w:ascii="仿宋" w:hAnsi="仿宋" w:eastAsia="仿宋"/>
                <w:color w:val="auto"/>
                <w:sz w:val="21"/>
                <w:szCs w:val="21"/>
              </w:rPr>
            </w:pPr>
            <w:r>
              <w:rPr>
                <w:rFonts w:hint="eastAsia" w:ascii="仿宋" w:hAnsi="仿宋" w:eastAsia="仿宋"/>
                <w:color w:val="auto"/>
                <w:sz w:val="21"/>
                <w:szCs w:val="21"/>
              </w:rPr>
              <w:t>序号</w:t>
            </w:r>
          </w:p>
        </w:tc>
        <w:tc>
          <w:tcPr>
            <w:tcW w:w="2967" w:type="dxa"/>
            <w:vAlign w:val="center"/>
          </w:tcPr>
          <w:p>
            <w:pPr>
              <w:tabs>
                <w:tab w:val="left" w:pos="6300"/>
              </w:tabs>
              <w:snapToGrid w:val="0"/>
              <w:spacing w:line="500" w:lineRule="exact"/>
              <w:jc w:val="center"/>
              <w:outlineLvl w:val="0"/>
              <w:rPr>
                <w:rFonts w:ascii="仿宋" w:hAnsi="仿宋" w:eastAsia="仿宋"/>
                <w:color w:val="auto"/>
                <w:sz w:val="21"/>
                <w:szCs w:val="21"/>
              </w:rPr>
            </w:pPr>
            <w:r>
              <w:rPr>
                <w:rFonts w:hint="eastAsia" w:ascii="仿宋" w:hAnsi="仿宋" w:eastAsia="仿宋"/>
                <w:color w:val="auto"/>
                <w:sz w:val="21"/>
                <w:szCs w:val="21"/>
              </w:rPr>
              <w:t>采购需求</w:t>
            </w:r>
          </w:p>
        </w:tc>
        <w:tc>
          <w:tcPr>
            <w:tcW w:w="3081" w:type="dxa"/>
            <w:vAlign w:val="center"/>
          </w:tcPr>
          <w:p>
            <w:pPr>
              <w:tabs>
                <w:tab w:val="left" w:pos="6300"/>
              </w:tabs>
              <w:snapToGrid w:val="0"/>
              <w:spacing w:line="500" w:lineRule="exact"/>
              <w:jc w:val="center"/>
              <w:outlineLvl w:val="0"/>
              <w:rPr>
                <w:rFonts w:ascii="仿宋" w:hAnsi="仿宋" w:eastAsia="仿宋"/>
                <w:color w:val="auto"/>
                <w:sz w:val="21"/>
                <w:szCs w:val="21"/>
              </w:rPr>
            </w:pPr>
            <w:r>
              <w:rPr>
                <w:rFonts w:hint="eastAsia" w:ascii="仿宋" w:hAnsi="仿宋" w:eastAsia="仿宋"/>
                <w:color w:val="auto"/>
                <w:sz w:val="21"/>
                <w:szCs w:val="21"/>
              </w:rPr>
              <w:t>响应情况</w:t>
            </w:r>
          </w:p>
        </w:tc>
        <w:tc>
          <w:tcPr>
            <w:tcW w:w="2309" w:type="dxa"/>
            <w:vAlign w:val="center"/>
          </w:tcPr>
          <w:p>
            <w:pPr>
              <w:tabs>
                <w:tab w:val="left" w:pos="6300"/>
              </w:tabs>
              <w:snapToGrid w:val="0"/>
              <w:spacing w:line="500" w:lineRule="exact"/>
              <w:jc w:val="center"/>
              <w:outlineLvl w:val="0"/>
              <w:rPr>
                <w:rFonts w:ascii="仿宋" w:hAnsi="仿宋" w:eastAsia="仿宋"/>
                <w:color w:val="auto"/>
                <w:sz w:val="21"/>
                <w:szCs w:val="21"/>
              </w:rPr>
            </w:pPr>
            <w:r>
              <w:rPr>
                <w:rFonts w:hint="eastAsia" w:ascii="仿宋" w:hAnsi="仿宋" w:eastAsia="仿宋"/>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967"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3081" w:type="dxa"/>
            <w:vAlign w:val="center"/>
          </w:tcPr>
          <w:p>
            <w:pPr>
              <w:tabs>
                <w:tab w:val="left" w:pos="6300"/>
              </w:tabs>
              <w:snapToGrid w:val="0"/>
              <w:spacing w:line="500" w:lineRule="exact"/>
              <w:outlineLvl w:val="0"/>
              <w:rPr>
                <w:rFonts w:ascii="仿宋" w:hAnsi="仿宋" w:eastAsia="仿宋"/>
                <w:color w:val="auto"/>
                <w:sz w:val="21"/>
                <w:szCs w:val="21"/>
              </w:rPr>
            </w:pPr>
            <w:r>
              <w:rPr>
                <w:rFonts w:ascii="仿宋" w:hAnsi="仿宋" w:eastAsia="仿宋"/>
                <w:color w:val="auto"/>
                <w:sz w:val="21"/>
                <w:szCs w:val="21"/>
              </w:rPr>
              <w:t>提醒</w:t>
            </w:r>
            <w:r>
              <w:rPr>
                <w:rFonts w:hint="eastAsia" w:ascii="仿宋" w:hAnsi="仿宋" w:eastAsia="仿宋"/>
                <w:color w:val="auto"/>
                <w:sz w:val="21"/>
                <w:szCs w:val="21"/>
              </w:rPr>
              <w:t>：</w:t>
            </w:r>
            <w:r>
              <w:rPr>
                <w:rFonts w:ascii="仿宋" w:hAnsi="仿宋" w:eastAsia="仿宋"/>
                <w:color w:val="auto"/>
                <w:sz w:val="21"/>
                <w:szCs w:val="21"/>
              </w:rPr>
              <w:t>请注明</w:t>
            </w:r>
            <w:r>
              <w:rPr>
                <w:rFonts w:hint="eastAsia" w:ascii="仿宋" w:hAnsi="仿宋" w:eastAsia="仿宋"/>
                <w:color w:val="auto"/>
                <w:sz w:val="21"/>
                <w:szCs w:val="21"/>
              </w:rPr>
              <w:t>技术参数</w:t>
            </w:r>
            <w:r>
              <w:rPr>
                <w:rFonts w:ascii="仿宋" w:hAnsi="仿宋" w:eastAsia="仿宋"/>
                <w:color w:val="auto"/>
                <w:sz w:val="21"/>
                <w:szCs w:val="21"/>
              </w:rPr>
              <w:t>或具体内容以及</w:t>
            </w:r>
            <w:r>
              <w:rPr>
                <w:rFonts w:hint="eastAsia" w:ascii="仿宋" w:hAnsi="仿宋" w:eastAsia="仿宋"/>
                <w:color w:val="auto"/>
                <w:sz w:val="21"/>
                <w:szCs w:val="21"/>
              </w:rPr>
              <w:t>响应文件</w:t>
            </w:r>
            <w:r>
              <w:rPr>
                <w:rFonts w:ascii="仿宋" w:hAnsi="仿宋" w:eastAsia="仿宋"/>
                <w:color w:val="auto"/>
                <w:sz w:val="21"/>
                <w:szCs w:val="21"/>
              </w:rPr>
              <w:t>中</w:t>
            </w:r>
            <w:r>
              <w:rPr>
                <w:rFonts w:hint="eastAsia" w:ascii="仿宋" w:hAnsi="仿宋" w:eastAsia="仿宋"/>
                <w:color w:val="auto"/>
                <w:sz w:val="21"/>
                <w:szCs w:val="21"/>
              </w:rPr>
              <w:t>技术参数</w:t>
            </w:r>
            <w:r>
              <w:rPr>
                <w:rFonts w:ascii="仿宋" w:hAnsi="仿宋" w:eastAsia="仿宋"/>
                <w:color w:val="auto"/>
                <w:sz w:val="21"/>
                <w:szCs w:val="21"/>
              </w:rPr>
              <w:t>或</w:t>
            </w:r>
            <w:r>
              <w:rPr>
                <w:rFonts w:hint="eastAsia" w:ascii="仿宋" w:hAnsi="仿宋" w:eastAsia="仿宋"/>
                <w:color w:val="auto"/>
                <w:sz w:val="21"/>
                <w:szCs w:val="21"/>
              </w:rPr>
              <w:t>具体</w:t>
            </w:r>
            <w:r>
              <w:rPr>
                <w:rFonts w:ascii="仿宋" w:hAnsi="仿宋" w:eastAsia="仿宋"/>
                <w:color w:val="auto"/>
                <w:sz w:val="21"/>
                <w:szCs w:val="21"/>
              </w:rPr>
              <w:t>内容</w:t>
            </w:r>
            <w:r>
              <w:rPr>
                <w:rFonts w:hint="eastAsia" w:ascii="仿宋" w:hAnsi="仿宋" w:eastAsia="仿宋"/>
                <w:color w:val="auto"/>
                <w:sz w:val="21"/>
                <w:szCs w:val="21"/>
              </w:rPr>
              <w:t>的</w:t>
            </w:r>
            <w:r>
              <w:rPr>
                <w:rFonts w:ascii="仿宋" w:hAnsi="仿宋" w:eastAsia="仿宋"/>
                <w:color w:val="auto"/>
                <w:sz w:val="21"/>
                <w:szCs w:val="21"/>
              </w:rPr>
              <w:t>位置（</w:t>
            </w:r>
            <w:r>
              <w:rPr>
                <w:rFonts w:hint="eastAsia" w:ascii="仿宋" w:hAnsi="仿宋" w:eastAsia="仿宋"/>
                <w:color w:val="auto"/>
                <w:sz w:val="21"/>
                <w:szCs w:val="21"/>
              </w:rPr>
              <w:t>页码</w:t>
            </w:r>
            <w:r>
              <w:rPr>
                <w:rFonts w:ascii="仿宋" w:hAnsi="仿宋" w:eastAsia="仿宋"/>
                <w:color w:val="auto"/>
                <w:sz w:val="21"/>
                <w:szCs w:val="21"/>
              </w:rPr>
              <w:t>）</w:t>
            </w:r>
          </w:p>
        </w:tc>
        <w:tc>
          <w:tcPr>
            <w:tcW w:w="2309"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967"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3081"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309"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967"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3081"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309"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967"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3081"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309"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967"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3081"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309"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967"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3081"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309"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967"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3081"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309"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967"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3081"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309"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967"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3081"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309"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967"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3081"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309"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bl>
    <w:p>
      <w:pPr>
        <w:spacing w:line="500" w:lineRule="exact"/>
        <w:ind w:firstLine="600" w:firstLineChars="250"/>
        <w:rPr>
          <w:rFonts w:ascii="仿宋" w:hAnsi="仿宋" w:eastAsia="仿宋"/>
          <w:color w:val="auto"/>
          <w:sz w:val="24"/>
          <w:szCs w:val="28"/>
        </w:rPr>
      </w:pPr>
      <w:r>
        <w:rPr>
          <w:rFonts w:hint="eastAsia" w:ascii="仿宋" w:hAnsi="仿宋" w:eastAsia="仿宋"/>
          <w:color w:val="auto"/>
          <w:sz w:val="24"/>
          <w:szCs w:val="28"/>
        </w:rPr>
        <w:t xml:space="preserve">供应商：                            </w:t>
      </w:r>
      <w:r>
        <w:rPr>
          <w:rFonts w:hint="eastAsia" w:ascii="仿宋" w:hAnsi="仿宋" w:eastAsia="仿宋"/>
          <w:color w:val="auto"/>
          <w:sz w:val="24"/>
          <w:szCs w:val="24"/>
        </w:rPr>
        <w:t>法定代表人/负责人（或其授权代表）或自然人：</w:t>
      </w:r>
    </w:p>
    <w:p>
      <w:pPr>
        <w:spacing w:line="500" w:lineRule="exact"/>
        <w:rPr>
          <w:rFonts w:ascii="仿宋" w:hAnsi="仿宋" w:eastAsia="仿宋"/>
          <w:color w:val="auto"/>
          <w:sz w:val="24"/>
          <w:szCs w:val="28"/>
        </w:rPr>
      </w:pPr>
      <w:r>
        <w:rPr>
          <w:rFonts w:hint="eastAsia" w:ascii="仿宋" w:hAnsi="仿宋" w:eastAsia="仿宋"/>
          <w:color w:val="auto"/>
          <w:sz w:val="24"/>
          <w:szCs w:val="28"/>
        </w:rPr>
        <w:t xml:space="preserve">    </w:t>
      </w:r>
    </w:p>
    <w:p>
      <w:pPr>
        <w:spacing w:line="500" w:lineRule="exact"/>
        <w:ind w:firstLine="720" w:firstLineChars="300"/>
        <w:rPr>
          <w:rFonts w:ascii="仿宋" w:hAnsi="仿宋" w:eastAsia="仿宋"/>
          <w:color w:val="auto"/>
          <w:sz w:val="24"/>
          <w:szCs w:val="28"/>
        </w:rPr>
      </w:pPr>
      <w:r>
        <w:rPr>
          <w:rFonts w:hint="eastAsia" w:ascii="仿宋" w:hAnsi="仿宋" w:eastAsia="仿宋"/>
          <w:color w:val="auto"/>
          <w:sz w:val="24"/>
          <w:szCs w:val="28"/>
        </w:rPr>
        <w:t>（供应商公章）                               （签署或盖章）</w:t>
      </w: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szCs w:val="28"/>
        </w:rPr>
        <w:t xml:space="preserve">                                              年     月     日</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注：</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szCs w:val="24"/>
        </w:rPr>
        <w:t>1</w:t>
      </w:r>
      <w:r>
        <w:rPr>
          <w:rFonts w:hint="eastAsia" w:ascii="仿宋" w:hAnsi="仿宋" w:eastAsia="仿宋"/>
          <w:color w:val="auto"/>
          <w:sz w:val="24"/>
        </w:rPr>
        <w:t>.</w:t>
      </w:r>
      <w:r>
        <w:rPr>
          <w:rFonts w:hint="eastAsia" w:ascii="仿宋" w:hAnsi="仿宋" w:eastAsia="仿宋"/>
          <w:color w:val="auto"/>
          <w:sz w:val="24"/>
          <w:szCs w:val="24"/>
        </w:rPr>
        <w:t>本表即为对本项目“第二篇  项目服务需求”中所列条款进行比较和响应；</w:t>
      </w:r>
    </w:p>
    <w:p>
      <w:pPr>
        <w:snapToGrid w:val="0"/>
        <w:spacing w:line="400" w:lineRule="exact"/>
        <w:ind w:firstLine="480" w:firstLineChars="200"/>
        <w:jc w:val="left"/>
        <w:rPr>
          <w:rFonts w:ascii="仿宋" w:hAnsi="仿宋" w:eastAsia="仿宋"/>
          <w:color w:val="auto"/>
          <w:sz w:val="24"/>
          <w:szCs w:val="24"/>
        </w:rPr>
      </w:pPr>
      <w:r>
        <w:rPr>
          <w:rFonts w:hint="eastAsia" w:ascii="仿宋" w:hAnsi="仿宋" w:eastAsia="仿宋"/>
          <w:color w:val="auto"/>
          <w:sz w:val="24"/>
        </w:rPr>
        <w:t>2.本表可扩展。</w:t>
      </w:r>
    </w:p>
    <w:p>
      <w:pPr>
        <w:tabs>
          <w:tab w:val="left" w:pos="6300"/>
        </w:tabs>
        <w:snapToGrid w:val="0"/>
        <w:spacing w:line="400" w:lineRule="exact"/>
        <w:ind w:firstLine="560" w:firstLineChars="200"/>
        <w:rPr>
          <w:rFonts w:ascii="仿宋" w:hAnsi="仿宋" w:eastAsia="仿宋"/>
          <w:color w:val="auto"/>
          <w:szCs w:val="24"/>
        </w:rPr>
      </w:pPr>
      <w:r>
        <w:rPr>
          <w:rFonts w:ascii="仿宋" w:hAnsi="仿宋" w:eastAsia="仿宋"/>
          <w:color w:val="auto"/>
          <w:szCs w:val="24"/>
        </w:rPr>
        <w:br w:type="page"/>
      </w:r>
      <w:r>
        <w:rPr>
          <w:rFonts w:hint="eastAsia" w:ascii="仿宋" w:hAnsi="仿宋" w:eastAsia="仿宋"/>
          <w:color w:val="auto"/>
          <w:sz w:val="24"/>
          <w:szCs w:val="24"/>
        </w:rPr>
        <w:t>（二）其他资料（格式自定）</w:t>
      </w:r>
    </w:p>
    <w:p>
      <w:pPr>
        <w:pStyle w:val="4"/>
        <w:adjustRightInd w:val="0"/>
        <w:snapToGrid w:val="0"/>
        <w:spacing w:line="240" w:lineRule="auto"/>
        <w:ind w:firstLine="640" w:firstLineChars="200"/>
        <w:rPr>
          <w:rFonts w:ascii="仿宋" w:hAnsi="仿宋" w:eastAsia="仿宋"/>
          <w:color w:val="auto"/>
          <w:sz w:val="24"/>
        </w:rPr>
      </w:pPr>
      <w:r>
        <w:rPr>
          <w:rFonts w:ascii="仿宋" w:hAnsi="仿宋" w:eastAsia="仿宋"/>
          <w:b w:val="0"/>
          <w:color w:val="auto"/>
        </w:rPr>
        <w:br w:type="page"/>
      </w:r>
      <w:bookmarkStart w:id="159" w:name="_Toc313008358"/>
      <w:bookmarkStart w:id="160" w:name="_Toc342913421"/>
      <w:bookmarkStart w:id="161" w:name="_Toc313888362"/>
      <w:bookmarkStart w:id="162" w:name="_Toc187768663"/>
      <w:bookmarkStart w:id="163" w:name="_Toc76462352"/>
      <w:r>
        <w:rPr>
          <w:rFonts w:hint="eastAsia" w:ascii="仿宋" w:hAnsi="仿宋" w:eastAsia="仿宋"/>
          <w:color w:val="auto"/>
          <w:sz w:val="24"/>
        </w:rPr>
        <w:t>三、商务部分</w:t>
      </w:r>
      <w:bookmarkEnd w:id="159"/>
      <w:bookmarkEnd w:id="160"/>
      <w:bookmarkEnd w:id="161"/>
      <w:bookmarkEnd w:id="162"/>
      <w:bookmarkEnd w:id="163"/>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（一）商务响应偏离表</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项目号：                                </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磋商项目名称： </w:t>
      </w:r>
    </w:p>
    <w:tbl>
      <w:tblPr>
        <w:tblStyle w:val="5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仿宋" w:hAnsi="仿宋" w:eastAsia="仿宋"/>
                <w:color w:val="auto"/>
                <w:sz w:val="21"/>
                <w:szCs w:val="24"/>
              </w:rPr>
            </w:pPr>
            <w:r>
              <w:rPr>
                <w:rFonts w:hint="eastAsia" w:ascii="仿宋" w:hAnsi="仿宋" w:eastAsia="仿宋"/>
                <w:color w:val="auto"/>
                <w:sz w:val="21"/>
                <w:szCs w:val="24"/>
              </w:rPr>
              <w:t>序号</w:t>
            </w:r>
          </w:p>
        </w:tc>
        <w:tc>
          <w:tcPr>
            <w:tcW w:w="3179" w:type="dxa"/>
            <w:vAlign w:val="center"/>
          </w:tcPr>
          <w:p>
            <w:pPr>
              <w:tabs>
                <w:tab w:val="left" w:pos="6300"/>
              </w:tabs>
              <w:snapToGrid w:val="0"/>
              <w:spacing w:line="360" w:lineRule="auto"/>
              <w:jc w:val="center"/>
              <w:outlineLvl w:val="0"/>
              <w:rPr>
                <w:rFonts w:ascii="仿宋" w:hAnsi="仿宋" w:eastAsia="仿宋"/>
                <w:color w:val="auto"/>
                <w:sz w:val="21"/>
                <w:szCs w:val="24"/>
              </w:rPr>
            </w:pPr>
            <w:r>
              <w:rPr>
                <w:rFonts w:hint="eastAsia" w:ascii="仿宋" w:hAnsi="仿宋" w:eastAsia="仿宋"/>
                <w:color w:val="auto"/>
                <w:sz w:val="21"/>
                <w:szCs w:val="24"/>
              </w:rPr>
              <w:t>磋商项目商务需求</w:t>
            </w:r>
          </w:p>
        </w:tc>
        <w:tc>
          <w:tcPr>
            <w:tcW w:w="2434" w:type="dxa"/>
            <w:vAlign w:val="center"/>
          </w:tcPr>
          <w:p>
            <w:pPr>
              <w:tabs>
                <w:tab w:val="left" w:pos="6300"/>
              </w:tabs>
              <w:snapToGrid w:val="0"/>
              <w:spacing w:line="360" w:lineRule="auto"/>
              <w:jc w:val="center"/>
              <w:outlineLvl w:val="0"/>
              <w:rPr>
                <w:rFonts w:ascii="仿宋" w:hAnsi="仿宋" w:eastAsia="仿宋"/>
                <w:color w:val="auto"/>
                <w:sz w:val="21"/>
                <w:szCs w:val="24"/>
              </w:rPr>
            </w:pPr>
            <w:r>
              <w:rPr>
                <w:rFonts w:hint="eastAsia" w:ascii="仿宋" w:hAnsi="仿宋" w:eastAsia="仿宋"/>
                <w:color w:val="auto"/>
                <w:sz w:val="21"/>
                <w:szCs w:val="24"/>
              </w:rPr>
              <w:t>响应情况</w:t>
            </w:r>
          </w:p>
        </w:tc>
        <w:tc>
          <w:tcPr>
            <w:tcW w:w="2355" w:type="dxa"/>
            <w:vAlign w:val="center"/>
          </w:tcPr>
          <w:p>
            <w:pPr>
              <w:tabs>
                <w:tab w:val="left" w:pos="6300"/>
              </w:tabs>
              <w:snapToGrid w:val="0"/>
              <w:spacing w:line="360" w:lineRule="auto"/>
              <w:jc w:val="center"/>
              <w:outlineLvl w:val="0"/>
              <w:rPr>
                <w:rFonts w:ascii="仿宋" w:hAnsi="仿宋" w:eastAsia="仿宋"/>
                <w:color w:val="auto"/>
                <w:sz w:val="21"/>
                <w:szCs w:val="24"/>
              </w:rPr>
            </w:pPr>
            <w:r>
              <w:rPr>
                <w:rFonts w:hint="eastAsia" w:ascii="仿宋" w:hAnsi="仿宋" w:eastAsia="仿宋"/>
                <w:color w:val="auto"/>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1"/>
                <w:szCs w:val="24"/>
              </w:rPr>
            </w:pPr>
          </w:p>
        </w:tc>
        <w:tc>
          <w:tcPr>
            <w:tcW w:w="2434" w:type="dxa"/>
            <w:vAlign w:val="center"/>
          </w:tcPr>
          <w:p>
            <w:pPr>
              <w:tabs>
                <w:tab w:val="left" w:pos="6300"/>
              </w:tabs>
              <w:snapToGrid w:val="0"/>
              <w:spacing w:line="360" w:lineRule="auto"/>
              <w:outlineLvl w:val="0"/>
              <w:rPr>
                <w:rFonts w:ascii="仿宋" w:hAnsi="仿宋" w:eastAsia="仿宋"/>
                <w:color w:val="auto"/>
                <w:sz w:val="21"/>
                <w:szCs w:val="24"/>
              </w:rPr>
            </w:pPr>
            <w:r>
              <w:rPr>
                <w:rFonts w:ascii="仿宋" w:hAnsi="仿宋" w:eastAsia="仿宋"/>
                <w:color w:val="auto"/>
                <w:sz w:val="21"/>
                <w:szCs w:val="21"/>
              </w:rPr>
              <w:t>提醒</w:t>
            </w:r>
            <w:r>
              <w:rPr>
                <w:rFonts w:hint="eastAsia" w:ascii="仿宋" w:hAnsi="仿宋" w:eastAsia="仿宋"/>
                <w:color w:val="auto"/>
                <w:sz w:val="21"/>
                <w:szCs w:val="21"/>
              </w:rPr>
              <w:t>：</w:t>
            </w:r>
            <w:r>
              <w:rPr>
                <w:rFonts w:ascii="仿宋" w:hAnsi="仿宋" w:eastAsia="仿宋"/>
                <w:color w:val="auto"/>
                <w:sz w:val="21"/>
                <w:szCs w:val="21"/>
              </w:rPr>
              <w:t>请注明具体内容以及</w:t>
            </w:r>
            <w:r>
              <w:rPr>
                <w:rFonts w:hint="eastAsia" w:ascii="仿宋" w:hAnsi="仿宋" w:eastAsia="仿宋"/>
                <w:color w:val="auto"/>
                <w:sz w:val="21"/>
                <w:szCs w:val="21"/>
              </w:rPr>
              <w:t>响应文件</w:t>
            </w:r>
            <w:r>
              <w:rPr>
                <w:rFonts w:ascii="仿宋" w:hAnsi="仿宋" w:eastAsia="仿宋"/>
                <w:color w:val="auto"/>
                <w:sz w:val="21"/>
                <w:szCs w:val="21"/>
              </w:rPr>
              <w:t>中</w:t>
            </w:r>
            <w:r>
              <w:rPr>
                <w:rFonts w:hint="eastAsia" w:ascii="仿宋" w:hAnsi="仿宋" w:eastAsia="仿宋"/>
                <w:color w:val="auto"/>
                <w:sz w:val="21"/>
                <w:szCs w:val="21"/>
              </w:rPr>
              <w:t>具体</w:t>
            </w:r>
            <w:r>
              <w:rPr>
                <w:rFonts w:ascii="仿宋" w:hAnsi="仿宋" w:eastAsia="仿宋"/>
                <w:color w:val="auto"/>
                <w:sz w:val="21"/>
                <w:szCs w:val="21"/>
              </w:rPr>
              <w:t>内容</w:t>
            </w:r>
            <w:r>
              <w:rPr>
                <w:rFonts w:hint="eastAsia" w:ascii="仿宋" w:hAnsi="仿宋" w:eastAsia="仿宋"/>
                <w:color w:val="auto"/>
                <w:sz w:val="21"/>
                <w:szCs w:val="21"/>
              </w:rPr>
              <w:t>的</w:t>
            </w:r>
            <w:r>
              <w:rPr>
                <w:rFonts w:ascii="仿宋" w:hAnsi="仿宋" w:eastAsia="仿宋"/>
                <w:color w:val="auto"/>
                <w:sz w:val="21"/>
                <w:szCs w:val="21"/>
              </w:rPr>
              <w:t>位置（</w:t>
            </w:r>
            <w:r>
              <w:rPr>
                <w:rFonts w:hint="eastAsia" w:ascii="仿宋" w:hAnsi="仿宋" w:eastAsia="仿宋"/>
                <w:color w:val="auto"/>
                <w:sz w:val="21"/>
                <w:szCs w:val="21"/>
              </w:rPr>
              <w:t>页码</w:t>
            </w:r>
            <w:r>
              <w:rPr>
                <w:rFonts w:ascii="仿宋" w:hAnsi="仿宋" w:eastAsia="仿宋"/>
                <w:color w:val="auto"/>
                <w:sz w:val="21"/>
                <w:szCs w:val="21"/>
              </w:rPr>
              <w:t>）</w:t>
            </w:r>
          </w:p>
        </w:tc>
        <w:tc>
          <w:tcPr>
            <w:tcW w:w="2355" w:type="dxa"/>
            <w:vAlign w:val="center"/>
          </w:tcPr>
          <w:p>
            <w:pPr>
              <w:tabs>
                <w:tab w:val="left" w:pos="6300"/>
              </w:tabs>
              <w:snapToGrid w:val="0"/>
              <w:spacing w:line="360" w:lineRule="auto"/>
              <w:jc w:val="center"/>
              <w:outlineLvl w:val="0"/>
              <w:rPr>
                <w:rFonts w:ascii="仿宋" w:hAnsi="仿宋" w:eastAsia="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1"/>
                <w:szCs w:val="24"/>
              </w:rPr>
            </w:pPr>
          </w:p>
        </w:tc>
      </w:tr>
    </w:tbl>
    <w:p>
      <w:pPr>
        <w:snapToGrid w:val="0"/>
        <w:spacing w:line="360" w:lineRule="auto"/>
        <w:ind w:firstLine="465"/>
        <w:rPr>
          <w:rFonts w:ascii="仿宋" w:hAnsi="仿宋" w:eastAsia="仿宋"/>
          <w:color w:val="auto"/>
          <w:sz w:val="24"/>
          <w:szCs w:val="24"/>
        </w:rPr>
      </w:pPr>
    </w:p>
    <w:p>
      <w:pPr>
        <w:spacing w:line="500" w:lineRule="exact"/>
        <w:ind w:firstLine="600" w:firstLineChars="250"/>
        <w:rPr>
          <w:rFonts w:ascii="仿宋" w:hAnsi="仿宋" w:eastAsia="仿宋"/>
          <w:color w:val="auto"/>
          <w:sz w:val="24"/>
          <w:szCs w:val="28"/>
        </w:rPr>
      </w:pPr>
      <w:r>
        <w:rPr>
          <w:rFonts w:hint="eastAsia" w:ascii="仿宋" w:hAnsi="仿宋" w:eastAsia="仿宋"/>
          <w:color w:val="auto"/>
          <w:sz w:val="24"/>
          <w:szCs w:val="28"/>
        </w:rPr>
        <w:t xml:space="preserve">供应商：                          </w:t>
      </w:r>
      <w:r>
        <w:rPr>
          <w:rFonts w:hint="eastAsia" w:ascii="仿宋" w:hAnsi="仿宋" w:eastAsia="仿宋"/>
          <w:color w:val="auto"/>
          <w:sz w:val="24"/>
          <w:szCs w:val="24"/>
        </w:rPr>
        <w:t>法定代表人/负责人（或其授权代表）或自然人：</w:t>
      </w:r>
    </w:p>
    <w:p>
      <w:pPr>
        <w:spacing w:line="500" w:lineRule="exact"/>
        <w:rPr>
          <w:rFonts w:ascii="仿宋" w:hAnsi="仿宋" w:eastAsia="仿宋"/>
          <w:color w:val="auto"/>
          <w:sz w:val="24"/>
          <w:szCs w:val="28"/>
        </w:rPr>
      </w:pPr>
      <w:r>
        <w:rPr>
          <w:rFonts w:hint="eastAsia" w:ascii="仿宋" w:hAnsi="仿宋" w:eastAsia="仿宋"/>
          <w:color w:val="auto"/>
          <w:sz w:val="24"/>
          <w:szCs w:val="28"/>
        </w:rPr>
        <w:t xml:space="preserve">    </w:t>
      </w:r>
    </w:p>
    <w:p>
      <w:pPr>
        <w:spacing w:line="500" w:lineRule="exact"/>
        <w:ind w:firstLine="360" w:firstLineChars="150"/>
        <w:rPr>
          <w:rFonts w:ascii="仿宋" w:hAnsi="仿宋" w:eastAsia="仿宋"/>
          <w:color w:val="auto"/>
          <w:sz w:val="24"/>
          <w:szCs w:val="28"/>
        </w:rPr>
      </w:pPr>
      <w:r>
        <w:rPr>
          <w:rFonts w:hint="eastAsia" w:ascii="仿宋" w:hAnsi="仿宋" w:eastAsia="仿宋"/>
          <w:color w:val="auto"/>
          <w:sz w:val="24"/>
          <w:szCs w:val="28"/>
        </w:rPr>
        <w:t>（供应商公章）                                 （签署或盖章）</w:t>
      </w: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szCs w:val="28"/>
        </w:rPr>
        <w:t xml:space="preserve">                                            年     月     日</w:t>
      </w:r>
    </w:p>
    <w:p>
      <w:pPr>
        <w:tabs>
          <w:tab w:val="left" w:pos="6300"/>
        </w:tabs>
        <w:snapToGrid w:val="0"/>
        <w:spacing w:line="400" w:lineRule="exact"/>
        <w:ind w:firstLine="480" w:firstLineChars="200"/>
        <w:rPr>
          <w:rFonts w:ascii="仿宋" w:hAnsi="仿宋" w:eastAsia="仿宋"/>
          <w:color w:val="auto"/>
          <w:sz w:val="24"/>
        </w:rPr>
      </w:pPr>
      <w:r>
        <w:rPr>
          <w:rFonts w:hint="eastAsia" w:ascii="仿宋" w:hAnsi="仿宋" w:eastAsia="仿宋"/>
          <w:color w:val="auto"/>
          <w:sz w:val="24"/>
        </w:rPr>
        <w:t>注：</w:t>
      </w:r>
    </w:p>
    <w:p>
      <w:pPr>
        <w:tabs>
          <w:tab w:val="left" w:pos="6300"/>
        </w:tabs>
        <w:snapToGrid w:val="0"/>
        <w:spacing w:line="400" w:lineRule="exact"/>
        <w:ind w:firstLine="480" w:firstLineChars="200"/>
        <w:rPr>
          <w:rFonts w:ascii="仿宋" w:hAnsi="仿宋" w:eastAsia="仿宋"/>
          <w:color w:val="auto"/>
          <w:sz w:val="24"/>
        </w:rPr>
      </w:pPr>
      <w:r>
        <w:rPr>
          <w:rFonts w:hint="eastAsia" w:ascii="仿宋" w:hAnsi="仿宋" w:eastAsia="仿宋"/>
          <w:color w:val="auto"/>
          <w:sz w:val="24"/>
          <w:szCs w:val="24"/>
        </w:rPr>
        <w:t>1</w:t>
      </w:r>
      <w:r>
        <w:rPr>
          <w:rFonts w:hint="eastAsia" w:ascii="仿宋" w:hAnsi="仿宋" w:eastAsia="仿宋"/>
          <w:color w:val="auto"/>
          <w:sz w:val="24"/>
        </w:rPr>
        <w:t>.</w:t>
      </w:r>
      <w:r>
        <w:rPr>
          <w:rFonts w:hint="eastAsia" w:ascii="仿宋" w:hAnsi="仿宋" w:eastAsia="仿宋"/>
          <w:color w:val="auto"/>
          <w:sz w:val="24"/>
          <w:szCs w:val="24"/>
        </w:rPr>
        <w:t>本表即为对本项目“第三篇  项目商务需求”中所列条款进行比较和响应；</w:t>
      </w:r>
    </w:p>
    <w:p>
      <w:pPr>
        <w:snapToGrid w:val="0"/>
        <w:spacing w:line="400" w:lineRule="exact"/>
        <w:ind w:firstLine="480" w:firstLineChars="200"/>
        <w:rPr>
          <w:rFonts w:ascii="仿宋" w:hAnsi="仿宋" w:eastAsia="仿宋"/>
          <w:b/>
          <w:color w:val="auto"/>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olor w:val="auto"/>
          <w:sz w:val="24"/>
        </w:rPr>
        <w:t>2.本表可扩展。</w:t>
      </w:r>
    </w:p>
    <w:p>
      <w:pPr>
        <w:snapToGrid w:val="0"/>
        <w:spacing w:line="400" w:lineRule="exact"/>
        <w:ind w:firstLine="480" w:firstLineChars="200"/>
        <w:rPr>
          <w:rFonts w:ascii="仿宋" w:hAnsi="仿宋" w:eastAsia="仿宋"/>
          <w:color w:val="auto"/>
          <w:sz w:val="24"/>
          <w:szCs w:val="24"/>
        </w:rPr>
      </w:pPr>
      <w:bookmarkStart w:id="164" w:name="_Toc283382459"/>
      <w:r>
        <w:rPr>
          <w:rFonts w:hint="eastAsia" w:ascii="仿宋" w:hAnsi="仿宋" w:eastAsia="仿宋"/>
          <w:color w:val="auto"/>
          <w:sz w:val="24"/>
          <w:szCs w:val="24"/>
        </w:rPr>
        <w:t>（二）其它优惠承诺（格式自定）</w:t>
      </w:r>
    </w:p>
    <w:p>
      <w:pPr>
        <w:snapToGrid w:val="0"/>
        <w:spacing w:line="400" w:lineRule="exact"/>
        <w:ind w:firstLine="480" w:firstLineChars="200"/>
        <w:rPr>
          <w:rFonts w:ascii="仿宋" w:hAnsi="仿宋" w:eastAsia="仿宋"/>
          <w:color w:val="auto"/>
          <w:sz w:val="24"/>
          <w:szCs w:val="24"/>
        </w:rPr>
      </w:pPr>
    </w:p>
    <w:p>
      <w:pPr>
        <w:pStyle w:val="4"/>
        <w:adjustRightInd w:val="0"/>
        <w:snapToGrid w:val="0"/>
        <w:spacing w:line="240" w:lineRule="auto"/>
        <w:ind w:firstLine="482" w:firstLineChars="200"/>
        <w:rPr>
          <w:rFonts w:ascii="仿宋" w:hAnsi="仿宋" w:eastAsia="仿宋"/>
          <w:color w:val="auto"/>
          <w:sz w:val="24"/>
        </w:rPr>
      </w:pPr>
      <w:r>
        <w:rPr>
          <w:rFonts w:ascii="仿宋" w:hAnsi="仿宋" w:eastAsia="仿宋"/>
          <w:color w:val="auto"/>
          <w:sz w:val="24"/>
          <w:szCs w:val="24"/>
        </w:rPr>
        <w:br w:type="page"/>
      </w:r>
      <w:bookmarkEnd w:id="164"/>
      <w:bookmarkStart w:id="165" w:name="_Toc187768664"/>
      <w:bookmarkStart w:id="166" w:name="_Toc313008359"/>
      <w:bookmarkStart w:id="167" w:name="_Toc342913422"/>
      <w:bookmarkStart w:id="168" w:name="_Toc313888363"/>
      <w:bookmarkStart w:id="169" w:name="_Toc76462353"/>
      <w:r>
        <w:rPr>
          <w:rFonts w:hint="eastAsia" w:ascii="仿宋" w:hAnsi="仿宋" w:eastAsia="仿宋"/>
          <w:color w:val="auto"/>
          <w:sz w:val="24"/>
        </w:rPr>
        <w:t>四、资格条件</w:t>
      </w:r>
      <w:bookmarkEnd w:id="165"/>
      <w:bookmarkEnd w:id="166"/>
      <w:bookmarkEnd w:id="167"/>
      <w:bookmarkEnd w:id="168"/>
      <w:bookmarkEnd w:id="169"/>
    </w:p>
    <w:p>
      <w:pPr>
        <w:tabs>
          <w:tab w:val="left" w:pos="6300"/>
        </w:tabs>
        <w:snapToGrid w:val="0"/>
        <w:spacing w:line="400" w:lineRule="exact"/>
        <w:ind w:firstLine="570"/>
        <w:rPr>
          <w:rFonts w:ascii="仿宋" w:hAnsi="仿宋" w:eastAsia="仿宋"/>
          <w:color w:val="auto"/>
          <w:sz w:val="24"/>
          <w:szCs w:val="24"/>
        </w:rPr>
      </w:pPr>
      <w:r>
        <w:rPr>
          <w:rFonts w:hint="eastAsia" w:ascii="仿宋" w:hAnsi="仿宋" w:eastAsia="仿宋"/>
          <w:color w:val="auto"/>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仿宋" w:hAnsi="仿宋" w:eastAsia="仿宋"/>
          <w:color w:val="auto"/>
        </w:rPr>
      </w:pPr>
    </w:p>
    <w:p>
      <w:pPr>
        <w:tabs>
          <w:tab w:val="left" w:pos="6300"/>
        </w:tabs>
        <w:snapToGrid w:val="0"/>
        <w:spacing w:line="500" w:lineRule="exact"/>
        <w:ind w:firstLine="570"/>
        <w:rPr>
          <w:rFonts w:ascii="仿宋" w:hAnsi="仿宋" w:eastAsia="仿宋"/>
          <w:color w:val="auto"/>
        </w:rPr>
      </w:pPr>
    </w:p>
    <w:p>
      <w:pPr>
        <w:tabs>
          <w:tab w:val="left" w:pos="6300"/>
        </w:tabs>
        <w:snapToGrid w:val="0"/>
        <w:spacing w:line="500" w:lineRule="exact"/>
        <w:ind w:firstLine="570"/>
        <w:rPr>
          <w:rFonts w:ascii="仿宋" w:hAnsi="仿宋" w:eastAsia="仿宋"/>
          <w:color w:val="auto"/>
        </w:rPr>
      </w:pPr>
    </w:p>
    <w:p>
      <w:pPr>
        <w:tabs>
          <w:tab w:val="left" w:pos="6300"/>
        </w:tabs>
        <w:snapToGrid w:val="0"/>
        <w:spacing w:line="500" w:lineRule="exact"/>
        <w:ind w:firstLine="570"/>
        <w:rPr>
          <w:rFonts w:ascii="仿宋" w:hAnsi="仿宋" w:eastAsia="仿宋"/>
          <w:color w:val="auto"/>
        </w:rPr>
      </w:pPr>
    </w:p>
    <w:p>
      <w:pPr>
        <w:tabs>
          <w:tab w:val="left" w:pos="6300"/>
        </w:tabs>
        <w:snapToGrid w:val="0"/>
        <w:spacing w:line="500" w:lineRule="exact"/>
        <w:ind w:firstLine="570"/>
        <w:rPr>
          <w:rFonts w:ascii="仿宋" w:hAnsi="仿宋" w:eastAsia="仿宋"/>
          <w:color w:val="auto"/>
        </w:rPr>
      </w:pPr>
    </w:p>
    <w:p>
      <w:pPr>
        <w:snapToGrid w:val="0"/>
        <w:spacing w:line="400" w:lineRule="exact"/>
        <w:ind w:firstLine="560" w:firstLineChars="200"/>
        <w:rPr>
          <w:rFonts w:ascii="仿宋" w:hAnsi="仿宋" w:eastAsia="仿宋"/>
          <w:color w:val="auto"/>
          <w:sz w:val="24"/>
          <w:szCs w:val="24"/>
        </w:rPr>
      </w:pPr>
      <w:r>
        <w:rPr>
          <w:rFonts w:ascii="仿宋" w:hAnsi="仿宋" w:eastAsia="仿宋"/>
          <w:color w:val="auto"/>
        </w:rPr>
        <w:br w:type="page"/>
      </w:r>
      <w:r>
        <w:rPr>
          <w:rFonts w:hint="eastAsia" w:ascii="仿宋" w:hAnsi="仿宋" w:eastAsia="仿宋"/>
          <w:color w:val="auto"/>
          <w:sz w:val="24"/>
          <w:szCs w:val="24"/>
        </w:rPr>
        <w:t>（二）法定代表人/负责人身份证明书（格式）</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磋商项目名称：</w:t>
      </w:r>
      <w:r>
        <w:rPr>
          <w:rFonts w:hint="eastAsia" w:ascii="仿宋" w:hAnsi="仿宋" w:eastAsia="仿宋"/>
          <w:color w:val="auto"/>
          <w:sz w:val="24"/>
          <w:u w:val="single"/>
        </w:rPr>
        <w:t xml:space="preserve">                                                </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rPr>
          <w:rFonts w:ascii="仿宋" w:hAnsi="仿宋" w:eastAsia="仿宋"/>
          <w:color w:val="auto"/>
          <w:sz w:val="24"/>
        </w:rPr>
      </w:pPr>
      <w:r>
        <w:rPr>
          <w:rFonts w:hint="eastAsia" w:ascii="仿宋" w:hAnsi="仿宋" w:eastAsia="仿宋"/>
          <w:color w:val="auto"/>
          <w:sz w:val="24"/>
        </w:rPr>
        <w:t>致：</w:t>
      </w:r>
      <w:r>
        <w:rPr>
          <w:rFonts w:hint="eastAsia" w:ascii="仿宋" w:hAnsi="仿宋" w:eastAsia="仿宋"/>
          <w:color w:val="auto"/>
          <w:sz w:val="24"/>
          <w:u w:val="single"/>
        </w:rPr>
        <w:t xml:space="preserve">                     </w:t>
      </w:r>
      <w:r>
        <w:rPr>
          <w:rFonts w:hint="eastAsia" w:ascii="仿宋" w:hAnsi="仿宋" w:eastAsia="仿宋"/>
          <w:color w:val="auto"/>
          <w:sz w:val="24"/>
        </w:rPr>
        <w:t>（采购代理机构名称）：</w:t>
      </w: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u w:val="single"/>
        </w:rPr>
        <w:t xml:space="preserve">        </w:t>
      </w:r>
      <w:r>
        <w:rPr>
          <w:rFonts w:hint="eastAsia" w:ascii="仿宋" w:hAnsi="仿宋" w:eastAsia="仿宋"/>
          <w:color w:val="auto"/>
          <w:sz w:val="24"/>
        </w:rPr>
        <w:t>（法定代表人/负责人姓名）</w:t>
      </w:r>
      <w:r>
        <w:rPr>
          <w:rFonts w:hint="eastAsia" w:ascii="仿宋" w:hAnsi="仿宋" w:eastAsia="仿宋"/>
          <w:color w:val="auto"/>
          <w:sz w:val="24"/>
          <w:u w:val="single"/>
        </w:rPr>
        <w:t xml:space="preserve">     </w:t>
      </w:r>
      <w:r>
        <w:rPr>
          <w:rFonts w:hint="eastAsia" w:ascii="仿宋" w:hAnsi="仿宋" w:eastAsia="仿宋"/>
          <w:color w:val="auto"/>
          <w:sz w:val="24"/>
        </w:rPr>
        <w:t>（性别）</w:t>
      </w:r>
      <w:r>
        <w:rPr>
          <w:rFonts w:hint="eastAsia" w:ascii="仿宋" w:hAnsi="仿宋" w:eastAsia="仿宋"/>
          <w:color w:val="auto"/>
          <w:sz w:val="24"/>
        </w:rPr>
        <w:t>在</w:t>
      </w:r>
      <w:r>
        <w:rPr>
          <w:rFonts w:hint="eastAsia" w:ascii="仿宋" w:hAnsi="仿宋" w:eastAsia="仿宋"/>
          <w:color w:val="auto"/>
          <w:sz w:val="24"/>
          <w:u w:val="single"/>
        </w:rPr>
        <w:t xml:space="preserve">                       </w:t>
      </w:r>
      <w:r>
        <w:rPr>
          <w:rFonts w:hint="eastAsia" w:ascii="仿宋" w:hAnsi="仿宋" w:eastAsia="仿宋"/>
          <w:color w:val="auto"/>
          <w:sz w:val="24"/>
        </w:rPr>
        <w:t>（供应商名称）任</w:t>
      </w:r>
      <w:r>
        <w:rPr>
          <w:rFonts w:hint="eastAsia" w:ascii="仿宋" w:hAnsi="仿宋" w:eastAsia="仿宋"/>
          <w:color w:val="auto"/>
          <w:sz w:val="24"/>
          <w:u w:val="single"/>
        </w:rPr>
        <w:t xml:space="preserve">    </w:t>
      </w:r>
      <w:r>
        <w:rPr>
          <w:rFonts w:hint="eastAsia" w:ascii="仿宋" w:hAnsi="仿宋" w:eastAsia="仿宋"/>
          <w:color w:val="auto"/>
          <w:sz w:val="24"/>
        </w:rPr>
        <w:t>（职务名称）职务，是（供应商名称）</w:t>
      </w:r>
      <w:r>
        <w:rPr>
          <w:rFonts w:hint="eastAsia" w:ascii="仿宋" w:hAnsi="仿宋" w:eastAsia="仿宋"/>
          <w:color w:val="auto"/>
          <w:sz w:val="24"/>
          <w:u w:val="single"/>
        </w:rPr>
        <w:t xml:space="preserve">              </w:t>
      </w:r>
      <w:r>
        <w:rPr>
          <w:rFonts w:hint="eastAsia" w:ascii="仿宋" w:hAnsi="仿宋" w:eastAsia="仿宋"/>
          <w:color w:val="auto"/>
          <w:sz w:val="24"/>
        </w:rPr>
        <w:t>的法定代表人/负责人。</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特此证明。</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 xml:space="preserve">                                             （供应商公章）</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 xml:space="preserve">                                             年   月   日</w:t>
      </w: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法定代表人/负责人电话：XXXXXXX      电子邮箱：XXXXXX@XXXXX（若授权他人办理并签署响应文件的可不填写）</w:t>
      </w: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（附：法定代表人/负责人身份证正反面复印件）</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p>
    <w:p>
      <w:pPr>
        <w:snapToGrid w:val="0"/>
        <w:spacing w:line="400" w:lineRule="exact"/>
        <w:ind w:firstLine="560" w:firstLineChars="200"/>
        <w:rPr>
          <w:rFonts w:ascii="仿宋" w:hAnsi="仿宋" w:eastAsia="仿宋"/>
          <w:color w:val="auto"/>
          <w:sz w:val="24"/>
          <w:szCs w:val="24"/>
        </w:rPr>
      </w:pPr>
      <w:r>
        <w:rPr>
          <w:rFonts w:ascii="仿宋" w:hAnsi="仿宋" w:eastAsia="仿宋"/>
          <w:color w:val="auto"/>
        </w:rPr>
        <w:br w:type="column"/>
      </w:r>
      <w:r>
        <w:rPr>
          <w:rFonts w:hint="eastAsia" w:ascii="仿宋" w:hAnsi="仿宋" w:eastAsia="仿宋"/>
          <w:color w:val="auto"/>
          <w:sz w:val="24"/>
          <w:szCs w:val="24"/>
        </w:rPr>
        <w:t>（三）法定代表人/负责人授权委托书（格式）</w:t>
      </w: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 xml:space="preserve">    </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szCs w:val="28"/>
        </w:rPr>
        <w:t>磋商项目名称</w:t>
      </w:r>
      <w:r>
        <w:rPr>
          <w:rFonts w:hint="eastAsia" w:ascii="仿宋" w:hAnsi="仿宋" w:eastAsia="仿宋"/>
          <w:color w:val="auto"/>
          <w:sz w:val="24"/>
        </w:rPr>
        <w:t>：</w:t>
      </w:r>
      <w:r>
        <w:rPr>
          <w:rFonts w:hint="eastAsia" w:ascii="仿宋" w:hAnsi="仿宋" w:eastAsia="仿宋"/>
          <w:color w:val="auto"/>
          <w:sz w:val="24"/>
          <w:u w:val="single"/>
        </w:rPr>
        <w:t xml:space="preserve">                                                </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rPr>
          <w:rFonts w:ascii="仿宋" w:hAnsi="仿宋" w:eastAsia="仿宋"/>
          <w:color w:val="auto"/>
          <w:sz w:val="24"/>
        </w:rPr>
      </w:pPr>
      <w:r>
        <w:rPr>
          <w:rFonts w:hint="eastAsia" w:ascii="仿宋" w:hAnsi="仿宋" w:eastAsia="仿宋"/>
          <w:color w:val="auto"/>
          <w:sz w:val="24"/>
        </w:rPr>
        <w:t>致：</w:t>
      </w:r>
      <w:r>
        <w:rPr>
          <w:rFonts w:hint="eastAsia" w:ascii="仿宋" w:hAnsi="仿宋" w:eastAsia="仿宋"/>
          <w:color w:val="auto"/>
          <w:sz w:val="24"/>
          <w:u w:val="single"/>
        </w:rPr>
        <w:t xml:space="preserve">                     </w:t>
      </w:r>
      <w:r>
        <w:rPr>
          <w:rFonts w:hint="eastAsia" w:ascii="仿宋" w:hAnsi="仿宋" w:eastAsia="仿宋"/>
          <w:color w:val="auto"/>
          <w:sz w:val="24"/>
        </w:rPr>
        <w:t>（采购代理机构名称）：</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u w:val="single"/>
        </w:rPr>
        <w:t xml:space="preserve">            </w:t>
      </w:r>
      <w:r>
        <w:rPr>
          <w:rFonts w:hint="eastAsia" w:ascii="仿宋" w:hAnsi="仿宋" w:eastAsia="仿宋"/>
          <w:color w:val="auto"/>
          <w:sz w:val="24"/>
        </w:rPr>
        <w:t>（供应商法定代表人/负责人名称）是</w:t>
      </w:r>
      <w:r>
        <w:rPr>
          <w:rFonts w:hint="eastAsia" w:ascii="仿宋" w:hAnsi="仿宋" w:eastAsia="仿宋"/>
          <w:color w:val="auto"/>
          <w:sz w:val="24"/>
          <w:u w:val="single"/>
        </w:rPr>
        <w:t xml:space="preserve">                    </w:t>
      </w:r>
      <w:r>
        <w:rPr>
          <w:rFonts w:hint="eastAsia" w:ascii="仿宋" w:hAnsi="仿宋" w:eastAsia="仿宋"/>
          <w:color w:val="auto"/>
          <w:sz w:val="24"/>
        </w:rPr>
        <w:t>（供应商名称）的法定代表人/负责人，特授权</w:t>
      </w:r>
      <w:r>
        <w:rPr>
          <w:rFonts w:hint="eastAsia" w:ascii="仿宋" w:hAnsi="仿宋" w:eastAsia="仿宋"/>
          <w:color w:val="auto"/>
          <w:sz w:val="24"/>
          <w:u w:val="single"/>
        </w:rPr>
        <w:t xml:space="preserve">          </w:t>
      </w:r>
      <w:r>
        <w:rPr>
          <w:rFonts w:hint="eastAsia" w:ascii="仿宋" w:hAnsi="仿宋" w:eastAsia="仿宋"/>
          <w:color w:val="auto"/>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我单位对被授权人的</w:t>
      </w:r>
      <w:r>
        <w:rPr>
          <w:rFonts w:hint="eastAsia" w:ascii="仿宋" w:hAnsi="仿宋" w:eastAsia="仿宋"/>
          <w:color w:val="auto"/>
          <w:sz w:val="24"/>
          <w:szCs w:val="28"/>
        </w:rPr>
        <w:t>签署</w:t>
      </w:r>
      <w:r>
        <w:rPr>
          <w:rFonts w:hint="eastAsia" w:ascii="仿宋" w:hAnsi="仿宋" w:eastAsia="仿宋"/>
          <w:color w:val="auto"/>
          <w:sz w:val="24"/>
        </w:rPr>
        <w:t>负全部责任。</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被授权人：                                 供应商法定代表人/负责人：</w:t>
      </w:r>
    </w:p>
    <w:p>
      <w:pPr>
        <w:tabs>
          <w:tab w:val="left" w:pos="6300"/>
        </w:tabs>
        <w:snapToGrid w:val="0"/>
        <w:spacing w:line="500" w:lineRule="exact"/>
        <w:ind w:firstLine="570"/>
        <w:rPr>
          <w:rFonts w:ascii="仿宋" w:hAnsi="仿宋" w:eastAsia="仿宋"/>
          <w:color w:val="auto"/>
          <w:sz w:val="24"/>
          <w:szCs w:val="28"/>
        </w:rPr>
      </w:pPr>
      <w:r>
        <w:rPr>
          <w:rFonts w:hint="eastAsia" w:ascii="仿宋" w:hAnsi="仿宋" w:eastAsia="仿宋"/>
          <w:color w:val="auto"/>
          <w:sz w:val="24"/>
          <w:szCs w:val="28"/>
        </w:rPr>
        <w:t>（签署或盖章）                                （签署或盖章）</w:t>
      </w:r>
    </w:p>
    <w:p>
      <w:pPr>
        <w:tabs>
          <w:tab w:val="left" w:pos="6300"/>
        </w:tabs>
        <w:snapToGrid w:val="0"/>
        <w:spacing w:line="500" w:lineRule="exact"/>
        <w:ind w:firstLine="570"/>
        <w:rPr>
          <w:rFonts w:ascii="仿宋" w:hAnsi="仿宋" w:eastAsia="仿宋"/>
          <w:color w:val="auto"/>
          <w:sz w:val="24"/>
          <w:szCs w:val="28"/>
        </w:rPr>
      </w:pP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（附：被授权人身份证正反面复印件）</w:t>
      </w: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 xml:space="preserve">                                          </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right="480" w:firstLine="570"/>
        <w:jc w:val="right"/>
        <w:rPr>
          <w:rFonts w:ascii="仿宋" w:hAnsi="仿宋" w:eastAsia="仿宋"/>
          <w:color w:val="auto"/>
          <w:sz w:val="24"/>
        </w:rPr>
      </w:pPr>
      <w:r>
        <w:rPr>
          <w:rFonts w:hint="eastAsia" w:ascii="仿宋" w:hAnsi="仿宋" w:eastAsia="仿宋"/>
          <w:color w:val="auto"/>
          <w:sz w:val="24"/>
        </w:rPr>
        <w:t>（供应商公章）</w:t>
      </w:r>
    </w:p>
    <w:p>
      <w:pPr>
        <w:tabs>
          <w:tab w:val="left" w:pos="6300"/>
        </w:tabs>
        <w:snapToGrid w:val="0"/>
        <w:spacing w:line="500" w:lineRule="exact"/>
        <w:ind w:right="480" w:firstLine="570"/>
        <w:jc w:val="right"/>
        <w:rPr>
          <w:rFonts w:ascii="仿宋" w:hAnsi="仿宋" w:eastAsia="仿宋"/>
          <w:color w:val="auto"/>
          <w:sz w:val="24"/>
        </w:rPr>
      </w:pPr>
      <w:r>
        <w:rPr>
          <w:rFonts w:hint="eastAsia" w:ascii="仿宋" w:hAnsi="仿宋" w:eastAsia="仿宋"/>
          <w:color w:val="auto"/>
          <w:sz w:val="24"/>
        </w:rPr>
        <w:t>年   月   日</w:t>
      </w: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被授权人电话：XXXXXXX     电子邮箱：XXXXXX@XXXXX（若法定代表人/负责人办理并签署响应文件的可不填写）</w:t>
      </w: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注：</w:t>
      </w: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1.若为法定代表人/负责人办理并签署响应文件的，不提供此文件。</w:t>
      </w:r>
    </w:p>
    <w:p>
      <w:pPr>
        <w:tabs>
          <w:tab w:val="left" w:pos="6300"/>
        </w:tabs>
        <w:snapToGrid w:val="0"/>
        <w:spacing w:line="500" w:lineRule="exact"/>
        <w:ind w:firstLine="570"/>
        <w:rPr>
          <w:rFonts w:ascii="仿宋" w:hAnsi="仿宋" w:eastAsia="仿宋"/>
          <w:color w:val="auto"/>
          <w:sz w:val="24"/>
          <w:szCs w:val="24"/>
        </w:rPr>
      </w:pPr>
      <w:r>
        <w:rPr>
          <w:rFonts w:ascii="仿宋" w:hAnsi="仿宋" w:eastAsia="仿宋"/>
          <w:color w:val="auto"/>
        </w:rPr>
        <w:br w:type="column"/>
      </w:r>
      <w:r>
        <w:rPr>
          <w:rFonts w:hint="eastAsia" w:ascii="仿宋" w:hAnsi="仿宋" w:eastAsia="仿宋"/>
          <w:color w:val="auto"/>
          <w:sz w:val="24"/>
          <w:szCs w:val="24"/>
        </w:rPr>
        <w:t>（四）</w:t>
      </w:r>
      <w:r>
        <w:rPr>
          <w:rFonts w:hint="eastAsia" w:ascii="仿宋" w:hAnsi="仿宋" w:eastAsia="仿宋"/>
          <w:color w:val="auto"/>
          <w:sz w:val="24"/>
          <w:szCs w:val="28"/>
        </w:rPr>
        <w:t>基本资格条件承诺函</w:t>
      </w:r>
    </w:p>
    <w:p>
      <w:pPr>
        <w:tabs>
          <w:tab w:val="left" w:pos="6300"/>
        </w:tabs>
        <w:snapToGrid w:val="0"/>
        <w:spacing w:line="500" w:lineRule="exact"/>
        <w:ind w:firstLine="643" w:firstLineChars="200"/>
        <w:jc w:val="center"/>
        <w:rPr>
          <w:rFonts w:ascii="仿宋" w:hAnsi="仿宋" w:eastAsia="仿宋" w:cs="方正仿宋_GBK"/>
          <w:b/>
          <w:bCs/>
          <w:color w:val="auto"/>
          <w:sz w:val="32"/>
          <w:szCs w:val="32"/>
        </w:rPr>
      </w:pPr>
      <w:r>
        <w:rPr>
          <w:rFonts w:hint="eastAsia" w:ascii="仿宋" w:hAnsi="仿宋" w:eastAsia="仿宋" w:cs="方正仿宋_GBK"/>
          <w:b/>
          <w:bCs/>
          <w:color w:val="auto"/>
          <w:sz w:val="32"/>
          <w:szCs w:val="32"/>
        </w:rPr>
        <w:t>基本资格条件承诺函</w:t>
      </w:r>
    </w:p>
    <w:p>
      <w:pPr>
        <w:tabs>
          <w:tab w:val="left" w:pos="6300"/>
        </w:tabs>
        <w:snapToGrid w:val="0"/>
        <w:spacing w:line="530" w:lineRule="exact"/>
        <w:rPr>
          <w:rFonts w:ascii="仿宋" w:hAnsi="仿宋" w:eastAsia="仿宋"/>
          <w:color w:val="auto"/>
          <w:sz w:val="24"/>
        </w:rPr>
      </w:pP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致</w:t>
      </w:r>
      <w:r>
        <w:rPr>
          <w:rFonts w:hint="eastAsia" w:ascii="仿宋" w:hAnsi="仿宋" w:eastAsia="仿宋"/>
          <w:color w:val="auto"/>
          <w:sz w:val="24"/>
          <w:u w:val="single"/>
        </w:rPr>
        <w:t xml:space="preserve">                   </w:t>
      </w:r>
      <w:r>
        <w:rPr>
          <w:rFonts w:hint="eastAsia" w:ascii="仿宋" w:hAnsi="仿宋" w:eastAsia="仿宋"/>
          <w:color w:val="auto"/>
          <w:sz w:val="24"/>
        </w:rPr>
        <w:t>（采购代理机构名称）：</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 xml:space="preserve">    </w:t>
      </w:r>
      <w:r>
        <w:rPr>
          <w:rFonts w:hint="eastAsia" w:ascii="仿宋" w:hAnsi="仿宋" w:eastAsia="仿宋"/>
          <w:color w:val="auto"/>
          <w:sz w:val="24"/>
          <w:u w:val="single"/>
        </w:rPr>
        <w:t xml:space="preserve">              </w:t>
      </w:r>
      <w:r>
        <w:rPr>
          <w:rFonts w:hint="eastAsia" w:ascii="仿宋" w:hAnsi="仿宋" w:eastAsia="仿宋"/>
          <w:color w:val="auto"/>
          <w:sz w:val="24"/>
        </w:rPr>
        <w:t>（供应商名称）郑重承诺：</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1.我方具有良好的商业信誉和健全的财务会计制度，具有履行合同所必需的设备和专业技术能力，具</w:t>
      </w:r>
      <w:r>
        <w:rPr>
          <w:rFonts w:hint="eastAsia" w:ascii="仿宋" w:hAnsi="仿宋" w:eastAsia="仿宋"/>
          <w:color w:val="auto"/>
          <w:sz w:val="24"/>
          <w:lang w:val="zh-CN"/>
        </w:rPr>
        <w:t>有依法缴纳税收和社会保障金的良好记录</w:t>
      </w:r>
      <w:r>
        <w:rPr>
          <w:rFonts w:hint="eastAsia" w:ascii="仿宋" w:hAnsi="仿宋" w:eastAsia="仿宋"/>
          <w:color w:val="auto"/>
          <w:sz w:val="24"/>
        </w:rPr>
        <w:t>，参加本项目采购活动前三年内无重大违法活动记录。</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我方对以上承诺负全部法律责任。</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特此承诺。</w:t>
      </w:r>
    </w:p>
    <w:p>
      <w:pPr>
        <w:tabs>
          <w:tab w:val="left" w:pos="6300"/>
        </w:tabs>
        <w:snapToGrid w:val="0"/>
        <w:spacing w:line="500" w:lineRule="exact"/>
        <w:ind w:firstLine="480" w:firstLineChars="200"/>
        <w:rPr>
          <w:rFonts w:ascii="仿宋" w:hAnsi="仿宋" w:eastAsia="仿宋"/>
          <w:color w:val="auto"/>
          <w:sz w:val="24"/>
        </w:rPr>
      </w:pPr>
    </w:p>
    <w:p>
      <w:pPr>
        <w:tabs>
          <w:tab w:val="left" w:pos="6300"/>
        </w:tabs>
        <w:snapToGrid w:val="0"/>
        <w:spacing w:line="500" w:lineRule="exact"/>
        <w:ind w:firstLine="480" w:firstLineChars="200"/>
        <w:jc w:val="right"/>
        <w:rPr>
          <w:rFonts w:ascii="仿宋" w:hAnsi="仿宋" w:eastAsia="仿宋"/>
          <w:color w:val="auto"/>
          <w:sz w:val="24"/>
        </w:rPr>
      </w:pPr>
      <w:r>
        <w:rPr>
          <w:rFonts w:hint="eastAsia" w:ascii="仿宋" w:hAnsi="仿宋" w:eastAsia="仿宋"/>
          <w:color w:val="auto"/>
          <w:sz w:val="24"/>
        </w:rPr>
        <w:t>（供应商公章）</w:t>
      </w:r>
    </w:p>
    <w:p>
      <w:pPr>
        <w:tabs>
          <w:tab w:val="left" w:pos="6300"/>
        </w:tabs>
        <w:snapToGrid w:val="0"/>
        <w:spacing w:line="500" w:lineRule="exact"/>
        <w:ind w:firstLine="7920" w:firstLineChars="3300"/>
        <w:rPr>
          <w:rFonts w:ascii="仿宋" w:hAnsi="仿宋" w:eastAsia="仿宋"/>
          <w:color w:val="auto"/>
          <w:sz w:val="24"/>
          <w:szCs w:val="24"/>
        </w:rPr>
      </w:pPr>
      <w:r>
        <w:rPr>
          <w:rFonts w:hint="eastAsia" w:ascii="仿宋" w:hAnsi="仿宋" w:eastAsia="仿宋"/>
          <w:color w:val="auto"/>
          <w:sz w:val="24"/>
        </w:rPr>
        <w:t>年   月   日</w:t>
      </w:r>
    </w:p>
    <w:p>
      <w:pPr>
        <w:snapToGrid w:val="0"/>
        <w:spacing w:line="400" w:lineRule="exact"/>
        <w:ind w:firstLine="560" w:firstLineChars="200"/>
        <w:rPr>
          <w:rFonts w:ascii="仿宋" w:hAnsi="仿宋" w:eastAsia="仿宋"/>
          <w:color w:val="auto"/>
          <w:sz w:val="24"/>
          <w:szCs w:val="24"/>
        </w:rPr>
      </w:pPr>
      <w:r>
        <w:rPr>
          <w:rFonts w:ascii="仿宋" w:hAnsi="仿宋" w:eastAsia="仿宋"/>
          <w:color w:val="auto"/>
        </w:rPr>
        <w:br w:type="page"/>
      </w:r>
      <w:r>
        <w:rPr>
          <w:rFonts w:hint="eastAsia" w:ascii="仿宋" w:hAnsi="仿宋" w:eastAsia="仿宋"/>
          <w:color w:val="auto"/>
          <w:sz w:val="24"/>
          <w:szCs w:val="24"/>
        </w:rPr>
        <w:t>（五）特定资格条件证明文件</w:t>
      </w:r>
    </w:p>
    <w:p>
      <w:pPr>
        <w:tabs>
          <w:tab w:val="left" w:pos="6300"/>
        </w:tabs>
        <w:snapToGrid w:val="0"/>
        <w:spacing w:line="400" w:lineRule="exact"/>
        <w:ind w:firstLine="480" w:firstLineChars="200"/>
        <w:rPr>
          <w:rFonts w:ascii="仿宋" w:hAnsi="仿宋" w:eastAsia="仿宋"/>
          <w:color w:val="auto"/>
          <w:sz w:val="24"/>
          <w:szCs w:val="24"/>
        </w:rPr>
      </w:pPr>
    </w:p>
    <w:p>
      <w:pPr>
        <w:pStyle w:val="4"/>
        <w:adjustRightInd w:val="0"/>
        <w:snapToGrid w:val="0"/>
        <w:spacing w:line="240" w:lineRule="auto"/>
        <w:ind w:firstLine="560" w:firstLineChars="200"/>
        <w:rPr>
          <w:rFonts w:ascii="仿宋" w:hAnsi="仿宋" w:eastAsia="仿宋"/>
          <w:color w:val="auto"/>
          <w:sz w:val="24"/>
        </w:rPr>
      </w:pPr>
      <w:bookmarkStart w:id="170" w:name="_Toc14422"/>
      <w:r>
        <w:rPr>
          <w:rFonts w:ascii="仿宋" w:hAnsi="仿宋" w:eastAsia="仿宋"/>
          <w:b w:val="0"/>
          <w:color w:val="auto"/>
          <w:sz w:val="28"/>
        </w:rPr>
        <w:br w:type="page"/>
      </w:r>
      <w:bookmarkStart w:id="171" w:name="_Toc187768665"/>
      <w:bookmarkStart w:id="172" w:name="_Toc76462354"/>
      <w:r>
        <w:rPr>
          <w:rFonts w:hint="eastAsia" w:ascii="仿宋" w:hAnsi="仿宋" w:eastAsia="仿宋"/>
          <w:color w:val="auto"/>
          <w:sz w:val="24"/>
        </w:rPr>
        <w:t>五、其他资料</w:t>
      </w:r>
      <w:bookmarkEnd w:id="170"/>
      <w:bookmarkEnd w:id="171"/>
      <w:bookmarkEnd w:id="172"/>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（一）其他与项目有关的资料</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其他与项目有关的资料（自附）：供应商总体情况介绍、其他与本项目有关的资料等。</w:t>
      </w:r>
    </w:p>
    <w:p>
      <w:pPr>
        <w:spacing w:line="360" w:lineRule="auto"/>
        <w:ind w:firstLine="480" w:firstLineChars="200"/>
        <w:rPr>
          <w:rFonts w:ascii="仿宋" w:hAnsi="仿宋" w:eastAsia="仿宋"/>
          <w:color w:val="auto"/>
          <w:sz w:val="24"/>
          <w:szCs w:val="24"/>
        </w:rPr>
      </w:pPr>
    </w:p>
    <w:p>
      <w:pPr>
        <w:spacing w:line="360" w:lineRule="auto"/>
        <w:ind w:firstLine="480" w:firstLineChars="200"/>
        <w:jc w:val="center"/>
        <w:rPr>
          <w:rFonts w:ascii="仿宋" w:hAnsi="仿宋" w:eastAsia="仿宋"/>
          <w:color w:val="auto"/>
          <w:sz w:val="24"/>
          <w:szCs w:val="24"/>
        </w:rPr>
      </w:pPr>
    </w:p>
    <w:p>
      <w:pPr>
        <w:spacing w:line="360" w:lineRule="auto"/>
        <w:ind w:firstLine="480" w:firstLineChars="200"/>
        <w:jc w:val="center"/>
        <w:rPr>
          <w:rFonts w:ascii="仿宋" w:hAnsi="仿宋" w:eastAsia="仿宋"/>
          <w:color w:val="auto"/>
          <w:sz w:val="24"/>
          <w:szCs w:val="24"/>
        </w:rPr>
      </w:pPr>
    </w:p>
    <w:p>
      <w:pPr>
        <w:spacing w:line="360" w:lineRule="auto"/>
        <w:ind w:firstLine="480" w:firstLineChars="200"/>
        <w:jc w:val="center"/>
        <w:rPr>
          <w:rFonts w:ascii="仿宋" w:hAnsi="仿宋" w:eastAsia="仿宋"/>
          <w:color w:val="auto"/>
          <w:sz w:val="24"/>
          <w:szCs w:val="24"/>
        </w:rPr>
      </w:pPr>
    </w:p>
    <w:p>
      <w:pPr>
        <w:spacing w:line="360" w:lineRule="auto"/>
        <w:ind w:firstLine="480" w:firstLineChars="200"/>
        <w:jc w:val="center"/>
        <w:rPr>
          <w:rFonts w:ascii="仿宋" w:hAnsi="仿宋" w:eastAsia="仿宋"/>
          <w:color w:val="auto"/>
          <w:sz w:val="24"/>
          <w:szCs w:val="24"/>
        </w:rPr>
      </w:pPr>
    </w:p>
    <w:p>
      <w:pPr>
        <w:spacing w:line="360" w:lineRule="auto"/>
        <w:ind w:firstLine="480" w:firstLineChars="200"/>
        <w:jc w:val="center"/>
        <w:rPr>
          <w:rFonts w:ascii="仿宋" w:hAnsi="仿宋" w:eastAsia="仿宋"/>
          <w:color w:val="auto"/>
          <w:sz w:val="24"/>
          <w:szCs w:val="24"/>
        </w:rPr>
      </w:pPr>
    </w:p>
    <w:p>
      <w:pPr>
        <w:spacing w:line="360" w:lineRule="auto"/>
        <w:ind w:firstLine="480" w:firstLineChars="200"/>
        <w:jc w:val="center"/>
        <w:rPr>
          <w:rFonts w:ascii="仿宋" w:hAnsi="仿宋" w:eastAsia="仿宋"/>
          <w:color w:val="auto"/>
          <w:sz w:val="24"/>
          <w:szCs w:val="24"/>
        </w:rPr>
      </w:pPr>
    </w:p>
    <w:p>
      <w:pPr>
        <w:spacing w:line="360" w:lineRule="auto"/>
        <w:ind w:firstLine="480" w:firstLineChars="200"/>
        <w:jc w:val="center"/>
        <w:rPr>
          <w:rFonts w:ascii="仿宋" w:hAnsi="仿宋" w:eastAsia="仿宋"/>
          <w:color w:val="auto"/>
          <w:sz w:val="24"/>
          <w:szCs w:val="24"/>
        </w:rPr>
      </w:pPr>
    </w:p>
    <w:p>
      <w:pPr>
        <w:spacing w:line="360" w:lineRule="auto"/>
        <w:ind w:firstLine="480" w:firstLineChars="200"/>
        <w:jc w:val="center"/>
        <w:rPr>
          <w:rFonts w:ascii="仿宋" w:hAnsi="仿宋" w:eastAsia="仿宋"/>
          <w:color w:val="auto"/>
          <w:sz w:val="24"/>
          <w:szCs w:val="24"/>
        </w:rPr>
      </w:pPr>
    </w:p>
    <w:p>
      <w:pPr>
        <w:spacing w:line="360" w:lineRule="auto"/>
        <w:ind w:firstLine="480" w:firstLineChars="200"/>
        <w:jc w:val="center"/>
        <w:rPr>
          <w:rFonts w:ascii="仿宋" w:hAnsi="仿宋" w:eastAsia="仿宋"/>
          <w:color w:val="auto"/>
          <w:sz w:val="24"/>
          <w:szCs w:val="24"/>
        </w:rPr>
      </w:pPr>
    </w:p>
    <w:p>
      <w:pPr>
        <w:spacing w:line="360" w:lineRule="auto"/>
        <w:ind w:firstLine="480" w:firstLineChars="200"/>
        <w:jc w:val="center"/>
        <w:rPr>
          <w:rFonts w:ascii="仿宋" w:hAnsi="仿宋" w:eastAsia="仿宋"/>
          <w:color w:val="auto"/>
          <w:sz w:val="24"/>
          <w:szCs w:val="24"/>
        </w:rPr>
      </w:pPr>
    </w:p>
    <w:p>
      <w:pPr>
        <w:spacing w:line="360" w:lineRule="auto"/>
        <w:ind w:firstLine="480" w:firstLineChars="200"/>
        <w:jc w:val="center"/>
        <w:rPr>
          <w:rFonts w:ascii="仿宋" w:hAnsi="仿宋" w:eastAsia="仿宋"/>
          <w:color w:val="auto"/>
          <w:sz w:val="24"/>
          <w:szCs w:val="24"/>
        </w:rPr>
      </w:pPr>
    </w:p>
    <w:p>
      <w:pPr>
        <w:spacing w:line="360" w:lineRule="auto"/>
        <w:ind w:firstLine="480" w:firstLineChars="200"/>
        <w:jc w:val="center"/>
        <w:rPr>
          <w:rFonts w:ascii="仿宋" w:hAnsi="仿宋" w:eastAsia="仿宋"/>
          <w:color w:val="auto"/>
          <w:sz w:val="24"/>
          <w:szCs w:val="24"/>
        </w:rPr>
      </w:pPr>
    </w:p>
    <w:p>
      <w:pPr>
        <w:spacing w:line="360" w:lineRule="auto"/>
        <w:ind w:firstLine="480" w:firstLineChars="200"/>
        <w:jc w:val="center"/>
        <w:rPr>
          <w:rFonts w:ascii="仿宋" w:hAnsi="仿宋" w:eastAsia="仿宋"/>
          <w:color w:val="auto"/>
          <w:sz w:val="24"/>
          <w:szCs w:val="24"/>
        </w:rPr>
      </w:pPr>
    </w:p>
    <w:p>
      <w:pPr>
        <w:spacing w:line="360" w:lineRule="auto"/>
        <w:ind w:firstLine="480" w:firstLineChars="200"/>
        <w:jc w:val="center"/>
        <w:rPr>
          <w:rFonts w:ascii="仿宋" w:hAnsi="仿宋" w:eastAsia="仿宋"/>
          <w:color w:val="auto"/>
          <w:sz w:val="24"/>
          <w:szCs w:val="24"/>
        </w:rPr>
      </w:pPr>
    </w:p>
    <w:p>
      <w:pPr>
        <w:spacing w:line="360" w:lineRule="auto"/>
        <w:ind w:firstLine="480" w:firstLineChars="200"/>
        <w:jc w:val="center"/>
        <w:rPr>
          <w:rFonts w:ascii="仿宋" w:hAnsi="仿宋" w:eastAsia="仿宋"/>
          <w:color w:val="auto"/>
          <w:sz w:val="24"/>
          <w:szCs w:val="24"/>
        </w:rPr>
      </w:pPr>
    </w:p>
    <w:p>
      <w:pPr>
        <w:spacing w:line="360" w:lineRule="auto"/>
        <w:ind w:firstLine="480" w:firstLineChars="200"/>
        <w:jc w:val="center"/>
        <w:outlineLvl w:val="0"/>
        <w:rPr>
          <w:rFonts w:ascii="仿宋" w:hAnsi="仿宋" w:eastAsia="仿宋"/>
          <w:color w:val="auto"/>
          <w:sz w:val="24"/>
          <w:szCs w:val="24"/>
        </w:rPr>
      </w:pPr>
      <w:r>
        <w:rPr>
          <w:rFonts w:hint="eastAsia" w:ascii="仿宋" w:hAnsi="仿宋" w:eastAsia="仿宋"/>
          <w:color w:val="auto"/>
          <w:sz w:val="24"/>
          <w:szCs w:val="24"/>
        </w:rPr>
        <w:t>（结束）</w:t>
      </w:r>
    </w:p>
    <w:p>
      <w:pPr>
        <w:pStyle w:val="4"/>
        <w:spacing w:line="240" w:lineRule="auto"/>
        <w:rPr>
          <w:rFonts w:ascii="仿宋" w:hAnsi="仿宋" w:eastAsia="仿宋"/>
          <w:color w:val="auto"/>
        </w:rPr>
      </w:pPr>
      <w:r>
        <w:rPr>
          <w:rFonts w:ascii="仿宋" w:hAnsi="仿宋" w:eastAsia="仿宋"/>
          <w:color w:val="auto"/>
        </w:rPr>
        <w:br w:type="page"/>
      </w:r>
      <w:bookmarkStart w:id="173" w:name="_Toc187768666"/>
      <w:r>
        <w:rPr>
          <w:rFonts w:hint="eastAsia" w:ascii="仿宋" w:hAnsi="仿宋" w:eastAsia="仿宋"/>
          <w:b w:val="0"/>
          <w:color w:val="auto"/>
          <w:sz w:val="36"/>
          <w:szCs w:val="30"/>
        </w:rPr>
        <w:t>附件：</w:t>
      </w:r>
      <w:bookmarkEnd w:id="173"/>
    </w:p>
    <w:p>
      <w:pPr>
        <w:jc w:val="center"/>
        <w:rPr>
          <w:rFonts w:ascii="仿宋" w:hAnsi="仿宋" w:eastAsia="仿宋"/>
          <w:b/>
          <w:bCs/>
          <w:color w:val="auto"/>
          <w:sz w:val="44"/>
          <w:szCs w:val="44"/>
        </w:rPr>
      </w:pPr>
      <w:r>
        <w:rPr>
          <w:rFonts w:hint="eastAsia" w:ascii="仿宋" w:hAnsi="仿宋" w:eastAsia="仿宋"/>
          <w:b/>
          <w:bCs/>
          <w:color w:val="auto"/>
          <w:sz w:val="44"/>
          <w:szCs w:val="44"/>
        </w:rPr>
        <w:t>采购文件发售登记表</w:t>
      </w:r>
    </w:p>
    <w:p>
      <w:pPr>
        <w:rPr>
          <w:rFonts w:ascii="仿宋" w:hAnsi="仿宋" w:eastAsia="仿宋"/>
          <w:b/>
          <w:bCs/>
          <w:color w:val="auto"/>
          <w:spacing w:val="40"/>
        </w:rPr>
      </w:pPr>
    </w:p>
    <w:tbl>
      <w:tblPr>
        <w:tblStyle w:val="58"/>
        <w:tblW w:w="9174"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573"/>
        <w:gridCol w:w="1084"/>
        <w:gridCol w:w="35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948" w:type="dxa"/>
            <w:vAlign w:val="center"/>
          </w:tcPr>
          <w:p>
            <w:pPr>
              <w:jc w:val="center"/>
              <w:rPr>
                <w:rFonts w:ascii="仿宋" w:hAnsi="仿宋" w:eastAsia="仿宋"/>
                <w:color w:val="auto"/>
              </w:rPr>
            </w:pPr>
            <w:r>
              <w:rPr>
                <w:rFonts w:hint="eastAsia" w:ascii="仿宋" w:hAnsi="仿宋" w:eastAsia="仿宋"/>
                <w:color w:val="auto"/>
              </w:rPr>
              <w:t>项目号</w:t>
            </w:r>
          </w:p>
        </w:tc>
        <w:tc>
          <w:tcPr>
            <w:tcW w:w="7226" w:type="dxa"/>
            <w:gridSpan w:val="3"/>
            <w:vAlign w:val="center"/>
          </w:tcPr>
          <w:p>
            <w:pPr>
              <w:ind w:firstLine="2800" w:firstLineChars="1000"/>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ascii="仿宋" w:hAnsi="仿宋" w:eastAsia="仿宋"/>
                <w:color w:val="auto"/>
              </w:rPr>
            </w:pPr>
            <w:r>
              <w:rPr>
                <w:rFonts w:hint="eastAsia" w:ascii="仿宋" w:hAnsi="仿宋" w:eastAsia="仿宋"/>
                <w:color w:val="auto"/>
              </w:rPr>
              <w:t>项目名称</w:t>
            </w:r>
          </w:p>
        </w:tc>
        <w:tc>
          <w:tcPr>
            <w:tcW w:w="7226" w:type="dxa"/>
            <w:gridSpan w:val="3"/>
            <w:vAlign w:val="center"/>
          </w:tcPr>
          <w:p>
            <w:pPr>
              <w:spacing w:line="360" w:lineRule="exact"/>
              <w:jc w:val="center"/>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ascii="仿宋" w:hAnsi="仿宋" w:eastAsia="仿宋"/>
                <w:color w:val="auto"/>
              </w:rPr>
            </w:pPr>
            <w:r>
              <w:rPr>
                <w:rFonts w:hint="eastAsia" w:ascii="仿宋" w:hAnsi="仿宋" w:eastAsia="仿宋"/>
                <w:color w:val="auto"/>
              </w:rPr>
              <w:t>分包号</w:t>
            </w:r>
          </w:p>
        </w:tc>
        <w:tc>
          <w:tcPr>
            <w:tcW w:w="7226" w:type="dxa"/>
            <w:gridSpan w:val="3"/>
            <w:vAlign w:val="bottom"/>
          </w:tcPr>
          <w:p>
            <w:pPr>
              <w:spacing w:line="360" w:lineRule="exact"/>
              <w:jc w:val="right"/>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ascii="仿宋" w:hAnsi="仿宋" w:eastAsia="仿宋"/>
                <w:color w:val="auto"/>
              </w:rPr>
            </w:pPr>
            <w:r>
              <w:rPr>
                <w:rFonts w:hint="eastAsia" w:ascii="仿宋" w:hAnsi="仿宋" w:eastAsia="仿宋"/>
                <w:color w:val="auto"/>
              </w:rPr>
              <w:t>供应商名称</w:t>
            </w:r>
          </w:p>
        </w:tc>
        <w:tc>
          <w:tcPr>
            <w:tcW w:w="7226" w:type="dxa"/>
            <w:gridSpan w:val="3"/>
            <w:vAlign w:val="bottom"/>
          </w:tcPr>
          <w:p>
            <w:pPr>
              <w:spacing w:line="360" w:lineRule="exact"/>
              <w:jc w:val="right"/>
              <w:rPr>
                <w:rFonts w:ascii="仿宋" w:hAnsi="仿宋" w:eastAsia="仿宋"/>
                <w:color w:val="auto"/>
              </w:rPr>
            </w:pPr>
            <w:r>
              <w:rPr>
                <w:rFonts w:hint="eastAsia" w:ascii="仿宋" w:hAnsi="仿宋" w:eastAsia="仿宋"/>
                <w:color w:val="auto"/>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ascii="仿宋" w:hAnsi="仿宋" w:eastAsia="仿宋"/>
                <w:color w:val="auto"/>
              </w:rPr>
            </w:pPr>
            <w:r>
              <w:rPr>
                <w:rFonts w:hint="eastAsia" w:ascii="仿宋" w:hAnsi="仿宋" w:eastAsia="仿宋"/>
                <w:color w:val="auto"/>
              </w:rPr>
              <w:t>联系人</w:t>
            </w:r>
          </w:p>
        </w:tc>
        <w:tc>
          <w:tcPr>
            <w:tcW w:w="2573" w:type="dxa"/>
            <w:vAlign w:val="center"/>
          </w:tcPr>
          <w:p>
            <w:pPr>
              <w:spacing w:line="360" w:lineRule="exact"/>
              <w:rPr>
                <w:rFonts w:ascii="仿宋" w:hAnsi="仿宋" w:eastAsia="仿宋"/>
                <w:color w:val="auto"/>
              </w:rPr>
            </w:pPr>
          </w:p>
        </w:tc>
        <w:tc>
          <w:tcPr>
            <w:tcW w:w="1084" w:type="dxa"/>
            <w:vAlign w:val="center"/>
          </w:tcPr>
          <w:p>
            <w:pPr>
              <w:spacing w:line="360" w:lineRule="exact"/>
              <w:jc w:val="center"/>
              <w:rPr>
                <w:rFonts w:ascii="仿宋" w:hAnsi="仿宋" w:eastAsia="仿宋"/>
                <w:color w:val="auto"/>
              </w:rPr>
            </w:pPr>
            <w:r>
              <w:rPr>
                <w:rFonts w:hint="eastAsia" w:ascii="仿宋" w:hAnsi="仿宋" w:eastAsia="仿宋"/>
                <w:color w:val="auto"/>
              </w:rPr>
              <w:t>手机</w:t>
            </w:r>
          </w:p>
        </w:tc>
        <w:tc>
          <w:tcPr>
            <w:tcW w:w="3569" w:type="dxa"/>
            <w:vAlign w:val="center"/>
          </w:tcPr>
          <w:p>
            <w:pPr>
              <w:spacing w:line="360" w:lineRule="exact"/>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ascii="仿宋" w:hAnsi="仿宋" w:eastAsia="仿宋"/>
                <w:color w:val="auto"/>
              </w:rPr>
            </w:pPr>
            <w:r>
              <w:rPr>
                <w:rFonts w:hint="eastAsia" w:ascii="仿宋" w:hAnsi="仿宋" w:eastAsia="仿宋"/>
                <w:color w:val="auto"/>
              </w:rPr>
              <w:t>办公电话</w:t>
            </w:r>
          </w:p>
        </w:tc>
        <w:tc>
          <w:tcPr>
            <w:tcW w:w="2573" w:type="dxa"/>
            <w:vAlign w:val="center"/>
          </w:tcPr>
          <w:p>
            <w:pPr>
              <w:spacing w:line="360" w:lineRule="exact"/>
              <w:rPr>
                <w:rFonts w:ascii="仿宋" w:hAnsi="仿宋" w:eastAsia="仿宋"/>
                <w:color w:val="auto"/>
              </w:rPr>
            </w:pPr>
          </w:p>
        </w:tc>
        <w:tc>
          <w:tcPr>
            <w:tcW w:w="1084" w:type="dxa"/>
            <w:vAlign w:val="center"/>
          </w:tcPr>
          <w:p>
            <w:pPr>
              <w:spacing w:line="360" w:lineRule="exact"/>
              <w:jc w:val="center"/>
              <w:rPr>
                <w:rFonts w:ascii="仿宋" w:hAnsi="仿宋" w:eastAsia="仿宋"/>
                <w:color w:val="auto"/>
              </w:rPr>
            </w:pPr>
            <w:r>
              <w:rPr>
                <w:rFonts w:hint="eastAsia" w:ascii="仿宋" w:hAnsi="仿宋" w:eastAsia="仿宋"/>
                <w:color w:val="auto"/>
              </w:rPr>
              <w:t>传真</w:t>
            </w:r>
          </w:p>
        </w:tc>
        <w:tc>
          <w:tcPr>
            <w:tcW w:w="3569" w:type="dxa"/>
            <w:vAlign w:val="center"/>
          </w:tcPr>
          <w:p>
            <w:pPr>
              <w:spacing w:line="360" w:lineRule="exact"/>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ascii="仿宋" w:hAnsi="仿宋" w:eastAsia="仿宋"/>
                <w:color w:val="auto"/>
              </w:rPr>
            </w:pPr>
            <w:r>
              <w:rPr>
                <w:rFonts w:hint="eastAsia" w:ascii="仿宋" w:hAnsi="仿宋" w:eastAsia="仿宋"/>
                <w:color w:val="auto"/>
              </w:rPr>
              <w:t>E-mail</w:t>
            </w:r>
          </w:p>
        </w:tc>
        <w:tc>
          <w:tcPr>
            <w:tcW w:w="7226" w:type="dxa"/>
            <w:gridSpan w:val="3"/>
            <w:vAlign w:val="center"/>
          </w:tcPr>
          <w:p>
            <w:pPr>
              <w:spacing w:line="360" w:lineRule="exact"/>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ascii="仿宋" w:hAnsi="仿宋" w:eastAsia="仿宋"/>
                <w:color w:val="auto"/>
              </w:rPr>
            </w:pPr>
            <w:r>
              <w:rPr>
                <w:rFonts w:hint="eastAsia" w:ascii="仿宋" w:hAnsi="仿宋" w:eastAsia="仿宋"/>
                <w:color w:val="auto"/>
              </w:rPr>
              <w:t>单位地址</w:t>
            </w:r>
          </w:p>
        </w:tc>
        <w:tc>
          <w:tcPr>
            <w:tcW w:w="7226" w:type="dxa"/>
            <w:gridSpan w:val="3"/>
            <w:vAlign w:val="center"/>
          </w:tcPr>
          <w:p>
            <w:pPr>
              <w:spacing w:line="360" w:lineRule="exact"/>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74" w:type="dxa"/>
            <w:gridSpan w:val="4"/>
            <w:vAlign w:val="center"/>
          </w:tcPr>
          <w:p>
            <w:pPr>
              <w:jc w:val="center"/>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74" w:type="dxa"/>
            <w:gridSpan w:val="4"/>
            <w:vAlign w:val="center"/>
          </w:tcPr>
          <w:p>
            <w:pPr>
              <w:rPr>
                <w:rFonts w:ascii="仿宋" w:hAnsi="仿宋" w:eastAsia="仿宋"/>
                <w:color w:val="auto"/>
              </w:rPr>
            </w:pPr>
            <w:r>
              <w:rPr>
                <w:rFonts w:hint="eastAsia" w:ascii="仿宋" w:hAnsi="仿宋" w:eastAsia="仿宋"/>
                <w:color w:val="auto"/>
              </w:rPr>
              <w:t>招标文件售价：人民币</w:t>
            </w:r>
            <w:r>
              <w:rPr>
                <w:rFonts w:hint="eastAsia" w:ascii="仿宋" w:hAnsi="仿宋" w:eastAsia="仿宋"/>
                <w:color w:val="auto"/>
                <w:u w:val="single"/>
              </w:rPr>
              <w:t>300</w:t>
            </w:r>
            <w:r>
              <w:rPr>
                <w:rFonts w:hint="eastAsia" w:ascii="仿宋" w:hAnsi="仿宋" w:eastAsia="仿宋"/>
                <w:color w:val="auto"/>
              </w:rPr>
              <w:t>元/份</w:t>
            </w:r>
          </w:p>
        </w:tc>
      </w:tr>
    </w:tbl>
    <w:p>
      <w:pPr>
        <w:rPr>
          <w:rFonts w:ascii="仿宋" w:hAnsi="仿宋" w:eastAsia="仿宋"/>
          <w:color w:val="auto"/>
        </w:rPr>
      </w:pPr>
      <w:r>
        <w:rPr>
          <w:rFonts w:hint="eastAsia" w:ascii="仿宋" w:hAnsi="仿宋" w:eastAsia="仿宋"/>
          <w:color w:val="auto"/>
        </w:rPr>
        <w:t xml:space="preserve">   发售人：                财务：                    日期：</w:t>
      </w:r>
    </w:p>
    <w:p>
      <w:pPr>
        <w:pStyle w:val="23"/>
        <w:rPr>
          <w:rFonts w:ascii="仿宋" w:hAnsi="仿宋" w:eastAsia="仿宋"/>
          <w:color w:val="auto"/>
        </w:rPr>
      </w:pPr>
    </w:p>
    <w:p>
      <w:pPr>
        <w:pStyle w:val="231"/>
        <w:rPr>
          <w:rFonts w:ascii="仿宋" w:hAnsi="仿宋" w:eastAsia="仿宋"/>
          <w:color w:val="auto"/>
        </w:rPr>
      </w:pPr>
    </w:p>
    <w:p>
      <w:pPr>
        <w:spacing w:line="360" w:lineRule="auto"/>
        <w:ind w:firstLine="420" w:firstLineChars="150"/>
        <w:rPr>
          <w:rFonts w:ascii="仿宋" w:hAnsi="仿宋" w:eastAsia="仿宋"/>
          <w:color w:val="auto"/>
        </w:rPr>
      </w:pPr>
      <w:r>
        <w:rPr>
          <w:rFonts w:hint="eastAsia" w:ascii="仿宋" w:hAnsi="仿宋" w:eastAsia="仿宋"/>
          <w:color w:val="auto"/>
        </w:rPr>
        <w:t>备注：现金购买招标文件的供应商，在招标文件发售期内到采购代理机构处递交发售登记表（加盖供应商公章），由发售人签字后购买招标文件。</w:t>
      </w:r>
    </w:p>
    <w:p>
      <w:pPr>
        <w:spacing w:line="360" w:lineRule="auto"/>
        <w:ind w:firstLine="560" w:firstLineChars="200"/>
        <w:jc w:val="center"/>
        <w:outlineLvl w:val="0"/>
        <w:rPr>
          <w:rFonts w:ascii="仿宋" w:hAnsi="仿宋" w:eastAsia="仿宋"/>
          <w:color w:val="auto"/>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00"/>
    <w:family w:val="decorative"/>
    <w:pitch w:val="default"/>
    <w:sig w:usb0="00000000" w:usb1="00000000" w:usb2="00000000" w:usb3="00000000" w:csb0="80000000" w:csb1="00000000"/>
  </w:font>
  <w:font w:name="仿宋_GB2312">
    <w:altName w:val="仿宋"/>
    <w:panose1 w:val="020B0604020202020204"/>
    <w:charset w:val="86"/>
    <w:family w:val="modern"/>
    <w:pitch w:val="default"/>
    <w:sig w:usb0="00000000" w:usb1="00000000" w:usb2="00000010" w:usb3="00000000" w:csb0="00040000" w:csb1="00000000"/>
    <w:embedRegular r:id="rId1" w:fontKey="{D1936EEF-4D16-4F08-ABF7-0EE29282AB21}"/>
  </w:font>
  <w:font w:name="PMingLiU">
    <w:altName w:val="PMingLiU-ExtB"/>
    <w:panose1 w:val="02020500000000000000"/>
    <w:charset w:val="88"/>
    <w:family w:val="roman"/>
    <w:pitch w:val="default"/>
    <w:sig w:usb0="00000000" w:usb1="00000000"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文鼎粗黑">
    <w:altName w:val="新宋体"/>
    <w:panose1 w:val="020B0604020202020204"/>
    <w:charset w:val="86"/>
    <w:family w:val="modern"/>
    <w:pitch w:val="default"/>
    <w:sig w:usb0="00000000" w:usb1="00000000" w:usb2="00000010" w:usb3="00000000" w:csb0="00040000" w:csb1="00000000"/>
  </w:font>
  <w:font w:name="昆仑楷体">
    <w:altName w:val="宋体"/>
    <w:panose1 w:val="020B0604020202020204"/>
    <w:charset w:val="86"/>
    <w:family w:val="modern"/>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C3CA9EF3-3B4A-4C38-85D1-FA032E68E403}"/>
  </w:font>
  <w:font w:name="等线">
    <w:panose1 w:val="02010600030101010101"/>
    <w:charset w:val="86"/>
    <w:family w:val="auto"/>
    <w:pitch w:val="default"/>
    <w:sig w:usb0="A00002BF" w:usb1="38CF7CFA" w:usb2="00000016" w:usb3="00000000" w:csb0="0004000F" w:csb1="00000000"/>
    <w:embedRegular r:id="rId3" w:fontKey="{59BD6222-2CCB-40B5-88F3-CCB7E3E272D1}"/>
  </w:font>
  <w:font w:name="微软雅黑">
    <w:panose1 w:val="020B0503020204020204"/>
    <w:charset w:val="86"/>
    <w:family w:val="swiss"/>
    <w:pitch w:val="default"/>
    <w:sig w:usb0="80000287" w:usb1="2ACF3C50" w:usb2="00000016" w:usb3="00000000" w:csb0="0004001F" w:csb1="00000000"/>
    <w:embedRegular r:id="rId4" w:fontKey="{0E931192-A12B-44CD-800B-F50331C49AFF}"/>
  </w:font>
  <w:font w:name="方正仿宋_GBK">
    <w:altName w:val="微软雅黑"/>
    <w:panose1 w:val="020B0604020202020204"/>
    <w:charset w:val="86"/>
    <w:family w:val="script"/>
    <w:pitch w:val="default"/>
    <w:sig w:usb0="00000000" w:usb1="00000000" w:usb2="00000000" w:usb3="00000000" w:csb0="00040000" w:csb1="00000000"/>
    <w:embedRegular r:id="rId5" w:fontKey="{DA8E41C2-7F98-4F04-8C0E-F504A9D1D931}"/>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- 5 -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- 30 -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仿宋" w:hAnsi="仿宋" w:eastAsia="仿宋"/>
        <w:sz w:val="22"/>
        <w:szCs w:val="22"/>
      </w:rPr>
    </w:pPr>
    <w:r>
      <w:rPr>
        <w:rFonts w:hint="eastAsia" w:ascii="仿宋" w:hAnsi="仿宋" w:eastAsia="仿宋"/>
        <w:sz w:val="22"/>
        <w:szCs w:val="22"/>
      </w:rPr>
      <w:t>重庆市汇昊招标代理有限公司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仿宋" w:hAnsi="仿宋" w:eastAsia="仿宋"/>
        <w:sz w:val="22"/>
        <w:szCs w:val="22"/>
      </w:rPr>
    </w:pPr>
    <w:r>
      <w:rPr>
        <w:rFonts w:hint="eastAsia" w:ascii="仿宋" w:hAnsi="仿宋" w:eastAsia="仿宋"/>
        <w:sz w:val="22"/>
        <w:szCs w:val="22"/>
      </w:rPr>
      <w:t>重庆市汇昊招标代理有限公司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upperLetter"/>
      <w:pStyle w:val="16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19"/>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144"/>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2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19"/>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5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8019AB9"/>
    <w:multiLevelType w:val="singleLevel"/>
    <w:tmpl w:val="58019AB9"/>
    <w:lvl w:ilvl="0" w:tentative="0">
      <w:start w:val="3"/>
      <w:numFmt w:val="decimal"/>
      <w:suff w:val="nothing"/>
      <w:lvlText w:val="%1、"/>
      <w:lvlJc w:val="left"/>
    </w:lvl>
  </w:abstractNum>
  <w:num w:numId="1">
    <w:abstractNumId w:val="4"/>
  </w:num>
  <w:num w:numId="2">
    <w:abstractNumId w:val="8"/>
  </w:num>
  <w:num w:numId="3">
    <w:abstractNumId w:val="5"/>
  </w:num>
  <w:num w:numId="4">
    <w:abstractNumId w:val="9"/>
  </w:num>
  <w:num w:numId="5">
    <w:abstractNumId w:val="2"/>
  </w:num>
  <w:num w:numId="6">
    <w:abstractNumId w:val="0"/>
  </w:num>
  <w:num w:numId="7">
    <w:abstractNumId w:val="1"/>
  </w:num>
  <w:num w:numId="8">
    <w:abstractNumId w:val="3"/>
  </w:num>
  <w:num w:numId="9">
    <w:abstractNumId w:val="11"/>
  </w:num>
  <w:num w:numId="10">
    <w:abstractNumId w:val="7"/>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Y2I1NmZhNGJmNmVlNmQ2MjAxMDAyOTQ0MzEyODMifQ=="/>
  </w:docVars>
  <w:rsids>
    <w:rsidRoot w:val="00172A27"/>
    <w:rsid w:val="000014C5"/>
    <w:rsid w:val="00002AE4"/>
    <w:rsid w:val="00003626"/>
    <w:rsid w:val="000040DE"/>
    <w:rsid w:val="000070F0"/>
    <w:rsid w:val="000075E8"/>
    <w:rsid w:val="00011B4B"/>
    <w:rsid w:val="00016B79"/>
    <w:rsid w:val="00017816"/>
    <w:rsid w:val="00032ACA"/>
    <w:rsid w:val="000330EE"/>
    <w:rsid w:val="00035FE8"/>
    <w:rsid w:val="0003632F"/>
    <w:rsid w:val="00043835"/>
    <w:rsid w:val="000469EB"/>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1B24"/>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5BB5"/>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608"/>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C2C97"/>
    <w:rsid w:val="001D0DF7"/>
    <w:rsid w:val="001D1038"/>
    <w:rsid w:val="001D2321"/>
    <w:rsid w:val="001D2DCD"/>
    <w:rsid w:val="001D5055"/>
    <w:rsid w:val="001D630C"/>
    <w:rsid w:val="001E1467"/>
    <w:rsid w:val="001E1A2F"/>
    <w:rsid w:val="001E201B"/>
    <w:rsid w:val="001E5167"/>
    <w:rsid w:val="001E5CAC"/>
    <w:rsid w:val="001E64A9"/>
    <w:rsid w:val="001E6841"/>
    <w:rsid w:val="001E725F"/>
    <w:rsid w:val="001F1AF5"/>
    <w:rsid w:val="001F1AF7"/>
    <w:rsid w:val="001F4964"/>
    <w:rsid w:val="001F4A96"/>
    <w:rsid w:val="001F7063"/>
    <w:rsid w:val="002022B8"/>
    <w:rsid w:val="00202B04"/>
    <w:rsid w:val="00203052"/>
    <w:rsid w:val="00204936"/>
    <w:rsid w:val="002049D5"/>
    <w:rsid w:val="00206AE4"/>
    <w:rsid w:val="002100EE"/>
    <w:rsid w:val="00210168"/>
    <w:rsid w:val="00210A3E"/>
    <w:rsid w:val="00210ED7"/>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529E0"/>
    <w:rsid w:val="00254E1A"/>
    <w:rsid w:val="00256F0F"/>
    <w:rsid w:val="00262555"/>
    <w:rsid w:val="002643C1"/>
    <w:rsid w:val="00265203"/>
    <w:rsid w:val="00270223"/>
    <w:rsid w:val="0027199E"/>
    <w:rsid w:val="00271D47"/>
    <w:rsid w:val="002721EA"/>
    <w:rsid w:val="002752BA"/>
    <w:rsid w:val="00280E8A"/>
    <w:rsid w:val="00285164"/>
    <w:rsid w:val="002855B0"/>
    <w:rsid w:val="00286959"/>
    <w:rsid w:val="0029119E"/>
    <w:rsid w:val="00295FA5"/>
    <w:rsid w:val="00297A6F"/>
    <w:rsid w:val="00297B00"/>
    <w:rsid w:val="002A4956"/>
    <w:rsid w:val="002A6710"/>
    <w:rsid w:val="002A7778"/>
    <w:rsid w:val="002B1FDA"/>
    <w:rsid w:val="002B2ACF"/>
    <w:rsid w:val="002B578B"/>
    <w:rsid w:val="002B5ECC"/>
    <w:rsid w:val="002B7904"/>
    <w:rsid w:val="002B7C2E"/>
    <w:rsid w:val="002C2507"/>
    <w:rsid w:val="002C2E6E"/>
    <w:rsid w:val="002C3A3D"/>
    <w:rsid w:val="002C7927"/>
    <w:rsid w:val="002D41FF"/>
    <w:rsid w:val="002D608F"/>
    <w:rsid w:val="002D7053"/>
    <w:rsid w:val="002D7208"/>
    <w:rsid w:val="002D7725"/>
    <w:rsid w:val="002E0CC2"/>
    <w:rsid w:val="002E3527"/>
    <w:rsid w:val="002E3824"/>
    <w:rsid w:val="002E6587"/>
    <w:rsid w:val="002E78F7"/>
    <w:rsid w:val="002F031F"/>
    <w:rsid w:val="002F0ED3"/>
    <w:rsid w:val="002F3278"/>
    <w:rsid w:val="002F3DE3"/>
    <w:rsid w:val="002F523F"/>
    <w:rsid w:val="002F632E"/>
    <w:rsid w:val="00300E20"/>
    <w:rsid w:val="003021BC"/>
    <w:rsid w:val="0030440F"/>
    <w:rsid w:val="00310AF9"/>
    <w:rsid w:val="00310DAA"/>
    <w:rsid w:val="0031465E"/>
    <w:rsid w:val="00314D16"/>
    <w:rsid w:val="00315742"/>
    <w:rsid w:val="003163B3"/>
    <w:rsid w:val="003200C6"/>
    <w:rsid w:val="00322A7A"/>
    <w:rsid w:val="00326C5B"/>
    <w:rsid w:val="003336F0"/>
    <w:rsid w:val="0033663D"/>
    <w:rsid w:val="003366D9"/>
    <w:rsid w:val="00340777"/>
    <w:rsid w:val="00341D8A"/>
    <w:rsid w:val="00341DEB"/>
    <w:rsid w:val="00344EC4"/>
    <w:rsid w:val="00346A3D"/>
    <w:rsid w:val="00350510"/>
    <w:rsid w:val="00350C20"/>
    <w:rsid w:val="003548FA"/>
    <w:rsid w:val="00355643"/>
    <w:rsid w:val="00355A74"/>
    <w:rsid w:val="0035764D"/>
    <w:rsid w:val="00361427"/>
    <w:rsid w:val="00363702"/>
    <w:rsid w:val="0036458B"/>
    <w:rsid w:val="0036680C"/>
    <w:rsid w:val="003703E8"/>
    <w:rsid w:val="00371D2F"/>
    <w:rsid w:val="00373122"/>
    <w:rsid w:val="00374646"/>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35F02"/>
    <w:rsid w:val="0044185A"/>
    <w:rsid w:val="0044193A"/>
    <w:rsid w:val="00447DE9"/>
    <w:rsid w:val="00453B8F"/>
    <w:rsid w:val="004556B7"/>
    <w:rsid w:val="00460489"/>
    <w:rsid w:val="004608C7"/>
    <w:rsid w:val="00461786"/>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77C"/>
    <w:rsid w:val="004A3995"/>
    <w:rsid w:val="004B3AB3"/>
    <w:rsid w:val="004C1DD0"/>
    <w:rsid w:val="004C2685"/>
    <w:rsid w:val="004C64E4"/>
    <w:rsid w:val="004C6673"/>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32734"/>
    <w:rsid w:val="00534FCD"/>
    <w:rsid w:val="005406A0"/>
    <w:rsid w:val="00540E03"/>
    <w:rsid w:val="00541D5F"/>
    <w:rsid w:val="00544BEA"/>
    <w:rsid w:val="005460D5"/>
    <w:rsid w:val="00553CF0"/>
    <w:rsid w:val="00557C75"/>
    <w:rsid w:val="00566A85"/>
    <w:rsid w:val="00570C78"/>
    <w:rsid w:val="00573AE3"/>
    <w:rsid w:val="00581EF9"/>
    <w:rsid w:val="00583690"/>
    <w:rsid w:val="005902D9"/>
    <w:rsid w:val="0059075F"/>
    <w:rsid w:val="00596AB7"/>
    <w:rsid w:val="005A1B5C"/>
    <w:rsid w:val="005A1EA7"/>
    <w:rsid w:val="005A6A12"/>
    <w:rsid w:val="005B0724"/>
    <w:rsid w:val="005B1E46"/>
    <w:rsid w:val="005B5AA4"/>
    <w:rsid w:val="005C3F4B"/>
    <w:rsid w:val="005C42AC"/>
    <w:rsid w:val="005C4F84"/>
    <w:rsid w:val="005C7F13"/>
    <w:rsid w:val="005D2EC6"/>
    <w:rsid w:val="005D37D0"/>
    <w:rsid w:val="005D41E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32107"/>
    <w:rsid w:val="0063644D"/>
    <w:rsid w:val="006365AA"/>
    <w:rsid w:val="0064583B"/>
    <w:rsid w:val="006468B8"/>
    <w:rsid w:val="00651127"/>
    <w:rsid w:val="0065156B"/>
    <w:rsid w:val="0065190C"/>
    <w:rsid w:val="006542F1"/>
    <w:rsid w:val="00654A48"/>
    <w:rsid w:val="0065651B"/>
    <w:rsid w:val="0066239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9529A"/>
    <w:rsid w:val="006A100B"/>
    <w:rsid w:val="006A143A"/>
    <w:rsid w:val="006A3285"/>
    <w:rsid w:val="006A4C56"/>
    <w:rsid w:val="006B0567"/>
    <w:rsid w:val="006B4535"/>
    <w:rsid w:val="006B524C"/>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1D90"/>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2B69"/>
    <w:rsid w:val="007E517D"/>
    <w:rsid w:val="007E6B86"/>
    <w:rsid w:val="007F6769"/>
    <w:rsid w:val="007F74FE"/>
    <w:rsid w:val="008041D4"/>
    <w:rsid w:val="00806938"/>
    <w:rsid w:val="00807818"/>
    <w:rsid w:val="0081156A"/>
    <w:rsid w:val="00827398"/>
    <w:rsid w:val="008275B6"/>
    <w:rsid w:val="0083653E"/>
    <w:rsid w:val="008369DC"/>
    <w:rsid w:val="00842974"/>
    <w:rsid w:val="00842F87"/>
    <w:rsid w:val="00843A88"/>
    <w:rsid w:val="00843D2E"/>
    <w:rsid w:val="008541ED"/>
    <w:rsid w:val="0085550A"/>
    <w:rsid w:val="008616EF"/>
    <w:rsid w:val="00861BF5"/>
    <w:rsid w:val="00863C25"/>
    <w:rsid w:val="008641B7"/>
    <w:rsid w:val="00864D80"/>
    <w:rsid w:val="00864DC1"/>
    <w:rsid w:val="00870530"/>
    <w:rsid w:val="008705BC"/>
    <w:rsid w:val="00871999"/>
    <w:rsid w:val="00872E27"/>
    <w:rsid w:val="00875A42"/>
    <w:rsid w:val="0087653C"/>
    <w:rsid w:val="0088192C"/>
    <w:rsid w:val="008904A8"/>
    <w:rsid w:val="00891D94"/>
    <w:rsid w:val="00892F51"/>
    <w:rsid w:val="00896589"/>
    <w:rsid w:val="008A0CEE"/>
    <w:rsid w:val="008A19AF"/>
    <w:rsid w:val="008A20FB"/>
    <w:rsid w:val="008A4D88"/>
    <w:rsid w:val="008C1B22"/>
    <w:rsid w:val="008C4C84"/>
    <w:rsid w:val="008C510F"/>
    <w:rsid w:val="008D067F"/>
    <w:rsid w:val="008D3283"/>
    <w:rsid w:val="008E420B"/>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5032"/>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5405"/>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0C33"/>
    <w:rsid w:val="00A37A20"/>
    <w:rsid w:val="00A445DC"/>
    <w:rsid w:val="00A44BEA"/>
    <w:rsid w:val="00A47C22"/>
    <w:rsid w:val="00A519B8"/>
    <w:rsid w:val="00A55B14"/>
    <w:rsid w:val="00A5689C"/>
    <w:rsid w:val="00A569E8"/>
    <w:rsid w:val="00A57FAF"/>
    <w:rsid w:val="00A601C4"/>
    <w:rsid w:val="00A61D6E"/>
    <w:rsid w:val="00A70193"/>
    <w:rsid w:val="00A711C6"/>
    <w:rsid w:val="00A730F3"/>
    <w:rsid w:val="00A74B68"/>
    <w:rsid w:val="00A771C1"/>
    <w:rsid w:val="00A77EE1"/>
    <w:rsid w:val="00A84863"/>
    <w:rsid w:val="00A871C6"/>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35EC"/>
    <w:rsid w:val="00AC4898"/>
    <w:rsid w:val="00AC48B3"/>
    <w:rsid w:val="00AC60BA"/>
    <w:rsid w:val="00AC7893"/>
    <w:rsid w:val="00AC7AC9"/>
    <w:rsid w:val="00AD1C54"/>
    <w:rsid w:val="00AE1920"/>
    <w:rsid w:val="00AE76F8"/>
    <w:rsid w:val="00AF01B3"/>
    <w:rsid w:val="00AF0F13"/>
    <w:rsid w:val="00AF7992"/>
    <w:rsid w:val="00AF79D7"/>
    <w:rsid w:val="00AF7CDD"/>
    <w:rsid w:val="00B00AB3"/>
    <w:rsid w:val="00B14C52"/>
    <w:rsid w:val="00B200AA"/>
    <w:rsid w:val="00B203A9"/>
    <w:rsid w:val="00B229A5"/>
    <w:rsid w:val="00B2488E"/>
    <w:rsid w:val="00B25EB3"/>
    <w:rsid w:val="00B42056"/>
    <w:rsid w:val="00B478C3"/>
    <w:rsid w:val="00B52715"/>
    <w:rsid w:val="00B61308"/>
    <w:rsid w:val="00B61348"/>
    <w:rsid w:val="00B6263F"/>
    <w:rsid w:val="00B661E4"/>
    <w:rsid w:val="00B67114"/>
    <w:rsid w:val="00B678C7"/>
    <w:rsid w:val="00B70368"/>
    <w:rsid w:val="00B7097C"/>
    <w:rsid w:val="00B72BCC"/>
    <w:rsid w:val="00B75449"/>
    <w:rsid w:val="00B75F63"/>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153F"/>
    <w:rsid w:val="00C529FD"/>
    <w:rsid w:val="00C53124"/>
    <w:rsid w:val="00C538A9"/>
    <w:rsid w:val="00C53B2E"/>
    <w:rsid w:val="00C6160A"/>
    <w:rsid w:val="00C62B51"/>
    <w:rsid w:val="00C65711"/>
    <w:rsid w:val="00C66460"/>
    <w:rsid w:val="00C76ECD"/>
    <w:rsid w:val="00C8221C"/>
    <w:rsid w:val="00C84B63"/>
    <w:rsid w:val="00C84E04"/>
    <w:rsid w:val="00C851EF"/>
    <w:rsid w:val="00C86DC6"/>
    <w:rsid w:val="00C910BE"/>
    <w:rsid w:val="00C922BE"/>
    <w:rsid w:val="00CA0C1E"/>
    <w:rsid w:val="00CA10F9"/>
    <w:rsid w:val="00CA14F4"/>
    <w:rsid w:val="00CA583F"/>
    <w:rsid w:val="00CA5844"/>
    <w:rsid w:val="00CA7415"/>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9EC"/>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14E6"/>
    <w:rsid w:val="00E6234F"/>
    <w:rsid w:val="00E63F04"/>
    <w:rsid w:val="00E67AC7"/>
    <w:rsid w:val="00E7134F"/>
    <w:rsid w:val="00E7342C"/>
    <w:rsid w:val="00E736E9"/>
    <w:rsid w:val="00E76363"/>
    <w:rsid w:val="00E86423"/>
    <w:rsid w:val="00E90BE3"/>
    <w:rsid w:val="00E91374"/>
    <w:rsid w:val="00E91D81"/>
    <w:rsid w:val="00E92BC2"/>
    <w:rsid w:val="00EA010E"/>
    <w:rsid w:val="00EA28AB"/>
    <w:rsid w:val="00EA6FBF"/>
    <w:rsid w:val="00EB1E33"/>
    <w:rsid w:val="00EB4DA6"/>
    <w:rsid w:val="00EB7B0A"/>
    <w:rsid w:val="00EC0881"/>
    <w:rsid w:val="00EC74F9"/>
    <w:rsid w:val="00ED1025"/>
    <w:rsid w:val="00ED13DE"/>
    <w:rsid w:val="00ED1996"/>
    <w:rsid w:val="00ED2843"/>
    <w:rsid w:val="00ED2F55"/>
    <w:rsid w:val="00ED5ED8"/>
    <w:rsid w:val="00EE0C95"/>
    <w:rsid w:val="00EE3F0F"/>
    <w:rsid w:val="00EF0199"/>
    <w:rsid w:val="00F0263C"/>
    <w:rsid w:val="00F0402A"/>
    <w:rsid w:val="00F07266"/>
    <w:rsid w:val="00F16313"/>
    <w:rsid w:val="00F169C8"/>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4763F"/>
    <w:rsid w:val="00F56399"/>
    <w:rsid w:val="00F606BB"/>
    <w:rsid w:val="00F70113"/>
    <w:rsid w:val="00F746E3"/>
    <w:rsid w:val="00F76C17"/>
    <w:rsid w:val="00F7709C"/>
    <w:rsid w:val="00F7750A"/>
    <w:rsid w:val="00F80006"/>
    <w:rsid w:val="00F80084"/>
    <w:rsid w:val="00F836A8"/>
    <w:rsid w:val="00F95676"/>
    <w:rsid w:val="00F96401"/>
    <w:rsid w:val="00F9690B"/>
    <w:rsid w:val="00F97840"/>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748B"/>
    <w:rsid w:val="01BF4990"/>
    <w:rsid w:val="01C877CF"/>
    <w:rsid w:val="05D22333"/>
    <w:rsid w:val="0DCC3F10"/>
    <w:rsid w:val="147A5E14"/>
    <w:rsid w:val="176C6B6E"/>
    <w:rsid w:val="17A1211B"/>
    <w:rsid w:val="18ED7A84"/>
    <w:rsid w:val="198C5B93"/>
    <w:rsid w:val="1A360275"/>
    <w:rsid w:val="1A5F340B"/>
    <w:rsid w:val="1E8F5D8D"/>
    <w:rsid w:val="20217A4B"/>
    <w:rsid w:val="21864056"/>
    <w:rsid w:val="22273030"/>
    <w:rsid w:val="23CB49C1"/>
    <w:rsid w:val="29105C46"/>
    <w:rsid w:val="2AA01F44"/>
    <w:rsid w:val="36077FF9"/>
    <w:rsid w:val="3FED268A"/>
    <w:rsid w:val="406334F2"/>
    <w:rsid w:val="452C7897"/>
    <w:rsid w:val="47B20417"/>
    <w:rsid w:val="497B7CB3"/>
    <w:rsid w:val="49D43CDE"/>
    <w:rsid w:val="4B2D12E0"/>
    <w:rsid w:val="4BEB6B31"/>
    <w:rsid w:val="4DD36371"/>
    <w:rsid w:val="4FD11AAE"/>
    <w:rsid w:val="503E2ADB"/>
    <w:rsid w:val="52D92ACB"/>
    <w:rsid w:val="53B4776F"/>
    <w:rsid w:val="5B7B3233"/>
    <w:rsid w:val="5C275188"/>
    <w:rsid w:val="5CA67F0E"/>
    <w:rsid w:val="5D565474"/>
    <w:rsid w:val="617F2475"/>
    <w:rsid w:val="65E30325"/>
    <w:rsid w:val="6A627ABC"/>
    <w:rsid w:val="6FE969BF"/>
    <w:rsid w:val="74D70DF7"/>
    <w:rsid w:val="77B53CD1"/>
    <w:rsid w:val="789F3DA6"/>
    <w:rsid w:val="78A52377"/>
    <w:rsid w:val="7B5B7497"/>
    <w:rsid w:val="7F320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39" w:semiHidden="0" w:name="toc 2"/>
    <w:lsdException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6"/>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103"/>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semiHidden/>
    <w:unhideWhenUsed/>
    <w:uiPriority w:val="99"/>
    <w:tblPr>
      <w:tblLayout w:type="fixed"/>
      <w:tblCellMar>
        <w:top w:w="0" w:type="dxa"/>
        <w:left w:w="108" w:type="dxa"/>
        <w:bottom w:w="0" w:type="dxa"/>
        <w:right w:w="108" w:type="dxa"/>
      </w:tblCellMar>
    </w:tblPr>
  </w:style>
  <w:style w:type="paragraph" w:customStyle="1" w:styleId="2">
    <w:name w:val="首行缩进"/>
    <w:basedOn w:val="1"/>
    <w:uiPriority w:val="0"/>
    <w:pPr>
      <w:numPr>
        <w:ilvl w:val="0"/>
        <w:numId w:val="1"/>
      </w:numPr>
      <w:spacing w:line="360" w:lineRule="auto"/>
    </w:pPr>
    <w:rPr>
      <w:rFonts w:eastAsia="仿宋_GB231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2"/>
      </w:numPr>
      <w:tabs>
        <w:tab w:val="left" w:pos="780"/>
        <w:tab w:val="clear" w:pos="425"/>
      </w:tabs>
      <w:spacing w:line="360" w:lineRule="auto"/>
    </w:pPr>
    <w:rPr>
      <w:sz w:val="24"/>
    </w:rPr>
  </w:style>
  <w:style w:type="paragraph" w:styleId="15">
    <w:name w:val="List Bullet 4"/>
    <w:basedOn w:val="1"/>
    <w:qFormat/>
    <w:uiPriority w:val="0"/>
    <w:pPr>
      <w:widowControl/>
      <w:numPr>
        <w:ilvl w:val="0"/>
        <w:numId w:val="3"/>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6">
    <w:name w:val="Normal Indent"/>
    <w:basedOn w:val="1"/>
    <w:link w:val="74"/>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6"/>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next w:val="1"/>
    <w:qFormat/>
    <w:uiPriority w:val="0"/>
    <w:rPr>
      <w:rFonts w:ascii="仿宋_GB2312" w:eastAsia="仿宋_GB2312"/>
      <w:sz w:val="32"/>
    </w:rPr>
  </w:style>
  <w:style w:type="paragraph" w:styleId="24">
    <w:name w:val="Body Text Indent"/>
    <w:basedOn w:val="1"/>
    <w:link w:val="90"/>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83"/>
    <w:uiPriority w:val="0"/>
  </w:style>
  <w:style w:type="paragraph" w:styleId="34">
    <w:name w:val="Body Text Indent 2"/>
    <w:basedOn w:val="1"/>
    <w:link w:val="91"/>
    <w:qFormat/>
    <w:uiPriority w:val="0"/>
    <w:pPr>
      <w:snapToGrid w:val="0"/>
      <w:spacing w:line="560" w:lineRule="atLeast"/>
      <w:ind w:firstLine="540"/>
    </w:pPr>
  </w:style>
  <w:style w:type="paragraph" w:styleId="35">
    <w:name w:val="Balloon Text"/>
    <w:basedOn w:val="1"/>
    <w:uiPriority w:val="0"/>
    <w:rPr>
      <w:sz w:val="18"/>
    </w:rPr>
  </w:style>
  <w:style w:type="paragraph" w:styleId="36">
    <w:name w:val="footer"/>
    <w:basedOn w:val="1"/>
    <w:uiPriority w:val="0"/>
    <w:pPr>
      <w:tabs>
        <w:tab w:val="center" w:pos="4153"/>
        <w:tab w:val="right" w:pos="8306"/>
      </w:tabs>
      <w:snapToGrid w:val="0"/>
      <w:jc w:val="left"/>
    </w:pPr>
    <w:rPr>
      <w:sz w:val="18"/>
    </w:rPr>
  </w:style>
  <w:style w:type="paragraph" w:styleId="37">
    <w:name w:val="header"/>
    <w:basedOn w:val="1"/>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81"/>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uiPriority w:val="0"/>
    <w:pPr>
      <w:adjustRightInd w:val="0"/>
      <w:snapToGrid w:val="0"/>
      <w:spacing w:line="360" w:lineRule="auto"/>
      <w:ind w:left="100" w:leftChars="800" w:hanging="200" w:hangingChars="200"/>
    </w:pPr>
    <w:rPr>
      <w:sz w:val="24"/>
    </w:rPr>
  </w:style>
  <w:style w:type="paragraph" w:styleId="44">
    <w:name w:val="Body Text Indent 3"/>
    <w:basedOn w:val="1"/>
    <w:uiPriority w:val="0"/>
    <w:pPr>
      <w:spacing w:line="360" w:lineRule="auto"/>
      <w:ind w:firstLine="632"/>
    </w:pPr>
    <w:rPr>
      <w:rFonts w:ascii="黑体" w:eastAsia="黑体"/>
    </w:rPr>
  </w:style>
  <w:style w:type="paragraph" w:styleId="45">
    <w:name w:val="table of figures"/>
    <w:basedOn w:val="1"/>
    <w:next w:val="1"/>
    <w:uiPriority w:val="0"/>
    <w:pPr>
      <w:tabs>
        <w:tab w:val="right" w:leader="dot" w:pos="8640"/>
      </w:tabs>
      <w:spacing w:line="360" w:lineRule="auto"/>
      <w:ind w:left="400" w:hanging="400"/>
    </w:pPr>
    <w:rPr>
      <w:sz w:val="24"/>
    </w:rPr>
  </w:style>
  <w:style w:type="paragraph" w:styleId="46">
    <w:name w:val="toc 2"/>
    <w:basedOn w:val="1"/>
    <w:next w:val="1"/>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95"/>
    <w:qFormat/>
    <w:uiPriority w:val="0"/>
    <w:pPr>
      <w:adjustRightInd/>
      <w:spacing w:line="240" w:lineRule="auto"/>
      <w:textAlignment w:val="auto"/>
    </w:pPr>
  </w:style>
  <w:style w:type="paragraph" w:styleId="56">
    <w:name w:val="Body Text First Indent"/>
    <w:basedOn w:val="23"/>
    <w:next w:val="1"/>
    <w:uiPriority w:val="0"/>
    <w:pPr>
      <w:spacing w:line="360" w:lineRule="auto"/>
      <w:ind w:firstLine="420"/>
    </w:pPr>
    <w:rPr>
      <w:rFonts w:ascii="宋体" w:hAnsi="宋体"/>
      <w:sz w:val="24"/>
    </w:rPr>
  </w:style>
  <w:style w:type="paragraph" w:styleId="57">
    <w:name w:val="Body Text First Indent 2"/>
    <w:basedOn w:val="24"/>
    <w:link w:val="110"/>
    <w:qFormat/>
    <w:uiPriority w:val="0"/>
    <w:pPr>
      <w:spacing w:after="120" w:line="240" w:lineRule="auto"/>
      <w:ind w:left="420" w:leftChars="200" w:firstLine="420" w:firstLineChars="200"/>
    </w:pPr>
  </w:style>
  <w:style w:type="table" w:styleId="59">
    <w:name w:val="Table Grid"/>
    <w:basedOn w:val="5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1">
    <w:name w:val="Strong"/>
    <w:qFormat/>
    <w:uiPriority w:val="22"/>
    <w:rPr>
      <w:b/>
    </w:rPr>
  </w:style>
  <w:style w:type="character" w:styleId="62">
    <w:name w:val="page number"/>
    <w:uiPriority w:val="0"/>
  </w:style>
  <w:style w:type="character" w:styleId="63">
    <w:name w:val="FollowedHyperlink"/>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样式1"/>
    <w:basedOn w:val="6"/>
    <w:qFormat/>
    <w:uiPriority w:val="0"/>
    <w:pPr>
      <w:tabs>
        <w:tab w:val="left" w:pos="720"/>
      </w:tabs>
      <w:spacing w:before="500" w:after="260" w:line="560" w:lineRule="atLeast"/>
      <w:ind w:left="420" w:hanging="420"/>
    </w:pPr>
  </w:style>
  <w:style w:type="character" w:customStyle="1" w:styleId="69">
    <w:name w:val="title_emph1"/>
    <w:qFormat/>
    <w:uiPriority w:val="0"/>
    <w:rPr>
      <w:rFonts w:hint="default" w:ascii="Arial" w:hAnsi="Arial"/>
      <w:b/>
      <w:sz w:val="20"/>
    </w:rPr>
  </w:style>
  <w:style w:type="character" w:customStyle="1" w:styleId="70">
    <w:name w:val="H2 Char"/>
    <w:qFormat/>
    <w:uiPriority w:val="0"/>
    <w:rPr>
      <w:rFonts w:ascii="Arial" w:hAnsi="Arial" w:eastAsia="宋体"/>
      <w:kern w:val="2"/>
      <w:sz w:val="28"/>
      <w:lang w:val="en-US" w:eastAsia="zh-CN"/>
    </w:rPr>
  </w:style>
  <w:style w:type="character" w:customStyle="1" w:styleId="71">
    <w:name w:val="content-white1"/>
    <w:qFormat/>
    <w:uiPriority w:val="0"/>
    <w:rPr>
      <w:rFonts w:ascii="_x000B__x000C_" w:hAnsi="_x000B__x000C_"/>
      <w:color w:val="auto"/>
      <w:sz w:val="18"/>
      <w:u w:val="none"/>
    </w:rPr>
  </w:style>
  <w:style w:type="character" w:customStyle="1" w:styleId="72">
    <w:name w:val="v151"/>
    <w:qFormat/>
    <w:uiPriority w:val="0"/>
    <w:rPr>
      <w:sz w:val="18"/>
    </w:rPr>
  </w:style>
  <w:style w:type="character" w:customStyle="1" w:styleId="73">
    <w:name w:val="标题 2 字符1"/>
    <w:qFormat/>
    <w:uiPriority w:val="0"/>
    <w:rPr>
      <w:rFonts w:ascii="Arial" w:hAnsi="Arial" w:eastAsia="黑体"/>
      <w:b/>
      <w:kern w:val="2"/>
      <w:sz w:val="32"/>
    </w:rPr>
  </w:style>
  <w:style w:type="character" w:customStyle="1" w:styleId="74">
    <w:name w:val="正文缩进 字符"/>
    <w:link w:val="16"/>
    <w:uiPriority w:val="0"/>
    <w:rPr>
      <w:kern w:val="2"/>
      <w:sz w:val="24"/>
    </w:rPr>
  </w:style>
  <w:style w:type="character" w:customStyle="1" w:styleId="75">
    <w:name w:val="Char Char2"/>
    <w:qFormat/>
    <w:uiPriority w:val="0"/>
    <w:rPr>
      <w:rFonts w:eastAsia="宋体"/>
      <w:kern w:val="2"/>
      <w:sz w:val="18"/>
      <w:lang w:val="en-US" w:eastAsia="zh-CN"/>
    </w:rPr>
  </w:style>
  <w:style w:type="character" w:customStyle="1" w:styleId="76">
    <w:name w:val="批注文字 字符"/>
    <w:link w:val="20"/>
    <w:uiPriority w:val="0"/>
    <w:rPr>
      <w:sz w:val="24"/>
    </w:rPr>
  </w:style>
  <w:style w:type="character" w:customStyle="1" w:styleId="77">
    <w:name w:val="font1"/>
    <w:qFormat/>
    <w:uiPriority w:val="0"/>
    <w:rPr>
      <w:color w:val="000000"/>
      <w:sz w:val="18"/>
    </w:rPr>
  </w:style>
  <w:style w:type="character" w:customStyle="1" w:styleId="78">
    <w:name w:val="Char Char6"/>
    <w:qFormat/>
    <w:uiPriority w:val="0"/>
    <w:rPr>
      <w:rFonts w:ascii="仿宋_GB2312" w:eastAsia="仿宋_GB2312"/>
      <w:kern w:val="2"/>
      <w:sz w:val="32"/>
    </w:rPr>
  </w:style>
  <w:style w:type="character" w:customStyle="1" w:styleId="79">
    <w:name w:val="Table Text Char"/>
    <w:link w:val="80"/>
    <w:qFormat/>
    <w:uiPriority w:val="0"/>
    <w:rPr>
      <w:rFonts w:ascii="Arial" w:hAnsi="Arial"/>
      <w:kern w:val="2"/>
      <w:sz w:val="18"/>
      <w:lang w:val="en-US" w:eastAsia="zh-CN" w:bidi="ar-SA"/>
    </w:rPr>
  </w:style>
  <w:style w:type="paragraph" w:customStyle="1" w:styleId="80">
    <w:name w:val="Table Text"/>
    <w:link w:val="79"/>
    <w:uiPriority w:val="0"/>
    <w:pPr>
      <w:snapToGrid w:val="0"/>
      <w:spacing w:before="80" w:after="80"/>
    </w:pPr>
    <w:rPr>
      <w:rFonts w:ascii="Arial" w:hAnsi="Arial" w:eastAsia="宋体" w:cs="Times New Roman"/>
      <w:kern w:val="2"/>
      <w:sz w:val="18"/>
      <w:lang w:val="en-US" w:eastAsia="zh-CN" w:bidi="ar-SA"/>
    </w:rPr>
  </w:style>
  <w:style w:type="character" w:customStyle="1" w:styleId="81">
    <w:name w:val="脚注文本 字符"/>
    <w:link w:val="41"/>
    <w:uiPriority w:val="0"/>
    <w:rPr>
      <w:kern w:val="2"/>
      <w:sz w:val="18"/>
    </w:rPr>
  </w:style>
  <w:style w:type="character" w:customStyle="1" w:styleId="82">
    <w:name w:val="小 Char"/>
    <w:uiPriority w:val="0"/>
    <w:rPr>
      <w:rFonts w:ascii="宋体" w:hAnsi="Courier New" w:eastAsia="宋体"/>
      <w:kern w:val="2"/>
      <w:sz w:val="21"/>
      <w:lang w:val="en-US" w:eastAsia="zh-CN" w:bidi="ar-SA"/>
    </w:rPr>
  </w:style>
  <w:style w:type="character" w:customStyle="1" w:styleId="83">
    <w:name w:val="日期 字符"/>
    <w:link w:val="33"/>
    <w:uiPriority w:val="0"/>
    <w:rPr>
      <w:kern w:val="2"/>
      <w:sz w:val="28"/>
    </w:rPr>
  </w:style>
  <w:style w:type="character" w:customStyle="1" w:styleId="84">
    <w:name w:val="top-det1"/>
    <w:uiPriority w:val="0"/>
    <w:rPr>
      <w:b/>
      <w:color w:val="000000"/>
    </w:rPr>
  </w:style>
  <w:style w:type="character" w:customStyle="1" w:styleId="85">
    <w:name w:val="Table Heading Char Char"/>
    <w:qFormat/>
    <w:uiPriority w:val="0"/>
    <w:rPr>
      <w:rFonts w:ascii="Arial" w:hAnsi="Arial" w:eastAsia="黑体"/>
      <w:kern w:val="2"/>
      <w:sz w:val="18"/>
      <w:lang w:val="en-US" w:eastAsia="zh-CN"/>
    </w:rPr>
  </w:style>
  <w:style w:type="character" w:customStyle="1" w:styleId="86">
    <w:name w:val="Table Text Char Char Char Char"/>
    <w:link w:val="87"/>
    <w:uiPriority w:val="0"/>
    <w:rPr>
      <w:rFonts w:ascii="Arial" w:hAnsi="Arial"/>
      <w:kern w:val="2"/>
      <w:sz w:val="18"/>
      <w:lang w:val="en-US" w:eastAsia="zh-CN" w:bidi="ar-SA"/>
    </w:rPr>
  </w:style>
  <w:style w:type="paragraph" w:customStyle="1" w:styleId="87">
    <w:name w:val="Table Text Char Char Char"/>
    <w:link w:val="86"/>
    <w:qFormat/>
    <w:uiPriority w:val="0"/>
    <w:pPr>
      <w:snapToGrid w:val="0"/>
      <w:spacing w:before="80" w:after="80"/>
    </w:pPr>
    <w:rPr>
      <w:rFonts w:ascii="Arial" w:hAnsi="Arial" w:eastAsia="宋体" w:cs="Times New Roman"/>
      <w:kern w:val="2"/>
      <w:sz w:val="18"/>
      <w:lang w:val="en-US" w:eastAsia="zh-CN" w:bidi="ar-SA"/>
    </w:rPr>
  </w:style>
  <w:style w:type="character" w:customStyle="1" w:styleId="88">
    <w:name w:val="未命名11"/>
    <w:uiPriority w:val="0"/>
    <w:rPr>
      <w:color w:val="77FFFF"/>
      <w:sz w:val="24"/>
    </w:rPr>
  </w:style>
  <w:style w:type="character" w:customStyle="1" w:styleId="89">
    <w:name w:val="Char Char11"/>
    <w:uiPriority w:val="0"/>
    <w:rPr>
      <w:rFonts w:ascii="宋体"/>
      <w:kern w:val="2"/>
      <w:sz w:val="28"/>
    </w:rPr>
  </w:style>
  <w:style w:type="character" w:customStyle="1" w:styleId="90">
    <w:name w:val="正文文本缩进 字符"/>
    <w:link w:val="24"/>
    <w:uiPriority w:val="0"/>
    <w:rPr>
      <w:kern w:val="2"/>
      <w:sz w:val="44"/>
    </w:rPr>
  </w:style>
  <w:style w:type="character" w:customStyle="1" w:styleId="91">
    <w:name w:val="正文文本缩进 2 字符"/>
    <w:link w:val="34"/>
    <w:qFormat/>
    <w:uiPriority w:val="0"/>
    <w:rPr>
      <w:kern w:val="2"/>
      <w:sz w:val="28"/>
    </w:rPr>
  </w:style>
  <w:style w:type="character" w:customStyle="1" w:styleId="92">
    <w:name w:val="正文 + 三号 Char"/>
    <w:uiPriority w:val="0"/>
    <w:rPr>
      <w:rFonts w:eastAsia="宋体"/>
      <w:kern w:val="2"/>
      <w:sz w:val="21"/>
      <w:lang w:val="en-US" w:eastAsia="zh-CN"/>
    </w:rPr>
  </w:style>
  <w:style w:type="character" w:customStyle="1" w:styleId="93">
    <w:name w:val="Char Char"/>
    <w:uiPriority w:val="0"/>
    <w:rPr>
      <w:rFonts w:ascii="宋体" w:hAnsi="宋体" w:eastAsia="宋体"/>
      <w:kern w:val="2"/>
      <w:sz w:val="24"/>
      <w:lang w:val="en-US" w:eastAsia="zh-CN" w:bidi="ar-SA"/>
    </w:rPr>
  </w:style>
  <w:style w:type="character" w:customStyle="1" w:styleId="94">
    <w:name w:val="标题 3 字符1"/>
    <w:uiPriority w:val="0"/>
    <w:rPr>
      <w:rFonts w:eastAsia="宋体"/>
      <w:b/>
      <w:kern w:val="2"/>
      <w:sz w:val="32"/>
      <w:lang w:val="en-US" w:eastAsia="zh-CN"/>
    </w:rPr>
  </w:style>
  <w:style w:type="character" w:customStyle="1" w:styleId="95">
    <w:name w:val="批注主题 字符"/>
    <w:link w:val="55"/>
    <w:uiPriority w:val="0"/>
  </w:style>
  <w:style w:type="character" w:customStyle="1" w:styleId="96">
    <w:name w:val="标题 2 字符"/>
    <w:link w:val="4"/>
    <w:uiPriority w:val="0"/>
    <w:rPr>
      <w:rFonts w:ascii="Arial" w:hAnsi="Arial" w:eastAsia="黑体"/>
      <w:b/>
      <w:kern w:val="2"/>
      <w:sz w:val="32"/>
    </w:rPr>
  </w:style>
  <w:style w:type="character" w:customStyle="1" w:styleId="97">
    <w:name w:val="样式 宋体"/>
    <w:qFormat/>
    <w:uiPriority w:val="0"/>
    <w:rPr>
      <w:rFonts w:ascii="宋体" w:hAnsi="宋体" w:eastAsia="宋体"/>
      <w:sz w:val="28"/>
    </w:rPr>
  </w:style>
  <w:style w:type="character" w:customStyle="1" w:styleId="98">
    <w:name w:val="font01"/>
    <w:uiPriority w:val="0"/>
    <w:rPr>
      <w:rFonts w:hint="eastAsia" w:ascii="宋体" w:hAnsi="宋体" w:eastAsia="宋体" w:cs="宋体"/>
      <w:b/>
      <w:bCs/>
      <w:color w:val="FF0000"/>
      <w:sz w:val="12"/>
      <w:szCs w:val="12"/>
      <w:u w:val="none"/>
    </w:rPr>
  </w:style>
  <w:style w:type="character" w:customStyle="1" w:styleId="99">
    <w:name w:val="Char Char3"/>
    <w:uiPriority w:val="0"/>
    <w:rPr>
      <w:rFonts w:eastAsia="宋体"/>
      <w:kern w:val="2"/>
      <w:sz w:val="18"/>
      <w:lang w:val="en-US" w:eastAsia="zh-CN"/>
    </w:rPr>
  </w:style>
  <w:style w:type="character" w:customStyle="1" w:styleId="100">
    <w:name w:val="Char Char7"/>
    <w:uiPriority w:val="0"/>
    <w:rPr>
      <w:rFonts w:ascii="宋体" w:hAnsi="宋体" w:eastAsia="宋体"/>
      <w:kern w:val="2"/>
      <w:sz w:val="28"/>
    </w:rPr>
  </w:style>
  <w:style w:type="character" w:customStyle="1" w:styleId="101">
    <w:name w:val="Table Text Char1 Char"/>
    <w:qFormat/>
    <w:uiPriority w:val="0"/>
    <w:rPr>
      <w:rFonts w:ascii="Arial" w:hAnsi="Arial"/>
      <w:kern w:val="2"/>
      <w:sz w:val="18"/>
      <w:lang w:val="en-US" w:eastAsia="zh-CN" w:bidi="ar-SA"/>
    </w:rPr>
  </w:style>
  <w:style w:type="character" w:customStyle="1" w:styleId="102">
    <w:name w:val="标书正文:  0.74 厘米 Char1"/>
    <w:qFormat/>
    <w:uiPriority w:val="0"/>
    <w:rPr>
      <w:rFonts w:eastAsia="宋体"/>
      <w:kern w:val="2"/>
      <w:sz w:val="24"/>
      <w:lang w:val="en-US" w:eastAsia="zh-CN"/>
    </w:rPr>
  </w:style>
  <w:style w:type="character" w:customStyle="1" w:styleId="103">
    <w:name w:val="标题 3 字符"/>
    <w:link w:val="5"/>
    <w:qFormat/>
    <w:uiPriority w:val="0"/>
    <w:rPr>
      <w:rFonts w:eastAsia="宋体"/>
      <w:b/>
      <w:kern w:val="2"/>
      <w:sz w:val="32"/>
      <w:lang w:val="en-US" w:eastAsia="zh-CN"/>
    </w:rPr>
  </w:style>
  <w:style w:type="character" w:customStyle="1" w:styleId="104">
    <w:name w:val="文字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font31"/>
    <w:qFormat/>
    <w:uiPriority w:val="0"/>
    <w:rPr>
      <w:rFonts w:hint="eastAsia" w:ascii="宋体" w:hAnsi="宋体" w:eastAsia="宋体" w:cs="宋体"/>
      <w:color w:val="FF0000"/>
      <w:sz w:val="18"/>
      <w:szCs w:val="18"/>
      <w:u w:val="none"/>
    </w:rPr>
  </w:style>
  <w:style w:type="character" w:customStyle="1" w:styleId="107">
    <w:name w:val="Char Char4"/>
    <w:qFormat/>
    <w:uiPriority w:val="0"/>
    <w:rPr>
      <w:rFonts w:eastAsia="宋体"/>
      <w:b/>
      <w:kern w:val="2"/>
      <w:sz w:val="21"/>
      <w:lang w:val="en-US" w:eastAsia="zh-CN"/>
    </w:rPr>
  </w:style>
  <w:style w:type="character" w:customStyle="1" w:styleId="108">
    <w:name w:val="crowed11"/>
    <w:qFormat/>
    <w:uiPriority w:val="0"/>
    <w:rPr>
      <w:rFonts w:hint="default" w:ascii="_x000B__x000C_" w:hAnsi="_x000B__x000C_"/>
      <w:sz w:val="24"/>
    </w:rPr>
  </w:style>
  <w:style w:type="character" w:customStyle="1" w:styleId="109">
    <w:name w:val="Char Char5"/>
    <w:qFormat/>
    <w:uiPriority w:val="0"/>
    <w:rPr>
      <w:rFonts w:ascii="Arial" w:hAnsi="Arial" w:eastAsia="宋体"/>
      <w:b/>
      <w:smallCaps/>
      <w:kern w:val="28"/>
      <w:sz w:val="36"/>
      <w:lang w:val="en-US" w:eastAsia="en-US"/>
    </w:rPr>
  </w:style>
  <w:style w:type="character" w:customStyle="1" w:styleId="110">
    <w:name w:val="正文文本首行缩进 2 字符"/>
    <w:link w:val="57"/>
    <w:qFormat/>
    <w:uiPriority w:val="0"/>
  </w:style>
  <w:style w:type="paragraph" w:customStyle="1" w:styleId="111">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13">
    <w:name w:val="样式4"/>
    <w:basedOn w:val="6"/>
    <w:qFormat/>
    <w:uiPriority w:val="0"/>
    <w:pPr>
      <w:adjustRightInd w:val="0"/>
      <w:snapToGrid w:val="0"/>
    </w:pPr>
  </w:style>
  <w:style w:type="paragraph" w:customStyle="1" w:styleId="114">
    <w:name w:val="表格文本"/>
    <w:qFormat/>
    <w:uiPriority w:val="0"/>
    <w:pPr>
      <w:tabs>
        <w:tab w:val="decimal" w:pos="0"/>
      </w:tabs>
    </w:pPr>
    <w:rPr>
      <w:rFonts w:ascii="Arial" w:hAnsi="Arial" w:eastAsia="宋体" w:cs="Times New Roman"/>
      <w:sz w:val="21"/>
      <w:lang w:val="en-US" w:eastAsia="zh-CN" w:bidi="ar-SA"/>
    </w:rPr>
  </w:style>
  <w:style w:type="paragraph" w:customStyle="1" w:styleId="115">
    <w:name w:val="表头文本"/>
    <w:qFormat/>
    <w:uiPriority w:val="0"/>
    <w:pPr>
      <w:jc w:val="center"/>
    </w:pPr>
    <w:rPr>
      <w:rFonts w:ascii="Arial" w:hAnsi="Arial" w:eastAsia="宋体" w:cs="Times New Roman"/>
      <w:b/>
      <w:sz w:val="21"/>
      <w:lang w:val="en-US" w:eastAsia="zh-CN" w:bidi="ar-SA"/>
    </w:rPr>
  </w:style>
  <w:style w:type="paragraph" w:customStyle="1" w:styleId="116">
    <w:name w:val="Char Char Char Char Char"/>
    <w:basedOn w:val="1"/>
    <w:qFormat/>
    <w:uiPriority w:val="0"/>
    <w:pPr>
      <w:tabs>
        <w:tab w:val="left" w:pos="425"/>
      </w:tabs>
      <w:ind w:left="1620" w:hanging="360"/>
    </w:pPr>
    <w:rPr>
      <w:rFonts w:ascii="Tahoma" w:hAnsi="Tahoma"/>
      <w:sz w:val="24"/>
    </w:rPr>
  </w:style>
  <w:style w:type="paragraph" w:customStyle="1" w:styleId="11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19">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2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21">
    <w:name w:val="Note"/>
    <w:basedOn w:val="1"/>
    <w:qFormat/>
    <w:uiPriority w:val="0"/>
    <w:pPr>
      <w:pBdr>
        <w:top w:val="single" w:color="auto" w:sz="12" w:space="3"/>
        <w:bottom w:val="single" w:color="auto" w:sz="12" w:space="3"/>
      </w:pBdr>
      <w:spacing w:line="360" w:lineRule="auto"/>
    </w:pPr>
    <w:rPr>
      <w:sz w:val="24"/>
    </w:rPr>
  </w:style>
  <w:style w:type="paragraph" w:customStyle="1" w:styleId="122">
    <w:name w:val="摘要"/>
    <w:basedOn w:val="1"/>
    <w:next w:val="4"/>
    <w:qFormat/>
    <w:uiPriority w:val="0"/>
    <w:pPr>
      <w:spacing w:line="360" w:lineRule="auto"/>
    </w:pPr>
    <w:rPr>
      <w:rFonts w:eastAsia="黑体"/>
      <w:sz w:val="20"/>
    </w:rPr>
  </w:style>
  <w:style w:type="paragraph" w:customStyle="1" w:styleId="123">
    <w:name w:val="af"/>
    <w:basedOn w:val="1"/>
    <w:qFormat/>
    <w:uiPriority w:val="0"/>
    <w:pPr>
      <w:widowControl/>
      <w:spacing w:line="300" w:lineRule="atLeast"/>
      <w:jc w:val="left"/>
    </w:pPr>
    <w:rPr>
      <w:rFonts w:ascii="宋体" w:hAnsi="宋体"/>
      <w:kern w:val="0"/>
      <w:sz w:val="18"/>
    </w:rPr>
  </w:style>
  <w:style w:type="paragraph" w:customStyle="1" w:styleId="124">
    <w:name w:val="表格内文字"/>
    <w:basedOn w:val="31"/>
    <w:qFormat/>
    <w:uiPriority w:val="0"/>
    <w:pPr>
      <w:adjustRightInd w:val="0"/>
    </w:pPr>
    <w:rPr>
      <w:color w:val="000000"/>
      <w:lang w:val="en-GB"/>
    </w:rPr>
  </w:style>
  <w:style w:type="paragraph" w:customStyle="1" w:styleId="12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26">
    <w:name w:val="文章正文"/>
    <w:basedOn w:val="1"/>
    <w:qFormat/>
    <w:uiPriority w:val="0"/>
    <w:pPr>
      <w:ind w:firstLine="560" w:firstLineChars="200"/>
    </w:pPr>
    <w:rPr>
      <w:rFonts w:ascii="仿宋_GB2312" w:hAnsi="宋体" w:eastAsia="仿宋_GB2312"/>
      <w:color w:val="000000"/>
    </w:rPr>
  </w:style>
  <w:style w:type="paragraph" w:customStyle="1" w:styleId="127">
    <w:name w:val="文本1"/>
    <w:basedOn w:val="1"/>
    <w:qFormat/>
    <w:uiPriority w:val="0"/>
    <w:pPr>
      <w:adjustRightInd w:val="0"/>
      <w:spacing w:line="312" w:lineRule="atLeast"/>
      <w:jc w:val="center"/>
      <w:textAlignment w:val="baseline"/>
    </w:pPr>
    <w:rPr>
      <w:kern w:val="0"/>
      <w:sz w:val="18"/>
    </w:rPr>
  </w:style>
  <w:style w:type="paragraph" w:customStyle="1" w:styleId="128">
    <w:name w:val="Char Char Char Char Char Char Char"/>
    <w:basedOn w:val="1"/>
    <w:qFormat/>
    <w:uiPriority w:val="0"/>
    <w:rPr>
      <w:rFonts w:ascii="Tahoma" w:hAnsi="Tahoma"/>
      <w:sz w:val="24"/>
    </w:rPr>
  </w:style>
  <w:style w:type="paragraph" w:customStyle="1" w:styleId="12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30">
    <w:name w:val="二级条标题"/>
    <w:basedOn w:val="131"/>
    <w:next w:val="133"/>
    <w:qFormat/>
    <w:uiPriority w:val="0"/>
    <w:pPr>
      <w:ind w:left="840"/>
      <w:outlineLvl w:val="3"/>
    </w:pPr>
  </w:style>
  <w:style w:type="paragraph" w:customStyle="1" w:styleId="131">
    <w:name w:val="一级条标题"/>
    <w:basedOn w:val="132"/>
    <w:next w:val="133"/>
    <w:qFormat/>
    <w:uiPriority w:val="0"/>
    <w:pPr>
      <w:numPr>
        <w:numId w:val="0"/>
      </w:numPr>
      <w:spacing w:before="0" w:beforeLines="0" w:after="0" w:afterLines="0"/>
      <w:ind w:left="525"/>
      <w:outlineLvl w:val="2"/>
    </w:pPr>
    <w:rPr>
      <w:sz w:val="21"/>
    </w:rPr>
  </w:style>
  <w:style w:type="paragraph" w:customStyle="1" w:styleId="132">
    <w:name w:val="章标题"/>
    <w:next w:val="1"/>
    <w:qFormat/>
    <w:uiPriority w:val="0"/>
    <w:pPr>
      <w:numPr>
        <w:ilvl w:val="1"/>
        <w:numId w:val="6"/>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4">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35">
    <w:name w:val="Char1"/>
    <w:basedOn w:val="1"/>
    <w:qFormat/>
    <w:uiPriority w:val="0"/>
    <w:rPr>
      <w:sz w:val="21"/>
    </w:rPr>
  </w:style>
  <w:style w:type="paragraph" w:customStyle="1" w:styleId="136">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39">
    <w:name w:val="标书正文:  0.74 厘米"/>
    <w:basedOn w:val="1"/>
    <w:qFormat/>
    <w:uiPriority w:val="0"/>
    <w:pPr>
      <w:snapToGrid w:val="0"/>
      <w:spacing w:line="360" w:lineRule="auto"/>
      <w:ind w:firstLine="420"/>
    </w:pPr>
    <w:rPr>
      <w:sz w:val="24"/>
    </w:rPr>
  </w:style>
  <w:style w:type="paragraph" w:customStyle="1" w:styleId="1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2">
    <w:name w:val="正文4"/>
    <w:basedOn w:val="1"/>
    <w:uiPriority w:val="0"/>
    <w:pPr>
      <w:tabs>
        <w:tab w:val="left" w:pos="1275"/>
      </w:tabs>
      <w:spacing w:before="60" w:after="60" w:line="360" w:lineRule="auto"/>
      <w:ind w:left="820" w:leftChars="400" w:hanging="705"/>
    </w:pPr>
    <w:rPr>
      <w:sz w:val="24"/>
    </w:rPr>
  </w:style>
  <w:style w:type="paragraph" w:customStyle="1" w:styleId="143">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44">
    <w:name w:val="列表项目"/>
    <w:basedOn w:val="1"/>
    <w:qFormat/>
    <w:uiPriority w:val="0"/>
    <w:pPr>
      <w:numPr>
        <w:ilvl w:val="0"/>
        <w:numId w:val="8"/>
      </w:numPr>
      <w:tabs>
        <w:tab w:val="left" w:pos="420"/>
        <w:tab w:val="clear" w:pos="1200"/>
      </w:tabs>
      <w:spacing w:line="288" w:lineRule="auto"/>
      <w:ind w:left="840" w:leftChars="200" w:hanging="420" w:hangingChars="200"/>
    </w:pPr>
    <w:rPr>
      <w:sz w:val="21"/>
    </w:rPr>
  </w:style>
  <w:style w:type="paragraph" w:customStyle="1" w:styleId="145">
    <w:name w:val="表头样式"/>
    <w:basedOn w:val="1"/>
    <w:qFormat/>
    <w:uiPriority w:val="0"/>
    <w:pPr>
      <w:autoSpaceDE w:val="0"/>
      <w:autoSpaceDN w:val="0"/>
      <w:adjustRightInd w:val="0"/>
      <w:spacing w:line="360" w:lineRule="auto"/>
      <w:jc w:val="left"/>
    </w:pPr>
    <w:rPr>
      <w:b/>
      <w:kern w:val="0"/>
      <w:sz w:val="21"/>
    </w:rPr>
  </w:style>
  <w:style w:type="paragraph" w:customStyle="1" w:styleId="146">
    <w:name w:val="Char"/>
    <w:basedOn w:val="1"/>
    <w:qFormat/>
    <w:uiPriority w:val="0"/>
    <w:pPr>
      <w:spacing w:line="240" w:lineRule="atLeast"/>
      <w:ind w:left="420" w:firstLine="420"/>
    </w:pPr>
    <w:rPr>
      <w:kern w:val="0"/>
      <w:sz w:val="21"/>
    </w:rPr>
  </w:style>
  <w:style w:type="paragraph" w:customStyle="1" w:styleId="147">
    <w:name w:val="没有缩进（为图形使用）"/>
    <w:basedOn w:val="1"/>
    <w:qFormat/>
    <w:uiPriority w:val="0"/>
    <w:pPr>
      <w:spacing w:before="120" w:after="120" w:line="360" w:lineRule="auto"/>
    </w:pPr>
    <w:rPr>
      <w:sz w:val="24"/>
    </w:rPr>
  </w:style>
  <w:style w:type="paragraph" w:customStyle="1" w:styleId="148">
    <w:name w:val="正文 + 三号"/>
    <w:basedOn w:val="1"/>
    <w:qFormat/>
    <w:uiPriority w:val="0"/>
    <w:rPr>
      <w:sz w:val="21"/>
    </w:rPr>
  </w:style>
  <w:style w:type="paragraph" w:customStyle="1" w:styleId="149">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50">
    <w:name w:val="Char1 Char Char Char"/>
    <w:basedOn w:val="1"/>
    <w:qFormat/>
    <w:uiPriority w:val="0"/>
    <w:rPr>
      <w:rFonts w:ascii="Tahoma" w:hAnsi="Tahoma"/>
      <w:sz w:val="30"/>
    </w:rPr>
  </w:style>
  <w:style w:type="paragraph" w:customStyle="1" w:styleId="151">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2">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5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4">
    <w:name w:val="样式2"/>
    <w:basedOn w:val="6"/>
    <w:qFormat/>
    <w:uiPriority w:val="0"/>
    <w:pPr>
      <w:numPr>
        <w:ilvl w:val="0"/>
        <w:numId w:val="9"/>
      </w:numPr>
      <w:spacing w:before="560" w:line="400" w:lineRule="exact"/>
      <w:jc w:val="center"/>
      <w:outlineLvl w:val="0"/>
    </w:pPr>
    <w:rPr>
      <w:b w:val="0"/>
      <w:sz w:val="44"/>
    </w:rPr>
  </w:style>
  <w:style w:type="paragraph" w:customStyle="1" w:styleId="155">
    <w:name w:val="正文1"/>
    <w:basedOn w:val="1"/>
    <w:qFormat/>
    <w:uiPriority w:val="0"/>
    <w:pPr>
      <w:spacing w:line="300" w:lineRule="auto"/>
      <w:ind w:firstLine="200" w:firstLineChars="200"/>
    </w:pPr>
    <w:rPr>
      <w:sz w:val="24"/>
    </w:rPr>
  </w:style>
  <w:style w:type="paragraph" w:customStyle="1" w:styleId="156">
    <w:name w:val="1"/>
    <w:basedOn w:val="1"/>
    <w:next w:val="31"/>
    <w:qFormat/>
    <w:uiPriority w:val="0"/>
    <w:rPr>
      <w:rFonts w:ascii="宋体" w:hAnsi="Courier New"/>
      <w:sz w:val="21"/>
    </w:rPr>
  </w:style>
  <w:style w:type="paragraph" w:customStyle="1" w:styleId="15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5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5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0">
    <w:name w:val="Char Char 字元 字元 字元 Char Char Char Char"/>
    <w:basedOn w:val="1"/>
    <w:qFormat/>
    <w:uiPriority w:val="0"/>
    <w:pPr>
      <w:adjustRightInd w:val="0"/>
      <w:spacing w:line="360" w:lineRule="auto"/>
    </w:pPr>
    <w:rPr>
      <w:kern w:val="0"/>
      <w:sz w:val="24"/>
    </w:rPr>
  </w:style>
  <w:style w:type="paragraph" w:customStyle="1" w:styleId="161">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162">
    <w:name w:val="样式 行距: 1.5 倍行距1"/>
    <w:basedOn w:val="1"/>
    <w:uiPriority w:val="0"/>
    <w:pPr>
      <w:snapToGrid w:val="0"/>
    </w:pPr>
    <w:rPr>
      <w:sz w:val="21"/>
    </w:rPr>
  </w:style>
  <w:style w:type="paragraph" w:customStyle="1" w:styleId="163">
    <w:name w:val="Item Step in Table"/>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6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5">
    <w:name w:val="样式1xz"/>
    <w:basedOn w:val="1"/>
    <w:qFormat/>
    <w:uiPriority w:val="0"/>
    <w:pPr>
      <w:tabs>
        <w:tab w:val="left" w:pos="1050"/>
        <w:tab w:val="right" w:leader="dot" w:pos="8296"/>
      </w:tabs>
    </w:pPr>
    <w:rPr>
      <w:caps/>
      <w:spacing w:val="20"/>
      <w:sz w:val="24"/>
    </w:rPr>
  </w:style>
  <w:style w:type="paragraph" w:customStyle="1" w:styleId="166">
    <w:name w:val="CSS1级正文 Char"/>
    <w:basedOn w:val="23"/>
    <w:uiPriority w:val="0"/>
    <w:pPr>
      <w:adjustRightInd w:val="0"/>
      <w:snapToGrid w:val="0"/>
      <w:spacing w:line="360" w:lineRule="auto"/>
      <w:ind w:firstLine="480"/>
    </w:pPr>
    <w:rPr>
      <w:rFonts w:ascii="Times New Roman" w:eastAsia="宋体"/>
      <w:sz w:val="24"/>
    </w:rPr>
  </w:style>
  <w:style w:type="paragraph" w:customStyle="1" w:styleId="167">
    <w:name w:val="段落正文"/>
    <w:basedOn w:val="1"/>
    <w:uiPriority w:val="0"/>
    <w:pPr>
      <w:spacing w:before="156" w:beforeLines="50" w:line="360" w:lineRule="auto"/>
      <w:ind w:firstLine="200" w:firstLineChars="200"/>
    </w:pPr>
    <w:rPr>
      <w:spacing w:val="2"/>
      <w:sz w:val="24"/>
    </w:rPr>
  </w:style>
  <w:style w:type="paragraph" w:customStyle="1" w:styleId="168">
    <w:name w:val="标准正文"/>
    <w:basedOn w:val="24"/>
    <w:uiPriority w:val="0"/>
    <w:pPr>
      <w:spacing w:before="60" w:after="60" w:line="360" w:lineRule="auto"/>
      <w:ind w:left="0" w:firstLine="482"/>
    </w:pPr>
    <w:rPr>
      <w:rFonts w:ascii="Arial" w:hAnsi="Arial"/>
      <w:sz w:val="24"/>
    </w:rPr>
  </w:style>
  <w:style w:type="paragraph" w:customStyle="1" w:styleId="169">
    <w:name w:val="样式 宋体 五号 行距: 单倍行距"/>
    <w:basedOn w:val="1"/>
    <w:qFormat/>
    <w:uiPriority w:val="0"/>
    <w:pPr>
      <w:adjustRightInd w:val="0"/>
      <w:jc w:val="left"/>
    </w:pPr>
    <w:rPr>
      <w:rFonts w:ascii="宋体" w:hAnsi="宋体"/>
      <w:kern w:val="0"/>
      <w:sz w:val="21"/>
    </w:rPr>
  </w:style>
  <w:style w:type="paragraph" w:customStyle="1" w:styleId="17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71">
    <w:name w:val="默认段落字体 Para Char Char Char Char Char Char Char"/>
    <w:basedOn w:val="1"/>
    <w:qFormat/>
    <w:uiPriority w:val="0"/>
    <w:rPr>
      <w:rFonts w:ascii="Tahoma" w:hAnsi="Tahoma"/>
      <w:sz w:val="24"/>
    </w:rPr>
  </w:style>
  <w:style w:type="paragraph" w:customStyle="1" w:styleId="172">
    <w:name w:val="Table Contents"/>
    <w:basedOn w:val="23"/>
    <w:qFormat/>
    <w:uiPriority w:val="0"/>
    <w:pPr>
      <w:suppressAutoHyphens/>
      <w:jc w:val="left"/>
    </w:pPr>
    <w:rPr>
      <w:rFonts w:ascii="Times New Roman" w:eastAsia="Times New Roman"/>
      <w:kern w:val="0"/>
      <w:sz w:val="24"/>
    </w:rPr>
  </w:style>
  <w:style w:type="paragraph" w:customStyle="1" w:styleId="173">
    <w:name w:val="_Style 172"/>
    <w:uiPriority w:val="0"/>
    <w:rPr>
      <w:rFonts w:ascii="Times New Roman" w:hAnsi="Times New Roman" w:eastAsia="宋体" w:cs="Times New Roman"/>
      <w:kern w:val="2"/>
      <w:sz w:val="21"/>
      <w:lang w:val="en-US" w:eastAsia="zh-CN" w:bidi="ar-SA"/>
    </w:rPr>
  </w:style>
  <w:style w:type="paragraph" w:customStyle="1" w:styleId="17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5">
    <w:name w:val="正文（首行不缩进）"/>
    <w:basedOn w:val="1"/>
    <w:uiPriority w:val="0"/>
    <w:pPr>
      <w:autoSpaceDE w:val="0"/>
      <w:autoSpaceDN w:val="0"/>
      <w:adjustRightInd w:val="0"/>
      <w:spacing w:line="360" w:lineRule="auto"/>
      <w:jc w:val="left"/>
    </w:pPr>
    <w:rPr>
      <w:kern w:val="0"/>
      <w:sz w:val="21"/>
    </w:rPr>
  </w:style>
  <w:style w:type="paragraph" w:customStyle="1" w:styleId="17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8">
    <w:name w:val="1.正文"/>
    <w:basedOn w:val="1"/>
    <w:qFormat/>
    <w:uiPriority w:val="0"/>
    <w:pPr>
      <w:spacing w:line="360" w:lineRule="auto"/>
      <w:ind w:left="540" w:leftChars="225" w:firstLine="540" w:firstLineChars="225"/>
    </w:pPr>
    <w:rPr>
      <w:sz w:val="24"/>
    </w:rPr>
  </w:style>
  <w:style w:type="paragraph" w:customStyle="1" w:styleId="179">
    <w:name w:val="图片文字"/>
    <w:basedOn w:val="1"/>
    <w:qFormat/>
    <w:uiPriority w:val="0"/>
    <w:pPr>
      <w:spacing w:line="240" w:lineRule="atLeast"/>
      <w:jc w:val="center"/>
    </w:pPr>
    <w:rPr>
      <w:sz w:val="21"/>
    </w:rPr>
  </w:style>
  <w:style w:type="paragraph" w:customStyle="1" w:styleId="180">
    <w:name w:val="可研正文"/>
    <w:basedOn w:val="23"/>
    <w:uiPriority w:val="0"/>
    <w:pPr>
      <w:adjustRightInd w:val="0"/>
      <w:snapToGrid w:val="0"/>
      <w:spacing w:line="440" w:lineRule="exact"/>
      <w:ind w:firstLine="567"/>
    </w:pPr>
    <w:rPr>
      <w:sz w:val="28"/>
    </w:rPr>
  </w:style>
  <w:style w:type="paragraph" w:customStyle="1" w:styleId="181">
    <w:name w:val="Char Char1 Char"/>
    <w:basedOn w:val="1"/>
    <w:uiPriority w:val="0"/>
    <w:rPr>
      <w:rFonts w:ascii="Tahoma" w:hAnsi="Tahoma"/>
      <w:sz w:val="24"/>
      <w:szCs w:val="24"/>
    </w:rPr>
  </w:style>
  <w:style w:type="paragraph" w:customStyle="1" w:styleId="182">
    <w:name w:val="Table Text Char1"/>
    <w:uiPriority w:val="0"/>
    <w:pPr>
      <w:snapToGrid w:val="0"/>
      <w:spacing w:before="80" w:after="80"/>
    </w:pPr>
    <w:rPr>
      <w:rFonts w:ascii="Arial" w:hAnsi="Arial" w:eastAsia="宋体" w:cs="Times New Roman"/>
      <w:kern w:val="2"/>
      <w:sz w:val="18"/>
      <w:lang w:val="en-US" w:eastAsia="zh-CN" w:bidi="ar-SA"/>
    </w:rPr>
  </w:style>
  <w:style w:type="paragraph" w:customStyle="1" w:styleId="183">
    <w:name w:val="Title - Revision"/>
    <w:basedOn w:val="54"/>
    <w:qFormat/>
    <w:uiPriority w:val="0"/>
    <w:pPr>
      <w:spacing w:before="720"/>
    </w:pPr>
  </w:style>
  <w:style w:type="paragraph" w:customStyle="1" w:styleId="184">
    <w:name w:val="Char Char Char1 Char Char Char Char Char Char Char Char Char Char Char Char Char"/>
    <w:basedOn w:val="1"/>
    <w:uiPriority w:val="0"/>
    <w:pPr>
      <w:widowControl/>
      <w:spacing w:after="160" w:line="240" w:lineRule="exact"/>
      <w:jc w:val="left"/>
    </w:pPr>
    <w:rPr>
      <w:rFonts w:ascii="Verdana" w:hAnsi="Verdana"/>
      <w:kern w:val="0"/>
      <w:sz w:val="18"/>
      <w:lang w:eastAsia="en-US"/>
    </w:rPr>
  </w:style>
  <w:style w:type="paragraph" w:customStyle="1" w:styleId="185">
    <w:name w:val="xl40"/>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6">
    <w:name w:val="项目"/>
    <w:basedOn w:val="1"/>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7">
    <w:name w:val="样式 标题 6第五层条 + 三号 段前: 0.5 行"/>
    <w:basedOn w:val="8"/>
    <w:uiPriority w:val="0"/>
    <w:pPr>
      <w:widowControl/>
      <w:adjustRightInd/>
      <w:snapToGrid/>
      <w:spacing w:before="156" w:beforeLines="50"/>
      <w:jc w:val="left"/>
    </w:pPr>
    <w:rPr>
      <w:snapToGrid w:val="0"/>
      <w:kern w:val="24"/>
      <w:sz w:val="28"/>
    </w:rPr>
  </w:style>
  <w:style w:type="paragraph" w:customStyle="1" w:styleId="188">
    <w:name w:val="正文文本缩进 21"/>
    <w:basedOn w:val="1"/>
    <w:uiPriority w:val="0"/>
    <w:pPr>
      <w:adjustRightInd w:val="0"/>
      <w:spacing w:before="120"/>
      <w:ind w:firstLine="420"/>
      <w:textAlignment w:val="baseline"/>
    </w:pPr>
    <w:rPr>
      <w:sz w:val="24"/>
    </w:rPr>
  </w:style>
  <w:style w:type="paragraph" w:customStyle="1" w:styleId="189">
    <w:name w:val="Item Lis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0">
    <w:name w:val="标题无"/>
    <w:basedOn w:val="1"/>
    <w:uiPriority w:val="0"/>
    <w:pPr>
      <w:spacing w:line="360" w:lineRule="auto"/>
    </w:pPr>
    <w:rPr>
      <w:sz w:val="24"/>
    </w:rPr>
  </w:style>
  <w:style w:type="paragraph" w:customStyle="1" w:styleId="191">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9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3">
    <w:name w:val="默认段落字体 Para Char Char Char Char Char Char Char Char Char1 Char Char Char Char"/>
    <w:basedOn w:val="1"/>
    <w:qFormat/>
    <w:uiPriority w:val="0"/>
    <w:rPr>
      <w:rFonts w:ascii="Tahoma" w:hAnsi="Tahoma"/>
      <w:sz w:val="24"/>
    </w:rPr>
  </w:style>
  <w:style w:type="paragraph" w:customStyle="1" w:styleId="19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5">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6">
    <w:name w:val="简单回函地址"/>
    <w:basedOn w:val="1"/>
    <w:qFormat/>
    <w:uiPriority w:val="0"/>
    <w:pPr>
      <w:adjustRightInd w:val="0"/>
      <w:snapToGrid w:val="0"/>
      <w:spacing w:line="360" w:lineRule="auto"/>
    </w:pPr>
    <w:rPr>
      <w:sz w:val="24"/>
    </w:rPr>
  </w:style>
  <w:style w:type="paragraph" w:customStyle="1" w:styleId="197">
    <w:name w:val="Char Char Char Char Char Char Char Char Char Char Char Char Char Char Char Char"/>
    <w:basedOn w:val="1"/>
    <w:qFormat/>
    <w:uiPriority w:val="0"/>
    <w:pPr>
      <w:tabs>
        <w:tab w:val="left" w:pos="360"/>
      </w:tabs>
    </w:pPr>
    <w:rPr>
      <w:sz w:val="24"/>
    </w:rPr>
  </w:style>
  <w:style w:type="paragraph" w:customStyle="1" w:styleId="19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9">
    <w:name w:val="Char2"/>
    <w:basedOn w:val="1"/>
    <w:qFormat/>
    <w:uiPriority w:val="0"/>
    <w:pPr>
      <w:spacing w:line="240" w:lineRule="atLeast"/>
      <w:ind w:left="420" w:firstLine="420"/>
    </w:pPr>
    <w:rPr>
      <w:kern w:val="0"/>
      <w:sz w:val="21"/>
    </w:rPr>
  </w:style>
  <w:style w:type="paragraph" w:customStyle="1" w:styleId="200">
    <w:name w:val="正文文本 21"/>
    <w:basedOn w:val="1"/>
    <w:qFormat/>
    <w:uiPriority w:val="0"/>
    <w:pPr>
      <w:adjustRightInd w:val="0"/>
      <w:spacing w:before="120" w:line="360" w:lineRule="auto"/>
      <w:ind w:firstLine="480"/>
      <w:textAlignment w:val="baseline"/>
    </w:pPr>
    <w:rPr>
      <w:sz w:val="24"/>
    </w:rPr>
  </w:style>
  <w:style w:type="paragraph" w:customStyle="1" w:styleId="201">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02">
    <w:name w:val="编号正文"/>
    <w:basedOn w:val="203"/>
    <w:qFormat/>
    <w:uiPriority w:val="0"/>
    <w:pPr>
      <w:snapToGrid/>
      <w:spacing w:line="360" w:lineRule="auto"/>
      <w:ind w:left="1407" w:hanging="1047"/>
      <w:jc w:val="left"/>
    </w:pPr>
    <w:rPr>
      <w:rFonts w:eastAsia="仿宋_GB2312"/>
    </w:rPr>
  </w:style>
  <w:style w:type="paragraph" w:customStyle="1" w:styleId="20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4">
    <w:name w:val="首行缩进 1"/>
    <w:basedOn w:val="1"/>
    <w:qFormat/>
    <w:uiPriority w:val="0"/>
    <w:pPr>
      <w:spacing w:after="120" w:line="360" w:lineRule="auto"/>
      <w:ind w:firstLine="200" w:firstLineChars="200"/>
    </w:pPr>
    <w:rPr>
      <w:sz w:val="24"/>
    </w:rPr>
  </w:style>
  <w:style w:type="paragraph" w:customStyle="1" w:styleId="20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06">
    <w:name w:val="正文表格"/>
    <w:basedOn w:val="1"/>
    <w:qFormat/>
    <w:uiPriority w:val="0"/>
    <w:pPr>
      <w:adjustRightInd w:val="0"/>
      <w:spacing w:before="40" w:after="40"/>
    </w:pPr>
    <w:rPr>
      <w:sz w:val="24"/>
    </w:rPr>
  </w:style>
  <w:style w:type="paragraph" w:customStyle="1" w:styleId="20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8">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9">
    <w:name w:val="Char Char14 Char Char"/>
    <w:basedOn w:val="1"/>
    <w:qFormat/>
    <w:uiPriority w:val="0"/>
    <w:rPr>
      <w:sz w:val="21"/>
      <w:szCs w:val="24"/>
    </w:rPr>
  </w:style>
  <w:style w:type="paragraph" w:customStyle="1" w:styleId="210">
    <w:name w:val="Char2 Char Char Char Char Char Char"/>
    <w:basedOn w:val="1"/>
    <w:qFormat/>
    <w:uiPriority w:val="0"/>
    <w:rPr>
      <w:rFonts w:ascii="仿宋_GB2312"/>
      <w:b/>
      <w:sz w:val="30"/>
    </w:rPr>
  </w:style>
  <w:style w:type="paragraph" w:customStyle="1" w:styleId="21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2">
    <w:name w:val="Char Char Char"/>
    <w:basedOn w:val="1"/>
    <w:qFormat/>
    <w:uiPriority w:val="0"/>
    <w:rPr>
      <w:rFonts w:ascii="Tahoma" w:hAnsi="Tahoma"/>
      <w:sz w:val="24"/>
    </w:rPr>
  </w:style>
  <w:style w:type="paragraph" w:customStyle="1" w:styleId="21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15">
    <w:name w:val="表文字"/>
    <w:qFormat/>
    <w:uiPriority w:val="0"/>
    <w:rPr>
      <w:rFonts w:ascii="宋体" w:hAnsi="Times New Roman" w:eastAsia="宋体" w:cs="Times New Roman"/>
      <w:kern w:val="2"/>
      <w:lang w:val="en-US" w:eastAsia="zh-CN" w:bidi="ar-SA"/>
    </w:rPr>
  </w:style>
  <w:style w:type="paragraph" w:customStyle="1" w:styleId="216">
    <w:name w:val="Char1 Char Char Char1"/>
    <w:basedOn w:val="1"/>
    <w:qFormat/>
    <w:uiPriority w:val="0"/>
    <w:rPr>
      <w:rFonts w:ascii="Tahoma" w:hAnsi="Tahoma"/>
      <w:sz w:val="24"/>
    </w:rPr>
  </w:style>
  <w:style w:type="paragraph" w:customStyle="1" w:styleId="217">
    <w:name w:val="关键词"/>
    <w:basedOn w:val="1"/>
    <w:next w:val="1"/>
    <w:qFormat/>
    <w:uiPriority w:val="0"/>
    <w:pPr>
      <w:spacing w:line="360" w:lineRule="auto"/>
    </w:pPr>
    <w:rPr>
      <w:rFonts w:eastAsia="黑体"/>
      <w:sz w:val="20"/>
    </w:rPr>
  </w:style>
  <w:style w:type="paragraph" w:customStyle="1" w:styleId="218">
    <w:name w:val="样式 正文缩进正文（首行缩进两字）表正文正文非缩进特点标题4段1 + 首行缩进:  2 字符"/>
    <w:basedOn w:val="16"/>
    <w:qFormat/>
    <w:uiPriority w:val="0"/>
    <w:pPr>
      <w:ind w:firstLine="480" w:firstLineChars="200"/>
    </w:pPr>
  </w:style>
  <w:style w:type="paragraph" w:customStyle="1" w:styleId="219">
    <w:name w:val="操作步骤"/>
    <w:basedOn w:val="1"/>
    <w:qFormat/>
    <w:uiPriority w:val="0"/>
    <w:pPr>
      <w:numPr>
        <w:ilvl w:val="0"/>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20">
    <w:name w:val="Char Char Char Char Char Char Char1"/>
    <w:basedOn w:val="18"/>
    <w:qFormat/>
    <w:uiPriority w:val="0"/>
    <w:rPr>
      <w:rFonts w:ascii="宋体" w:hAnsi="Tahoma"/>
    </w:rPr>
  </w:style>
  <w:style w:type="paragraph" w:customStyle="1" w:styleId="221">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customStyle="1" w:styleId="22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3">
    <w:name w:val="00"/>
    <w:basedOn w:val="1"/>
    <w:qFormat/>
    <w:uiPriority w:val="0"/>
    <w:pPr>
      <w:autoSpaceDE w:val="0"/>
      <w:autoSpaceDN w:val="0"/>
      <w:adjustRightInd w:val="0"/>
      <w:jc w:val="left"/>
    </w:pPr>
    <w:rPr>
      <w:rFonts w:ascii="黑体" w:eastAsia="黑体"/>
      <w:b/>
      <w:kern w:val="0"/>
      <w:sz w:val="20"/>
    </w:rPr>
  </w:style>
  <w:style w:type="paragraph" w:customStyle="1" w:styleId="224">
    <w:name w:val="文本框样式1"/>
    <w:basedOn w:val="1"/>
    <w:qFormat/>
    <w:uiPriority w:val="0"/>
    <w:pPr>
      <w:adjustRightInd w:val="0"/>
      <w:snapToGrid w:val="0"/>
      <w:spacing w:before="60" w:line="180" w:lineRule="exact"/>
      <w:jc w:val="center"/>
    </w:pPr>
    <w:rPr>
      <w:sz w:val="21"/>
    </w:rPr>
  </w:style>
  <w:style w:type="paragraph" w:customStyle="1" w:styleId="225">
    <w:name w:val="正文字缩2字"/>
    <w:basedOn w:val="1"/>
    <w:qFormat/>
    <w:uiPriority w:val="0"/>
    <w:pPr>
      <w:spacing w:before="60" w:after="60" w:line="360" w:lineRule="auto"/>
      <w:ind w:left="200" w:leftChars="200" w:firstLine="200" w:firstLineChars="200"/>
    </w:pPr>
    <w:rPr>
      <w:sz w:val="24"/>
    </w:rPr>
  </w:style>
  <w:style w:type="paragraph" w:customStyle="1" w:styleId="226">
    <w:name w:val="Title - Date"/>
    <w:basedOn w:val="54"/>
    <w:next w:val="1"/>
    <w:qFormat/>
    <w:uiPriority w:val="0"/>
    <w:pPr>
      <w:spacing w:before="240" w:after="720"/>
    </w:pPr>
    <w:rPr>
      <w:sz w:val="28"/>
    </w:rPr>
  </w:style>
  <w:style w:type="paragraph" w:customStyle="1" w:styleId="22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8">
    <w:name w:val="_Style 102"/>
    <w:basedOn w:val="1"/>
    <w:qFormat/>
    <w:uiPriority w:val="0"/>
    <w:pPr>
      <w:spacing w:line="360" w:lineRule="auto"/>
      <w:ind w:firstLine="200" w:firstLineChars="200"/>
    </w:pPr>
    <w:rPr>
      <w:rFonts w:ascii="宋体" w:hAnsi="宋体" w:cs="宋体"/>
      <w:sz w:val="24"/>
      <w:szCs w:val="24"/>
    </w:rPr>
  </w:style>
  <w:style w:type="paragraph" w:customStyle="1" w:styleId="22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30">
    <w:name w:val="二级列表"/>
    <w:basedOn w:val="167"/>
    <w:next w:val="167"/>
    <w:qFormat/>
    <w:uiPriority w:val="0"/>
    <w:pPr>
      <w:tabs>
        <w:tab w:val="left" w:pos="2120"/>
      </w:tabs>
      <w:ind w:firstLine="0" w:firstLineChars="0"/>
    </w:pPr>
    <w:rPr>
      <w:b/>
    </w:rPr>
  </w:style>
  <w:style w:type="paragraph" w:customStyle="1" w:styleId="231">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3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3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36">
    <w:name w:val="附录3"/>
    <w:basedOn w:val="1"/>
    <w:next w:val="1"/>
    <w:qFormat/>
    <w:uiPriority w:val="0"/>
    <w:pPr>
      <w:tabs>
        <w:tab w:val="left" w:pos="851"/>
      </w:tabs>
      <w:ind w:left="425" w:hanging="425"/>
      <w:outlineLvl w:val="2"/>
    </w:pPr>
    <w:rPr>
      <w:rFonts w:eastAsia="黑体"/>
      <w:b/>
      <w:sz w:val="32"/>
    </w:rPr>
  </w:style>
  <w:style w:type="paragraph" w:customStyle="1" w:styleId="237">
    <w:name w:val="IN Feature"/>
    <w:next w:val="22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38">
    <w:name w:val="样式 首行缩进:  0.74 厘米"/>
    <w:basedOn w:val="1"/>
    <w:qFormat/>
    <w:uiPriority w:val="0"/>
    <w:pPr>
      <w:spacing w:line="360" w:lineRule="auto"/>
      <w:ind w:firstLine="420"/>
    </w:pPr>
    <w:rPr>
      <w:sz w:val="24"/>
    </w:rPr>
  </w:style>
  <w:style w:type="paragraph" w:customStyle="1" w:styleId="239">
    <w:name w:val="图例"/>
    <w:basedOn w:val="1"/>
    <w:qFormat/>
    <w:uiPriority w:val="0"/>
    <w:pPr>
      <w:spacing w:before="120" w:after="120" w:line="360" w:lineRule="auto"/>
      <w:jc w:val="center"/>
    </w:pPr>
    <w:rPr>
      <w:rFonts w:eastAsia="仿宋_GB2312"/>
      <w:b/>
      <w:sz w:val="24"/>
    </w:rPr>
  </w:style>
  <w:style w:type="paragraph" w:customStyle="1" w:styleId="240">
    <w:name w:val="内容标题"/>
    <w:basedOn w:val="18"/>
    <w:qFormat/>
    <w:uiPriority w:val="0"/>
    <w:rPr>
      <w:rFonts w:ascii="Tahoma" w:hAnsi="Tahoma"/>
      <w:sz w:val="24"/>
    </w:rPr>
  </w:style>
  <w:style w:type="paragraph" w:customStyle="1" w:styleId="241">
    <w:name w:val="Style Heading 3h3Heading 3 - oldLevel 3 HeadH3level_3PIM 3se..."/>
    <w:basedOn w:val="5"/>
    <w:qFormat/>
    <w:uiPriority w:val="0"/>
    <w:pPr>
      <w:numPr>
        <w:ilvl w:val="2"/>
        <w:numId w:val="3"/>
      </w:numPr>
      <w:tabs>
        <w:tab w:val="left" w:pos="709"/>
        <w:tab w:val="left" w:pos="1620"/>
      </w:tabs>
    </w:pPr>
  </w:style>
  <w:style w:type="paragraph" w:customStyle="1" w:styleId="242">
    <w:name w:val="Item Step"/>
    <w:qFormat/>
    <w:uiPriority w:val="0"/>
    <w:pPr>
      <w:tabs>
        <w:tab w:val="left" w:pos="1644"/>
      </w:tabs>
      <w:ind w:left="1644" w:hanging="510"/>
      <w:outlineLvl w:val="4"/>
    </w:pPr>
    <w:rPr>
      <w:rFonts w:ascii="Arial" w:hAnsi="Arial"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34</Pages>
  <Words>3180</Words>
  <Characters>18130</Characters>
  <Lines>151</Lines>
  <Paragraphs>42</Paragraphs>
  <TotalTime>22</TotalTime>
  <ScaleCrop>false</ScaleCrop>
  <LinksUpToDate>false</LinksUpToDate>
  <CharactersWithSpaces>21268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2024-12-09T08:38:00Z</dcterms:created>
  <dc:creator>周媛媛</dc:creator>
  <cp:lastModifiedBy>Administrator</cp:lastModifiedBy>
  <cp:lastPrinted>2015-03-25T02:14:00Z</cp:lastPrinted>
  <dcterms:modified xsi:type="dcterms:W3CDTF">2025-07-08T09:57:09Z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96562021DA9B4DE799B7B54D3B14AE86_13</vt:lpwstr>
  </property>
  <property fmtid="{D5CDD505-2E9C-101B-9397-08002B2CF9AE}" pid="4" name="KSOTemplateDocerSaveRecord">
    <vt:lpwstr>eyJoZGlkIjoiMGM2M2RhN2JjNDNkNDk3MGM1MThiMGY3MWM3MGJkMDkiLCJ1c2VySWQiOiIxMjQxNTM3Mjg5In0=</vt:lpwstr>
  </property>
</Properties>
</file>