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0"/>
        <w:rPr>
          <w:rFonts w:hint="eastAsia" w:ascii="宋体" w:hAnsi="宋体" w:eastAsia="宋体" w:cs="宋体"/>
          <w:b/>
          <w:bCs/>
          <w:color w:val="auto"/>
          <w:sz w:val="36"/>
          <w:szCs w:val="36"/>
          <w:highlight w:val="none"/>
        </w:rPr>
      </w:pP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eastAsia" w:ascii="宋体" w:hAnsi="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重庆市大足区财政局购买食堂劳务服务（第二次）</w:t>
      </w:r>
    </w:p>
    <w:p w14:paraId="4A6D8E1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CGZB25026</w:t>
      </w:r>
    </w:p>
    <w:p w14:paraId="10DBECFB">
      <w:pPr>
        <w:pStyle w:val="8"/>
        <w:rPr>
          <w:rFonts w:hint="eastAsia"/>
          <w:color w:val="auto"/>
          <w:highlight w:val="none"/>
        </w:rPr>
      </w:pPr>
    </w:p>
    <w:p w14:paraId="4ED2C167">
      <w:pPr>
        <w:jc w:val="center"/>
        <w:rPr>
          <w:rFonts w:hint="eastAsia" w:ascii="宋体" w:hAnsi="宋体" w:eastAsia="宋体" w:cs="宋体"/>
          <w:color w:val="auto"/>
          <w:highlight w:val="none"/>
        </w:rPr>
      </w:pPr>
    </w:p>
    <w:p w14:paraId="305A08C0">
      <w:pPr>
        <w:pStyle w:val="22"/>
        <w:rPr>
          <w:rFonts w:hint="eastAsia" w:ascii="宋体" w:hAnsi="宋体" w:eastAsia="宋体" w:cs="宋体"/>
          <w:color w:val="auto"/>
          <w:highlight w:val="none"/>
        </w:rPr>
      </w:pPr>
    </w:p>
    <w:p w14:paraId="0F3EA82C">
      <w:pPr>
        <w:rPr>
          <w:rFonts w:hint="eastAsia" w:ascii="宋体" w:hAnsi="宋体" w:eastAsia="宋体" w:cs="宋体"/>
          <w:color w:val="auto"/>
          <w:highlight w:val="none"/>
        </w:rPr>
      </w:pPr>
    </w:p>
    <w:p w14:paraId="012AB42C">
      <w:pPr>
        <w:pStyle w:val="8"/>
        <w:rPr>
          <w:rFonts w:hint="eastAsia"/>
          <w:color w:val="auto"/>
          <w:highlight w:val="none"/>
        </w:rPr>
      </w:pPr>
      <w:bookmarkStart w:id="189" w:name="_GoBack"/>
      <w:bookmarkEnd w:id="189"/>
    </w:p>
    <w:p w14:paraId="16D8CE03">
      <w:pPr>
        <w:pStyle w:val="22"/>
        <w:rPr>
          <w:rFonts w:hint="eastAsia" w:ascii="宋体" w:hAnsi="宋体" w:eastAsia="宋体" w:cs="宋体"/>
          <w:color w:val="auto"/>
          <w:highlight w:val="none"/>
        </w:rPr>
      </w:pPr>
    </w:p>
    <w:p w14:paraId="0AE2B62E">
      <w:pPr>
        <w:rPr>
          <w:rFonts w:hint="eastAsia" w:ascii="宋体" w:hAnsi="宋体" w:eastAsia="宋体" w:cs="宋体"/>
          <w:color w:val="auto"/>
          <w:highlight w:val="none"/>
        </w:rPr>
      </w:pPr>
    </w:p>
    <w:p w14:paraId="68E2717E">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color w:val="auto"/>
          <w:sz w:val="32"/>
          <w:highlight w:val="none"/>
        </w:rPr>
      </w:pPr>
      <w:r>
        <w:rPr>
          <w:rFonts w:hint="eastAsia" w:ascii="宋体" w:hAnsi="宋体" w:cs="宋体"/>
          <w:b/>
          <w:bCs/>
          <w:color w:val="auto"/>
          <w:sz w:val="120"/>
          <w:szCs w:val="120"/>
          <w:highlight w:val="none"/>
          <w:lang w:val="en-US" w:eastAsia="zh-CN"/>
        </w:rPr>
        <w:t>询比采购文件</w:t>
      </w:r>
    </w:p>
    <w:p w14:paraId="1A236B7D">
      <w:pPr>
        <w:pStyle w:val="22"/>
        <w:ind w:firstLine="0"/>
        <w:rPr>
          <w:rFonts w:hint="eastAsia" w:ascii="宋体" w:hAnsi="宋体" w:eastAsia="宋体" w:cs="宋体"/>
          <w:color w:val="auto"/>
          <w:highlight w:val="none"/>
        </w:rPr>
      </w:pPr>
    </w:p>
    <w:p w14:paraId="3A97482C">
      <w:pPr>
        <w:spacing w:line="500" w:lineRule="exact"/>
        <w:ind w:firstLine="2340" w:firstLineChars="650"/>
        <w:outlineLvl w:val="0"/>
        <w:rPr>
          <w:rFonts w:hint="eastAsia" w:ascii="宋体" w:hAnsi="宋体" w:eastAsia="宋体" w:cs="宋体"/>
          <w:color w:val="auto"/>
          <w:sz w:val="36"/>
          <w:szCs w:val="36"/>
          <w:highlight w:val="none"/>
        </w:rPr>
      </w:pPr>
    </w:p>
    <w:p w14:paraId="200D3DFF">
      <w:pPr>
        <w:spacing w:line="700" w:lineRule="exact"/>
        <w:jc w:val="center"/>
        <w:rPr>
          <w:rFonts w:hint="eastAsia" w:ascii="宋体" w:hAnsi="宋体" w:eastAsia="宋体" w:cs="宋体"/>
          <w:b/>
          <w:color w:val="auto"/>
          <w:sz w:val="36"/>
          <w:szCs w:val="36"/>
          <w:highlight w:val="none"/>
        </w:rPr>
      </w:pPr>
    </w:p>
    <w:p w14:paraId="13986EA4">
      <w:pPr>
        <w:pStyle w:val="9"/>
        <w:ind w:left="0" w:leftChars="0" w:firstLine="0" w:firstLineChars="0"/>
        <w:rPr>
          <w:rFonts w:hint="eastAsia" w:ascii="宋体" w:hAnsi="宋体" w:eastAsia="宋体" w:cs="宋体"/>
          <w:b/>
          <w:color w:val="auto"/>
          <w:sz w:val="36"/>
          <w:szCs w:val="36"/>
          <w:highlight w:val="none"/>
        </w:rPr>
      </w:pPr>
    </w:p>
    <w:p w14:paraId="7CF6DBAE">
      <w:pPr>
        <w:pStyle w:val="9"/>
        <w:rPr>
          <w:rFonts w:hint="eastAsia" w:ascii="宋体" w:hAnsi="宋体" w:eastAsia="宋体" w:cs="宋体"/>
          <w:b/>
          <w:color w:val="auto"/>
          <w:sz w:val="36"/>
          <w:szCs w:val="36"/>
          <w:highlight w:val="none"/>
        </w:rPr>
      </w:pPr>
    </w:p>
    <w:p w14:paraId="02D72891">
      <w:pPr>
        <w:pStyle w:val="9"/>
        <w:rPr>
          <w:rFonts w:hint="eastAsia" w:ascii="宋体" w:hAnsi="宋体" w:eastAsia="宋体" w:cs="宋体"/>
          <w:b/>
          <w:color w:val="auto"/>
          <w:sz w:val="36"/>
          <w:szCs w:val="36"/>
          <w:highlight w:val="none"/>
        </w:rPr>
      </w:pPr>
    </w:p>
    <w:p w14:paraId="134E83F2">
      <w:pPr>
        <w:pStyle w:val="22"/>
        <w:ind w:firstLine="0"/>
        <w:rPr>
          <w:rFonts w:hint="eastAsia" w:ascii="宋体" w:hAnsi="宋体" w:eastAsia="宋体" w:cs="宋体"/>
          <w:color w:val="auto"/>
          <w:sz w:val="36"/>
          <w:szCs w:val="36"/>
          <w:highlight w:val="none"/>
        </w:rPr>
      </w:pPr>
    </w:p>
    <w:p w14:paraId="2100D0B0">
      <w:pPr>
        <w:spacing w:line="5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重庆市大足区财政局</w:t>
      </w:r>
    </w:p>
    <w:p w14:paraId="7D6B10EC">
      <w:pPr>
        <w:spacing w:line="7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重庆鸿兴招标代理有限公司</w:t>
      </w:r>
    </w:p>
    <w:p w14:paraId="7B6061B4">
      <w:pPr>
        <w:pStyle w:val="8"/>
        <w:rPr>
          <w:rFonts w:hint="eastAsia" w:ascii="宋体" w:hAnsi="宋体" w:eastAsia="宋体" w:cs="宋体"/>
          <w:color w:val="auto"/>
          <w:sz w:val="36"/>
          <w:szCs w:val="36"/>
          <w:highlight w:val="none"/>
        </w:rPr>
      </w:pPr>
    </w:p>
    <w:p w14:paraId="7149D245">
      <w:pPr>
        <w:spacing w:line="48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月</w:t>
      </w:r>
    </w:p>
    <w:p w14:paraId="5ED27C0A">
      <w:pPr>
        <w:spacing w:line="480" w:lineRule="exact"/>
        <w:jc w:val="center"/>
        <w:outlineLvl w:val="0"/>
        <w:rPr>
          <w:rFonts w:hint="eastAsia" w:ascii="宋体" w:hAnsi="宋体" w:eastAsia="宋体" w:cs="宋体"/>
          <w:b/>
          <w:bCs/>
          <w:color w:val="auto"/>
          <w:sz w:val="44"/>
          <w:szCs w:val="44"/>
          <w:highlight w:val="none"/>
        </w:rPr>
      </w:pPr>
    </w:p>
    <w:p w14:paraId="29BBEBCF">
      <w:pPr>
        <w:spacing w:line="480" w:lineRule="exact"/>
        <w:jc w:val="center"/>
        <w:outlineLvl w:val="0"/>
        <w:rPr>
          <w:rFonts w:hint="eastAsia" w:ascii="宋体" w:hAnsi="宋体" w:eastAsia="宋体" w:cs="宋体"/>
          <w:b/>
          <w:bCs/>
          <w:color w:val="auto"/>
          <w:sz w:val="44"/>
          <w:szCs w:val="44"/>
          <w:highlight w:val="none"/>
        </w:rPr>
      </w:pPr>
    </w:p>
    <w:p w14:paraId="2BE25543">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73148248">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6D277927">
      <w:pPr>
        <w:pStyle w:val="18"/>
        <w:tabs>
          <w:tab w:val="right" w:leader="dot" w:pos="9412"/>
        </w:tabs>
        <w:spacing w:line="48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_Toc17317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第一篇  </w:t>
      </w:r>
      <w:r>
        <w:rPr>
          <w:rFonts w:hint="eastAsia" w:ascii="宋体" w:hAnsi="宋体" w:cs="宋体"/>
          <w:color w:val="auto"/>
          <w:szCs w:val="30"/>
          <w:highlight w:val="none"/>
          <w:lang w:eastAsia="zh-CN"/>
        </w:rPr>
        <w:t>采购</w:t>
      </w:r>
      <w:r>
        <w:rPr>
          <w:rFonts w:hint="eastAsia" w:ascii="宋体" w:hAnsi="宋体" w:eastAsia="宋体" w:cs="宋体"/>
          <w:color w:val="auto"/>
          <w:szCs w:val="30"/>
          <w:highlight w:val="none"/>
        </w:rPr>
        <w:t>邀请书</w:t>
      </w:r>
      <w:r>
        <w:rPr>
          <w:color w:val="auto"/>
          <w:highlight w:val="none"/>
        </w:rPr>
        <w:tab/>
      </w:r>
      <w:r>
        <w:rPr>
          <w:color w:val="auto"/>
          <w:highlight w:val="none"/>
        </w:rPr>
        <w:fldChar w:fldCharType="begin"/>
      </w:r>
      <w:r>
        <w:rPr>
          <w:color w:val="auto"/>
          <w:highlight w:val="none"/>
        </w:rPr>
        <w:instrText xml:space="preserve"> PAGEREF _Toc17317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081EE494">
      <w:pPr>
        <w:pStyle w:val="18"/>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_Toc23299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第二篇  </w:t>
      </w:r>
      <w:r>
        <w:rPr>
          <w:rFonts w:hint="eastAsia" w:ascii="宋体" w:hAnsi="宋体" w:cs="宋体"/>
          <w:color w:val="auto"/>
          <w:szCs w:val="30"/>
          <w:highlight w:val="none"/>
          <w:lang w:eastAsia="zh-CN"/>
        </w:rPr>
        <w:t>项目服务需求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_Toc23299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4DB6B59">
      <w:pPr>
        <w:pStyle w:val="18"/>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_Toc6175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_Toc6175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3B0FF3D1">
      <w:pPr>
        <w:pStyle w:val="18"/>
        <w:tabs>
          <w:tab w:val="right" w:leader="dot" w:pos="9412"/>
        </w:tabs>
        <w:spacing w:line="48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_Toc12201 </w:instrText>
      </w:r>
      <w:r>
        <w:rPr>
          <w:rFonts w:hint="eastAsia" w:ascii="宋体" w:hAnsi="宋体" w:eastAsia="宋体" w:cs="宋体"/>
          <w:color w:val="auto"/>
          <w:szCs w:val="24"/>
          <w:highlight w:val="none"/>
        </w:rPr>
        <w:fldChar w:fldCharType="separate"/>
      </w:r>
      <w:r>
        <w:rPr>
          <w:rFonts w:hint="eastAsia" w:ascii="宋体" w:hAnsi="宋体" w:eastAsia="宋体"/>
          <w:color w:val="auto"/>
          <w:szCs w:val="30"/>
          <w:highlight w:val="none"/>
        </w:rPr>
        <w:t>第四篇  开标程序及方法、评审标准、无效响应和</w:t>
      </w:r>
      <w:r>
        <w:rPr>
          <w:rFonts w:hint="eastAsia" w:ascii="宋体" w:hAnsi="宋体" w:eastAsia="宋体"/>
          <w:color w:val="auto"/>
          <w:szCs w:val="36"/>
          <w:highlight w:val="none"/>
        </w:rPr>
        <w:t>采购终止</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_Toc12201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1BBADC3">
      <w:pPr>
        <w:pStyle w:val="10"/>
        <w:tabs>
          <w:tab w:val="right" w:leader="dot" w:pos="9412"/>
        </w:tabs>
        <w:spacing w:line="480" w:lineRule="auto"/>
        <w:ind w:left="0" w:leftChars="0" w:firstLine="560" w:firstLineChars="200"/>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五</w:t>
      </w:r>
      <w:r>
        <w:rPr>
          <w:rFonts w:hint="eastAsia" w:ascii="宋体" w:hAnsi="宋体" w:eastAsia="宋体" w:cs="宋体"/>
          <w:color w:val="auto"/>
          <w:szCs w:val="30"/>
          <w:highlight w:val="none"/>
        </w:rPr>
        <w:t xml:space="preserve">篇  </w:t>
      </w:r>
      <w:r>
        <w:rPr>
          <w:rFonts w:hint="eastAsia" w:ascii="宋体" w:hAnsi="宋体" w:eastAsia="宋体" w:cs="宋体"/>
          <w:color w:val="auto"/>
          <w:szCs w:val="30"/>
          <w:highlight w:val="none"/>
          <w:lang w:eastAsia="zh-CN"/>
        </w:rPr>
        <w:t>供应商须知</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4"/>
          <w:highlight w:val="none"/>
        </w:rPr>
        <w:fldChar w:fldCharType="end"/>
      </w:r>
    </w:p>
    <w:p w14:paraId="77B6B8DD">
      <w:pPr>
        <w:pStyle w:val="18"/>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六</w:t>
      </w:r>
      <w:r>
        <w:rPr>
          <w:rFonts w:hint="eastAsia" w:ascii="宋体" w:hAnsi="宋体" w:eastAsia="宋体" w:cs="宋体"/>
          <w:color w:val="auto"/>
          <w:szCs w:val="30"/>
          <w:highlight w:val="none"/>
        </w:rPr>
        <w:t>篇  合同草案条款</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4"/>
          <w:highlight w:val="none"/>
        </w:rPr>
        <w:fldChar w:fldCharType="end"/>
      </w:r>
    </w:p>
    <w:p w14:paraId="26915014">
      <w:pPr>
        <w:pStyle w:val="18"/>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_Toc24744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七</w:t>
      </w:r>
      <w:r>
        <w:rPr>
          <w:rFonts w:hint="eastAsia" w:ascii="宋体" w:hAnsi="宋体" w:eastAsia="宋体" w:cs="宋体"/>
          <w:color w:val="auto"/>
          <w:szCs w:val="30"/>
          <w:highlight w:val="none"/>
        </w:rPr>
        <w:t>篇  响应文件格式要求</w:t>
      </w:r>
      <w:r>
        <w:rPr>
          <w:color w:val="auto"/>
          <w:highlight w:val="none"/>
        </w:rPr>
        <w:tab/>
      </w:r>
      <w:r>
        <w:rPr>
          <w:color w:val="auto"/>
          <w:highlight w:val="none"/>
        </w:rPr>
        <w:fldChar w:fldCharType="begin"/>
      </w:r>
      <w:r>
        <w:rPr>
          <w:color w:val="auto"/>
          <w:highlight w:val="none"/>
        </w:rPr>
        <w:instrText xml:space="preserve"> PAGEREF _Toc24744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4"/>
          <w:highlight w:val="none"/>
        </w:rPr>
        <w:fldChar w:fldCharType="end"/>
      </w:r>
    </w:p>
    <w:p w14:paraId="3407068D">
      <w:pPr>
        <w:pStyle w:val="17"/>
        <w:tabs>
          <w:tab w:val="right" w:leader="dot" w:pos="9412"/>
        </w:tabs>
        <w:rPr>
          <w:color w:val="auto"/>
          <w:highlight w:val="none"/>
        </w:rPr>
      </w:pPr>
    </w:p>
    <w:p w14:paraId="6382ED34">
      <w:pPr>
        <w:pStyle w:val="18"/>
        <w:tabs>
          <w:tab w:val="right" w:leader="dot" w:pos="9402"/>
        </w:tabs>
        <w:spacing w:line="240" w:lineRule="auto"/>
        <w:ind w:left="0" w:leftChars="0"/>
        <w:rPr>
          <w:rFonts w:hint="eastAsia" w:ascii="宋体" w:hAnsi="宋体" w:eastAsia="宋体" w:cs="宋体"/>
          <w:color w:val="auto"/>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color w:val="auto"/>
          <w:szCs w:val="24"/>
          <w:highlight w:val="none"/>
        </w:rPr>
        <w:fldChar w:fldCharType="end"/>
      </w:r>
    </w:p>
    <w:p w14:paraId="32ABB6A2">
      <w:pPr>
        <w:pStyle w:val="4"/>
        <w:spacing w:before="0" w:after="0" w:line="360" w:lineRule="auto"/>
        <w:jc w:val="center"/>
        <w:rPr>
          <w:rFonts w:hint="eastAsia" w:ascii="宋体" w:hAnsi="宋体" w:eastAsia="宋体" w:cs="宋体"/>
          <w:b w:val="0"/>
          <w:color w:val="auto"/>
          <w:sz w:val="36"/>
          <w:szCs w:val="30"/>
          <w:highlight w:val="none"/>
        </w:rPr>
      </w:pPr>
      <w:bookmarkStart w:id="0" w:name="_Toc12789052"/>
      <w:bookmarkStart w:id="1" w:name="_Toc17317"/>
      <w:bookmarkStart w:id="2" w:name="_Toc11641050"/>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p>
    <w:p w14:paraId="3547E15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重庆市大足区财政局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重庆市大足区财政局购买食堂劳务服务（第二次）</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采购。欢迎有资格的供应商前来参加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w:t>
      </w:r>
    </w:p>
    <w:p w14:paraId="783081B4">
      <w:pPr>
        <w:pStyle w:val="2"/>
        <w:numPr>
          <w:ilvl w:val="0"/>
          <w:numId w:val="1"/>
        </w:numPr>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3" w:name="_Toc317775175"/>
      <w:bookmarkStart w:id="4" w:name="_Toc29871"/>
      <w:bookmarkStart w:id="5" w:name="_Toc313893526"/>
      <w:r>
        <w:rPr>
          <w:rFonts w:hint="eastAsia" w:ascii="宋体" w:hAnsi="宋体" w:eastAsia="宋体" w:cs="宋体"/>
          <w:color w:val="auto"/>
          <w:sz w:val="24"/>
          <w:szCs w:val="24"/>
          <w:highlight w:val="none"/>
        </w:rPr>
        <w:t>采购内容</w:t>
      </w:r>
      <w:bookmarkEnd w:id="3"/>
      <w:bookmarkEnd w:id="4"/>
      <w:bookmarkEnd w:id="5"/>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521"/>
        <w:gridCol w:w="2074"/>
        <w:gridCol w:w="1956"/>
      </w:tblGrid>
      <w:tr w14:paraId="419E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786" w:type="dxa"/>
            <w:tcBorders>
              <w:top w:val="single" w:color="auto" w:sz="4" w:space="0"/>
              <w:left w:val="single" w:color="auto" w:sz="4" w:space="0"/>
              <w:right w:val="single" w:color="auto" w:sz="4" w:space="0"/>
            </w:tcBorders>
            <w:noWrap w:val="0"/>
            <w:vAlign w:val="center"/>
          </w:tcPr>
          <w:p w14:paraId="1FD212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521" w:type="dxa"/>
            <w:tcBorders>
              <w:top w:val="single" w:color="auto" w:sz="4" w:space="0"/>
              <w:left w:val="single" w:color="auto" w:sz="4" w:space="0"/>
              <w:right w:val="single" w:color="auto" w:sz="4" w:space="0"/>
            </w:tcBorders>
            <w:noWrap w:val="0"/>
            <w:vAlign w:val="center"/>
          </w:tcPr>
          <w:p w14:paraId="0BA938D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76B18BD6">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万</w:t>
            </w:r>
            <w:r>
              <w:rPr>
                <w:rFonts w:hint="eastAsia" w:ascii="宋体" w:hAnsi="宋体" w:eastAsia="宋体" w:cs="宋体"/>
                <w:b/>
                <w:bCs/>
                <w:color w:val="auto"/>
                <w:kern w:val="0"/>
                <w:sz w:val="24"/>
                <w:szCs w:val="24"/>
                <w:highlight w:val="none"/>
              </w:rPr>
              <w:t>元）</w:t>
            </w:r>
          </w:p>
        </w:tc>
        <w:tc>
          <w:tcPr>
            <w:tcW w:w="2074" w:type="dxa"/>
            <w:tcBorders>
              <w:top w:val="single" w:color="auto" w:sz="4" w:space="0"/>
              <w:left w:val="single" w:color="auto" w:sz="4" w:space="0"/>
              <w:right w:val="single" w:color="auto" w:sz="4" w:space="0"/>
            </w:tcBorders>
            <w:noWrap w:val="0"/>
            <w:vAlign w:val="center"/>
          </w:tcPr>
          <w:p w14:paraId="4168FDC6">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7A44B699">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956" w:type="dxa"/>
            <w:tcBorders>
              <w:top w:val="single" w:color="auto" w:sz="4" w:space="0"/>
              <w:left w:val="single" w:color="auto" w:sz="4" w:space="0"/>
              <w:right w:val="single" w:color="auto" w:sz="4" w:space="0"/>
            </w:tcBorders>
            <w:noWrap w:val="0"/>
            <w:vAlign w:val="center"/>
          </w:tcPr>
          <w:p w14:paraId="77356C4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r>
      <w:tr w14:paraId="1F7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786" w:type="dxa"/>
            <w:tcBorders>
              <w:top w:val="single" w:color="auto" w:sz="4" w:space="0"/>
              <w:left w:val="single" w:color="auto" w:sz="4" w:space="0"/>
              <w:bottom w:val="single" w:color="auto" w:sz="4" w:space="0"/>
              <w:right w:val="single" w:color="auto" w:sz="4" w:space="0"/>
            </w:tcBorders>
            <w:noWrap w:val="0"/>
            <w:vAlign w:val="center"/>
          </w:tcPr>
          <w:p w14:paraId="665D3EDF">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重庆市大足区财政局购买食堂劳务服务（第二次）</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E8FDBB1">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39.9</w:t>
            </w:r>
          </w:p>
        </w:tc>
        <w:tc>
          <w:tcPr>
            <w:tcW w:w="2074" w:type="dxa"/>
            <w:tcBorders>
              <w:top w:val="single" w:color="auto" w:sz="4" w:space="0"/>
              <w:left w:val="single" w:color="auto" w:sz="4" w:space="0"/>
              <w:bottom w:val="single" w:color="auto" w:sz="4" w:space="0"/>
              <w:right w:val="single" w:color="auto" w:sz="4" w:space="0"/>
            </w:tcBorders>
            <w:noWrap w:val="0"/>
            <w:vAlign w:val="center"/>
          </w:tcPr>
          <w:p w14:paraId="67822470">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0.7</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72CCB56">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r>
    </w:tbl>
    <w:p w14:paraId="41D769E6">
      <w:pPr>
        <w:pStyle w:val="2"/>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6" w:name="_Toc27165"/>
      <w:bookmarkStart w:id="7" w:name="_Toc373860293"/>
      <w:bookmarkStart w:id="8" w:name="_Toc317775178"/>
      <w:r>
        <w:rPr>
          <w:rFonts w:hint="eastAsia" w:ascii="宋体" w:hAnsi="宋体" w:eastAsia="宋体" w:cs="宋体"/>
          <w:color w:val="auto"/>
          <w:sz w:val="24"/>
          <w:szCs w:val="24"/>
          <w:highlight w:val="none"/>
        </w:rPr>
        <w:t>二、资金来源</w:t>
      </w:r>
      <w:bookmarkEnd w:id="6"/>
    </w:p>
    <w:p w14:paraId="166D4C91">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kern w:val="0"/>
          <w:sz w:val="24"/>
          <w:szCs w:val="24"/>
          <w:highlight w:val="none"/>
          <w:lang w:val="en-US" w:eastAsia="zh-CN"/>
        </w:rPr>
        <w:t xml:space="preserve"> 39.9万</w:t>
      </w:r>
      <w:r>
        <w:rPr>
          <w:rFonts w:hint="eastAsia" w:ascii="宋体" w:hAnsi="宋体" w:eastAsia="宋体" w:cs="宋体"/>
          <w:color w:val="auto"/>
          <w:sz w:val="24"/>
          <w:szCs w:val="24"/>
          <w:highlight w:val="none"/>
        </w:rPr>
        <w:t>元。</w:t>
      </w:r>
    </w:p>
    <w:p w14:paraId="5DF4C024">
      <w:pPr>
        <w:pStyle w:val="2"/>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三、供应商资格条件</w:t>
      </w:r>
      <w:bookmarkEnd w:id="9"/>
    </w:p>
    <w:p w14:paraId="34B456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450D0CB">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cs="宋体"/>
          <w:color w:val="auto"/>
          <w:sz w:val="24"/>
          <w:szCs w:val="24"/>
          <w:highlight w:val="none"/>
          <w:lang w:eastAsia="zh-CN"/>
        </w:rPr>
        <w:t>无。</w:t>
      </w:r>
    </w:p>
    <w:p w14:paraId="67661C7D">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（三）本项目的特定资格要求：</w:t>
      </w:r>
      <w:bookmarkStart w:id="10" w:name="_Toc6513"/>
      <w:r>
        <w:rPr>
          <w:rFonts w:hint="eastAsia" w:ascii="宋体" w:hAnsi="宋体" w:cs="宋体"/>
          <w:color w:val="auto"/>
          <w:sz w:val="24"/>
          <w:szCs w:val="24"/>
          <w:highlight w:val="none"/>
          <w:lang w:val="en-US" w:eastAsia="zh-CN"/>
        </w:rPr>
        <w:t>无。</w:t>
      </w:r>
    </w:p>
    <w:p w14:paraId="0B5BC5DE">
      <w:pPr>
        <w:pStyle w:val="2"/>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有关说明</w:t>
      </w:r>
      <w:bookmarkEnd w:id="7"/>
      <w:bookmarkEnd w:id="10"/>
    </w:p>
    <w:bookmarkEnd w:id="8"/>
    <w:p w14:paraId="374B75CC">
      <w:pPr>
        <w:snapToGrid w:val="0"/>
        <w:spacing w:line="400" w:lineRule="exact"/>
        <w:ind w:firstLine="480" w:firstLineChars="200"/>
        <w:rPr>
          <w:rFonts w:ascii="宋体" w:hAnsi="宋体" w:cs="宋体"/>
          <w:color w:val="auto"/>
          <w:sz w:val="24"/>
          <w:szCs w:val="24"/>
          <w:highlight w:val="none"/>
        </w:rPr>
      </w:pPr>
      <w:bookmarkStart w:id="11" w:name="_Toc525047161"/>
      <w:bookmarkStart w:id="12" w:name="_Toc373860294"/>
      <w:bookmarkStart w:id="13" w:name="_Toc521053053"/>
      <w:r>
        <w:rPr>
          <w:rFonts w:hint="eastAsia" w:ascii="宋体" w:hAnsi="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pacing w:val="-20"/>
          <w:sz w:val="24"/>
          <w:szCs w:val="24"/>
          <w:highlight w:val="none"/>
        </w:rPr>
        <w:t>凡有意参加本次采购的供应商，请在</w:t>
      </w:r>
      <w:r>
        <w:rPr>
          <w:rFonts w:hint="eastAsia" w:ascii="宋体" w:hAnsi="宋体" w:cs="宋体"/>
          <w:color w:val="auto"/>
          <w:spacing w:val="-20"/>
          <w:sz w:val="24"/>
          <w:szCs w:val="24"/>
          <w:highlight w:val="none"/>
          <w:lang w:eastAsia="zh-CN"/>
        </w:rPr>
        <w:t>行采家</w:t>
      </w:r>
      <w:r>
        <w:rPr>
          <w:rFonts w:hint="eastAsia" w:ascii="宋体" w:hAnsi="宋体" w:cs="宋体"/>
          <w:color w:val="auto"/>
          <w:spacing w:val="-20"/>
          <w:sz w:val="24"/>
          <w:szCs w:val="24"/>
          <w:highlight w:val="none"/>
          <w:lang w:val="en-US" w:eastAsia="zh-CN"/>
        </w:rPr>
        <w:t>·电子竞采</w:t>
      </w:r>
      <w:r>
        <w:rPr>
          <w:rFonts w:hint="eastAsia" w:ascii="宋体" w:hAnsi="宋体" w:cs="宋体"/>
          <w:color w:val="auto"/>
          <w:spacing w:val="-20"/>
          <w:sz w:val="24"/>
          <w:szCs w:val="24"/>
          <w:highlight w:val="none"/>
          <w:lang w:eastAsia="zh-CN"/>
        </w:rPr>
        <w:t>（https://www.gec123.com/xe/）</w:t>
      </w:r>
      <w:r>
        <w:rPr>
          <w:rFonts w:hint="eastAsia" w:ascii="宋体" w:hAnsi="宋体" w:eastAsia="宋体" w:cs="宋体"/>
          <w:color w:val="auto"/>
          <w:sz w:val="24"/>
          <w:szCs w:val="24"/>
          <w:highlight w:val="none"/>
        </w:rPr>
        <w:t>上下载或到采购代理机构处领取本项目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以及澄清等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AE02770">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2.文件售价：500.00元</w:t>
      </w:r>
    </w:p>
    <w:p w14:paraId="00084EA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28CC26D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.报名方式：在规定的报名时间内，供应商</w:t>
      </w:r>
      <w:r>
        <w:rPr>
          <w:rFonts w:hint="eastAsia" w:ascii="宋体" w:hAnsi="宋体" w:cs="宋体"/>
          <w:color w:val="auto"/>
          <w:sz w:val="24"/>
          <w:szCs w:val="24"/>
          <w:highlight w:val="none"/>
          <w:lang w:eastAsia="zh-CN"/>
        </w:rPr>
        <w:t>到重庆鸿兴招标代理有限公司现场登记递交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rPr>
        <w:t>，未在规定时间内报名的供应商，响应文件恕不接收。</w:t>
      </w:r>
    </w:p>
    <w:p w14:paraId="365BD97F">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10:00</w:t>
      </w:r>
    </w:p>
    <w:p w14:paraId="7DEBC45A">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注：供应商线上报价时需上传盖章后的电子文档（PDF）格式一份。上传电子文档必须按照要求制作，规定签字、盖章的地方必须按其规定签字、盖章，未按要求制作响应文件的</w:t>
      </w:r>
      <w:r>
        <w:rPr>
          <w:rFonts w:hint="eastAsia" w:ascii="宋体" w:hAnsi="宋体" w:cs="宋体"/>
          <w:b/>
          <w:bCs/>
          <w:color w:val="auto"/>
          <w:sz w:val="24"/>
          <w:szCs w:val="24"/>
          <w:highlight w:val="none"/>
          <w:lang w:val="en-US" w:eastAsia="zh-CN"/>
        </w:rPr>
        <w:t>按无效响应</w:t>
      </w:r>
      <w:r>
        <w:rPr>
          <w:rFonts w:hint="eastAsia" w:ascii="宋体" w:hAnsi="宋体" w:eastAsia="宋体" w:cs="宋体"/>
          <w:b/>
          <w:bCs/>
          <w:color w:val="auto"/>
          <w:sz w:val="24"/>
          <w:szCs w:val="24"/>
          <w:highlight w:val="none"/>
        </w:rPr>
        <w:t>处理。电子文档</w:t>
      </w:r>
      <w:r>
        <w:rPr>
          <w:rFonts w:hint="eastAsia" w:ascii="宋体" w:hAnsi="宋体" w:cs="宋体"/>
          <w:b/>
          <w:bCs/>
          <w:color w:val="auto"/>
          <w:sz w:val="24"/>
          <w:szCs w:val="24"/>
          <w:highlight w:val="none"/>
          <w:lang w:eastAsia="zh-CN"/>
        </w:rPr>
        <w:t>与纸质正本不一致时，以纸质正本文件为准。</w:t>
      </w:r>
    </w:p>
    <w:p w14:paraId="7994A5B2">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09:30-10:00</w:t>
      </w:r>
      <w:r>
        <w:rPr>
          <w:rFonts w:hint="eastAsia" w:ascii="宋体" w:hAnsi="宋体" w:eastAsia="宋体" w:cs="宋体"/>
          <w:color w:val="auto"/>
          <w:sz w:val="24"/>
          <w:szCs w:val="24"/>
          <w:highlight w:val="none"/>
        </w:rPr>
        <w:t>。</w:t>
      </w:r>
    </w:p>
    <w:p w14:paraId="47403E9A">
      <w:pPr>
        <w:snapToGrid w:val="0"/>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注：供应商提交响应文件时，一并提交以下资料：</w:t>
      </w:r>
    </w:p>
    <w:p w14:paraId="7B10C55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1.提交报名费缴纳凭据复印件，加盖供应商公章；</w:t>
      </w:r>
    </w:p>
    <w:p w14:paraId="4E8284D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2.提交询比保证金银行转账凭据，加盖供应商公章；</w:t>
      </w:r>
    </w:p>
    <w:p w14:paraId="024F7F20">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3.递交“供应商信息卡”（格式详见附件），内容填写完整，加盖供应商公章；</w:t>
      </w:r>
    </w:p>
    <w:p w14:paraId="4FEAAD7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4.递交供应商银行“基本账户信息”或“开户许可证”复印件，加盖供应商公章；</w:t>
      </w:r>
    </w:p>
    <w:p w14:paraId="28B02E9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lang w:val="en-US" w:eastAsia="zh-CN"/>
        </w:rPr>
        <w:t>，加盖供应商公章；</w:t>
      </w:r>
    </w:p>
    <w:p w14:paraId="33097BBB">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7A68009">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重庆市大足区宏声北路</w:t>
      </w:r>
      <w:r>
        <w:rPr>
          <w:rFonts w:hint="eastAsia" w:ascii="宋体" w:hAnsi="宋体" w:cs="宋体"/>
          <w:color w:val="auto"/>
          <w:sz w:val="24"/>
          <w:szCs w:val="24"/>
          <w:highlight w:val="none"/>
          <w:lang w:val="en-US" w:eastAsia="zh-CN"/>
        </w:rPr>
        <w:t>12号</w:t>
      </w:r>
    </w:p>
    <w:bookmarkEnd w:id="11"/>
    <w:bookmarkEnd w:id="12"/>
    <w:bookmarkEnd w:id="13"/>
    <w:p w14:paraId="2F55473B">
      <w:pPr>
        <w:spacing w:line="400" w:lineRule="exact"/>
        <w:ind w:firstLine="480" w:firstLineChars="200"/>
        <w:rPr>
          <w:rFonts w:hint="default" w:ascii="宋体" w:hAnsi="宋体" w:cs="宋体"/>
          <w:color w:val="auto"/>
          <w:sz w:val="24"/>
          <w:szCs w:val="24"/>
          <w:highlight w:val="none"/>
          <w:lang w:val="en-US" w:eastAsia="zh-CN"/>
        </w:rPr>
      </w:pPr>
      <w:bookmarkStart w:id="14" w:name="_Toc6563"/>
      <w:bookmarkStart w:id="15" w:name="_Toc16269"/>
      <w:bookmarkStart w:id="16" w:name="_Toc65660336"/>
      <w:bookmarkStart w:id="17" w:name="_Toc525047163"/>
      <w:bookmarkStart w:id="18" w:name="_Toc521053055"/>
      <w:bookmarkStart w:id="19" w:name="_Toc26051"/>
      <w:bookmarkStart w:id="20" w:name="_Toc25546"/>
      <w:bookmarkStart w:id="21" w:name="_Toc102227313"/>
      <w:r>
        <w:rPr>
          <w:rFonts w:hint="eastAsia" w:ascii="宋体" w:hAnsi="宋体" w:cs="宋体"/>
          <w:color w:val="auto"/>
          <w:sz w:val="24"/>
          <w:szCs w:val="24"/>
          <w:highlight w:val="none"/>
          <w:lang w:val="en-US" w:eastAsia="zh-CN"/>
        </w:rPr>
        <w:t>（七）询比开始时间：2025年6月27日10:00</w:t>
      </w:r>
    </w:p>
    <w:p w14:paraId="6AC09DE8">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保证金</w:t>
      </w:r>
    </w:p>
    <w:p w14:paraId="0A8DD28B">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6849FE8A">
      <w:pPr>
        <w:snapToGrid w:val="0"/>
        <w:spacing w:line="400" w:lineRule="exact"/>
        <w:ind w:firstLine="480" w:firstLineChars="200"/>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64F4EBAC">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103"/>
      </w:tblGrid>
      <w:tr w14:paraId="125D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89BF5A4">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w:t>
            </w:r>
          </w:p>
        </w:tc>
        <w:tc>
          <w:tcPr>
            <w:tcW w:w="6103" w:type="dxa"/>
            <w:noWrap w:val="0"/>
            <w:vAlign w:val="center"/>
          </w:tcPr>
          <w:p w14:paraId="4F7C2190">
            <w:pPr>
              <w:widowControl w:val="0"/>
              <w:snapToGrid w:val="0"/>
              <w:spacing w:line="400" w:lineRule="exact"/>
              <w:ind w:firstLine="1200" w:firstLineChars="5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重庆鸿兴招标代理有限公司</w:t>
            </w:r>
          </w:p>
        </w:tc>
      </w:tr>
      <w:tr w14:paraId="722C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B025203">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w:t>
            </w:r>
          </w:p>
        </w:tc>
        <w:tc>
          <w:tcPr>
            <w:tcW w:w="6103" w:type="dxa"/>
            <w:noWrap w:val="0"/>
            <w:vAlign w:val="center"/>
          </w:tcPr>
          <w:p w14:paraId="044DEC61">
            <w:pPr>
              <w:snapToGrid w:val="0"/>
              <w:spacing w:line="400" w:lineRule="exact"/>
              <w:ind w:firstLine="480" w:firstLineChars="2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建行重庆大足支行</w:t>
            </w:r>
          </w:p>
        </w:tc>
      </w:tr>
      <w:tr w14:paraId="171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76" w:type="dxa"/>
            <w:noWrap w:val="0"/>
            <w:vAlign w:val="center"/>
          </w:tcPr>
          <w:p w14:paraId="46096946">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w:t>
            </w:r>
          </w:p>
        </w:tc>
        <w:tc>
          <w:tcPr>
            <w:tcW w:w="6103" w:type="dxa"/>
            <w:noWrap w:val="0"/>
            <w:vAlign w:val="center"/>
          </w:tcPr>
          <w:p w14:paraId="35444F84">
            <w:pPr>
              <w:widowControl w:val="0"/>
              <w:snapToGrid w:val="0"/>
              <w:spacing w:line="400" w:lineRule="exact"/>
              <w:ind w:firstLine="1200" w:firstLineChars="5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50050100434100000290</w:t>
            </w:r>
          </w:p>
        </w:tc>
      </w:tr>
    </w:tbl>
    <w:p w14:paraId="20685FD1">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2FA6FAAA">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05F8476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在五个工作日内按来款渠道直接退还。</w:t>
      </w:r>
    </w:p>
    <w:p w14:paraId="5A5371A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在收到合同之日起五个工作日内按资金来款渠道直接退还。</w:t>
      </w:r>
    </w:p>
    <w:p w14:paraId="0A44381B">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财务咨询电话：</w:t>
      </w:r>
      <w:r>
        <w:rPr>
          <w:rFonts w:hint="eastAsia" w:ascii="宋体" w:hAnsi="宋体" w:cs="宋体"/>
          <w:color w:val="auto"/>
          <w:sz w:val="24"/>
          <w:szCs w:val="24"/>
          <w:highlight w:val="none"/>
          <w:lang w:eastAsia="zh-CN"/>
        </w:rPr>
        <w:t>黄</w:t>
      </w:r>
      <w:r>
        <w:rPr>
          <w:rFonts w:hint="eastAsia" w:ascii="宋体" w:hAnsi="宋体" w:cs="宋体"/>
          <w:color w:val="auto"/>
          <w:sz w:val="24"/>
          <w:szCs w:val="24"/>
          <w:highlight w:val="none"/>
        </w:rPr>
        <w:t>老师023-43300991</w:t>
      </w:r>
    </w:p>
    <w:p w14:paraId="435442C9">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14"/>
      <w:bookmarkEnd w:id="15"/>
      <w:bookmarkEnd w:id="16"/>
      <w:bookmarkEnd w:id="17"/>
      <w:bookmarkEnd w:id="18"/>
      <w:bookmarkEnd w:id="19"/>
      <w:bookmarkEnd w:id="20"/>
    </w:p>
    <w:p w14:paraId="1DEB17A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及补遗文件（如果有）一律在行采家·电子竞采（https://www.gec123.com/xe/）上发布，请各供应商无论下载与否，均视同供应商已知晓本项目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7C9BC1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（七）本项目不接受联合体参与，否则按无效处理。</w:t>
      </w:r>
    </w:p>
    <w:p w14:paraId="76C15C3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（八）本项目不接受合同分包，否则按无效处理。</w:t>
      </w:r>
    </w:p>
    <w:p w14:paraId="3FC1C2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22" w:name="_Toc4826"/>
      <w:bookmarkStart w:id="23" w:name="_Toc1733"/>
      <w:bookmarkStart w:id="24" w:name="_Toc29174"/>
      <w:bookmarkStart w:id="25" w:name="_Toc521053056"/>
      <w:bookmarkStart w:id="26" w:name="_Toc65660337"/>
      <w:bookmarkStart w:id="27" w:name="_Toc525047164"/>
      <w:bookmarkStart w:id="28" w:name="_Toc10415"/>
      <w:r>
        <w:rPr>
          <w:rFonts w:hint="eastAsia" w:ascii="宋体" w:hAnsi="宋体" w:eastAsia="宋体" w:cs="宋体"/>
          <w:color w:val="auto"/>
          <w:sz w:val="24"/>
          <w:szCs w:val="24"/>
          <w:highlight w:val="none"/>
        </w:rPr>
        <w:t>七、联系方式</w:t>
      </w:r>
      <w:bookmarkEnd w:id="22"/>
      <w:bookmarkEnd w:id="23"/>
      <w:bookmarkEnd w:id="24"/>
      <w:bookmarkEnd w:id="25"/>
      <w:bookmarkEnd w:id="26"/>
      <w:bookmarkEnd w:id="27"/>
      <w:bookmarkEnd w:id="28"/>
    </w:p>
    <w:p w14:paraId="2CF5DD68">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重庆市大足区财政局</w:t>
      </w:r>
    </w:p>
    <w:p w14:paraId="3CDFEB4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姜老师</w:t>
      </w:r>
    </w:p>
    <w:p w14:paraId="03490B13">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ascii="宋体" w:hAnsi="宋体" w:eastAsia="宋体" w:cs="宋体"/>
          <w:sz w:val="24"/>
          <w:szCs w:val="24"/>
        </w:rPr>
        <w:t>023-43722083</w:t>
      </w:r>
    </w:p>
    <w:p w14:paraId="6058FC0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址：重庆市大足区龙岗街道报恩路230号</w:t>
      </w:r>
    </w:p>
    <w:p w14:paraId="58C963DC">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重庆鸿兴招标代理有限公司</w:t>
      </w:r>
    </w:p>
    <w:p w14:paraId="0E1E3093">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于</w:t>
      </w:r>
      <w:r>
        <w:rPr>
          <w:rFonts w:hint="eastAsia" w:ascii="宋体" w:hAnsi="宋体" w:eastAsia="宋体" w:cs="宋体"/>
          <w:color w:val="auto"/>
          <w:sz w:val="24"/>
          <w:szCs w:val="24"/>
          <w:highlight w:val="none"/>
          <w:lang w:eastAsia="zh-CN"/>
        </w:rPr>
        <w:t>老师</w:t>
      </w:r>
    </w:p>
    <w:p w14:paraId="677B64EC">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023-43764688</w:t>
      </w:r>
      <w:r>
        <w:rPr>
          <w:rFonts w:hint="eastAsia" w:ascii="宋体" w:hAnsi="宋体" w:cs="宋体"/>
          <w:color w:val="auto"/>
          <w:sz w:val="24"/>
          <w:szCs w:val="24"/>
          <w:highlight w:val="none"/>
          <w:lang w:val="en-US" w:eastAsia="zh-CN"/>
        </w:rPr>
        <w:t xml:space="preserve"> 19942219281</w:t>
      </w:r>
    </w:p>
    <w:p w14:paraId="4A5C2BC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重庆市大足区宏声北路</w:t>
      </w:r>
      <w:r>
        <w:rPr>
          <w:rFonts w:hint="eastAsia" w:ascii="宋体" w:hAnsi="宋体" w:eastAsia="宋体" w:cs="宋体"/>
          <w:color w:val="auto"/>
          <w:sz w:val="24"/>
          <w:szCs w:val="24"/>
          <w:highlight w:val="none"/>
          <w:lang w:val="en-US" w:eastAsia="zh-CN"/>
        </w:rPr>
        <w:t>12号</w:t>
      </w:r>
    </w:p>
    <w:p w14:paraId="6F673F13">
      <w:pPr>
        <w:snapToGrid w:val="0"/>
        <w:spacing w:line="400" w:lineRule="exact"/>
        <w:ind w:firstLine="360" w:firstLineChars="150"/>
        <w:rPr>
          <w:rFonts w:hint="eastAsia" w:ascii="宋体" w:hAnsi="宋体" w:eastAsia="宋体" w:cs="宋体"/>
          <w:color w:val="auto"/>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5296B1D5">
      <w:pPr>
        <w:pStyle w:val="4"/>
        <w:spacing w:before="0" w:after="0" w:line="360" w:lineRule="auto"/>
        <w:jc w:val="center"/>
        <w:rPr>
          <w:rFonts w:hint="eastAsia" w:ascii="宋体" w:hAnsi="宋体" w:eastAsia="宋体" w:cs="宋体"/>
          <w:b/>
          <w:bCs/>
          <w:color w:val="auto"/>
          <w:sz w:val="36"/>
          <w:szCs w:val="30"/>
          <w:highlight w:val="none"/>
        </w:rPr>
      </w:pPr>
      <w:bookmarkStart w:id="29" w:name="_Toc23299"/>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eastAsia="zh-CN"/>
        </w:rPr>
        <w:t>服务</w:t>
      </w:r>
      <w:r>
        <w:rPr>
          <w:rFonts w:hint="eastAsia" w:ascii="宋体" w:hAnsi="宋体" w:eastAsia="宋体" w:cs="宋体"/>
          <w:b/>
          <w:bCs/>
          <w:color w:val="auto"/>
          <w:sz w:val="36"/>
          <w:szCs w:val="30"/>
          <w:highlight w:val="none"/>
        </w:rPr>
        <w:t>需求</w:t>
      </w:r>
      <w:bookmarkEnd w:id="29"/>
    </w:p>
    <w:p w14:paraId="03F39455">
      <w:pPr>
        <w:spacing w:line="360" w:lineRule="auto"/>
        <w:rPr>
          <w:rFonts w:hint="eastAsia"/>
          <w:color w:val="auto"/>
          <w:highlight w:val="none"/>
        </w:rPr>
      </w:pPr>
      <w:r>
        <w:rPr>
          <w:rFonts w:hint="eastAsia" w:ascii="宋体" w:hAnsi="宋体" w:cs="宋体"/>
          <w:b/>
          <w:bCs/>
          <w:color w:val="auto"/>
          <w:sz w:val="24"/>
          <w:szCs w:val="24"/>
          <w:highlight w:val="none"/>
        </w:rPr>
        <w:t>注：本篇服务需求均为符合性审查中的实质性要求，响应文件若不满足按无效处理。</w:t>
      </w:r>
    </w:p>
    <w:p w14:paraId="64A7E6F2">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0" w:name="_Toc18345"/>
      <w:r>
        <w:rPr>
          <w:rFonts w:hint="eastAsia" w:ascii="宋体" w:hAnsi="宋体" w:eastAsia="宋体" w:cs="宋体"/>
          <w:color w:val="auto"/>
          <w:sz w:val="24"/>
          <w:highlight w:val="none"/>
        </w:rPr>
        <w:t>一、项目基本概况</w:t>
      </w:r>
      <w:bookmarkEnd w:id="30"/>
    </w:p>
    <w:tbl>
      <w:tblPr>
        <w:tblStyle w:val="24"/>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2015"/>
        <w:gridCol w:w="1762"/>
      </w:tblGrid>
      <w:tr w14:paraId="4AC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45BCCD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SA"/>
              </w:rPr>
            </w:pPr>
            <w:bookmarkStart w:id="31" w:name="_Toc513627036"/>
            <w:r>
              <w:rPr>
                <w:rFonts w:hint="eastAsia" w:ascii="宋体" w:hAnsi="宋体" w:eastAsia="宋体" w:cs="宋体"/>
                <w:b/>
                <w:bCs/>
                <w:color w:val="auto"/>
                <w:kern w:val="0"/>
                <w:sz w:val="24"/>
                <w:szCs w:val="24"/>
                <w:highlight w:val="none"/>
                <w:lang w:val="en-US" w:eastAsia="zh-CN" w:bidi="ar-SA"/>
              </w:rPr>
              <w:t>项目名称</w:t>
            </w:r>
          </w:p>
        </w:tc>
        <w:tc>
          <w:tcPr>
            <w:tcW w:w="2015" w:type="dxa"/>
            <w:tcBorders>
              <w:top w:val="single" w:color="auto" w:sz="4" w:space="0"/>
              <w:left w:val="nil"/>
              <w:bottom w:val="single" w:color="auto" w:sz="4" w:space="0"/>
              <w:right w:val="single" w:color="auto" w:sz="4" w:space="0"/>
            </w:tcBorders>
            <w:noWrap w:val="0"/>
            <w:vAlign w:val="center"/>
          </w:tcPr>
          <w:p w14:paraId="531479C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数量/单位</w:t>
            </w:r>
          </w:p>
        </w:tc>
        <w:tc>
          <w:tcPr>
            <w:tcW w:w="1762" w:type="dxa"/>
            <w:tcBorders>
              <w:top w:val="single" w:color="auto" w:sz="4" w:space="0"/>
              <w:left w:val="nil"/>
              <w:bottom w:val="single" w:color="auto" w:sz="4" w:space="0"/>
              <w:right w:val="single" w:color="auto" w:sz="4" w:space="0"/>
            </w:tcBorders>
            <w:noWrap w:val="0"/>
            <w:vAlign w:val="center"/>
          </w:tcPr>
          <w:p w14:paraId="2593A0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备注</w:t>
            </w:r>
          </w:p>
        </w:tc>
      </w:tr>
      <w:tr w14:paraId="2F4A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5FBE81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重庆市大足区财政局购买食堂劳务服务（第二次）</w:t>
            </w:r>
          </w:p>
        </w:tc>
        <w:tc>
          <w:tcPr>
            <w:tcW w:w="2015" w:type="dxa"/>
            <w:tcBorders>
              <w:top w:val="single" w:color="auto" w:sz="4" w:space="0"/>
              <w:left w:val="nil"/>
              <w:bottom w:val="single" w:color="auto" w:sz="4" w:space="0"/>
              <w:right w:val="single" w:color="auto" w:sz="4" w:space="0"/>
            </w:tcBorders>
            <w:noWrap w:val="0"/>
            <w:vAlign w:val="center"/>
          </w:tcPr>
          <w:p w14:paraId="4492EF2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1项</w:t>
            </w:r>
          </w:p>
        </w:tc>
        <w:tc>
          <w:tcPr>
            <w:tcW w:w="1762" w:type="dxa"/>
            <w:tcBorders>
              <w:top w:val="single" w:color="auto" w:sz="4" w:space="0"/>
              <w:left w:val="nil"/>
              <w:bottom w:val="single" w:color="auto" w:sz="4" w:space="0"/>
              <w:right w:val="single" w:color="auto" w:sz="4" w:space="0"/>
            </w:tcBorders>
            <w:noWrap w:val="0"/>
            <w:vAlign w:val="center"/>
          </w:tcPr>
          <w:p w14:paraId="0A0ECF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r>
      <w:bookmarkEnd w:id="31"/>
    </w:tbl>
    <w:p w14:paraId="3ECF9FC5">
      <w:pPr>
        <w:pStyle w:val="4"/>
        <w:pageBreakBefore w:val="0"/>
        <w:widowControl w:val="0"/>
        <w:kinsoku/>
        <w:wordWrap/>
        <w:overflowPunct/>
        <w:topLinePunct w:val="0"/>
        <w:bidi w:val="0"/>
        <w:adjustRightInd w:val="0"/>
        <w:snapToGrid w:val="0"/>
        <w:spacing w:before="0" w:after="0" w:line="400" w:lineRule="exact"/>
        <w:ind w:left="0"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二、采购需求内容</w:t>
      </w:r>
    </w:p>
    <w:p w14:paraId="3CDA1DB0">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rPr>
      </w:pPr>
      <w:bookmarkStart w:id="32" w:name="_Toc6175"/>
      <w:r>
        <w:rPr>
          <w:rFonts w:hint="eastAsia" w:ascii="宋体" w:hAnsi="宋体" w:eastAsia="宋体" w:cs="宋体"/>
          <w:b/>
          <w:bCs/>
          <w:color w:val="auto"/>
          <w:sz w:val="24"/>
          <w:szCs w:val="18"/>
          <w:highlight w:val="none"/>
        </w:rPr>
        <w:t>（一）项目概况</w:t>
      </w:r>
    </w:p>
    <w:p w14:paraId="050B3FA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重庆市大足区财政局日用餐人数为100人左右。此次食堂劳务外包采取购买服务方式。采购方负责提供相关设施设备并及时进行维护维修、食品等原材料采购及库房管理；供应商按采购方案提供厨房员工服务，负责设施设备及餐具使用过程的清洁维护，负责原材料使用、食品加工和用餐服务，保证采购方人员按时就餐，做到及时、卫生、安全、营养、节约、热情、周到。</w:t>
      </w:r>
    </w:p>
    <w:p w14:paraId="5B22B5C1">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（二）服务内容需求</w:t>
      </w:r>
    </w:p>
    <w:p w14:paraId="3637659D">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 xml:space="preserve"> 1.用餐类别</w:t>
      </w:r>
    </w:p>
    <w:p w14:paraId="1AC33547">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（1）日常就餐服务：工作日须提供职工餐厅的早、午餐。供餐任务根据需要可能变化、增加或节假日需提供服务，不另计费用。</w:t>
      </w:r>
    </w:p>
    <w:p w14:paraId="1E02090E">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（2）接待餐服务：中标人应做好接待餐服务，供餐和服务质量须满足招标单位要求。因需要节假日有临餐任务的，不另计费用。</w:t>
      </w:r>
    </w:p>
    <w:p w14:paraId="2F57A93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 xml:space="preserve"> （3）应急保障就餐服务：如有突发状况需要安排供餐，或外出提供就餐服务的，中标商应及时进行供餐保障，不另计费用。</w:t>
      </w:r>
    </w:p>
    <w:p w14:paraId="5B8E5F1D">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 xml:space="preserve"> 2.用餐菜品及人员要求</w:t>
      </w:r>
    </w:p>
    <w:p w14:paraId="2029413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（1）早餐要求</w:t>
      </w:r>
    </w:p>
    <w:p w14:paraId="5133CA3D">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早餐菜品：主食（面条、包子、馒头、稀饭等），副食（豆浆、鸡蛋、小菜、咸菜等）。</w:t>
      </w:r>
    </w:p>
    <w:p w14:paraId="2BE1640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就餐时间：8:00-8:50</w:t>
      </w:r>
    </w:p>
    <w:p w14:paraId="29FE2EEF">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（2）午餐要求</w:t>
      </w:r>
    </w:p>
    <w:p w14:paraId="72066D6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午餐菜品：主食（米饭、杂粮），副食（三荤</w:t>
      </w:r>
      <w:r>
        <w:rPr>
          <w:rFonts w:hint="eastAsia" w:ascii="宋体" w:hAnsi="宋体" w:cs="宋体"/>
          <w:color w:val="auto"/>
          <w:sz w:val="24"/>
          <w:szCs w:val="18"/>
          <w:highlight w:val="none"/>
          <w:lang w:eastAsia="zh-CN"/>
        </w:rPr>
        <w:t>三</w:t>
      </w:r>
      <w:r>
        <w:rPr>
          <w:rFonts w:hint="eastAsia" w:ascii="宋体" w:hAnsi="宋体" w:eastAsia="宋体" w:cs="宋体"/>
          <w:color w:val="auto"/>
          <w:sz w:val="24"/>
          <w:szCs w:val="18"/>
          <w:highlight w:val="none"/>
        </w:rPr>
        <w:t>素一汤）。</w:t>
      </w:r>
    </w:p>
    <w:p w14:paraId="3B1B0BB2">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就餐时间：12:10-12:40</w:t>
      </w:r>
    </w:p>
    <w:p w14:paraId="1154A834">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原材料及调味辅料购买方式</w:t>
      </w:r>
    </w:p>
    <w:p w14:paraId="1284490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所有原材料、调味辅料及保洁器具均由采购方购买，</w:t>
      </w:r>
      <w:r>
        <w:rPr>
          <w:rFonts w:hint="eastAsia" w:ascii="宋体" w:hAnsi="宋体" w:eastAsia="宋体" w:cs="宋体"/>
          <w:color w:val="auto"/>
          <w:sz w:val="24"/>
          <w:szCs w:val="18"/>
          <w:highlight w:val="none"/>
          <w:lang w:eastAsia="zh-CN"/>
        </w:rPr>
        <w:t>供应商</w:t>
      </w:r>
      <w:r>
        <w:rPr>
          <w:rFonts w:hint="eastAsia" w:ascii="宋体" w:hAnsi="宋体" w:eastAsia="宋体" w:cs="宋体"/>
          <w:color w:val="auto"/>
          <w:sz w:val="24"/>
          <w:szCs w:val="18"/>
          <w:highlight w:val="none"/>
        </w:rPr>
        <w:t>须每周四提出下一周菜谱及采购计划。</w:t>
      </w:r>
    </w:p>
    <w:p w14:paraId="3631AC47">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4.供应商人员配置及团队管理要求</w:t>
      </w:r>
    </w:p>
    <w:p w14:paraId="1B17AC9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（1）食堂团队人员不少于4人（其中厨师至少1人，需持有有效的厨师证）</w:t>
      </w:r>
      <w:r>
        <w:rPr>
          <w:rFonts w:hint="eastAsia" w:ascii="宋体" w:hAnsi="宋体" w:cs="宋体"/>
          <w:color w:val="auto"/>
          <w:sz w:val="24"/>
          <w:szCs w:val="18"/>
          <w:highlight w:val="none"/>
          <w:lang w:val="en-US" w:eastAsia="zh-CN"/>
        </w:rPr>
        <w:t>。</w:t>
      </w:r>
    </w:p>
    <w:p w14:paraId="50A010A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（2）所有人员要求身体健康，并持有有效健康合格证，相关体检费用由供应商负责。</w:t>
      </w:r>
    </w:p>
    <w:p w14:paraId="77400B7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（3）供应商应对所有员工登记造册进行档案管理，员工须统一着装。</w:t>
      </w:r>
    </w:p>
    <w:p w14:paraId="76E24350">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lang w:eastAsia="zh-CN"/>
        </w:rPr>
      </w:pPr>
      <w:r>
        <w:rPr>
          <w:rFonts w:hint="eastAsia" w:ascii="宋体" w:hAnsi="宋体" w:eastAsia="宋体" w:cs="宋体"/>
          <w:b/>
          <w:bCs/>
          <w:color w:val="auto"/>
          <w:sz w:val="24"/>
          <w:szCs w:val="18"/>
          <w:highlight w:val="none"/>
          <w:lang w:eastAsia="zh-CN"/>
        </w:rPr>
        <w:t>（三）劳动纪律</w:t>
      </w:r>
    </w:p>
    <w:p w14:paraId="3C00ED9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1.供应商应遵守国家法律、法规和采购人依法制定的各项规章制度；严格遵守劳动安全卫生，操作规程和工作规范；爱护采购人财产，遵守职业道德；服从采购人的管理。</w:t>
      </w:r>
    </w:p>
    <w:p w14:paraId="14FA95D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2.供应商违反劳动纪律，采购人可依据国家法律、法规和项目部相关规章制度，给予纪律处分、经济处分，直至解除劳务承包协议。</w:t>
      </w:r>
    </w:p>
    <w:p w14:paraId="7231A5D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（四）其他要求</w:t>
      </w:r>
    </w:p>
    <w:p w14:paraId="01907015">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1.供应商</w:t>
      </w:r>
      <w:r>
        <w:rPr>
          <w:rFonts w:hint="eastAsia" w:ascii="宋体" w:hAnsi="宋体" w:eastAsia="宋体" w:cs="宋体"/>
          <w:color w:val="auto"/>
          <w:sz w:val="24"/>
          <w:szCs w:val="18"/>
          <w:highlight w:val="none"/>
        </w:rPr>
        <w:t>承诺其身体健康，能够胜任食堂劳务工作，所有劳务人员每半年进行常规体检一次（向采购人提供体检报告）。</w:t>
      </w:r>
    </w:p>
    <w:p w14:paraId="51165C3A">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2.供应商</w:t>
      </w:r>
      <w:r>
        <w:rPr>
          <w:rFonts w:hint="eastAsia" w:ascii="宋体" w:hAnsi="宋体" w:eastAsia="宋体" w:cs="宋体"/>
          <w:color w:val="auto"/>
          <w:sz w:val="24"/>
          <w:szCs w:val="18"/>
          <w:highlight w:val="none"/>
        </w:rPr>
        <w:t>保证食品的清洁、卫生、新鲜、无腐烂。如果因</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责任导致职工食物中毒，责任由</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全部承担。</w:t>
      </w:r>
    </w:p>
    <w:p w14:paraId="78EA1B68">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聘用期间如</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患病或非因公负伤的，医疗费用由</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自行承担。</w:t>
      </w:r>
    </w:p>
    <w:p w14:paraId="14A37861">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4.</w:t>
      </w:r>
      <w:r>
        <w:rPr>
          <w:rFonts w:hint="eastAsia" w:ascii="宋体" w:hAnsi="宋体" w:eastAsia="宋体" w:cs="宋体"/>
          <w:color w:val="auto"/>
          <w:sz w:val="24"/>
          <w:szCs w:val="18"/>
          <w:highlight w:val="none"/>
        </w:rPr>
        <w:t>保证每月不少于一次对冰柜、冰箱的清理，应确保冰冻食品的卫生和合理使用，杜绝食品长时间积压不用现象的发生。</w:t>
      </w:r>
    </w:p>
    <w:p w14:paraId="120FC4C5">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5.</w:t>
      </w:r>
      <w:r>
        <w:rPr>
          <w:rFonts w:hint="eastAsia" w:ascii="宋体" w:hAnsi="宋体" w:eastAsia="宋体" w:cs="宋体"/>
          <w:color w:val="auto"/>
          <w:sz w:val="24"/>
          <w:szCs w:val="18"/>
          <w:highlight w:val="none"/>
        </w:rPr>
        <w:t>掌握菜的份量，调配菜的品种，保证及时供饭、供菜。尽量经常变换饭菜的花色品种，菜肴用料、配料要恰当，做到味道适口，一菜多做</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工作时应注意个人卫生，接触食品前要洗手，操作时，严格掌握卫生要求。</w:t>
      </w:r>
    </w:p>
    <w:p w14:paraId="2C5B7CA6">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6.</w:t>
      </w:r>
      <w:r>
        <w:rPr>
          <w:rFonts w:hint="eastAsia" w:ascii="宋体" w:hAnsi="宋体" w:eastAsia="宋体" w:cs="宋体"/>
          <w:color w:val="auto"/>
          <w:sz w:val="24"/>
          <w:szCs w:val="18"/>
          <w:highlight w:val="none"/>
        </w:rPr>
        <w:t>刀和砧板等工具用完后应洗净放回原位置，常用工具要定期沸水蒸煮消毒。因徇投标人私舞弊对招标人利益造成重大损害的，采购人可以随时解除本协议。</w:t>
      </w:r>
    </w:p>
    <w:p w14:paraId="0845B6F0">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7.</w:t>
      </w:r>
      <w:r>
        <w:rPr>
          <w:rFonts w:hint="eastAsia" w:ascii="宋体" w:hAnsi="宋体" w:eastAsia="宋体" w:cs="宋体"/>
          <w:color w:val="auto"/>
          <w:sz w:val="24"/>
          <w:szCs w:val="18"/>
          <w:highlight w:val="none"/>
        </w:rPr>
        <w:t>负责打扫厨房卫生，保持食堂餐具、调味台、地面清洁卫生，尽量做到餐厅内无苍蝇、蚊、蟑螂等，餐厅不能留有卫生死角和灰色地带。</w:t>
      </w:r>
    </w:p>
    <w:p w14:paraId="2EB11A02">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8.</w:t>
      </w:r>
      <w:r>
        <w:rPr>
          <w:rFonts w:hint="eastAsia" w:ascii="宋体" w:hAnsi="宋体" w:eastAsia="宋体" w:cs="宋体"/>
          <w:color w:val="auto"/>
          <w:sz w:val="24"/>
          <w:szCs w:val="18"/>
          <w:highlight w:val="none"/>
        </w:rPr>
        <w:t>保证职工能够准时就餐和完成单位领导临时交办的工作。</w:t>
      </w:r>
    </w:p>
    <w:p w14:paraId="317588A7">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color w:val="auto"/>
          <w:kern w:val="2"/>
          <w:sz w:val="24"/>
          <w:szCs w:val="21"/>
          <w:highlight w:val="none"/>
          <w:lang w:val="en-US" w:eastAsia="zh-CN" w:bidi="ar-SA"/>
        </w:rPr>
      </w:pPr>
      <w:r>
        <w:rPr>
          <w:rFonts w:hint="eastAsia" w:ascii="宋体" w:hAnsi="宋体" w:eastAsia="宋体" w:cs="宋体"/>
          <w:color w:val="auto"/>
          <w:sz w:val="24"/>
          <w:szCs w:val="18"/>
          <w:highlight w:val="none"/>
          <w:lang w:val="en-US" w:eastAsia="zh-CN"/>
        </w:rPr>
        <w:t>9.供应商</w:t>
      </w:r>
      <w:r>
        <w:rPr>
          <w:rFonts w:hint="eastAsia" w:ascii="宋体" w:hAnsi="宋体" w:eastAsia="宋体" w:cs="宋体"/>
          <w:color w:val="auto"/>
          <w:sz w:val="24"/>
          <w:szCs w:val="18"/>
          <w:highlight w:val="none"/>
        </w:rPr>
        <w:t>负责厨房、餐厅食品的安全卫生清洁工作。如果达不到卫生防疫部门要求，</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按要求改正，并对所造成的一切损失承担责任。（硬件设施除外）。</w:t>
      </w:r>
    </w:p>
    <w:p w14:paraId="59103F56">
      <w:pPr>
        <w:pageBreakBefore w:val="0"/>
        <w:kinsoku/>
        <w:wordWrap/>
        <w:overflowPunct/>
        <w:topLinePunct w:val="0"/>
        <w:bidi w:val="0"/>
        <w:spacing w:line="400" w:lineRule="exact"/>
        <w:ind w:left="0" w:leftChars="0" w:firstLine="723" w:firstLineChars="200"/>
        <w:textAlignment w:val="auto"/>
        <w:rPr>
          <w:rFonts w:hint="eastAsia" w:ascii="宋体" w:hAnsi="宋体" w:eastAsia="宋体" w:cs="宋体"/>
          <w:b/>
          <w:bCs/>
          <w:color w:val="auto"/>
          <w:kern w:val="2"/>
          <w:sz w:val="36"/>
          <w:szCs w:val="30"/>
          <w:highlight w:val="none"/>
          <w:lang w:val="en-US" w:eastAsia="zh-CN" w:bidi="ar-SA"/>
        </w:rPr>
      </w:pPr>
      <w:r>
        <w:rPr>
          <w:rFonts w:hint="eastAsia" w:ascii="宋体" w:hAnsi="宋体" w:eastAsia="宋体" w:cs="宋体"/>
          <w:b/>
          <w:bCs/>
          <w:color w:val="auto"/>
          <w:kern w:val="2"/>
          <w:sz w:val="36"/>
          <w:szCs w:val="30"/>
          <w:highlight w:val="none"/>
          <w:lang w:val="en-US" w:eastAsia="zh-CN" w:bidi="ar-SA"/>
        </w:rPr>
        <w:br w:type="page"/>
      </w:r>
    </w:p>
    <w:p w14:paraId="35046CF2">
      <w:pPr>
        <w:pStyle w:val="4"/>
        <w:spacing w:before="0" w:after="0" w:line="360" w:lineRule="auto"/>
        <w:ind w:left="0" w:leftChars="0" w:right="0" w:rightChars="0" w:firstLine="0" w:firstLineChars="0"/>
        <w:jc w:val="center"/>
        <w:rPr>
          <w:rFonts w:hint="eastAsia" w:ascii="宋体" w:hAnsi="宋体" w:eastAsia="宋体" w:cs="宋体"/>
          <w:b w:val="0"/>
          <w:color w:val="auto"/>
          <w:sz w:val="36"/>
          <w:szCs w:val="30"/>
          <w:highlight w:val="none"/>
        </w:rPr>
      </w:pPr>
      <w:r>
        <w:rPr>
          <w:rFonts w:hint="eastAsia" w:ascii="宋体" w:hAnsi="宋体" w:eastAsia="宋体" w:cs="宋体"/>
          <w:b/>
          <w:bCs/>
          <w:color w:val="auto"/>
          <w:kern w:val="2"/>
          <w:sz w:val="36"/>
          <w:szCs w:val="30"/>
          <w:highlight w:val="none"/>
          <w:lang w:val="en-US" w:eastAsia="zh-CN" w:bidi="ar-SA"/>
        </w:rPr>
        <w:t xml:space="preserve">第三篇  </w:t>
      </w:r>
      <w:bookmarkEnd w:id="21"/>
      <w:r>
        <w:rPr>
          <w:rFonts w:hint="eastAsia" w:ascii="宋体" w:hAnsi="宋体" w:eastAsia="宋体" w:cs="宋体"/>
          <w:b/>
          <w:bCs/>
          <w:color w:val="auto"/>
          <w:kern w:val="2"/>
          <w:sz w:val="36"/>
          <w:szCs w:val="30"/>
          <w:highlight w:val="none"/>
          <w:lang w:val="en-US" w:eastAsia="zh-CN" w:bidi="ar-SA"/>
        </w:rPr>
        <w:t>项目商务需求</w:t>
      </w:r>
      <w:bookmarkEnd w:id="32"/>
    </w:p>
    <w:p w14:paraId="05341A04">
      <w:pPr>
        <w:spacing w:line="360" w:lineRule="auto"/>
        <w:ind w:firstLine="482" w:firstLineChars="200"/>
        <w:rPr>
          <w:rFonts w:hint="eastAsia" w:ascii="宋体" w:hAnsi="宋体" w:eastAsia="宋体" w:cs="宋体"/>
          <w:color w:val="auto"/>
          <w:sz w:val="24"/>
          <w:highlight w:val="none"/>
        </w:rPr>
      </w:pPr>
      <w:bookmarkStart w:id="33" w:name="_Toc858"/>
      <w:bookmarkStart w:id="34" w:name="_Toc342913389"/>
      <w:r>
        <w:rPr>
          <w:rFonts w:hint="eastAsia" w:ascii="宋体" w:hAnsi="宋体" w:cs="宋体"/>
          <w:b/>
          <w:bCs/>
          <w:color w:val="auto"/>
          <w:sz w:val="24"/>
          <w:szCs w:val="24"/>
          <w:highlight w:val="none"/>
        </w:rPr>
        <w:t>注：本篇</w:t>
      </w:r>
      <w:r>
        <w:rPr>
          <w:rFonts w:hint="eastAsia" w:ascii="宋体" w:hAnsi="宋体" w:cs="宋体"/>
          <w:b/>
          <w:bCs/>
          <w:color w:val="auto"/>
          <w:sz w:val="24"/>
          <w:szCs w:val="24"/>
          <w:highlight w:val="none"/>
          <w:lang w:eastAsia="zh-CN"/>
        </w:rPr>
        <w:t>商务</w:t>
      </w:r>
      <w:r>
        <w:rPr>
          <w:rFonts w:hint="eastAsia" w:ascii="宋体" w:hAnsi="宋体" w:cs="宋体"/>
          <w:b/>
          <w:bCs/>
          <w:color w:val="auto"/>
          <w:sz w:val="24"/>
          <w:szCs w:val="24"/>
          <w:highlight w:val="none"/>
        </w:rPr>
        <w:t>需求均为符合性审查中的实质性要求，响应文件若不满足按无效处理。</w:t>
      </w:r>
    </w:p>
    <w:p w14:paraId="0CCE68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限</w:t>
      </w:r>
      <w:r>
        <w:rPr>
          <w:rFonts w:hint="eastAsia" w:ascii="宋体" w:hAnsi="宋体" w:eastAsia="宋体" w:cs="宋体"/>
          <w:color w:val="auto"/>
          <w:sz w:val="24"/>
          <w:highlight w:val="none"/>
        </w:rPr>
        <w:t>、地点及验收方式</w:t>
      </w:r>
      <w:bookmarkEnd w:id="33"/>
    </w:p>
    <w:p w14:paraId="51F0575D">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bookmarkStart w:id="35" w:name="_Toc28053"/>
      <w:bookmarkStart w:id="36" w:name="_Toc76462329"/>
      <w:r>
        <w:rPr>
          <w:rFonts w:hint="eastAsia" w:ascii="宋体" w:hAnsi="宋体" w:eastAsia="宋体" w:cs="宋体"/>
          <w:b w:val="0"/>
          <w:bCs/>
          <w:color w:val="auto"/>
          <w:sz w:val="24"/>
          <w:highlight w:val="none"/>
        </w:rPr>
        <w:t>（一）服务时间：本项目自合同签订之日起服务期限二年。</w:t>
      </w:r>
    </w:p>
    <w:p w14:paraId="43A36C57">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（二）服务地点：</w:t>
      </w:r>
      <w:r>
        <w:rPr>
          <w:rFonts w:hint="eastAsia" w:ascii="宋体" w:hAnsi="宋体" w:eastAsia="宋体" w:cs="宋体"/>
          <w:b w:val="0"/>
          <w:bCs/>
          <w:color w:val="auto"/>
          <w:sz w:val="24"/>
          <w:highlight w:val="none"/>
          <w:lang w:eastAsia="zh-CN"/>
        </w:rPr>
        <w:t>重庆市大足区财政局</w:t>
      </w:r>
      <w:r>
        <w:rPr>
          <w:rFonts w:hint="eastAsia" w:ascii="宋体" w:hAnsi="宋体" w:eastAsia="宋体" w:cs="宋体"/>
          <w:b w:val="0"/>
          <w:bCs/>
          <w:color w:val="auto"/>
          <w:sz w:val="24"/>
          <w:highlight w:val="none"/>
        </w:rPr>
        <w:t xml:space="preserve"> </w:t>
      </w:r>
    </w:p>
    <w:p w14:paraId="01FD2B7E">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（三）验收方式</w:t>
      </w:r>
      <w:r>
        <w:rPr>
          <w:rFonts w:hint="eastAsia" w:ascii="宋体" w:hAnsi="宋体" w:eastAsia="宋体" w:cs="宋体"/>
          <w:b w:val="0"/>
          <w:bCs/>
          <w:color w:val="auto"/>
          <w:sz w:val="24"/>
          <w:highlight w:val="none"/>
          <w:lang w:eastAsia="zh-CN"/>
        </w:rPr>
        <w:t>：</w:t>
      </w:r>
    </w:p>
    <w:p w14:paraId="624503FF">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采购人每月对供应商提供的服务进行职工满意度调查，第一次职工满意度低于50%时，由采购人发出书面整改通知书，供应商需按照采购人要求进行整改，如职工满意度连续两月低于50%或者一次职工满意度低于60%，采购人有权终止合同，不支付余下款项。</w:t>
      </w:r>
    </w:p>
    <w:p w14:paraId="00E31471">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二、报价要求</w:t>
      </w:r>
      <w:bookmarkEnd w:id="35"/>
      <w:bookmarkEnd w:id="36"/>
    </w:p>
    <w:p w14:paraId="26873A2E">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color w:val="auto"/>
          <w:sz w:val="24"/>
          <w:highlight w:val="none"/>
          <w:lang w:eastAsia="zh-CN"/>
        </w:rPr>
      </w:pPr>
      <w:bookmarkStart w:id="37" w:name="_Toc76462330"/>
      <w:bookmarkStart w:id="38" w:name="_Toc344475122"/>
      <w:bookmarkStart w:id="39" w:name="_Toc26438"/>
      <w:r>
        <w:rPr>
          <w:rFonts w:hint="eastAsia" w:ascii="宋体" w:hAnsi="宋体" w:eastAsia="宋体" w:cs="宋体"/>
          <w:b w:val="0"/>
          <w:bCs w:val="0"/>
          <w:color w:val="auto"/>
          <w:kern w:val="2"/>
          <w:sz w:val="24"/>
          <w:szCs w:val="24"/>
          <w:highlight w:val="none"/>
          <w:lang w:val="en-US" w:eastAsia="zh-CN" w:bidi="ar-SA"/>
        </w:rPr>
        <w:t>本次报价为人民币报价，报价应当包含人员工资、社会保险（包括养老、医疗、工伤、生育险、失业保险等）、福利、意外险、劳保用品等所有费用的总和，因供应商自身原因少报或者漏报，采购人均不做任何补偿，造成的损失由供应商自行承担。</w:t>
      </w:r>
    </w:p>
    <w:p w14:paraId="2789C305">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bookmarkEnd w:id="37"/>
      <w:bookmarkEnd w:id="38"/>
      <w:bookmarkEnd w:id="39"/>
    </w:p>
    <w:p w14:paraId="7EEEC198">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color w:val="auto"/>
          <w:kern w:val="2"/>
          <w:sz w:val="24"/>
          <w:highlight w:val="none"/>
          <w:lang w:val="en-US" w:eastAsia="zh-CN" w:bidi="ar-SA"/>
        </w:rPr>
      </w:pPr>
      <w:bookmarkStart w:id="40" w:name="_Toc3640"/>
      <w:r>
        <w:rPr>
          <w:rFonts w:hint="eastAsia" w:ascii="宋体" w:hAnsi="宋体" w:eastAsia="宋体" w:cs="宋体"/>
          <w:b w:val="0"/>
          <w:bCs w:val="0"/>
          <w:color w:val="auto"/>
          <w:kern w:val="2"/>
          <w:sz w:val="24"/>
          <w:szCs w:val="24"/>
          <w:highlight w:val="none"/>
          <w:lang w:val="en-US" w:eastAsia="zh-CN" w:bidi="ar-SA"/>
        </w:rPr>
        <w:t>本项目按</w:t>
      </w:r>
      <w:r>
        <w:rPr>
          <w:rFonts w:hint="eastAsia" w:ascii="宋体" w:hAnsi="宋体" w:cs="宋体"/>
          <w:b w:val="0"/>
          <w:bCs w:val="0"/>
          <w:color w:val="auto"/>
          <w:kern w:val="2"/>
          <w:sz w:val="24"/>
          <w:szCs w:val="24"/>
          <w:highlight w:val="none"/>
          <w:lang w:val="en-US" w:eastAsia="zh-CN" w:bidi="ar-SA"/>
        </w:rPr>
        <w:t>成交</w:t>
      </w:r>
      <w:r>
        <w:rPr>
          <w:rFonts w:hint="eastAsia" w:ascii="宋体" w:hAnsi="宋体" w:eastAsia="宋体" w:cs="宋体"/>
          <w:b w:val="0"/>
          <w:bCs w:val="0"/>
          <w:color w:val="auto"/>
          <w:kern w:val="2"/>
          <w:sz w:val="24"/>
          <w:szCs w:val="24"/>
          <w:highlight w:val="none"/>
          <w:lang w:val="en-US" w:eastAsia="zh-CN" w:bidi="ar-SA"/>
        </w:rPr>
        <w:t>金额月平均额每月支付。</w:t>
      </w:r>
    </w:p>
    <w:p w14:paraId="3BF44B28">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、知识产权</w:t>
      </w:r>
      <w:bookmarkEnd w:id="40"/>
    </w:p>
    <w:p w14:paraId="03596922">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41" w:name="_Toc27637"/>
      <w:bookmarkStart w:id="42" w:name="_Toc26926"/>
      <w:bookmarkStart w:id="43" w:name="_Toc1026"/>
      <w:bookmarkStart w:id="44" w:name="_Toc15109"/>
      <w:bookmarkStart w:id="45" w:name="_Toc7629"/>
      <w:bookmarkStart w:id="46" w:name="_Toc15548"/>
      <w:bookmarkStart w:id="47" w:name="_Toc29615"/>
      <w:bookmarkStart w:id="48" w:name="_Toc15159"/>
      <w:bookmarkStart w:id="49" w:name="_Toc25464"/>
      <w:bookmarkStart w:id="50" w:name="_Toc31803"/>
      <w:bookmarkStart w:id="51" w:name="_Toc4784"/>
      <w:bookmarkStart w:id="52" w:name="_Toc267320053"/>
      <w:bookmarkStart w:id="53" w:name="_Toc3404"/>
      <w:bookmarkStart w:id="54" w:name="_Toc121315153"/>
      <w:bookmarkStart w:id="55" w:name="_Toc121310794"/>
      <w:bookmarkStart w:id="56" w:name="_Toc20895"/>
      <w:bookmarkStart w:id="57" w:name="_Toc75793514"/>
      <w:bookmarkStart w:id="58" w:name="_Toc1949"/>
      <w:r>
        <w:rPr>
          <w:rFonts w:hint="eastAsia" w:ascii="宋体" w:hAnsi="宋体" w:eastAsia="宋体" w:cs="宋体"/>
          <w:b w:val="0"/>
          <w:bCs w:val="0"/>
          <w:color w:val="auto"/>
          <w:sz w:val="24"/>
          <w:szCs w:val="24"/>
          <w:highlight w:val="none"/>
          <w:lang w:val="en-US" w:eastAsia="zh-CN"/>
        </w:rPr>
        <w:t>采购人在中华人民共和国境内使用供应商提供的服务时免受第三方提出的侵犯其专利权或其它知识产权的起诉。如果第三方提出侵权指控，</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应承担由此而引起的一切法律责任和费用。</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35C88C59">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本项目所涉及的知识产权归采购人所有。</w:t>
      </w:r>
    </w:p>
    <w:p w14:paraId="6A029963">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color w:val="auto"/>
          <w:kern w:val="2"/>
          <w:sz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不可抗力</w:t>
      </w:r>
    </w:p>
    <w:p w14:paraId="5E267D1B">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因相关政策调整等不可抗力原因致使项目取消或延期或调整的，或因客观原因致使合同无法订立或订立后因无法履行而解除的，采购人不承担任何责任。</w:t>
      </w:r>
    </w:p>
    <w:p w14:paraId="008FC929">
      <w:pPr>
        <w:keepNext/>
        <w:keepLines/>
        <w:pageBreakBefore w:val="0"/>
        <w:widowControl w:val="0"/>
        <w:kinsoku/>
        <w:wordWrap/>
        <w:overflowPunct/>
        <w:topLinePunct w:val="0"/>
        <w:autoSpaceDE/>
        <w:autoSpaceDN/>
        <w:bidi w:val="0"/>
        <w:adjustRightInd w:val="0"/>
        <w:snapToGrid w:val="0"/>
        <w:spacing w:before="0" w:after="0" w:line="400" w:lineRule="exact"/>
        <w:ind w:firstLine="482" w:firstLineChars="200"/>
        <w:jc w:val="both"/>
        <w:textAlignment w:val="auto"/>
        <w:outlineLvl w:val="1"/>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六</w:t>
      </w:r>
      <w:r>
        <w:rPr>
          <w:rFonts w:hint="eastAsia" w:ascii="宋体" w:hAnsi="宋体" w:eastAsia="宋体" w:cs="宋体"/>
          <w:b/>
          <w:color w:val="auto"/>
          <w:kern w:val="2"/>
          <w:sz w:val="24"/>
          <w:highlight w:val="none"/>
          <w:lang w:val="en-US" w:eastAsia="zh-CN" w:bidi="ar-SA"/>
        </w:rPr>
        <w:t>、其他</w:t>
      </w:r>
    </w:p>
    <w:p w14:paraId="5358107F">
      <w:pPr>
        <w:pStyle w:val="3"/>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其他未尽事宜由供需双方在采购合同中详细约定。</w:t>
      </w:r>
    </w:p>
    <w:p w14:paraId="6656C2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color w:val="auto"/>
          <w:sz w:val="24"/>
          <w:szCs w:val="24"/>
          <w:highlight w:val="none"/>
        </w:rPr>
      </w:pPr>
    </w:p>
    <w:p w14:paraId="1F869BEB">
      <w:pPr>
        <w:pStyle w:val="13"/>
        <w:spacing w:line="400" w:lineRule="exact"/>
        <w:ind w:firstLine="480" w:firstLineChars="200"/>
        <w:rPr>
          <w:rFonts w:hint="eastAsia" w:ascii="宋体" w:hAnsi="宋体" w:eastAsia="宋体" w:cs="宋体"/>
          <w:bCs/>
          <w:color w:val="auto"/>
          <w:sz w:val="24"/>
          <w:szCs w:val="24"/>
          <w:highlight w:val="none"/>
        </w:rPr>
      </w:pPr>
    </w:p>
    <w:p w14:paraId="3AFB677B">
      <w:pPr>
        <w:jc w:val="center"/>
        <w:rPr>
          <w:rFonts w:hint="eastAsia" w:ascii="宋体" w:hAnsi="宋体" w:eastAsia="宋体" w:cs="宋体"/>
          <w:b/>
          <w:color w:val="auto"/>
          <w:sz w:val="24"/>
          <w:szCs w:val="24"/>
          <w:highlight w:val="none"/>
        </w:rPr>
      </w:pPr>
      <w:bookmarkStart w:id="59" w:name="_Toc6453"/>
      <w:bookmarkStart w:id="60" w:name="_Toc487204778"/>
      <w:bookmarkStart w:id="61" w:name="_Toc3115"/>
    </w:p>
    <w:p w14:paraId="4E14DC5B">
      <w:pPr>
        <w:jc w:val="both"/>
        <w:outlineLvl w:val="0"/>
        <w:rPr>
          <w:rFonts w:hint="eastAsia" w:ascii="宋体" w:hAnsi="宋体" w:eastAsia="宋体" w:cs="宋体"/>
          <w:color w:val="auto"/>
          <w:sz w:val="24"/>
          <w:szCs w:val="24"/>
          <w:highlight w:val="none"/>
        </w:rPr>
      </w:pPr>
    </w:p>
    <w:p w14:paraId="769BC871">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59"/>
    <w:bookmarkEnd w:id="60"/>
    <w:bookmarkEnd w:id="61"/>
    <w:p w14:paraId="0AD4A9B4">
      <w:pPr>
        <w:pStyle w:val="4"/>
        <w:pageBreakBefore/>
        <w:snapToGrid w:val="0"/>
        <w:spacing w:before="0" w:after="0" w:line="360" w:lineRule="auto"/>
        <w:jc w:val="center"/>
        <w:rPr>
          <w:rFonts w:hint="eastAsia" w:ascii="宋体" w:hAnsi="宋体" w:eastAsia="宋体"/>
          <w:b w:val="0"/>
          <w:color w:val="auto"/>
          <w:sz w:val="36"/>
          <w:szCs w:val="30"/>
          <w:highlight w:val="none"/>
        </w:rPr>
      </w:pPr>
      <w:bookmarkStart w:id="62" w:name="_Toc12201"/>
      <w:bookmarkStart w:id="63" w:name="_Toc179714298"/>
      <w:bookmarkStart w:id="64" w:name="_Toc487204782"/>
      <w:bookmarkStart w:id="65" w:name="_Toc102227319"/>
      <w:bookmarkStart w:id="66" w:name="_Toc342913393"/>
      <w:bookmarkStart w:id="67" w:name="_Toc426965633"/>
      <w:bookmarkStart w:id="68" w:name="_Toc31795"/>
      <w:bookmarkStart w:id="69" w:name="_Toc31741"/>
      <w:r>
        <w:rPr>
          <w:rFonts w:hint="eastAsia" w:ascii="宋体" w:hAnsi="宋体" w:eastAsia="宋体"/>
          <w:b/>
          <w:bCs/>
          <w:color w:val="auto"/>
          <w:sz w:val="36"/>
          <w:szCs w:val="30"/>
          <w:highlight w:val="none"/>
        </w:rPr>
        <w:t>第四篇  开标程序及方法、评审标准、无效响应和</w:t>
      </w:r>
      <w:r>
        <w:rPr>
          <w:rFonts w:hint="eastAsia" w:ascii="宋体" w:hAnsi="宋体" w:eastAsia="宋体"/>
          <w:b/>
          <w:bCs/>
          <w:color w:val="auto"/>
          <w:sz w:val="36"/>
          <w:szCs w:val="36"/>
          <w:highlight w:val="none"/>
        </w:rPr>
        <w:t>采购终止</w:t>
      </w:r>
      <w:bookmarkEnd w:id="62"/>
    </w:p>
    <w:p w14:paraId="4B19F30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70" w:name="_Toc24853"/>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w:t>
      </w:r>
      <w:bookmarkEnd w:id="63"/>
      <w:bookmarkEnd w:id="64"/>
      <w:bookmarkEnd w:id="65"/>
      <w:bookmarkEnd w:id="66"/>
      <w:bookmarkEnd w:id="67"/>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程序及成交标准</w:t>
      </w:r>
      <w:bookmarkEnd w:id="68"/>
      <w:bookmarkEnd w:id="69"/>
      <w:bookmarkEnd w:id="70"/>
    </w:p>
    <w:p w14:paraId="6D49D0C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规定的时间和地点进行。</w:t>
      </w:r>
    </w:p>
    <w:p w14:paraId="781D100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（二）资格性符合性检查</w:t>
      </w:r>
    </w:p>
    <w:p w14:paraId="5AC3644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6B26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10E09A1">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5" w:type="dxa"/>
            <w:vAlign w:val="center"/>
          </w:tcPr>
          <w:p w14:paraId="76A13F3B">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保证金</w:t>
            </w:r>
          </w:p>
        </w:tc>
        <w:tc>
          <w:tcPr>
            <w:tcW w:w="7491" w:type="dxa"/>
            <w:gridSpan w:val="2"/>
            <w:vAlign w:val="center"/>
          </w:tcPr>
          <w:p w14:paraId="2470FBCC">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按询比采购文件足额缴纳询比保证金</w:t>
            </w:r>
          </w:p>
        </w:tc>
      </w:tr>
    </w:tbl>
    <w:p w14:paraId="2F31D7B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的规定，从响应文件的有效性、完整性和对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的响应程度进行审查，以确定是否对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的实质性要求作出响应。符合性检查资料表如下：</w:t>
      </w:r>
    </w:p>
    <w:tbl>
      <w:tblPr>
        <w:tblStyle w:val="2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53"/>
        <w:gridCol w:w="2422"/>
        <w:gridCol w:w="4931"/>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4D25AA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75" w:type="dxa"/>
            <w:gridSpan w:val="2"/>
            <w:tcBorders>
              <w:top w:val="single" w:color="auto" w:sz="4" w:space="0"/>
              <w:left w:val="single" w:color="auto" w:sz="4" w:space="0"/>
              <w:bottom w:val="single" w:color="auto" w:sz="4" w:space="0"/>
              <w:right w:val="single" w:color="auto" w:sz="4" w:space="0"/>
            </w:tcBorders>
            <w:vAlign w:val="center"/>
          </w:tcPr>
          <w:p w14:paraId="6716A7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938" w:type="dxa"/>
            <w:gridSpan w:val="2"/>
            <w:tcBorders>
              <w:top w:val="single" w:color="auto" w:sz="4" w:space="0"/>
              <w:left w:val="single" w:color="auto" w:sz="4" w:space="0"/>
              <w:bottom w:val="single" w:color="auto" w:sz="4" w:space="0"/>
              <w:right w:val="single" w:color="auto" w:sz="4" w:space="0"/>
            </w:tcBorders>
            <w:vAlign w:val="center"/>
          </w:tcPr>
          <w:p w14:paraId="50D90A7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422" w:type="dxa"/>
            <w:tcBorders>
              <w:top w:val="single" w:color="auto" w:sz="4" w:space="0"/>
              <w:left w:val="single" w:color="auto" w:sz="4" w:space="0"/>
              <w:bottom w:val="single" w:color="auto" w:sz="4" w:space="0"/>
              <w:right w:val="single" w:color="auto" w:sz="4" w:space="0"/>
            </w:tcBorders>
            <w:vAlign w:val="center"/>
          </w:tcPr>
          <w:p w14:paraId="2DDA394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1" w:type="dxa"/>
            <w:tcBorders>
              <w:top w:val="single" w:color="auto" w:sz="4" w:space="0"/>
              <w:left w:val="single" w:color="auto" w:sz="4" w:space="0"/>
              <w:bottom w:val="single" w:color="auto" w:sz="4" w:space="0"/>
              <w:right w:val="single" w:color="auto" w:sz="4" w:space="0"/>
            </w:tcBorders>
            <w:vAlign w:val="center"/>
          </w:tcPr>
          <w:p w14:paraId="34FE5431">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796839A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931" w:type="dxa"/>
            <w:tcBorders>
              <w:top w:val="single" w:color="auto" w:sz="4" w:space="0"/>
              <w:left w:val="single" w:color="auto" w:sz="4" w:space="0"/>
              <w:bottom w:val="single" w:color="auto" w:sz="4" w:space="0"/>
              <w:right w:val="single" w:color="auto" w:sz="4" w:space="0"/>
            </w:tcBorders>
            <w:vAlign w:val="center"/>
          </w:tcPr>
          <w:p w14:paraId="173E529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9C3A8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931" w:type="dxa"/>
            <w:tcBorders>
              <w:top w:val="single" w:color="auto" w:sz="4" w:space="0"/>
              <w:left w:val="single" w:color="auto" w:sz="4" w:space="0"/>
              <w:bottom w:val="single" w:color="auto" w:sz="4" w:space="0"/>
              <w:right w:val="single" w:color="auto" w:sz="4" w:space="0"/>
            </w:tcBorders>
            <w:vAlign w:val="center"/>
          </w:tcPr>
          <w:p w14:paraId="40CDEA7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C2797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931" w:type="dxa"/>
            <w:tcBorders>
              <w:top w:val="single" w:color="auto" w:sz="4" w:space="0"/>
              <w:left w:val="single" w:color="auto" w:sz="4" w:space="0"/>
              <w:bottom w:val="single" w:color="auto" w:sz="4" w:space="0"/>
              <w:right w:val="single" w:color="auto" w:sz="4" w:space="0"/>
            </w:tcBorders>
            <w:vAlign w:val="center"/>
          </w:tcPr>
          <w:p w14:paraId="27E471B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EFCFB33">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45EFD3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422" w:type="dxa"/>
            <w:tcBorders>
              <w:top w:val="single" w:color="auto" w:sz="4" w:space="0"/>
              <w:left w:val="single" w:color="auto" w:sz="4" w:space="0"/>
              <w:bottom w:val="single" w:color="auto" w:sz="4" w:space="0"/>
              <w:right w:val="single" w:color="auto" w:sz="4" w:space="0"/>
            </w:tcBorders>
            <w:vAlign w:val="center"/>
          </w:tcPr>
          <w:p w14:paraId="183F2B0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931" w:type="dxa"/>
            <w:tcBorders>
              <w:top w:val="single" w:color="auto" w:sz="4" w:space="0"/>
              <w:left w:val="single" w:color="auto" w:sz="4" w:space="0"/>
              <w:bottom w:val="single" w:color="auto" w:sz="4" w:space="0"/>
              <w:right w:val="single" w:color="auto" w:sz="4" w:space="0"/>
            </w:tcBorders>
            <w:vAlign w:val="center"/>
          </w:tcPr>
          <w:p w14:paraId="71DD994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w:t>
            </w:r>
            <w:r>
              <w:rPr>
                <w:rFonts w:hint="eastAsia" w:ascii="宋体" w:hAnsi="宋体" w:cs="宋体"/>
                <w:color w:val="auto"/>
                <w:sz w:val="24"/>
                <w:szCs w:val="24"/>
                <w:highlight w:val="none"/>
                <w:lang w:val="zh-CN"/>
              </w:rPr>
              <w:t>数量</w:t>
            </w:r>
            <w:r>
              <w:rPr>
                <w:rFonts w:hint="eastAsia" w:ascii="宋体" w:hAnsi="宋体" w:eastAsia="宋体" w:cs="宋体"/>
                <w:color w:val="auto"/>
                <w:sz w:val="24"/>
                <w:szCs w:val="24"/>
                <w:highlight w:val="none"/>
                <w:lang w:val="zh-CN"/>
              </w:rPr>
              <w:t>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的响应程度审查</w:t>
            </w:r>
          </w:p>
        </w:tc>
        <w:tc>
          <w:tcPr>
            <w:tcW w:w="2422" w:type="dxa"/>
            <w:tcBorders>
              <w:top w:val="single" w:color="auto" w:sz="4" w:space="0"/>
              <w:left w:val="single" w:color="auto" w:sz="4" w:space="0"/>
              <w:bottom w:val="single" w:color="auto" w:sz="4" w:space="0"/>
              <w:right w:val="single" w:color="auto" w:sz="4" w:space="0"/>
            </w:tcBorders>
            <w:vAlign w:val="center"/>
          </w:tcPr>
          <w:p w14:paraId="3B61434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931" w:type="dxa"/>
            <w:tcBorders>
              <w:top w:val="single" w:color="auto" w:sz="4" w:space="0"/>
              <w:left w:val="single" w:color="auto" w:sz="4" w:space="0"/>
              <w:bottom w:val="single" w:color="auto" w:sz="4" w:space="0"/>
              <w:right w:val="single" w:color="auto" w:sz="4" w:space="0"/>
            </w:tcBorders>
            <w:vAlign w:val="center"/>
          </w:tcPr>
          <w:p w14:paraId="519B7AA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第二篇、第三篇规定的内容作出响应。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422" w:type="dxa"/>
            <w:tcBorders>
              <w:top w:val="single" w:color="auto" w:sz="4" w:space="0"/>
              <w:left w:val="single" w:color="auto" w:sz="4" w:space="0"/>
              <w:bottom w:val="single" w:color="auto" w:sz="4" w:space="0"/>
              <w:right w:val="single" w:color="auto" w:sz="4" w:space="0"/>
            </w:tcBorders>
            <w:vAlign w:val="center"/>
          </w:tcPr>
          <w:p w14:paraId="18DA18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w:t>
            </w:r>
          </w:p>
        </w:tc>
        <w:tc>
          <w:tcPr>
            <w:tcW w:w="4931" w:type="dxa"/>
            <w:tcBorders>
              <w:top w:val="single" w:color="auto" w:sz="4" w:space="0"/>
              <w:left w:val="single" w:color="auto" w:sz="4" w:space="0"/>
              <w:bottom w:val="single" w:color="auto" w:sz="4" w:space="0"/>
              <w:right w:val="single" w:color="auto" w:sz="4" w:space="0"/>
            </w:tcBorders>
            <w:vAlign w:val="center"/>
          </w:tcPr>
          <w:p w14:paraId="29CEF8E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五</w:t>
      </w:r>
      <w:r>
        <w:rPr>
          <w:rFonts w:hint="eastAsia" w:ascii="宋体" w:hAnsi="宋体" w:cs="宋体"/>
          <w:color w:val="auto"/>
          <w:kern w:val="0"/>
          <w:sz w:val="24"/>
          <w:szCs w:val="24"/>
          <w:highlight w:val="none"/>
        </w:rPr>
        <w:t>）评审小组采用综合评分法对供应商的响应文件进行综合评分。综合评分法，是指响应文件</w:t>
      </w:r>
      <w:r>
        <w:rPr>
          <w:rFonts w:ascii="宋体" w:hAnsi="宋体" w:cs="宋体"/>
          <w:color w:val="auto"/>
          <w:kern w:val="0"/>
          <w:sz w:val="24"/>
          <w:szCs w:val="24"/>
          <w:highlight w:val="none"/>
        </w:rPr>
        <w:t>满足</w:t>
      </w:r>
      <w:r>
        <w:rPr>
          <w:rFonts w:hint="eastAsia" w:ascii="宋体" w:hAnsi="宋体" w:cs="宋体"/>
          <w:color w:val="auto"/>
          <w:kern w:val="0"/>
          <w:sz w:val="24"/>
          <w:szCs w:val="24"/>
          <w:highlight w:val="none"/>
        </w:rPr>
        <w:t>网上</w:t>
      </w:r>
      <w:r>
        <w:rPr>
          <w:rFonts w:hint="eastAsia" w:ascii="宋体" w:hAnsi="宋体" w:cs="宋体"/>
          <w:color w:val="auto"/>
          <w:kern w:val="0"/>
          <w:sz w:val="24"/>
          <w:szCs w:val="24"/>
          <w:highlight w:val="none"/>
          <w:lang w:eastAsia="zh-CN"/>
        </w:rPr>
        <w:t>询比文件</w:t>
      </w:r>
      <w:r>
        <w:rPr>
          <w:rFonts w:ascii="宋体" w:hAnsi="宋体" w:cs="宋体"/>
          <w:color w:val="auto"/>
          <w:kern w:val="0"/>
          <w:sz w:val="24"/>
          <w:szCs w:val="24"/>
          <w:highlight w:val="none"/>
        </w:rPr>
        <w:t>全部实质性要求且按照评审因素的量化指标评审得分最高的供应商为</w:t>
      </w:r>
      <w:r>
        <w:rPr>
          <w:rFonts w:hint="eastAsia" w:ascii="宋体" w:hAnsi="宋体" w:cs="宋体"/>
          <w:color w:val="auto"/>
          <w:kern w:val="0"/>
          <w:sz w:val="24"/>
          <w:szCs w:val="24"/>
          <w:highlight w:val="none"/>
        </w:rPr>
        <w:t>成交</w:t>
      </w:r>
      <w:r>
        <w:rPr>
          <w:rFonts w:ascii="宋体" w:hAnsi="宋体" w:cs="宋体"/>
          <w:color w:val="auto"/>
          <w:kern w:val="0"/>
          <w:sz w:val="24"/>
          <w:szCs w:val="24"/>
          <w:highlight w:val="none"/>
        </w:rPr>
        <w:t>候选</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评审</w:t>
      </w:r>
      <w:r>
        <w:rPr>
          <w:rFonts w:ascii="宋体" w:hAnsi="宋体" w:cs="宋体"/>
          <w:color w:val="auto"/>
          <w:kern w:val="0"/>
          <w:sz w:val="24"/>
          <w:szCs w:val="24"/>
          <w:highlight w:val="none"/>
        </w:rPr>
        <w:t>方法</w:t>
      </w:r>
      <w:r>
        <w:rPr>
          <w:rFonts w:hint="eastAsia" w:ascii="宋体" w:hAnsi="宋体" w:cs="宋体"/>
          <w:color w:val="auto"/>
          <w:kern w:val="0"/>
          <w:sz w:val="24"/>
          <w:szCs w:val="24"/>
          <w:highlight w:val="none"/>
        </w:rPr>
        <w:t>。供应商总得分为价格、</w:t>
      </w:r>
      <w:r>
        <w:rPr>
          <w:rFonts w:hint="eastAsia" w:ascii="宋体" w:hAnsi="宋体" w:cs="宋体"/>
          <w:color w:val="auto"/>
          <w:kern w:val="0"/>
          <w:sz w:val="24"/>
          <w:szCs w:val="24"/>
          <w:highlight w:val="none"/>
          <w:lang w:eastAsia="zh-CN"/>
        </w:rPr>
        <w:t>技术</w:t>
      </w:r>
      <w:r>
        <w:rPr>
          <w:rFonts w:hint="eastAsia" w:ascii="宋体" w:hAnsi="宋体" w:cs="宋体"/>
          <w:color w:val="auto"/>
          <w:kern w:val="0"/>
          <w:sz w:val="24"/>
          <w:szCs w:val="24"/>
          <w:highlight w:val="none"/>
        </w:rPr>
        <w:t>、商务等评定因素分别按照相应权重值计算分项得分后相加，</w:t>
      </w:r>
      <w:r>
        <w:rPr>
          <w:rFonts w:hint="eastAsia" w:ascii="宋体" w:hAnsi="宋体" w:cs="宋体"/>
          <w:color w:val="auto"/>
          <w:sz w:val="24"/>
          <w:szCs w:val="24"/>
          <w:highlight w:val="none"/>
        </w:rPr>
        <w:t>满分为10</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）评审小组各成员独立对每个有效响应（通过资格审查、符合性审查的供应商）的文件进行评价、打分，</w:t>
      </w:r>
      <w:r>
        <w:rPr>
          <w:rFonts w:hint="eastAsia" w:ascii="宋体" w:hAnsi="宋体" w:cs="宋体"/>
          <w:color w:val="auto"/>
          <w:sz w:val="24"/>
          <w:szCs w:val="24"/>
          <w:highlight w:val="none"/>
        </w:rPr>
        <w:t>然后由评审小组对各成员打分情况进行核查及复核，个别成员对同一供应商同一评分项的打分偏离较大的，应对供应商的</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进行再次核对，确属打分有误的，应及时进行修正。复核后，评审小组汇总每个供应商每项评分因素的得分</w:t>
      </w:r>
      <w:r>
        <w:rPr>
          <w:rFonts w:hint="eastAsia" w:ascii="宋体" w:hAnsi="宋体" w:cs="宋体"/>
          <w:color w:val="auto"/>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报价由低到高的顺序排列推荐。评审得分且</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报价相同的，按照</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指标优劣顺序排列推荐。若供应商的</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部分为0分，将失去成为成交候选供应商的资格。</w:t>
      </w:r>
      <w:bookmarkStart w:id="71" w:name="_Toc104806988"/>
      <w:bookmarkStart w:id="72" w:name="_Toc1719"/>
      <w:bookmarkStart w:id="73" w:name="_Toc15278"/>
    </w:p>
    <w:p w14:paraId="765FC324">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bookmarkStart w:id="74" w:name="_Toc24791"/>
      <w:r>
        <w:rPr>
          <w:rFonts w:hint="eastAsia" w:ascii="宋体" w:hAnsi="宋体" w:eastAsia="宋体" w:cs="宋体"/>
          <w:b/>
          <w:bCs/>
          <w:color w:val="auto"/>
          <w:sz w:val="24"/>
          <w:szCs w:val="24"/>
          <w:highlight w:val="none"/>
          <w:lang w:eastAsia="zh-CN"/>
        </w:rPr>
        <w:t>二、评审标准</w:t>
      </w:r>
      <w:bookmarkEnd w:id="71"/>
      <w:bookmarkEnd w:id="74"/>
    </w:p>
    <w:tbl>
      <w:tblPr>
        <w:tblStyle w:val="24"/>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472"/>
        <w:gridCol w:w="4917"/>
        <w:gridCol w:w="2125"/>
      </w:tblGrid>
      <w:tr w14:paraId="278C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AD895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bookmarkStart w:id="75" w:name="_Toc8881"/>
            <w:r>
              <w:rPr>
                <w:rStyle w:val="55"/>
                <w:rFonts w:hint="eastAsia" w:ascii="宋体" w:hAnsi="宋体" w:eastAsia="宋体" w:cs="宋体"/>
                <w:b/>
                <w:bCs/>
                <w:color w:val="auto"/>
                <w:sz w:val="24"/>
                <w:szCs w:val="24"/>
                <w:highlight w:val="none"/>
              </w:rPr>
              <w:t>序号</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3DF49CC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r>
              <w:rPr>
                <w:rStyle w:val="55"/>
                <w:rFonts w:hint="eastAsia" w:ascii="宋体" w:hAnsi="宋体" w:eastAsia="宋体" w:cs="宋体"/>
                <w:b/>
                <w:bCs/>
                <w:color w:val="auto"/>
                <w:sz w:val="24"/>
                <w:szCs w:val="24"/>
                <w:highlight w:val="none"/>
              </w:rPr>
              <w:t>评分因素及分值</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064955E4">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r>
              <w:rPr>
                <w:rStyle w:val="55"/>
                <w:rFonts w:hint="eastAsia" w:ascii="宋体" w:hAnsi="宋体" w:eastAsia="宋体" w:cs="宋体"/>
                <w:b/>
                <w:bCs/>
                <w:color w:val="auto"/>
                <w:sz w:val="24"/>
                <w:szCs w:val="24"/>
                <w:highlight w:val="none"/>
              </w:rPr>
              <w:t>评分标准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37335A">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r>
              <w:rPr>
                <w:rStyle w:val="55"/>
                <w:rFonts w:hint="eastAsia" w:ascii="宋体" w:hAnsi="宋体" w:eastAsia="宋体" w:cs="宋体"/>
                <w:b/>
                <w:bCs/>
                <w:color w:val="auto"/>
                <w:sz w:val="24"/>
                <w:szCs w:val="24"/>
                <w:highlight w:val="none"/>
              </w:rPr>
              <w:t>说明</w:t>
            </w:r>
          </w:p>
        </w:tc>
      </w:tr>
      <w:tr w14:paraId="3244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D13B0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1</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3E39635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报价部分（</w:t>
            </w:r>
            <w:r>
              <w:rPr>
                <w:rStyle w:val="55"/>
                <w:rFonts w:hint="eastAsia" w:ascii="宋体" w:hAnsi="宋体" w:cs="宋体"/>
                <w:color w:val="auto"/>
                <w:sz w:val="24"/>
                <w:szCs w:val="24"/>
                <w:highlight w:val="none"/>
                <w:lang w:val="en-US" w:eastAsia="zh-CN"/>
              </w:rPr>
              <w:t>30</w:t>
            </w:r>
            <w:r>
              <w:rPr>
                <w:rStyle w:val="55"/>
                <w:rFonts w:hint="eastAsia" w:ascii="宋体" w:hAnsi="宋体" w:eastAsia="宋体" w:cs="宋体"/>
                <w:color w:val="auto"/>
                <w:sz w:val="24"/>
                <w:szCs w:val="24"/>
                <w:highlight w:val="none"/>
              </w:rPr>
              <w:t>%）</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01F1582">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有效的</w:t>
            </w:r>
            <w:r>
              <w:rPr>
                <w:rStyle w:val="55"/>
                <w:rFonts w:hint="eastAsia" w:ascii="宋体" w:hAnsi="宋体" w:eastAsia="宋体" w:cs="宋体"/>
                <w:color w:val="auto"/>
                <w:sz w:val="24"/>
                <w:szCs w:val="24"/>
                <w:highlight w:val="none"/>
                <w:lang w:eastAsia="zh-CN"/>
              </w:rPr>
              <w:t>询比</w:t>
            </w:r>
            <w:r>
              <w:rPr>
                <w:rStyle w:val="55"/>
                <w:rFonts w:hint="eastAsia" w:ascii="宋体" w:hAnsi="宋体" w:eastAsia="宋体" w:cs="宋体"/>
                <w:color w:val="auto"/>
                <w:sz w:val="24"/>
                <w:szCs w:val="24"/>
                <w:highlight w:val="none"/>
              </w:rPr>
              <w:t>报价中的最低价为评标基准价，其价格分为满分。其他</w:t>
            </w:r>
            <w:r>
              <w:rPr>
                <w:rStyle w:val="55"/>
                <w:rFonts w:hint="eastAsia" w:ascii="宋体" w:hAnsi="宋体" w:cs="宋体"/>
                <w:color w:val="auto"/>
                <w:sz w:val="24"/>
                <w:szCs w:val="24"/>
                <w:highlight w:val="none"/>
                <w:lang w:eastAsia="zh-CN"/>
              </w:rPr>
              <w:t>供应商</w:t>
            </w:r>
            <w:r>
              <w:rPr>
                <w:rStyle w:val="55"/>
                <w:rFonts w:hint="eastAsia" w:ascii="宋体" w:hAnsi="宋体" w:eastAsia="宋体" w:cs="宋体"/>
                <w:color w:val="auto"/>
                <w:sz w:val="24"/>
                <w:szCs w:val="24"/>
                <w:highlight w:val="none"/>
              </w:rPr>
              <w:t>的价格分统一按照下列公式计算。</w:t>
            </w:r>
          </w:p>
          <w:p w14:paraId="409CC88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投标报价得分＝（</w:t>
            </w:r>
            <w:r>
              <w:rPr>
                <w:rStyle w:val="55"/>
                <w:rFonts w:hint="eastAsia" w:ascii="宋体" w:hAnsi="宋体" w:eastAsia="宋体" w:cs="宋体"/>
                <w:color w:val="auto"/>
                <w:sz w:val="24"/>
                <w:szCs w:val="24"/>
                <w:highlight w:val="none"/>
                <w:lang w:eastAsia="zh-CN"/>
              </w:rPr>
              <w:t>评审</w:t>
            </w:r>
            <w:r>
              <w:rPr>
                <w:rStyle w:val="55"/>
                <w:rFonts w:hint="eastAsia" w:ascii="宋体" w:hAnsi="宋体" w:eastAsia="宋体" w:cs="宋体"/>
                <w:color w:val="auto"/>
                <w:sz w:val="24"/>
                <w:szCs w:val="24"/>
                <w:highlight w:val="none"/>
              </w:rPr>
              <w:t>基准价/</w:t>
            </w:r>
            <w:r>
              <w:rPr>
                <w:rStyle w:val="55"/>
                <w:rFonts w:hint="eastAsia" w:ascii="宋体" w:hAnsi="宋体" w:eastAsia="宋体" w:cs="宋体"/>
                <w:color w:val="auto"/>
                <w:sz w:val="24"/>
                <w:szCs w:val="24"/>
                <w:highlight w:val="none"/>
                <w:lang w:eastAsia="zh-CN"/>
              </w:rPr>
              <w:t>询比</w:t>
            </w:r>
            <w:r>
              <w:rPr>
                <w:rStyle w:val="55"/>
                <w:rFonts w:hint="eastAsia" w:ascii="宋体" w:hAnsi="宋体" w:eastAsia="宋体" w:cs="宋体"/>
                <w:color w:val="auto"/>
                <w:sz w:val="24"/>
                <w:szCs w:val="24"/>
                <w:highlight w:val="none"/>
              </w:rPr>
              <w:t>报价）×价格权重×100。</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DF40E3">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高于预算价为无效报价</w:t>
            </w:r>
          </w:p>
        </w:tc>
      </w:tr>
      <w:tr w14:paraId="18A8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14:paraId="71199DB7">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2</w:t>
            </w:r>
          </w:p>
          <w:p w14:paraId="7F3A9D35">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restart"/>
            <w:tcBorders>
              <w:top w:val="single" w:color="000000" w:sz="4" w:space="0"/>
              <w:left w:val="single" w:color="000000" w:sz="4" w:space="0"/>
              <w:right w:val="single" w:color="000000" w:sz="4" w:space="0"/>
            </w:tcBorders>
            <w:noWrap w:val="0"/>
            <w:vAlign w:val="center"/>
          </w:tcPr>
          <w:p w14:paraId="5E1B56E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p w14:paraId="459BF86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服务部分（50%）</w:t>
            </w:r>
          </w:p>
          <w:p w14:paraId="2771B1D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p w14:paraId="7B49F7D5">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16561A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1.管理方案（15分）</w:t>
            </w:r>
          </w:p>
          <w:p w14:paraId="1292797F">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应当编制符合本项目实际情况的管理方案，内容包含但不限于服务目标、供餐流程设计、服务质量考核指标、厨房卫生、厨余垃圾处置等内容。</w:t>
            </w:r>
          </w:p>
          <w:p w14:paraId="5D65D3B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7D8AC11A">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方案内容存在1处瑕疵得10分；</w:t>
            </w:r>
          </w:p>
          <w:p w14:paraId="47BBC685">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143C2D88">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Style w:val="55"/>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方案内容存在3处及以上瑕疵的或未提供得0分。</w:t>
            </w:r>
          </w:p>
        </w:tc>
        <w:tc>
          <w:tcPr>
            <w:tcW w:w="2125" w:type="dxa"/>
            <w:vMerge w:val="restart"/>
            <w:tcBorders>
              <w:top w:val="single" w:color="000000" w:sz="4" w:space="0"/>
              <w:left w:val="single" w:color="000000" w:sz="4" w:space="0"/>
              <w:right w:val="single" w:color="000000" w:sz="4" w:space="0"/>
            </w:tcBorders>
            <w:noWrap w:val="0"/>
            <w:vAlign w:val="top"/>
          </w:tcPr>
          <w:p w14:paraId="762D49CC">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注1：方案须建立在本项目服务场景之上，否则对应方案按0分处理。</w:t>
            </w:r>
          </w:p>
          <w:p w14:paraId="42751A02">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注2：本项内容中所称的“瑕疵”指以下内容：</w:t>
            </w:r>
          </w:p>
          <w:p w14:paraId="2173A528">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①方案内容缺项、内容表述不完整或缺少关键分析点；</w:t>
            </w:r>
          </w:p>
          <w:p w14:paraId="6C93AE9E">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②活动方案不符合本项目；</w:t>
            </w:r>
          </w:p>
          <w:p w14:paraId="789EE15A">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③内容表述前后矛盾、无连贯性、内容存在逻辑漏洞；</w:t>
            </w:r>
          </w:p>
          <w:p w14:paraId="02382093">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④常识性错误；</w:t>
            </w:r>
          </w:p>
          <w:p w14:paraId="3E466A04">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⑤实施方案及保障措施、质量保证方案并不适用本项目特性或非专门针对本项目制定；</w:t>
            </w:r>
          </w:p>
          <w:p w14:paraId="1E1833A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上述任意一种情形为1处瑕疵。</w:t>
            </w:r>
          </w:p>
        </w:tc>
      </w:tr>
      <w:tr w14:paraId="6F00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6442F0C0">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continue"/>
            <w:tcBorders>
              <w:left w:val="single" w:color="000000" w:sz="4" w:space="0"/>
              <w:right w:val="single" w:color="000000" w:sz="4" w:space="0"/>
            </w:tcBorders>
            <w:noWrap w:val="0"/>
            <w:vAlign w:val="center"/>
          </w:tcPr>
          <w:p w14:paraId="502862EC">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524FEBA9">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2.食品安全措施及应急方案（15分）</w:t>
            </w:r>
          </w:p>
          <w:p w14:paraId="776A84E7">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应当编制符合本项目实际情况的食品安全措施及应急方案，内容包含但不限于食品加工流程、食品安全事故处理流程、备用供餐方案、食品安全应急预案等内容。</w:t>
            </w:r>
          </w:p>
          <w:p w14:paraId="78199C37">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3483F95B">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方案内容存在1处瑕疵得10分；</w:t>
            </w:r>
          </w:p>
          <w:p w14:paraId="38840A3A">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21E1BAB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方案内容存在3处及以上瑕疵的或未提供得0分。</w:t>
            </w:r>
          </w:p>
        </w:tc>
        <w:tc>
          <w:tcPr>
            <w:tcW w:w="2125" w:type="dxa"/>
            <w:vMerge w:val="continue"/>
            <w:tcBorders>
              <w:left w:val="single" w:color="000000" w:sz="4" w:space="0"/>
              <w:right w:val="single" w:color="000000" w:sz="4" w:space="0"/>
            </w:tcBorders>
            <w:noWrap w:val="0"/>
            <w:vAlign w:val="top"/>
          </w:tcPr>
          <w:p w14:paraId="349B9E5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p>
        </w:tc>
      </w:tr>
      <w:tr w14:paraId="5663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2CC7354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continue"/>
            <w:tcBorders>
              <w:left w:val="single" w:color="000000" w:sz="4" w:space="0"/>
              <w:right w:val="single" w:color="000000" w:sz="4" w:space="0"/>
            </w:tcBorders>
            <w:noWrap w:val="0"/>
            <w:vAlign w:val="center"/>
          </w:tcPr>
          <w:p w14:paraId="0E6D872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7551F8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3.突发事件应急处理方案（10分）</w:t>
            </w:r>
          </w:p>
          <w:p w14:paraId="56B135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供应商针对本项目实际情况，制定完善的、可执行性强的食堂突发应急事件预案（食材短缺、触电急救、停水、停电、停气、食物中毒、火灾）等方案。</w:t>
            </w:r>
          </w:p>
          <w:p w14:paraId="0AB4E4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1）方案内容不存在瑕疵得10分；</w:t>
            </w:r>
          </w:p>
          <w:p w14:paraId="1F7BBA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2)方案内容存在1处瑕疵得5分；</w:t>
            </w:r>
          </w:p>
          <w:p w14:paraId="4768C1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3)方案内容存在2处瑕疵得2分；</w:t>
            </w:r>
          </w:p>
          <w:p w14:paraId="743F11E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4)方案内容存在3处及以上瑕疵的或未提供得0分。</w:t>
            </w:r>
          </w:p>
        </w:tc>
        <w:tc>
          <w:tcPr>
            <w:tcW w:w="2125" w:type="dxa"/>
            <w:vMerge w:val="continue"/>
            <w:tcBorders>
              <w:left w:val="single" w:color="000000" w:sz="4" w:space="0"/>
              <w:right w:val="single" w:color="000000" w:sz="4" w:space="0"/>
            </w:tcBorders>
            <w:noWrap w:val="0"/>
            <w:vAlign w:val="top"/>
          </w:tcPr>
          <w:p w14:paraId="557A28D1">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p>
        </w:tc>
      </w:tr>
      <w:tr w14:paraId="6D7F0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bottom w:val="single" w:color="000000" w:sz="4" w:space="0"/>
              <w:right w:val="single" w:color="000000" w:sz="4" w:space="0"/>
            </w:tcBorders>
            <w:noWrap w:val="0"/>
            <w:vAlign w:val="center"/>
          </w:tcPr>
          <w:p w14:paraId="232A3D40">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continue"/>
            <w:tcBorders>
              <w:left w:val="single" w:color="000000" w:sz="4" w:space="0"/>
              <w:bottom w:val="single" w:color="000000" w:sz="4" w:space="0"/>
              <w:right w:val="single" w:color="000000" w:sz="4" w:space="0"/>
            </w:tcBorders>
            <w:noWrap w:val="0"/>
            <w:vAlign w:val="center"/>
          </w:tcPr>
          <w:p w14:paraId="3E82D130">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4A7B39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4.岗位设置、人员配置（10分）</w:t>
            </w:r>
          </w:p>
          <w:p w14:paraId="4BA0B7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针对本项目，拟定岗位设置、人员配置及岗位职责方案。</w:t>
            </w:r>
          </w:p>
          <w:p w14:paraId="57DB3A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1）方案内容不存在瑕疵得10分；</w:t>
            </w:r>
          </w:p>
          <w:p w14:paraId="082A30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2)方案内容存在1处瑕疵得5分；</w:t>
            </w:r>
          </w:p>
          <w:p w14:paraId="08E53C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3)方案内容存在2处瑕疵得2分；</w:t>
            </w:r>
          </w:p>
          <w:p w14:paraId="4E9950A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4)方案内容存在3处及以上瑕疵的或未提供得0分。</w:t>
            </w:r>
          </w:p>
        </w:tc>
        <w:tc>
          <w:tcPr>
            <w:tcW w:w="2125" w:type="dxa"/>
            <w:vMerge w:val="continue"/>
            <w:tcBorders>
              <w:left w:val="single" w:color="000000" w:sz="4" w:space="0"/>
              <w:bottom w:val="single" w:color="000000" w:sz="4" w:space="0"/>
              <w:right w:val="single" w:color="000000" w:sz="4" w:space="0"/>
            </w:tcBorders>
            <w:noWrap w:val="0"/>
            <w:vAlign w:val="top"/>
          </w:tcPr>
          <w:p w14:paraId="7BC35BA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p>
        </w:tc>
      </w:tr>
      <w:tr w14:paraId="5940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14:paraId="67090C3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lang w:val="en-US" w:eastAsia="zh-CN"/>
              </w:rPr>
            </w:pPr>
            <w:r>
              <w:rPr>
                <w:rStyle w:val="55"/>
                <w:rFonts w:hint="eastAsia" w:ascii="宋体" w:hAnsi="宋体" w:eastAsia="宋体" w:cs="宋体"/>
                <w:color w:val="auto"/>
                <w:sz w:val="24"/>
                <w:szCs w:val="24"/>
                <w:highlight w:val="none"/>
                <w:lang w:val="en-US" w:eastAsia="zh-CN"/>
              </w:rPr>
              <w:t>3</w:t>
            </w:r>
          </w:p>
        </w:tc>
        <w:tc>
          <w:tcPr>
            <w:tcW w:w="1472" w:type="dxa"/>
            <w:vMerge w:val="restart"/>
            <w:tcBorders>
              <w:top w:val="single" w:color="000000" w:sz="4" w:space="0"/>
              <w:left w:val="single" w:color="000000" w:sz="4" w:space="0"/>
              <w:right w:val="single" w:color="000000" w:sz="4" w:space="0"/>
            </w:tcBorders>
            <w:noWrap w:val="0"/>
            <w:vAlign w:val="center"/>
          </w:tcPr>
          <w:p w14:paraId="169CA30F">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lang w:val="zh-CN"/>
              </w:rPr>
            </w:pPr>
            <w:r>
              <w:rPr>
                <w:rStyle w:val="55"/>
                <w:rFonts w:hint="eastAsia" w:ascii="宋体" w:hAnsi="宋体" w:eastAsia="宋体" w:cs="宋体"/>
                <w:color w:val="auto"/>
                <w:sz w:val="24"/>
                <w:szCs w:val="24"/>
                <w:highlight w:val="none"/>
                <w:lang w:val="zh-CN"/>
              </w:rPr>
              <w:t>商务部分（</w:t>
            </w:r>
            <w:r>
              <w:rPr>
                <w:rStyle w:val="55"/>
                <w:rFonts w:hint="eastAsia" w:ascii="宋体" w:hAnsi="宋体" w:cs="宋体"/>
                <w:color w:val="auto"/>
                <w:sz w:val="24"/>
                <w:szCs w:val="24"/>
                <w:highlight w:val="none"/>
                <w:lang w:val="en-US" w:eastAsia="zh-CN"/>
              </w:rPr>
              <w:t>20</w:t>
            </w:r>
            <w:r>
              <w:rPr>
                <w:rStyle w:val="55"/>
                <w:rFonts w:hint="eastAsia" w:ascii="宋体" w:hAnsi="宋体" w:eastAsia="宋体" w:cs="宋体"/>
                <w:color w:val="auto"/>
                <w:sz w:val="24"/>
                <w:szCs w:val="24"/>
                <w:highlight w:val="none"/>
                <w:lang w:val="en-US" w:eastAsia="zh-CN"/>
              </w:rPr>
              <w:t>%</w:t>
            </w:r>
            <w:r>
              <w:rPr>
                <w:rStyle w:val="55"/>
                <w:rFonts w:hint="eastAsia" w:ascii="宋体" w:hAnsi="宋体" w:eastAsia="宋体" w:cs="宋体"/>
                <w:color w:val="auto"/>
                <w:sz w:val="24"/>
                <w:szCs w:val="24"/>
                <w:highlight w:val="none"/>
                <w:lang w:val="zh-CN"/>
              </w:rPr>
              <w:t>）</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3B83E47E">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1.业绩（15分）</w:t>
            </w:r>
          </w:p>
          <w:p w14:paraId="343F91E4">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2020年1月1日至今，供应商为行政机关事业单位或国有企业单位提供过食堂劳务服务的，每提供一份合同得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6CE97E">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Style w:val="55"/>
                <w:rFonts w:hint="eastAsia" w:ascii="宋体" w:hAnsi="宋体" w:eastAsia="宋体" w:cs="宋体"/>
                <w:color w:val="auto"/>
                <w:sz w:val="24"/>
                <w:szCs w:val="24"/>
                <w:highlight w:val="none"/>
                <w:lang w:eastAsia="zh-CN"/>
              </w:rPr>
            </w:pPr>
            <w:r>
              <w:rPr>
                <w:rStyle w:val="55"/>
                <w:rFonts w:hint="eastAsia" w:ascii="宋体" w:hAnsi="宋体" w:eastAsia="宋体" w:cs="宋体"/>
                <w:color w:val="auto"/>
                <w:sz w:val="24"/>
                <w:szCs w:val="24"/>
                <w:highlight w:val="none"/>
              </w:rPr>
              <w:t>提供合同复印件并加盖</w:t>
            </w:r>
            <w:r>
              <w:rPr>
                <w:rFonts w:hint="eastAsia" w:ascii="宋体" w:hAnsi="宋体" w:eastAsia="宋体" w:cs="宋体"/>
                <w:color w:val="auto"/>
                <w:sz w:val="24"/>
                <w:szCs w:val="24"/>
                <w:highlight w:val="none"/>
              </w:rPr>
              <w:t>供应商</w:t>
            </w:r>
            <w:r>
              <w:rPr>
                <w:rStyle w:val="55"/>
                <w:rFonts w:hint="eastAsia" w:ascii="宋体" w:hAnsi="宋体" w:eastAsia="宋体" w:cs="宋体"/>
                <w:color w:val="auto"/>
                <w:sz w:val="24"/>
                <w:szCs w:val="24"/>
                <w:highlight w:val="none"/>
              </w:rPr>
              <w:t>公章</w:t>
            </w:r>
            <w:r>
              <w:rPr>
                <w:rStyle w:val="55"/>
                <w:rFonts w:hint="eastAsia" w:ascii="宋体" w:hAnsi="宋体" w:eastAsia="宋体" w:cs="宋体"/>
                <w:color w:val="auto"/>
                <w:sz w:val="24"/>
                <w:szCs w:val="24"/>
                <w:highlight w:val="none"/>
                <w:lang w:eastAsia="zh-CN"/>
              </w:rPr>
              <w:t>。</w:t>
            </w:r>
          </w:p>
        </w:tc>
      </w:tr>
      <w:tr w14:paraId="5478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7C5760BF">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lang w:val="en-US" w:eastAsia="zh-CN"/>
              </w:rPr>
            </w:pPr>
          </w:p>
        </w:tc>
        <w:tc>
          <w:tcPr>
            <w:tcW w:w="1472" w:type="dxa"/>
            <w:vMerge w:val="continue"/>
            <w:tcBorders>
              <w:left w:val="single" w:color="000000" w:sz="4" w:space="0"/>
              <w:right w:val="single" w:color="000000" w:sz="4" w:space="0"/>
            </w:tcBorders>
            <w:noWrap w:val="0"/>
            <w:vAlign w:val="center"/>
          </w:tcPr>
          <w:p w14:paraId="52CAA70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lang w:val="zh-CN"/>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BDC0925">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28DB194">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供应商拟派</w:t>
            </w:r>
            <w:r>
              <w:rPr>
                <w:rFonts w:hint="eastAsia" w:ascii="宋体" w:hAnsi="宋体" w:cs="宋体"/>
                <w:color w:val="auto"/>
                <w:sz w:val="24"/>
                <w:szCs w:val="24"/>
                <w:highlight w:val="none"/>
                <w:lang w:eastAsia="zh-CN"/>
              </w:rPr>
              <w:t>的厨师，</w:t>
            </w:r>
            <w:r>
              <w:rPr>
                <w:rFonts w:hint="eastAsia" w:ascii="宋体" w:hAnsi="宋体" w:eastAsia="宋体" w:cs="宋体"/>
                <w:color w:val="auto"/>
                <w:sz w:val="24"/>
                <w:szCs w:val="24"/>
                <w:highlight w:val="none"/>
                <w:lang w:eastAsia="zh-CN"/>
              </w:rPr>
              <w:t>具有</w:t>
            </w:r>
            <w:r>
              <w:rPr>
                <w:rFonts w:hint="eastAsia" w:ascii="宋体" w:hAnsi="宋体" w:cs="宋体"/>
                <w:color w:val="auto"/>
                <w:sz w:val="24"/>
                <w:szCs w:val="24"/>
                <w:highlight w:val="none"/>
                <w:lang w:eastAsia="zh-CN"/>
              </w:rPr>
              <w:t>中式烹调师</w:t>
            </w:r>
            <w:r>
              <w:rPr>
                <w:rFonts w:hint="eastAsia" w:ascii="宋体" w:hAnsi="宋体" w:eastAsia="宋体" w:cs="宋体"/>
                <w:color w:val="auto"/>
                <w:sz w:val="24"/>
                <w:szCs w:val="24"/>
                <w:highlight w:val="none"/>
                <w:lang w:eastAsia="zh-CN"/>
              </w:rPr>
              <w:t>初级（国家职业资格五级）</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eastAsia="zh-CN"/>
              </w:rPr>
              <w:t>；中级（国家职业资格四级）得</w:t>
            </w:r>
            <w:r>
              <w:rPr>
                <w:rFonts w:hint="eastAsia" w:ascii="宋体" w:hAnsi="宋体" w:cs="宋体"/>
                <w:color w:val="auto"/>
                <w:sz w:val="24"/>
                <w:szCs w:val="24"/>
                <w:highlight w:val="none"/>
                <w:lang w:val="en-US" w:eastAsia="zh-CN"/>
              </w:rPr>
              <w:t>2分；高级（国家职业资格三级）</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3分；技师（国家职业资格二级）4分；高级技师（国家职业资格一级）得5分。本项最高得分为5分。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B50782">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Style w:val="55"/>
                <w:rFonts w:hint="eastAsia" w:ascii="宋体" w:hAnsi="宋体" w:eastAsia="宋体" w:cs="宋体"/>
                <w:color w:val="auto"/>
                <w:sz w:val="24"/>
                <w:szCs w:val="24"/>
                <w:highlight w:val="none"/>
                <w:lang w:eastAsia="zh-CN"/>
              </w:rPr>
            </w:pPr>
            <w:r>
              <w:rPr>
                <w:rStyle w:val="55"/>
                <w:rFonts w:hint="eastAsia" w:ascii="宋体" w:hAnsi="宋体" w:eastAsia="宋体" w:cs="宋体"/>
                <w:color w:val="auto"/>
                <w:sz w:val="24"/>
                <w:szCs w:val="24"/>
                <w:highlight w:val="none"/>
                <w:lang w:eastAsia="zh-CN"/>
              </w:rPr>
              <w:t>提供厨师证书复印件加盖供应商公章。</w:t>
            </w:r>
          </w:p>
        </w:tc>
      </w:tr>
    </w:tbl>
    <w:p w14:paraId="66B8F1C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三、无效</w:t>
      </w:r>
      <w:bookmarkEnd w:id="75"/>
      <w:r>
        <w:rPr>
          <w:rFonts w:hint="eastAsia" w:ascii="宋体" w:hAnsi="宋体" w:eastAsia="宋体" w:cs="宋体"/>
          <w:color w:val="auto"/>
          <w:sz w:val="24"/>
          <w:highlight w:val="none"/>
          <w:lang w:val="en-US" w:eastAsia="zh-CN"/>
        </w:rPr>
        <w:t>响应</w:t>
      </w:r>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供应商发生以下条款情况之一者，视为无效</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eastAsia="zh-CN"/>
        </w:rPr>
        <w:t>：</w:t>
      </w:r>
    </w:p>
    <w:p w14:paraId="6C8901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62DD5F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5E62F9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（三）供应商所提交的响应文件未按“第七篇响应文件格式要求”要求签署或盖章的；</w:t>
      </w:r>
    </w:p>
    <w:p w14:paraId="1FED299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（四）供应商的报价超过采购预算或最高限价的；</w:t>
      </w:r>
    </w:p>
    <w:p w14:paraId="3EF0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（五）供应商不接受</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小组修正后的价格的；</w:t>
      </w:r>
    </w:p>
    <w:p w14:paraId="3BBCED9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（六）单位负责人为同一人或者存在直接控股、管理关系的不同供应商，参加同一合同项（包）报价的；</w:t>
      </w:r>
    </w:p>
    <w:p w14:paraId="4A3DC0E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（七）为采购项目提供</w:t>
      </w:r>
      <w:r>
        <w:rPr>
          <w:rFonts w:hint="eastAsia" w:ascii="宋体" w:hAnsi="宋体" w:eastAsia="宋体" w:cs="宋体"/>
          <w:color w:val="auto"/>
          <w:sz w:val="24"/>
          <w:szCs w:val="24"/>
          <w:highlight w:val="none"/>
        </w:rPr>
        <w:t>整体设计、规范编制或者项目管理、监理、检测等服务的供应商再参加该采购项目的其他采购活动的；</w:t>
      </w:r>
    </w:p>
    <w:p w14:paraId="37D0E9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76"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规定的其他无效</w:t>
      </w:r>
      <w:bookmarkEnd w:id="76"/>
      <w:r>
        <w:rPr>
          <w:rFonts w:hint="eastAsia" w:ascii="宋体" w:hAnsi="宋体" w:eastAsia="宋体" w:cs="宋体"/>
          <w:color w:val="auto"/>
          <w:sz w:val="24"/>
          <w:szCs w:val="24"/>
          <w:highlight w:val="none"/>
          <w:lang w:val="en-US" w:eastAsia="zh-CN"/>
        </w:rPr>
        <w:t>情形。</w:t>
      </w:r>
    </w:p>
    <w:p w14:paraId="260D1DE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77" w:name="_Toc65660353"/>
      <w:bookmarkStart w:id="78" w:name="_Toc22716"/>
      <w:bookmarkStart w:id="79" w:name="_Toc28422"/>
      <w:bookmarkStart w:id="80" w:name="_Toc106034793"/>
      <w:bookmarkStart w:id="81" w:name="_Toc29298"/>
      <w:bookmarkStart w:id="82" w:name="_Toc2351"/>
      <w:r>
        <w:rPr>
          <w:rFonts w:hint="eastAsia" w:ascii="宋体" w:hAnsi="宋体" w:eastAsia="宋体" w:cs="宋体"/>
          <w:color w:val="auto"/>
          <w:sz w:val="24"/>
          <w:highlight w:val="none"/>
        </w:rPr>
        <w:t>四、采购终止</w:t>
      </w:r>
      <w:bookmarkEnd w:id="77"/>
      <w:bookmarkEnd w:id="78"/>
      <w:bookmarkEnd w:id="79"/>
      <w:bookmarkEnd w:id="80"/>
      <w:bookmarkEnd w:id="81"/>
      <w:bookmarkEnd w:id="82"/>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家的。</w:t>
      </w:r>
    </w:p>
    <w:p w14:paraId="5000AF1D">
      <w:pPr>
        <w:jc w:val="center"/>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36"/>
          <w:szCs w:val="30"/>
          <w:highlight w:val="none"/>
        </w:rPr>
        <w:t>第</w:t>
      </w:r>
      <w:r>
        <w:rPr>
          <w:rFonts w:hint="eastAsia" w:ascii="宋体" w:hAnsi="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p>
    <w:p w14:paraId="3F1394D2">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3" w:name="_Toc487204779"/>
      <w:bookmarkStart w:id="84" w:name="_Toc15030"/>
      <w:bookmarkStart w:id="85" w:name="_Toc20643"/>
      <w:bookmarkStart w:id="86" w:name="_Toc426965630"/>
      <w:bookmarkStart w:id="87" w:name="_Toc29704"/>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w:t>
      </w:r>
      <w:bookmarkEnd w:id="83"/>
      <w:bookmarkEnd w:id="84"/>
      <w:bookmarkEnd w:id="85"/>
      <w:bookmarkEnd w:id="86"/>
      <w:bookmarkEnd w:id="87"/>
    </w:p>
    <w:p w14:paraId="00207C7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结果如何，采购人在任何情况下无义务也无责任承担这些费用。</w:t>
      </w:r>
    </w:p>
    <w:p w14:paraId="2B230237">
      <w:pPr>
        <w:pStyle w:val="2"/>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8" w:name="_Toc7850"/>
      <w:bookmarkStart w:id="89" w:name="_Toc487204780"/>
      <w:bookmarkStart w:id="90" w:name="_Toc2403"/>
      <w:bookmarkStart w:id="91" w:name="_Toc426965631"/>
      <w:bookmarkStart w:id="92" w:name="_Toc8727"/>
      <w:bookmarkStart w:id="93" w:name="_Toc342913391"/>
      <w:r>
        <w:rPr>
          <w:rFonts w:hint="eastAsia" w:ascii="宋体" w:hAnsi="宋体" w:eastAsia="宋体" w:cs="宋体"/>
          <w:bCs w:val="0"/>
          <w:color w:val="auto"/>
          <w:sz w:val="24"/>
          <w:szCs w:val="24"/>
          <w:highlight w:val="none"/>
        </w:rPr>
        <w:t>二、</w:t>
      </w:r>
      <w:bookmarkEnd w:id="88"/>
      <w:bookmarkEnd w:id="89"/>
      <w:bookmarkEnd w:id="90"/>
      <w:bookmarkEnd w:id="91"/>
      <w:bookmarkEnd w:id="92"/>
      <w:bookmarkEnd w:id="93"/>
      <w:r>
        <w:rPr>
          <w:rFonts w:hint="eastAsia" w:ascii="宋体" w:hAnsi="宋体" w:cs="宋体"/>
          <w:bCs w:val="0"/>
          <w:color w:val="auto"/>
          <w:sz w:val="24"/>
          <w:szCs w:val="24"/>
          <w:highlight w:val="none"/>
          <w:lang w:eastAsia="zh-CN"/>
        </w:rPr>
        <w:t>询比文件</w:t>
      </w:r>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所有条款内容并同意放弃对这方面有不明白及误解的权利。</w:t>
      </w:r>
      <w:bookmarkStart w:id="94" w:name="_Toc318159349"/>
      <w:bookmarkStart w:id="95" w:name="_Toc318159160"/>
      <w:bookmarkStart w:id="96" w:name="_Toc318166429"/>
      <w:bookmarkStart w:id="97" w:name="_Toc318159780"/>
    </w:p>
    <w:bookmarkEnd w:id="94"/>
    <w:bookmarkEnd w:id="95"/>
    <w:bookmarkEnd w:id="96"/>
    <w:bookmarkEnd w:id="97"/>
    <w:p w14:paraId="2466699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98" w:name="_Toc426965632"/>
      <w:bookmarkStart w:id="99" w:name="_Toc19564"/>
      <w:bookmarkStart w:id="100" w:name="_Toc19364"/>
      <w:bookmarkStart w:id="101" w:name="_Toc179714297"/>
      <w:bookmarkStart w:id="102" w:name="_Toc26774"/>
      <w:bookmarkStart w:id="103" w:name="_Toc487204781"/>
      <w:bookmarkStart w:id="104" w:name="_Toc342913392"/>
      <w:bookmarkStart w:id="105" w:name="_Toc102227318"/>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要求</w:t>
      </w:r>
      <w:bookmarkEnd w:id="98"/>
      <w:bookmarkEnd w:id="99"/>
      <w:bookmarkEnd w:id="100"/>
      <w:bookmarkEnd w:id="101"/>
      <w:bookmarkEnd w:id="102"/>
      <w:bookmarkEnd w:id="103"/>
      <w:bookmarkEnd w:id="104"/>
      <w:bookmarkEnd w:id="105"/>
    </w:p>
    <w:p w14:paraId="65DB641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有效期：响应文件及有关承诺文件有效期为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开始时间起90天。</w:t>
      </w:r>
    </w:p>
    <w:p w14:paraId="6617A35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6E49EEE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）提交响应文件的份数和签署和递交</w:t>
      </w:r>
    </w:p>
    <w:p w14:paraId="19AC1D0D">
      <w:p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eastAsia="zh-CN"/>
        </w:rPr>
        <w:t>供应商提交</w:t>
      </w:r>
      <w:r>
        <w:rPr>
          <w:rFonts w:hint="eastAsia" w:ascii="宋体" w:hAnsi="宋体" w:eastAsia="宋体" w:cs="宋体"/>
          <w:b/>
          <w:bCs/>
          <w:color w:val="auto"/>
          <w:sz w:val="24"/>
          <w:szCs w:val="24"/>
          <w:highlight w:val="none"/>
        </w:rPr>
        <w:t>响应文件一式</w:t>
      </w:r>
      <w:r>
        <w:rPr>
          <w:rFonts w:hint="eastAsia" w:ascii="宋体" w:hAnsi="宋体" w:cs="宋体"/>
          <w:b/>
          <w:bCs/>
          <w:color w:val="auto"/>
          <w:sz w:val="24"/>
          <w:szCs w:val="24"/>
          <w:highlight w:val="none"/>
          <w:lang w:eastAsia="zh-CN"/>
        </w:rPr>
        <w:t>两</w:t>
      </w:r>
      <w:r>
        <w:rPr>
          <w:rFonts w:hint="eastAsia" w:ascii="宋体" w:hAnsi="宋体" w:eastAsia="宋体" w:cs="宋体"/>
          <w:b/>
          <w:bCs/>
          <w:color w:val="auto"/>
          <w:sz w:val="24"/>
          <w:szCs w:val="24"/>
          <w:highlight w:val="none"/>
        </w:rPr>
        <w:t>份，其中正本一份，副本</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份</w:t>
      </w:r>
      <w:r>
        <w:rPr>
          <w:rFonts w:hint="eastAsia" w:ascii="宋体" w:hAnsi="宋体" w:cs="宋体"/>
          <w:b/>
          <w:bCs/>
          <w:color w:val="auto"/>
          <w:sz w:val="24"/>
          <w:szCs w:val="24"/>
          <w:highlight w:val="none"/>
          <w:lang w:eastAsia="zh-CN"/>
        </w:rPr>
        <w:t>。响应文件副本可为正本的完整复印件。</w:t>
      </w:r>
      <w:r>
        <w:rPr>
          <w:rFonts w:hint="eastAsia" w:ascii="宋体" w:hAnsi="宋体" w:eastAsia="宋体" w:cs="宋体"/>
          <w:b/>
          <w:bCs/>
          <w:color w:val="auto"/>
          <w:sz w:val="24"/>
          <w:szCs w:val="24"/>
          <w:highlight w:val="none"/>
        </w:rPr>
        <w:t>应与正本一致，如出现不一致情况以正本为准。</w:t>
      </w:r>
    </w:p>
    <w:p w14:paraId="7BA6750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文件“第七篇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响应文件编制要求”要求签署或盖章。</w:t>
      </w:r>
    </w:p>
    <w:p w14:paraId="129BC2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72"/>
    <w:bookmarkEnd w:id="73"/>
    <w:p w14:paraId="368B3BE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06" w:name="_Toc10172"/>
      <w:bookmarkStart w:id="107" w:name="_Toc106034798"/>
      <w:bookmarkStart w:id="108" w:name="_Toc20783"/>
      <w:r>
        <w:rPr>
          <w:rFonts w:hint="eastAsia" w:ascii="宋体" w:hAnsi="宋体" w:eastAsia="宋体" w:cs="宋体"/>
          <w:color w:val="auto"/>
          <w:sz w:val="24"/>
          <w:szCs w:val="24"/>
          <w:highlight w:val="none"/>
        </w:rPr>
        <w:t>四、成交供应商的确定和变更</w:t>
      </w:r>
      <w:bookmarkEnd w:id="106"/>
      <w:bookmarkEnd w:id="107"/>
      <w:bookmarkEnd w:id="108"/>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6EE2297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09" w:name="_Toc10504"/>
      <w:bookmarkStart w:id="110" w:name="_Toc106034799"/>
      <w:bookmarkStart w:id="111" w:name="_Toc17760"/>
      <w:r>
        <w:rPr>
          <w:rFonts w:hint="eastAsia" w:ascii="宋体" w:hAnsi="宋体" w:eastAsia="宋体" w:cs="宋体"/>
          <w:color w:val="auto"/>
          <w:sz w:val="24"/>
          <w:szCs w:val="24"/>
          <w:highlight w:val="none"/>
        </w:rPr>
        <w:t>五、成交通知</w:t>
      </w:r>
      <w:bookmarkEnd w:id="109"/>
      <w:bookmarkEnd w:id="110"/>
      <w:bookmarkEnd w:id="111"/>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上发布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EC160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2" w:name="_Toc14096"/>
      <w:bookmarkStart w:id="113" w:name="_Toc106034801"/>
      <w:bookmarkStart w:id="114" w:name="_Toc23778"/>
      <w:r>
        <w:rPr>
          <w:rFonts w:hint="eastAsia" w:ascii="宋体" w:hAnsi="宋体" w:eastAsia="宋体" w:cs="宋体"/>
          <w:color w:val="auto"/>
          <w:sz w:val="24"/>
          <w:szCs w:val="24"/>
          <w:highlight w:val="none"/>
        </w:rPr>
        <w:t>六、签订合同</w:t>
      </w:r>
      <w:bookmarkEnd w:id="112"/>
      <w:bookmarkEnd w:id="113"/>
      <w:bookmarkEnd w:id="114"/>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中予以约定。成交供应商履约完毕后，采购人根据采购文件规定无息退还其履约保证金。</w:t>
      </w:r>
    </w:p>
    <w:p w14:paraId="695C64D9">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5" w:name="_Toc77"/>
      <w:bookmarkStart w:id="116" w:name="_Toc21922"/>
      <w:bookmarkStart w:id="117" w:name="_Toc106034802"/>
      <w:r>
        <w:rPr>
          <w:rFonts w:hint="eastAsia" w:ascii="宋体" w:hAnsi="宋体" w:eastAsia="宋体" w:cs="宋体"/>
          <w:color w:val="auto"/>
          <w:sz w:val="24"/>
          <w:szCs w:val="24"/>
          <w:highlight w:val="none"/>
        </w:rPr>
        <w:t>七、项目验收</w:t>
      </w:r>
      <w:bookmarkEnd w:id="115"/>
      <w:bookmarkEnd w:id="116"/>
      <w:bookmarkEnd w:id="117"/>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4E149B1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8" w:name="_Toc2438"/>
      <w:bookmarkStart w:id="119" w:name="_Toc17336"/>
      <w:bookmarkStart w:id="120" w:name="_Toc106034803"/>
      <w:r>
        <w:rPr>
          <w:rFonts w:hint="eastAsia" w:ascii="宋体" w:hAnsi="宋体" w:eastAsia="宋体" w:cs="宋体"/>
          <w:color w:val="auto"/>
          <w:sz w:val="24"/>
          <w:szCs w:val="24"/>
          <w:highlight w:val="none"/>
        </w:rPr>
        <w:t>八、采购代理服务费</w:t>
      </w:r>
      <w:bookmarkEnd w:id="118"/>
      <w:bookmarkEnd w:id="119"/>
      <w:bookmarkEnd w:id="120"/>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21" w:name="_Toc76462345"/>
      <w:bookmarkStart w:id="122" w:name="_Toc65660363"/>
      <w:bookmarkStart w:id="123" w:name="_Toc106034805"/>
      <w:bookmarkStart w:id="124" w:name="_Toc31595"/>
      <w:bookmarkStart w:id="125" w:name="_Toc23463"/>
      <w:bookmarkStart w:id="126" w:name="_Toc106034655"/>
      <w:bookmarkStart w:id="127" w:name="_Toc9730"/>
      <w:bookmarkStart w:id="128" w:name="_Toc4867"/>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6785.00 元（大写：陆仟柒佰捌拾伍元整  ）。</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1"/>
    <w:bookmarkEnd w:id="122"/>
    <w:bookmarkEnd w:id="123"/>
    <w:bookmarkEnd w:id="124"/>
    <w:bookmarkEnd w:id="125"/>
    <w:bookmarkEnd w:id="126"/>
    <w:bookmarkEnd w:id="127"/>
    <w:bookmarkEnd w:id="128"/>
    <w:p w14:paraId="3AF37186">
      <w:pPr>
        <w:spacing w:line="400" w:lineRule="exact"/>
        <w:ind w:firstLine="480" w:firstLineChars="200"/>
        <w:rPr>
          <w:rFonts w:hint="eastAsia" w:ascii="宋体" w:hAnsi="宋体" w:cs="宋体"/>
          <w:color w:val="auto"/>
          <w:sz w:val="24"/>
          <w:highlight w:val="none"/>
        </w:rPr>
      </w:pPr>
      <w:bookmarkStart w:id="129" w:name="_Toc14780"/>
      <w:bookmarkStart w:id="130" w:name="_Toc76462347"/>
      <w:bookmarkStart w:id="131" w:name="_Toc8532"/>
      <w:r>
        <w:rPr>
          <w:rFonts w:hint="eastAsia" w:ascii="宋体" w:hAnsi="宋体" w:cs="宋体"/>
          <w:color w:val="auto"/>
          <w:sz w:val="24"/>
          <w:highlight w:val="none"/>
        </w:rPr>
        <w:t>户  名：重庆鸿兴招标代理有限公司</w:t>
      </w:r>
    </w:p>
    <w:p w14:paraId="012F8F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开户行：工行重庆大足支行</w:t>
      </w:r>
    </w:p>
    <w:p w14:paraId="63F21010">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账  号：3100096019200111969</w:t>
      </w:r>
    </w:p>
    <w:p w14:paraId="1B1C985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29"/>
      <w:bookmarkEnd w:id="130"/>
      <w:bookmarkEnd w:id="131"/>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34"/>
    <w:p w14:paraId="58A1D2DB">
      <w:pPr>
        <w:pStyle w:val="4"/>
        <w:spacing w:before="0" w:after="0" w:line="360" w:lineRule="auto"/>
        <w:jc w:val="center"/>
        <w:rPr>
          <w:rFonts w:hint="eastAsia" w:ascii="宋体" w:hAnsi="宋体" w:eastAsia="宋体" w:cs="宋体"/>
          <w:b w:val="0"/>
          <w:color w:val="auto"/>
          <w:sz w:val="36"/>
          <w:szCs w:val="30"/>
          <w:highlight w:val="none"/>
        </w:rPr>
      </w:pPr>
      <w:bookmarkStart w:id="132" w:name="_Toc12789059"/>
      <w:bookmarkStart w:id="133" w:name="_Toc11641055"/>
      <w:bookmarkStart w:id="134" w:name="_Toc17949"/>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六</w:t>
      </w:r>
      <w:r>
        <w:rPr>
          <w:rFonts w:hint="eastAsia" w:ascii="宋体" w:hAnsi="宋体" w:eastAsia="宋体" w:cs="宋体"/>
          <w:b w:val="0"/>
          <w:color w:val="auto"/>
          <w:sz w:val="36"/>
          <w:szCs w:val="30"/>
          <w:highlight w:val="none"/>
        </w:rPr>
        <w:t xml:space="preserve">篇  </w:t>
      </w:r>
      <w:bookmarkEnd w:id="132"/>
      <w:bookmarkEnd w:id="133"/>
      <w:r>
        <w:rPr>
          <w:rFonts w:hint="eastAsia" w:ascii="宋体" w:hAnsi="宋体" w:eastAsia="宋体" w:cs="宋体"/>
          <w:b w:val="0"/>
          <w:color w:val="auto"/>
          <w:sz w:val="36"/>
          <w:szCs w:val="30"/>
          <w:highlight w:val="none"/>
        </w:rPr>
        <w:t>合同草案条款</w:t>
      </w:r>
      <w:bookmarkEnd w:id="134"/>
    </w:p>
    <w:p w14:paraId="66B25F17">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color w:val="auto"/>
          <w:sz w:val="44"/>
          <w:highlight w:val="none"/>
        </w:rPr>
      </w:pPr>
    </w:p>
    <w:p w14:paraId="3A97B5F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采购合同（样本）</w:t>
      </w:r>
    </w:p>
    <w:p w14:paraId="58373A88">
      <w:pPr>
        <w:snapToGrid w:val="0"/>
        <w:spacing w:line="400" w:lineRule="exact"/>
        <w:ind w:firstLine="480" w:firstLineChars="200"/>
        <w:rPr>
          <w:rFonts w:hint="eastAsia" w:ascii="宋体" w:hAnsi="宋体" w:eastAsia="宋体" w:cs="宋体"/>
          <w:color w:val="auto"/>
          <w:sz w:val="24"/>
          <w:szCs w:val="24"/>
          <w:highlight w:val="none"/>
        </w:rPr>
      </w:pPr>
    </w:p>
    <w:p w14:paraId="17CA6E2F">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甲方（需方）：___________________________      计价单位：____________</w:t>
      </w:r>
    </w:p>
    <w:p w14:paraId="568E2DD4">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color w:val="auto"/>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color w:val="auto"/>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26EAAE49">
            <w:pPr>
              <w:pStyle w:val="12"/>
              <w:spacing w:line="280" w:lineRule="exact"/>
              <w:ind w:firstLine="440" w:firstLineChars="200"/>
              <w:rPr>
                <w:rFonts w:hint="eastAsia" w:ascii="宋体" w:hAnsi="宋体" w:eastAsia="宋体" w:cs="宋体"/>
                <w:color w:val="auto"/>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CDB26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487B5F2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314ED97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597FF33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A886B3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603D282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7C48AD4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7E0EFEE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A3A7A7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19E58E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69C1C59">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56D3BA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3A7020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0C4B7938">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88BA9B9">
            <w:pPr>
              <w:spacing w:line="280" w:lineRule="exact"/>
              <w:ind w:firstLine="440" w:firstLineChars="200"/>
              <w:rPr>
                <w:rFonts w:hint="eastAsia" w:ascii="宋体" w:hAnsi="宋体" w:eastAsia="宋体" w:cs="宋体"/>
                <w:color w:val="auto"/>
                <w:sz w:val="22"/>
                <w:szCs w:val="22"/>
                <w:highlight w:val="none"/>
              </w:rPr>
            </w:pPr>
          </w:p>
          <w:p w14:paraId="15039FA0">
            <w:pPr>
              <w:spacing w:line="280" w:lineRule="exact"/>
              <w:ind w:firstLine="440" w:firstLineChars="200"/>
              <w:rPr>
                <w:rFonts w:hint="eastAsia" w:ascii="宋体" w:hAnsi="宋体" w:eastAsia="宋体" w:cs="宋体"/>
                <w:color w:val="auto"/>
                <w:sz w:val="22"/>
                <w:szCs w:val="22"/>
                <w:highlight w:val="none"/>
              </w:rPr>
            </w:pPr>
          </w:p>
        </w:tc>
      </w:tr>
    </w:tbl>
    <w:p w14:paraId="7BDF650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4"/>
        <w:spacing w:before="0" w:after="0" w:line="360" w:lineRule="auto"/>
        <w:jc w:val="center"/>
        <w:rPr>
          <w:rFonts w:hint="eastAsia" w:ascii="宋体" w:hAnsi="宋体" w:eastAsia="宋体" w:cs="宋体"/>
          <w:b w:val="0"/>
          <w:color w:val="auto"/>
          <w:sz w:val="36"/>
          <w:szCs w:val="30"/>
          <w:highlight w:val="none"/>
        </w:rPr>
      </w:pPr>
      <w:bookmarkStart w:id="135" w:name="_Hlt41879464"/>
      <w:bookmarkEnd w:id="135"/>
      <w:bookmarkStart w:id="136" w:name="_Toc24744"/>
      <w:bookmarkStart w:id="137" w:name="_Toc12789072"/>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七</w:t>
      </w:r>
      <w:r>
        <w:rPr>
          <w:rFonts w:hint="eastAsia" w:ascii="宋体" w:hAnsi="宋体" w:eastAsia="宋体" w:cs="宋体"/>
          <w:b w:val="0"/>
          <w:color w:val="auto"/>
          <w:sz w:val="36"/>
          <w:szCs w:val="30"/>
          <w:highlight w:val="none"/>
        </w:rPr>
        <w:t>篇  响应文件格式要求</w:t>
      </w:r>
      <w:bookmarkEnd w:id="136"/>
      <w:bookmarkEnd w:id="137"/>
    </w:p>
    <w:p w14:paraId="5093223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EF8D6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287EAB7">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（二）明细报价表</w:t>
      </w:r>
    </w:p>
    <w:p w14:paraId="111DE340">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7FB6203A">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响应偏离表</w:t>
      </w:r>
    </w:p>
    <w:p w14:paraId="3530E581">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资料</w:t>
      </w:r>
    </w:p>
    <w:p w14:paraId="6AC55D71">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569A31D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FACC853">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36282CAC">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21CAEBA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3763C4F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E7BDF95">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0857A50">
      <w:pPr>
        <w:pStyle w:val="2"/>
        <w:adjustRightInd w:val="0"/>
        <w:snapToGrid w:val="0"/>
        <w:spacing w:before="0" w:after="0" w:line="400" w:lineRule="exact"/>
        <w:ind w:firstLine="643" w:firstLineChars="200"/>
        <w:rPr>
          <w:rFonts w:hint="eastAsia" w:ascii="宋体" w:hAnsi="宋体" w:eastAsia="宋体" w:cs="宋体"/>
          <w:color w:val="auto"/>
          <w:highlight w:val="none"/>
        </w:rPr>
      </w:pPr>
      <w:bookmarkStart w:id="138" w:name="_Toc313008356"/>
      <w:bookmarkStart w:id="139" w:name="_Toc313888360"/>
      <w:bookmarkStart w:id="140" w:name="_Toc342913419"/>
      <w:bookmarkStart w:id="141" w:name="_Toc24835"/>
      <w:bookmarkStart w:id="142" w:name="_Toc12789073"/>
      <w:bookmarkStart w:id="143" w:name="_Toc283382454"/>
      <w:r>
        <w:rPr>
          <w:rFonts w:hint="eastAsia" w:ascii="宋体" w:hAnsi="宋体" w:eastAsia="宋体" w:cs="宋体"/>
          <w:color w:val="auto"/>
          <w:highlight w:val="none"/>
        </w:rPr>
        <w:t>一、经济部分</w:t>
      </w:r>
      <w:bookmarkEnd w:id="138"/>
      <w:bookmarkEnd w:id="139"/>
      <w:bookmarkEnd w:id="140"/>
      <w:bookmarkEnd w:id="141"/>
    </w:p>
    <w:bookmarkEnd w:id="142"/>
    <w:bookmarkEnd w:id="143"/>
    <w:p w14:paraId="609281FC">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采购报价函</w:t>
      </w:r>
    </w:p>
    <w:p w14:paraId="1DEA59FD">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询比</w:t>
      </w:r>
      <w:r>
        <w:rPr>
          <w:rFonts w:hint="eastAsia" w:ascii="宋体" w:hAnsi="宋体" w:eastAsia="宋体" w:cs="宋体"/>
          <w:b/>
          <w:color w:val="auto"/>
          <w:sz w:val="36"/>
          <w:szCs w:val="36"/>
          <w:highlight w:val="none"/>
        </w:rPr>
        <w:t>采购报价函</w:t>
      </w:r>
    </w:p>
    <w:p w14:paraId="416A8D49">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4D9A8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我方收到___________________________（项目名称）的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采购文件，经详细研究，决定参加该项目的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p>
    <w:p w14:paraId="564149D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中的一切要求，提供本项目的</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总报价为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元</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大写</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元整</w:t>
      </w:r>
      <w:r>
        <w:rPr>
          <w:rFonts w:hint="eastAsia" w:ascii="宋体" w:hAnsi="宋体" w:cs="宋体"/>
          <w:color w:val="auto"/>
          <w:sz w:val="24"/>
          <w:szCs w:val="24"/>
          <w:highlight w:val="none"/>
        </w:rPr>
        <w:t>。</w:t>
      </w:r>
    </w:p>
    <w:p w14:paraId="706EB1B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w:t>
      </w:r>
      <w:r>
        <w:rPr>
          <w:rFonts w:hint="eastAsia" w:ascii="宋体" w:hAnsi="宋体" w:cs="宋体"/>
          <w:color w:val="auto"/>
          <w:sz w:val="24"/>
          <w:szCs w:val="24"/>
          <w:highlight w:val="none"/>
          <w:u w:val="none"/>
          <w:lang w:val="en-US" w:eastAsia="zh-CN"/>
        </w:rPr>
        <w:t>正本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，副本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p>
    <w:p w14:paraId="264FBC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的有效期为90天。</w:t>
      </w:r>
    </w:p>
    <w:p w14:paraId="04B54A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的一切规定和要求及评审办法。</w:t>
      </w:r>
    </w:p>
    <w:p w14:paraId="547CD0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过程中，我方若有违规行为，接受按照《中华人民共和国政府采购法》和《重庆市政府采购云平台网上</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》之规定给予惩罚。</w:t>
      </w:r>
    </w:p>
    <w:p w14:paraId="64D89F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378B69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规定的采购代理服务费和</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服务费。</w:t>
      </w:r>
    </w:p>
    <w:p w14:paraId="3E300A4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7317A0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A819DD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95189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1B0A15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99D4C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136C13B">
      <w:pPr>
        <w:snapToGrid w:val="0"/>
        <w:spacing w:line="540" w:lineRule="exact"/>
        <w:ind w:firstLine="480" w:firstLineChars="200"/>
        <w:rPr>
          <w:rFonts w:hint="eastAsia" w:ascii="宋体" w:hAnsi="宋体" w:eastAsia="宋体" w:cs="宋体"/>
          <w:color w:val="auto"/>
          <w:sz w:val="24"/>
          <w:szCs w:val="24"/>
          <w:highlight w:val="none"/>
        </w:rPr>
      </w:pPr>
    </w:p>
    <w:p w14:paraId="6C830F82">
      <w:pPr>
        <w:snapToGrid w:val="0"/>
        <w:spacing w:line="540" w:lineRule="exact"/>
        <w:ind w:firstLine="480" w:firstLineChars="200"/>
        <w:rPr>
          <w:rFonts w:hint="eastAsia" w:ascii="宋体" w:hAnsi="宋体" w:eastAsia="宋体" w:cs="宋体"/>
          <w:color w:val="auto"/>
          <w:sz w:val="24"/>
          <w:szCs w:val="24"/>
          <w:highlight w:val="none"/>
        </w:rPr>
      </w:pPr>
    </w:p>
    <w:p w14:paraId="3DB659E7">
      <w:pPr>
        <w:snapToGrid w:val="0"/>
        <w:spacing w:line="540" w:lineRule="exact"/>
        <w:ind w:firstLine="480" w:firstLineChars="20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 xml:space="preserve">      年   月   日</w:t>
      </w:r>
      <w:bookmarkStart w:id="144" w:name="_Toc9841"/>
      <w:bookmarkStart w:id="145" w:name="_Toc11495"/>
      <w:bookmarkStart w:id="146" w:name="_Toc101387457"/>
    </w:p>
    <w:p w14:paraId="60832D7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61C09D">
      <w:pPr>
        <w:pStyle w:val="2"/>
        <w:spacing w:before="0" w:after="0" w:line="540" w:lineRule="exact"/>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cs="宋体"/>
          <w:color w:val="auto"/>
          <w:highlight w:val="none"/>
          <w:lang w:eastAsia="zh-CN"/>
        </w:rPr>
        <w:t>服务</w:t>
      </w:r>
      <w:r>
        <w:rPr>
          <w:rFonts w:hint="eastAsia" w:ascii="宋体" w:hAnsi="宋体" w:eastAsia="宋体" w:cs="宋体"/>
          <w:color w:val="auto"/>
          <w:highlight w:val="none"/>
        </w:rPr>
        <w:t>部分</w:t>
      </w:r>
      <w:bookmarkEnd w:id="144"/>
      <w:bookmarkEnd w:id="145"/>
      <w:bookmarkEnd w:id="146"/>
    </w:p>
    <w:p w14:paraId="41A7CF41">
      <w:pPr>
        <w:tabs>
          <w:tab w:val="left" w:pos="6300"/>
        </w:tabs>
        <w:snapToGrid w:val="0"/>
        <w:spacing w:line="540" w:lineRule="exact"/>
        <w:jc w:val="left"/>
        <w:rPr>
          <w:rFonts w:hint="eastAsia" w:ascii="宋体" w:hAnsi="宋体" w:eastAsia="宋体" w:cs="宋体"/>
          <w:color w:val="auto"/>
          <w:sz w:val="24"/>
          <w:szCs w:val="24"/>
          <w:highlight w:val="none"/>
        </w:rPr>
      </w:pPr>
    </w:p>
    <w:p w14:paraId="418BBB45">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099B472">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754482C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47" w:name="_Toc17194"/>
            <w:bookmarkStart w:id="148" w:name="_Toc20661"/>
            <w:bookmarkStart w:id="149" w:name="_Toc22449"/>
            <w:bookmarkStart w:id="150" w:name="_Toc15500"/>
            <w:r>
              <w:rPr>
                <w:rFonts w:hint="eastAsia" w:ascii="宋体" w:hAnsi="宋体" w:eastAsia="宋体" w:cs="宋体"/>
                <w:b/>
                <w:bCs/>
                <w:color w:val="auto"/>
                <w:sz w:val="24"/>
                <w:szCs w:val="24"/>
                <w:highlight w:val="none"/>
              </w:rPr>
              <w:t>序号</w:t>
            </w:r>
            <w:bookmarkEnd w:id="147"/>
            <w:bookmarkEnd w:id="148"/>
            <w:bookmarkEnd w:id="149"/>
            <w:bookmarkEnd w:id="150"/>
          </w:p>
        </w:tc>
        <w:tc>
          <w:tcPr>
            <w:tcW w:w="2428" w:type="dxa"/>
            <w:vAlign w:val="center"/>
          </w:tcPr>
          <w:p w14:paraId="1D0488F0">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1" w:name="_Toc9653"/>
            <w:bookmarkStart w:id="152" w:name="_Toc3612"/>
            <w:bookmarkStart w:id="153" w:name="_Toc23948"/>
            <w:bookmarkStart w:id="154" w:name="_Toc24053"/>
            <w:r>
              <w:rPr>
                <w:rFonts w:hint="eastAsia" w:ascii="宋体" w:hAnsi="宋体" w:eastAsia="宋体" w:cs="宋体"/>
                <w:b/>
                <w:bCs/>
                <w:color w:val="auto"/>
                <w:sz w:val="24"/>
                <w:szCs w:val="24"/>
                <w:highlight w:val="none"/>
              </w:rPr>
              <w:t>采购需求</w:t>
            </w:r>
            <w:bookmarkEnd w:id="151"/>
            <w:bookmarkEnd w:id="152"/>
            <w:bookmarkEnd w:id="153"/>
            <w:bookmarkEnd w:id="154"/>
          </w:p>
        </w:tc>
        <w:tc>
          <w:tcPr>
            <w:tcW w:w="2520" w:type="dxa"/>
            <w:vAlign w:val="center"/>
          </w:tcPr>
          <w:p w14:paraId="0CAB19DD">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5" w:name="_Toc25924"/>
            <w:bookmarkStart w:id="156" w:name="_Toc7843"/>
            <w:bookmarkStart w:id="157" w:name="_Toc14755"/>
            <w:bookmarkStart w:id="158" w:name="_Toc10505"/>
            <w:r>
              <w:rPr>
                <w:rFonts w:hint="eastAsia" w:ascii="宋体" w:hAnsi="宋体" w:eastAsia="宋体" w:cs="宋体"/>
                <w:b/>
                <w:bCs/>
                <w:color w:val="auto"/>
                <w:sz w:val="24"/>
                <w:szCs w:val="24"/>
                <w:highlight w:val="none"/>
              </w:rPr>
              <w:t>响应情况</w:t>
            </w:r>
            <w:bookmarkEnd w:id="155"/>
            <w:bookmarkEnd w:id="156"/>
            <w:bookmarkEnd w:id="157"/>
            <w:bookmarkEnd w:id="158"/>
          </w:p>
        </w:tc>
        <w:tc>
          <w:tcPr>
            <w:tcW w:w="2147" w:type="dxa"/>
            <w:vAlign w:val="center"/>
          </w:tcPr>
          <w:p w14:paraId="2096551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9" w:name="_Toc30658"/>
            <w:bookmarkStart w:id="160" w:name="_Toc17545"/>
            <w:bookmarkStart w:id="161" w:name="_Toc13589"/>
            <w:bookmarkStart w:id="162" w:name="_Toc5131"/>
            <w:r>
              <w:rPr>
                <w:rFonts w:hint="eastAsia" w:ascii="宋体" w:hAnsi="宋体" w:eastAsia="宋体" w:cs="宋体"/>
                <w:b/>
                <w:bCs/>
                <w:color w:val="auto"/>
                <w:sz w:val="24"/>
                <w:szCs w:val="24"/>
                <w:highlight w:val="none"/>
              </w:rPr>
              <w:t>差异说明</w:t>
            </w:r>
            <w:bookmarkEnd w:id="159"/>
            <w:bookmarkEnd w:id="160"/>
            <w:bookmarkEnd w:id="161"/>
            <w:bookmarkEnd w:id="162"/>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B5FB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0FC9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E9C8F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3D221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03722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5602E6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486C0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A8CE0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A37B0A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E4EE86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EC10A1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286E0C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C142A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5BCF19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CC29B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508DC9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D3FD2F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E04BBE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4A9618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4C0DF9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3E8D92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1DB76C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86D79D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9C14E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CA30A3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9655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1DE4C2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0ECE097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45B18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68F921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1B35F1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1FC672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CB138B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6D07A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1CAD8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E7C8E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D42FC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431AE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072FD8F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0C6B9F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7A2BB42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1.本表即为对本项目“第二篇  </w:t>
      </w:r>
      <w:r>
        <w:rPr>
          <w:rFonts w:hint="eastAsia" w:ascii="宋体" w:hAnsi="宋体" w:cs="宋体"/>
          <w:bCs/>
          <w:color w:val="auto"/>
          <w:sz w:val="24"/>
          <w:szCs w:val="24"/>
          <w:highlight w:val="none"/>
          <w:lang w:eastAsia="zh-CN"/>
        </w:rPr>
        <w:t>项目服务需求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684F1116">
      <w:pPr>
        <w:pStyle w:val="22"/>
        <w:rPr>
          <w:rFonts w:hint="eastAsia" w:ascii="宋体" w:hAnsi="宋体" w:eastAsia="宋体" w:cs="宋体"/>
          <w:color w:val="auto"/>
          <w:highlight w:val="none"/>
        </w:rPr>
      </w:pPr>
    </w:p>
    <w:p w14:paraId="3A61BB89">
      <w:pPr>
        <w:rPr>
          <w:rFonts w:hint="eastAsia" w:ascii="宋体" w:hAnsi="宋体" w:eastAsia="宋体" w:cs="宋体"/>
          <w:color w:val="auto"/>
          <w:highlight w:val="none"/>
        </w:rPr>
      </w:pPr>
    </w:p>
    <w:p w14:paraId="0FD0FA32">
      <w:pPr>
        <w:pStyle w:val="22"/>
        <w:rPr>
          <w:rFonts w:hint="eastAsia" w:ascii="宋体" w:hAnsi="宋体" w:eastAsia="宋体" w:cs="宋体"/>
          <w:color w:val="auto"/>
          <w:highlight w:val="none"/>
        </w:rPr>
      </w:pPr>
    </w:p>
    <w:p w14:paraId="406D49DC">
      <w:pPr>
        <w:rPr>
          <w:rFonts w:hint="eastAsia" w:ascii="宋体" w:hAnsi="宋体" w:eastAsia="宋体" w:cs="宋体"/>
          <w:color w:val="auto"/>
          <w:highlight w:val="none"/>
        </w:rPr>
      </w:pPr>
    </w:p>
    <w:p w14:paraId="1B846C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C60D1D">
      <w:pPr>
        <w:snapToGrid w:val="0"/>
        <w:spacing w:line="360" w:lineRule="auto"/>
        <w:jc w:val="left"/>
        <w:rPr>
          <w:rFonts w:hint="eastAsia" w:ascii="宋体" w:hAnsi="宋体" w:cs="宋体"/>
          <w:color w:val="auto"/>
          <w:sz w:val="24"/>
          <w:szCs w:val="24"/>
          <w:highlight w:val="none"/>
          <w:bdr w:val="single" w:color="auto" w:sz="4" w:space="0"/>
        </w:rPr>
      </w:pPr>
      <w:r>
        <w:rPr>
          <w:rFonts w:hint="eastAsia" w:ascii="宋体" w:hAnsi="宋体" w:cs="宋体"/>
          <w:color w:val="auto"/>
          <w:sz w:val="24"/>
          <w:szCs w:val="24"/>
          <w:highlight w:val="none"/>
        </w:rPr>
        <w:t>（二）其他</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395E383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cs="宋体"/>
          <w:color w:val="auto"/>
          <w:sz w:val="21"/>
          <w:szCs w:val="21"/>
          <w:highlight w:val="none"/>
        </w:rPr>
      </w:pPr>
    </w:p>
    <w:p w14:paraId="035BB84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33CE0F">
      <w:pPr>
        <w:pStyle w:val="2"/>
        <w:spacing w:before="0" w:after="0" w:line="540" w:lineRule="exact"/>
        <w:rPr>
          <w:rFonts w:hint="eastAsia" w:ascii="宋体" w:hAnsi="宋体" w:eastAsia="宋体" w:cs="宋体"/>
          <w:color w:val="auto"/>
          <w:highlight w:val="none"/>
        </w:rPr>
      </w:pPr>
      <w:bookmarkStart w:id="163" w:name="_Toc8023"/>
      <w:r>
        <w:rPr>
          <w:rFonts w:hint="eastAsia" w:ascii="宋体" w:hAnsi="宋体" w:eastAsia="宋体" w:cs="宋体"/>
          <w:color w:val="auto"/>
          <w:highlight w:val="none"/>
        </w:rPr>
        <w:t>三、商务部分</w:t>
      </w:r>
      <w:bookmarkEnd w:id="163"/>
    </w:p>
    <w:p w14:paraId="72FF20E9">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351409A7">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4B844DC9">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79F4CD1F">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4FB3065E">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6922E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49D71511">
      <w:pPr>
        <w:rPr>
          <w:rFonts w:hint="eastAsia" w:ascii="宋体" w:hAnsi="宋体" w:eastAsia="宋体" w:cs="宋体"/>
          <w:color w:val="auto"/>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A71E093">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4" w:name="_Toc101387459"/>
      <w:bookmarkStart w:id="165" w:name="_Toc80104371"/>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ascii="宋体" w:hAnsi="宋体"/>
          <w:color w:val="auto"/>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540A926">
      <w:pPr>
        <w:pStyle w:val="30"/>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4"/>
      <w:bookmarkEnd w:id="165"/>
    </w:p>
    <w:p w14:paraId="4DE9E434">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CDB0D00">
      <w:pPr>
        <w:pStyle w:val="8"/>
        <w:jc w:val="center"/>
        <w:rPr>
          <w:rFonts w:hint="eastAsia" w:ascii="宋体" w:hAnsi="宋体" w:eastAsia="宋体" w:cs="宋体"/>
          <w:b/>
          <w:bCs/>
          <w:color w:val="auto"/>
          <w:sz w:val="32"/>
          <w:szCs w:val="32"/>
          <w:highlight w:val="none"/>
        </w:rPr>
      </w:pPr>
    </w:p>
    <w:p w14:paraId="5E5D3B0C">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0F63E1BB">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0919D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41A9B6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95B4ED5">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3C54A36D">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8"/>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color w:val="auto"/>
          <w:szCs w:val="28"/>
          <w:highlight w:val="none"/>
        </w:rPr>
      </w:pPr>
      <w:r>
        <w:rPr>
          <w:rFonts w:hint="eastAsia" w:ascii="宋体" w:hAnsi="宋体" w:eastAsia="宋体" w:cs="宋体"/>
          <w:color w:val="auto"/>
          <w:szCs w:val="28"/>
          <w:highlight w:val="none"/>
        </w:rPr>
        <w:t>（五）特定资格条件证明文件（如有）</w:t>
      </w:r>
    </w:p>
    <w:p w14:paraId="5B29C9EF">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66" w:name="_Toc101387460"/>
    </w:p>
    <w:p w14:paraId="0478D8C8">
      <w:pPr>
        <w:pStyle w:val="22"/>
        <w:ind w:firstLine="0"/>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五、</w:t>
      </w:r>
      <w:r>
        <w:rPr>
          <w:rFonts w:hint="eastAsia" w:ascii="宋体" w:hAnsi="宋体" w:cs="宋体"/>
          <w:b/>
          <w:color w:val="auto"/>
          <w:sz w:val="32"/>
          <w:szCs w:val="32"/>
          <w:highlight w:val="none"/>
          <w:lang w:eastAsia="zh-CN"/>
        </w:rPr>
        <w:t>其他资料</w:t>
      </w:r>
    </w:p>
    <w:bookmarkEnd w:id="166"/>
    <w:p w14:paraId="5895E3CA">
      <w:pPr>
        <w:rPr>
          <w:rFonts w:hint="eastAsia" w:ascii="宋体" w:hAnsi="宋体" w:eastAsia="宋体" w:cs="宋体"/>
          <w:color w:val="auto"/>
          <w:highlight w:val="none"/>
        </w:rPr>
      </w:pPr>
    </w:p>
    <w:p w14:paraId="2EB7D095">
      <w:pPr>
        <w:pStyle w:val="22"/>
        <w:rPr>
          <w:rFonts w:hint="eastAsia" w:ascii="宋体" w:hAnsi="宋体" w:eastAsia="宋体" w:cs="宋体"/>
          <w:color w:val="auto"/>
          <w:highlight w:val="none"/>
        </w:rPr>
      </w:pPr>
    </w:p>
    <w:p w14:paraId="5A504F18">
      <w:pPr>
        <w:rPr>
          <w:rFonts w:hint="eastAsia" w:ascii="宋体" w:hAnsi="宋体" w:eastAsia="宋体" w:cs="宋体"/>
          <w:color w:val="auto"/>
          <w:highlight w:val="none"/>
        </w:rPr>
      </w:pPr>
    </w:p>
    <w:p w14:paraId="340449FB">
      <w:pPr>
        <w:pStyle w:val="22"/>
        <w:rPr>
          <w:rFonts w:hint="eastAsia" w:ascii="宋体" w:hAnsi="宋体" w:eastAsia="宋体" w:cs="宋体"/>
          <w:color w:val="auto"/>
          <w:highlight w:val="none"/>
        </w:rPr>
      </w:pPr>
    </w:p>
    <w:p w14:paraId="0853578B">
      <w:pPr>
        <w:rPr>
          <w:rFonts w:hint="eastAsia" w:ascii="宋体" w:hAnsi="宋体" w:eastAsia="宋体" w:cs="宋体"/>
          <w:color w:val="auto"/>
          <w:highlight w:val="none"/>
        </w:rPr>
      </w:pPr>
    </w:p>
    <w:p w14:paraId="5023FEAC">
      <w:pPr>
        <w:pStyle w:val="22"/>
        <w:rPr>
          <w:rFonts w:hint="eastAsia" w:ascii="宋体" w:hAnsi="宋体" w:eastAsia="宋体" w:cs="宋体"/>
          <w:color w:val="auto"/>
          <w:highlight w:val="none"/>
        </w:rPr>
      </w:pPr>
    </w:p>
    <w:p w14:paraId="1CAF4997">
      <w:pPr>
        <w:rPr>
          <w:rFonts w:hint="eastAsia" w:ascii="宋体" w:hAnsi="宋体" w:eastAsia="宋体" w:cs="宋体"/>
          <w:color w:val="auto"/>
          <w:highlight w:val="none"/>
        </w:rPr>
      </w:pPr>
    </w:p>
    <w:p w14:paraId="5032BFDE">
      <w:pPr>
        <w:pStyle w:val="22"/>
        <w:rPr>
          <w:rFonts w:hint="eastAsia" w:ascii="宋体" w:hAnsi="宋体" w:eastAsia="宋体" w:cs="宋体"/>
          <w:color w:val="auto"/>
          <w:highlight w:val="none"/>
        </w:rPr>
      </w:pPr>
    </w:p>
    <w:p w14:paraId="3F18A214">
      <w:pPr>
        <w:rPr>
          <w:rFonts w:hint="eastAsia" w:ascii="宋体" w:hAnsi="宋体" w:eastAsia="宋体" w:cs="宋体"/>
          <w:color w:val="auto"/>
          <w:highlight w:val="none"/>
        </w:rPr>
      </w:pPr>
    </w:p>
    <w:p w14:paraId="54864E42">
      <w:pPr>
        <w:pStyle w:val="22"/>
        <w:rPr>
          <w:rFonts w:hint="eastAsia" w:ascii="宋体" w:hAnsi="宋体" w:eastAsia="宋体" w:cs="宋体"/>
          <w:color w:val="auto"/>
          <w:highlight w:val="none"/>
        </w:rPr>
      </w:pPr>
    </w:p>
    <w:p w14:paraId="645C56EE">
      <w:pPr>
        <w:rPr>
          <w:rFonts w:hint="eastAsia" w:ascii="宋体" w:hAnsi="宋体" w:eastAsia="宋体" w:cs="宋体"/>
          <w:color w:val="auto"/>
          <w:highlight w:val="none"/>
        </w:rPr>
      </w:pPr>
    </w:p>
    <w:p w14:paraId="4244B5EA">
      <w:pPr>
        <w:pStyle w:val="22"/>
        <w:rPr>
          <w:rFonts w:hint="eastAsia" w:ascii="宋体" w:hAnsi="宋体" w:eastAsia="宋体" w:cs="宋体"/>
          <w:color w:val="auto"/>
          <w:highlight w:val="none"/>
        </w:rPr>
      </w:pPr>
    </w:p>
    <w:p w14:paraId="550DE604">
      <w:pPr>
        <w:rPr>
          <w:rFonts w:hint="eastAsia" w:ascii="宋体" w:hAnsi="宋体" w:eastAsia="宋体" w:cs="宋体"/>
          <w:color w:val="auto"/>
          <w:highlight w:val="none"/>
        </w:rPr>
      </w:pPr>
    </w:p>
    <w:p w14:paraId="7083F5E6">
      <w:pPr>
        <w:pStyle w:val="22"/>
        <w:rPr>
          <w:rFonts w:hint="eastAsia" w:ascii="宋体" w:hAnsi="宋体" w:eastAsia="宋体" w:cs="宋体"/>
          <w:color w:val="auto"/>
          <w:highlight w:val="none"/>
        </w:rPr>
      </w:pPr>
    </w:p>
    <w:p w14:paraId="2E3F4D50">
      <w:pPr>
        <w:rPr>
          <w:rFonts w:hint="eastAsia" w:ascii="宋体" w:hAnsi="宋体" w:eastAsia="宋体" w:cs="宋体"/>
          <w:color w:val="auto"/>
          <w:highlight w:val="none"/>
        </w:rPr>
      </w:pPr>
    </w:p>
    <w:p w14:paraId="05E6AD54">
      <w:pPr>
        <w:pStyle w:val="22"/>
        <w:rPr>
          <w:rFonts w:hint="eastAsia" w:ascii="宋体" w:hAnsi="宋体" w:eastAsia="宋体" w:cs="宋体"/>
          <w:color w:val="auto"/>
          <w:highlight w:val="none"/>
        </w:rPr>
      </w:pPr>
    </w:p>
    <w:p w14:paraId="3DBDD5E5">
      <w:pPr>
        <w:rPr>
          <w:rFonts w:hint="eastAsia" w:ascii="宋体" w:hAnsi="宋体" w:eastAsia="宋体" w:cs="宋体"/>
          <w:color w:val="auto"/>
          <w:highlight w:val="none"/>
        </w:rPr>
      </w:pPr>
    </w:p>
    <w:p w14:paraId="77840048">
      <w:pPr>
        <w:pStyle w:val="22"/>
        <w:rPr>
          <w:rFonts w:hint="eastAsia" w:ascii="宋体" w:hAnsi="宋体" w:eastAsia="宋体" w:cs="宋体"/>
          <w:color w:val="auto"/>
          <w:highlight w:val="none"/>
        </w:rPr>
      </w:pPr>
    </w:p>
    <w:p w14:paraId="5FF8C077">
      <w:pPr>
        <w:rPr>
          <w:rFonts w:hint="eastAsia" w:ascii="宋体" w:hAnsi="宋体" w:eastAsia="宋体" w:cs="宋体"/>
          <w:color w:val="auto"/>
          <w:highlight w:val="none"/>
        </w:rPr>
      </w:pPr>
    </w:p>
    <w:p w14:paraId="4E1FF93E">
      <w:pPr>
        <w:pStyle w:val="22"/>
        <w:rPr>
          <w:rFonts w:hint="eastAsia" w:ascii="宋体" w:hAnsi="宋体" w:eastAsia="宋体" w:cs="宋体"/>
          <w:color w:val="auto"/>
          <w:highlight w:val="none"/>
        </w:rPr>
      </w:pPr>
    </w:p>
    <w:p w14:paraId="28FAD73D">
      <w:pPr>
        <w:rPr>
          <w:rFonts w:hint="eastAsia" w:ascii="宋体" w:hAnsi="宋体" w:eastAsia="宋体" w:cs="宋体"/>
          <w:color w:val="auto"/>
          <w:highlight w:val="none"/>
        </w:rPr>
      </w:pPr>
    </w:p>
    <w:p w14:paraId="4FF9AA89">
      <w:pPr>
        <w:pStyle w:val="36"/>
        <w:ind w:firstLine="480"/>
        <w:rPr>
          <w:rFonts w:hint="eastAsia" w:ascii="宋体" w:hAnsi="宋体" w:eastAsia="宋体" w:cs="宋体"/>
          <w:color w:val="auto"/>
          <w:highlight w:val="none"/>
        </w:rPr>
      </w:pPr>
      <w:bookmarkStart w:id="167" w:name="_Toc7382"/>
      <w:bookmarkStart w:id="168" w:name="_Toc25402"/>
      <w:bookmarkStart w:id="169" w:name="_Toc17153"/>
      <w:r>
        <w:rPr>
          <w:rFonts w:hint="eastAsia" w:ascii="宋体" w:hAnsi="宋体" w:eastAsia="宋体" w:cs="宋体"/>
          <w:color w:val="auto"/>
          <w:highlight w:val="none"/>
        </w:rPr>
        <w:t>（结束）</w:t>
      </w:r>
      <w:bookmarkEnd w:id="167"/>
      <w:bookmarkEnd w:id="168"/>
      <w:bookmarkEnd w:id="169"/>
      <w:bookmarkStart w:id="170" w:name="_Toc22835"/>
      <w:bookmarkStart w:id="171" w:name="_Toc24258"/>
      <w:bookmarkStart w:id="172" w:name="_Toc13336"/>
      <w:bookmarkStart w:id="173" w:name="_Toc21179"/>
      <w:bookmarkStart w:id="174" w:name="_Toc20722"/>
      <w:bookmarkStart w:id="175" w:name="_Toc32111"/>
      <w:bookmarkStart w:id="176" w:name="_Toc477027621"/>
      <w:bookmarkStart w:id="177" w:name="_Toc19707"/>
      <w:bookmarkStart w:id="178" w:name="_Toc8321"/>
      <w:bookmarkStart w:id="179" w:name="_Toc10567"/>
      <w:bookmarkStart w:id="180" w:name="_Toc18063"/>
      <w:bookmarkStart w:id="181" w:name="_Toc26458"/>
    </w:p>
    <w:p w14:paraId="3B8B7109">
      <w:pPr>
        <w:pStyle w:val="36"/>
        <w:ind w:firstLine="480"/>
        <w:rPr>
          <w:rFonts w:hint="eastAsia" w:ascii="宋体" w:hAnsi="宋体" w:eastAsia="宋体" w:cs="宋体"/>
          <w:color w:val="auto"/>
          <w:highlight w:val="none"/>
        </w:rPr>
      </w:pPr>
    </w:p>
    <w:p w14:paraId="4112C39E">
      <w:pPr>
        <w:pStyle w:val="36"/>
        <w:ind w:firstLine="480"/>
        <w:rPr>
          <w:rFonts w:hint="eastAsia" w:ascii="宋体" w:hAnsi="宋体" w:eastAsia="宋体" w:cs="宋体"/>
          <w:color w:val="auto"/>
          <w:highlight w:val="none"/>
        </w:rPr>
      </w:pPr>
    </w:p>
    <w:p w14:paraId="494E6E13">
      <w:pPr>
        <w:pStyle w:val="36"/>
        <w:ind w:firstLine="480"/>
        <w:rPr>
          <w:rFonts w:hint="eastAsia" w:ascii="宋体" w:hAnsi="宋体" w:eastAsia="宋体" w:cs="宋体"/>
          <w:color w:val="auto"/>
          <w:highlight w:val="none"/>
        </w:rPr>
      </w:pPr>
    </w:p>
    <w:p w14:paraId="2108CC84">
      <w:pPr>
        <w:pStyle w:val="36"/>
        <w:ind w:firstLine="480"/>
        <w:rPr>
          <w:rFonts w:hint="eastAsia" w:ascii="宋体" w:hAnsi="宋体" w:eastAsia="宋体" w:cs="宋体"/>
          <w:color w:val="auto"/>
          <w:highlight w:val="none"/>
        </w:rPr>
      </w:pPr>
    </w:p>
    <w:p w14:paraId="6030B419">
      <w:pPr>
        <w:pStyle w:val="36"/>
        <w:ind w:firstLine="480"/>
        <w:rPr>
          <w:rFonts w:hint="eastAsia" w:ascii="宋体" w:hAnsi="宋体" w:eastAsia="宋体" w:cs="宋体"/>
          <w:color w:val="auto"/>
          <w:highlight w:val="none"/>
        </w:rPr>
      </w:pPr>
    </w:p>
    <w:p w14:paraId="612CFAD7">
      <w:pPr>
        <w:pStyle w:val="36"/>
        <w:ind w:firstLine="480"/>
        <w:rPr>
          <w:rFonts w:hint="eastAsia" w:ascii="宋体" w:hAnsi="宋体" w:eastAsia="宋体" w:cs="宋体"/>
          <w:color w:val="auto"/>
          <w:highlight w:val="none"/>
        </w:rPr>
      </w:pPr>
    </w:p>
    <w:p w14:paraId="61E2477E">
      <w:pPr>
        <w:pStyle w:val="36"/>
        <w:ind w:firstLine="480"/>
        <w:rPr>
          <w:rFonts w:hint="eastAsia" w:ascii="宋体" w:hAnsi="宋体" w:eastAsia="宋体" w:cs="宋体"/>
          <w:color w:val="auto"/>
          <w:highlight w:val="none"/>
        </w:rPr>
      </w:pPr>
    </w:p>
    <w:p w14:paraId="0929362A">
      <w:pPr>
        <w:pStyle w:val="36"/>
        <w:ind w:firstLine="480"/>
        <w:rPr>
          <w:rFonts w:hint="eastAsia" w:ascii="宋体" w:hAnsi="宋体" w:eastAsia="宋体" w:cs="宋体"/>
          <w:color w:val="auto"/>
          <w:highlight w:val="none"/>
        </w:rPr>
      </w:pPr>
    </w:p>
    <w:p w14:paraId="71932D72">
      <w:pPr>
        <w:pStyle w:val="36"/>
        <w:ind w:firstLine="480"/>
        <w:rPr>
          <w:rFonts w:hint="eastAsia" w:ascii="宋体" w:hAnsi="宋体" w:eastAsia="宋体" w:cs="宋体"/>
          <w:color w:val="auto"/>
          <w:highlight w:val="none"/>
        </w:rPr>
      </w:pPr>
    </w:p>
    <w:p w14:paraId="3EAB617A">
      <w:pPr>
        <w:pStyle w:val="36"/>
        <w:ind w:firstLine="480"/>
        <w:rPr>
          <w:rFonts w:hint="eastAsia" w:ascii="宋体" w:hAnsi="宋体" w:eastAsia="宋体" w:cs="宋体"/>
          <w:color w:val="auto"/>
          <w:highlight w:val="none"/>
        </w:rPr>
      </w:pPr>
    </w:p>
    <w:p w14:paraId="024CE916">
      <w:pPr>
        <w:pStyle w:val="36"/>
        <w:ind w:firstLine="480"/>
        <w:rPr>
          <w:rFonts w:hint="eastAsia" w:ascii="宋体" w:hAnsi="宋体" w:eastAsia="宋体" w:cs="宋体"/>
          <w:color w:val="auto"/>
          <w:highlight w:val="none"/>
        </w:rPr>
      </w:pPr>
    </w:p>
    <w:p w14:paraId="09BB9D9A">
      <w:pPr>
        <w:pStyle w:val="36"/>
        <w:ind w:firstLine="480"/>
        <w:jc w:val="center"/>
        <w:rPr>
          <w:rFonts w:hint="eastAsia" w:ascii="宋体" w:hAnsi="宋体" w:eastAsia="宋体" w:cs="宋体"/>
          <w:color w:val="auto"/>
          <w:szCs w:val="22"/>
          <w:highlight w:val="none"/>
        </w:rPr>
      </w:pPr>
      <w:bookmarkStart w:id="182" w:name="_Toc12065"/>
      <w:r>
        <w:rPr>
          <w:rFonts w:hint="eastAsia" w:ascii="宋体" w:hAnsi="宋体" w:eastAsia="宋体" w:cs="宋体"/>
          <w:color w:val="auto"/>
          <w:szCs w:val="22"/>
          <w:highlight w:val="none"/>
        </w:rPr>
        <w:t>附件一：供应商信息卡</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6DC97F12">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项目名称（分包）：</w:t>
      </w:r>
    </w:p>
    <w:p w14:paraId="731C923C">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项目号：</w:t>
      </w:r>
    </w:p>
    <w:p w14:paraId="64CF1A95">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p>
    <w:p w14:paraId="63D7673D">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w:t>
      </w:r>
    </w:p>
    <w:p w14:paraId="4F5CF766">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w:t>
      </w:r>
    </w:p>
    <w:p w14:paraId="13310F49">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授权代表：</w:t>
      </w:r>
    </w:p>
    <w:p w14:paraId="64CD4068">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w:t>
      </w:r>
    </w:p>
    <w:p w14:paraId="5FC0A869">
      <w:pPr>
        <w:pStyle w:val="53"/>
        <w:ind w:left="480" w:hanging="480"/>
        <w:jc w:val="both"/>
        <w:rPr>
          <w:rFonts w:hint="eastAsia" w:ascii="宋体" w:hAnsi="宋体" w:eastAsia="宋体" w:cs="宋体"/>
          <w:color w:val="auto"/>
          <w:highlight w:val="none"/>
        </w:rPr>
      </w:pPr>
    </w:p>
    <w:p w14:paraId="4E67524D">
      <w:pPr>
        <w:pStyle w:val="53"/>
        <w:ind w:left="480" w:hanging="480"/>
        <w:jc w:val="both"/>
        <w:rPr>
          <w:rFonts w:hint="eastAsia" w:ascii="宋体" w:hAnsi="宋体" w:eastAsia="宋体" w:cs="宋体"/>
          <w:color w:val="auto"/>
          <w:highlight w:val="none"/>
        </w:rPr>
      </w:pPr>
    </w:p>
    <w:p w14:paraId="28E73095">
      <w:pPr>
        <w:pStyle w:val="53"/>
        <w:ind w:left="480" w:hanging="480"/>
        <w:jc w:val="both"/>
        <w:rPr>
          <w:rFonts w:hint="eastAsia" w:ascii="宋体" w:hAnsi="宋体" w:eastAsia="宋体" w:cs="宋体"/>
          <w:color w:val="auto"/>
          <w:highlight w:val="none"/>
        </w:rPr>
      </w:pPr>
    </w:p>
    <w:p w14:paraId="69864286">
      <w:pPr>
        <w:pStyle w:val="53"/>
        <w:ind w:left="480" w:hanging="48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供应商(公章):</w:t>
      </w:r>
    </w:p>
    <w:p w14:paraId="6B05B5D9">
      <w:pPr>
        <w:pStyle w:val="53"/>
        <w:ind w:left="480" w:hanging="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1A5F7A4E">
      <w:pPr>
        <w:ind w:left="716" w:hanging="716" w:hangingChars="297"/>
        <w:rPr>
          <w:rFonts w:hint="eastAsia" w:ascii="宋体" w:hAnsi="宋体" w:eastAsia="宋体" w:cs="宋体"/>
          <w:b/>
          <w:color w:val="auto"/>
          <w:sz w:val="24"/>
          <w:szCs w:val="24"/>
          <w:highlight w:val="none"/>
        </w:rPr>
      </w:pPr>
    </w:p>
    <w:p w14:paraId="6EB7C77C">
      <w:pPr>
        <w:ind w:left="716" w:hanging="716" w:hangingChars="297"/>
        <w:rPr>
          <w:rFonts w:hint="eastAsia" w:ascii="宋体" w:hAnsi="宋体" w:eastAsia="宋体" w:cs="宋体"/>
          <w:b/>
          <w:color w:val="auto"/>
          <w:sz w:val="24"/>
          <w:szCs w:val="24"/>
          <w:highlight w:val="none"/>
        </w:rPr>
      </w:pPr>
    </w:p>
    <w:p w14:paraId="7A7D3583">
      <w:pPr>
        <w:ind w:firstLine="480"/>
        <w:rPr>
          <w:rFonts w:hint="eastAsia" w:ascii="宋体" w:hAnsi="宋体" w:eastAsia="宋体" w:cs="宋体"/>
          <w:color w:val="auto"/>
          <w:sz w:val="24"/>
          <w:szCs w:val="24"/>
          <w:highlight w:val="none"/>
        </w:rPr>
      </w:pPr>
    </w:p>
    <w:p w14:paraId="125AF0AC">
      <w:pPr>
        <w:ind w:firstLine="480"/>
        <w:rPr>
          <w:rFonts w:hint="eastAsia" w:ascii="宋体" w:hAnsi="宋体" w:eastAsia="宋体" w:cs="宋体"/>
          <w:color w:val="auto"/>
          <w:sz w:val="24"/>
          <w:szCs w:val="24"/>
          <w:highlight w:val="none"/>
        </w:rPr>
      </w:pPr>
    </w:p>
    <w:p w14:paraId="4415AB9E">
      <w:pPr>
        <w:ind w:firstLine="480"/>
        <w:rPr>
          <w:rFonts w:hint="eastAsia" w:ascii="宋体" w:hAnsi="宋体" w:eastAsia="宋体" w:cs="宋体"/>
          <w:color w:val="auto"/>
          <w:sz w:val="24"/>
          <w:szCs w:val="24"/>
          <w:highlight w:val="none"/>
        </w:rPr>
      </w:pPr>
    </w:p>
    <w:p w14:paraId="2D461F03">
      <w:pPr>
        <w:ind w:firstLine="480"/>
        <w:rPr>
          <w:rFonts w:hint="eastAsia" w:ascii="宋体" w:hAnsi="宋体" w:eastAsia="宋体" w:cs="宋体"/>
          <w:color w:val="auto"/>
          <w:sz w:val="24"/>
          <w:szCs w:val="24"/>
          <w:highlight w:val="none"/>
        </w:rPr>
      </w:pPr>
    </w:p>
    <w:p w14:paraId="785A0301">
      <w:pPr>
        <w:ind w:firstLine="480"/>
        <w:rPr>
          <w:rFonts w:hint="eastAsia" w:ascii="宋体" w:hAnsi="宋体" w:eastAsia="宋体" w:cs="宋体"/>
          <w:color w:val="auto"/>
          <w:sz w:val="24"/>
          <w:szCs w:val="24"/>
          <w:highlight w:val="none"/>
        </w:rPr>
      </w:pPr>
    </w:p>
    <w:p w14:paraId="25309084">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注：该“供应商信息卡”由供应商在现场递交（内容填写完整或打印并加盖公章，不得装入密封响应文件内）。</w:t>
      </w:r>
    </w:p>
    <w:p w14:paraId="7D2C7E11">
      <w:pPr>
        <w:pStyle w:val="36"/>
        <w:ind w:firstLine="480"/>
        <w:jc w:val="center"/>
        <w:rPr>
          <w:rFonts w:hint="eastAsia"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183" w:name="_Toc18730"/>
      <w:bookmarkStart w:id="184" w:name="_Toc4954"/>
      <w:bookmarkStart w:id="185" w:name="_Toc31510"/>
      <w:bookmarkStart w:id="186" w:name="_Toc31598"/>
      <w:bookmarkStart w:id="187" w:name="_Toc4759"/>
      <w:bookmarkStart w:id="188" w:name="_Toc7891"/>
      <w:r>
        <w:rPr>
          <w:rFonts w:hint="eastAsia" w:ascii="宋体" w:hAnsi="宋体" w:eastAsia="宋体" w:cs="宋体"/>
          <w:color w:val="auto"/>
          <w:szCs w:val="22"/>
          <w:highlight w:val="none"/>
        </w:rPr>
        <w:t>附件二：</w:t>
      </w:r>
      <w:bookmarkEnd w:id="183"/>
      <w:bookmarkEnd w:id="184"/>
      <w:bookmarkEnd w:id="185"/>
      <w:bookmarkEnd w:id="186"/>
      <w:bookmarkEnd w:id="187"/>
      <w:bookmarkEnd w:id="188"/>
      <w:r>
        <w:rPr>
          <w:rFonts w:hint="eastAsia" w:ascii="宋体" w:hAnsi="宋体" w:eastAsia="宋体" w:cs="宋体"/>
          <w:color w:val="auto"/>
          <w:szCs w:val="22"/>
          <w:highlight w:val="none"/>
        </w:rPr>
        <w:t>采购文件发售登记表</w:t>
      </w:r>
    </w:p>
    <w:p w14:paraId="1B50B60B">
      <w:pPr>
        <w:ind w:firstLine="480"/>
        <w:jc w:val="center"/>
        <w:outlineLvl w:val="1"/>
        <w:rPr>
          <w:rFonts w:hint="eastAsia" w:ascii="宋体" w:hAnsi="宋体" w:eastAsia="宋体" w:cs="宋体"/>
          <w:b/>
          <w:color w:val="auto"/>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E7E28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ign w:val="center"/>
          </w:tcPr>
          <w:p w14:paraId="66B7B1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项目号</w:t>
            </w:r>
          </w:p>
        </w:tc>
        <w:tc>
          <w:tcPr>
            <w:tcW w:w="7423" w:type="dxa"/>
            <w:gridSpan w:val="3"/>
            <w:noWrap/>
            <w:vAlign w:val="center"/>
          </w:tcPr>
          <w:p w14:paraId="0A1297CA">
            <w:pPr>
              <w:jc w:val="center"/>
              <w:rPr>
                <w:rFonts w:hint="eastAsia" w:ascii="宋体" w:hAnsi="宋体" w:eastAsia="宋体" w:cs="宋体"/>
                <w:color w:val="auto"/>
                <w:sz w:val="24"/>
                <w:szCs w:val="24"/>
                <w:highlight w:val="none"/>
              </w:rPr>
            </w:pPr>
          </w:p>
        </w:tc>
      </w:tr>
      <w:tr w14:paraId="13693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ign w:val="center"/>
          </w:tcPr>
          <w:p w14:paraId="3CF15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23" w:type="dxa"/>
            <w:gridSpan w:val="3"/>
            <w:noWrap/>
            <w:vAlign w:val="center"/>
          </w:tcPr>
          <w:p w14:paraId="4CBB990A">
            <w:pPr>
              <w:jc w:val="center"/>
              <w:rPr>
                <w:rFonts w:hint="eastAsia" w:ascii="宋体" w:hAnsi="宋体" w:eastAsia="宋体" w:cs="宋体"/>
                <w:color w:val="auto"/>
                <w:sz w:val="24"/>
                <w:szCs w:val="24"/>
                <w:highlight w:val="none"/>
              </w:rPr>
            </w:pPr>
          </w:p>
        </w:tc>
      </w:tr>
      <w:tr w14:paraId="18E49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ign w:val="center"/>
          </w:tcPr>
          <w:p w14:paraId="19E3D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423" w:type="dxa"/>
            <w:gridSpan w:val="3"/>
            <w:noWrap/>
            <w:vAlign w:val="center"/>
          </w:tcPr>
          <w:p w14:paraId="657562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E423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ign w:val="center"/>
          </w:tcPr>
          <w:p w14:paraId="48C8F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96" w:type="dxa"/>
            <w:noWrap/>
            <w:vAlign w:val="center"/>
          </w:tcPr>
          <w:p w14:paraId="5D4DAAC5">
            <w:pPr>
              <w:jc w:val="center"/>
              <w:rPr>
                <w:rFonts w:hint="eastAsia" w:ascii="宋体" w:hAnsi="宋体" w:eastAsia="宋体" w:cs="宋体"/>
                <w:color w:val="auto"/>
                <w:sz w:val="24"/>
                <w:szCs w:val="24"/>
                <w:highlight w:val="none"/>
              </w:rPr>
            </w:pPr>
          </w:p>
        </w:tc>
        <w:tc>
          <w:tcPr>
            <w:tcW w:w="1053" w:type="dxa"/>
            <w:noWrap/>
            <w:vAlign w:val="center"/>
          </w:tcPr>
          <w:p w14:paraId="1645D8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974" w:type="dxa"/>
            <w:noWrap/>
            <w:vAlign w:val="center"/>
          </w:tcPr>
          <w:p w14:paraId="249692CE">
            <w:pPr>
              <w:jc w:val="center"/>
              <w:rPr>
                <w:rFonts w:hint="eastAsia" w:ascii="宋体" w:hAnsi="宋体" w:eastAsia="宋体" w:cs="宋体"/>
                <w:color w:val="auto"/>
                <w:sz w:val="24"/>
                <w:szCs w:val="24"/>
                <w:highlight w:val="none"/>
              </w:rPr>
            </w:pPr>
          </w:p>
        </w:tc>
      </w:tr>
      <w:tr w14:paraId="1844B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ign w:val="center"/>
          </w:tcPr>
          <w:p w14:paraId="0705B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396" w:type="dxa"/>
            <w:noWrap/>
            <w:vAlign w:val="center"/>
          </w:tcPr>
          <w:p w14:paraId="6C7F2483">
            <w:pPr>
              <w:jc w:val="center"/>
              <w:rPr>
                <w:rFonts w:hint="eastAsia" w:ascii="宋体" w:hAnsi="宋体" w:eastAsia="宋体" w:cs="宋体"/>
                <w:color w:val="auto"/>
                <w:sz w:val="24"/>
                <w:szCs w:val="24"/>
                <w:highlight w:val="none"/>
              </w:rPr>
            </w:pPr>
          </w:p>
        </w:tc>
        <w:tc>
          <w:tcPr>
            <w:tcW w:w="1053" w:type="dxa"/>
            <w:noWrap/>
            <w:vAlign w:val="center"/>
          </w:tcPr>
          <w:p w14:paraId="391C6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974" w:type="dxa"/>
            <w:noWrap/>
            <w:vAlign w:val="center"/>
          </w:tcPr>
          <w:p w14:paraId="0BD80323">
            <w:pPr>
              <w:jc w:val="center"/>
              <w:rPr>
                <w:rFonts w:hint="eastAsia" w:ascii="宋体" w:hAnsi="宋体" w:eastAsia="宋体" w:cs="宋体"/>
                <w:color w:val="auto"/>
                <w:sz w:val="24"/>
                <w:szCs w:val="24"/>
                <w:highlight w:val="none"/>
              </w:rPr>
            </w:pPr>
          </w:p>
        </w:tc>
      </w:tr>
      <w:tr w14:paraId="1290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ign w:val="center"/>
          </w:tcPr>
          <w:p w14:paraId="758A55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7423" w:type="dxa"/>
            <w:gridSpan w:val="3"/>
            <w:noWrap/>
            <w:vAlign w:val="center"/>
          </w:tcPr>
          <w:p w14:paraId="449E81EE">
            <w:pPr>
              <w:jc w:val="center"/>
              <w:rPr>
                <w:rFonts w:hint="eastAsia" w:ascii="宋体" w:hAnsi="宋体" w:eastAsia="宋体" w:cs="宋体"/>
                <w:color w:val="auto"/>
                <w:sz w:val="24"/>
                <w:szCs w:val="24"/>
                <w:highlight w:val="none"/>
              </w:rPr>
            </w:pPr>
          </w:p>
        </w:tc>
      </w:tr>
      <w:tr w14:paraId="7F4D1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ign w:val="center"/>
          </w:tcPr>
          <w:p w14:paraId="41547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423" w:type="dxa"/>
            <w:gridSpan w:val="3"/>
            <w:noWrap/>
            <w:vAlign w:val="center"/>
          </w:tcPr>
          <w:p w14:paraId="6448A0E0">
            <w:pPr>
              <w:jc w:val="center"/>
              <w:rPr>
                <w:rFonts w:hint="eastAsia" w:ascii="宋体" w:hAnsi="宋体" w:eastAsia="宋体" w:cs="宋体"/>
                <w:color w:val="auto"/>
                <w:sz w:val="24"/>
                <w:szCs w:val="24"/>
                <w:highlight w:val="none"/>
              </w:rPr>
            </w:pPr>
          </w:p>
        </w:tc>
      </w:tr>
    </w:tbl>
    <w:p w14:paraId="0EBD7E3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p>
    <w:p w14:paraId="431467CD">
      <w:pPr>
        <w:spacing w:line="360" w:lineRule="auto"/>
        <w:ind w:firstLine="480"/>
        <w:rPr>
          <w:rFonts w:hint="eastAsia" w:ascii="宋体" w:hAnsi="宋体" w:eastAsia="宋体" w:cs="宋体"/>
          <w:color w:val="auto"/>
          <w:sz w:val="24"/>
          <w:szCs w:val="24"/>
          <w:highlight w:val="none"/>
        </w:rPr>
      </w:pPr>
    </w:p>
    <w:p w14:paraId="0720743C">
      <w:pPr>
        <w:ind w:firstLine="482"/>
        <w:rPr>
          <w:rFonts w:hint="eastAsia" w:ascii="宋体" w:hAnsi="宋体" w:eastAsia="宋体" w:cs="宋体"/>
          <w:b/>
          <w:color w:val="auto"/>
          <w:sz w:val="24"/>
          <w:szCs w:val="24"/>
          <w:highlight w:val="none"/>
        </w:rPr>
      </w:pPr>
    </w:p>
    <w:p w14:paraId="12513165">
      <w:pPr>
        <w:ind w:firstLine="482"/>
        <w:rPr>
          <w:rFonts w:hint="eastAsia" w:ascii="宋体" w:hAnsi="宋体" w:eastAsia="宋体" w:cs="宋体"/>
          <w:b/>
          <w:color w:val="auto"/>
          <w:sz w:val="24"/>
          <w:szCs w:val="24"/>
          <w:highlight w:val="none"/>
        </w:rPr>
      </w:pPr>
    </w:p>
    <w:p w14:paraId="59EAF947">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注：该“采购文件发售登记表”由供应商在现场递交（内容填写完整或打印并加盖公章，不得装入密封响应文件内）。</w:t>
      </w:r>
    </w:p>
    <w:p w14:paraId="19CA9505">
      <w:pPr>
        <w:spacing w:line="360" w:lineRule="auto"/>
        <w:ind w:firstLine="560" w:firstLineChars="200"/>
        <w:jc w:val="center"/>
        <w:rPr>
          <w:rFonts w:hint="eastAsia" w:ascii="宋体" w:hAnsi="宋体" w:eastAsia="宋体" w:cs="宋体"/>
          <w:color w:val="auto"/>
          <w:highlight w:val="none"/>
        </w:rPr>
      </w:pPr>
    </w:p>
    <w:p w14:paraId="525295E9">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DEA06FA-121E-4027-9E56-AB0CEE386A5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2352EBFE-7B83-4661-B1F5-5B4D115212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8C02">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56D030F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5"/>
      <w:framePr w:wrap="around" w:vAnchor="text" w:hAnchor="margin" w:xAlign="center" w:y="1"/>
      <w:rPr>
        <w:rStyle w:val="27"/>
      </w:rPr>
    </w:pPr>
    <w:r>
      <w:fldChar w:fldCharType="begin"/>
    </w:r>
    <w:r>
      <w:rPr>
        <w:rStyle w:val="27"/>
      </w:rPr>
      <w:instrText xml:space="preserve">PAGE  </w:instrText>
    </w:r>
    <w:r>
      <w:fldChar w:fldCharType="end"/>
    </w:r>
  </w:p>
  <w:p w14:paraId="3D422F8A">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5C173E2"/>
    <w:rsid w:val="05D67331"/>
    <w:rsid w:val="060176B0"/>
    <w:rsid w:val="061A4D0F"/>
    <w:rsid w:val="07276548"/>
    <w:rsid w:val="07DA384C"/>
    <w:rsid w:val="082D6AB5"/>
    <w:rsid w:val="08E777AB"/>
    <w:rsid w:val="091B3A94"/>
    <w:rsid w:val="093E76C7"/>
    <w:rsid w:val="0A73362A"/>
    <w:rsid w:val="0CE555B0"/>
    <w:rsid w:val="0CEE08DC"/>
    <w:rsid w:val="0D9C5B7C"/>
    <w:rsid w:val="0DED3BF7"/>
    <w:rsid w:val="0F184516"/>
    <w:rsid w:val="0F4C3E64"/>
    <w:rsid w:val="100C21FF"/>
    <w:rsid w:val="107A129B"/>
    <w:rsid w:val="117B33F3"/>
    <w:rsid w:val="1265463F"/>
    <w:rsid w:val="1374416E"/>
    <w:rsid w:val="142D31B4"/>
    <w:rsid w:val="15744470"/>
    <w:rsid w:val="157A0C70"/>
    <w:rsid w:val="167D04A9"/>
    <w:rsid w:val="181C56F8"/>
    <w:rsid w:val="18B923A1"/>
    <w:rsid w:val="19616ABA"/>
    <w:rsid w:val="19C13E98"/>
    <w:rsid w:val="19DE5CCF"/>
    <w:rsid w:val="19E806B1"/>
    <w:rsid w:val="1AD82DAC"/>
    <w:rsid w:val="1B912121"/>
    <w:rsid w:val="1BBA6E5B"/>
    <w:rsid w:val="1CED7922"/>
    <w:rsid w:val="1EE91AD6"/>
    <w:rsid w:val="1F0F1705"/>
    <w:rsid w:val="1F5155C5"/>
    <w:rsid w:val="20BE320C"/>
    <w:rsid w:val="21336BF6"/>
    <w:rsid w:val="21857B08"/>
    <w:rsid w:val="22034BB2"/>
    <w:rsid w:val="2242405A"/>
    <w:rsid w:val="22557E56"/>
    <w:rsid w:val="22AD63A6"/>
    <w:rsid w:val="25042CED"/>
    <w:rsid w:val="251935EB"/>
    <w:rsid w:val="26317911"/>
    <w:rsid w:val="26962499"/>
    <w:rsid w:val="27206206"/>
    <w:rsid w:val="27456145"/>
    <w:rsid w:val="283C2BCC"/>
    <w:rsid w:val="2B8A1EA0"/>
    <w:rsid w:val="2E9C20E4"/>
    <w:rsid w:val="30D74EFB"/>
    <w:rsid w:val="316D3982"/>
    <w:rsid w:val="32313075"/>
    <w:rsid w:val="32FC184B"/>
    <w:rsid w:val="331A7FAD"/>
    <w:rsid w:val="33835B53"/>
    <w:rsid w:val="33CB280E"/>
    <w:rsid w:val="351B77A7"/>
    <w:rsid w:val="352E0BC1"/>
    <w:rsid w:val="35F92F02"/>
    <w:rsid w:val="36925CE8"/>
    <w:rsid w:val="3733163E"/>
    <w:rsid w:val="3ACE79A6"/>
    <w:rsid w:val="3BF92CA9"/>
    <w:rsid w:val="3D33494B"/>
    <w:rsid w:val="3D8027BE"/>
    <w:rsid w:val="3E4C3DFE"/>
    <w:rsid w:val="3F5125DF"/>
    <w:rsid w:val="423C2277"/>
    <w:rsid w:val="425B1E68"/>
    <w:rsid w:val="44CB1E10"/>
    <w:rsid w:val="454D3C8A"/>
    <w:rsid w:val="456F4713"/>
    <w:rsid w:val="4662097D"/>
    <w:rsid w:val="46BD0AE0"/>
    <w:rsid w:val="471072A6"/>
    <w:rsid w:val="483966A4"/>
    <w:rsid w:val="48670274"/>
    <w:rsid w:val="48CD5AE8"/>
    <w:rsid w:val="49867369"/>
    <w:rsid w:val="4A4F44D5"/>
    <w:rsid w:val="4AEB502A"/>
    <w:rsid w:val="4AFA3593"/>
    <w:rsid w:val="4B1F584F"/>
    <w:rsid w:val="4BE11211"/>
    <w:rsid w:val="4C6F5832"/>
    <w:rsid w:val="4C976123"/>
    <w:rsid w:val="4D0562E9"/>
    <w:rsid w:val="4D094866"/>
    <w:rsid w:val="4D470587"/>
    <w:rsid w:val="4D7E1C33"/>
    <w:rsid w:val="4DA16EA9"/>
    <w:rsid w:val="4EBE52E7"/>
    <w:rsid w:val="4EF2336C"/>
    <w:rsid w:val="4F245C34"/>
    <w:rsid w:val="4FFD6AF4"/>
    <w:rsid w:val="4FFE08A0"/>
    <w:rsid w:val="50E74B9A"/>
    <w:rsid w:val="512F7091"/>
    <w:rsid w:val="532F225C"/>
    <w:rsid w:val="54414F42"/>
    <w:rsid w:val="5528558C"/>
    <w:rsid w:val="55625BAA"/>
    <w:rsid w:val="56B41F6A"/>
    <w:rsid w:val="56FE672C"/>
    <w:rsid w:val="579161E1"/>
    <w:rsid w:val="58492617"/>
    <w:rsid w:val="59160458"/>
    <w:rsid w:val="59BF2CC2"/>
    <w:rsid w:val="5A303D2A"/>
    <w:rsid w:val="5B111B1A"/>
    <w:rsid w:val="5B4D241F"/>
    <w:rsid w:val="5BC50043"/>
    <w:rsid w:val="5D3A6F64"/>
    <w:rsid w:val="5D75349F"/>
    <w:rsid w:val="5E8B6B03"/>
    <w:rsid w:val="5F73441E"/>
    <w:rsid w:val="5FF7F31C"/>
    <w:rsid w:val="60343BAD"/>
    <w:rsid w:val="605532C8"/>
    <w:rsid w:val="60FD48E7"/>
    <w:rsid w:val="61C02C3E"/>
    <w:rsid w:val="6299063F"/>
    <w:rsid w:val="641C4FD4"/>
    <w:rsid w:val="64805613"/>
    <w:rsid w:val="66522FD5"/>
    <w:rsid w:val="686E79AA"/>
    <w:rsid w:val="68764B35"/>
    <w:rsid w:val="6D2262FD"/>
    <w:rsid w:val="6D2D2720"/>
    <w:rsid w:val="6DDE1380"/>
    <w:rsid w:val="6E063995"/>
    <w:rsid w:val="702D2809"/>
    <w:rsid w:val="70EE44BD"/>
    <w:rsid w:val="70F83789"/>
    <w:rsid w:val="71C67A01"/>
    <w:rsid w:val="71DE5A4F"/>
    <w:rsid w:val="723C03B0"/>
    <w:rsid w:val="73B9469D"/>
    <w:rsid w:val="73E96071"/>
    <w:rsid w:val="750D242D"/>
    <w:rsid w:val="755625AD"/>
    <w:rsid w:val="75DF6A90"/>
    <w:rsid w:val="764C614C"/>
    <w:rsid w:val="76DD06A3"/>
    <w:rsid w:val="77002491"/>
    <w:rsid w:val="78CC5AF6"/>
    <w:rsid w:val="79A67B01"/>
    <w:rsid w:val="7A08012D"/>
    <w:rsid w:val="7A582EA9"/>
    <w:rsid w:val="7B9342B1"/>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9"/>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1"/>
    <w:qFormat/>
    <w:uiPriority w:val="0"/>
    <w:pPr>
      <w:ind w:firstLine="420"/>
    </w:pPr>
  </w:style>
  <w:style w:type="paragraph" w:styleId="23">
    <w:name w:val="Body Text First Indent 2"/>
    <w:next w:val="15"/>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2"/>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4"/>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5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33</Pages>
  <Words>10827</Words>
  <Characters>11318</Characters>
  <Lines>99</Lines>
  <Paragraphs>28</Paragraphs>
  <TotalTime>12</TotalTime>
  <ScaleCrop>false</ScaleCrop>
  <LinksUpToDate>false</LinksUpToDate>
  <CharactersWithSpaces>11990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Aimee</cp:lastModifiedBy>
  <cp:lastPrinted>2024-05-27T08:16:00Z</cp:lastPrinted>
  <dcterms:modified xsi:type="dcterms:W3CDTF">2025-06-23T02:19:30Z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18AD7B9FA9B8440391DABDCD5C7AC79E_13</vt:lpwstr>
  </property>
  <property fmtid="{D5CDD505-2E9C-101B-9397-08002B2CF9AE}" pid="4" name="KSOTemplateDocerSaveRecord">
    <vt:lpwstr>eyJoZGlkIjoiMTg1Nzk4NTM4ZjQ5Y2YyYTg4MDhhNDQxZGRiMjliMTIiLCJ1c2VySWQiOiIxMTUzNjU5NTE1In0=</vt:lpwstr>
  </property>
</Properties>
</file>