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CF07663">
      <w:pPr>
        <w:jc w:val="center"/>
        <w:rPr>
          <w:rFonts w:ascii="宋体" w:hAnsi="宋体"/>
          <w:color w:val="auto"/>
          <w:highlight w:val="none"/>
        </w:rPr>
      </w:pPr>
      <w:r>
        <w:rPr>
          <w:rFonts w:hint="eastAsia" w:ascii="宋体" w:hAnsi="宋体"/>
          <w:color w:val="auto"/>
          <w:highlight w:val="none"/>
        </w:rPr>
        <w:t xml:space="preserve"> </w:t>
      </w:r>
    </w:p>
    <w:p w14:paraId="3C2AE67C">
      <w:pPr>
        <w:jc w:val="center"/>
        <w:outlineLvl w:val="0"/>
        <w:rPr>
          <w:rFonts w:ascii="黑体" w:hAnsi="黑体" w:eastAsia="黑体"/>
          <w:b/>
          <w:bCs/>
          <w:color w:val="auto"/>
          <w:spacing w:val="80"/>
          <w:sz w:val="44"/>
          <w:szCs w:val="44"/>
          <w:highlight w:val="none"/>
        </w:rPr>
      </w:pPr>
    </w:p>
    <w:p w14:paraId="54D8EFFF">
      <w:pPr>
        <w:jc w:val="center"/>
        <w:outlineLvl w:val="0"/>
        <w:rPr>
          <w:rFonts w:ascii="方正小标宋_GBK" w:hAnsi="方正小标宋_GBK" w:eastAsia="方正小标宋_GBK" w:cs="方正小标宋_GBK"/>
          <w:color w:val="auto"/>
          <w:spacing w:val="80"/>
          <w:sz w:val="96"/>
          <w:szCs w:val="96"/>
          <w:highlight w:val="none"/>
        </w:rPr>
      </w:pPr>
      <w:bookmarkStart w:id="0" w:name="_Toc25458"/>
      <w:bookmarkStart w:id="1" w:name="_Toc18881"/>
      <w:bookmarkStart w:id="2" w:name="_Toc26820"/>
      <w:bookmarkStart w:id="3" w:name="_Toc7625"/>
      <w:bookmarkStart w:id="4" w:name="_Toc3463"/>
      <w:bookmarkStart w:id="5" w:name="_Toc313893526"/>
      <w:bookmarkStart w:id="6" w:name="_Toc12808"/>
      <w:bookmarkStart w:id="7" w:name="_Toc317775175"/>
      <w:bookmarkStart w:id="8" w:name="_Toc18159"/>
    </w:p>
    <w:p w14:paraId="217BF862">
      <w:pPr>
        <w:jc w:val="center"/>
        <w:outlineLvl w:val="0"/>
        <w:rPr>
          <w:rFonts w:ascii="方正小标宋_GBK" w:hAnsi="方正小标宋_GBK" w:eastAsia="方正小标宋_GBK" w:cs="方正小标宋_GBK"/>
          <w:color w:val="auto"/>
          <w:spacing w:val="80"/>
          <w:sz w:val="96"/>
          <w:szCs w:val="96"/>
          <w:highlight w:val="none"/>
        </w:rPr>
      </w:pPr>
      <w:r>
        <w:rPr>
          <w:rFonts w:hint="eastAsia" w:ascii="方正小标宋_GBK" w:hAnsi="方正小标宋_GBK" w:eastAsia="方正小标宋_GBK" w:cs="方正小标宋_GBK"/>
          <w:color w:val="auto"/>
          <w:spacing w:val="80"/>
          <w:sz w:val="96"/>
          <w:szCs w:val="96"/>
          <w:highlight w:val="none"/>
          <w:lang w:val="en-US" w:eastAsia="zh-CN"/>
        </w:rPr>
        <w:t>网上询价采购</w:t>
      </w:r>
      <w:r>
        <w:rPr>
          <w:rFonts w:hint="eastAsia" w:ascii="方正小标宋_GBK" w:hAnsi="方正小标宋_GBK" w:eastAsia="方正小标宋_GBK" w:cs="方正小标宋_GBK"/>
          <w:color w:val="auto"/>
          <w:spacing w:val="80"/>
          <w:sz w:val="96"/>
          <w:szCs w:val="96"/>
          <w:highlight w:val="none"/>
        </w:rPr>
        <w:t>文件</w:t>
      </w:r>
    </w:p>
    <w:p w14:paraId="2BF48CE9">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5FCEA128">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1509658F">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2489D340">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567A0FD9">
      <w:pPr>
        <w:spacing w:line="360" w:lineRule="auto"/>
        <w:ind w:left="3435" w:leftChars="557" w:hanging="2265" w:hangingChars="708"/>
        <w:rPr>
          <w:rFonts w:hint="default" w:ascii="方正小标宋_GBK" w:hAnsi="方正小标宋_GBK" w:eastAsia="方正小标宋_GBK" w:cs="方正小标宋_GBK"/>
          <w:color w:val="auto"/>
          <w:sz w:val="32"/>
          <w:szCs w:val="32"/>
          <w:highlight w:val="none"/>
          <w:lang w:val="en-US" w:eastAsia="zh-CN"/>
        </w:rPr>
      </w:pPr>
      <w:r>
        <w:rPr>
          <w:rFonts w:hint="eastAsia" w:ascii="方正小标宋_GBK" w:hAnsi="方正小标宋_GBK" w:eastAsia="方正小标宋_GBK" w:cs="方正小标宋_GBK"/>
          <w:color w:val="auto"/>
          <w:sz w:val="32"/>
          <w:szCs w:val="32"/>
          <w:highlight w:val="none"/>
        </w:rPr>
        <w:t>项目名称：</w:t>
      </w:r>
      <w:r>
        <w:rPr>
          <w:rFonts w:hint="eastAsia" w:ascii="方正小标宋_GBK" w:hAnsi="方正小标宋_GBK" w:eastAsia="方正小标宋_GBK" w:cs="方正小标宋_GBK"/>
          <w:color w:val="auto"/>
          <w:sz w:val="32"/>
          <w:szCs w:val="32"/>
          <w:highlight w:val="none"/>
          <w:lang w:val="en-US" w:eastAsia="zh-CN"/>
        </w:rPr>
        <w:t>违规查询防控应用及配套设备采购</w:t>
      </w:r>
    </w:p>
    <w:p w14:paraId="23BECA41">
      <w:pPr>
        <w:spacing w:line="360" w:lineRule="auto"/>
        <w:ind w:left="3435" w:leftChars="557" w:hanging="2265" w:hangingChars="708"/>
        <w:rPr>
          <w:rFonts w:hint="default" w:ascii="方正小标宋_GBK" w:hAnsi="方正小标宋_GBK" w:eastAsia="方正小标宋_GBK" w:cs="方正小标宋_GBK"/>
          <w:color w:val="auto"/>
          <w:sz w:val="32"/>
          <w:szCs w:val="32"/>
          <w:highlight w:val="none"/>
          <w:lang w:val="en-US" w:eastAsia="zh-CN"/>
        </w:rPr>
      </w:pPr>
      <w:r>
        <w:rPr>
          <w:rFonts w:hint="eastAsia" w:ascii="方正小标宋_GBK" w:hAnsi="方正小标宋_GBK" w:eastAsia="方正小标宋_GBK" w:cs="方正小标宋_GBK"/>
          <w:color w:val="auto"/>
          <w:sz w:val="32"/>
          <w:szCs w:val="32"/>
          <w:highlight w:val="none"/>
        </w:rPr>
        <w:t>采购单位：</w:t>
      </w:r>
      <w:r>
        <w:rPr>
          <w:rFonts w:hint="eastAsia" w:ascii="方正小标宋_GBK" w:hAnsi="方正小标宋_GBK" w:eastAsia="方正小标宋_GBK" w:cs="方正小标宋_GBK"/>
          <w:color w:val="auto"/>
          <w:sz w:val="32"/>
          <w:szCs w:val="32"/>
          <w:highlight w:val="none"/>
          <w:lang w:val="en-US" w:eastAsia="zh-CN"/>
        </w:rPr>
        <w:t>重庆市开州区公安局</w:t>
      </w:r>
    </w:p>
    <w:p w14:paraId="6961F1F5">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6D8C35BE">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36F6AFE3">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30C666AA">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465D615F">
      <w:pPr>
        <w:spacing w:line="700" w:lineRule="exact"/>
        <w:jc w:val="center"/>
        <w:rPr>
          <w:rFonts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lang w:val="en-US" w:eastAsia="zh-CN"/>
        </w:rPr>
        <w:t>2026</w:t>
      </w:r>
      <w:r>
        <w:rPr>
          <w:rFonts w:hint="eastAsia" w:ascii="方正小标宋_GBK" w:hAnsi="方正小标宋_GBK" w:eastAsia="方正小标宋_GBK" w:cs="方正小标宋_GBK"/>
          <w:color w:val="auto"/>
          <w:sz w:val="32"/>
          <w:szCs w:val="32"/>
          <w:highlight w:val="none"/>
        </w:rPr>
        <w:t>年</w:t>
      </w:r>
      <w:r>
        <w:rPr>
          <w:rFonts w:hint="eastAsia" w:ascii="方正小标宋_GBK" w:hAnsi="方正小标宋_GBK" w:eastAsia="方正小标宋_GBK" w:cs="方正小标宋_GBK"/>
          <w:color w:val="auto"/>
          <w:sz w:val="32"/>
          <w:szCs w:val="32"/>
          <w:highlight w:val="none"/>
          <w:lang w:val="en-US" w:eastAsia="zh-CN"/>
        </w:rPr>
        <w:t>1</w:t>
      </w:r>
      <w:r>
        <w:rPr>
          <w:rFonts w:hint="eastAsia" w:ascii="方正小标宋_GBK" w:hAnsi="方正小标宋_GBK" w:eastAsia="方正小标宋_GBK" w:cs="方正小标宋_GBK"/>
          <w:color w:val="auto"/>
          <w:sz w:val="32"/>
          <w:szCs w:val="32"/>
          <w:highlight w:val="none"/>
        </w:rPr>
        <w:t>月</w:t>
      </w:r>
    </w:p>
    <w:p w14:paraId="076D5CA5">
      <w:pPr>
        <w:spacing w:line="700" w:lineRule="exact"/>
        <w:ind w:left="3435" w:leftChars="557" w:hanging="2265" w:hangingChars="708"/>
        <w:rPr>
          <w:rFonts w:ascii="方正小标宋_GBK" w:hAnsi="方正小标宋_GBK" w:eastAsia="方正小标宋_GBK" w:cs="方正小标宋_GBK"/>
          <w:color w:val="auto"/>
          <w:sz w:val="32"/>
          <w:szCs w:val="32"/>
          <w:highlight w:val="none"/>
        </w:rPr>
      </w:pPr>
    </w:p>
    <w:p w14:paraId="0987E556">
      <w:pPr>
        <w:widowControl/>
        <w:jc w:val="left"/>
        <w:rPr>
          <w:rFonts w:ascii="宋体" w:hAnsi="宋体" w:cs="宋体"/>
          <w:b/>
          <w:color w:val="auto"/>
          <w:sz w:val="24"/>
          <w:szCs w:val="24"/>
          <w:highlight w:val="none"/>
        </w:rPr>
      </w:pPr>
      <w:r>
        <w:rPr>
          <w:rFonts w:ascii="宋体" w:hAnsi="宋体" w:cs="宋体"/>
          <w:color w:val="auto"/>
          <w:sz w:val="24"/>
          <w:szCs w:val="24"/>
          <w:highlight w:val="none"/>
        </w:rPr>
        <w:br w:type="page"/>
      </w:r>
    </w:p>
    <w:p w14:paraId="3D75BAFB">
      <w:pPr>
        <w:pStyle w:val="4"/>
        <w:spacing w:before="0" w:after="0" w:line="312" w:lineRule="auto"/>
        <w:jc w:val="center"/>
        <w:rPr>
          <w:rFonts w:ascii="宋体" w:hAnsi="宋体" w:cs="宋体"/>
          <w:color w:val="auto"/>
          <w:sz w:val="24"/>
          <w:szCs w:val="24"/>
          <w:highlight w:val="none"/>
        </w:rPr>
      </w:pPr>
    </w:p>
    <w:p w14:paraId="68930580">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一、采购内容</w:t>
      </w:r>
      <w:bookmarkEnd w:id="0"/>
      <w:bookmarkEnd w:id="1"/>
      <w:bookmarkEnd w:id="2"/>
      <w:bookmarkEnd w:id="3"/>
      <w:bookmarkEnd w:id="4"/>
      <w:bookmarkEnd w:id="5"/>
      <w:bookmarkEnd w:id="6"/>
      <w:bookmarkEnd w:id="7"/>
      <w:bookmarkEnd w:id="8"/>
    </w:p>
    <w:tbl>
      <w:tblPr>
        <w:tblStyle w:val="57"/>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2"/>
        <w:gridCol w:w="1527"/>
        <w:gridCol w:w="2592"/>
        <w:gridCol w:w="1231"/>
      </w:tblGrid>
      <w:tr w14:paraId="3F6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4762" w:type="dxa"/>
            <w:tcBorders>
              <w:top w:val="single" w:color="auto" w:sz="4" w:space="0"/>
              <w:left w:val="single" w:color="auto" w:sz="4" w:space="0"/>
              <w:right w:val="single" w:color="auto" w:sz="4" w:space="0"/>
            </w:tcBorders>
            <w:vAlign w:val="center"/>
          </w:tcPr>
          <w:p w14:paraId="6B46E2ED">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项目名称</w:t>
            </w:r>
          </w:p>
        </w:tc>
        <w:tc>
          <w:tcPr>
            <w:tcW w:w="1527" w:type="dxa"/>
            <w:tcBorders>
              <w:top w:val="single" w:color="auto" w:sz="4" w:space="0"/>
              <w:left w:val="single" w:color="auto" w:sz="4" w:space="0"/>
              <w:right w:val="single" w:color="auto" w:sz="4" w:space="0"/>
            </w:tcBorders>
            <w:vAlign w:val="center"/>
          </w:tcPr>
          <w:p w14:paraId="197C9FBA">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采购预算</w:t>
            </w:r>
          </w:p>
          <w:p w14:paraId="5D085F56">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（元）</w:t>
            </w:r>
          </w:p>
        </w:tc>
        <w:tc>
          <w:tcPr>
            <w:tcW w:w="2592" w:type="dxa"/>
            <w:tcBorders>
              <w:top w:val="single" w:color="auto" w:sz="4" w:space="0"/>
              <w:left w:val="single" w:color="auto" w:sz="4" w:space="0"/>
              <w:right w:val="single" w:color="auto" w:sz="4" w:space="0"/>
            </w:tcBorders>
            <w:vAlign w:val="center"/>
          </w:tcPr>
          <w:p w14:paraId="253E4BFF">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资金来源</w:t>
            </w:r>
          </w:p>
        </w:tc>
        <w:tc>
          <w:tcPr>
            <w:tcW w:w="1231" w:type="dxa"/>
            <w:tcBorders>
              <w:top w:val="single" w:color="auto" w:sz="4" w:space="0"/>
              <w:left w:val="single" w:color="auto" w:sz="4" w:space="0"/>
              <w:right w:val="single" w:color="auto" w:sz="4" w:space="0"/>
            </w:tcBorders>
            <w:vAlign w:val="center"/>
          </w:tcPr>
          <w:p w14:paraId="61F642BC">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备注</w:t>
            </w:r>
          </w:p>
        </w:tc>
      </w:tr>
      <w:tr w14:paraId="5442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4762" w:type="dxa"/>
            <w:tcBorders>
              <w:top w:val="single" w:color="auto" w:sz="4" w:space="0"/>
              <w:left w:val="single" w:color="auto" w:sz="4" w:space="0"/>
              <w:right w:val="single" w:color="auto" w:sz="4" w:space="0"/>
            </w:tcBorders>
            <w:vAlign w:val="center"/>
          </w:tcPr>
          <w:p w14:paraId="0C29B441">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lang w:val="en-US" w:eastAsia="zh-CN"/>
              </w:rPr>
            </w:pPr>
            <w:bookmarkStart w:id="9" w:name="_Hlk344477914"/>
            <w:r>
              <w:rPr>
                <w:rFonts w:hint="eastAsia" w:ascii="宋体" w:hAnsi="宋体" w:eastAsia="宋体" w:cs="宋体"/>
                <w:b w:val="0"/>
                <w:bCs/>
                <w:color w:val="auto"/>
                <w:kern w:val="0"/>
                <w:sz w:val="28"/>
                <w:szCs w:val="28"/>
                <w:highlight w:val="none"/>
                <w:lang w:val="en-US" w:eastAsia="zh-CN"/>
              </w:rPr>
              <w:t>违规查询防控应用及配套设备采购</w:t>
            </w:r>
          </w:p>
        </w:tc>
        <w:tc>
          <w:tcPr>
            <w:tcW w:w="1527" w:type="dxa"/>
            <w:tcBorders>
              <w:top w:val="single" w:color="auto" w:sz="4" w:space="0"/>
              <w:left w:val="single" w:color="auto" w:sz="4" w:space="0"/>
              <w:right w:val="single" w:color="auto" w:sz="4" w:space="0"/>
            </w:tcBorders>
            <w:vAlign w:val="center"/>
          </w:tcPr>
          <w:p w14:paraId="36F4D683">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lang w:val="en-US" w:eastAsia="zh-CN"/>
              </w:rPr>
            </w:pPr>
            <w:r>
              <w:rPr>
                <w:rFonts w:hint="eastAsia" w:ascii="宋体" w:hAnsi="宋体" w:eastAsia="宋体" w:cs="宋体"/>
                <w:b w:val="0"/>
                <w:bCs/>
                <w:color w:val="auto"/>
                <w:kern w:val="0"/>
                <w:sz w:val="28"/>
                <w:szCs w:val="28"/>
                <w:highlight w:val="none"/>
                <w:lang w:val="en-US" w:eastAsia="zh-CN"/>
              </w:rPr>
              <w:t>1980</w:t>
            </w:r>
            <w:bookmarkStart w:id="33" w:name="_GoBack"/>
            <w:bookmarkEnd w:id="33"/>
            <w:r>
              <w:rPr>
                <w:rFonts w:hint="eastAsia" w:ascii="宋体" w:hAnsi="宋体" w:eastAsia="宋体" w:cs="宋体"/>
                <w:b w:val="0"/>
                <w:bCs/>
                <w:color w:val="auto"/>
                <w:kern w:val="0"/>
                <w:sz w:val="28"/>
                <w:szCs w:val="28"/>
                <w:highlight w:val="none"/>
                <w:lang w:val="en-US" w:eastAsia="zh-CN"/>
              </w:rPr>
              <w:t>00</w:t>
            </w:r>
          </w:p>
        </w:tc>
        <w:tc>
          <w:tcPr>
            <w:tcW w:w="2592" w:type="dxa"/>
            <w:tcBorders>
              <w:top w:val="single" w:color="auto" w:sz="4" w:space="0"/>
              <w:left w:val="single" w:color="auto" w:sz="4" w:space="0"/>
              <w:right w:val="single" w:color="auto" w:sz="4" w:space="0"/>
            </w:tcBorders>
            <w:vAlign w:val="center"/>
          </w:tcPr>
          <w:p w14:paraId="5BC4B2DB">
            <w:pPr>
              <w:pageBreakBefore w:val="0"/>
              <w:widowControl/>
              <w:kinsoku/>
              <w:wordWrap/>
              <w:overflowPunct/>
              <w:topLinePunct w:val="0"/>
              <w:autoSpaceDE/>
              <w:autoSpaceDN/>
              <w:bidi w:val="0"/>
              <w:adjustRightInd/>
              <w:spacing w:line="240" w:lineRule="auto"/>
              <w:jc w:val="center"/>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sz w:val="28"/>
                <w:szCs w:val="28"/>
                <w:highlight w:val="none"/>
              </w:rPr>
              <w:t>财政预算资金</w:t>
            </w:r>
          </w:p>
        </w:tc>
        <w:tc>
          <w:tcPr>
            <w:tcW w:w="1231" w:type="dxa"/>
            <w:tcBorders>
              <w:top w:val="single" w:color="auto" w:sz="4" w:space="0"/>
              <w:left w:val="single" w:color="auto" w:sz="4" w:space="0"/>
              <w:right w:val="single" w:color="auto" w:sz="4" w:space="0"/>
            </w:tcBorders>
            <w:vAlign w:val="center"/>
          </w:tcPr>
          <w:p w14:paraId="240E50E7">
            <w:pPr>
              <w:pageBreakBefore w:val="0"/>
              <w:kinsoku/>
              <w:wordWrap/>
              <w:overflowPunct/>
              <w:topLinePunct w:val="0"/>
              <w:autoSpaceDE/>
              <w:autoSpaceDN/>
              <w:bidi w:val="0"/>
              <w:adjustRightInd/>
              <w:spacing w:line="240" w:lineRule="auto"/>
              <w:textAlignment w:val="auto"/>
              <w:rPr>
                <w:rFonts w:hint="eastAsia" w:ascii="宋体" w:hAnsi="宋体" w:eastAsia="宋体" w:cs="宋体"/>
                <w:b w:val="0"/>
                <w:bCs/>
                <w:color w:val="auto"/>
                <w:sz w:val="28"/>
                <w:szCs w:val="28"/>
                <w:highlight w:val="none"/>
              </w:rPr>
            </w:pPr>
          </w:p>
        </w:tc>
      </w:tr>
      <w:bookmarkEnd w:id="9"/>
    </w:tbl>
    <w:p w14:paraId="225BCA6E">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bookmarkStart w:id="10" w:name="_Toc25190"/>
      <w:bookmarkStart w:id="11" w:name="_Toc15727"/>
      <w:bookmarkStart w:id="12" w:name="_Toc1790"/>
      <w:bookmarkStart w:id="13" w:name="_Toc6462"/>
      <w:bookmarkStart w:id="14" w:name="_Toc22399"/>
      <w:bookmarkStart w:id="15" w:name="_Toc19437"/>
      <w:bookmarkStart w:id="16" w:name="_Toc15576"/>
      <w:bookmarkStart w:id="17" w:name="_Toc317775178"/>
      <w:bookmarkStart w:id="18" w:name="_Toc373860293"/>
      <w:r>
        <w:rPr>
          <w:rFonts w:hint="eastAsia" w:ascii="宋体" w:hAnsi="宋体" w:eastAsia="宋体" w:cs="宋体"/>
          <w:b w:val="0"/>
          <w:bCs/>
          <w:color w:val="auto"/>
          <w:sz w:val="28"/>
          <w:szCs w:val="28"/>
          <w:highlight w:val="none"/>
        </w:rPr>
        <w:t>二、</w:t>
      </w:r>
      <w:bookmarkEnd w:id="10"/>
      <w:bookmarkEnd w:id="11"/>
      <w:bookmarkEnd w:id="12"/>
      <w:bookmarkEnd w:id="13"/>
      <w:bookmarkEnd w:id="14"/>
      <w:bookmarkEnd w:id="15"/>
      <w:bookmarkEnd w:id="16"/>
      <w:r>
        <w:rPr>
          <w:rFonts w:hint="eastAsia" w:ascii="宋体" w:hAnsi="宋体" w:eastAsia="宋体" w:cs="宋体"/>
          <w:b w:val="0"/>
          <w:bCs/>
          <w:color w:val="auto"/>
          <w:sz w:val="28"/>
          <w:szCs w:val="28"/>
          <w:highlight w:val="none"/>
        </w:rPr>
        <w:t>供应商资格条件</w:t>
      </w:r>
    </w:p>
    <w:p w14:paraId="367196D5">
      <w:pPr>
        <w:pageBreakBefore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i/>
          <w:iCs/>
          <w:color w:val="auto"/>
          <w:sz w:val="28"/>
          <w:szCs w:val="28"/>
          <w:highlight w:val="none"/>
          <w:u w:val="single"/>
        </w:rPr>
      </w:pPr>
      <w:r>
        <w:rPr>
          <w:rFonts w:hint="eastAsia" w:ascii="宋体" w:hAnsi="宋体" w:eastAsia="宋体" w:cs="宋体"/>
          <w:b w:val="0"/>
          <w:bCs/>
          <w:color w:val="auto"/>
          <w:sz w:val="28"/>
          <w:szCs w:val="28"/>
          <w:highlight w:val="none"/>
        </w:rPr>
        <w:t>（一）满足《中华人民共和国政府采购法》第二十二条规定。</w:t>
      </w:r>
    </w:p>
    <w:p w14:paraId="3EB43E0C">
      <w:pPr>
        <w:pageBreakBefore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i/>
          <w:iCs/>
          <w:color w:val="auto"/>
          <w:sz w:val="28"/>
          <w:szCs w:val="28"/>
          <w:highlight w:val="none"/>
          <w:u w:val="single"/>
        </w:rPr>
      </w:pPr>
      <w:r>
        <w:rPr>
          <w:rFonts w:hint="eastAsia" w:ascii="宋体" w:hAnsi="宋体" w:eastAsia="宋体" w:cs="宋体"/>
          <w:b w:val="0"/>
          <w:bCs/>
          <w:color w:val="auto"/>
          <w:sz w:val="28"/>
          <w:szCs w:val="28"/>
          <w:highlight w:val="none"/>
        </w:rPr>
        <w:t>（二）本项目的特定资格要求：无。</w:t>
      </w:r>
      <w:bookmarkEnd w:id="17"/>
      <w:bookmarkEnd w:id="18"/>
    </w:p>
    <w:p w14:paraId="23BD35F1">
      <w:pPr>
        <w:pStyle w:val="4"/>
        <w:pageBreakBefore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三、采购需求清单</w:t>
      </w:r>
    </w:p>
    <w:tbl>
      <w:tblPr>
        <w:tblStyle w:val="57"/>
        <w:tblW w:w="102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334"/>
        <w:gridCol w:w="405"/>
        <w:gridCol w:w="405"/>
        <w:gridCol w:w="6237"/>
        <w:gridCol w:w="680"/>
        <w:gridCol w:w="441"/>
        <w:gridCol w:w="653"/>
        <w:gridCol w:w="1090"/>
      </w:tblGrid>
      <w:tr w14:paraId="33F1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tblHeader/>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37D9">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426EB2">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商品名称</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5A57">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规格参数要求</w:t>
            </w:r>
          </w:p>
        </w:tc>
        <w:tc>
          <w:tcPr>
            <w:tcW w:w="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F853">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53EC">
            <w:pPr>
              <w:keepNext w:val="0"/>
              <w:keepLines w:val="0"/>
              <w:widowControl/>
              <w:suppressLineNumbers w:val="0"/>
              <w:snapToGrid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cs="宋体"/>
                <w:b/>
                <w:bCs/>
                <w:i w:val="0"/>
                <w:iCs w:val="0"/>
                <w:color w:val="auto"/>
                <w:kern w:val="0"/>
                <w:sz w:val="20"/>
                <w:szCs w:val="20"/>
                <w:highlight w:val="none"/>
                <w:u w:val="none"/>
                <w:lang w:val="en-US" w:eastAsia="zh-CN" w:bidi="ar"/>
              </w:rPr>
              <w:t>单位</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F8A4">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单价限价</w:t>
            </w:r>
          </w:p>
          <w:p w14:paraId="7A6F181F">
            <w:pPr>
              <w:pStyle w:val="67"/>
              <w:snapToGrid w:val="0"/>
              <w:jc w:val="center"/>
              <w:rPr>
                <w:rFonts w:hint="eastAsia" w:ascii="宋体" w:hAnsi="宋体" w:eastAsia="宋体" w:cs="宋体"/>
                <w:b/>
                <w:color w:val="auto"/>
                <w:sz w:val="20"/>
                <w:szCs w:val="20"/>
                <w:highlight w:val="none"/>
              </w:rPr>
            </w:pPr>
            <w:r>
              <w:rPr>
                <w:rFonts w:hint="eastAsia" w:ascii="宋体" w:hAnsi="宋体" w:eastAsia="宋体" w:cs="宋体"/>
                <w:b/>
                <w:bCs/>
                <w:i w:val="0"/>
                <w:iCs w:val="0"/>
                <w:color w:val="auto"/>
                <w:kern w:val="0"/>
                <w:sz w:val="20"/>
                <w:szCs w:val="20"/>
                <w:highlight w:val="none"/>
                <w:u w:val="none"/>
                <w:lang w:val="en-US" w:eastAsia="zh-CN" w:bidi="ar"/>
              </w:rPr>
              <w:t>（元）</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ABBB">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总价</w:t>
            </w:r>
          </w:p>
          <w:p w14:paraId="14698E48">
            <w:pPr>
              <w:keepNext w:val="0"/>
              <w:keepLines w:val="0"/>
              <w:widowControl/>
              <w:suppressLineNumbers w:val="0"/>
              <w:snapToGrid w:val="0"/>
              <w:jc w:val="center"/>
              <w:textAlignment w:val="center"/>
              <w:rPr>
                <w:rFonts w:hint="eastAsia" w:ascii="宋体" w:hAnsi="宋体" w:eastAsia="宋体" w:cs="宋体"/>
                <w:b/>
                <w:bCs/>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限价</w:t>
            </w:r>
          </w:p>
          <w:p w14:paraId="5EBB5ABE">
            <w:pPr>
              <w:pStyle w:val="67"/>
              <w:snapToGrid w:val="0"/>
              <w:jc w:val="center"/>
              <w:rPr>
                <w:rFonts w:hint="eastAsia" w:ascii="宋体" w:hAnsi="宋体" w:eastAsia="宋体" w:cs="宋体"/>
                <w:b/>
                <w:color w:val="auto"/>
                <w:sz w:val="20"/>
                <w:szCs w:val="20"/>
                <w:highlight w:val="none"/>
              </w:rPr>
            </w:pPr>
            <w:r>
              <w:rPr>
                <w:rFonts w:hint="eastAsia" w:ascii="宋体" w:hAnsi="宋体" w:eastAsia="宋体" w:cs="宋体"/>
                <w:b/>
                <w:bCs/>
                <w:i w:val="0"/>
                <w:iCs w:val="0"/>
                <w:color w:val="auto"/>
                <w:kern w:val="0"/>
                <w:sz w:val="20"/>
                <w:szCs w:val="20"/>
                <w:highlight w:val="none"/>
                <w:u w:val="none"/>
                <w:lang w:val="en-US" w:eastAsia="zh-CN" w:bidi="ar"/>
              </w:rPr>
              <w:t>（元）</w:t>
            </w:r>
          </w:p>
        </w:tc>
      </w:tr>
      <w:tr w14:paraId="4DDBF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BE8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w:t>
            </w:r>
          </w:p>
        </w:tc>
        <w:tc>
          <w:tcPr>
            <w:tcW w:w="405" w:type="dxa"/>
            <w:vMerge w:val="restart"/>
            <w:tcBorders>
              <w:top w:val="single" w:color="000000" w:sz="4" w:space="0"/>
              <w:left w:val="single" w:color="000000" w:sz="4" w:space="0"/>
              <w:right w:val="single" w:color="000000" w:sz="4" w:space="0"/>
            </w:tcBorders>
            <w:shd w:val="clear" w:color="auto" w:fill="auto"/>
            <w:vAlign w:val="center"/>
          </w:tcPr>
          <w:p w14:paraId="2A45AA8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sz w:val="20"/>
                <w:szCs w:val="20"/>
                <w:highlight w:val="none"/>
                <w:u w:val="none"/>
              </w:rPr>
              <w:t>违规查询防控应用</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3D93F">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数字证书可视化闭环管理模块</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F70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各单位证书的数量、证书详细信息等指标；</w:t>
            </w:r>
          </w:p>
          <w:p w14:paraId="00E8677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各单位民辅警及其证书的录入数量、启用数据抓取或人证比对策略的客户端数量等指标；</w:t>
            </w:r>
          </w:p>
          <w:p w14:paraId="007F92E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3、展示</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各单位使用证书的数量、使用明细，通过行为分析监控使用中情况，可点击其中一个选项后下钻展开＞谁在用、是否有陌生人在用（同时报警）、一天中访问了哪些网址、访问时间、访问的敏感信息（个人身份证号码、电话号码等）、访问的不安全因素（频繁访问敏感信息等）。预警证书的数量、位置明细、预警跟踪明细；</w:t>
            </w:r>
          </w:p>
          <w:p w14:paraId="261CBB6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4、提供证书查询告警统计展示模块和人证校验异常信息展示模块展示的弹窗内容为非证书使用的权限；</w:t>
            </w:r>
          </w:p>
          <w:p w14:paraId="6D6D8C1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5、具备提供民警使用、借用数字身份证书登记管理台账表的功能，实现该表电子化，并能下载到本地电脑上；</w:t>
            </w:r>
          </w:p>
          <w:p w14:paraId="322DA57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6、错误操作均可通知相关人员；</w:t>
            </w:r>
          </w:p>
          <w:p w14:paraId="6F8267D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7、借用证书流程以终端可视化页面方式实现；（供应商响应时提供体现该功能的手册或者模块配置界面截图）</w:t>
            </w:r>
          </w:p>
          <w:p w14:paraId="4961E64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8、具备自动生成民警取用、借用和辅警借用的电子台账，台账表单不可篡改，避免违规行为的发生；</w:t>
            </w:r>
          </w:p>
          <w:p w14:paraId="4BC725B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9、平台具备提供各类数据分析和统计的专业化报表，完全满足用户对数据的全流程分析支持，有效帮助客户实现业务的全局掌控。</w:t>
            </w:r>
          </w:p>
          <w:p w14:paraId="4F8EBA6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10、数据库：可支持符合安全可靠测评要求的数据库系统。</w:t>
            </w:r>
          </w:p>
          <w:p w14:paraId="5B87335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11、与市局级数字证书可视化闭环管理模块无缝对接数据源和建模管理，与市局级数字证书可视化闭环管理模块无缝对接所产生费用由供应商负责。（供应商提供关于本条内容的承诺函并加盖供应商公章）</w:t>
            </w:r>
          </w:p>
          <w:p w14:paraId="266FDE7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12、可视化页面系统响应速度：同一页面200组件&lt;=3s,同一页面400组件&lt;=5s；</w:t>
            </w:r>
          </w:p>
          <w:p w14:paraId="5C440E5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13、稳定运行能力：稳定运行时长保证7*24小时无故障；</w:t>
            </w:r>
          </w:p>
          <w:p w14:paraId="05E7ECB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14、用户并发能力：同时在线用户数不低于1000人、用户并发量不低于200人；</w:t>
            </w:r>
          </w:p>
        </w:tc>
        <w:tc>
          <w:tcPr>
            <w:tcW w:w="680" w:type="dxa"/>
            <w:vMerge w:val="restart"/>
            <w:tcBorders>
              <w:top w:val="single" w:color="000000" w:sz="4" w:space="0"/>
              <w:left w:val="single" w:color="000000" w:sz="4" w:space="0"/>
              <w:right w:val="single" w:color="000000" w:sz="4" w:space="0"/>
            </w:tcBorders>
            <w:shd w:val="clear" w:color="auto" w:fill="auto"/>
            <w:vAlign w:val="center"/>
          </w:tcPr>
          <w:p w14:paraId="5E90238A">
            <w:pPr>
              <w:keepNext w:val="0"/>
              <w:keepLines w:val="0"/>
              <w:widowControl/>
              <w:suppressLineNumbers w:val="0"/>
              <w:snapToGrid w:val="0"/>
              <w:jc w:val="center"/>
              <w:textAlignment w:val="center"/>
              <w:rPr>
                <w:rFonts w:hint="eastAsia" w:ascii="宋体" w:hAnsi="宋体" w:cs="宋体"/>
                <w:i w:val="0"/>
                <w:iCs w:val="0"/>
                <w:color w:val="auto"/>
                <w:sz w:val="20"/>
                <w:szCs w:val="20"/>
                <w:highlight w:val="none"/>
                <w:u w:val="none"/>
                <w:lang w:val="en-US" w:eastAsia="zh-CN"/>
              </w:rPr>
            </w:pPr>
          </w:p>
          <w:p w14:paraId="491EA5DB">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restart"/>
            <w:tcBorders>
              <w:top w:val="single" w:color="000000" w:sz="4" w:space="0"/>
              <w:left w:val="single" w:color="000000" w:sz="4" w:space="0"/>
              <w:right w:val="single" w:color="000000" w:sz="4" w:space="0"/>
            </w:tcBorders>
            <w:shd w:val="clear" w:color="auto" w:fill="auto"/>
            <w:vAlign w:val="center"/>
          </w:tcPr>
          <w:p w14:paraId="08201B87">
            <w:pPr>
              <w:keepNext w:val="0"/>
              <w:keepLines w:val="0"/>
              <w:widowControl/>
              <w:suppressLineNumbers w:val="0"/>
              <w:snapToGrid w:val="0"/>
              <w:jc w:val="both"/>
              <w:textAlignment w:val="center"/>
              <w:rPr>
                <w:rFonts w:hint="eastAsia" w:ascii="宋体" w:hAnsi="宋体" w:cs="宋体"/>
                <w:i w:val="0"/>
                <w:iCs w:val="0"/>
                <w:color w:val="auto"/>
                <w:sz w:val="20"/>
                <w:szCs w:val="20"/>
                <w:highlight w:val="none"/>
                <w:u w:val="none"/>
                <w:lang w:val="en-US" w:eastAsia="zh-CN"/>
              </w:rPr>
            </w:pPr>
          </w:p>
          <w:p w14:paraId="1F1BD78F">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restart"/>
            <w:tcBorders>
              <w:top w:val="single" w:color="000000" w:sz="4" w:space="0"/>
              <w:left w:val="single" w:color="000000" w:sz="4" w:space="0"/>
              <w:right w:val="single" w:color="000000" w:sz="4" w:space="0"/>
            </w:tcBorders>
            <w:shd w:val="clear" w:color="auto" w:fill="auto"/>
            <w:vAlign w:val="center"/>
          </w:tcPr>
          <w:p w14:paraId="06D4235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restart"/>
            <w:tcBorders>
              <w:top w:val="single" w:color="000000" w:sz="4" w:space="0"/>
              <w:left w:val="single" w:color="000000" w:sz="4" w:space="0"/>
              <w:right w:val="single" w:color="000000" w:sz="4" w:space="0"/>
            </w:tcBorders>
            <w:shd w:val="clear" w:color="auto" w:fill="auto"/>
            <w:noWrap/>
            <w:vAlign w:val="center"/>
          </w:tcPr>
          <w:p w14:paraId="5D201DB0">
            <w:pPr>
              <w:keepNext w:val="0"/>
              <w:keepLines w:val="0"/>
              <w:widowControl/>
              <w:suppressLineNumbers w:val="0"/>
              <w:snapToGrid w:val="0"/>
              <w:jc w:val="center"/>
              <w:textAlignment w:val="center"/>
              <w:rPr>
                <w:rFonts w:hint="eastAsia" w:ascii="宋体" w:hAnsi="宋体" w:cs="宋体"/>
                <w:i w:val="0"/>
                <w:iCs w:val="0"/>
                <w:color w:val="auto"/>
                <w:sz w:val="20"/>
                <w:szCs w:val="20"/>
                <w:highlight w:val="none"/>
                <w:u w:val="none"/>
                <w:lang w:val="en-US" w:eastAsia="zh-CN"/>
              </w:rPr>
            </w:pPr>
          </w:p>
          <w:p w14:paraId="1970F59A">
            <w:pPr>
              <w:keepNext w:val="0"/>
              <w:keepLines w:val="0"/>
              <w:widowControl/>
              <w:suppressLineNumbers w:val="0"/>
              <w:snapToGrid w:val="0"/>
              <w:jc w:val="both"/>
              <w:textAlignment w:val="center"/>
              <w:rPr>
                <w:rFonts w:hint="eastAsia" w:ascii="宋体" w:hAnsi="宋体" w:eastAsia="宋体" w:cs="宋体"/>
                <w:i w:val="0"/>
                <w:iCs w:val="0"/>
                <w:color w:val="auto"/>
                <w:sz w:val="20"/>
                <w:szCs w:val="20"/>
                <w:highlight w:val="none"/>
                <w:u w:val="none"/>
                <w:lang w:val="en-US" w:eastAsia="zh-CN"/>
              </w:rPr>
            </w:pPr>
          </w:p>
        </w:tc>
      </w:tr>
      <w:tr w14:paraId="7AB0B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5D5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2</w:t>
            </w:r>
          </w:p>
        </w:tc>
        <w:tc>
          <w:tcPr>
            <w:tcW w:w="405" w:type="dxa"/>
            <w:vMerge w:val="continue"/>
            <w:tcBorders>
              <w:left w:val="single" w:color="000000" w:sz="4" w:space="0"/>
              <w:right w:val="single" w:color="000000" w:sz="4" w:space="0"/>
            </w:tcBorders>
            <w:shd w:val="clear" w:color="auto" w:fill="auto"/>
            <w:vAlign w:val="center"/>
          </w:tcPr>
          <w:p w14:paraId="75FA1B4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BB9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sz w:val="20"/>
                <w:szCs w:val="20"/>
                <w:highlight w:val="none"/>
              </w:rPr>
              <w:t>数字证书终端管控系统</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D9DD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部署于机房，终端检测软件部署于公安网终端，内置AI风险感知引擎与AI人像识别引擎，终端管控系统通过对接警员库，获取警员的生物特征信息，结合智能视频分析等技术，通过风险分析算法以及操作系统层面的行为阻断技术，可实现数字证书使用过程中的“人证核验”，记录监控终端风险行为。</w:t>
            </w:r>
          </w:p>
          <w:p w14:paraId="7980E7D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2、将各个子系统的数据流进行统一整合、统一存储、统一管理，并为数字证书终端管控系统安全客户端查阅相关人员信息提供数据接口。</w:t>
            </w:r>
          </w:p>
          <w:p w14:paraId="6EBA833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1）支持向数字证书终端管控系统客户端提供人员信息查询接口。</w:t>
            </w:r>
          </w:p>
          <w:p w14:paraId="4A6ACC0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2）支持向数字证书终端管控系统客户端提供人像数据查询接口。</w:t>
            </w:r>
          </w:p>
          <w:p w14:paraId="29BCCED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3）支持向数字证书终端管控系统客户端提供审计日志上传接口。</w:t>
            </w:r>
          </w:p>
          <w:p w14:paraId="5E704FE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4）支持向数字证书终端管控系统客户端提供版本更新接口。</w:t>
            </w:r>
          </w:p>
          <w:p w14:paraId="3D54B29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3、用于管理数字证书终端管控系统安全客户端、数字证书终端管控系统数据库、数字证书终端管控系统服务端、AI风险感知引擎、AI人像识别引擎的有关配置项。</w:t>
            </w:r>
          </w:p>
          <w:p w14:paraId="10C6DD6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1）支持管理安装有数字证书终端管控系统安全客户端的终端设备。</w:t>
            </w:r>
          </w:p>
          <w:p w14:paraId="1976192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2）支持管理人员信息数据。</w:t>
            </w:r>
          </w:p>
          <w:p w14:paraId="1D77865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3）支持基于角色的终端权限控制，将具有相同权限的人员分配至相同的角色。</w:t>
            </w:r>
          </w:p>
          <w:p w14:paraId="488068D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4）支持为用户访问终端时的权限进行设置。</w:t>
            </w:r>
          </w:p>
          <w:p w14:paraId="368C958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5）支持管理人像信息数据，例如同步、更新人员照片。</w:t>
            </w:r>
          </w:p>
          <w:p w14:paraId="1D77B4F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6）支持查询数字证书终端管控系统安全客户端上传的数字证书风险预警事件。</w:t>
            </w:r>
          </w:p>
          <w:p w14:paraId="2517F9A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7）支持查询数字证书终端管控系统安全客户端上传的数字证书审计数据。</w:t>
            </w:r>
          </w:p>
          <w:p w14:paraId="4029CC1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8）支持查询数字证书终端管控系统安全客户端上传的终端日志数据。</w:t>
            </w:r>
          </w:p>
          <w:p w14:paraId="4DB3154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9）支持全局配置项变更，如数字证书使用时长阈值、人像识别错误率阈值、离席监测判定阈值、人员围观数量阈值等。</w:t>
            </w:r>
          </w:p>
          <w:p w14:paraId="5CE0E10F">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sz w:val="20"/>
                <w:szCs w:val="20"/>
                <w:highlight w:val="none"/>
              </w:rPr>
              <w:t>4、数据库：可支持符合安全可靠测评要求的数据库系统。</w:t>
            </w:r>
          </w:p>
        </w:tc>
        <w:tc>
          <w:tcPr>
            <w:tcW w:w="680" w:type="dxa"/>
            <w:vMerge w:val="continue"/>
            <w:tcBorders>
              <w:left w:val="single" w:color="000000" w:sz="4" w:space="0"/>
              <w:bottom w:val="nil"/>
              <w:right w:val="single" w:color="000000" w:sz="4" w:space="0"/>
            </w:tcBorders>
            <w:shd w:val="clear" w:color="auto" w:fill="auto"/>
            <w:vAlign w:val="center"/>
          </w:tcPr>
          <w:p w14:paraId="639F2A4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bottom w:val="nil"/>
              <w:right w:val="single" w:color="000000" w:sz="4" w:space="0"/>
            </w:tcBorders>
            <w:shd w:val="clear" w:color="auto" w:fill="auto"/>
            <w:vAlign w:val="center"/>
          </w:tcPr>
          <w:p w14:paraId="7647643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bottom w:val="nil"/>
              <w:right w:val="single" w:color="000000" w:sz="4" w:space="0"/>
            </w:tcBorders>
            <w:shd w:val="clear" w:color="auto" w:fill="auto"/>
            <w:vAlign w:val="center"/>
          </w:tcPr>
          <w:p w14:paraId="233793FE">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bottom w:val="nil"/>
              <w:right w:val="single" w:color="000000" w:sz="4" w:space="0"/>
            </w:tcBorders>
            <w:shd w:val="clear" w:color="auto" w:fill="auto"/>
            <w:noWrap/>
            <w:vAlign w:val="center"/>
          </w:tcPr>
          <w:p w14:paraId="10FCB3A7">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0740D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E98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3</w:t>
            </w:r>
          </w:p>
        </w:tc>
        <w:tc>
          <w:tcPr>
            <w:tcW w:w="405" w:type="dxa"/>
            <w:vMerge w:val="continue"/>
            <w:tcBorders>
              <w:left w:val="single" w:color="000000" w:sz="4" w:space="0"/>
              <w:right w:val="single" w:color="000000" w:sz="4" w:space="0"/>
            </w:tcBorders>
            <w:shd w:val="clear" w:color="auto" w:fill="auto"/>
            <w:vAlign w:val="center"/>
          </w:tcPr>
          <w:p w14:paraId="5540D6E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6099">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数字证书终端管控系统客户端</w:t>
            </w:r>
          </w:p>
        </w:tc>
        <w:tc>
          <w:tcPr>
            <w:tcW w:w="6237" w:type="dxa"/>
            <w:tcBorders>
              <w:top w:val="single" w:color="000000" w:sz="4" w:space="0"/>
              <w:left w:val="single" w:color="000000" w:sz="4" w:space="0"/>
              <w:bottom w:val="single" w:color="auto" w:sz="4" w:space="0"/>
              <w:right w:val="single" w:color="000000" w:sz="4" w:space="0"/>
            </w:tcBorders>
            <w:shd w:val="clear" w:color="auto" w:fill="auto"/>
            <w:vAlign w:val="center"/>
          </w:tcPr>
          <w:p w14:paraId="35C9BBC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1、数字证书终端管控客户端安装在民警的办公计算机上，其作为数字证书管理的最终防线，实时监控与记录数字证书的实际使用情况。</w:t>
            </w:r>
          </w:p>
          <w:p w14:paraId="144670D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1）数字证书终端管控系统安全客户端内置的AI风险感知引擎与AI人像识别引擎，通过大数据风险分析算法以及操作系统层面的行为阻断技术，能够实时判断当前数字证书的使用者是否为合法用户。</w:t>
            </w:r>
          </w:p>
          <w:p w14:paraId="6513FF6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2）支持调用操作系统接口与数字证书驱动程序，读取数字证书的相关信息，如证书编号、证书序列号等。</w:t>
            </w:r>
          </w:p>
          <w:p w14:paraId="228F443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5）支持通过数字证书终端管控系统服务端查询数字证书使用者的身份信息。</w:t>
            </w:r>
          </w:p>
          <w:p w14:paraId="04B2CE2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6）支持将数字证书使用者的身份信息返回至AI风险感知引擎与AI人像识别引擎，身份信息包括：身份证号、姓名、手机号、证书序列号、证书编号、人像数据。</w:t>
            </w:r>
          </w:p>
          <w:p w14:paraId="25BECA1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7）支持通知AI风险感知引擎与AI人像识别引擎，报告相机状态。</w:t>
            </w:r>
          </w:p>
          <w:p w14:paraId="334F2FB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8）支持从缓存中加载人像数据，提取出人像的128维特征点。</w:t>
            </w:r>
          </w:p>
          <w:p w14:paraId="4226255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能够对于数字证书非法借用、不相关人员围观、数字证书使用者离席等风险做出实时预警与处置，及时阻断非法使用行为的发生并通知相关人员，时刻保护数字证书在终端使用时的安全。（供应商响应时提供体现该功能的手册或者模块配置界面截图）</w:t>
            </w:r>
          </w:p>
          <w:p w14:paraId="267F3FA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1）支持调用相机，捕获实时人像画面。</w:t>
            </w:r>
          </w:p>
          <w:p w14:paraId="58CB425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2）支持基于AI模型判断相机捕获的画面中是否存在人体特征。</w:t>
            </w:r>
          </w:p>
          <w:p w14:paraId="138E11D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3）支持实时检测人体特征，如果发现数字证书使用者离开工位，则触发“人员离席”预警事件。</w:t>
            </w:r>
          </w:p>
          <w:p w14:paraId="013F294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4）支持实时检测人体特征，如果发现有多个人围观当前计算机的屏幕，则触发“人员围观”预警事件。</w:t>
            </w:r>
          </w:p>
          <w:p w14:paraId="6F1BC29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5）支持实时分析人像特征，如果发现数字证书使用者的人像特征与获取到的人像特征不匹配，则触发“人员非法”预警事件。</w:t>
            </w:r>
          </w:p>
          <w:p w14:paraId="05B41B6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6）支持阻断计算机的使用，即通知数字证书终端管控系统客户端对计算机进行锁屏处理，并上传风险预警事件。</w:t>
            </w:r>
          </w:p>
          <w:p w14:paraId="2627CBC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3、客户端支持在Windows7（32/64位）、Windows10（32/64位）、Windows11（32/64位），以及符合安全可靠测评要求的银河麒麟、统信、中科方德等桌面操作系统下运行。</w:t>
            </w:r>
          </w:p>
          <w:p w14:paraId="2375220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1）平均响应时间，关键交互的响应时间&lt;=500豪秒，非关键交互的响应时间&lt;=600毫秒；</w:t>
            </w:r>
          </w:p>
          <w:p w14:paraId="1999791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峰值响应时间&lt;=800豪秒；且在达到系统性能指标峰值要求的同时，系统处理能力还留有足够的余量，CPU、内存等系统资源的使用率应低于60%，达到平均值要求时，系统资源使用率应低于50%。保证系统在设计指标压力情况下的长期稳定运行；</w:t>
            </w:r>
          </w:p>
          <w:p w14:paraId="271187E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3）并发用户数：单机并发≥1000人；</w:t>
            </w:r>
          </w:p>
          <w:p w14:paraId="420E041D">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4）交互成功率：在满足交互响应时间和并发交互数量的前提下，交互成功率达到99.99%。</w:t>
            </w:r>
          </w:p>
          <w:p w14:paraId="3412878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rPr>
              <w:t>、各个功能模块均与市局数字证书系统能力平台做到无缝对接。（供应商提供关于本条内容的承诺函并加盖供应商公章）</w:t>
            </w:r>
          </w:p>
          <w:p w14:paraId="2316825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rPr>
              <w:t>、核心敏感内容识别：</w:t>
            </w:r>
          </w:p>
          <w:p w14:paraId="487AF6A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以数据为中心，采用敏感内容识别、发现的方法，对经过其监控通道的数据进行分析，一旦发现敏感数据就会触发相应安全行为。（供应商响应时提供体现该功能的手册或者模块配置界面截图）</w:t>
            </w:r>
          </w:p>
          <w:p w14:paraId="1F3FF15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、网站捕获策略：管理员制定好检测规则，当检测符合规则网络请求，即可触发对应的网络策略,包括记录浏览日志、触发模型解析等。</w:t>
            </w:r>
          </w:p>
          <w:p w14:paraId="04A88C4B">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、网页浏览日志抓取：通过技术手段采集和记录用户在网络上访问网页的行为数据，包括访问的URL、时间、IP地址、请求内容等。</w:t>
            </w:r>
          </w:p>
          <w:p w14:paraId="267EF014">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、网页搜索敏感信息记录：通过技术手段监控和捕捉用户在访问的搜索结果页面，识别其中搜索的核心敏感内容（关键字，正则表达式等）并进行记录。</w:t>
            </w:r>
          </w:p>
          <w:p w14:paraId="02B38C5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9</w:t>
            </w:r>
            <w:r>
              <w:rPr>
                <w:rFonts w:hint="eastAsia" w:ascii="宋体" w:hAnsi="宋体" w:eastAsia="宋体" w:cs="宋体"/>
                <w:sz w:val="20"/>
                <w:szCs w:val="20"/>
                <w:highlight w:val="none"/>
              </w:rPr>
              <w:t>、终端管理</w:t>
            </w:r>
          </w:p>
          <w:p w14:paraId="2E05A7D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（1）支持终端系统多方位的管理，审批接入、终端相关信息查看</w:t>
            </w:r>
          </w:p>
          <w:p w14:paraId="51FB0CBA">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（2）终端远程维护：可以远程对终端系统进行如安装、IP/Mac绑定等维护管理</w:t>
            </w:r>
          </w:p>
          <w:p w14:paraId="1CA25D11">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10</w:t>
            </w:r>
            <w:r>
              <w:rPr>
                <w:rFonts w:hint="eastAsia" w:ascii="宋体" w:hAnsi="宋体" w:eastAsia="宋体" w:cs="宋体"/>
                <w:sz w:val="20"/>
                <w:szCs w:val="20"/>
                <w:highlight w:val="none"/>
              </w:rPr>
              <w:t>、日志审计：以终端用户操作行为审计为核心，结合数据分析手段，向管理员提供清晰完整的用户操作日志、对应功能使用日志、敏感数据分布情况和终端用户违规泄密情况等信息，便于管理员及时发现终端违规行为，根据违规日志了解终端敏感数据泄露情况并对此采取措施，与此同时，审计日志也为事后处理提供有力说明。</w:t>
            </w:r>
          </w:p>
          <w:p w14:paraId="673A47E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rPr>
              <w:t>、剪切板记录：通过技术手段捕获并记录用户在设备上复制、剪切或粘贴的内容。</w:t>
            </w:r>
          </w:p>
          <w:p w14:paraId="7F85E9BA">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、USB外发记录：通过技术手段监控并记录通过USB设备（如U盘、移动硬盘等）传输的文件操作行为。</w:t>
            </w:r>
          </w:p>
        </w:tc>
        <w:tc>
          <w:tcPr>
            <w:tcW w:w="680" w:type="dxa"/>
            <w:vMerge w:val="restart"/>
            <w:tcBorders>
              <w:top w:val="nil"/>
              <w:left w:val="single" w:color="000000" w:sz="4" w:space="0"/>
              <w:right w:val="single" w:color="000000" w:sz="4" w:space="0"/>
            </w:tcBorders>
            <w:shd w:val="clear" w:color="auto" w:fill="auto"/>
            <w:vAlign w:val="center"/>
          </w:tcPr>
          <w:p w14:paraId="260A1EC6">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w:t>
            </w:r>
          </w:p>
        </w:tc>
        <w:tc>
          <w:tcPr>
            <w:tcW w:w="441" w:type="dxa"/>
            <w:vMerge w:val="restart"/>
            <w:tcBorders>
              <w:top w:val="nil"/>
              <w:left w:val="single" w:color="000000" w:sz="4" w:space="0"/>
              <w:right w:val="single" w:color="000000" w:sz="4" w:space="0"/>
            </w:tcBorders>
            <w:shd w:val="clear" w:color="auto" w:fill="auto"/>
            <w:vAlign w:val="center"/>
          </w:tcPr>
          <w:p w14:paraId="2055429F">
            <w:pPr>
              <w:keepNext w:val="0"/>
              <w:keepLines w:val="0"/>
              <w:widowControl/>
              <w:suppressLineNumbers w:val="0"/>
              <w:snapToGrid w:val="0"/>
              <w:jc w:val="both"/>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点</w:t>
            </w:r>
          </w:p>
        </w:tc>
        <w:tc>
          <w:tcPr>
            <w:tcW w:w="653" w:type="dxa"/>
            <w:vMerge w:val="restart"/>
            <w:tcBorders>
              <w:top w:val="nil"/>
              <w:left w:val="single" w:color="000000" w:sz="4" w:space="0"/>
              <w:right w:val="single" w:color="000000" w:sz="4" w:space="0"/>
            </w:tcBorders>
            <w:shd w:val="clear" w:color="auto" w:fill="auto"/>
            <w:vAlign w:val="center"/>
          </w:tcPr>
          <w:p w14:paraId="526AD76A">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100</w:t>
            </w:r>
          </w:p>
        </w:tc>
        <w:tc>
          <w:tcPr>
            <w:tcW w:w="1090" w:type="dxa"/>
            <w:vMerge w:val="restart"/>
            <w:tcBorders>
              <w:top w:val="nil"/>
              <w:left w:val="single" w:color="000000" w:sz="4" w:space="0"/>
              <w:right w:val="single" w:color="000000" w:sz="4" w:space="0"/>
            </w:tcBorders>
            <w:shd w:val="clear" w:color="auto" w:fill="auto"/>
            <w:noWrap/>
            <w:vAlign w:val="center"/>
          </w:tcPr>
          <w:p w14:paraId="4CC679BE">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110000</w:t>
            </w:r>
          </w:p>
        </w:tc>
      </w:tr>
      <w:tr w14:paraId="07FB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A7E8">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4</w:t>
            </w:r>
          </w:p>
        </w:tc>
        <w:tc>
          <w:tcPr>
            <w:tcW w:w="405" w:type="dxa"/>
            <w:vMerge w:val="continue"/>
            <w:tcBorders>
              <w:left w:val="single" w:color="000000" w:sz="4" w:space="0"/>
              <w:right w:val="single" w:color="000000" w:sz="4" w:space="0"/>
            </w:tcBorders>
            <w:shd w:val="clear" w:color="auto" w:fill="auto"/>
            <w:vAlign w:val="center"/>
          </w:tcPr>
          <w:p w14:paraId="6C7B3DF0">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BF03">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管理模块</w:t>
            </w:r>
          </w:p>
        </w:tc>
        <w:tc>
          <w:tcPr>
            <w:tcW w:w="6237" w:type="dxa"/>
            <w:tcBorders>
              <w:top w:val="single" w:color="auto" w:sz="4" w:space="0"/>
              <w:left w:val="single" w:color="000000" w:sz="4" w:space="0"/>
              <w:bottom w:val="single" w:color="000000" w:sz="4" w:space="0"/>
              <w:right w:val="single" w:color="000000" w:sz="4" w:space="0"/>
            </w:tcBorders>
            <w:shd w:val="clear" w:color="auto" w:fill="auto"/>
            <w:vAlign w:val="center"/>
          </w:tcPr>
          <w:p w14:paraId="1386E22E">
            <w:pPr>
              <w:keepNext w:val="0"/>
              <w:keepLines w:val="0"/>
              <w:pageBreakBefore w:val="0"/>
              <w:widowControl/>
              <w:numPr>
                <w:ilvl w:val="0"/>
                <w:numId w:val="13"/>
              </w:numPr>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部署于机房，客户端软件部署于公安网终端，内置数据识别技术、数据流量分析技术、终端防护技术等，通过对接市局能力平台，结合网络流量分析等技术，针对可能的信息泄露风险进行检测、识别和告警，实现对公安网电脑使用过程中出现的风险行为做到事前阻断，事中提醒，事后追查。</w:t>
            </w:r>
          </w:p>
          <w:p w14:paraId="24BF78CA">
            <w:pPr>
              <w:keepNext w:val="0"/>
              <w:keepLines w:val="0"/>
              <w:pageBreakBefore w:val="0"/>
              <w:widowControl/>
              <w:numPr>
                <w:ilvl w:val="0"/>
                <w:numId w:val="0"/>
              </w:numPr>
              <w:kinsoku/>
              <w:wordWrap/>
              <w:overflowPunct/>
              <w:topLinePunct w:val="0"/>
              <w:autoSpaceDE/>
              <w:autoSpaceDN/>
              <w:bidi w:val="0"/>
              <w:adjustRightInd/>
              <w:snapToGrid/>
              <w:spacing w:line="0" w:lineRule="atLeast"/>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2、服务端环境：可在合安全可靠测评要求的银河麒麟、统信、中科方德等服务器操作系统银河麒麟、统信等服务器系统下运行。</w:t>
            </w:r>
          </w:p>
          <w:p w14:paraId="6044588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（1）提供DLP客户端使用的各种功能接口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提供网络浏览日志上传接口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提供网页敏感日志上传接口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提供U盘外发监控日志上传接口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提供粘贴板日志上传接口</w:t>
            </w:r>
            <w:r>
              <w:rPr>
                <w:rFonts w:hint="eastAsia" w:ascii="宋体" w:hAnsi="宋体" w:cs="宋体"/>
                <w:sz w:val="20"/>
                <w:szCs w:val="20"/>
                <w:highlight w:val="none"/>
                <w:lang w:eastAsia="zh-CN"/>
              </w:rPr>
              <w:t>、</w:t>
            </w:r>
            <w:r>
              <w:rPr>
                <w:rFonts w:hint="eastAsia" w:ascii="宋体" w:hAnsi="宋体" w:eastAsia="宋体" w:cs="宋体"/>
                <w:sz w:val="20"/>
                <w:szCs w:val="20"/>
                <w:highlight w:val="none"/>
              </w:rPr>
              <w:t>提供获取网络流量分析配置接口</w:t>
            </w:r>
            <w:r>
              <w:rPr>
                <w:rFonts w:hint="eastAsia" w:ascii="宋体" w:hAnsi="宋体" w:eastAsia="宋体" w:cs="宋体"/>
                <w:sz w:val="20"/>
                <w:szCs w:val="20"/>
                <w:highlight w:val="none"/>
              </w:rPr>
              <w:br w:type="textWrapping"/>
            </w:r>
            <w:r>
              <w:rPr>
                <w:rFonts w:hint="eastAsia" w:ascii="宋体" w:hAnsi="宋体" w:eastAsia="宋体" w:cs="宋体"/>
                <w:sz w:val="20"/>
                <w:szCs w:val="20"/>
                <w:highlight w:val="none"/>
              </w:rPr>
              <w:t>（2）通过接收客户端上传的各种日志与人证信息、终端信息等进行风险监测与模型分析,触发模型后通知客户端执行相应的策略</w:t>
            </w:r>
          </w:p>
          <w:p w14:paraId="7AE6A3E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（3）部署方式</w:t>
            </w:r>
          </w:p>
          <w:p w14:paraId="02CE07D6">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管理平台部署在安全管理区，由管理员直接管理。客户端部署在用户终端。</w:t>
            </w:r>
          </w:p>
          <w:p w14:paraId="79A89035">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3、数据库：可支持符合安全可靠测评要求的数据库系统。</w:t>
            </w:r>
          </w:p>
        </w:tc>
        <w:tc>
          <w:tcPr>
            <w:tcW w:w="680" w:type="dxa"/>
            <w:vMerge w:val="continue"/>
            <w:tcBorders>
              <w:left w:val="single" w:color="000000" w:sz="4" w:space="0"/>
              <w:right w:val="single" w:color="000000" w:sz="4" w:space="0"/>
            </w:tcBorders>
            <w:shd w:val="clear" w:color="auto" w:fill="auto"/>
            <w:vAlign w:val="center"/>
          </w:tcPr>
          <w:p w14:paraId="312BA87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right w:val="single" w:color="000000" w:sz="4" w:space="0"/>
            </w:tcBorders>
            <w:shd w:val="clear" w:color="auto" w:fill="auto"/>
            <w:vAlign w:val="center"/>
          </w:tcPr>
          <w:p w14:paraId="7AD05CDA">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right w:val="single" w:color="000000" w:sz="4" w:space="0"/>
            </w:tcBorders>
            <w:shd w:val="clear" w:color="auto" w:fill="auto"/>
            <w:vAlign w:val="center"/>
          </w:tcPr>
          <w:p w14:paraId="48CEBCA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right w:val="single" w:color="000000" w:sz="4" w:space="0"/>
            </w:tcBorders>
            <w:shd w:val="clear" w:color="auto" w:fill="auto"/>
            <w:noWrap/>
            <w:vAlign w:val="center"/>
          </w:tcPr>
          <w:p w14:paraId="5E28EBFF">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4D545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0DE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5</w:t>
            </w:r>
          </w:p>
        </w:tc>
        <w:tc>
          <w:tcPr>
            <w:tcW w:w="405" w:type="dxa"/>
            <w:vMerge w:val="continue"/>
            <w:tcBorders>
              <w:left w:val="single" w:color="000000" w:sz="4" w:space="0"/>
              <w:bottom w:val="single" w:color="000000" w:sz="4" w:space="0"/>
              <w:right w:val="single" w:color="000000" w:sz="4" w:space="0"/>
            </w:tcBorders>
            <w:shd w:val="clear" w:color="auto" w:fill="auto"/>
            <w:vAlign w:val="center"/>
          </w:tcPr>
          <w:p w14:paraId="5FD7FC4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B33EF">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rPr>
              <w:t>数据综合分析平台</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BC8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1、部署于机房，利用</w:t>
            </w:r>
            <w:r>
              <w:rPr>
                <w:rFonts w:hint="eastAsia" w:ascii="宋体" w:hAnsi="宋体" w:eastAsia="宋体" w:cs="宋体"/>
                <w:sz w:val="20"/>
                <w:szCs w:val="20"/>
                <w:highlight w:val="none"/>
                <w:lang w:eastAsia="zh-CN"/>
              </w:rPr>
              <w:t>区局</w:t>
            </w:r>
            <w:r>
              <w:rPr>
                <w:rFonts w:hint="eastAsia" w:ascii="宋体" w:hAnsi="宋体" w:eastAsia="宋体" w:cs="宋体"/>
                <w:sz w:val="20"/>
                <w:szCs w:val="20"/>
                <w:highlight w:val="none"/>
              </w:rPr>
              <w:t>现有或正在建设的能力平台以及新增数字证书闭环管理系统，建设一套数据分析系统，汇聚能力平台各系统上传的数据，进行分析处理、关联描述，对全局范围内数字证书、民警、公安网终端，构建证书画像、IP画像、行为画像、轨迹画像、使用人画像，分析发现大量拷贝身份证号、车牌号、手机号等个人信息、越权访问、敏感信息异常访问等违规行为。</w:t>
            </w:r>
          </w:p>
          <w:p w14:paraId="7CF6E644">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2、信息收集：信息收集模块是上数据综合分析系统进行分析、计算的数据来源，通过对数字证书使用环节，例如IP、使用行为、轨迹、使用人等各种维度数据的采集，为各类业务场景的评估提供依据。</w:t>
            </w:r>
          </w:p>
          <w:p w14:paraId="697F7647">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3、行为分析模块主要为认证服务、身份服务提供风险数据分析服务，分为标准数据分析规则及机器学习,实时采集日志，并对日志进行分析，判断用户身份、权限、认证、业务操作过程中是否存在风险，对异常行为进行风险处理策略。</w:t>
            </w:r>
          </w:p>
          <w:p w14:paraId="225B324C">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4、行为处理策略</w:t>
            </w:r>
          </w:p>
          <w:p w14:paraId="4CFB883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（1）处理策略模块可以针对相应的风险规则设定相应的风险处理策略，包括事前预警策略、事中控制策略、事后归档分析策略等。</w:t>
            </w:r>
          </w:p>
          <w:p w14:paraId="1C0A9045">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（2）定义和设置基于各种类型的风险控制策略，当时触发风险后，通知、提醒、二次认证等。</w:t>
            </w:r>
          </w:p>
          <w:p w14:paraId="6C88905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5、平均转发时间可控制在几十毫秒至几百毫秒之间，适用于实时分析场景。</w:t>
            </w:r>
          </w:p>
          <w:p w14:paraId="43586E85">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6、大规模分析系统：对于复杂查询和大规模数据分析，转发时间可能需要在几秒钟或几分钟内响应。</w:t>
            </w:r>
          </w:p>
          <w:p w14:paraId="7FEED60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7、通常能支持1000-5000个并发请求</w:t>
            </w:r>
          </w:p>
          <w:p w14:paraId="7475AA7F">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8、交互成功率：在满足交互响应时间和并发交互数量的前提下，交互成功率达到99.99%。</w:t>
            </w:r>
          </w:p>
          <w:p w14:paraId="1348B4B0">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9、服务端可在合安全可靠测评要求的银河麒麟、统信、中科方德等服务器操作系统下运行。</w:t>
            </w:r>
          </w:p>
          <w:p w14:paraId="53A1D55E">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10、数据库：可支持符合安全可靠测评要求的数据库系统。</w:t>
            </w:r>
          </w:p>
          <w:p w14:paraId="47048AB2">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11、全新一代数字证书全流程管理的大数据分析平台;</w:t>
            </w:r>
          </w:p>
          <w:p w14:paraId="3F9BA8F3">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12、平台具备数据统计、数据统计、数据关联性分析决策能力，通过操作提醒、异常报警等高效助力管理层掌握证书可靠运行全流程；</w:t>
            </w:r>
          </w:p>
          <w:p w14:paraId="7F498928">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13、平台具备全区全部数据的精准、有效、可靠的分析，有效帮助客户掌控全局，实现全流程闭环管理；</w:t>
            </w:r>
          </w:p>
          <w:p w14:paraId="41E33549">
            <w:pPr>
              <w:keepNext w:val="0"/>
              <w:keepLines w:val="0"/>
              <w:pageBreakBefore w:val="0"/>
              <w:widowControl/>
              <w:kinsoku/>
              <w:wordWrap/>
              <w:overflowPunct/>
              <w:topLinePunct w:val="0"/>
              <w:autoSpaceDE/>
              <w:autoSpaceDN/>
              <w:bidi w:val="0"/>
              <w:adjustRightInd/>
              <w:snapToGrid/>
              <w:spacing w:line="0" w:lineRule="atLeast"/>
              <w:ind w:firstLine="0" w:firstLineChars="0"/>
              <w:jc w:val="both"/>
              <w:rPr>
                <w:rFonts w:hint="eastAsia" w:ascii="宋体" w:hAnsi="宋体" w:eastAsia="宋体" w:cs="宋体"/>
                <w:sz w:val="20"/>
                <w:szCs w:val="20"/>
                <w:highlight w:val="none"/>
              </w:rPr>
            </w:pPr>
            <w:r>
              <w:rPr>
                <w:rFonts w:hint="eastAsia" w:ascii="宋体" w:hAnsi="宋体" w:eastAsia="宋体" w:cs="宋体"/>
                <w:sz w:val="20"/>
                <w:szCs w:val="20"/>
                <w:highlight w:val="none"/>
              </w:rPr>
              <w:t>14、平台具备管理、控制各个证书存在的风险点，并实现处置预案和处置决策和动作等;</w:t>
            </w:r>
          </w:p>
          <w:p w14:paraId="23AE2EE3">
            <w:pPr>
              <w:keepNext w:val="0"/>
              <w:keepLines w:val="0"/>
              <w:pageBreakBefore w:val="0"/>
              <w:widowControl/>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sz w:val="20"/>
                <w:szCs w:val="20"/>
                <w:highlight w:val="none"/>
              </w:rPr>
              <w:t>15、各个功能模块均与市局数字证书系统能力平台做到无缝对接，与市局数字证书系统能力平台无缝对接所产生费用由供应商负责。（供应商提供关于本条内容的承诺函并加盖供应商公章）</w:t>
            </w:r>
          </w:p>
        </w:tc>
        <w:tc>
          <w:tcPr>
            <w:tcW w:w="680" w:type="dxa"/>
            <w:vMerge w:val="continue"/>
            <w:tcBorders>
              <w:left w:val="single" w:color="000000" w:sz="4" w:space="0"/>
              <w:bottom w:val="single" w:color="auto" w:sz="4" w:space="0"/>
              <w:right w:val="single" w:color="000000" w:sz="4" w:space="0"/>
            </w:tcBorders>
            <w:shd w:val="clear" w:color="auto" w:fill="auto"/>
            <w:vAlign w:val="center"/>
          </w:tcPr>
          <w:p w14:paraId="721639EA">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441" w:type="dxa"/>
            <w:vMerge w:val="continue"/>
            <w:tcBorders>
              <w:left w:val="single" w:color="000000" w:sz="4" w:space="0"/>
              <w:bottom w:val="single" w:color="auto" w:sz="4" w:space="0"/>
              <w:right w:val="single" w:color="000000" w:sz="4" w:space="0"/>
            </w:tcBorders>
            <w:shd w:val="clear" w:color="auto" w:fill="auto"/>
            <w:vAlign w:val="center"/>
          </w:tcPr>
          <w:p w14:paraId="40D6BA9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653" w:type="dxa"/>
            <w:vMerge w:val="continue"/>
            <w:tcBorders>
              <w:left w:val="single" w:color="000000" w:sz="4" w:space="0"/>
              <w:bottom w:val="single" w:color="auto" w:sz="4" w:space="0"/>
              <w:right w:val="single" w:color="000000" w:sz="4" w:space="0"/>
            </w:tcBorders>
            <w:shd w:val="clear" w:color="auto" w:fill="auto"/>
            <w:vAlign w:val="center"/>
          </w:tcPr>
          <w:p w14:paraId="5FEE952C">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c>
          <w:tcPr>
            <w:tcW w:w="1090" w:type="dxa"/>
            <w:vMerge w:val="continue"/>
            <w:tcBorders>
              <w:left w:val="single" w:color="000000" w:sz="4" w:space="0"/>
              <w:bottom w:val="single" w:color="auto" w:sz="4" w:space="0"/>
              <w:right w:val="single" w:color="000000" w:sz="4" w:space="0"/>
            </w:tcBorders>
            <w:shd w:val="clear" w:color="auto" w:fill="auto"/>
            <w:noWrap/>
            <w:vAlign w:val="center"/>
          </w:tcPr>
          <w:p w14:paraId="70E0BFAB">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p>
        </w:tc>
      </w:tr>
      <w:tr w14:paraId="5ED9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D8E1">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6</w:t>
            </w:r>
          </w:p>
        </w:tc>
        <w:tc>
          <w:tcPr>
            <w:tcW w:w="8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8A0199">
            <w:pPr>
              <w:keepNext w:val="0"/>
              <w:keepLines w:val="0"/>
              <w:widowControl/>
              <w:suppressLineNumbers w:val="0"/>
              <w:snapToGrid w:val="0"/>
              <w:jc w:val="center"/>
              <w:textAlignment w:val="center"/>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终端摄像头</w:t>
            </w:r>
          </w:p>
        </w:tc>
        <w:tc>
          <w:tcPr>
            <w:tcW w:w="6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EA224">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高分辨率COMS传感器，2K高清；</w:t>
            </w:r>
          </w:p>
          <w:p w14:paraId="7046842A">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大窗口捕获尺寸：640*480/800*600；</w:t>
            </w:r>
          </w:p>
          <w:p w14:paraId="419D1411">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USB接口；</w:t>
            </w:r>
          </w:p>
          <w:p w14:paraId="75582983">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CMOS传感器≥1/3英寸</w:t>
            </w:r>
          </w:p>
          <w:p w14:paraId="57CCDF17">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兼容XP、windows、Linux等操作系统；</w:t>
            </w:r>
          </w:p>
          <w:p w14:paraId="68CFD763">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内置高可用安全适配模组，与终端定制化驱动程序数据交互；且能够按照用户实际业务要求，SDK二次开发与市公安局数字证书监督管理系统无缝对接；</w:t>
            </w:r>
          </w:p>
          <w:p w14:paraId="35975CCC">
            <w:pPr>
              <w:keepNext w:val="0"/>
              <w:keepLines w:val="0"/>
              <w:pageBreakBefore w:val="0"/>
              <w:widowControl/>
              <w:numPr>
                <w:ilvl w:val="0"/>
                <w:numId w:val="14"/>
              </w:numPr>
              <w:suppressLineNumbers w:val="0"/>
              <w:kinsoku/>
              <w:wordWrap/>
              <w:overflowPunct/>
              <w:topLinePunct w:val="0"/>
              <w:autoSpaceDE/>
              <w:autoSpaceDN/>
              <w:bidi w:val="0"/>
              <w:adjustRightInd/>
              <w:snapToGrid/>
              <w:spacing w:line="0" w:lineRule="atLeast"/>
              <w:ind w:left="0" w:leftChars="0" w:firstLine="0" w:firstLineChars="0"/>
              <w:jc w:val="left"/>
              <w:textAlignment w:val="center"/>
              <w:rPr>
                <w:rFonts w:hint="eastAsia" w:ascii="宋体" w:hAnsi="宋体" w:eastAsia="宋体" w:cs="宋体"/>
                <w:kern w:val="2"/>
                <w:sz w:val="20"/>
                <w:szCs w:val="20"/>
                <w:highlight w:val="none"/>
                <w:lang w:val="en-US" w:eastAsia="zh-CN" w:bidi="ar-SA"/>
              </w:rPr>
            </w:pPr>
            <w:r>
              <w:rPr>
                <w:rFonts w:hint="eastAsia" w:ascii="宋体" w:hAnsi="宋体" w:eastAsia="宋体" w:cs="宋体"/>
                <w:sz w:val="20"/>
                <w:szCs w:val="20"/>
                <w:highlight w:val="none"/>
                <w:lang w:val="en-US" w:eastAsia="zh-CN"/>
              </w:rPr>
              <w:t>线长≥1.4米，特殊情况时需满足设备安装正常使用的长度。</w:t>
            </w:r>
          </w:p>
        </w:tc>
        <w:tc>
          <w:tcPr>
            <w:tcW w:w="680" w:type="dxa"/>
            <w:tcBorders>
              <w:top w:val="single" w:color="auto" w:sz="4" w:space="0"/>
              <w:left w:val="single" w:color="000000" w:sz="4" w:space="0"/>
              <w:bottom w:val="single" w:color="000000" w:sz="4" w:space="0"/>
              <w:right w:val="single" w:color="000000" w:sz="4" w:space="0"/>
            </w:tcBorders>
            <w:shd w:val="clear" w:color="auto" w:fill="auto"/>
            <w:vAlign w:val="center"/>
          </w:tcPr>
          <w:p w14:paraId="2AC2A417">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1100</w:t>
            </w:r>
          </w:p>
        </w:tc>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14:paraId="0728E429">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套</w:t>
            </w:r>
          </w:p>
        </w:tc>
        <w:tc>
          <w:tcPr>
            <w:tcW w:w="653" w:type="dxa"/>
            <w:tcBorders>
              <w:top w:val="single" w:color="auto" w:sz="4" w:space="0"/>
              <w:left w:val="single" w:color="000000" w:sz="4" w:space="0"/>
              <w:bottom w:val="single" w:color="000000" w:sz="4" w:space="0"/>
              <w:right w:val="single" w:color="000000" w:sz="4" w:space="0"/>
            </w:tcBorders>
            <w:shd w:val="clear" w:color="auto" w:fill="auto"/>
            <w:vAlign w:val="center"/>
          </w:tcPr>
          <w:p w14:paraId="3E713623">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80</w:t>
            </w:r>
          </w:p>
        </w:tc>
        <w:tc>
          <w:tcPr>
            <w:tcW w:w="109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AA9B01">
            <w:pPr>
              <w:keepNext w:val="0"/>
              <w:keepLines w:val="0"/>
              <w:widowControl/>
              <w:suppressLineNumbers w:val="0"/>
              <w:snapToGrid w:val="0"/>
              <w:jc w:val="center"/>
              <w:textAlignment w:val="center"/>
              <w:rPr>
                <w:rFonts w:hint="default" w:ascii="宋体" w:hAnsi="宋体" w:eastAsia="宋体" w:cs="宋体"/>
                <w:i w:val="0"/>
                <w:iCs w:val="0"/>
                <w:color w:val="auto"/>
                <w:sz w:val="20"/>
                <w:szCs w:val="20"/>
                <w:highlight w:val="none"/>
                <w:u w:val="none"/>
                <w:lang w:val="en-US" w:eastAsia="zh-CN"/>
              </w:rPr>
            </w:pPr>
            <w:r>
              <w:rPr>
                <w:rFonts w:hint="eastAsia" w:ascii="宋体" w:hAnsi="宋体" w:cs="宋体"/>
                <w:i w:val="0"/>
                <w:iCs w:val="0"/>
                <w:color w:val="auto"/>
                <w:sz w:val="20"/>
                <w:szCs w:val="20"/>
                <w:highlight w:val="none"/>
                <w:u w:val="none"/>
                <w:lang w:val="en-US" w:eastAsia="zh-CN"/>
              </w:rPr>
              <w:t>88000</w:t>
            </w:r>
          </w:p>
        </w:tc>
      </w:tr>
      <w:tr w14:paraId="7FF7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0242">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lang w:val="en-US"/>
              </w:rPr>
            </w:pPr>
            <w:r>
              <w:rPr>
                <w:rFonts w:hint="eastAsia" w:ascii="宋体" w:hAnsi="宋体" w:cs="宋体"/>
                <w:i w:val="0"/>
                <w:iCs w:val="0"/>
                <w:color w:val="auto"/>
                <w:kern w:val="0"/>
                <w:sz w:val="20"/>
                <w:szCs w:val="20"/>
                <w:highlight w:val="none"/>
                <w:u w:val="none"/>
                <w:lang w:val="en-US" w:eastAsia="zh-CN" w:bidi="ar"/>
              </w:rPr>
              <w:t>7</w:t>
            </w:r>
          </w:p>
        </w:tc>
        <w:tc>
          <w:tcPr>
            <w:tcW w:w="810" w:type="dxa"/>
            <w:gridSpan w:val="2"/>
            <w:tcBorders>
              <w:top w:val="nil"/>
              <w:left w:val="single" w:color="000000" w:sz="4" w:space="0"/>
              <w:bottom w:val="nil"/>
              <w:right w:val="single" w:color="000000" w:sz="4" w:space="0"/>
            </w:tcBorders>
            <w:shd w:val="clear" w:color="auto" w:fill="auto"/>
            <w:vAlign w:val="center"/>
          </w:tcPr>
          <w:p w14:paraId="77D5B199">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合计</w:t>
            </w:r>
          </w:p>
        </w:tc>
        <w:tc>
          <w:tcPr>
            <w:tcW w:w="6237" w:type="dxa"/>
            <w:tcBorders>
              <w:top w:val="nil"/>
              <w:left w:val="single" w:color="000000" w:sz="4" w:space="0"/>
              <w:bottom w:val="nil"/>
              <w:right w:val="single" w:color="000000" w:sz="4" w:space="0"/>
            </w:tcBorders>
            <w:shd w:val="clear" w:color="auto" w:fill="auto"/>
            <w:noWrap/>
            <w:vAlign w:val="center"/>
          </w:tcPr>
          <w:p w14:paraId="66F0DDB4">
            <w:pPr>
              <w:snapToGrid w:val="0"/>
              <w:jc w:val="center"/>
              <w:rPr>
                <w:rFonts w:hint="eastAsia" w:ascii="宋体" w:hAnsi="宋体" w:eastAsia="宋体" w:cs="宋体"/>
                <w:i w:val="0"/>
                <w:iCs w:val="0"/>
                <w:color w:val="auto"/>
                <w:sz w:val="20"/>
                <w:szCs w:val="20"/>
                <w:highlight w:val="none"/>
                <w:u w:val="none"/>
              </w:rPr>
            </w:pPr>
          </w:p>
        </w:tc>
        <w:tc>
          <w:tcPr>
            <w:tcW w:w="680" w:type="dxa"/>
            <w:tcBorders>
              <w:top w:val="nil"/>
              <w:left w:val="single" w:color="000000" w:sz="4" w:space="0"/>
              <w:bottom w:val="nil"/>
              <w:right w:val="single" w:color="000000" w:sz="4" w:space="0"/>
            </w:tcBorders>
            <w:shd w:val="clear" w:color="auto" w:fill="auto"/>
            <w:noWrap/>
            <w:vAlign w:val="center"/>
          </w:tcPr>
          <w:p w14:paraId="6F3B19A7">
            <w:pPr>
              <w:snapToGrid w:val="0"/>
              <w:jc w:val="center"/>
              <w:rPr>
                <w:rFonts w:hint="eastAsia" w:ascii="宋体" w:hAnsi="宋体" w:eastAsia="宋体" w:cs="宋体"/>
                <w:i w:val="0"/>
                <w:iCs w:val="0"/>
                <w:color w:val="auto"/>
                <w:sz w:val="20"/>
                <w:szCs w:val="20"/>
                <w:highlight w:val="none"/>
                <w:u w:val="none"/>
              </w:rPr>
            </w:pPr>
          </w:p>
        </w:tc>
        <w:tc>
          <w:tcPr>
            <w:tcW w:w="441" w:type="dxa"/>
            <w:tcBorders>
              <w:top w:val="nil"/>
              <w:left w:val="single" w:color="000000" w:sz="4" w:space="0"/>
              <w:bottom w:val="nil"/>
              <w:right w:val="single" w:color="000000" w:sz="4" w:space="0"/>
            </w:tcBorders>
            <w:shd w:val="clear" w:color="auto" w:fill="auto"/>
            <w:noWrap/>
            <w:vAlign w:val="center"/>
          </w:tcPr>
          <w:p w14:paraId="14979476">
            <w:pPr>
              <w:snapToGrid w:val="0"/>
              <w:jc w:val="center"/>
              <w:rPr>
                <w:rFonts w:hint="eastAsia" w:ascii="宋体" w:hAnsi="宋体" w:eastAsia="宋体" w:cs="宋体"/>
                <w:i w:val="0"/>
                <w:iCs w:val="0"/>
                <w:color w:val="auto"/>
                <w:sz w:val="20"/>
                <w:szCs w:val="20"/>
                <w:highlight w:val="none"/>
                <w:u w:val="none"/>
              </w:rPr>
            </w:pPr>
          </w:p>
        </w:tc>
        <w:tc>
          <w:tcPr>
            <w:tcW w:w="653" w:type="dxa"/>
            <w:tcBorders>
              <w:top w:val="nil"/>
              <w:left w:val="single" w:color="000000" w:sz="4" w:space="0"/>
              <w:bottom w:val="nil"/>
              <w:right w:val="single" w:color="000000" w:sz="4" w:space="0"/>
            </w:tcBorders>
            <w:shd w:val="clear" w:color="auto" w:fill="auto"/>
            <w:noWrap/>
            <w:vAlign w:val="center"/>
          </w:tcPr>
          <w:p w14:paraId="7EF8B55A">
            <w:pPr>
              <w:snapToGrid w:val="0"/>
              <w:jc w:val="center"/>
              <w:rPr>
                <w:rFonts w:hint="eastAsia" w:ascii="宋体" w:hAnsi="宋体" w:eastAsia="宋体" w:cs="宋体"/>
                <w:i w:val="0"/>
                <w:iCs w:val="0"/>
                <w:color w:val="auto"/>
                <w:sz w:val="20"/>
                <w:szCs w:val="20"/>
                <w:highlight w:val="none"/>
                <w:u w:val="none"/>
              </w:rPr>
            </w:pPr>
          </w:p>
        </w:tc>
        <w:tc>
          <w:tcPr>
            <w:tcW w:w="1090" w:type="dxa"/>
            <w:tcBorders>
              <w:top w:val="nil"/>
              <w:left w:val="single" w:color="000000" w:sz="4" w:space="0"/>
              <w:bottom w:val="nil"/>
              <w:right w:val="single" w:color="000000" w:sz="4" w:space="0"/>
            </w:tcBorders>
            <w:shd w:val="clear" w:color="auto" w:fill="auto"/>
            <w:noWrap/>
            <w:vAlign w:val="center"/>
          </w:tcPr>
          <w:p w14:paraId="1EB5EF5D">
            <w:pPr>
              <w:keepNext w:val="0"/>
              <w:keepLines w:val="0"/>
              <w:widowControl/>
              <w:suppressLineNumbers w:val="0"/>
              <w:snapToGrid w:val="0"/>
              <w:jc w:val="center"/>
              <w:textAlignment w:val="center"/>
              <w:rPr>
                <w:rFonts w:hint="eastAsia" w:ascii="宋体" w:hAnsi="宋体" w:eastAsia="宋体" w:cs="宋体"/>
                <w:i w:val="0"/>
                <w:iCs w:val="0"/>
                <w:color w:val="auto"/>
                <w:sz w:val="20"/>
                <w:szCs w:val="20"/>
                <w:highlight w:val="none"/>
                <w:u w:val="none"/>
              </w:rPr>
            </w:pPr>
          </w:p>
        </w:tc>
      </w:tr>
      <w:tr w14:paraId="38E13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1024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0E5BD54">
            <w:pPr>
              <w:keepNext w:val="0"/>
              <w:keepLines w:val="0"/>
              <w:pageBreakBefore w:val="0"/>
              <w:widowControl/>
              <w:kinsoku/>
              <w:wordWrap/>
              <w:overflowPunct/>
              <w:topLinePunct w:val="0"/>
              <w:autoSpaceDE/>
              <w:autoSpaceDN/>
              <w:bidi w:val="0"/>
              <w:adjustRightInd/>
              <w:snapToGrid/>
              <w:spacing w:line="0" w:lineRule="atLeast"/>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bidi="ar"/>
              </w:rPr>
              <w:t>特别要求：</w:t>
            </w:r>
          </w:p>
          <w:p w14:paraId="368A0C36">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bidi="ar"/>
              </w:rPr>
              <w:t>1．本项目采购最高限价为</w:t>
            </w:r>
            <w:r>
              <w:rPr>
                <w:rStyle w:val="255"/>
                <w:rFonts w:hint="eastAsia" w:ascii="宋体" w:hAnsi="宋体" w:cs="宋体"/>
                <w:color w:val="auto"/>
                <w:sz w:val="24"/>
                <w:szCs w:val="24"/>
                <w:highlight w:val="none"/>
                <w:lang w:val="en-US" w:eastAsia="zh-CN" w:bidi="ar"/>
              </w:rPr>
              <w:t>198000</w:t>
            </w:r>
            <w:r>
              <w:rPr>
                <w:rStyle w:val="255"/>
                <w:rFonts w:hint="eastAsia" w:ascii="宋体" w:hAnsi="宋体" w:cs="宋体"/>
                <w:color w:val="auto"/>
                <w:sz w:val="24"/>
                <w:szCs w:val="24"/>
                <w:highlight w:val="none"/>
                <w:lang w:bidi="ar"/>
              </w:rPr>
              <w:t>元（大写：</w:t>
            </w:r>
            <w:r>
              <w:rPr>
                <w:rStyle w:val="255"/>
                <w:rFonts w:hint="eastAsia" w:ascii="宋体" w:hAnsi="宋体" w:cs="宋体"/>
                <w:color w:val="auto"/>
                <w:sz w:val="24"/>
                <w:szCs w:val="24"/>
                <w:highlight w:val="none"/>
                <w:lang w:val="en-US" w:eastAsia="zh-CN" w:bidi="ar"/>
              </w:rPr>
              <w:t>壹</w:t>
            </w:r>
            <w:r>
              <w:rPr>
                <w:rStyle w:val="255"/>
                <w:rFonts w:hint="eastAsia" w:ascii="宋体" w:hAnsi="宋体" w:cs="宋体"/>
                <w:color w:val="auto"/>
                <w:sz w:val="24"/>
                <w:szCs w:val="24"/>
                <w:highlight w:val="none"/>
                <w:lang w:bidi="ar"/>
              </w:rPr>
              <w:t>拾</w:t>
            </w:r>
            <w:r>
              <w:rPr>
                <w:rStyle w:val="255"/>
                <w:rFonts w:hint="eastAsia" w:ascii="宋体" w:hAnsi="宋体" w:cs="宋体"/>
                <w:color w:val="auto"/>
                <w:sz w:val="24"/>
                <w:szCs w:val="24"/>
                <w:highlight w:val="none"/>
                <w:lang w:val="en-US" w:eastAsia="zh-CN" w:bidi="ar"/>
              </w:rPr>
              <w:t>玖</w:t>
            </w:r>
            <w:r>
              <w:rPr>
                <w:rStyle w:val="255"/>
                <w:rFonts w:hint="eastAsia" w:ascii="宋体" w:hAnsi="宋体" w:cs="宋体"/>
                <w:color w:val="auto"/>
                <w:sz w:val="24"/>
                <w:szCs w:val="24"/>
                <w:highlight w:val="none"/>
                <w:lang w:bidi="ar"/>
              </w:rPr>
              <w:t>万</w:t>
            </w:r>
            <w:r>
              <w:rPr>
                <w:rStyle w:val="255"/>
                <w:rFonts w:hint="eastAsia" w:ascii="宋体" w:hAnsi="宋体" w:cs="宋体"/>
                <w:color w:val="auto"/>
                <w:sz w:val="24"/>
                <w:szCs w:val="24"/>
                <w:highlight w:val="none"/>
                <w:lang w:val="en-US" w:eastAsia="zh-CN" w:bidi="ar"/>
              </w:rPr>
              <w:t>元整</w:t>
            </w:r>
            <w:r>
              <w:rPr>
                <w:rStyle w:val="255"/>
                <w:rFonts w:hint="eastAsia" w:ascii="宋体" w:hAnsi="宋体" w:cs="宋体"/>
                <w:color w:val="auto"/>
                <w:sz w:val="24"/>
                <w:szCs w:val="24"/>
                <w:highlight w:val="none"/>
                <w:lang w:bidi="ar"/>
              </w:rPr>
              <w:t>），包含设备材料费、培训、人工费、运输（含二次转运）费等与完成本项目有关的所有费用。报价供应商的报价不得超过相应限价。</w:t>
            </w:r>
          </w:p>
          <w:p w14:paraId="0D792134">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bidi="ar"/>
              </w:rPr>
            </w:pPr>
            <w:r>
              <w:rPr>
                <w:rStyle w:val="255"/>
                <w:rFonts w:hint="eastAsia" w:ascii="宋体" w:hAnsi="宋体" w:cs="宋体"/>
                <w:color w:val="auto"/>
                <w:sz w:val="24"/>
                <w:szCs w:val="24"/>
                <w:highlight w:val="none"/>
                <w:lang w:val="en-US" w:eastAsia="zh-CN" w:bidi="ar"/>
              </w:rPr>
              <w:t>2</w:t>
            </w:r>
            <w:r>
              <w:rPr>
                <w:rStyle w:val="255"/>
                <w:rFonts w:hint="eastAsia" w:ascii="宋体" w:hAnsi="宋体" w:cs="宋体"/>
                <w:color w:val="auto"/>
                <w:sz w:val="24"/>
                <w:szCs w:val="24"/>
                <w:highlight w:val="none"/>
                <w:lang w:bidi="ar"/>
              </w:rPr>
              <w:t>.报价供应商的响应文件必须对报价产品的名称、品牌、型号（规格）、技术参数、数量、单价、总价等采购文件有要求的内容全部作出明确应答，否则符合性审查不合格。</w:t>
            </w:r>
          </w:p>
          <w:p w14:paraId="2861B864">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Style w:val="255"/>
                <w:rFonts w:hint="eastAsia" w:ascii="宋体" w:hAnsi="宋体" w:cs="宋体"/>
                <w:color w:val="auto"/>
                <w:sz w:val="24"/>
                <w:szCs w:val="24"/>
                <w:highlight w:val="none"/>
                <w:lang w:val="en-US" w:eastAsia="zh-CN" w:bidi="ar"/>
              </w:rPr>
            </w:pPr>
            <w:r>
              <w:rPr>
                <w:rStyle w:val="255"/>
                <w:rFonts w:hint="eastAsia" w:ascii="宋体" w:hAnsi="宋体" w:cs="宋体"/>
                <w:color w:val="auto"/>
                <w:sz w:val="24"/>
                <w:szCs w:val="24"/>
                <w:highlight w:val="none"/>
                <w:lang w:val="en-US" w:eastAsia="zh-CN" w:bidi="ar"/>
              </w:rPr>
              <w:t>3.所有需提供的证明资料需加盖报价供应商公章。</w:t>
            </w:r>
          </w:p>
          <w:p w14:paraId="19084D83">
            <w:pPr>
              <w:keepNext w:val="0"/>
              <w:keepLines w:val="0"/>
              <w:pageBreakBefore w:val="0"/>
              <w:widowControl/>
              <w:kinsoku/>
              <w:wordWrap/>
              <w:overflowPunct/>
              <w:topLinePunct w:val="0"/>
              <w:autoSpaceDE/>
              <w:autoSpaceDN/>
              <w:bidi w:val="0"/>
              <w:adjustRightInd/>
              <w:snapToGrid/>
              <w:spacing w:line="0" w:lineRule="atLeast"/>
              <w:ind w:firstLine="480" w:firstLineChars="200"/>
              <w:jc w:val="left"/>
              <w:textAlignment w:val="center"/>
              <w:rPr>
                <w:rFonts w:hint="default"/>
                <w:highlight w:val="none"/>
                <w:lang w:val="en-US" w:eastAsia="zh-CN"/>
              </w:rPr>
            </w:pPr>
            <w:r>
              <w:rPr>
                <w:rStyle w:val="255"/>
                <w:rFonts w:hint="eastAsia" w:ascii="宋体" w:hAnsi="宋体" w:cs="宋体"/>
                <w:color w:val="auto"/>
                <w:sz w:val="24"/>
                <w:szCs w:val="24"/>
                <w:highlight w:val="none"/>
                <w:lang w:val="en-US" w:eastAsia="zh-CN" w:bidi="ar"/>
              </w:rPr>
              <w:t>4.</w:t>
            </w:r>
            <w:r>
              <w:rPr>
                <w:rFonts w:hint="default"/>
                <w:sz w:val="24"/>
                <w:szCs w:val="24"/>
                <w:highlight w:val="none"/>
                <w:lang w:val="en-US" w:eastAsia="zh-CN"/>
              </w:rPr>
              <w:t>本项目所规定</w:t>
            </w:r>
            <w:r>
              <w:rPr>
                <w:rFonts w:hint="eastAsia"/>
                <w:sz w:val="24"/>
                <w:szCs w:val="24"/>
                <w:highlight w:val="none"/>
                <w:lang w:val="en-US" w:eastAsia="zh-CN"/>
              </w:rPr>
              <w:t>“</w:t>
            </w:r>
            <w:r>
              <w:rPr>
                <w:rFonts w:hint="default"/>
                <w:sz w:val="24"/>
                <w:szCs w:val="24"/>
                <w:highlight w:val="none"/>
                <w:lang w:val="en-US" w:eastAsia="zh-CN"/>
              </w:rPr>
              <w:t>符合安全可靠测评要求</w:t>
            </w:r>
            <w:r>
              <w:rPr>
                <w:rFonts w:hint="eastAsia"/>
                <w:sz w:val="24"/>
                <w:szCs w:val="24"/>
                <w:highlight w:val="none"/>
                <w:lang w:val="en-US" w:eastAsia="zh-CN"/>
              </w:rPr>
              <w:t>”</w:t>
            </w:r>
            <w:r>
              <w:rPr>
                <w:rFonts w:hint="default"/>
                <w:sz w:val="24"/>
                <w:szCs w:val="24"/>
                <w:highlight w:val="none"/>
                <w:lang w:val="en-US" w:eastAsia="zh-CN"/>
              </w:rPr>
              <w:t>，在通过政府有关部门指定的中国信息安全测评中心和国家保密科技测评中心网站查看安全可靠测评结果。</w:t>
            </w:r>
          </w:p>
        </w:tc>
      </w:tr>
    </w:tbl>
    <w:p w14:paraId="0874417F">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四、质量保证及售后服务要求</w:t>
      </w:r>
    </w:p>
    <w:p w14:paraId="6F015B75">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（一）供应商所供产品名称、规格、数量、质量要求、生产企业与竞采文件</w:t>
      </w:r>
      <w:r>
        <w:rPr>
          <w:rFonts w:hint="eastAsia" w:ascii="宋体" w:hAnsi="宋体" w:eastAsia="宋体" w:cs="宋体"/>
          <w:b w:val="0"/>
          <w:bCs/>
          <w:color w:val="auto"/>
          <w:kern w:val="0"/>
          <w:sz w:val="28"/>
          <w:szCs w:val="28"/>
          <w:highlight w:val="none"/>
          <w:lang w:eastAsia="zh-Hans"/>
        </w:rPr>
        <w:t>要求</w:t>
      </w:r>
      <w:r>
        <w:rPr>
          <w:rFonts w:hint="eastAsia" w:ascii="宋体" w:hAnsi="宋体" w:eastAsia="宋体" w:cs="宋体"/>
          <w:b w:val="0"/>
          <w:bCs/>
          <w:color w:val="auto"/>
          <w:kern w:val="0"/>
          <w:sz w:val="28"/>
          <w:szCs w:val="28"/>
          <w:highlight w:val="none"/>
        </w:rPr>
        <w:t xml:space="preserve">相符。 </w:t>
      </w:r>
    </w:p>
    <w:p w14:paraId="221E8BCB">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（二）</w:t>
      </w:r>
      <w:r>
        <w:rPr>
          <w:rFonts w:hint="eastAsia" w:ascii="宋体" w:hAnsi="宋体" w:eastAsia="宋体" w:cs="宋体"/>
          <w:b w:val="0"/>
          <w:bCs/>
          <w:color w:val="auto"/>
          <w:kern w:val="0"/>
          <w:sz w:val="28"/>
          <w:szCs w:val="28"/>
          <w:highlight w:val="none"/>
          <w:lang w:eastAsia="zh-Hans"/>
        </w:rPr>
        <w:t>自验收之日起，</w:t>
      </w:r>
      <w:r>
        <w:rPr>
          <w:rFonts w:hint="eastAsia" w:ascii="宋体" w:hAnsi="宋体" w:cs="宋体"/>
          <w:b w:val="0"/>
          <w:bCs/>
          <w:color w:val="auto"/>
          <w:kern w:val="0"/>
          <w:sz w:val="28"/>
          <w:szCs w:val="28"/>
          <w:highlight w:val="none"/>
          <w:lang w:val="en-US" w:eastAsia="zh-CN"/>
        </w:rPr>
        <w:t>终端摄像头</w:t>
      </w:r>
      <w:r>
        <w:rPr>
          <w:rFonts w:hint="eastAsia" w:ascii="宋体" w:hAnsi="宋体" w:eastAsia="宋体" w:cs="宋体"/>
          <w:b w:val="0"/>
          <w:bCs/>
          <w:color w:val="auto"/>
          <w:kern w:val="0"/>
          <w:sz w:val="28"/>
          <w:szCs w:val="28"/>
          <w:highlight w:val="none"/>
        </w:rPr>
        <w:t>产品质量保证期不低于</w:t>
      </w:r>
      <w:r>
        <w:rPr>
          <w:rFonts w:hint="eastAsia" w:ascii="宋体" w:hAnsi="宋体" w:cs="宋体"/>
          <w:b w:val="0"/>
          <w:bCs/>
          <w:color w:val="auto"/>
          <w:kern w:val="0"/>
          <w:sz w:val="28"/>
          <w:szCs w:val="28"/>
          <w:highlight w:val="none"/>
          <w:lang w:val="en-US" w:eastAsia="zh-CN"/>
        </w:rPr>
        <w:t>三</w:t>
      </w:r>
      <w:r>
        <w:rPr>
          <w:rFonts w:hint="eastAsia" w:ascii="宋体" w:hAnsi="宋体" w:eastAsia="宋体" w:cs="宋体"/>
          <w:b w:val="0"/>
          <w:bCs/>
          <w:color w:val="auto"/>
          <w:kern w:val="0"/>
          <w:sz w:val="28"/>
          <w:szCs w:val="28"/>
          <w:highlight w:val="none"/>
        </w:rPr>
        <w:t>年。</w:t>
      </w:r>
    </w:p>
    <w:p w14:paraId="3E281398">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default" w:ascii="宋体" w:hAnsi="宋体" w:eastAsia="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eastAsia="zh-CN"/>
        </w:rPr>
        <w:t>（</w:t>
      </w:r>
      <w:r>
        <w:rPr>
          <w:rFonts w:hint="eastAsia" w:ascii="宋体" w:hAnsi="宋体" w:cs="宋体"/>
          <w:b w:val="0"/>
          <w:bCs/>
          <w:color w:val="auto"/>
          <w:kern w:val="0"/>
          <w:sz w:val="28"/>
          <w:szCs w:val="28"/>
          <w:highlight w:val="none"/>
          <w:lang w:val="en-US" w:eastAsia="zh-CN"/>
        </w:rPr>
        <w:t>三</w:t>
      </w:r>
      <w:r>
        <w:rPr>
          <w:rFonts w:hint="eastAsia" w:ascii="宋体" w:hAnsi="宋体" w:cs="宋体"/>
          <w:b w:val="0"/>
          <w:bCs/>
          <w:color w:val="auto"/>
          <w:kern w:val="0"/>
          <w:sz w:val="28"/>
          <w:szCs w:val="28"/>
          <w:highlight w:val="none"/>
          <w:lang w:eastAsia="zh-CN"/>
        </w:rPr>
        <w:t>）</w:t>
      </w:r>
      <w:r>
        <w:rPr>
          <w:rFonts w:hint="eastAsia" w:ascii="宋体" w:hAnsi="宋体" w:eastAsia="宋体" w:cs="宋体"/>
          <w:b w:val="0"/>
          <w:bCs/>
          <w:color w:val="auto"/>
          <w:kern w:val="0"/>
          <w:sz w:val="28"/>
          <w:szCs w:val="28"/>
          <w:highlight w:val="none"/>
          <w:lang w:eastAsia="zh-Hans"/>
        </w:rPr>
        <w:t>自验收之日起，违规查询防控应用</w:t>
      </w:r>
      <w:r>
        <w:rPr>
          <w:rFonts w:hint="eastAsia" w:ascii="宋体" w:hAnsi="宋体" w:cs="宋体"/>
          <w:b w:val="0"/>
          <w:bCs/>
          <w:color w:val="auto"/>
          <w:kern w:val="0"/>
          <w:sz w:val="28"/>
          <w:szCs w:val="28"/>
          <w:highlight w:val="none"/>
          <w:lang w:val="en-US" w:eastAsia="zh-CN"/>
        </w:rPr>
        <w:t>运维服务期限不低于三年。</w:t>
      </w:r>
    </w:p>
    <w:p w14:paraId="08E5C0F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四</w:t>
      </w:r>
      <w:r>
        <w:rPr>
          <w:rFonts w:hint="eastAsia" w:ascii="宋体" w:hAnsi="宋体" w:eastAsia="宋体" w:cs="宋体"/>
          <w:b w:val="0"/>
          <w:bCs/>
          <w:color w:val="auto"/>
          <w:kern w:val="0"/>
          <w:sz w:val="28"/>
          <w:szCs w:val="28"/>
          <w:highlight w:val="none"/>
        </w:rPr>
        <w:t>）产品属于国家规定“三包”范围的，其产品质量保证期不得低于“三包”规定。</w:t>
      </w:r>
    </w:p>
    <w:p w14:paraId="7129865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五</w:t>
      </w:r>
      <w:r>
        <w:rPr>
          <w:rFonts w:hint="eastAsia" w:ascii="宋体" w:hAnsi="宋体" w:eastAsia="宋体" w:cs="宋体"/>
          <w:b w:val="0"/>
          <w:bCs/>
          <w:color w:val="auto"/>
          <w:kern w:val="0"/>
          <w:sz w:val="28"/>
          <w:szCs w:val="28"/>
          <w:highlight w:val="none"/>
        </w:rPr>
        <w:t>）成交供应商须免费提供现场技术培训与技术支持。</w:t>
      </w:r>
    </w:p>
    <w:p w14:paraId="6114C9E5">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kern w:val="0"/>
          <w:sz w:val="28"/>
          <w:szCs w:val="28"/>
          <w:highlight w:val="none"/>
        </w:rPr>
      </w:pPr>
      <w:r>
        <w:rPr>
          <w:rFonts w:hint="eastAsia" w:ascii="宋体" w:hAnsi="宋体" w:eastAsia="宋体" w:cs="宋体"/>
          <w:b w:val="0"/>
          <w:bCs/>
          <w:color w:val="auto"/>
          <w:kern w:val="0"/>
          <w:sz w:val="28"/>
          <w:szCs w:val="28"/>
          <w:highlight w:val="none"/>
        </w:rPr>
        <w:t>（</w:t>
      </w:r>
      <w:r>
        <w:rPr>
          <w:rFonts w:hint="eastAsia" w:ascii="宋体" w:hAnsi="宋体" w:cs="宋体"/>
          <w:b w:val="0"/>
          <w:bCs/>
          <w:color w:val="auto"/>
          <w:kern w:val="0"/>
          <w:sz w:val="28"/>
          <w:szCs w:val="28"/>
          <w:highlight w:val="none"/>
          <w:lang w:val="en-US" w:eastAsia="zh-CN"/>
        </w:rPr>
        <w:t>六</w:t>
      </w:r>
      <w:r>
        <w:rPr>
          <w:rFonts w:hint="eastAsia" w:ascii="宋体" w:hAnsi="宋体" w:eastAsia="宋体" w:cs="宋体"/>
          <w:b w:val="0"/>
          <w:bCs/>
          <w:color w:val="auto"/>
          <w:kern w:val="0"/>
          <w:sz w:val="28"/>
          <w:szCs w:val="28"/>
          <w:highlight w:val="none"/>
        </w:rPr>
        <w:t>）用户遇到使用及技术问题，电话咨询不能解决的，成交供应商或制造商应在2小时内采取相应响应措施；无法在2小时内解决的，应在24小时内派出专业人员进行技术支持。</w:t>
      </w:r>
    </w:p>
    <w:p w14:paraId="2EE6BCAD">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default" w:ascii="宋体" w:hAnsi="宋体" w:eastAsia="宋体" w:cs="宋体"/>
          <w:b w:val="0"/>
          <w:bCs/>
          <w:color w:val="auto"/>
          <w:kern w:val="0"/>
          <w:sz w:val="28"/>
          <w:szCs w:val="28"/>
          <w:highlight w:val="none"/>
          <w:lang w:val="en-US" w:eastAsia="zh-CN"/>
        </w:rPr>
      </w:pPr>
      <w:r>
        <w:rPr>
          <w:rFonts w:hint="eastAsia" w:ascii="宋体" w:hAnsi="宋体" w:cs="宋体"/>
          <w:b w:val="0"/>
          <w:bCs/>
          <w:color w:val="auto"/>
          <w:kern w:val="0"/>
          <w:sz w:val="28"/>
          <w:szCs w:val="28"/>
          <w:highlight w:val="none"/>
          <w:lang w:eastAsia="zh-CN"/>
        </w:rPr>
        <w:t>（</w:t>
      </w:r>
      <w:r>
        <w:rPr>
          <w:rFonts w:hint="eastAsia" w:ascii="宋体" w:hAnsi="宋体" w:cs="宋体"/>
          <w:b w:val="0"/>
          <w:bCs/>
          <w:color w:val="auto"/>
          <w:kern w:val="0"/>
          <w:sz w:val="28"/>
          <w:szCs w:val="28"/>
          <w:highlight w:val="none"/>
          <w:lang w:val="en-US" w:eastAsia="zh-CN"/>
        </w:rPr>
        <w:t>七</w:t>
      </w:r>
      <w:r>
        <w:rPr>
          <w:rFonts w:hint="eastAsia" w:ascii="宋体" w:hAnsi="宋体" w:cs="宋体"/>
          <w:b w:val="0"/>
          <w:bCs/>
          <w:color w:val="auto"/>
          <w:kern w:val="0"/>
          <w:sz w:val="28"/>
          <w:szCs w:val="28"/>
          <w:highlight w:val="none"/>
          <w:lang w:eastAsia="zh-CN"/>
        </w:rPr>
        <w:t>）</w:t>
      </w:r>
      <w:r>
        <w:rPr>
          <w:rFonts w:hint="eastAsia" w:ascii="宋体" w:hAnsi="宋体" w:eastAsia="宋体" w:cs="宋体"/>
          <w:b w:val="0"/>
          <w:bCs/>
          <w:color w:val="auto"/>
          <w:kern w:val="0"/>
          <w:sz w:val="28"/>
          <w:szCs w:val="28"/>
          <w:highlight w:val="none"/>
        </w:rPr>
        <w:t>成交供应商</w:t>
      </w:r>
      <w:r>
        <w:rPr>
          <w:rFonts w:hint="eastAsia" w:ascii="宋体" w:hAnsi="宋体" w:cs="宋体"/>
          <w:b w:val="0"/>
          <w:bCs/>
          <w:color w:val="auto"/>
          <w:kern w:val="0"/>
          <w:sz w:val="28"/>
          <w:szCs w:val="28"/>
          <w:highlight w:val="none"/>
          <w:lang w:val="en-US" w:eastAsia="zh-CN"/>
        </w:rPr>
        <w:t>需包含软件安装服务及配套设备安装服务。</w:t>
      </w:r>
    </w:p>
    <w:p w14:paraId="759238DE">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五、交货期限及地点</w:t>
      </w:r>
    </w:p>
    <w:p w14:paraId="059CA55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（一）交货时间</w:t>
      </w:r>
    </w:p>
    <w:p w14:paraId="7D2A44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采购合同签订后，按需方使用需求分批次供货。供方接到采购人需求之日起10个日历日内免费送货至需方指定地点。</w:t>
      </w:r>
    </w:p>
    <w:p w14:paraId="535363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（二）交货地点</w:t>
      </w:r>
    </w:p>
    <w:p w14:paraId="5D44FF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重庆市开州区公安局及各内设机构。</w:t>
      </w:r>
    </w:p>
    <w:p w14:paraId="1D8B2360">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六、验货方式</w:t>
      </w:r>
    </w:p>
    <w:p w14:paraId="7DD8CB40">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（一）货物到达现场后，成交供应商应在使用单位人员在场情况下当面开箱，共同清点、检查外观，作出开箱记录，双方签字确认。</w:t>
      </w:r>
    </w:p>
    <w:p w14:paraId="00FA4AF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（二）成交供应商应保证货物到达采购人所在地完好无损，如有缺漏、损坏，由供应商负责调换、补齐或赔偿。</w:t>
      </w:r>
    </w:p>
    <w:p w14:paraId="1D1BA5C0">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（三）成交供应商应提供完备的技术资料、装箱单和合格证等，并派遣专业技术人员进行现场指导。验收合格条件如下：</w:t>
      </w:r>
    </w:p>
    <w:p w14:paraId="48B2886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1、产品技术参数与采购合同一致，性能指标达到规定的标准。</w:t>
      </w:r>
    </w:p>
    <w:p w14:paraId="04287C2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2、货物技术资料、装箱单、合格证等资料齐全。</w:t>
      </w:r>
    </w:p>
    <w:p w14:paraId="202EB48A">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3、在规定时间内完成交货并验收，并经采购人确认。</w:t>
      </w:r>
    </w:p>
    <w:p w14:paraId="3AD0CE9A">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4、采购人随机抽取的样品检测结果为合格。</w:t>
      </w:r>
    </w:p>
    <w:p w14:paraId="7792B3D2">
      <w:pPr>
        <w:pageBreakBefore w:val="0"/>
        <w:widowControl w:val="0"/>
        <w:kinsoku/>
        <w:wordWrap/>
        <w:overflowPunct/>
        <w:topLinePunct w:val="0"/>
        <w:autoSpaceDE/>
        <w:autoSpaceDN/>
        <w:bidi w:val="0"/>
        <w:adjustRightInd/>
        <w:spacing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（四）产品在用户掌握使用技术要领，使用符合要求后，才作为最终验收。</w:t>
      </w:r>
    </w:p>
    <w:p w14:paraId="5EACDFC0">
      <w:pPr>
        <w:pStyle w:val="4"/>
        <w:pageBreakBefore w:val="0"/>
        <w:widowControl w:val="0"/>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七</w:t>
      </w:r>
      <w:r>
        <w:rPr>
          <w:rFonts w:hint="eastAsia" w:ascii="宋体" w:hAnsi="宋体" w:eastAsia="宋体" w:cs="宋体"/>
          <w:b w:val="0"/>
          <w:bCs/>
          <w:color w:val="auto"/>
          <w:sz w:val="28"/>
          <w:szCs w:val="28"/>
          <w:highlight w:val="none"/>
        </w:rPr>
        <w:t>、付款方式</w:t>
      </w:r>
    </w:p>
    <w:p w14:paraId="7216B8C8">
      <w:pPr>
        <w:pStyle w:val="4"/>
        <w:pageBreakBefore w:val="0"/>
        <w:widowControl w:val="0"/>
        <w:tabs>
          <w:tab w:val="left" w:pos="4549"/>
        </w:tabs>
        <w:kinsoku/>
        <w:wordWrap/>
        <w:overflowPunct/>
        <w:topLinePunct w:val="0"/>
        <w:autoSpaceDE/>
        <w:autoSpaceDN/>
        <w:bidi w:val="0"/>
        <w:adjustRightInd/>
        <w:spacing w:before="0" w:after="0" w:line="240" w:lineRule="auto"/>
        <w:ind w:firstLine="560" w:firstLineChars="200"/>
        <w:textAlignment w:val="auto"/>
        <w:rPr>
          <w:rFonts w:hint="eastAsia" w:ascii="宋体" w:hAnsi="宋体" w:eastAsia="宋体" w:cs="宋体"/>
          <w:b w:val="0"/>
          <w:bCs/>
          <w:i w:val="0"/>
          <w:iCs w:val="0"/>
          <w:color w:val="auto"/>
          <w:sz w:val="28"/>
          <w:szCs w:val="28"/>
          <w:highlight w:val="none"/>
          <w:u w:val="none"/>
        </w:rPr>
      </w:pPr>
      <w:bookmarkStart w:id="19" w:name="_Toc9654"/>
      <w:bookmarkStart w:id="20" w:name="_Toc13969"/>
      <w:bookmarkStart w:id="21" w:name="_Toc11828"/>
      <w:bookmarkStart w:id="22" w:name="_Toc9027"/>
      <w:bookmarkStart w:id="23" w:name="_Toc25516"/>
      <w:bookmarkStart w:id="24" w:name="_Toc25886"/>
      <w:bookmarkStart w:id="25" w:name="_Toc14778"/>
      <w:bookmarkStart w:id="26" w:name="_Toc31315"/>
      <w:bookmarkStart w:id="27" w:name="_Toc20778"/>
      <w:bookmarkStart w:id="28" w:name="_Toc5085"/>
      <w:bookmarkStart w:id="29" w:name="_Toc15478"/>
      <w:bookmarkStart w:id="30" w:name="_Toc19730"/>
      <w:bookmarkStart w:id="31" w:name="_Toc3475"/>
      <w:bookmarkStart w:id="32" w:name="_Toc27955"/>
      <w:r>
        <w:rPr>
          <w:rFonts w:hint="eastAsia" w:ascii="宋体" w:hAnsi="宋体" w:eastAsia="宋体" w:cs="宋体"/>
          <w:b w:val="0"/>
          <w:bCs/>
          <w:i w:val="0"/>
          <w:iCs w:val="0"/>
          <w:color w:val="auto"/>
          <w:sz w:val="28"/>
          <w:szCs w:val="28"/>
          <w:highlight w:val="none"/>
          <w:u w:val="none"/>
        </w:rPr>
        <w:t>供应商按照</w:t>
      </w:r>
      <w:r>
        <w:rPr>
          <w:rFonts w:hint="eastAsia" w:ascii="宋体" w:hAnsi="宋体" w:eastAsia="宋体" w:cs="宋体"/>
          <w:b w:val="0"/>
          <w:bCs/>
          <w:i w:val="0"/>
          <w:iCs w:val="0"/>
          <w:color w:val="auto"/>
          <w:sz w:val="28"/>
          <w:szCs w:val="28"/>
          <w:highlight w:val="none"/>
          <w:u w:val="none"/>
          <w:lang w:val="en-US" w:eastAsia="zh-CN"/>
        </w:rPr>
        <w:t>采购要求及</w:t>
      </w:r>
      <w:r>
        <w:rPr>
          <w:rFonts w:hint="eastAsia" w:ascii="宋体" w:hAnsi="宋体" w:eastAsia="宋体" w:cs="宋体"/>
          <w:b w:val="0"/>
          <w:bCs/>
          <w:i w:val="0"/>
          <w:iCs w:val="0"/>
          <w:color w:val="auto"/>
          <w:sz w:val="28"/>
          <w:szCs w:val="28"/>
          <w:highlight w:val="none"/>
          <w:u w:val="none"/>
        </w:rPr>
        <w:t>合同约定供货</w:t>
      </w:r>
      <w:r>
        <w:rPr>
          <w:rFonts w:hint="eastAsia" w:ascii="宋体" w:hAnsi="宋体" w:eastAsia="宋体" w:cs="宋体"/>
          <w:b w:val="0"/>
          <w:bCs/>
          <w:i w:val="0"/>
          <w:iCs w:val="0"/>
          <w:color w:val="auto"/>
          <w:sz w:val="28"/>
          <w:szCs w:val="28"/>
          <w:highlight w:val="none"/>
          <w:u w:val="none"/>
          <w:lang w:val="en-US" w:eastAsia="zh-CN"/>
        </w:rPr>
        <w:t>安装</w:t>
      </w:r>
      <w:r>
        <w:rPr>
          <w:rFonts w:hint="eastAsia" w:ascii="宋体" w:hAnsi="宋体" w:eastAsia="宋体" w:cs="宋体"/>
          <w:b w:val="0"/>
          <w:bCs/>
          <w:i w:val="0"/>
          <w:iCs w:val="0"/>
          <w:color w:val="auto"/>
          <w:sz w:val="28"/>
          <w:szCs w:val="28"/>
          <w:highlight w:val="none"/>
          <w:u w:val="none"/>
        </w:rPr>
        <w:t>，经需方验收合格后，</w:t>
      </w:r>
      <w:r>
        <w:rPr>
          <w:rFonts w:hint="eastAsia" w:ascii="宋体" w:hAnsi="宋体" w:cs="宋体"/>
          <w:b w:val="0"/>
          <w:bCs/>
          <w:i w:val="0"/>
          <w:iCs w:val="0"/>
          <w:color w:val="auto"/>
          <w:sz w:val="28"/>
          <w:szCs w:val="28"/>
          <w:highlight w:val="none"/>
          <w:u w:val="none"/>
          <w:lang w:val="en-US" w:eastAsia="zh-CN"/>
        </w:rPr>
        <w:t>根据成交单价及实际安装数量</w:t>
      </w:r>
      <w:r>
        <w:rPr>
          <w:rFonts w:hint="eastAsia" w:ascii="宋体" w:hAnsi="宋体" w:eastAsia="宋体" w:cs="宋体"/>
          <w:b w:val="0"/>
          <w:bCs/>
          <w:i w:val="0"/>
          <w:iCs w:val="0"/>
          <w:color w:val="auto"/>
          <w:sz w:val="28"/>
          <w:szCs w:val="28"/>
          <w:highlight w:val="none"/>
          <w:u w:val="none"/>
          <w:lang w:val="en-US" w:eastAsia="zh-CN"/>
        </w:rPr>
        <w:t>分批次</w:t>
      </w:r>
      <w:r>
        <w:rPr>
          <w:rFonts w:hint="eastAsia" w:ascii="宋体" w:hAnsi="宋体" w:eastAsia="宋体" w:cs="宋体"/>
          <w:b w:val="0"/>
          <w:bCs/>
          <w:i w:val="0"/>
          <w:iCs w:val="0"/>
          <w:color w:val="auto"/>
          <w:sz w:val="28"/>
          <w:szCs w:val="28"/>
          <w:highlight w:val="none"/>
          <w:u w:val="none"/>
        </w:rPr>
        <w:t>结算价款。</w:t>
      </w:r>
    </w:p>
    <w:bookmarkEnd w:id="19"/>
    <w:bookmarkEnd w:id="20"/>
    <w:bookmarkEnd w:id="21"/>
    <w:bookmarkEnd w:id="22"/>
    <w:bookmarkEnd w:id="23"/>
    <w:bookmarkEnd w:id="24"/>
    <w:bookmarkEnd w:id="25"/>
    <w:bookmarkEnd w:id="26"/>
    <w:bookmarkEnd w:id="27"/>
    <w:bookmarkEnd w:id="28"/>
    <w:bookmarkEnd w:id="29"/>
    <w:bookmarkEnd w:id="30"/>
    <w:bookmarkEnd w:id="31"/>
    <w:bookmarkEnd w:id="32"/>
    <w:p w14:paraId="45DA311F">
      <w:pPr>
        <w:pageBreakBefore w:val="0"/>
        <w:widowControl w:val="0"/>
        <w:kinsoku/>
        <w:wordWrap/>
        <w:overflowPunct/>
        <w:topLinePunct w:val="0"/>
        <w:autoSpaceDE/>
        <w:autoSpaceDN/>
        <w:bidi w:val="0"/>
        <w:adjustRightInd/>
        <w:spacing w:line="240" w:lineRule="auto"/>
        <w:ind w:firstLine="560" w:firstLineChars="200"/>
        <w:textAlignment w:val="auto"/>
        <w:rPr>
          <w:rFonts w:hint="eastAsia" w:ascii="宋体" w:hAnsi="宋体" w:eastAsia="宋体" w:cs="宋体"/>
          <w:b w:val="0"/>
          <w:bCs/>
          <w:color w:val="auto"/>
          <w:sz w:val="28"/>
          <w:szCs w:val="28"/>
          <w:highlight w:val="none"/>
        </w:rPr>
      </w:pPr>
    </w:p>
    <w:p w14:paraId="0362622C">
      <w:pPr>
        <w:rPr>
          <w:rFonts w:hint="eastAsia" w:ascii="方正小标宋_GBK" w:eastAsia="方正小标宋_GBK"/>
          <w:color w:val="auto"/>
          <w:sz w:val="44"/>
          <w:szCs w:val="44"/>
          <w:highlight w:val="none"/>
        </w:rPr>
      </w:pPr>
      <w:r>
        <w:rPr>
          <w:rFonts w:hint="eastAsia" w:ascii="方正小标宋_GBK" w:eastAsia="方正小标宋_GBK"/>
          <w:color w:val="auto"/>
          <w:sz w:val="44"/>
          <w:szCs w:val="44"/>
          <w:highlight w:val="none"/>
        </w:rPr>
        <w:br w:type="page"/>
      </w:r>
    </w:p>
    <w:p w14:paraId="5E9B4D5F">
      <w:pPr>
        <w:snapToGrid w:val="0"/>
        <w:spacing w:line="360" w:lineRule="auto"/>
        <w:jc w:val="center"/>
        <w:rPr>
          <w:color w:val="auto"/>
          <w:highlight w:val="none"/>
        </w:rPr>
      </w:pPr>
      <w:r>
        <w:rPr>
          <w:rFonts w:hint="eastAsia" w:ascii="方正小标宋_GBK" w:eastAsia="方正小标宋_GBK"/>
          <w:color w:val="auto"/>
          <w:sz w:val="44"/>
          <w:szCs w:val="44"/>
          <w:highlight w:val="none"/>
        </w:rPr>
        <w:t>供应商编制响应文件要求</w:t>
      </w:r>
    </w:p>
    <w:p w14:paraId="06F430EC">
      <w:pPr>
        <w:pStyle w:val="4"/>
        <w:spacing w:before="0" w:after="0" w:line="360" w:lineRule="auto"/>
        <w:ind w:firstLine="643" w:firstLineChars="200"/>
        <w:rPr>
          <w:rFonts w:ascii="黑体" w:hAnsi="黑体" w:eastAsia="黑体" w:cs="黑体"/>
          <w:color w:val="auto"/>
          <w:szCs w:val="32"/>
          <w:highlight w:val="none"/>
        </w:rPr>
      </w:pPr>
      <w:r>
        <w:rPr>
          <w:rFonts w:hint="eastAsia" w:ascii="黑体" w:hAnsi="黑体" w:eastAsia="黑体" w:cs="黑体"/>
          <w:color w:val="auto"/>
          <w:szCs w:val="32"/>
          <w:highlight w:val="none"/>
        </w:rPr>
        <w:t>一、报价</w:t>
      </w:r>
    </w:p>
    <w:p w14:paraId="6105876D">
      <w:pPr>
        <w:snapToGrid w:val="0"/>
        <w:ind w:firstLine="420"/>
        <w:rPr>
          <w:rFonts w:ascii="宋体" w:hAnsi="宋体" w:cs="宋体"/>
          <w:color w:val="auto"/>
          <w:sz w:val="24"/>
          <w:szCs w:val="24"/>
          <w:highlight w:val="none"/>
        </w:rPr>
      </w:pPr>
      <w:r>
        <w:rPr>
          <w:rFonts w:hint="eastAsia" w:ascii="仿宋_GB2312" w:hAnsi="仿宋_GB2312" w:eastAsia="仿宋_GB2312" w:cs="仿宋_GB2312"/>
          <w:color w:val="auto"/>
          <w:sz w:val="32"/>
          <w:szCs w:val="32"/>
          <w:highlight w:val="none"/>
        </w:rPr>
        <w:t>（一）报价函</w:t>
      </w:r>
    </w:p>
    <w:p w14:paraId="2C295B8E">
      <w:pPr>
        <w:pStyle w:val="4"/>
        <w:spacing w:before="0" w:after="0" w:line="240" w:lineRule="auto"/>
        <w:jc w:val="center"/>
        <w:rPr>
          <w:rFonts w:ascii="黑体" w:hAnsi="黑体" w:eastAsia="黑体" w:cs="黑体"/>
          <w:color w:val="auto"/>
          <w:szCs w:val="32"/>
          <w:highlight w:val="none"/>
        </w:rPr>
      </w:pPr>
      <w:r>
        <w:rPr>
          <w:rFonts w:hint="eastAsia" w:ascii="黑体" w:hAnsi="黑体" w:eastAsia="黑体" w:cs="黑体"/>
          <w:color w:val="auto"/>
          <w:szCs w:val="32"/>
          <w:highlight w:val="none"/>
        </w:rPr>
        <w:t>报 价 函</w:t>
      </w:r>
    </w:p>
    <w:p w14:paraId="49AA3332">
      <w:pPr>
        <w:rPr>
          <w:color w:val="auto"/>
          <w:highlight w:val="none"/>
        </w:rPr>
      </w:pPr>
    </w:p>
    <w:p w14:paraId="217AF27D">
      <w:pPr>
        <w:rPr>
          <w:color w:val="auto"/>
          <w:highlight w:val="none"/>
        </w:rPr>
      </w:pPr>
    </w:p>
    <w:p w14:paraId="04B5596A">
      <w:pPr>
        <w:spacing w:line="360" w:lineRule="auto"/>
        <w:rPr>
          <w:rStyle w:val="64"/>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（采购单位名称）：</w:t>
      </w:r>
    </w:p>
    <w:p w14:paraId="3C33ED3B">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我方收到</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（项目名称）的竞采文件，经详细研究，决定参加该项目。</w:t>
      </w:r>
    </w:p>
    <w:p w14:paraId="2F20D357">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ascii="仿宋_GB2312" w:hAnsi="仿宋_GB2312" w:eastAsia="仿宋_GB2312" w:cs="仿宋_GB2312"/>
          <w:color w:val="auto"/>
          <w:sz w:val="32"/>
          <w:szCs w:val="32"/>
          <w:highlight w:val="none"/>
        </w:rPr>
        <w:t>1</w:t>
      </w:r>
      <w:r>
        <w:rPr>
          <w:rStyle w:val="64"/>
          <w:rFonts w:hint="eastAsia" w:ascii="仿宋_GB2312" w:hAnsi="仿宋_GB2312" w:eastAsia="仿宋_GB2312" w:cs="仿宋_GB2312"/>
          <w:color w:val="auto"/>
          <w:sz w:val="32"/>
          <w:szCs w:val="32"/>
          <w:highlight w:val="none"/>
          <w:lang w:eastAsia="zh-Hans"/>
        </w:rPr>
        <w:t>.</w:t>
      </w:r>
      <w:r>
        <w:rPr>
          <w:rStyle w:val="64"/>
          <w:rFonts w:hint="eastAsia" w:ascii="仿宋_GB2312" w:hAnsi="仿宋_GB2312" w:eastAsia="仿宋_GB2312" w:cs="仿宋_GB2312"/>
          <w:color w:val="auto"/>
          <w:sz w:val="32"/>
          <w:szCs w:val="32"/>
          <w:highlight w:val="none"/>
        </w:rPr>
        <w:t>愿意按照竞采文件中的一切要求，提供本项目的商品、及服务，报价为人民币大写：</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元整；人民币小写</w:t>
      </w:r>
      <w:r>
        <w:rPr>
          <w:rStyle w:val="64"/>
          <w:rFonts w:ascii="仿宋_GB2312" w:hAnsi="仿宋_GB2312" w:eastAsia="仿宋_GB2312" w:cs="仿宋_GB2312"/>
          <w:color w:val="auto"/>
          <w:sz w:val="32"/>
          <w:szCs w:val="32"/>
          <w:highlight w:val="none"/>
          <w:u w:val="single"/>
        </w:rPr>
        <w:t xml:space="preserve">          </w:t>
      </w:r>
      <w:r>
        <w:rPr>
          <w:rStyle w:val="64"/>
          <w:rFonts w:hint="eastAsia" w:ascii="仿宋_GB2312" w:hAnsi="仿宋_GB2312" w:eastAsia="仿宋_GB2312" w:cs="仿宋_GB2312"/>
          <w:color w:val="auto"/>
          <w:sz w:val="32"/>
          <w:szCs w:val="32"/>
          <w:highlight w:val="none"/>
        </w:rPr>
        <w:t>元。</w:t>
      </w:r>
    </w:p>
    <w:p w14:paraId="19588175">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2</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我方现提交的响应文件为：响应文件</w:t>
      </w:r>
      <w:r>
        <w:rPr>
          <w:rStyle w:val="64"/>
          <w:rFonts w:hint="eastAsia" w:ascii="仿宋_GB2312" w:hAnsi="仿宋_GB2312" w:eastAsia="仿宋_GB2312" w:cs="仿宋_GB2312"/>
          <w:color w:val="auto"/>
          <w:sz w:val="32"/>
          <w:szCs w:val="32"/>
          <w:highlight w:val="none"/>
          <w:lang w:val="en-US" w:eastAsia="zh-CN"/>
        </w:rPr>
        <w:t>电子版</w:t>
      </w:r>
      <w:r>
        <w:rPr>
          <w:rStyle w:val="64"/>
          <w:rFonts w:hint="eastAsia" w:ascii="仿宋_GB2312" w:hAnsi="仿宋_GB2312" w:eastAsia="仿宋_GB2312" w:cs="仿宋_GB2312"/>
          <w:color w:val="auto"/>
          <w:sz w:val="32"/>
          <w:szCs w:val="32"/>
          <w:highlight w:val="none"/>
        </w:rPr>
        <w:t>壹份</w:t>
      </w:r>
      <w:r>
        <w:rPr>
          <w:rStyle w:val="64"/>
          <w:rFonts w:hint="eastAsia" w:ascii="仿宋_GB2312" w:hAnsi="仿宋_GB2312" w:eastAsia="仿宋_GB2312" w:cs="仿宋_GB2312"/>
          <w:color w:val="auto"/>
          <w:sz w:val="32"/>
          <w:szCs w:val="32"/>
          <w:highlight w:val="none"/>
          <w:lang w:eastAsia="zh-CN"/>
        </w:rPr>
        <w:t>、</w:t>
      </w:r>
      <w:r>
        <w:rPr>
          <w:rStyle w:val="64"/>
          <w:rFonts w:hint="eastAsia" w:ascii="仿宋_GB2312" w:hAnsi="仿宋_GB2312" w:eastAsia="仿宋_GB2312" w:cs="仿宋_GB2312"/>
          <w:color w:val="auto"/>
          <w:sz w:val="32"/>
          <w:szCs w:val="32"/>
          <w:highlight w:val="none"/>
          <w:lang w:val="en-US" w:eastAsia="zh-CN"/>
        </w:rPr>
        <w:t>纸子版壹份</w:t>
      </w:r>
      <w:r>
        <w:rPr>
          <w:rStyle w:val="64"/>
          <w:rFonts w:hint="eastAsia" w:ascii="仿宋_GB2312" w:hAnsi="仿宋_GB2312" w:eastAsia="仿宋_GB2312" w:cs="仿宋_GB2312"/>
          <w:color w:val="auto"/>
          <w:sz w:val="32"/>
          <w:szCs w:val="32"/>
          <w:highlight w:val="none"/>
        </w:rPr>
        <w:t>。</w:t>
      </w:r>
    </w:p>
    <w:p w14:paraId="736B189A">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3</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我方承诺：本次报价的有效期为90天。</w:t>
      </w:r>
    </w:p>
    <w:p w14:paraId="6E9BC780">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4</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我方完全理解和接受竞采文件的一切规定、要求和评审办法。</w:t>
      </w:r>
    </w:p>
    <w:p w14:paraId="69416791">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5</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在整个采购过程中，我方若有违规行为，愿意接受重庆市政府采购云平台相关管理方的</w:t>
      </w:r>
      <w:r>
        <w:rPr>
          <w:rStyle w:val="64"/>
          <w:rFonts w:hint="eastAsia" w:ascii="仿宋_GB2312" w:hAnsi="仿宋_GB2312" w:eastAsia="仿宋_GB2312" w:cs="仿宋_GB2312"/>
          <w:color w:val="auto"/>
          <w:sz w:val="32"/>
          <w:szCs w:val="32"/>
          <w:highlight w:val="none"/>
          <w:lang w:eastAsia="zh-Hans"/>
        </w:rPr>
        <w:t>处</w:t>
      </w:r>
      <w:r>
        <w:rPr>
          <w:rStyle w:val="64"/>
          <w:rFonts w:hint="eastAsia" w:ascii="仿宋_GB2312" w:hAnsi="仿宋_GB2312" w:eastAsia="仿宋_GB2312" w:cs="仿宋_GB2312"/>
          <w:color w:val="auto"/>
          <w:sz w:val="32"/>
          <w:szCs w:val="32"/>
          <w:highlight w:val="none"/>
        </w:rPr>
        <w:t>罚。</w:t>
      </w:r>
    </w:p>
    <w:p w14:paraId="0D2F1F70">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6</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我方若中选，将按照竞采结果签订合同，并且严格履行合同义务。本承诺函将成为合同不可分割的一部分，与合同具有同等的法律效力。</w:t>
      </w:r>
    </w:p>
    <w:p w14:paraId="63D5C588">
      <w:pPr>
        <w:spacing w:line="360" w:lineRule="auto"/>
        <w:ind w:firstLine="640" w:firstLineChars="200"/>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7</w:t>
      </w:r>
      <w:r>
        <w:rPr>
          <w:rStyle w:val="64"/>
          <w:rFonts w:ascii="仿宋_GB2312" w:hAnsi="仿宋_GB2312" w:eastAsia="仿宋_GB2312" w:cs="仿宋_GB2312"/>
          <w:color w:val="auto"/>
          <w:sz w:val="32"/>
          <w:szCs w:val="32"/>
          <w:highlight w:val="none"/>
        </w:rPr>
        <w:t>.</w:t>
      </w:r>
      <w:r>
        <w:rPr>
          <w:rStyle w:val="64"/>
          <w:rFonts w:hint="eastAsia" w:ascii="仿宋_GB2312" w:hAnsi="仿宋_GB2312" w:eastAsia="仿宋_GB2312" w:cs="仿宋_GB2312"/>
          <w:color w:val="auto"/>
          <w:sz w:val="32"/>
          <w:szCs w:val="32"/>
          <w:highlight w:val="none"/>
        </w:rPr>
        <w:t>我方理解，最低报价不是成交的唯一条件。</w:t>
      </w:r>
    </w:p>
    <w:p w14:paraId="1B07D4F1">
      <w:pPr>
        <w:pStyle w:val="67"/>
        <w:spacing w:line="360" w:lineRule="auto"/>
        <w:rPr>
          <w:color w:val="auto"/>
          <w:highlight w:val="none"/>
        </w:rPr>
      </w:pPr>
    </w:p>
    <w:p w14:paraId="1680CF8F">
      <w:pPr>
        <w:ind w:firstLine="640" w:firstLineChars="200"/>
        <w:jc w:val="right"/>
        <w:rPr>
          <w:rStyle w:val="64"/>
          <w:rFonts w:ascii="仿宋_GB2312" w:hAnsi="仿宋_GB2312" w:eastAsia="仿宋_GB2312" w:cs="仿宋_GB2312"/>
          <w:color w:val="auto"/>
          <w:sz w:val="32"/>
          <w:szCs w:val="32"/>
          <w:highlight w:val="none"/>
        </w:rPr>
      </w:pPr>
      <w:r>
        <w:rPr>
          <w:rStyle w:val="64"/>
          <w:rFonts w:hint="eastAsia" w:ascii="仿宋_GB2312" w:hAnsi="仿宋_GB2312" w:eastAsia="仿宋_GB2312" w:cs="仿宋_GB2312"/>
          <w:color w:val="auto"/>
          <w:sz w:val="32"/>
          <w:szCs w:val="32"/>
          <w:highlight w:val="none"/>
        </w:rPr>
        <w:t>供应商名称（公章）：</w:t>
      </w:r>
    </w:p>
    <w:p w14:paraId="66A768A7">
      <w:pPr>
        <w:ind w:firstLine="640" w:firstLineChars="200"/>
        <w:jc w:val="center"/>
        <w:rPr>
          <w:rFonts w:ascii="仿宋" w:hAnsi="仿宋" w:eastAsia="仿宋" w:cs="宋体"/>
          <w:color w:val="auto"/>
          <w:sz w:val="24"/>
          <w:szCs w:val="24"/>
          <w:highlight w:val="none"/>
        </w:rPr>
        <w:sectPr>
          <w:footerReference r:id="rId3" w:type="default"/>
          <w:pgSz w:w="11907" w:h="16840"/>
          <w:pgMar w:top="1134" w:right="1191" w:bottom="1134" w:left="1304" w:header="851" w:footer="992" w:gutter="0"/>
          <w:pgNumType w:fmt="numberInDash" w:start="1"/>
          <w:cols w:space="720" w:num="1"/>
          <w:docGrid w:linePitch="380" w:charSpace="-5735"/>
        </w:sectPr>
      </w:pPr>
      <w:r>
        <w:rPr>
          <w:rStyle w:val="64"/>
          <w:rFonts w:ascii="仿宋_GB2312" w:hAnsi="仿宋_GB2312" w:eastAsia="仿宋_GB2312" w:cs="仿宋_GB2312"/>
          <w:color w:val="auto"/>
          <w:sz w:val="32"/>
          <w:szCs w:val="32"/>
          <w:highlight w:val="none"/>
        </w:rPr>
        <w:t xml:space="preserve">                                  </w:t>
      </w:r>
      <w:r>
        <w:rPr>
          <w:rStyle w:val="64"/>
          <w:rFonts w:hint="eastAsia" w:ascii="仿宋_GB2312" w:hAnsi="仿宋_GB2312" w:eastAsia="仿宋_GB2312" w:cs="仿宋_GB2312"/>
          <w:color w:val="auto"/>
          <w:sz w:val="32"/>
          <w:szCs w:val="32"/>
          <w:highlight w:val="none"/>
        </w:rPr>
        <w:t>年  月  日</w:t>
      </w:r>
      <w:r>
        <w:rPr>
          <w:rFonts w:hint="eastAsia" w:ascii="仿宋" w:hAnsi="仿宋" w:eastAsia="仿宋" w:cs="宋体"/>
          <w:color w:val="auto"/>
          <w:sz w:val="24"/>
          <w:szCs w:val="24"/>
          <w:highlight w:val="none"/>
        </w:rPr>
        <w:t xml:space="preserve">                                        </w:t>
      </w:r>
    </w:p>
    <w:p w14:paraId="3F66C85A">
      <w:pPr>
        <w:snapToGrid w:val="0"/>
        <w:spacing w:line="360" w:lineRule="auto"/>
        <w:ind w:firstLine="420"/>
        <w:rPr>
          <w:rFonts w:ascii="方正仿宋_GBK" w:hAnsi="宋体" w:eastAsia="方正仿宋_GBK" w:cs="方正仿宋_GBK"/>
          <w:color w:val="auto"/>
          <w:sz w:val="24"/>
          <w:szCs w:val="24"/>
          <w:highlight w:val="none"/>
        </w:rPr>
      </w:pPr>
      <w:r>
        <w:rPr>
          <w:rFonts w:hint="eastAsia" w:ascii="仿宋_GB2312" w:hAnsi="仿宋_GB2312" w:eastAsia="仿宋_GB2312" w:cs="仿宋_GB2312"/>
          <w:color w:val="auto"/>
          <w:sz w:val="32"/>
          <w:szCs w:val="32"/>
          <w:highlight w:val="none"/>
        </w:rPr>
        <w:t xml:space="preserve">（二）明细报价表   </w:t>
      </w:r>
      <w:r>
        <w:rPr>
          <w:rFonts w:hint="eastAsia" w:ascii="方正仿宋_GBK" w:hAnsi="宋体" w:eastAsia="方正仿宋_GBK" w:cs="方正仿宋_GBK"/>
          <w:color w:val="auto"/>
          <w:sz w:val="24"/>
          <w:szCs w:val="24"/>
          <w:highlight w:val="none"/>
        </w:rPr>
        <w:t xml:space="preserve">     </w:t>
      </w:r>
    </w:p>
    <w:p w14:paraId="6520FDEF">
      <w:pPr>
        <w:pStyle w:val="4"/>
        <w:spacing w:before="0" w:after="0" w:line="360" w:lineRule="auto"/>
        <w:jc w:val="center"/>
        <w:rPr>
          <w:rFonts w:ascii="方正仿宋_GBK" w:hAnsi="宋体" w:eastAsia="方正仿宋_GBK" w:cs="方正仿宋_GBK"/>
          <w:color w:val="auto"/>
          <w:sz w:val="24"/>
          <w:szCs w:val="24"/>
          <w:highlight w:val="none"/>
        </w:rPr>
      </w:pPr>
      <w:r>
        <w:rPr>
          <w:rFonts w:hint="eastAsia" w:ascii="方正仿宋_GBK" w:hAnsi="宋体" w:eastAsia="方正仿宋_GBK" w:cs="方正仿宋_GBK"/>
          <w:color w:val="auto"/>
          <w:sz w:val="24"/>
          <w:szCs w:val="24"/>
          <w:highlight w:val="none"/>
        </w:rPr>
        <w:t xml:space="preserve">    </w:t>
      </w:r>
    </w:p>
    <w:p w14:paraId="3DBAA07A">
      <w:pPr>
        <w:pStyle w:val="4"/>
        <w:spacing w:before="0" w:after="0" w:line="360" w:lineRule="auto"/>
        <w:jc w:val="center"/>
        <w:rPr>
          <w:rFonts w:ascii="仿宋_GB2312" w:hAnsi="仿宋_GB2312" w:eastAsia="仿宋_GB2312" w:cs="仿宋_GB2312"/>
          <w:color w:val="auto"/>
          <w:szCs w:val="32"/>
          <w:highlight w:val="none"/>
        </w:rPr>
      </w:pPr>
      <w:r>
        <w:rPr>
          <w:rFonts w:hint="eastAsia" w:ascii="黑体" w:hAnsi="黑体" w:eastAsia="黑体" w:cs="黑体"/>
          <w:color w:val="auto"/>
          <w:szCs w:val="32"/>
          <w:highlight w:val="none"/>
        </w:rPr>
        <w:t>明细报价表</w:t>
      </w:r>
    </w:p>
    <w:p w14:paraId="3BAB3C51">
      <w:pPr>
        <w:pStyle w:val="4"/>
        <w:spacing w:before="0" w:after="0" w:line="360" w:lineRule="auto"/>
        <w:jc w:val="left"/>
        <w:rPr>
          <w:rFonts w:ascii="黑体" w:hAnsi="黑体" w:eastAsia="黑体" w:cs="黑体"/>
          <w:color w:val="auto"/>
          <w:sz w:val="24"/>
          <w:szCs w:val="24"/>
          <w:highlight w:val="none"/>
        </w:rPr>
      </w:pPr>
      <w:r>
        <w:rPr>
          <w:rFonts w:hint="eastAsia" w:ascii="黑体" w:hAnsi="黑体" w:eastAsia="黑体" w:cs="黑体"/>
          <w:color w:val="auto"/>
          <w:sz w:val="24"/>
          <w:szCs w:val="24"/>
          <w:highlight w:val="none"/>
        </w:rPr>
        <w:t>项目名称：</w:t>
      </w:r>
    </w:p>
    <w:tbl>
      <w:tblPr>
        <w:tblStyle w:val="57"/>
        <w:tblW w:w="10063" w:type="dxa"/>
        <w:jc w:val="center"/>
        <w:tblLayout w:type="fixed"/>
        <w:tblCellMar>
          <w:top w:w="0" w:type="dxa"/>
          <w:left w:w="108" w:type="dxa"/>
          <w:bottom w:w="0" w:type="dxa"/>
          <w:right w:w="108" w:type="dxa"/>
        </w:tblCellMar>
      </w:tblPr>
      <w:tblGrid>
        <w:gridCol w:w="724"/>
        <w:gridCol w:w="1214"/>
        <w:gridCol w:w="850"/>
        <w:gridCol w:w="3590"/>
        <w:gridCol w:w="850"/>
        <w:gridCol w:w="851"/>
        <w:gridCol w:w="992"/>
        <w:gridCol w:w="992"/>
      </w:tblGrid>
      <w:tr w14:paraId="541F0550">
        <w:tblPrEx>
          <w:tblCellMar>
            <w:top w:w="0" w:type="dxa"/>
            <w:left w:w="108" w:type="dxa"/>
            <w:bottom w:w="0" w:type="dxa"/>
            <w:right w:w="108" w:type="dxa"/>
          </w:tblCellMar>
        </w:tblPrEx>
        <w:trPr>
          <w:trHeight w:val="30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3335BAA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序号</w:t>
            </w:r>
          </w:p>
        </w:tc>
        <w:tc>
          <w:tcPr>
            <w:tcW w:w="1214" w:type="dxa"/>
            <w:tcBorders>
              <w:top w:val="single" w:color="auto" w:sz="4" w:space="0"/>
              <w:left w:val="nil"/>
              <w:bottom w:val="single" w:color="auto" w:sz="4" w:space="0"/>
              <w:right w:val="single" w:color="auto" w:sz="4" w:space="0"/>
            </w:tcBorders>
            <w:noWrap/>
            <w:vAlign w:val="center"/>
          </w:tcPr>
          <w:p w14:paraId="1800C70D">
            <w:pPr>
              <w:widowControl/>
              <w:jc w:val="center"/>
              <w:rPr>
                <w:rFonts w:hint="eastAsia"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产品</w:t>
            </w:r>
          </w:p>
          <w:p w14:paraId="2F46809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名称</w:t>
            </w:r>
          </w:p>
        </w:tc>
        <w:tc>
          <w:tcPr>
            <w:tcW w:w="850" w:type="dxa"/>
            <w:tcBorders>
              <w:top w:val="single" w:color="auto" w:sz="4" w:space="0"/>
              <w:left w:val="nil"/>
              <w:bottom w:val="single" w:color="auto" w:sz="4" w:space="0"/>
              <w:right w:val="single" w:color="auto" w:sz="4" w:space="0"/>
            </w:tcBorders>
            <w:noWrap/>
            <w:vAlign w:val="center"/>
          </w:tcPr>
          <w:p w14:paraId="3EC01E96">
            <w:pPr>
              <w:widowControl/>
              <w:jc w:val="center"/>
              <w:rPr>
                <w:rFonts w:hint="default" w:ascii="仿宋_GB2312" w:hAnsi="仿宋_GB2312" w:eastAsia="仿宋_GB2312" w:cs="仿宋_GB2312"/>
                <w:b/>
                <w:bCs/>
                <w:color w:val="auto"/>
                <w:kern w:val="0"/>
                <w:sz w:val="28"/>
                <w:szCs w:val="28"/>
                <w:highlight w:val="none"/>
                <w:lang w:val="en-US" w:eastAsia="zh-CN"/>
              </w:rPr>
            </w:pPr>
            <w:r>
              <w:rPr>
                <w:rFonts w:hint="eastAsia" w:ascii="方正仿宋_GBK" w:hAnsi="宋体" w:eastAsia="方正仿宋_GBK" w:cs="宋体"/>
                <w:b/>
                <w:bCs/>
                <w:color w:val="auto"/>
                <w:kern w:val="0"/>
                <w:sz w:val="28"/>
                <w:szCs w:val="28"/>
                <w:highlight w:val="none"/>
                <w:lang w:val="en-US" w:eastAsia="zh-CN"/>
              </w:rPr>
              <w:t>品牌型号</w:t>
            </w:r>
          </w:p>
        </w:tc>
        <w:tc>
          <w:tcPr>
            <w:tcW w:w="3590" w:type="dxa"/>
            <w:tcBorders>
              <w:top w:val="single" w:color="auto" w:sz="4" w:space="0"/>
              <w:left w:val="nil"/>
              <w:bottom w:val="single" w:color="auto" w:sz="4" w:space="0"/>
              <w:right w:val="single" w:color="auto" w:sz="4" w:space="0"/>
            </w:tcBorders>
            <w:noWrap/>
            <w:vAlign w:val="center"/>
          </w:tcPr>
          <w:p w14:paraId="6B623263">
            <w:pPr>
              <w:widowControl/>
              <w:jc w:val="center"/>
              <w:rPr>
                <w:rFonts w:hint="default" w:ascii="仿宋_GB2312" w:hAnsi="仿宋_GB2312" w:eastAsia="仿宋_GB2312" w:cs="仿宋_GB2312"/>
                <w:b/>
                <w:bCs/>
                <w:color w:val="auto"/>
                <w:kern w:val="0"/>
                <w:sz w:val="28"/>
                <w:szCs w:val="28"/>
                <w:highlight w:val="none"/>
                <w:lang w:val="en-US" w:eastAsia="zh-CN"/>
              </w:rPr>
            </w:pPr>
            <w:r>
              <w:rPr>
                <w:rFonts w:hint="eastAsia" w:ascii="方正仿宋_GBK" w:hAnsi="宋体" w:eastAsia="方正仿宋_GBK" w:cs="宋体"/>
                <w:b/>
                <w:bCs/>
                <w:color w:val="auto"/>
                <w:kern w:val="0"/>
                <w:sz w:val="28"/>
                <w:szCs w:val="28"/>
                <w:highlight w:val="none"/>
                <w:lang w:val="en-US" w:eastAsia="zh-CN"/>
              </w:rPr>
              <w:t>技术参数</w:t>
            </w:r>
          </w:p>
        </w:tc>
        <w:tc>
          <w:tcPr>
            <w:tcW w:w="850" w:type="dxa"/>
            <w:tcBorders>
              <w:top w:val="single" w:color="auto" w:sz="4" w:space="0"/>
              <w:left w:val="nil"/>
              <w:bottom w:val="single" w:color="auto" w:sz="4" w:space="0"/>
              <w:right w:val="single" w:color="auto" w:sz="4" w:space="0"/>
            </w:tcBorders>
            <w:vAlign w:val="center"/>
          </w:tcPr>
          <w:p w14:paraId="30484234">
            <w:pPr>
              <w:widowControl/>
              <w:jc w:val="center"/>
              <w:rPr>
                <w:rFonts w:hint="eastAsia"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数量</w:t>
            </w:r>
          </w:p>
        </w:tc>
        <w:tc>
          <w:tcPr>
            <w:tcW w:w="851" w:type="dxa"/>
            <w:tcBorders>
              <w:top w:val="single" w:color="auto" w:sz="4" w:space="0"/>
              <w:left w:val="nil"/>
              <w:bottom w:val="single" w:color="auto" w:sz="4" w:space="0"/>
              <w:right w:val="single" w:color="auto" w:sz="4" w:space="0"/>
            </w:tcBorders>
            <w:vAlign w:val="center"/>
          </w:tcPr>
          <w:p w14:paraId="5F2091C4">
            <w:pPr>
              <w:widowControl/>
              <w:jc w:val="center"/>
              <w:rPr>
                <w:rFonts w:hint="eastAsia" w:ascii="仿宋_GB2312" w:hAnsi="仿宋_GB2312" w:eastAsia="仿宋_GB2312" w:cs="仿宋_GB2312"/>
                <w:b/>
                <w:bCs/>
                <w:color w:val="auto"/>
                <w:kern w:val="0"/>
                <w:sz w:val="28"/>
                <w:szCs w:val="28"/>
                <w:highlight w:val="none"/>
                <w:lang w:val="en-US" w:eastAsia="zh-CN"/>
              </w:rPr>
            </w:pPr>
            <w:r>
              <w:rPr>
                <w:rFonts w:hint="eastAsia" w:ascii="仿宋_GB2312" w:hAnsi="仿宋_GB2312" w:eastAsia="仿宋_GB2312" w:cs="仿宋_GB2312"/>
                <w:b/>
                <w:bCs/>
                <w:color w:val="auto"/>
                <w:kern w:val="0"/>
                <w:sz w:val="28"/>
                <w:szCs w:val="28"/>
                <w:highlight w:val="none"/>
                <w:lang w:val="en-US" w:eastAsia="zh-CN"/>
              </w:rPr>
              <w:t>单位</w:t>
            </w:r>
          </w:p>
        </w:tc>
        <w:tc>
          <w:tcPr>
            <w:tcW w:w="992" w:type="dxa"/>
            <w:tcBorders>
              <w:top w:val="single" w:color="auto" w:sz="4" w:space="0"/>
              <w:left w:val="nil"/>
              <w:bottom w:val="single" w:color="auto" w:sz="4" w:space="0"/>
              <w:right w:val="single" w:color="auto" w:sz="4" w:space="0"/>
            </w:tcBorders>
            <w:vAlign w:val="center"/>
          </w:tcPr>
          <w:p w14:paraId="7F84F3FA">
            <w:pPr>
              <w:pStyle w:val="32"/>
              <w:widowControl/>
              <w:jc w:val="center"/>
              <w:rPr>
                <w:rFonts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单价</w:t>
            </w:r>
          </w:p>
          <w:p w14:paraId="2A90AD9D">
            <w:pPr>
              <w:pStyle w:val="32"/>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（元）</w:t>
            </w:r>
          </w:p>
        </w:tc>
        <w:tc>
          <w:tcPr>
            <w:tcW w:w="992" w:type="dxa"/>
            <w:tcBorders>
              <w:top w:val="single" w:color="auto" w:sz="4" w:space="0"/>
              <w:left w:val="nil"/>
              <w:bottom w:val="single" w:color="auto" w:sz="4" w:space="0"/>
              <w:right w:val="single" w:color="auto" w:sz="4" w:space="0"/>
            </w:tcBorders>
            <w:vAlign w:val="center"/>
          </w:tcPr>
          <w:p w14:paraId="0B613A2D">
            <w:pPr>
              <w:widowControl/>
              <w:jc w:val="center"/>
              <w:rPr>
                <w:rFonts w:ascii="方正仿宋_GBK" w:hAnsi="宋体" w:eastAsia="方正仿宋_GBK" w:cs="宋体"/>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合计</w:t>
            </w:r>
          </w:p>
          <w:p w14:paraId="2C019788">
            <w:pPr>
              <w:widowControl/>
              <w:jc w:val="center"/>
              <w:rPr>
                <w:rFonts w:ascii="仿宋_GB2312" w:hAnsi="仿宋_GB2312" w:eastAsia="仿宋_GB2312" w:cs="仿宋_GB2312"/>
                <w:b/>
                <w:bCs/>
                <w:color w:val="auto"/>
                <w:kern w:val="0"/>
                <w:sz w:val="28"/>
                <w:szCs w:val="28"/>
                <w:highlight w:val="none"/>
              </w:rPr>
            </w:pPr>
            <w:r>
              <w:rPr>
                <w:rFonts w:hint="eastAsia" w:ascii="方正仿宋_GBK" w:hAnsi="宋体" w:eastAsia="方正仿宋_GBK" w:cs="宋体"/>
                <w:b/>
                <w:bCs/>
                <w:color w:val="auto"/>
                <w:kern w:val="0"/>
                <w:sz w:val="28"/>
                <w:szCs w:val="28"/>
                <w:highlight w:val="none"/>
              </w:rPr>
              <w:t>（元）</w:t>
            </w:r>
          </w:p>
        </w:tc>
      </w:tr>
      <w:tr w14:paraId="0294A44B">
        <w:tblPrEx>
          <w:tblCellMar>
            <w:top w:w="0" w:type="dxa"/>
            <w:left w:w="108" w:type="dxa"/>
            <w:bottom w:w="0" w:type="dxa"/>
            <w:right w:w="108" w:type="dxa"/>
          </w:tblCellMar>
        </w:tblPrEx>
        <w:trPr>
          <w:trHeight w:val="480" w:hRule="atLeast"/>
          <w:jc w:val="center"/>
        </w:trPr>
        <w:tc>
          <w:tcPr>
            <w:tcW w:w="724" w:type="dxa"/>
            <w:tcBorders>
              <w:top w:val="nil"/>
              <w:left w:val="single" w:color="auto" w:sz="4" w:space="0"/>
              <w:bottom w:val="single" w:color="auto" w:sz="4" w:space="0"/>
              <w:right w:val="single" w:color="auto" w:sz="4" w:space="0"/>
            </w:tcBorders>
            <w:noWrap/>
            <w:vAlign w:val="center"/>
          </w:tcPr>
          <w:p w14:paraId="451B9DC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4F810C0C">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24B8150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450AAFB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3F58C17E">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4B03C8F4">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6B410BBC">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396C15F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254C7C14">
        <w:tblPrEx>
          <w:tblCellMar>
            <w:top w:w="0" w:type="dxa"/>
            <w:left w:w="108" w:type="dxa"/>
            <w:bottom w:w="0" w:type="dxa"/>
            <w:right w:w="108" w:type="dxa"/>
          </w:tblCellMar>
        </w:tblPrEx>
        <w:trPr>
          <w:trHeight w:val="480" w:hRule="atLeast"/>
          <w:jc w:val="center"/>
        </w:trPr>
        <w:tc>
          <w:tcPr>
            <w:tcW w:w="724" w:type="dxa"/>
            <w:tcBorders>
              <w:top w:val="nil"/>
              <w:left w:val="single" w:color="auto" w:sz="4" w:space="0"/>
              <w:bottom w:val="single" w:color="auto" w:sz="4" w:space="0"/>
              <w:right w:val="single" w:color="auto" w:sz="4" w:space="0"/>
            </w:tcBorders>
            <w:noWrap/>
            <w:vAlign w:val="center"/>
          </w:tcPr>
          <w:p w14:paraId="1B6F7DC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1F382AE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48D2F64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603FB0A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7F2D9039">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1202C63B">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0F7B9217">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12A028DE">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0EAFE10D">
        <w:tblPrEx>
          <w:tblCellMar>
            <w:top w:w="0" w:type="dxa"/>
            <w:left w:w="108" w:type="dxa"/>
            <w:bottom w:w="0" w:type="dxa"/>
            <w:right w:w="108" w:type="dxa"/>
          </w:tblCellMar>
        </w:tblPrEx>
        <w:trPr>
          <w:trHeight w:val="270" w:hRule="atLeast"/>
          <w:jc w:val="center"/>
        </w:trPr>
        <w:tc>
          <w:tcPr>
            <w:tcW w:w="724" w:type="dxa"/>
            <w:tcBorders>
              <w:top w:val="nil"/>
              <w:left w:val="single" w:color="auto" w:sz="4" w:space="0"/>
              <w:bottom w:val="single" w:color="auto" w:sz="4" w:space="0"/>
              <w:right w:val="single" w:color="auto" w:sz="4" w:space="0"/>
            </w:tcBorders>
            <w:noWrap/>
            <w:vAlign w:val="center"/>
          </w:tcPr>
          <w:p w14:paraId="0240E449">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0E826FE8">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3D0BD14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096871E7">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5115FF76">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53F6446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29AC25C0">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C30FEE8">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r w14:paraId="43E52D85">
        <w:tblPrEx>
          <w:tblCellMar>
            <w:top w:w="0" w:type="dxa"/>
            <w:left w:w="108" w:type="dxa"/>
            <w:bottom w:w="0" w:type="dxa"/>
            <w:right w:w="108" w:type="dxa"/>
          </w:tblCellMar>
        </w:tblPrEx>
        <w:trPr>
          <w:trHeight w:val="270" w:hRule="atLeast"/>
          <w:jc w:val="center"/>
        </w:trPr>
        <w:tc>
          <w:tcPr>
            <w:tcW w:w="724" w:type="dxa"/>
            <w:tcBorders>
              <w:top w:val="nil"/>
              <w:left w:val="single" w:color="auto" w:sz="4" w:space="0"/>
              <w:bottom w:val="single" w:color="auto" w:sz="4" w:space="0"/>
              <w:right w:val="single" w:color="auto" w:sz="4" w:space="0"/>
            </w:tcBorders>
            <w:noWrap/>
            <w:vAlign w:val="center"/>
          </w:tcPr>
          <w:p w14:paraId="0C59703D">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1214" w:type="dxa"/>
            <w:tcBorders>
              <w:top w:val="nil"/>
              <w:left w:val="nil"/>
              <w:bottom w:val="single" w:color="auto" w:sz="4" w:space="0"/>
              <w:right w:val="single" w:color="auto" w:sz="4" w:space="0"/>
            </w:tcBorders>
            <w:vAlign w:val="center"/>
          </w:tcPr>
          <w:p w14:paraId="5E3396B2">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7C290FE4">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3590" w:type="dxa"/>
            <w:tcBorders>
              <w:top w:val="nil"/>
              <w:left w:val="nil"/>
              <w:bottom w:val="single" w:color="auto" w:sz="4" w:space="0"/>
              <w:right w:val="single" w:color="auto" w:sz="4" w:space="0"/>
            </w:tcBorders>
            <w:vAlign w:val="center"/>
          </w:tcPr>
          <w:p w14:paraId="4E5386E1">
            <w:pPr>
              <w:widowControl/>
              <w:spacing w:line="360" w:lineRule="auto"/>
              <w:jc w:val="center"/>
              <w:textAlignment w:val="center"/>
              <w:rPr>
                <w:rFonts w:ascii="方正仿宋_GBK" w:hAnsi="方正仿宋_GBK" w:eastAsia="方正仿宋_GBK" w:cs="方正仿宋_GBK"/>
                <w:color w:val="auto"/>
                <w:kern w:val="0"/>
                <w:sz w:val="24"/>
                <w:szCs w:val="24"/>
                <w:highlight w:val="none"/>
              </w:rPr>
            </w:pPr>
          </w:p>
        </w:tc>
        <w:tc>
          <w:tcPr>
            <w:tcW w:w="850" w:type="dxa"/>
            <w:tcBorders>
              <w:top w:val="nil"/>
              <w:left w:val="nil"/>
              <w:bottom w:val="single" w:color="auto" w:sz="4" w:space="0"/>
              <w:right w:val="single" w:color="auto" w:sz="4" w:space="0"/>
            </w:tcBorders>
            <w:vAlign w:val="center"/>
          </w:tcPr>
          <w:p w14:paraId="062778AF">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851" w:type="dxa"/>
            <w:tcBorders>
              <w:top w:val="nil"/>
              <w:left w:val="nil"/>
              <w:bottom w:val="single" w:color="auto" w:sz="4" w:space="0"/>
              <w:right w:val="single" w:color="auto" w:sz="4" w:space="0"/>
            </w:tcBorders>
            <w:vAlign w:val="center"/>
          </w:tcPr>
          <w:p w14:paraId="334D9709">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2A7F65B">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c>
          <w:tcPr>
            <w:tcW w:w="992" w:type="dxa"/>
            <w:tcBorders>
              <w:top w:val="nil"/>
              <w:left w:val="nil"/>
              <w:bottom w:val="single" w:color="auto" w:sz="4" w:space="0"/>
              <w:right w:val="single" w:color="auto" w:sz="4" w:space="0"/>
            </w:tcBorders>
            <w:vAlign w:val="center"/>
          </w:tcPr>
          <w:p w14:paraId="40A2E2D7">
            <w:pPr>
              <w:keepNext/>
              <w:snapToGrid w:val="0"/>
              <w:spacing w:line="360" w:lineRule="auto"/>
              <w:jc w:val="center"/>
              <w:outlineLvl w:val="0"/>
              <w:rPr>
                <w:rFonts w:ascii="方正仿宋_GBK" w:hAnsi="方正仿宋_GBK" w:eastAsia="方正仿宋_GBK" w:cs="方正仿宋_GBK"/>
                <w:color w:val="auto"/>
                <w:sz w:val="24"/>
                <w:szCs w:val="24"/>
                <w:highlight w:val="none"/>
              </w:rPr>
            </w:pPr>
          </w:p>
        </w:tc>
      </w:tr>
    </w:tbl>
    <w:p w14:paraId="758D3804">
      <w:pPr>
        <w:snapToGrid w:val="0"/>
        <w:spacing w:line="360" w:lineRule="auto"/>
        <w:ind w:firstLine="480" w:firstLineChars="200"/>
        <w:rPr>
          <w:rFonts w:ascii="方正仿宋_GBK" w:hAnsi="宋体" w:eastAsia="方正仿宋_GBK" w:cs="方正仿宋_GBK"/>
          <w:color w:val="auto"/>
          <w:sz w:val="24"/>
          <w:szCs w:val="24"/>
          <w:highlight w:val="none"/>
        </w:rPr>
      </w:pPr>
      <w:r>
        <w:rPr>
          <w:rFonts w:hint="eastAsia" w:ascii="方正仿宋_GBK" w:hAnsi="宋体" w:eastAsia="方正仿宋_GBK" w:cs="方正仿宋_GBK"/>
          <w:color w:val="auto"/>
          <w:sz w:val="24"/>
          <w:szCs w:val="24"/>
          <w:highlight w:val="none"/>
        </w:rPr>
        <w:t xml:space="preserve"> </w:t>
      </w:r>
    </w:p>
    <w:p w14:paraId="4656B632">
      <w:pPr>
        <w:snapToGrid w:val="0"/>
        <w:spacing w:line="360" w:lineRule="auto"/>
        <w:ind w:firstLine="640" w:firstLineChars="200"/>
        <w:rPr>
          <w:rFonts w:ascii="方正仿宋_GBK" w:hAnsi="宋体"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填写要求：</w:t>
      </w:r>
      <w:r>
        <w:rPr>
          <w:rFonts w:hint="eastAsia" w:ascii="方正仿宋_GBK" w:hAnsi="宋体" w:eastAsia="方正仿宋_GBK" w:cs="方正仿宋_GBK"/>
          <w:color w:val="auto"/>
          <w:sz w:val="32"/>
          <w:szCs w:val="32"/>
          <w:highlight w:val="none"/>
        </w:rPr>
        <w:t>供应商应完整填写本表，并逐页盖章。</w:t>
      </w:r>
    </w:p>
    <w:p w14:paraId="0146DB45">
      <w:pPr>
        <w:snapToGrid w:val="0"/>
        <w:spacing w:line="360" w:lineRule="auto"/>
        <w:rPr>
          <w:rFonts w:ascii="方正仿宋_GBK" w:hAnsi="宋体" w:eastAsia="方正仿宋_GBK" w:cs="方正仿宋_GBK"/>
          <w:color w:val="auto"/>
          <w:sz w:val="32"/>
          <w:szCs w:val="32"/>
          <w:highlight w:val="none"/>
        </w:rPr>
      </w:pPr>
      <w:r>
        <w:rPr>
          <w:rFonts w:hint="eastAsia" w:ascii="方正仿宋_GBK" w:hAnsi="宋体" w:eastAsia="方正仿宋_GBK" w:cs="方正仿宋_GBK"/>
          <w:color w:val="auto"/>
          <w:sz w:val="32"/>
          <w:szCs w:val="32"/>
          <w:highlight w:val="none"/>
        </w:rPr>
        <w:t xml:space="preserve"> </w:t>
      </w:r>
    </w:p>
    <w:p w14:paraId="16569007">
      <w:pPr>
        <w:pStyle w:val="252"/>
        <w:spacing w:line="360" w:lineRule="auto"/>
        <w:ind w:left="1600" w:hanging="480"/>
        <w:rPr>
          <w:rFonts w:ascii="方正仿宋_GBK" w:hAnsi="宋体" w:eastAsia="方正仿宋_GBK" w:cs="方正仿宋_GBK"/>
          <w:color w:val="auto"/>
          <w:sz w:val="32"/>
          <w:szCs w:val="32"/>
          <w:highlight w:val="none"/>
        </w:rPr>
      </w:pPr>
      <w:r>
        <w:rPr>
          <w:rFonts w:hint="eastAsia" w:ascii="方正仿宋_GBK" w:hAnsi="宋体" w:eastAsia="方正仿宋_GBK" w:cs="方正仿宋_GBK"/>
          <w:color w:val="auto"/>
          <w:sz w:val="32"/>
          <w:szCs w:val="32"/>
          <w:highlight w:val="none"/>
        </w:rPr>
        <w:t xml:space="preserve"> </w:t>
      </w:r>
    </w:p>
    <w:p w14:paraId="11E02B99">
      <w:pPr>
        <w:spacing w:line="360" w:lineRule="auto"/>
        <w:jc w:val="right"/>
        <w:rPr>
          <w:rFonts w:ascii="Times New Roman" w:hAnsi="Times New Roman"/>
          <w:color w:val="auto"/>
          <w:sz w:val="32"/>
          <w:szCs w:val="32"/>
          <w:highlight w:val="none"/>
        </w:rPr>
      </w:pPr>
      <w:r>
        <w:rPr>
          <w:rFonts w:hint="eastAsia" w:ascii="方正仿宋_GBK" w:hAnsi="方正仿宋_GBK" w:eastAsia="方正仿宋_GBK" w:cs="方正仿宋_GBK"/>
          <w:color w:val="auto"/>
          <w:sz w:val="32"/>
          <w:szCs w:val="32"/>
          <w:highlight w:val="none"/>
        </w:rPr>
        <w:t>供应商名称（公章）：</w:t>
      </w:r>
    </w:p>
    <w:p w14:paraId="5FF53D65">
      <w:pPr>
        <w:spacing w:line="360" w:lineRule="auto"/>
        <w:jc w:val="center"/>
        <w:rPr>
          <w:rFonts w:ascii="方正仿宋_GBK" w:hAnsi="方正仿宋_GBK" w:eastAsia="方正仿宋_GBK" w:cs="方正仿宋_GBK"/>
          <w:color w:val="auto"/>
          <w:sz w:val="32"/>
          <w:szCs w:val="32"/>
          <w:highlight w:val="none"/>
        </w:rPr>
      </w:pPr>
      <w:r>
        <w:rPr>
          <w:rFonts w:ascii="方正仿宋_GBK" w:hAnsi="方正仿宋_GBK"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年</w:t>
      </w:r>
      <w:r>
        <w:rPr>
          <w:rFonts w:hint="eastAsia" w:ascii="方正仿宋_GBK" w:hAnsi="宋体"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月</w:t>
      </w:r>
      <w:r>
        <w:rPr>
          <w:rFonts w:hint="eastAsia" w:ascii="方正仿宋_GBK" w:hAnsi="宋体" w:eastAsia="方正仿宋_GBK" w:cs="方正仿宋_GBK"/>
          <w:color w:val="auto"/>
          <w:sz w:val="32"/>
          <w:szCs w:val="32"/>
          <w:highlight w:val="none"/>
        </w:rPr>
        <w:t xml:space="preserve">  </w:t>
      </w:r>
      <w:r>
        <w:rPr>
          <w:rFonts w:hint="eastAsia" w:ascii="方正仿宋_GBK" w:hAnsi="方正仿宋_GBK" w:eastAsia="方正仿宋_GBK" w:cs="方正仿宋_GBK"/>
          <w:color w:val="auto"/>
          <w:sz w:val="32"/>
          <w:szCs w:val="32"/>
          <w:highlight w:val="none"/>
        </w:rPr>
        <w:t>日</w:t>
      </w:r>
    </w:p>
    <w:p w14:paraId="5E4145B6">
      <w:pPr>
        <w:pStyle w:val="4"/>
        <w:spacing w:line="360" w:lineRule="auto"/>
        <w:rPr>
          <w:rFonts w:ascii="方正仿宋_GBK" w:hAnsi="方正仿宋_GBK" w:eastAsia="方正仿宋_GBK" w:cs="Arial"/>
          <w:color w:val="auto"/>
          <w:highlight w:val="none"/>
        </w:rPr>
      </w:pPr>
      <w:r>
        <w:rPr>
          <w:color w:val="auto"/>
          <w:highlight w:val="none"/>
        </w:rPr>
        <w:br w:type="page"/>
      </w:r>
    </w:p>
    <w:p w14:paraId="091C3C93">
      <w:pPr>
        <w:tabs>
          <w:tab w:val="left" w:pos="6300"/>
        </w:tabs>
        <w:snapToGrid w:val="0"/>
        <w:spacing w:line="360" w:lineRule="auto"/>
        <w:ind w:firstLine="643" w:firstLineChars="200"/>
        <w:jc w:val="left"/>
        <w:rPr>
          <w:rFonts w:ascii="宋体" w:hAnsi="宋体" w:cs="宋体"/>
          <w:b/>
          <w:bCs/>
          <w:color w:val="auto"/>
          <w:sz w:val="24"/>
          <w:szCs w:val="24"/>
          <w:highlight w:val="none"/>
        </w:rPr>
      </w:pPr>
      <w:r>
        <w:rPr>
          <w:rFonts w:hint="eastAsia" w:ascii="黑体" w:hAnsi="黑体" w:eastAsia="黑体" w:cs="黑体"/>
          <w:b/>
          <w:color w:val="auto"/>
          <w:sz w:val="32"/>
          <w:szCs w:val="32"/>
          <w:highlight w:val="none"/>
        </w:rPr>
        <w:t>二、法定代表人身份证明书（格式）/法定代表人授权委托书（格式）</w:t>
      </w:r>
    </w:p>
    <w:p w14:paraId="1B4C84A2">
      <w:pPr>
        <w:tabs>
          <w:tab w:val="left" w:pos="6300"/>
        </w:tabs>
        <w:snapToGrid w:val="0"/>
        <w:spacing w:line="360" w:lineRule="auto"/>
        <w:jc w:val="center"/>
        <w:rPr>
          <w:rFonts w:ascii="宋体" w:hAnsi="宋体" w:cs="宋体"/>
          <w:b/>
          <w:bCs/>
          <w:color w:val="auto"/>
          <w:sz w:val="24"/>
          <w:szCs w:val="24"/>
          <w:highlight w:val="none"/>
        </w:rPr>
      </w:pPr>
    </w:p>
    <w:p w14:paraId="6188FB4A">
      <w:pPr>
        <w:tabs>
          <w:tab w:val="left" w:pos="6300"/>
        </w:tabs>
        <w:snapToGrid w:val="0"/>
        <w:spacing w:line="360" w:lineRule="auto"/>
        <w:jc w:val="center"/>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法定代表人身份证明书</w:t>
      </w:r>
    </w:p>
    <w:p w14:paraId="5F1D27D0">
      <w:pPr>
        <w:tabs>
          <w:tab w:val="left" w:pos="6300"/>
        </w:tabs>
        <w:snapToGrid w:val="0"/>
        <w:spacing w:line="360" w:lineRule="auto"/>
        <w:rPr>
          <w:rFonts w:ascii="仿宋_GB2312" w:hAnsi="仿宋_GB2312" w:eastAsia="仿宋_GB2312" w:cs="仿宋_GB2312"/>
          <w:color w:val="auto"/>
          <w:sz w:val="32"/>
          <w:szCs w:val="32"/>
          <w:highlight w:val="none"/>
          <w:u w:val="single"/>
        </w:rPr>
      </w:pPr>
    </w:p>
    <w:p w14:paraId="7C8D3FE9">
      <w:pPr>
        <w:tabs>
          <w:tab w:val="left" w:pos="6300"/>
        </w:tabs>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51D9B652">
      <w:pPr>
        <w:tabs>
          <w:tab w:val="left" w:pos="6300"/>
        </w:tabs>
        <w:snapToGrid w:val="0"/>
        <w:spacing w:line="360" w:lineRule="auto"/>
        <w:ind w:firstLine="640" w:firstLineChars="200"/>
        <w:jc w:val="lef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（法定代表人名称及身份证代码）是</w:t>
      </w:r>
      <w:r>
        <w:rPr>
          <w:rFonts w:hint="eastAsia" w:ascii="仿宋_GB2312" w:hAnsi="仿宋_GB2312" w:eastAsia="仿宋_GB2312" w:cs="仿宋_GB2312"/>
          <w:color w:val="auto"/>
          <w:sz w:val="32"/>
          <w:szCs w:val="32"/>
          <w:highlight w:val="none"/>
          <w:u w:val="single"/>
        </w:rPr>
        <w:t>（供应商名称）</w:t>
      </w:r>
      <w:r>
        <w:rPr>
          <w:rFonts w:hint="eastAsia" w:ascii="仿宋_GB2312" w:hAnsi="仿宋_GB2312" w:eastAsia="仿宋_GB2312" w:cs="仿宋_GB2312"/>
          <w:color w:val="auto"/>
          <w:sz w:val="32"/>
          <w:szCs w:val="32"/>
          <w:highlight w:val="none"/>
        </w:rPr>
        <w:t>的法定代表人，电话</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代表我单位全权办理上述项目的竞采报价、签约等具体工作，并签署全部有关文件、协议及合同。签字负全部责任。</w:t>
      </w:r>
    </w:p>
    <w:p w14:paraId="28343830">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765C5F74">
      <w:pPr>
        <w:tabs>
          <w:tab w:val="left" w:pos="6300"/>
        </w:tabs>
        <w:snapToGrid w:val="0"/>
        <w:spacing w:line="360" w:lineRule="auto"/>
        <w:ind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 xml:space="preserve">法定代表人（签字或盖章）：                          </w:t>
      </w:r>
    </w:p>
    <w:p w14:paraId="50C6D30F">
      <w:pPr>
        <w:tabs>
          <w:tab w:val="left" w:pos="6300"/>
        </w:tabs>
        <w:snapToGrid w:val="0"/>
        <w:spacing w:line="360" w:lineRule="auto"/>
        <w:ind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769BD245">
      <w:pPr>
        <w:tabs>
          <w:tab w:val="left" w:pos="6300"/>
        </w:tabs>
        <w:snapToGrid w:val="0"/>
        <w:spacing w:line="360" w:lineRule="auto"/>
        <w:ind w:right="360" w:firstLine="570"/>
        <w:jc w:val="center"/>
        <w:rPr>
          <w:color w:val="auto"/>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52DE8984">
      <w:pPr>
        <w:pStyle w:val="67"/>
        <w:spacing w:line="360" w:lineRule="auto"/>
        <w:rPr>
          <w:color w:val="auto"/>
          <w:highlight w:val="none"/>
        </w:rPr>
      </w:pPr>
    </w:p>
    <w:p w14:paraId="3E4E6EE3">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（附：法定代表人身份证正反面复印件）</w:t>
      </w:r>
    </w:p>
    <w:p w14:paraId="6200BD73">
      <w:pPr>
        <w:pStyle w:val="4"/>
        <w:spacing w:line="360" w:lineRule="auto"/>
        <w:rPr>
          <w:color w:val="auto"/>
          <w:highlight w:val="none"/>
        </w:rPr>
      </w:pPr>
    </w:p>
    <w:p w14:paraId="5170CD74">
      <w:pPr>
        <w:rPr>
          <w:rFonts w:ascii="宋体" w:hAnsi="宋体" w:cs="宋体"/>
          <w:color w:val="auto"/>
          <w:sz w:val="24"/>
          <w:szCs w:val="24"/>
          <w:highlight w:val="none"/>
        </w:rPr>
      </w:pPr>
      <w:r>
        <w:rPr>
          <w:rFonts w:ascii="宋体" w:hAnsi="宋体" w:cs="宋体"/>
          <w:color w:val="auto"/>
          <w:sz w:val="24"/>
          <w:szCs w:val="24"/>
          <w:highlight w:val="none"/>
        </w:rPr>
        <w:br w:type="page"/>
      </w:r>
    </w:p>
    <w:p w14:paraId="6F86AB76">
      <w:pPr>
        <w:pStyle w:val="67"/>
        <w:rPr>
          <w:color w:val="auto"/>
          <w:highlight w:val="none"/>
        </w:rPr>
      </w:pPr>
    </w:p>
    <w:p w14:paraId="1C6CC348">
      <w:pPr>
        <w:tabs>
          <w:tab w:val="left" w:pos="6300"/>
        </w:tabs>
        <w:snapToGrid w:val="0"/>
        <w:spacing w:line="360" w:lineRule="auto"/>
        <w:jc w:val="center"/>
        <w:rPr>
          <w:rFonts w:ascii="黑体" w:hAnsi="黑体" w:eastAsia="黑体" w:cs="黑体"/>
          <w:b/>
          <w:bCs/>
          <w:color w:val="auto"/>
          <w:sz w:val="32"/>
          <w:szCs w:val="32"/>
          <w:highlight w:val="none"/>
        </w:rPr>
      </w:pPr>
      <w:r>
        <w:rPr>
          <w:rFonts w:hint="eastAsia" w:ascii="黑体" w:hAnsi="黑体" w:eastAsia="黑体" w:cs="黑体"/>
          <w:b/>
          <w:bCs/>
          <w:color w:val="auto"/>
          <w:sz w:val="32"/>
          <w:szCs w:val="32"/>
          <w:highlight w:val="none"/>
        </w:rPr>
        <w:t>法定代表人授权委托书</w:t>
      </w:r>
    </w:p>
    <w:p w14:paraId="138C6CE9">
      <w:pPr>
        <w:tabs>
          <w:tab w:val="left" w:pos="6300"/>
        </w:tabs>
        <w:snapToGrid w:val="0"/>
        <w:spacing w:line="360" w:lineRule="auto"/>
        <w:rPr>
          <w:rFonts w:ascii="仿宋_GB2312" w:hAnsi="仿宋_GB2312" w:eastAsia="仿宋_GB2312" w:cs="仿宋_GB2312"/>
          <w:color w:val="auto"/>
          <w:sz w:val="32"/>
          <w:szCs w:val="32"/>
          <w:highlight w:val="none"/>
          <w:u w:val="single"/>
        </w:rPr>
      </w:pPr>
    </w:p>
    <w:p w14:paraId="0D3AF2A0">
      <w:pPr>
        <w:tabs>
          <w:tab w:val="left" w:pos="6300"/>
        </w:tabs>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Hans"/>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297A9EA5">
      <w:pPr>
        <w:tabs>
          <w:tab w:val="left" w:pos="6300"/>
        </w:tabs>
        <w:wordWrap w:val="0"/>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（法定代表人名称）是</w:t>
      </w:r>
      <w:r>
        <w:rPr>
          <w:rFonts w:hint="eastAsia" w:ascii="仿宋_GB2312" w:hAnsi="仿宋_GB2312" w:eastAsia="仿宋_GB2312" w:cs="仿宋_GB2312"/>
          <w:color w:val="auto"/>
          <w:sz w:val="32"/>
          <w:szCs w:val="32"/>
          <w:highlight w:val="none"/>
          <w:u w:val="single"/>
        </w:rPr>
        <w:t>（供应商名称）</w:t>
      </w:r>
      <w:r>
        <w:rPr>
          <w:rFonts w:hint="eastAsia" w:ascii="仿宋_GB2312" w:hAnsi="仿宋_GB2312" w:eastAsia="仿宋_GB2312" w:cs="仿宋_GB2312"/>
          <w:color w:val="auto"/>
          <w:sz w:val="32"/>
          <w:szCs w:val="32"/>
          <w:highlight w:val="none"/>
        </w:rPr>
        <w:t>的法定代表人，特授权</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（被授权人姓名及身份证代码）电话</w:t>
      </w:r>
      <w:r>
        <w:rPr>
          <w:rFonts w:hint="eastAsia"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u w:val="single"/>
        </w:rPr>
        <w:t xml:space="preserve">          </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代表我单位全权办理上述项目的竞采报价、签约等具体工作，并签署全部有关文件、协议及合同。</w:t>
      </w:r>
    </w:p>
    <w:p w14:paraId="6024F475">
      <w:pPr>
        <w:tabs>
          <w:tab w:val="left" w:pos="6300"/>
        </w:tabs>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我单位对被授权人的签字负全部责任。</w:t>
      </w:r>
    </w:p>
    <w:p w14:paraId="04C32884">
      <w:pPr>
        <w:tabs>
          <w:tab w:val="left" w:pos="6300"/>
        </w:tabs>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在撤消授权</w:t>
      </w:r>
      <w:r>
        <w:rPr>
          <w:rFonts w:hint="eastAsia" w:ascii="仿宋_GB2312" w:hAnsi="仿宋_GB2312" w:eastAsia="仿宋_GB2312" w:cs="仿宋_GB2312"/>
          <w:color w:val="auto"/>
          <w:sz w:val="32"/>
          <w:szCs w:val="32"/>
          <w:highlight w:val="none"/>
          <w:lang w:eastAsia="zh-Hans"/>
        </w:rPr>
        <w:t>的</w:t>
      </w:r>
      <w:r>
        <w:rPr>
          <w:rFonts w:hint="eastAsia" w:ascii="仿宋_GB2312" w:hAnsi="仿宋_GB2312" w:eastAsia="仿宋_GB2312" w:cs="仿宋_GB2312"/>
          <w:color w:val="auto"/>
          <w:sz w:val="32"/>
          <w:szCs w:val="32"/>
          <w:highlight w:val="none"/>
        </w:rPr>
        <w:t>书面通知以前，本授权书一直有效。被授权人在授权书有效期内签署的所有文件不因授权的撤消而失效。</w:t>
      </w:r>
    </w:p>
    <w:p w14:paraId="4DF5F4AB">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6FB81E1B">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被授权人：                          法定代表人：</w:t>
      </w:r>
    </w:p>
    <w:p w14:paraId="0567F7C9">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（签字或盖章）                     </w:t>
      </w: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（签字或盖章）</w:t>
      </w:r>
    </w:p>
    <w:p w14:paraId="009984CF">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1C88A1D0">
      <w:pPr>
        <w:tabs>
          <w:tab w:val="left" w:pos="6300"/>
        </w:tabs>
        <w:snapToGrid w:val="0"/>
        <w:spacing w:line="360" w:lineRule="auto"/>
        <w:ind w:firstLine="57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（附：被授权人、法定代表人身份证正反面复印件）</w:t>
      </w:r>
    </w:p>
    <w:p w14:paraId="40B46D46">
      <w:pPr>
        <w:tabs>
          <w:tab w:val="left" w:pos="6300"/>
        </w:tabs>
        <w:snapToGrid w:val="0"/>
        <w:spacing w:line="360" w:lineRule="auto"/>
        <w:ind w:firstLine="570"/>
        <w:rPr>
          <w:rFonts w:ascii="仿宋_GB2312" w:hAnsi="仿宋_GB2312" w:eastAsia="仿宋_GB2312" w:cs="仿宋_GB2312"/>
          <w:color w:val="auto"/>
          <w:sz w:val="32"/>
          <w:szCs w:val="32"/>
          <w:highlight w:val="none"/>
        </w:rPr>
      </w:pPr>
    </w:p>
    <w:p w14:paraId="64D0EB0F">
      <w:pPr>
        <w:tabs>
          <w:tab w:val="left" w:pos="6300"/>
        </w:tabs>
        <w:snapToGrid w:val="0"/>
        <w:spacing w:line="360" w:lineRule="auto"/>
        <w:ind w:right="480" w:firstLine="570"/>
        <w:jc w:val="righ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3DD691B0">
      <w:pPr>
        <w:tabs>
          <w:tab w:val="left" w:pos="6300"/>
        </w:tabs>
        <w:snapToGrid w:val="0"/>
        <w:spacing w:line="360" w:lineRule="auto"/>
        <w:ind w:right="480"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6B9FF4B6">
      <w:pPr>
        <w:pStyle w:val="4"/>
        <w:spacing w:line="360" w:lineRule="auto"/>
        <w:rPr>
          <w:color w:val="auto"/>
          <w:highlight w:val="none"/>
        </w:rPr>
      </w:pPr>
      <w:r>
        <w:rPr>
          <w:color w:val="auto"/>
          <w:highlight w:val="none"/>
        </w:rPr>
        <w:br w:type="page"/>
      </w:r>
    </w:p>
    <w:p w14:paraId="727BD9E8">
      <w:pPr>
        <w:tabs>
          <w:tab w:val="left" w:pos="6300"/>
        </w:tabs>
        <w:snapToGrid w:val="0"/>
        <w:spacing w:line="360" w:lineRule="auto"/>
        <w:ind w:firstLine="643" w:firstLineChars="200"/>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lang w:eastAsia="zh-Hans"/>
        </w:rPr>
        <w:t>三</w:t>
      </w:r>
      <w:r>
        <w:rPr>
          <w:rFonts w:ascii="黑体" w:hAnsi="黑体" w:eastAsia="黑体" w:cs="黑体"/>
          <w:b/>
          <w:color w:val="auto"/>
          <w:sz w:val="32"/>
          <w:szCs w:val="32"/>
          <w:highlight w:val="none"/>
          <w:lang w:eastAsia="zh-Hans"/>
        </w:rPr>
        <w:t>、</w:t>
      </w:r>
      <w:r>
        <w:rPr>
          <w:rFonts w:hint="eastAsia" w:ascii="黑体" w:hAnsi="黑体" w:eastAsia="黑体" w:cs="黑体"/>
          <w:b/>
          <w:color w:val="auto"/>
          <w:sz w:val="32"/>
          <w:szCs w:val="32"/>
          <w:highlight w:val="none"/>
        </w:rPr>
        <w:t>基本资格条件承诺函</w:t>
      </w:r>
    </w:p>
    <w:p w14:paraId="146399C9">
      <w:pPr>
        <w:pStyle w:val="67"/>
        <w:rPr>
          <w:color w:val="auto"/>
          <w:highlight w:val="none"/>
        </w:rPr>
      </w:pPr>
    </w:p>
    <w:p w14:paraId="4C0F7B47">
      <w:pPr>
        <w:snapToGrid w:val="0"/>
        <w:spacing w:line="360" w:lineRule="auto"/>
        <w:ind w:firstLine="570"/>
        <w:jc w:val="center"/>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基本资格条件承诺函</w:t>
      </w:r>
    </w:p>
    <w:p w14:paraId="08F922AC">
      <w:pPr>
        <w:snapToGrid w:val="0"/>
        <w:spacing w:line="360" w:lineRule="auto"/>
        <w:rPr>
          <w:rFonts w:ascii="方正仿宋_GBK" w:hAnsi="宋体" w:eastAsia="方正仿宋_GBK" w:cs="方正仿宋_GBK"/>
          <w:b/>
          <w:color w:val="auto"/>
          <w:sz w:val="24"/>
          <w:szCs w:val="24"/>
          <w:highlight w:val="none"/>
        </w:rPr>
      </w:pPr>
      <w:r>
        <w:rPr>
          <w:rFonts w:ascii="方正仿宋_GBK" w:hAnsi="宋体" w:eastAsia="方正仿宋_GBK" w:cs="方正仿宋_GBK"/>
          <w:b/>
          <w:color w:val="auto"/>
          <w:sz w:val="24"/>
          <w:szCs w:val="24"/>
          <w:highlight w:val="none"/>
        </w:rPr>
        <w:t xml:space="preserve"> </w:t>
      </w:r>
    </w:p>
    <w:p w14:paraId="58B3C5B9">
      <w:pPr>
        <w:snapToGrid w:val="0"/>
        <w:spacing w:line="360" w:lineRule="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致</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（采购单位名称）：</w:t>
      </w:r>
    </w:p>
    <w:p w14:paraId="03B52E9D">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（供应商名称）郑重承诺：</w:t>
      </w:r>
    </w:p>
    <w:p w14:paraId="58C9FFCC">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14:paraId="586708E1">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2.我方未列入在信用中国网站（www.creditchina.gov.cn）“失信被执行人”、“重大税收违法案件当事人名单”中，也未列入中国政府采购网（www.ccgp.gov.cn）“政府采购严重违法失信行为记录名单”中。</w:t>
      </w:r>
    </w:p>
    <w:p w14:paraId="03CC7C6E">
      <w:pPr>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3.我方在项目评审环节结束后，随时接受采购人检查验证，配合提供相关证明材料，证明符合《中华人民共和国政府采购法》第二十二条规定的供应商基本资格条件。</w:t>
      </w:r>
    </w:p>
    <w:p w14:paraId="56CE2F86">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我方对以上承诺负全部法律责任。</w:t>
      </w:r>
    </w:p>
    <w:p w14:paraId="3F01FDEC">
      <w:pPr>
        <w:snapToGrid w:val="0"/>
        <w:spacing w:line="360" w:lineRule="auto"/>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特此承诺。</w:t>
      </w:r>
    </w:p>
    <w:p w14:paraId="4A772332">
      <w:pPr>
        <w:pStyle w:val="67"/>
        <w:rPr>
          <w:color w:val="auto"/>
          <w:highlight w:val="none"/>
        </w:rPr>
      </w:pPr>
    </w:p>
    <w:p w14:paraId="578E148C">
      <w:pPr>
        <w:tabs>
          <w:tab w:val="left" w:pos="6300"/>
        </w:tabs>
        <w:snapToGrid w:val="0"/>
        <w:spacing w:line="360" w:lineRule="auto"/>
        <w:ind w:right="480" w:firstLine="570"/>
        <w:jc w:val="right"/>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供应商名称（公章）</w:t>
      </w:r>
    </w:p>
    <w:p w14:paraId="00B72178">
      <w:pPr>
        <w:tabs>
          <w:tab w:val="left" w:pos="6300"/>
        </w:tabs>
        <w:snapToGrid w:val="0"/>
        <w:spacing w:line="360" w:lineRule="auto"/>
        <w:ind w:right="480" w:firstLine="570"/>
        <w:jc w:val="center"/>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rPr>
        <w:t>年   月   日</w:t>
      </w:r>
    </w:p>
    <w:p w14:paraId="0C8BAD92">
      <w:pPr>
        <w:spacing w:line="360" w:lineRule="auto"/>
        <w:jc w:val="right"/>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br w:type="page"/>
      </w:r>
    </w:p>
    <w:p w14:paraId="658E7DA0">
      <w:pPr>
        <w:tabs>
          <w:tab w:val="left" w:pos="6300"/>
        </w:tabs>
        <w:snapToGrid w:val="0"/>
        <w:spacing w:line="360" w:lineRule="auto"/>
        <w:ind w:firstLine="643" w:firstLineChars="200"/>
        <w:rPr>
          <w:rFonts w:ascii="黑体" w:hAnsi="黑体" w:eastAsia="黑体" w:cs="黑体"/>
          <w:b/>
          <w:color w:val="auto"/>
          <w:sz w:val="32"/>
          <w:szCs w:val="32"/>
          <w:highlight w:val="none"/>
        </w:rPr>
      </w:pPr>
      <w:r>
        <w:rPr>
          <w:rFonts w:hint="eastAsia" w:ascii="黑体" w:hAnsi="黑体" w:eastAsia="黑体" w:cs="黑体"/>
          <w:b/>
          <w:color w:val="auto"/>
          <w:sz w:val="32"/>
          <w:szCs w:val="32"/>
          <w:highlight w:val="none"/>
        </w:rPr>
        <w:t>四、特定资格条件证书或证明文件</w:t>
      </w:r>
    </w:p>
    <w:p w14:paraId="26764253">
      <w:pPr>
        <w:pStyle w:val="4"/>
        <w:spacing w:line="360" w:lineRule="auto"/>
        <w:rPr>
          <w:color w:val="auto"/>
          <w:highlight w:val="none"/>
        </w:rPr>
      </w:pPr>
    </w:p>
    <w:p w14:paraId="21DB2832">
      <w:pPr>
        <w:tabs>
          <w:tab w:val="left" w:pos="6300"/>
        </w:tabs>
        <w:snapToGrid w:val="0"/>
        <w:spacing w:line="360" w:lineRule="auto"/>
        <w:ind w:right="480" w:firstLine="570"/>
        <w:jc w:val="right"/>
        <w:rPr>
          <w:rFonts w:ascii="宋体" w:hAnsi="宋体" w:cs="宋体"/>
          <w:color w:val="auto"/>
          <w:sz w:val="24"/>
          <w:szCs w:val="24"/>
          <w:highlight w:val="none"/>
        </w:rPr>
      </w:pPr>
    </w:p>
    <w:p w14:paraId="6FA1C8EC">
      <w:pPr>
        <w:pStyle w:val="4"/>
        <w:spacing w:line="360" w:lineRule="auto"/>
        <w:rPr>
          <w:color w:val="auto"/>
          <w:highlight w:val="none"/>
        </w:rPr>
      </w:pPr>
    </w:p>
    <w:p w14:paraId="2CA5FFDE">
      <w:pPr>
        <w:spacing w:line="360" w:lineRule="auto"/>
        <w:rPr>
          <w:color w:val="auto"/>
          <w:highlight w:val="none"/>
        </w:rPr>
      </w:pPr>
    </w:p>
    <w:p w14:paraId="7755C47B">
      <w:pPr>
        <w:pStyle w:val="4"/>
        <w:spacing w:line="360" w:lineRule="auto"/>
        <w:rPr>
          <w:color w:val="auto"/>
          <w:highlight w:val="none"/>
        </w:rPr>
      </w:pPr>
    </w:p>
    <w:p w14:paraId="305FA4E9">
      <w:pPr>
        <w:spacing w:line="360" w:lineRule="auto"/>
        <w:rPr>
          <w:color w:val="auto"/>
          <w:highlight w:val="none"/>
        </w:rPr>
      </w:pPr>
    </w:p>
    <w:p w14:paraId="60464CCB">
      <w:pPr>
        <w:pStyle w:val="4"/>
        <w:spacing w:line="360" w:lineRule="auto"/>
        <w:rPr>
          <w:color w:val="auto"/>
          <w:highlight w:val="none"/>
        </w:rPr>
      </w:pPr>
    </w:p>
    <w:p w14:paraId="03FCF2E6">
      <w:pPr>
        <w:spacing w:line="360" w:lineRule="auto"/>
        <w:rPr>
          <w:color w:val="auto"/>
          <w:highlight w:val="none"/>
        </w:rPr>
      </w:pPr>
    </w:p>
    <w:p w14:paraId="19FF0B4B">
      <w:pPr>
        <w:pStyle w:val="4"/>
        <w:spacing w:line="360" w:lineRule="auto"/>
        <w:rPr>
          <w:color w:val="auto"/>
          <w:highlight w:val="none"/>
        </w:rPr>
      </w:pPr>
    </w:p>
    <w:p w14:paraId="6860F663">
      <w:pPr>
        <w:spacing w:line="360" w:lineRule="auto"/>
        <w:rPr>
          <w:color w:val="auto"/>
          <w:highlight w:val="none"/>
        </w:rPr>
      </w:pPr>
    </w:p>
    <w:p w14:paraId="6AD9325E">
      <w:pPr>
        <w:pStyle w:val="4"/>
        <w:spacing w:line="360" w:lineRule="auto"/>
        <w:rPr>
          <w:color w:val="auto"/>
          <w:highlight w:val="none"/>
        </w:rPr>
      </w:pPr>
    </w:p>
    <w:p w14:paraId="296E2A66">
      <w:pPr>
        <w:spacing w:line="360" w:lineRule="auto"/>
        <w:rPr>
          <w:color w:val="auto"/>
          <w:highlight w:val="none"/>
        </w:rPr>
      </w:pPr>
    </w:p>
    <w:p w14:paraId="025D546A">
      <w:pPr>
        <w:pStyle w:val="4"/>
        <w:spacing w:line="360" w:lineRule="auto"/>
        <w:rPr>
          <w:color w:val="auto"/>
          <w:highlight w:val="none"/>
        </w:rPr>
      </w:pPr>
    </w:p>
    <w:p w14:paraId="517C1350">
      <w:pPr>
        <w:spacing w:line="360" w:lineRule="auto"/>
        <w:rPr>
          <w:color w:val="auto"/>
          <w:highlight w:val="none"/>
        </w:rPr>
      </w:pPr>
    </w:p>
    <w:p w14:paraId="67FD4677">
      <w:pPr>
        <w:tabs>
          <w:tab w:val="left" w:pos="6300"/>
        </w:tabs>
        <w:snapToGrid w:val="0"/>
        <w:spacing w:line="360" w:lineRule="auto"/>
        <w:ind w:firstLine="570"/>
        <w:rPr>
          <w:rFonts w:ascii="宋体" w:hAnsi="宋体" w:cs="宋体"/>
          <w:color w:val="auto"/>
          <w:sz w:val="24"/>
          <w:szCs w:val="24"/>
          <w:highlight w:val="none"/>
        </w:rPr>
      </w:pPr>
    </w:p>
    <w:p w14:paraId="7A8533C5">
      <w:pPr>
        <w:tabs>
          <w:tab w:val="left" w:pos="6300"/>
        </w:tabs>
        <w:snapToGrid w:val="0"/>
        <w:spacing w:line="360" w:lineRule="auto"/>
        <w:ind w:firstLine="570"/>
        <w:rPr>
          <w:rFonts w:ascii="宋体" w:hAnsi="宋体" w:cs="宋体"/>
          <w:color w:val="auto"/>
          <w:sz w:val="24"/>
          <w:szCs w:val="24"/>
          <w:highlight w:val="none"/>
        </w:rPr>
      </w:pPr>
    </w:p>
    <w:p w14:paraId="3DF361FD">
      <w:pPr>
        <w:tabs>
          <w:tab w:val="left" w:pos="6300"/>
        </w:tabs>
        <w:snapToGrid w:val="0"/>
        <w:spacing w:line="360" w:lineRule="auto"/>
        <w:ind w:right="480"/>
        <w:jc w:val="center"/>
        <w:rPr>
          <w:rFonts w:ascii="宋体" w:hAnsi="宋体" w:cs="宋体"/>
          <w:color w:val="auto"/>
          <w:sz w:val="24"/>
          <w:szCs w:val="24"/>
          <w:highlight w:val="none"/>
        </w:rPr>
      </w:pPr>
      <w:r>
        <w:rPr>
          <w:rFonts w:hint="eastAsia" w:ascii="仿宋_GB2312" w:hAnsi="仿宋_GB2312" w:eastAsia="仿宋_GB2312" w:cs="仿宋_GB2312"/>
          <w:color w:val="auto"/>
          <w:sz w:val="32"/>
          <w:szCs w:val="32"/>
          <w:highlight w:val="none"/>
        </w:rPr>
        <w:t>（结束）</w:t>
      </w:r>
    </w:p>
    <w:sectPr>
      <w:footerReference r:id="rId4"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B0604020202020204"/>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20B0604020202020204"/>
    <w:charset w:val="00"/>
    <w:family w:val="modern"/>
    <w:pitch w:val="default"/>
    <w:sig w:usb0="00000000" w:usb1="00000000" w:usb2="00000010" w:usb3="00000000" w:csb0="00040000" w:csb1="00000000"/>
  </w:font>
  <w:font w:name="楷体_GB2312">
    <w:altName w:val="楷体"/>
    <w:panose1 w:val="020B0604020202020204"/>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文鼎粗黑">
    <w:altName w:val="黑体"/>
    <w:panose1 w:val="020B0604020202020204"/>
    <w:charset w:val="00"/>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28BE2">
    <w:pPr>
      <w:pStyle w:val="3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6850" cy="13779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26804">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MJr46C4CAABTBAAADgAAAAAAAAABACAAAAAgAQAAZHJzL2Uyb0RvYy54bWxQSwUGAAAA&#10;AAYABgBZAQAAwAUAAAAA&#10;">
              <v:fill on="f" focussize="0,0"/>
              <v:stroke on="f" weight="0.5pt"/>
              <v:imagedata o:title=""/>
              <o:lock v:ext="edit" aspectratio="f"/>
              <v:textbox inset="0mm,0mm,0mm,0mm" style="mso-fit-shape-to-text:t;">
                <w:txbxContent>
                  <w:p w14:paraId="0C426804">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CE84">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6850" cy="13779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469CF5">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fill on="f" focussize="0,0"/>
              <v:stroke on="f" weight="0.5pt"/>
              <v:imagedata o:title=""/>
              <o:lock v:ext="edit" aspectratio="f"/>
              <v:textbox inset="0mm,0mm,0mm,0mm" style="mso-fit-shape-to-text:t;">
                <w:txbxContent>
                  <w:p w14:paraId="2A469CF5">
                    <w:pPr>
                      <w:pStyle w:val="35"/>
                    </w:pPr>
                    <w:r>
                      <w:rPr>
                        <w:rFonts w:hint="eastAsia"/>
                      </w:rPr>
                      <w:fldChar w:fldCharType="begin"/>
                    </w:r>
                    <w:r>
                      <w:rPr>
                        <w:rFonts w:hint="eastAsia"/>
                      </w:rPr>
                      <w:instrText xml:space="preserve"> PAGE  \* MERGEFORMAT </w:instrText>
                    </w:r>
                    <w:r>
                      <w:rPr>
                        <w:rFonts w:hint="eastAsia"/>
                      </w:rPr>
                      <w:fldChar w:fldCharType="separate"/>
                    </w:r>
                    <w:r>
                      <w:t>- 3 -</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EEC636"/>
    <w:multiLevelType w:val="singleLevel"/>
    <w:tmpl w:val="90EEC636"/>
    <w:lvl w:ilvl="0" w:tentative="0">
      <w:start w:val="1"/>
      <w:numFmt w:val="decimal"/>
      <w:suff w:val="nothing"/>
      <w:lvlText w:val="%1．"/>
      <w:lvlJc w:val="left"/>
    </w:lvl>
  </w:abstractNum>
  <w:abstractNum w:abstractNumId="1">
    <w:nsid w:val="A29E70C9"/>
    <w:multiLevelType w:val="singleLevel"/>
    <w:tmpl w:val="A29E70C9"/>
    <w:lvl w:ilvl="0" w:tentative="0">
      <w:start w:val="1"/>
      <w:numFmt w:val="decimal"/>
      <w:suff w:val="nothing"/>
      <w:lvlText w:val="%1、"/>
      <w:lvlJc w:val="left"/>
    </w:lvl>
  </w:abstractNum>
  <w:abstractNum w:abstractNumId="2">
    <w:nsid w:val="00000001"/>
    <w:multiLevelType w:val="multilevel"/>
    <w:tmpl w:val="00000001"/>
    <w:lvl w:ilvl="0" w:tentative="0">
      <w:start w:val="1"/>
      <w:numFmt w:val="bullet"/>
      <w:pStyle w:val="22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2"/>
    <w:multiLevelType w:val="singleLevel"/>
    <w:tmpl w:val="00000002"/>
    <w:lvl w:ilvl="0" w:tentative="0">
      <w:start w:val="1"/>
      <w:numFmt w:val="bullet"/>
      <w:pStyle w:val="135"/>
      <w:lvlText w:val=""/>
      <w:lvlJc w:val="left"/>
      <w:pPr>
        <w:tabs>
          <w:tab w:val="left" w:pos="360"/>
        </w:tabs>
        <w:ind w:left="360" w:hanging="360"/>
      </w:pPr>
      <w:rPr>
        <w:rFonts w:hint="default" w:ascii="Wingdings" w:hAnsi="Wingdings"/>
      </w:rPr>
    </w:lvl>
  </w:abstractNum>
  <w:abstractNum w:abstractNumId="4">
    <w:nsid w:val="00000008"/>
    <w:multiLevelType w:val="multilevel"/>
    <w:tmpl w:val="00000008"/>
    <w:lvl w:ilvl="0" w:tentative="0">
      <w:start w:val="1"/>
      <w:numFmt w:val="decimal"/>
      <w:pStyle w:val="147"/>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6">
    <w:nsid w:val="0000000E"/>
    <w:multiLevelType w:val="multilevel"/>
    <w:tmpl w:val="0000000E"/>
    <w:lvl w:ilvl="0" w:tentative="0">
      <w:start w:val="1"/>
      <w:numFmt w:val="bullet"/>
      <w:pStyle w:val="24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7">
    <w:nsid w:val="0000000F"/>
    <w:multiLevelType w:val="multilevel"/>
    <w:tmpl w:val="0000000F"/>
    <w:lvl w:ilvl="0" w:tentative="0">
      <w:start w:val="1"/>
      <w:numFmt w:val="upperLetter"/>
      <w:pStyle w:val="13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singleLevel"/>
    <w:tmpl w:val="00000011"/>
    <w:lvl w:ilvl="0" w:tentative="0">
      <w:start w:val="1"/>
      <w:numFmt w:val="decimal"/>
      <w:pStyle w:val="13"/>
      <w:lvlText w:val="%1."/>
      <w:lvlJc w:val="left"/>
      <w:pPr>
        <w:tabs>
          <w:tab w:val="left" w:pos="425"/>
        </w:tabs>
        <w:ind w:left="425" w:hanging="425"/>
      </w:pPr>
      <w:rPr>
        <w:rFonts w:hint="default"/>
      </w:rPr>
    </w:lvl>
  </w:abstractNum>
  <w:abstractNum w:abstractNumId="10">
    <w:nsid w:val="00000012"/>
    <w:multiLevelType w:val="multilevel"/>
    <w:tmpl w:val="00000012"/>
    <w:lvl w:ilvl="0" w:tentative="0">
      <w:start w:val="1"/>
      <w:numFmt w:val="bullet"/>
      <w:pStyle w:val="13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2">
    <w:nsid w:val="00000014"/>
    <w:multiLevelType w:val="singleLevel"/>
    <w:tmpl w:val="00000014"/>
    <w:lvl w:ilvl="0" w:tentative="0">
      <w:start w:val="1"/>
      <w:numFmt w:val="decimal"/>
      <w:pStyle w:val="145"/>
      <w:lvlText w:val="%1)"/>
      <w:lvlJc w:val="left"/>
      <w:pPr>
        <w:tabs>
          <w:tab w:val="left" w:pos="425"/>
        </w:tabs>
        <w:ind w:left="425" w:hanging="425"/>
      </w:pPr>
      <w:rPr>
        <w:rFonts w:hint="eastAsia"/>
      </w:rPr>
    </w:lvl>
  </w:abstractNum>
  <w:abstractNum w:abstractNumId="13">
    <w:nsid w:val="00000015"/>
    <w:multiLevelType w:val="multilevel"/>
    <w:tmpl w:val="00000015"/>
    <w:lvl w:ilvl="0" w:tentative="0">
      <w:start w:val="1"/>
      <w:numFmt w:val="chineseCountingThousand"/>
      <w:pStyle w:val="20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5"/>
  </w:num>
  <w:num w:numId="3">
    <w:abstractNumId w:val="11"/>
  </w:num>
  <w:num w:numId="4">
    <w:abstractNumId w:val="7"/>
  </w:num>
  <w:num w:numId="5">
    <w:abstractNumId w:val="3"/>
  </w:num>
  <w:num w:numId="6">
    <w:abstractNumId w:val="10"/>
  </w:num>
  <w:num w:numId="7">
    <w:abstractNumId w:val="12"/>
  </w:num>
  <w:num w:numId="8">
    <w:abstractNumId w:val="4"/>
  </w:num>
  <w:num w:numId="9">
    <w:abstractNumId w:val="8"/>
  </w:num>
  <w:num w:numId="10">
    <w:abstractNumId w:val="13"/>
  </w:num>
  <w:num w:numId="11">
    <w:abstractNumId w:val="2"/>
  </w:num>
  <w:num w:numId="12">
    <w:abstractNumId w:val="6"/>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BE6"/>
    <w:rsid w:val="0001050B"/>
    <w:rsid w:val="000144C9"/>
    <w:rsid w:val="0002088C"/>
    <w:rsid w:val="00033CCB"/>
    <w:rsid w:val="00033DAB"/>
    <w:rsid w:val="000342CA"/>
    <w:rsid w:val="000370BC"/>
    <w:rsid w:val="000401A2"/>
    <w:rsid w:val="00042D13"/>
    <w:rsid w:val="00056A6E"/>
    <w:rsid w:val="000831AB"/>
    <w:rsid w:val="0008422C"/>
    <w:rsid w:val="00084C93"/>
    <w:rsid w:val="000B4CFC"/>
    <w:rsid w:val="000D5AC6"/>
    <w:rsid w:val="000E232C"/>
    <w:rsid w:val="000E3326"/>
    <w:rsid w:val="000F1833"/>
    <w:rsid w:val="0011647C"/>
    <w:rsid w:val="00116BB6"/>
    <w:rsid w:val="00117275"/>
    <w:rsid w:val="001173E3"/>
    <w:rsid w:val="001306AD"/>
    <w:rsid w:val="00136D0F"/>
    <w:rsid w:val="001435CF"/>
    <w:rsid w:val="001445A2"/>
    <w:rsid w:val="0015070D"/>
    <w:rsid w:val="0015525F"/>
    <w:rsid w:val="00165915"/>
    <w:rsid w:val="00166EEA"/>
    <w:rsid w:val="00172A27"/>
    <w:rsid w:val="00173214"/>
    <w:rsid w:val="001765E3"/>
    <w:rsid w:val="001829E7"/>
    <w:rsid w:val="00191E27"/>
    <w:rsid w:val="00192985"/>
    <w:rsid w:val="001A3E64"/>
    <w:rsid w:val="001E44D9"/>
    <w:rsid w:val="001E73E2"/>
    <w:rsid w:val="001F74AE"/>
    <w:rsid w:val="002122FC"/>
    <w:rsid w:val="0021327B"/>
    <w:rsid w:val="0021595A"/>
    <w:rsid w:val="00223B9B"/>
    <w:rsid w:val="0022691C"/>
    <w:rsid w:val="00226A1A"/>
    <w:rsid w:val="00227B9B"/>
    <w:rsid w:val="002676F5"/>
    <w:rsid w:val="00297EC4"/>
    <w:rsid w:val="002B0676"/>
    <w:rsid w:val="002C7EDF"/>
    <w:rsid w:val="002F2847"/>
    <w:rsid w:val="002F5C86"/>
    <w:rsid w:val="00313FC6"/>
    <w:rsid w:val="00314FE1"/>
    <w:rsid w:val="00316DF3"/>
    <w:rsid w:val="00330491"/>
    <w:rsid w:val="003332D6"/>
    <w:rsid w:val="00333713"/>
    <w:rsid w:val="0033562A"/>
    <w:rsid w:val="003453EB"/>
    <w:rsid w:val="003609C0"/>
    <w:rsid w:val="00375908"/>
    <w:rsid w:val="00382DE2"/>
    <w:rsid w:val="003876E3"/>
    <w:rsid w:val="003878EB"/>
    <w:rsid w:val="003A0967"/>
    <w:rsid w:val="003B48D3"/>
    <w:rsid w:val="003D7E49"/>
    <w:rsid w:val="003E69B4"/>
    <w:rsid w:val="003E7CAB"/>
    <w:rsid w:val="003F7078"/>
    <w:rsid w:val="003F75E7"/>
    <w:rsid w:val="00415960"/>
    <w:rsid w:val="00421287"/>
    <w:rsid w:val="0043243B"/>
    <w:rsid w:val="00442270"/>
    <w:rsid w:val="0044680D"/>
    <w:rsid w:val="00460545"/>
    <w:rsid w:val="004916E8"/>
    <w:rsid w:val="00493794"/>
    <w:rsid w:val="00494FFB"/>
    <w:rsid w:val="00495D1A"/>
    <w:rsid w:val="0049754E"/>
    <w:rsid w:val="004A1198"/>
    <w:rsid w:val="004A2061"/>
    <w:rsid w:val="004A6CE1"/>
    <w:rsid w:val="004B4D5B"/>
    <w:rsid w:val="004C55B8"/>
    <w:rsid w:val="004D15E1"/>
    <w:rsid w:val="004D4610"/>
    <w:rsid w:val="00507899"/>
    <w:rsid w:val="005106F8"/>
    <w:rsid w:val="00521F48"/>
    <w:rsid w:val="00531162"/>
    <w:rsid w:val="00537A61"/>
    <w:rsid w:val="00544AC9"/>
    <w:rsid w:val="0055266E"/>
    <w:rsid w:val="00554DA2"/>
    <w:rsid w:val="0055762B"/>
    <w:rsid w:val="0056207B"/>
    <w:rsid w:val="00562F84"/>
    <w:rsid w:val="00580744"/>
    <w:rsid w:val="005C2802"/>
    <w:rsid w:val="005C530A"/>
    <w:rsid w:val="005C7A84"/>
    <w:rsid w:val="005F22A3"/>
    <w:rsid w:val="00610016"/>
    <w:rsid w:val="0062081E"/>
    <w:rsid w:val="00625F79"/>
    <w:rsid w:val="00643888"/>
    <w:rsid w:val="006447E2"/>
    <w:rsid w:val="006452FB"/>
    <w:rsid w:val="0065313C"/>
    <w:rsid w:val="00664DC0"/>
    <w:rsid w:val="00667DF3"/>
    <w:rsid w:val="00675CDE"/>
    <w:rsid w:val="006802F3"/>
    <w:rsid w:val="00684D9B"/>
    <w:rsid w:val="006A2801"/>
    <w:rsid w:val="006A3401"/>
    <w:rsid w:val="006C353F"/>
    <w:rsid w:val="006C7CD3"/>
    <w:rsid w:val="006F70D8"/>
    <w:rsid w:val="00723BC4"/>
    <w:rsid w:val="00731090"/>
    <w:rsid w:val="00740692"/>
    <w:rsid w:val="007442A0"/>
    <w:rsid w:val="00755658"/>
    <w:rsid w:val="00764963"/>
    <w:rsid w:val="00773049"/>
    <w:rsid w:val="00791D34"/>
    <w:rsid w:val="00794A8C"/>
    <w:rsid w:val="007A3A16"/>
    <w:rsid w:val="007B6393"/>
    <w:rsid w:val="007C0F2D"/>
    <w:rsid w:val="007D57AF"/>
    <w:rsid w:val="007E13BD"/>
    <w:rsid w:val="007E1D36"/>
    <w:rsid w:val="007F2A53"/>
    <w:rsid w:val="00854CC0"/>
    <w:rsid w:val="00854ED3"/>
    <w:rsid w:val="00862785"/>
    <w:rsid w:val="00872901"/>
    <w:rsid w:val="008825DA"/>
    <w:rsid w:val="008937A6"/>
    <w:rsid w:val="00894E75"/>
    <w:rsid w:val="008F3680"/>
    <w:rsid w:val="009261F0"/>
    <w:rsid w:val="009302D1"/>
    <w:rsid w:val="00936181"/>
    <w:rsid w:val="00936197"/>
    <w:rsid w:val="00940646"/>
    <w:rsid w:val="009415FC"/>
    <w:rsid w:val="009546D9"/>
    <w:rsid w:val="009570EF"/>
    <w:rsid w:val="00962AED"/>
    <w:rsid w:val="00962B1E"/>
    <w:rsid w:val="009710AF"/>
    <w:rsid w:val="0097589B"/>
    <w:rsid w:val="009858DD"/>
    <w:rsid w:val="0099728C"/>
    <w:rsid w:val="009A317C"/>
    <w:rsid w:val="009A770F"/>
    <w:rsid w:val="009B4011"/>
    <w:rsid w:val="009B5C25"/>
    <w:rsid w:val="009C25EB"/>
    <w:rsid w:val="009C273F"/>
    <w:rsid w:val="009E4DB9"/>
    <w:rsid w:val="009E62CD"/>
    <w:rsid w:val="00A06259"/>
    <w:rsid w:val="00A13D05"/>
    <w:rsid w:val="00A3078D"/>
    <w:rsid w:val="00A56F1E"/>
    <w:rsid w:val="00A614CD"/>
    <w:rsid w:val="00A8591D"/>
    <w:rsid w:val="00A9133B"/>
    <w:rsid w:val="00AC755D"/>
    <w:rsid w:val="00AF3E34"/>
    <w:rsid w:val="00AF70BC"/>
    <w:rsid w:val="00B000A7"/>
    <w:rsid w:val="00B01F29"/>
    <w:rsid w:val="00B3337A"/>
    <w:rsid w:val="00B43355"/>
    <w:rsid w:val="00B47D95"/>
    <w:rsid w:val="00B47F90"/>
    <w:rsid w:val="00B60CC0"/>
    <w:rsid w:val="00B60F1F"/>
    <w:rsid w:val="00B730A8"/>
    <w:rsid w:val="00B85F50"/>
    <w:rsid w:val="00B93A95"/>
    <w:rsid w:val="00BA1F2C"/>
    <w:rsid w:val="00BB3E0F"/>
    <w:rsid w:val="00BB3F7A"/>
    <w:rsid w:val="00BC4CA6"/>
    <w:rsid w:val="00BD5A39"/>
    <w:rsid w:val="00BF23A8"/>
    <w:rsid w:val="00BF771D"/>
    <w:rsid w:val="00C0607C"/>
    <w:rsid w:val="00C14479"/>
    <w:rsid w:val="00C34570"/>
    <w:rsid w:val="00C83661"/>
    <w:rsid w:val="00C909A2"/>
    <w:rsid w:val="00CB395B"/>
    <w:rsid w:val="00CC15A7"/>
    <w:rsid w:val="00CC4F85"/>
    <w:rsid w:val="00CD3B75"/>
    <w:rsid w:val="00CD410E"/>
    <w:rsid w:val="00CD444E"/>
    <w:rsid w:val="00D10115"/>
    <w:rsid w:val="00D21D58"/>
    <w:rsid w:val="00D226A5"/>
    <w:rsid w:val="00D2377C"/>
    <w:rsid w:val="00D40159"/>
    <w:rsid w:val="00D858CC"/>
    <w:rsid w:val="00DA4850"/>
    <w:rsid w:val="00DC044C"/>
    <w:rsid w:val="00DC165B"/>
    <w:rsid w:val="00DF02E6"/>
    <w:rsid w:val="00E02B47"/>
    <w:rsid w:val="00E17A14"/>
    <w:rsid w:val="00E2740B"/>
    <w:rsid w:val="00E40564"/>
    <w:rsid w:val="00E45B7C"/>
    <w:rsid w:val="00E46A0A"/>
    <w:rsid w:val="00E54E2D"/>
    <w:rsid w:val="00E670E8"/>
    <w:rsid w:val="00E863F1"/>
    <w:rsid w:val="00E90390"/>
    <w:rsid w:val="00EB6C11"/>
    <w:rsid w:val="00ED535E"/>
    <w:rsid w:val="00ED6923"/>
    <w:rsid w:val="00F10101"/>
    <w:rsid w:val="00F91500"/>
    <w:rsid w:val="00FC7767"/>
    <w:rsid w:val="00FD14FB"/>
    <w:rsid w:val="00FD2836"/>
    <w:rsid w:val="00FF7DDB"/>
    <w:rsid w:val="012614EF"/>
    <w:rsid w:val="022A5EF4"/>
    <w:rsid w:val="03624ABC"/>
    <w:rsid w:val="04702CF7"/>
    <w:rsid w:val="05171224"/>
    <w:rsid w:val="061050F6"/>
    <w:rsid w:val="062F6A41"/>
    <w:rsid w:val="06367DD0"/>
    <w:rsid w:val="0676641E"/>
    <w:rsid w:val="069D0573"/>
    <w:rsid w:val="07610150"/>
    <w:rsid w:val="07D4737B"/>
    <w:rsid w:val="08132808"/>
    <w:rsid w:val="085225B5"/>
    <w:rsid w:val="08ED3546"/>
    <w:rsid w:val="09F558AC"/>
    <w:rsid w:val="0A9D40CC"/>
    <w:rsid w:val="0BAA1613"/>
    <w:rsid w:val="0C105A94"/>
    <w:rsid w:val="0C7C5E46"/>
    <w:rsid w:val="0D2074F4"/>
    <w:rsid w:val="0D853BF9"/>
    <w:rsid w:val="0D914DE5"/>
    <w:rsid w:val="0E0D58BA"/>
    <w:rsid w:val="0EBB5316"/>
    <w:rsid w:val="0EBD3BDD"/>
    <w:rsid w:val="0EF3685E"/>
    <w:rsid w:val="0EFE3F6B"/>
    <w:rsid w:val="0F336ABC"/>
    <w:rsid w:val="0FAB3098"/>
    <w:rsid w:val="101E0686"/>
    <w:rsid w:val="12140145"/>
    <w:rsid w:val="12E34E3B"/>
    <w:rsid w:val="13B62550"/>
    <w:rsid w:val="16BF38A2"/>
    <w:rsid w:val="171F6C5C"/>
    <w:rsid w:val="176843B6"/>
    <w:rsid w:val="18B0756E"/>
    <w:rsid w:val="191F19A5"/>
    <w:rsid w:val="19DE17C3"/>
    <w:rsid w:val="19E528A1"/>
    <w:rsid w:val="1B337564"/>
    <w:rsid w:val="1B925650"/>
    <w:rsid w:val="1C0E01AF"/>
    <w:rsid w:val="1D37200B"/>
    <w:rsid w:val="1FA13FB0"/>
    <w:rsid w:val="1FB524D1"/>
    <w:rsid w:val="200547B4"/>
    <w:rsid w:val="20533996"/>
    <w:rsid w:val="20587B85"/>
    <w:rsid w:val="22A939AB"/>
    <w:rsid w:val="26870670"/>
    <w:rsid w:val="275D2FB6"/>
    <w:rsid w:val="27C26BE0"/>
    <w:rsid w:val="28153891"/>
    <w:rsid w:val="2A9A00C1"/>
    <w:rsid w:val="2B1C6CE5"/>
    <w:rsid w:val="2B475A91"/>
    <w:rsid w:val="2C1A3224"/>
    <w:rsid w:val="2C3E7EAD"/>
    <w:rsid w:val="2EBD7D6F"/>
    <w:rsid w:val="2F3749A9"/>
    <w:rsid w:val="2F407445"/>
    <w:rsid w:val="2F947791"/>
    <w:rsid w:val="2FF06E00"/>
    <w:rsid w:val="31D874D8"/>
    <w:rsid w:val="33C61EE3"/>
    <w:rsid w:val="34CC3626"/>
    <w:rsid w:val="35514B80"/>
    <w:rsid w:val="355E1AFB"/>
    <w:rsid w:val="362A31A9"/>
    <w:rsid w:val="36CE213D"/>
    <w:rsid w:val="370432E5"/>
    <w:rsid w:val="37DD68CF"/>
    <w:rsid w:val="3810372D"/>
    <w:rsid w:val="391F631E"/>
    <w:rsid w:val="393F076E"/>
    <w:rsid w:val="39D961DF"/>
    <w:rsid w:val="3A034B38"/>
    <w:rsid w:val="3A5E5686"/>
    <w:rsid w:val="3AD273C0"/>
    <w:rsid w:val="3B0B4886"/>
    <w:rsid w:val="3BB43031"/>
    <w:rsid w:val="3BC907C3"/>
    <w:rsid w:val="3C326368"/>
    <w:rsid w:val="3C756104"/>
    <w:rsid w:val="3D1141CF"/>
    <w:rsid w:val="3D5C5EEF"/>
    <w:rsid w:val="3D9A641E"/>
    <w:rsid w:val="3DEA33A6"/>
    <w:rsid w:val="3DEB4A20"/>
    <w:rsid w:val="3E1321C9"/>
    <w:rsid w:val="3E5F71BC"/>
    <w:rsid w:val="3EDB7D99"/>
    <w:rsid w:val="3F1A2814"/>
    <w:rsid w:val="3FCD46EF"/>
    <w:rsid w:val="40316936"/>
    <w:rsid w:val="4109749E"/>
    <w:rsid w:val="411B1F4A"/>
    <w:rsid w:val="41BE5205"/>
    <w:rsid w:val="42010CB6"/>
    <w:rsid w:val="42A47894"/>
    <w:rsid w:val="43260821"/>
    <w:rsid w:val="435E3EE6"/>
    <w:rsid w:val="437E2327"/>
    <w:rsid w:val="44054362"/>
    <w:rsid w:val="44C91833"/>
    <w:rsid w:val="45A94587"/>
    <w:rsid w:val="45F1443D"/>
    <w:rsid w:val="45FB04BF"/>
    <w:rsid w:val="46E6047B"/>
    <w:rsid w:val="473C332E"/>
    <w:rsid w:val="473E143E"/>
    <w:rsid w:val="499F55DB"/>
    <w:rsid w:val="4A274331"/>
    <w:rsid w:val="4ADF4208"/>
    <w:rsid w:val="4B6F6E49"/>
    <w:rsid w:val="4BC9209C"/>
    <w:rsid w:val="4D2C0BB1"/>
    <w:rsid w:val="4D7C54DD"/>
    <w:rsid w:val="4E326A7F"/>
    <w:rsid w:val="4E993CB9"/>
    <w:rsid w:val="4E99569F"/>
    <w:rsid w:val="4EF851EF"/>
    <w:rsid w:val="4F4A531F"/>
    <w:rsid w:val="501170B5"/>
    <w:rsid w:val="52E977E7"/>
    <w:rsid w:val="5387477C"/>
    <w:rsid w:val="539710A2"/>
    <w:rsid w:val="53B536AF"/>
    <w:rsid w:val="54C87412"/>
    <w:rsid w:val="56486A5C"/>
    <w:rsid w:val="575E2DBF"/>
    <w:rsid w:val="57C1754D"/>
    <w:rsid w:val="57FF2A74"/>
    <w:rsid w:val="58F85DEC"/>
    <w:rsid w:val="59262959"/>
    <w:rsid w:val="59CF2FF0"/>
    <w:rsid w:val="59D970CD"/>
    <w:rsid w:val="59F542A8"/>
    <w:rsid w:val="5A344A80"/>
    <w:rsid w:val="5A9515D1"/>
    <w:rsid w:val="5B8C0E98"/>
    <w:rsid w:val="5BBB1A7E"/>
    <w:rsid w:val="5BFDB513"/>
    <w:rsid w:val="5D096819"/>
    <w:rsid w:val="5D7C523D"/>
    <w:rsid w:val="5E7330C4"/>
    <w:rsid w:val="5E9622FD"/>
    <w:rsid w:val="5FA810E2"/>
    <w:rsid w:val="5FF612D7"/>
    <w:rsid w:val="604C20F5"/>
    <w:rsid w:val="60771CEC"/>
    <w:rsid w:val="61447E20"/>
    <w:rsid w:val="61632C2C"/>
    <w:rsid w:val="618D3FF7"/>
    <w:rsid w:val="61ED3C40"/>
    <w:rsid w:val="61F40A0D"/>
    <w:rsid w:val="61FE26C5"/>
    <w:rsid w:val="62C7450D"/>
    <w:rsid w:val="62EA49F7"/>
    <w:rsid w:val="62EB1054"/>
    <w:rsid w:val="639635F7"/>
    <w:rsid w:val="644E61E3"/>
    <w:rsid w:val="65077AE2"/>
    <w:rsid w:val="6525705F"/>
    <w:rsid w:val="65BA2DA7"/>
    <w:rsid w:val="65F91B55"/>
    <w:rsid w:val="666C7943"/>
    <w:rsid w:val="67B15328"/>
    <w:rsid w:val="67F72090"/>
    <w:rsid w:val="67FA274C"/>
    <w:rsid w:val="68FA635E"/>
    <w:rsid w:val="69704B20"/>
    <w:rsid w:val="6A154A4F"/>
    <w:rsid w:val="6BD2397F"/>
    <w:rsid w:val="6C526B57"/>
    <w:rsid w:val="6D056FFD"/>
    <w:rsid w:val="6F1515FC"/>
    <w:rsid w:val="70C42D2B"/>
    <w:rsid w:val="70C60851"/>
    <w:rsid w:val="71287CA7"/>
    <w:rsid w:val="7183443D"/>
    <w:rsid w:val="71A65ADA"/>
    <w:rsid w:val="72A2709C"/>
    <w:rsid w:val="733A0D89"/>
    <w:rsid w:val="744523D5"/>
    <w:rsid w:val="751E519F"/>
    <w:rsid w:val="75BE0E25"/>
    <w:rsid w:val="75F94F21"/>
    <w:rsid w:val="76DB3120"/>
    <w:rsid w:val="78F45C2F"/>
    <w:rsid w:val="7927265A"/>
    <w:rsid w:val="79552858"/>
    <w:rsid w:val="7A356A48"/>
    <w:rsid w:val="7B214D90"/>
    <w:rsid w:val="7B9F5D13"/>
    <w:rsid w:val="7BDB246C"/>
    <w:rsid w:val="7C2D38F5"/>
    <w:rsid w:val="7C6B49A3"/>
    <w:rsid w:val="7D902913"/>
    <w:rsid w:val="7DAB6BB7"/>
    <w:rsid w:val="7E653A0B"/>
    <w:rsid w:val="7EE822DB"/>
    <w:rsid w:val="7FB45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93"/>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97"/>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5"/>
    <w:qFormat/>
    <w:uiPriority w:val="0"/>
    <w:pPr>
      <w:adjustRightInd w:val="0"/>
      <w:spacing w:line="360" w:lineRule="atLeast"/>
      <w:jc w:val="left"/>
      <w:textAlignment w:val="baseline"/>
    </w:pPr>
    <w:rPr>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82"/>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line="360" w:lineRule="auto"/>
      <w:ind w:left="420" w:leftChars="200"/>
    </w:pPr>
    <w:rPr>
      <w:sz w:val="24"/>
    </w:rPr>
  </w:style>
  <w:style w:type="paragraph" w:styleId="27">
    <w:name w:val="List Bullet 2"/>
    <w:basedOn w:val="1"/>
    <w:qFormat/>
    <w:uiPriority w:val="0"/>
    <w:pPr>
      <w:numPr>
        <w:ilvl w:val="0"/>
        <w:numId w:val="3"/>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link w:val="89"/>
    <w:qFormat/>
    <w:uiPriority w:val="0"/>
    <w:rPr>
      <w:rFonts w:ascii="宋体" w:hAnsi="Courier New"/>
    </w:rPr>
  </w:style>
  <w:style w:type="paragraph" w:styleId="31">
    <w:name w:val="toc 8"/>
    <w:basedOn w:val="1"/>
    <w:next w:val="1"/>
    <w:qFormat/>
    <w:uiPriority w:val="0"/>
    <w:pPr>
      <w:ind w:left="2940" w:leftChars="1400"/>
    </w:pPr>
  </w:style>
  <w:style w:type="paragraph" w:styleId="32">
    <w:name w:val="Date"/>
    <w:basedOn w:val="1"/>
    <w:next w:val="1"/>
    <w:link w:val="109"/>
    <w:qFormat/>
    <w:uiPriority w:val="99"/>
  </w:style>
  <w:style w:type="paragraph" w:styleId="33">
    <w:name w:val="Body Text Indent 2"/>
    <w:basedOn w:val="1"/>
    <w:link w:val="71"/>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link w:val="85"/>
    <w:qFormat/>
    <w:uiPriority w:val="0"/>
    <w:pPr>
      <w:tabs>
        <w:tab w:val="center" w:pos="4153"/>
        <w:tab w:val="right" w:pos="8306"/>
      </w:tabs>
      <w:snapToGrid w:val="0"/>
      <w:jc w:val="left"/>
    </w:pPr>
    <w:rPr>
      <w:sz w:val="18"/>
    </w:rPr>
  </w:style>
  <w:style w:type="paragraph" w:styleId="36">
    <w:name w:val="header"/>
    <w:basedOn w:val="1"/>
    <w:link w:val="111"/>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69"/>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line="360" w:lineRule="auto"/>
      <w:ind w:left="840" w:leftChars="400"/>
    </w:pPr>
    <w:rPr>
      <w:sz w:val="24"/>
    </w:rPr>
  </w:style>
  <w:style w:type="paragraph" w:styleId="50">
    <w:name w:val="Normal (Web)"/>
    <w:basedOn w:val="1"/>
    <w:qFormat/>
    <w:uiPriority w:val="0"/>
    <w:pPr>
      <w:widowControl/>
      <w:spacing w:before="100" w:beforeAutospacing="1" w:after="100" w:afterAutospacing="1"/>
      <w:jc w:val="left"/>
    </w:pPr>
    <w:rPr>
      <w:rFonts w:ascii="宋体" w:hAnsi="宋体"/>
      <w:kern w:val="0"/>
      <w:sz w:val="24"/>
    </w:rPr>
  </w:style>
  <w:style w:type="paragraph" w:styleId="51">
    <w:name w:val="List Continue 3"/>
    <w:basedOn w:val="1"/>
    <w:qFormat/>
    <w:uiPriority w:val="0"/>
    <w:pPr>
      <w:adjustRightInd w:val="0"/>
      <w:snapToGrid w:val="0"/>
      <w:spacing w:after="12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rPr>
  </w:style>
  <w:style w:type="paragraph" w:styleId="53">
    <w:name w:val="Title"/>
    <w:basedOn w:val="1"/>
    <w:qFormat/>
    <w:uiPriority w:val="0"/>
    <w:pPr>
      <w:widowControl/>
      <w:spacing w:after="240" w:line="360" w:lineRule="auto"/>
      <w:jc w:val="center"/>
    </w:pPr>
    <w:rPr>
      <w:rFonts w:ascii="Arial" w:hAnsi="Arial"/>
      <w:b/>
      <w:smallCaps/>
      <w:kern w:val="28"/>
      <w:sz w:val="36"/>
      <w:lang w:eastAsia="en-US"/>
    </w:rPr>
  </w:style>
  <w:style w:type="paragraph" w:styleId="54">
    <w:name w:val="annotation subject"/>
    <w:basedOn w:val="19"/>
    <w:next w:val="19"/>
    <w:link w:val="74"/>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81"/>
    <w:qFormat/>
    <w:uiPriority w:val="0"/>
    <w:pPr>
      <w:spacing w:after="120" w:line="240" w:lineRule="auto"/>
      <w:ind w:left="420" w:leftChars="200" w:firstLine="420" w:firstLineChars="200"/>
    </w:pPr>
  </w:style>
  <w:style w:type="table" w:styleId="58">
    <w:name w:val="Table Grid"/>
    <w:basedOn w:val="5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basedOn w:val="59"/>
    <w:qFormat/>
    <w:uiPriority w:val="0"/>
  </w:style>
  <w:style w:type="character" w:styleId="62">
    <w:name w:val="FollowedHyperlink"/>
    <w:qFormat/>
    <w:uiPriority w:val="0"/>
    <w:rPr>
      <w:color w:val="333333"/>
      <w:u w:val="none"/>
    </w:rPr>
  </w:style>
  <w:style w:type="character" w:styleId="63">
    <w:name w:val="Emphasis"/>
    <w:qFormat/>
    <w:uiPriority w:val="0"/>
    <w:rPr>
      <w:i/>
    </w:rPr>
  </w:style>
  <w:style w:type="character" w:styleId="64">
    <w:name w:val="Hyperlink"/>
    <w:qFormat/>
    <w:uiPriority w:val="99"/>
    <w:rPr>
      <w:color w:val="333333"/>
      <w:u w:val="none"/>
    </w:rPr>
  </w:style>
  <w:style w:type="character" w:styleId="65">
    <w:name w:val="annotation reference"/>
    <w:qFormat/>
    <w:uiPriority w:val="0"/>
    <w:rPr>
      <w:sz w:val="21"/>
      <w:szCs w:val="21"/>
    </w:rPr>
  </w:style>
  <w:style w:type="character" w:styleId="66">
    <w:name w:val="footnote reference"/>
    <w:qFormat/>
    <w:uiPriority w:val="0"/>
    <w:rPr>
      <w:position w:val="6"/>
      <w:sz w:val="14"/>
      <w:vertAlign w:val="superscript"/>
    </w:rPr>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8">
    <w:name w:val="Char Char6"/>
    <w:qFormat/>
    <w:uiPriority w:val="0"/>
    <w:rPr>
      <w:rFonts w:ascii="仿宋_GB2312" w:eastAsia="仿宋_GB2312"/>
      <w:kern w:val="2"/>
      <w:sz w:val="32"/>
    </w:rPr>
  </w:style>
  <w:style w:type="character" w:customStyle="1" w:styleId="69">
    <w:name w:val="脚注文本 字符"/>
    <w:link w:val="40"/>
    <w:qFormat/>
    <w:uiPriority w:val="0"/>
    <w:rPr>
      <w:kern w:val="2"/>
      <w:sz w:val="18"/>
    </w:rPr>
  </w:style>
  <w:style w:type="character" w:customStyle="1" w:styleId="70">
    <w:name w:val="Char Char2"/>
    <w:qFormat/>
    <w:uiPriority w:val="0"/>
    <w:rPr>
      <w:rFonts w:eastAsia="宋体"/>
      <w:kern w:val="2"/>
      <w:sz w:val="18"/>
      <w:lang w:val="en-US" w:eastAsia="zh-CN"/>
    </w:rPr>
  </w:style>
  <w:style w:type="character" w:customStyle="1" w:styleId="71">
    <w:name w:val="正文文本缩进 2 字符"/>
    <w:link w:val="33"/>
    <w:qFormat/>
    <w:uiPriority w:val="0"/>
    <w:rPr>
      <w:kern w:val="2"/>
      <w:sz w:val="28"/>
    </w:rPr>
  </w:style>
  <w:style w:type="character" w:customStyle="1" w:styleId="72">
    <w:name w:val="Char Char"/>
    <w:qFormat/>
    <w:uiPriority w:val="0"/>
    <w:rPr>
      <w:rFonts w:ascii="宋体" w:hAnsi="宋体" w:eastAsia="宋体"/>
      <w:kern w:val="2"/>
      <w:sz w:val="24"/>
      <w:lang w:val="en-US" w:eastAsia="zh-CN" w:bidi="ar-SA"/>
    </w:rPr>
  </w:style>
  <w:style w:type="character" w:customStyle="1" w:styleId="73">
    <w:name w:val="Table Text Char"/>
    <w:qFormat/>
    <w:uiPriority w:val="0"/>
    <w:rPr>
      <w:rFonts w:ascii="Arial" w:hAnsi="Arial"/>
      <w:kern w:val="2"/>
      <w:sz w:val="18"/>
      <w:lang w:val="en-US" w:eastAsia="zh-CN" w:bidi="ar-SA"/>
    </w:rPr>
  </w:style>
  <w:style w:type="character" w:customStyle="1" w:styleId="74">
    <w:name w:val="批注主题 字符"/>
    <w:basedOn w:val="75"/>
    <w:link w:val="54"/>
    <w:qFormat/>
    <w:uiPriority w:val="0"/>
    <w:rPr>
      <w:sz w:val="24"/>
    </w:rPr>
  </w:style>
  <w:style w:type="character" w:customStyle="1" w:styleId="75">
    <w:name w:val="批注文字 字符1"/>
    <w:link w:val="19"/>
    <w:qFormat/>
    <w:uiPriority w:val="0"/>
    <w:rPr>
      <w:sz w:val="24"/>
    </w:rPr>
  </w:style>
  <w:style w:type="character" w:customStyle="1" w:styleId="76">
    <w:name w:val="标书正文:  0.74 厘米 Char1"/>
    <w:qFormat/>
    <w:uiPriority w:val="0"/>
    <w:rPr>
      <w:rFonts w:eastAsia="宋体"/>
      <w:kern w:val="2"/>
      <w:sz w:val="24"/>
      <w:lang w:val="en-US" w:eastAsia="zh-CN"/>
    </w:rPr>
  </w:style>
  <w:style w:type="character" w:customStyle="1" w:styleId="77">
    <w:name w:val="Char Char11"/>
    <w:qFormat/>
    <w:uiPriority w:val="0"/>
    <w:rPr>
      <w:rFonts w:ascii="宋体"/>
      <w:kern w:val="2"/>
      <w:sz w:val="28"/>
    </w:rPr>
  </w:style>
  <w:style w:type="character" w:customStyle="1" w:styleId="78">
    <w:name w:val="Char Char7"/>
    <w:qFormat/>
    <w:uiPriority w:val="0"/>
    <w:rPr>
      <w:rFonts w:ascii="宋体" w:hAnsi="宋体" w:eastAsia="宋体"/>
      <w:kern w:val="2"/>
      <w:sz w:val="28"/>
    </w:rPr>
  </w:style>
  <w:style w:type="character" w:customStyle="1" w:styleId="79">
    <w:name w:val="文字 Char"/>
    <w:qFormat/>
    <w:uiPriority w:val="0"/>
    <w:rPr>
      <w:rFonts w:ascii="宋体"/>
      <w:kern w:val="2"/>
      <w:sz w:val="28"/>
    </w:rPr>
  </w:style>
  <w:style w:type="character" w:customStyle="1" w:styleId="80">
    <w:name w:val="Char Char5"/>
    <w:qFormat/>
    <w:uiPriority w:val="0"/>
    <w:rPr>
      <w:rFonts w:ascii="Arial" w:hAnsi="Arial" w:eastAsia="宋体"/>
      <w:b/>
      <w:smallCaps/>
      <w:kern w:val="28"/>
      <w:sz w:val="36"/>
      <w:lang w:val="en-US" w:eastAsia="en-US"/>
    </w:rPr>
  </w:style>
  <w:style w:type="character" w:customStyle="1" w:styleId="81">
    <w:name w:val="正文文本首行缩进 2 字符"/>
    <w:basedOn w:val="82"/>
    <w:link w:val="56"/>
    <w:qFormat/>
    <w:uiPriority w:val="0"/>
    <w:rPr>
      <w:kern w:val="2"/>
      <w:sz w:val="44"/>
    </w:rPr>
  </w:style>
  <w:style w:type="character" w:customStyle="1" w:styleId="82">
    <w:name w:val="正文文本缩进 字符"/>
    <w:link w:val="23"/>
    <w:qFormat/>
    <w:uiPriority w:val="0"/>
    <w:rPr>
      <w:kern w:val="2"/>
      <w:sz w:val="44"/>
    </w:rPr>
  </w:style>
  <w:style w:type="character" w:customStyle="1" w:styleId="83">
    <w:name w:val="font61"/>
    <w:qFormat/>
    <w:uiPriority w:val="0"/>
    <w:rPr>
      <w:rFonts w:hint="eastAsia" w:ascii="微软雅黑" w:hAnsi="微软雅黑" w:eastAsia="微软雅黑" w:cs="微软雅黑"/>
      <w:color w:val="000000"/>
      <w:sz w:val="24"/>
      <w:szCs w:val="24"/>
      <w:u w:val="none"/>
    </w:rPr>
  </w:style>
  <w:style w:type="character" w:customStyle="1" w:styleId="84">
    <w:name w:val="title_emph1"/>
    <w:qFormat/>
    <w:uiPriority w:val="0"/>
    <w:rPr>
      <w:rFonts w:hint="default" w:ascii="Arial" w:hAnsi="Arial"/>
      <w:b/>
      <w:sz w:val="20"/>
    </w:rPr>
  </w:style>
  <w:style w:type="character" w:customStyle="1" w:styleId="85">
    <w:name w:val="页脚 字符"/>
    <w:link w:val="35"/>
    <w:qFormat/>
    <w:uiPriority w:val="99"/>
    <w:rPr>
      <w:kern w:val="2"/>
      <w:sz w:val="18"/>
    </w:rPr>
  </w:style>
  <w:style w:type="character" w:customStyle="1" w:styleId="86">
    <w:name w:val="Comment Text Char"/>
    <w:semiHidden/>
    <w:qFormat/>
    <w:locked/>
    <w:uiPriority w:val="0"/>
    <w:rPr>
      <w:rFonts w:ascii="Times New Roman" w:hAnsi="Times New Roman" w:cs="Times New Roman"/>
      <w:sz w:val="20"/>
      <w:szCs w:val="20"/>
    </w:rPr>
  </w:style>
  <w:style w:type="character" w:customStyle="1" w:styleId="87">
    <w:name w:val="v151"/>
    <w:qFormat/>
    <w:uiPriority w:val="0"/>
    <w:rPr>
      <w:sz w:val="18"/>
    </w:rPr>
  </w:style>
  <w:style w:type="character" w:customStyle="1" w:styleId="88">
    <w:name w:val="font1"/>
    <w:qFormat/>
    <w:uiPriority w:val="0"/>
    <w:rPr>
      <w:color w:val="000000"/>
      <w:sz w:val="18"/>
    </w:rPr>
  </w:style>
  <w:style w:type="character" w:customStyle="1" w:styleId="89">
    <w:name w:val="纯文本 字符"/>
    <w:link w:val="30"/>
    <w:qFormat/>
    <w:locked/>
    <w:uiPriority w:val="99"/>
    <w:rPr>
      <w:rFonts w:ascii="宋体" w:hAnsi="Courier New"/>
      <w:kern w:val="2"/>
      <w:sz w:val="21"/>
    </w:rPr>
  </w:style>
  <w:style w:type="character" w:customStyle="1" w:styleId="90">
    <w:name w:val="Char Char Char Char Char Char Char Char Char"/>
    <w:qFormat/>
    <w:uiPriority w:val="0"/>
    <w:rPr>
      <w:rFonts w:ascii="宋体" w:hAnsi="宋体" w:eastAsia="宋体"/>
      <w:kern w:val="2"/>
      <w:sz w:val="24"/>
      <w:lang w:val="en-US" w:eastAsia="zh-CN" w:bidi="ar-SA"/>
    </w:rPr>
  </w:style>
  <w:style w:type="character" w:customStyle="1" w:styleId="91">
    <w:name w:val="Table Text Char Char Char Char"/>
    <w:link w:val="92"/>
    <w:qFormat/>
    <w:uiPriority w:val="0"/>
    <w:rPr>
      <w:rFonts w:ascii="Arial" w:hAnsi="Arial"/>
      <w:kern w:val="2"/>
      <w:sz w:val="18"/>
      <w:lang w:val="en-US" w:eastAsia="zh-CN" w:bidi="ar-SA"/>
    </w:rPr>
  </w:style>
  <w:style w:type="paragraph" w:customStyle="1" w:styleId="92">
    <w:name w:val="Table Text"/>
    <w:link w:val="91"/>
    <w:qFormat/>
    <w:uiPriority w:val="0"/>
    <w:pPr>
      <w:snapToGrid w:val="0"/>
      <w:spacing w:before="80" w:after="80"/>
    </w:pPr>
    <w:rPr>
      <w:rFonts w:ascii="Arial" w:hAnsi="Arial" w:eastAsia="宋体" w:cs="Times New Roman"/>
      <w:kern w:val="2"/>
      <w:sz w:val="18"/>
      <w:lang w:val="en-US" w:eastAsia="zh-CN" w:bidi="ar-SA"/>
    </w:rPr>
  </w:style>
  <w:style w:type="character" w:customStyle="1" w:styleId="93">
    <w:name w:val="标题 2 字符1"/>
    <w:link w:val="3"/>
    <w:qFormat/>
    <w:uiPriority w:val="0"/>
    <w:rPr>
      <w:rFonts w:ascii="Arial" w:hAnsi="Arial" w:eastAsia="黑体"/>
      <w:b/>
      <w:kern w:val="2"/>
      <w:sz w:val="32"/>
    </w:rPr>
  </w:style>
  <w:style w:type="character" w:customStyle="1" w:styleId="94">
    <w:name w:val="H2 Char"/>
    <w:qFormat/>
    <w:uiPriority w:val="0"/>
    <w:rPr>
      <w:rFonts w:ascii="Arial" w:hAnsi="Arial" w:eastAsia="宋体"/>
      <w:kern w:val="2"/>
      <w:sz w:val="28"/>
      <w:lang w:val="en-US" w:eastAsia="zh-CN"/>
    </w:rPr>
  </w:style>
  <w:style w:type="character" w:customStyle="1" w:styleId="95">
    <w:name w:val="top-det1"/>
    <w:qFormat/>
    <w:uiPriority w:val="0"/>
    <w:rPr>
      <w:b/>
      <w:color w:val="000000"/>
    </w:rPr>
  </w:style>
  <w:style w:type="character" w:customStyle="1" w:styleId="96">
    <w:name w:val="批注文字 字符"/>
    <w:qFormat/>
    <w:uiPriority w:val="0"/>
    <w:rPr>
      <w:sz w:val="24"/>
    </w:rPr>
  </w:style>
  <w:style w:type="character" w:customStyle="1" w:styleId="97">
    <w:name w:val="标题 3 字符1"/>
    <w:link w:val="4"/>
    <w:qFormat/>
    <w:uiPriority w:val="0"/>
    <w:rPr>
      <w:rFonts w:eastAsia="宋体"/>
      <w:b/>
      <w:kern w:val="2"/>
      <w:sz w:val="32"/>
      <w:lang w:val="en-US" w:eastAsia="zh-CN"/>
    </w:rPr>
  </w:style>
  <w:style w:type="character" w:customStyle="1" w:styleId="98">
    <w:name w:val="crowed11"/>
    <w:qFormat/>
    <w:uiPriority w:val="0"/>
    <w:rPr>
      <w:rFonts w:hint="default"/>
      <w:sz w:val="24"/>
    </w:rPr>
  </w:style>
  <w:style w:type="character" w:customStyle="1" w:styleId="99">
    <w:name w:val="Table Text Char1 Char"/>
    <w:qFormat/>
    <w:uiPriority w:val="0"/>
    <w:rPr>
      <w:rFonts w:ascii="Arial" w:hAnsi="Arial"/>
      <w:kern w:val="2"/>
      <w:sz w:val="18"/>
      <w:lang w:val="en-US" w:eastAsia="zh-CN" w:bidi="ar-SA"/>
    </w:rPr>
  </w:style>
  <w:style w:type="character" w:customStyle="1" w:styleId="100">
    <w:name w:val="标题 2 字符"/>
    <w:qFormat/>
    <w:uiPriority w:val="99"/>
    <w:rPr>
      <w:rFonts w:ascii="Arial" w:hAnsi="Arial" w:eastAsia="黑体"/>
      <w:b/>
      <w:kern w:val="2"/>
      <w:sz w:val="32"/>
    </w:rPr>
  </w:style>
  <w:style w:type="character" w:customStyle="1" w:styleId="101">
    <w:name w:val="Table Heading Char Char"/>
    <w:qFormat/>
    <w:uiPriority w:val="0"/>
    <w:rPr>
      <w:rFonts w:ascii="Arial" w:hAnsi="Arial" w:eastAsia="黑体"/>
      <w:kern w:val="2"/>
      <w:sz w:val="18"/>
      <w:lang w:val="en-US" w:eastAsia="zh-CN"/>
    </w:rPr>
  </w:style>
  <w:style w:type="character" w:customStyle="1" w:styleId="102">
    <w:name w:val="文字 Char Char"/>
    <w:link w:val="103"/>
    <w:qFormat/>
    <w:uiPriority w:val="0"/>
    <w:rPr>
      <w:rFonts w:ascii="宋体"/>
      <w:kern w:val="2"/>
      <w:sz w:val="28"/>
    </w:rPr>
  </w:style>
  <w:style w:type="paragraph" w:customStyle="1" w:styleId="103">
    <w:name w:val="文字"/>
    <w:basedOn w:val="1"/>
    <w:link w:val="102"/>
    <w:qFormat/>
    <w:uiPriority w:val="0"/>
    <w:pPr>
      <w:tabs>
        <w:tab w:val="left" w:pos="8520"/>
      </w:tabs>
      <w:spacing w:line="312" w:lineRule="auto"/>
      <w:ind w:right="-210" w:firstLine="556"/>
    </w:pPr>
    <w:rPr>
      <w:rFonts w:ascii="宋体"/>
    </w:rPr>
  </w:style>
  <w:style w:type="character" w:customStyle="1" w:styleId="104">
    <w:name w:val="样式 宋体"/>
    <w:qFormat/>
    <w:uiPriority w:val="0"/>
    <w:rPr>
      <w:rFonts w:ascii="宋体" w:hAnsi="宋体" w:eastAsia="宋体"/>
      <w:sz w:val="28"/>
    </w:rPr>
  </w:style>
  <w:style w:type="character" w:customStyle="1" w:styleId="105">
    <w:name w:val="正文 + 三号 Char"/>
    <w:qFormat/>
    <w:uiPriority w:val="0"/>
    <w:rPr>
      <w:rFonts w:eastAsia="宋体"/>
      <w:kern w:val="2"/>
      <w:sz w:val="21"/>
      <w:lang w:val="en-US" w:eastAsia="zh-CN"/>
    </w:rPr>
  </w:style>
  <w:style w:type="character" w:customStyle="1" w:styleId="106">
    <w:name w:val="小 Char"/>
    <w:qFormat/>
    <w:uiPriority w:val="0"/>
    <w:rPr>
      <w:rFonts w:ascii="宋体" w:hAnsi="Courier New" w:eastAsia="宋体"/>
      <w:kern w:val="2"/>
      <w:sz w:val="21"/>
      <w:lang w:val="en-US" w:eastAsia="zh-CN" w:bidi="ar-SA"/>
    </w:rPr>
  </w:style>
  <w:style w:type="character" w:customStyle="1" w:styleId="107">
    <w:name w:val="标题 3 字符"/>
    <w:qFormat/>
    <w:uiPriority w:val="0"/>
    <w:rPr>
      <w:rFonts w:eastAsia="宋体"/>
      <w:b/>
      <w:kern w:val="2"/>
      <w:sz w:val="32"/>
      <w:lang w:val="en-US" w:eastAsia="zh-CN"/>
    </w:rPr>
  </w:style>
  <w:style w:type="character" w:customStyle="1" w:styleId="108">
    <w:name w:val="content-white1"/>
    <w:qFormat/>
    <w:uiPriority w:val="0"/>
    <w:rPr>
      <w:color w:val="auto"/>
      <w:sz w:val="18"/>
      <w:u w:val="none"/>
    </w:rPr>
  </w:style>
  <w:style w:type="character" w:customStyle="1" w:styleId="109">
    <w:name w:val="日期 字符"/>
    <w:link w:val="32"/>
    <w:qFormat/>
    <w:uiPriority w:val="99"/>
    <w:rPr>
      <w:kern w:val="2"/>
      <w:sz w:val="28"/>
    </w:rPr>
  </w:style>
  <w:style w:type="character" w:customStyle="1" w:styleId="110">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1">
    <w:name w:val="页眉 字符"/>
    <w:link w:val="36"/>
    <w:qFormat/>
    <w:uiPriority w:val="99"/>
    <w:rPr>
      <w:kern w:val="2"/>
      <w:sz w:val="18"/>
    </w:rPr>
  </w:style>
  <w:style w:type="character" w:customStyle="1" w:styleId="112">
    <w:name w:val="Char Char4"/>
    <w:qFormat/>
    <w:uiPriority w:val="0"/>
    <w:rPr>
      <w:rFonts w:eastAsia="宋体"/>
      <w:b/>
      <w:kern w:val="2"/>
      <w:sz w:val="21"/>
      <w:lang w:val="en-US" w:eastAsia="zh-CN"/>
    </w:rPr>
  </w:style>
  <w:style w:type="character" w:customStyle="1" w:styleId="113">
    <w:name w:val="未命名11"/>
    <w:qFormat/>
    <w:uiPriority w:val="0"/>
    <w:rPr>
      <w:color w:val="77FFFF"/>
      <w:sz w:val="24"/>
    </w:rPr>
  </w:style>
  <w:style w:type="character" w:customStyle="1" w:styleId="114">
    <w:name w:val="font21"/>
    <w:qFormat/>
    <w:uiPriority w:val="0"/>
    <w:rPr>
      <w:rFonts w:hint="default" w:ascii="Times New Roman" w:hAnsi="Times New Roman" w:cs="Times New Roman"/>
      <w:color w:val="000000"/>
      <w:sz w:val="24"/>
      <w:szCs w:val="24"/>
      <w:u w:val="none"/>
    </w:rPr>
  </w:style>
  <w:style w:type="character" w:customStyle="1" w:styleId="115">
    <w:name w:val="Char Char3"/>
    <w:qFormat/>
    <w:uiPriority w:val="0"/>
    <w:rPr>
      <w:rFonts w:eastAsia="宋体"/>
      <w:kern w:val="2"/>
      <w:sz w:val="18"/>
      <w:lang w:val="en-US" w:eastAsia="zh-CN"/>
    </w:rPr>
  </w:style>
  <w:style w:type="character" w:customStyle="1" w:styleId="116">
    <w:name w:val="Table Text Char1 Char Char"/>
    <w:qFormat/>
    <w:uiPriority w:val="0"/>
    <w:rPr>
      <w:rFonts w:ascii="Arial" w:hAnsi="Arial"/>
      <w:kern w:val="2"/>
      <w:sz w:val="18"/>
      <w:lang w:val="en-US" w:eastAsia="zh-CN" w:bidi="ar-SA"/>
    </w:rPr>
  </w:style>
  <w:style w:type="paragraph" w:customStyle="1" w:styleId="117">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8">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19">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0">
    <w:name w:val="内容标题"/>
    <w:basedOn w:val="17"/>
    <w:qFormat/>
    <w:uiPriority w:val="0"/>
    <w:rPr>
      <w:rFonts w:ascii="Tahoma" w:hAnsi="Tahoma"/>
      <w:sz w:val="24"/>
    </w:rPr>
  </w:style>
  <w:style w:type="paragraph" w:customStyle="1" w:styleId="121">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2">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3">
    <w:name w:val="style1"/>
    <w:basedOn w:val="1"/>
    <w:qFormat/>
    <w:uiPriority w:val="0"/>
    <w:pPr>
      <w:widowControl/>
      <w:spacing w:before="100" w:beforeAutospacing="1" w:after="100" w:afterAutospacing="1"/>
      <w:jc w:val="left"/>
    </w:pPr>
    <w:rPr>
      <w:rFonts w:ascii="宋体" w:hAnsi="宋体"/>
      <w:kern w:val="0"/>
    </w:rPr>
  </w:style>
  <w:style w:type="paragraph" w:customStyle="1" w:styleId="124">
    <w:name w:val="样式 宋体 五号 行距: 单倍行距"/>
    <w:basedOn w:val="1"/>
    <w:qFormat/>
    <w:uiPriority w:val="0"/>
    <w:pPr>
      <w:adjustRightInd w:val="0"/>
      <w:jc w:val="left"/>
    </w:pPr>
    <w:rPr>
      <w:rFonts w:ascii="宋体" w:hAnsi="宋体"/>
      <w:kern w:val="0"/>
    </w:rPr>
  </w:style>
  <w:style w:type="paragraph" w:customStyle="1" w:styleId="125">
    <w:name w:val="正文表格"/>
    <w:basedOn w:val="1"/>
    <w:qFormat/>
    <w:uiPriority w:val="0"/>
    <w:pPr>
      <w:adjustRightInd w:val="0"/>
      <w:spacing w:before="40" w:after="40"/>
    </w:pPr>
    <w:rPr>
      <w:sz w:val="24"/>
    </w:rPr>
  </w:style>
  <w:style w:type="paragraph" w:customStyle="1" w:styleId="126">
    <w:name w:val="Char1 Char Char Char"/>
    <w:basedOn w:val="1"/>
    <w:qFormat/>
    <w:uiPriority w:val="0"/>
    <w:rPr>
      <w:rFonts w:ascii="Tahoma" w:hAnsi="Tahoma"/>
      <w:sz w:val="24"/>
    </w:rPr>
  </w:style>
  <w:style w:type="paragraph" w:customStyle="1" w:styleId="127">
    <w:name w:val="af"/>
    <w:basedOn w:val="1"/>
    <w:qFormat/>
    <w:uiPriority w:val="0"/>
    <w:pPr>
      <w:widowControl/>
      <w:spacing w:line="300" w:lineRule="atLeast"/>
      <w:jc w:val="left"/>
    </w:pPr>
    <w:rPr>
      <w:rFonts w:ascii="宋体" w:hAnsi="宋体"/>
      <w:kern w:val="0"/>
      <w:sz w:val="18"/>
    </w:rPr>
  </w:style>
  <w:style w:type="paragraph" w:customStyle="1" w:styleId="128">
    <w:name w:val="Title - Revision"/>
    <w:basedOn w:val="53"/>
    <w:qFormat/>
    <w:uiPriority w:val="0"/>
    <w:pPr>
      <w:spacing w:before="720"/>
    </w:p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Title - Date"/>
    <w:basedOn w:val="53"/>
    <w:next w:val="1"/>
    <w:qFormat/>
    <w:uiPriority w:val="0"/>
    <w:pPr>
      <w:spacing w:before="240" w:after="720"/>
    </w:pPr>
    <w:rPr>
      <w:sz w:val="28"/>
    </w:rPr>
  </w:style>
  <w:style w:type="paragraph" w:customStyle="1" w:styleId="131">
    <w:name w:val="00"/>
    <w:basedOn w:val="1"/>
    <w:qFormat/>
    <w:uiPriority w:val="0"/>
    <w:pPr>
      <w:autoSpaceDE w:val="0"/>
      <w:autoSpaceDN w:val="0"/>
      <w:adjustRightInd w:val="0"/>
      <w:jc w:val="left"/>
    </w:pPr>
    <w:rPr>
      <w:rFonts w:ascii="黑体" w:eastAsia="黑体"/>
      <w:b/>
      <w:kern w:val="0"/>
      <w:sz w:val="20"/>
    </w:rPr>
  </w:style>
  <w:style w:type="paragraph" w:customStyle="1" w:styleId="132">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3">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4">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5">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36">
    <w:name w:val="正文文本缩进 21"/>
    <w:basedOn w:val="1"/>
    <w:qFormat/>
    <w:uiPriority w:val="0"/>
    <w:pPr>
      <w:adjustRightInd w:val="0"/>
      <w:spacing w:before="120"/>
      <w:ind w:firstLine="420"/>
      <w:textAlignment w:val="baseline"/>
    </w:pPr>
    <w:rPr>
      <w:sz w:val="24"/>
    </w:rPr>
  </w:style>
  <w:style w:type="paragraph" w:customStyle="1" w:styleId="137">
    <w:name w:val="IN Step"/>
    <w:basedOn w:val="1"/>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38">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39">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0">
    <w:name w:val="标准正文"/>
    <w:basedOn w:val="23"/>
    <w:qFormat/>
    <w:uiPriority w:val="0"/>
    <w:pPr>
      <w:spacing w:before="60" w:after="60" w:line="360" w:lineRule="auto"/>
      <w:ind w:left="0" w:firstLine="482"/>
    </w:pPr>
    <w:rPr>
      <w:rFonts w:ascii="Arial" w:hAnsi="Arial"/>
      <w:sz w:val="24"/>
    </w:rPr>
  </w:style>
  <w:style w:type="paragraph" w:customStyle="1" w:styleId="141">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42">
    <w:name w:val="表头文本"/>
    <w:qFormat/>
    <w:uiPriority w:val="0"/>
    <w:pPr>
      <w:jc w:val="center"/>
    </w:pPr>
    <w:rPr>
      <w:rFonts w:ascii="Arial" w:hAnsi="Arial" w:eastAsia="宋体" w:cs="Times New Roman"/>
      <w:b/>
      <w:sz w:val="21"/>
      <w:lang w:val="en-US" w:eastAsia="zh-CN" w:bidi="ar-SA"/>
    </w:rPr>
  </w:style>
  <w:style w:type="paragraph" w:customStyle="1" w:styleId="14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4">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5">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46">
    <w:name w:val="Char Char Char Char Char Char Char Char Char Char Char Char Char Char Char Char"/>
    <w:basedOn w:val="1"/>
    <w:qFormat/>
    <w:uiPriority w:val="0"/>
    <w:pPr>
      <w:tabs>
        <w:tab w:val="left" w:pos="360"/>
      </w:tabs>
    </w:pPr>
    <w:rPr>
      <w:sz w:val="24"/>
    </w:rPr>
  </w:style>
  <w:style w:type="paragraph" w:customStyle="1" w:styleId="147">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8">
    <w:name w:val="默认段落字体 Para Char Char Char Char Char Char Char Char Char1 Char Char Char Char"/>
    <w:basedOn w:val="1"/>
    <w:qFormat/>
    <w:uiPriority w:val="0"/>
    <w:rPr>
      <w:rFonts w:ascii="Tahoma" w:hAnsi="Tahoma"/>
      <w:sz w:val="24"/>
    </w:rPr>
  </w:style>
  <w:style w:type="paragraph" w:customStyle="1" w:styleId="149">
    <w:name w:val="表头样式"/>
    <w:basedOn w:val="1"/>
    <w:qFormat/>
    <w:uiPriority w:val="0"/>
    <w:pPr>
      <w:autoSpaceDE w:val="0"/>
      <w:autoSpaceDN w:val="0"/>
      <w:adjustRightInd w:val="0"/>
      <w:spacing w:line="360" w:lineRule="auto"/>
      <w:jc w:val="left"/>
    </w:pPr>
    <w:rPr>
      <w:b/>
      <w:kern w:val="0"/>
    </w:rPr>
  </w:style>
  <w:style w:type="paragraph" w:customStyle="1" w:styleId="150">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1">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2">
    <w:name w:val="表格内文字"/>
    <w:basedOn w:val="30"/>
    <w:qFormat/>
    <w:uiPriority w:val="0"/>
    <w:pPr>
      <w:adjustRightInd w:val="0"/>
    </w:pPr>
    <w:rPr>
      <w:color w:val="000000"/>
      <w:lang w:val="en-GB"/>
    </w:rPr>
  </w:style>
  <w:style w:type="paragraph" w:customStyle="1" w:styleId="153">
    <w:name w:val="默认段落字体 Para Char Char Char Char Char Char Char"/>
    <w:basedOn w:val="1"/>
    <w:qFormat/>
    <w:uiPriority w:val="0"/>
    <w:rPr>
      <w:rFonts w:ascii="Tahoma" w:hAnsi="Tahoma"/>
      <w:sz w:val="24"/>
    </w:rPr>
  </w:style>
  <w:style w:type="paragraph" w:customStyle="1" w:styleId="154">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55">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6">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7">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8">
    <w:name w:val="段落正文"/>
    <w:basedOn w:val="1"/>
    <w:qFormat/>
    <w:uiPriority w:val="0"/>
    <w:pPr>
      <w:spacing w:before="156" w:beforeLines="50" w:line="360" w:lineRule="auto"/>
      <w:ind w:firstLine="200" w:firstLineChars="200"/>
    </w:pPr>
    <w:rPr>
      <w:spacing w:val="2"/>
      <w:sz w:val="24"/>
    </w:rPr>
  </w:style>
  <w:style w:type="paragraph" w:customStyle="1" w:styleId="159">
    <w:name w:val="文章正文"/>
    <w:basedOn w:val="1"/>
    <w:qFormat/>
    <w:uiPriority w:val="0"/>
    <w:pPr>
      <w:ind w:firstLine="560" w:firstLineChars="200"/>
    </w:pPr>
    <w:rPr>
      <w:rFonts w:ascii="仿宋_GB2312" w:hAnsi="宋体" w:eastAsia="仿宋_GB2312"/>
      <w:color w:val="000000"/>
    </w:rPr>
  </w:style>
  <w:style w:type="paragraph" w:customStyle="1" w:styleId="160">
    <w:name w:val="Char"/>
    <w:basedOn w:val="1"/>
    <w:qFormat/>
    <w:uiPriority w:val="0"/>
    <w:pPr>
      <w:spacing w:line="240" w:lineRule="atLeast"/>
      <w:ind w:left="420" w:firstLine="420"/>
    </w:pPr>
    <w:rPr>
      <w:kern w:val="0"/>
    </w:rPr>
  </w:style>
  <w:style w:type="paragraph" w:customStyle="1" w:styleId="161">
    <w:name w:val="列表项目"/>
    <w:basedOn w:val="1"/>
    <w:qFormat/>
    <w:uiPriority w:val="0"/>
    <w:pPr>
      <w:tabs>
        <w:tab w:val="left" w:pos="420"/>
      </w:tabs>
      <w:spacing w:line="288" w:lineRule="auto"/>
      <w:ind w:left="840" w:leftChars="200" w:hanging="420" w:hangingChars="200"/>
    </w:pPr>
  </w:style>
  <w:style w:type="paragraph" w:customStyle="1" w:styleId="162">
    <w:name w:val="列出段落1"/>
    <w:next w:val="16"/>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3">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4">
    <w:name w:val="正文4"/>
    <w:basedOn w:val="1"/>
    <w:qFormat/>
    <w:uiPriority w:val="0"/>
    <w:pPr>
      <w:tabs>
        <w:tab w:val="left" w:pos="1275"/>
      </w:tabs>
      <w:spacing w:before="60" w:after="60" w:line="360" w:lineRule="auto"/>
      <w:ind w:left="820" w:leftChars="400" w:hanging="705"/>
    </w:pPr>
    <w:rPr>
      <w:sz w:val="24"/>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可研正文"/>
    <w:basedOn w:val="22"/>
    <w:qFormat/>
    <w:uiPriority w:val="0"/>
    <w:pPr>
      <w:adjustRightInd w:val="0"/>
      <w:snapToGrid w:val="0"/>
      <w:spacing w:line="440" w:lineRule="exact"/>
      <w:ind w:firstLine="567"/>
    </w:pPr>
    <w:rPr>
      <w:sz w:val="28"/>
    </w:rPr>
  </w:style>
  <w:style w:type="paragraph" w:customStyle="1" w:styleId="167">
    <w:name w:val="标书正文:  0.74 厘米"/>
    <w:basedOn w:val="1"/>
    <w:qFormat/>
    <w:uiPriority w:val="0"/>
    <w:pPr>
      <w:snapToGrid w:val="0"/>
      <w:spacing w:line="360" w:lineRule="auto"/>
      <w:ind w:firstLine="420"/>
    </w:pPr>
    <w:rPr>
      <w:sz w:val="24"/>
    </w:rPr>
  </w:style>
  <w:style w:type="paragraph" w:customStyle="1" w:styleId="168">
    <w:name w:val="样式 标题 6第五层条 + 三号 段前: 0.5 行"/>
    <w:basedOn w:val="7"/>
    <w:qFormat/>
    <w:uiPriority w:val="0"/>
    <w:pPr>
      <w:widowControl/>
      <w:adjustRightInd/>
      <w:snapToGrid/>
      <w:spacing w:before="156" w:beforeLines="50"/>
      <w:jc w:val="left"/>
    </w:pPr>
    <w:rPr>
      <w:snapToGrid w:val="0"/>
      <w:kern w:val="24"/>
      <w:sz w:val="28"/>
    </w:rPr>
  </w:style>
  <w:style w:type="paragraph" w:customStyle="1" w:styleId="169">
    <w:name w:val="1"/>
    <w:basedOn w:val="1"/>
    <w:next w:val="30"/>
    <w:qFormat/>
    <w:uiPriority w:val="0"/>
    <w:rPr>
      <w:rFonts w:ascii="宋体" w:hAnsi="Courier New"/>
    </w:rPr>
  </w:style>
  <w:style w:type="paragraph" w:customStyle="1" w:styleId="170">
    <w:name w:val="没有缩进（为图形使用）"/>
    <w:basedOn w:val="1"/>
    <w:qFormat/>
    <w:uiPriority w:val="0"/>
    <w:pPr>
      <w:spacing w:before="120" w:after="120" w:line="360" w:lineRule="auto"/>
    </w:pPr>
    <w:rPr>
      <w:sz w:val="24"/>
    </w:rPr>
  </w:style>
  <w:style w:type="paragraph" w:customStyle="1" w:styleId="171">
    <w:name w:val="标题无"/>
    <w:basedOn w:val="1"/>
    <w:qFormat/>
    <w:uiPriority w:val="0"/>
    <w:pPr>
      <w:spacing w:line="360" w:lineRule="auto"/>
    </w:pPr>
    <w:rPr>
      <w:sz w:val="24"/>
    </w:rPr>
  </w:style>
  <w:style w:type="paragraph" w:customStyle="1" w:styleId="172">
    <w:name w:val="修订1"/>
    <w:qFormat/>
    <w:uiPriority w:val="0"/>
    <w:rPr>
      <w:rFonts w:ascii="Calibri" w:hAnsi="Calibri" w:eastAsia="宋体" w:cs="Times New Roman"/>
      <w:kern w:val="2"/>
      <w:sz w:val="21"/>
      <w:lang w:val="en-US" w:eastAsia="zh-CN" w:bidi="ar-SA"/>
    </w:rPr>
  </w:style>
  <w:style w:type="paragraph" w:customStyle="1" w:styleId="173">
    <w:name w:val="章标题"/>
    <w:next w:val="1"/>
    <w:qFormat/>
    <w:uiPriority w:val="0"/>
    <w:pPr>
      <w:numPr>
        <w:ilvl w:val="1"/>
        <w:numId w:val="4"/>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74">
    <w:name w:val="图例"/>
    <w:basedOn w:val="1"/>
    <w:qFormat/>
    <w:uiPriority w:val="0"/>
    <w:pPr>
      <w:spacing w:before="120" w:after="120" w:line="360" w:lineRule="auto"/>
      <w:jc w:val="center"/>
    </w:pPr>
    <w:rPr>
      <w:rFonts w:eastAsia="仿宋_GB2312"/>
      <w:b/>
      <w:sz w:val="24"/>
    </w:rPr>
  </w:style>
  <w:style w:type="paragraph" w:customStyle="1" w:styleId="175">
    <w:name w:val="Char Char14 Char Char"/>
    <w:basedOn w:val="1"/>
    <w:qFormat/>
    <w:uiPriority w:val="0"/>
    <w:rPr>
      <w:szCs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7">
    <w:name w:val="Char1"/>
    <w:basedOn w:val="1"/>
    <w:qFormat/>
    <w:uiPriority w:val="0"/>
  </w:style>
  <w:style w:type="paragraph" w:customStyle="1" w:styleId="178">
    <w:name w:val="正文1"/>
    <w:basedOn w:val="1"/>
    <w:qFormat/>
    <w:uiPriority w:val="0"/>
    <w:pPr>
      <w:spacing w:line="300" w:lineRule="auto"/>
      <w:ind w:firstLine="200" w:firstLineChars="200"/>
    </w:pPr>
    <w:rPr>
      <w:sz w:val="24"/>
    </w:rPr>
  </w:style>
  <w:style w:type="paragraph" w:customStyle="1" w:styleId="179">
    <w:name w:val="正文字缩2字"/>
    <w:basedOn w:val="1"/>
    <w:qFormat/>
    <w:uiPriority w:val="0"/>
    <w:pPr>
      <w:spacing w:before="60" w:after="60" w:line="360" w:lineRule="auto"/>
      <w:ind w:left="200" w:leftChars="200" w:firstLine="200" w:firstLineChars="200"/>
    </w:pPr>
    <w:rPr>
      <w:sz w:val="24"/>
    </w:rPr>
  </w:style>
  <w:style w:type="paragraph" w:customStyle="1" w:styleId="18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1">
    <w:name w:val="Char Char Char"/>
    <w:basedOn w:val="1"/>
    <w:qFormat/>
    <w:uiPriority w:val="0"/>
    <w:rPr>
      <w:rFonts w:ascii="Tahoma" w:hAnsi="Tahoma"/>
      <w:sz w:val="24"/>
    </w:rPr>
  </w:style>
  <w:style w:type="paragraph" w:customStyle="1" w:styleId="182">
    <w:name w:val="正文文本 21"/>
    <w:basedOn w:val="1"/>
    <w:qFormat/>
    <w:uiPriority w:val="0"/>
    <w:pPr>
      <w:adjustRightInd w:val="0"/>
      <w:spacing w:before="120" w:line="360" w:lineRule="auto"/>
      <w:ind w:firstLine="480"/>
      <w:textAlignment w:val="baseline"/>
    </w:pPr>
    <w:rPr>
      <w:sz w:val="24"/>
    </w:rPr>
  </w:style>
  <w:style w:type="paragraph" w:customStyle="1" w:styleId="183">
    <w:name w:val="Char2 Char Char Char Char Char Char"/>
    <w:basedOn w:val="1"/>
    <w:qFormat/>
    <w:uiPriority w:val="0"/>
    <w:rPr>
      <w:rFonts w:ascii="仿宋_GB2312"/>
      <w:b/>
      <w:sz w:val="30"/>
    </w:rPr>
  </w:style>
  <w:style w:type="paragraph" w:customStyle="1" w:styleId="184">
    <w:name w:val="Char Char Char Char Char"/>
    <w:basedOn w:val="1"/>
    <w:qFormat/>
    <w:uiPriority w:val="0"/>
    <w:pPr>
      <w:tabs>
        <w:tab w:val="left" w:pos="425"/>
      </w:tabs>
      <w:ind w:left="1620" w:hanging="360"/>
    </w:pPr>
    <w:rPr>
      <w:rFonts w:ascii="Tahoma" w:hAnsi="Tahoma"/>
      <w:sz w:val="24"/>
    </w:rPr>
  </w:style>
  <w:style w:type="paragraph" w:customStyle="1" w:styleId="185">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6">
    <w:name w:val="附录3"/>
    <w:basedOn w:val="1"/>
    <w:next w:val="1"/>
    <w:qFormat/>
    <w:uiPriority w:val="0"/>
    <w:pPr>
      <w:tabs>
        <w:tab w:val="left" w:pos="851"/>
      </w:tabs>
      <w:ind w:left="425" w:hanging="425"/>
      <w:outlineLvl w:val="2"/>
    </w:pPr>
    <w:rPr>
      <w:rFonts w:eastAsia="黑体"/>
      <w:b/>
      <w:sz w:val="32"/>
    </w:rPr>
  </w:style>
  <w:style w:type="paragraph" w:customStyle="1" w:styleId="187">
    <w:name w:val="二级条标题"/>
    <w:basedOn w:val="188"/>
    <w:next w:val="189"/>
    <w:qFormat/>
    <w:uiPriority w:val="0"/>
    <w:pPr>
      <w:ind w:left="840"/>
      <w:outlineLvl w:val="3"/>
    </w:pPr>
  </w:style>
  <w:style w:type="paragraph" w:customStyle="1" w:styleId="188">
    <w:name w:val="一级条标题"/>
    <w:basedOn w:val="173"/>
    <w:next w:val="189"/>
    <w:qFormat/>
    <w:uiPriority w:val="0"/>
    <w:pPr>
      <w:numPr>
        <w:numId w:val="0"/>
      </w:numPr>
      <w:spacing w:before="0" w:beforeLines="0" w:after="0" w:afterLines="0"/>
      <w:ind w:left="525"/>
      <w:outlineLvl w:val="2"/>
    </w:pPr>
    <w:rPr>
      <w:sz w:val="21"/>
    </w:rPr>
  </w:style>
  <w:style w:type="paragraph" w:customStyle="1" w:styleId="18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0">
    <w:name w:val="Char2"/>
    <w:basedOn w:val="1"/>
    <w:qFormat/>
    <w:uiPriority w:val="0"/>
    <w:pPr>
      <w:spacing w:line="240" w:lineRule="atLeast"/>
      <w:ind w:left="420" w:firstLine="420"/>
    </w:pPr>
    <w:rPr>
      <w:kern w:val="0"/>
    </w:rPr>
  </w:style>
  <w:style w:type="paragraph" w:customStyle="1" w:styleId="191">
    <w:name w:val="样式 宋体 五号 两端对齐 行距: 单倍行距"/>
    <w:basedOn w:val="1"/>
    <w:qFormat/>
    <w:uiPriority w:val="0"/>
    <w:pPr>
      <w:adjustRightInd w:val="0"/>
      <w:textAlignment w:val="baseline"/>
    </w:pPr>
    <w:rPr>
      <w:rFonts w:ascii="宋体" w:hAnsi="宋体"/>
      <w:kern w:val="0"/>
    </w:rPr>
  </w:style>
  <w:style w:type="paragraph" w:customStyle="1" w:styleId="19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3">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4">
    <w:name w:val="首行缩进 1"/>
    <w:basedOn w:val="1"/>
    <w:qFormat/>
    <w:uiPriority w:val="0"/>
    <w:pPr>
      <w:spacing w:after="120" w:line="360" w:lineRule="auto"/>
      <w:ind w:firstLine="200" w:firstLineChars="200"/>
    </w:pPr>
    <w:rPr>
      <w:sz w:val="24"/>
    </w:rPr>
  </w:style>
  <w:style w:type="paragraph" w:customStyle="1" w:styleId="195">
    <w:name w:val="文本1"/>
    <w:basedOn w:val="1"/>
    <w:qFormat/>
    <w:uiPriority w:val="0"/>
    <w:pPr>
      <w:adjustRightInd w:val="0"/>
      <w:spacing w:line="312" w:lineRule="atLeast"/>
      <w:jc w:val="center"/>
      <w:textAlignment w:val="baseline"/>
    </w:pPr>
    <w:rPr>
      <w:kern w:val="0"/>
      <w:sz w:val="18"/>
    </w:rPr>
  </w:style>
  <w:style w:type="paragraph" w:customStyle="1" w:styleId="196">
    <w:name w:val="样式 正文缩进正文（首行缩进两字）表正文正文非缩进特点标题4段1 + 首行缩进:  2 字符"/>
    <w:basedOn w:val="15"/>
    <w:qFormat/>
    <w:uiPriority w:val="0"/>
    <w:pPr>
      <w:ind w:firstLine="480" w:firstLineChars="200"/>
    </w:pPr>
  </w:style>
  <w:style w:type="paragraph" w:customStyle="1" w:styleId="197">
    <w:name w:val="表文字"/>
    <w:qFormat/>
    <w:uiPriority w:val="0"/>
    <w:rPr>
      <w:rFonts w:ascii="宋体" w:hAnsi="Times New Roman" w:eastAsia="宋体" w:cs="Times New Roman"/>
      <w:kern w:val="2"/>
      <w:lang w:val="en-US" w:eastAsia="zh-CN" w:bidi="ar-SA"/>
    </w:rPr>
  </w:style>
  <w:style w:type="paragraph" w:customStyle="1" w:styleId="198">
    <w:name w:val="IN Feature"/>
    <w:next w:val="137"/>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99">
    <w:name w:val="样式1"/>
    <w:basedOn w:val="5"/>
    <w:qFormat/>
    <w:uiPriority w:val="0"/>
    <w:pPr>
      <w:tabs>
        <w:tab w:val="left" w:pos="720"/>
      </w:tabs>
      <w:spacing w:before="500" w:after="260" w:line="560" w:lineRule="atLeast"/>
      <w:ind w:left="420" w:hanging="420"/>
    </w:pPr>
  </w:style>
  <w:style w:type="paragraph" w:customStyle="1" w:styleId="200">
    <w:name w:val="样式 行距: 1.5 倍行距1"/>
    <w:basedOn w:val="1"/>
    <w:qFormat/>
    <w:uiPriority w:val="0"/>
    <w:pPr>
      <w:snapToGrid w:val="0"/>
    </w:pPr>
  </w:style>
  <w:style w:type="paragraph" w:customStyle="1" w:styleId="201">
    <w:name w:val="Style Heading 3h3Heading 3 - oldLevel 3 HeadH3level_3PIM 3se..."/>
    <w:basedOn w:val="4"/>
    <w:qFormat/>
    <w:uiPriority w:val="0"/>
    <w:pPr>
      <w:numPr>
        <w:ilvl w:val="2"/>
        <w:numId w:val="9"/>
      </w:numPr>
      <w:tabs>
        <w:tab w:val="left" w:pos="709"/>
        <w:tab w:val="left" w:pos="1620"/>
      </w:tabs>
    </w:pPr>
  </w:style>
  <w:style w:type="paragraph" w:customStyle="1" w:styleId="20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3">
    <w:name w:val="样式2"/>
    <w:basedOn w:val="5"/>
    <w:qFormat/>
    <w:uiPriority w:val="0"/>
    <w:pPr>
      <w:numPr>
        <w:ilvl w:val="0"/>
        <w:numId w:val="10"/>
      </w:numPr>
      <w:spacing w:before="560" w:line="400" w:lineRule="exact"/>
      <w:jc w:val="center"/>
      <w:outlineLvl w:val="0"/>
    </w:pPr>
    <w:rPr>
      <w:b w:val="0"/>
      <w:sz w:val="44"/>
    </w:rPr>
  </w:style>
  <w:style w:type="paragraph" w:customStyle="1" w:styleId="204">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5">
    <w:name w:val="Char Char 字元 字元 字元 Char Char Char Char"/>
    <w:basedOn w:val="1"/>
    <w:qFormat/>
    <w:uiPriority w:val="0"/>
    <w:pPr>
      <w:adjustRightInd w:val="0"/>
      <w:spacing w:line="360" w:lineRule="auto"/>
    </w:pPr>
    <w:rPr>
      <w:kern w:val="0"/>
      <w:sz w:val="24"/>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09">
    <w:name w:val="Char Char1 Char"/>
    <w:basedOn w:val="1"/>
    <w:qFormat/>
    <w:uiPriority w:val="0"/>
    <w:rPr>
      <w:rFonts w:ascii="Tahoma" w:hAnsi="Tahoma"/>
      <w:sz w:val="24"/>
      <w:szCs w:val="24"/>
    </w:rPr>
  </w:style>
  <w:style w:type="paragraph" w:customStyle="1" w:styleId="210">
    <w:name w:val="Char Char Char Char Char Char Char"/>
    <w:basedOn w:val="1"/>
    <w:qFormat/>
    <w:uiPriority w:val="0"/>
    <w:rPr>
      <w:rFonts w:ascii="Tahoma" w:hAnsi="Tahoma"/>
      <w:sz w:val="24"/>
    </w:rPr>
  </w:style>
  <w:style w:type="paragraph" w:customStyle="1" w:styleId="211">
    <w:name w:val="二级列表"/>
    <w:basedOn w:val="158"/>
    <w:next w:val="158"/>
    <w:qFormat/>
    <w:uiPriority w:val="0"/>
    <w:pPr>
      <w:tabs>
        <w:tab w:val="left" w:pos="2120"/>
      </w:tabs>
      <w:ind w:firstLine="0" w:firstLineChars="0"/>
    </w:pPr>
    <w:rPr>
      <w:b/>
    </w:rPr>
  </w:style>
  <w:style w:type="paragraph" w:customStyle="1" w:styleId="212">
    <w:name w:val="Note"/>
    <w:basedOn w:val="1"/>
    <w:qFormat/>
    <w:uiPriority w:val="0"/>
    <w:pPr>
      <w:pBdr>
        <w:top w:val="single" w:color="auto" w:sz="12" w:space="3"/>
        <w:bottom w:val="single" w:color="auto" w:sz="12" w:space="3"/>
      </w:pBdr>
      <w:spacing w:line="360" w:lineRule="auto"/>
    </w:pPr>
    <w:rPr>
      <w:sz w:val="24"/>
    </w:rPr>
  </w:style>
  <w:style w:type="paragraph" w:customStyle="1" w:styleId="213">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5">
    <w:name w:val="表格文本"/>
    <w:qFormat/>
    <w:uiPriority w:val="0"/>
    <w:pPr>
      <w:tabs>
        <w:tab w:val="decimal" w:pos="0"/>
      </w:tabs>
    </w:pPr>
    <w:rPr>
      <w:rFonts w:ascii="Arial" w:hAnsi="Arial" w:eastAsia="宋体" w:cs="Times New Roman"/>
      <w:sz w:val="21"/>
      <w:lang w:val="en-US" w:eastAsia="zh-CN" w:bidi="ar-SA"/>
    </w:rPr>
  </w:style>
  <w:style w:type="paragraph" w:customStyle="1" w:styleId="216">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8">
    <w:name w:val="样式 首行缩进:  0.74 厘米"/>
    <w:basedOn w:val="1"/>
    <w:qFormat/>
    <w:uiPriority w:val="0"/>
    <w:pPr>
      <w:spacing w:line="360" w:lineRule="auto"/>
      <w:ind w:firstLine="420"/>
    </w:pPr>
    <w:rPr>
      <w:sz w:val="24"/>
    </w:rPr>
  </w:style>
  <w:style w:type="paragraph" w:customStyle="1" w:styleId="219">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1">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2">
    <w:name w:val="样式 样式 正文首行缩进 2 + 左  0 字符 + 首行缩进:  2.57 字符"/>
    <w:basedOn w:val="1"/>
    <w:next w:val="1"/>
    <w:qFormat/>
    <w:uiPriority w:val="0"/>
    <w:pPr>
      <w:adjustRightInd w:val="0"/>
      <w:snapToGrid w:val="0"/>
      <w:spacing w:after="120"/>
      <w:ind w:firstLine="540" w:firstLineChars="257"/>
    </w:pPr>
  </w:style>
  <w:style w:type="paragraph" w:customStyle="1" w:styleId="223">
    <w:name w:val="简单回函地址"/>
    <w:basedOn w:val="1"/>
    <w:qFormat/>
    <w:uiPriority w:val="0"/>
    <w:pPr>
      <w:adjustRightInd w:val="0"/>
      <w:snapToGrid w:val="0"/>
      <w:spacing w:line="360" w:lineRule="auto"/>
    </w:pPr>
    <w:rPr>
      <w:sz w:val="24"/>
    </w:rPr>
  </w:style>
  <w:style w:type="paragraph" w:customStyle="1" w:styleId="224">
    <w:name w:val="正文 + 三号"/>
    <w:basedOn w:val="1"/>
    <w:qFormat/>
    <w:uiPriority w:val="0"/>
  </w:style>
  <w:style w:type="paragraph" w:customStyle="1" w:styleId="22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图片文字"/>
    <w:basedOn w:val="1"/>
    <w:qFormat/>
    <w:uiPriority w:val="0"/>
    <w:pPr>
      <w:spacing w:line="240" w:lineRule="atLeast"/>
      <w:jc w:val="center"/>
    </w:pPr>
  </w:style>
  <w:style w:type="paragraph" w:customStyle="1" w:styleId="228">
    <w:name w:val="摘要"/>
    <w:basedOn w:val="1"/>
    <w:next w:val="3"/>
    <w:qFormat/>
    <w:uiPriority w:val="0"/>
    <w:pPr>
      <w:spacing w:line="360" w:lineRule="auto"/>
    </w:pPr>
    <w:rPr>
      <w:rFonts w:eastAsia="黑体"/>
      <w:sz w:val="20"/>
    </w:rPr>
  </w:style>
  <w:style w:type="paragraph" w:customStyle="1" w:styleId="229">
    <w:name w:val="样式 正文首行缩进 2 + 首行缩进:  2 字符"/>
    <w:basedOn w:val="1"/>
    <w:qFormat/>
    <w:uiPriority w:val="0"/>
    <w:pPr>
      <w:numPr>
        <w:ilvl w:val="0"/>
        <w:numId w:val="11"/>
      </w:numPr>
      <w:adjustRightInd w:val="0"/>
      <w:snapToGrid w:val="0"/>
      <w:spacing w:line="360" w:lineRule="auto"/>
    </w:pPr>
    <w:rPr>
      <w:rFonts w:ascii="Arial" w:hAnsi="Arial"/>
      <w:b/>
      <w:sz w:val="24"/>
    </w:rPr>
  </w:style>
  <w:style w:type="paragraph" w:customStyle="1" w:styleId="230">
    <w:name w:val="标题5"/>
    <w:basedOn w:val="1"/>
    <w:qFormat/>
    <w:uiPriority w:val="0"/>
    <w:pPr>
      <w:tabs>
        <w:tab w:val="left" w:pos="0"/>
      </w:tabs>
      <w:autoSpaceDE w:val="0"/>
      <w:autoSpaceDN w:val="0"/>
      <w:adjustRightInd w:val="0"/>
      <w:snapToGrid w:val="0"/>
      <w:spacing w:line="320" w:lineRule="atLeast"/>
    </w:pPr>
    <w:rPr>
      <w:rFonts w:ascii="宋体"/>
      <w:kern w:val="0"/>
    </w:rPr>
  </w:style>
  <w:style w:type="paragraph" w:customStyle="1" w:styleId="231">
    <w:name w:val="Table Contents"/>
    <w:basedOn w:val="22"/>
    <w:qFormat/>
    <w:uiPriority w:val="0"/>
    <w:pPr>
      <w:suppressAutoHyphens/>
      <w:jc w:val="left"/>
    </w:pPr>
    <w:rPr>
      <w:rFonts w:ascii="Times New Roman" w:eastAsia="Times New Roman"/>
      <w:kern w:val="0"/>
      <w:sz w:val="24"/>
    </w:rPr>
  </w:style>
  <w:style w:type="paragraph" w:customStyle="1" w:styleId="23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5">
    <w:name w:val="文本框样式1"/>
    <w:basedOn w:val="1"/>
    <w:qFormat/>
    <w:uiPriority w:val="0"/>
    <w:pPr>
      <w:adjustRightInd w:val="0"/>
      <w:snapToGrid w:val="0"/>
      <w:spacing w:before="60" w:line="180" w:lineRule="exact"/>
      <w:jc w:val="center"/>
    </w:pPr>
  </w:style>
  <w:style w:type="paragraph" w:customStyle="1" w:styleId="236">
    <w:name w:val="Char Char Char Char Char Char Char1"/>
    <w:basedOn w:val="17"/>
    <w:qFormat/>
    <w:uiPriority w:val="0"/>
    <w:rPr>
      <w:rFonts w:ascii="宋体" w:hAnsi="Tahoma"/>
    </w:rPr>
  </w:style>
  <w:style w:type="paragraph" w:customStyle="1" w:styleId="237">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8">
    <w:name w:val="样式4"/>
    <w:basedOn w:val="5"/>
    <w:qFormat/>
    <w:uiPriority w:val="0"/>
    <w:pPr>
      <w:adjustRightInd w:val="0"/>
      <w:snapToGrid w:val="0"/>
    </w:pPr>
  </w:style>
  <w:style w:type="paragraph" w:customStyle="1" w:styleId="239">
    <w:name w:val="正文（首行不缩进）"/>
    <w:basedOn w:val="1"/>
    <w:qFormat/>
    <w:uiPriority w:val="0"/>
    <w:pPr>
      <w:autoSpaceDE w:val="0"/>
      <w:autoSpaceDN w:val="0"/>
      <w:adjustRightInd w:val="0"/>
      <w:spacing w:line="360" w:lineRule="auto"/>
      <w:jc w:val="left"/>
    </w:pPr>
    <w:rPr>
      <w:kern w:val="0"/>
    </w:rPr>
  </w:style>
  <w:style w:type="paragraph" w:customStyle="1" w:styleId="240">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1">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2">
    <w:name w:val="Char1 Char Char Char1"/>
    <w:basedOn w:val="1"/>
    <w:qFormat/>
    <w:uiPriority w:val="0"/>
    <w:rPr>
      <w:rFonts w:ascii="Tahoma" w:hAnsi="Tahoma"/>
      <w:sz w:val="30"/>
    </w:rPr>
  </w:style>
  <w:style w:type="paragraph" w:customStyle="1" w:styleId="243">
    <w:name w:val="彩色底纹1"/>
    <w:qFormat/>
    <w:uiPriority w:val="0"/>
    <w:rPr>
      <w:rFonts w:ascii="Times New Roman" w:hAnsi="Times New Roman" w:eastAsia="宋体" w:cs="Times New Roman"/>
      <w:kern w:val="2"/>
      <w:sz w:val="21"/>
      <w:lang w:val="en-US" w:eastAsia="zh-CN" w:bidi="ar-SA"/>
    </w:rPr>
  </w:style>
  <w:style w:type="paragraph" w:customStyle="1" w:styleId="244">
    <w:name w:val="Char Char Char Char Char Char1 Char"/>
    <w:basedOn w:val="1"/>
    <w:qFormat/>
    <w:uiPriority w:val="0"/>
    <w:pPr>
      <w:widowControl/>
      <w:spacing w:after="160" w:line="240" w:lineRule="exact"/>
      <w:jc w:val="left"/>
    </w:pPr>
    <w:rPr>
      <w:rFonts w:ascii="Verdana" w:hAnsi="Verdana"/>
      <w:kern w:val="0"/>
      <w:lang w:eastAsia="en-US"/>
    </w:rPr>
  </w:style>
  <w:style w:type="paragraph" w:customStyle="1" w:styleId="245">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6">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47">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8">
    <w:name w:val="标题3——2"/>
    <w:basedOn w:val="4"/>
    <w:next w:val="55"/>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9">
    <w:name w:val="首行缩进"/>
    <w:basedOn w:val="1"/>
    <w:qFormat/>
    <w:uiPriority w:val="0"/>
    <w:pPr>
      <w:numPr>
        <w:ilvl w:val="0"/>
        <w:numId w:val="12"/>
      </w:numPr>
      <w:spacing w:line="360" w:lineRule="auto"/>
    </w:pPr>
    <w:rPr>
      <w:rFonts w:eastAsia="仿宋_GB2312"/>
    </w:rPr>
  </w:style>
  <w:style w:type="paragraph" w:customStyle="1" w:styleId="250">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1">
    <w:name w:val="未处理的提及1"/>
    <w:basedOn w:val="59"/>
    <w:qFormat/>
    <w:uiPriority w:val="0"/>
    <w:rPr>
      <w:color w:val="605E5C"/>
      <w:shd w:val="clear" w:color="auto" w:fill="E1DFDD"/>
    </w:rPr>
  </w:style>
  <w:style w:type="paragraph" w:customStyle="1" w:styleId="252">
    <w:name w:val="目录 11"/>
    <w:basedOn w:val="1"/>
    <w:next w:val="1"/>
    <w:qFormat/>
    <w:uiPriority w:val="0"/>
    <w:pPr>
      <w:jc w:val="center"/>
    </w:pPr>
    <w:rPr>
      <w:sz w:val="30"/>
      <w:szCs w:val="30"/>
    </w:rPr>
  </w:style>
  <w:style w:type="paragraph" w:customStyle="1" w:styleId="253">
    <w:name w:val="p1"/>
    <w:basedOn w:val="1"/>
    <w:qFormat/>
    <w:uiPriority w:val="0"/>
    <w:pPr>
      <w:jc w:val="left"/>
    </w:pPr>
    <w:rPr>
      <w:rFonts w:ascii="PingFang SC" w:hAnsi="PingFang SC" w:eastAsia="PingFang SC"/>
      <w:color w:val="121416"/>
      <w:kern w:val="0"/>
      <w:sz w:val="28"/>
      <w:szCs w:val="28"/>
    </w:rPr>
  </w:style>
  <w:style w:type="character" w:customStyle="1" w:styleId="254">
    <w:name w:val="font51"/>
    <w:basedOn w:val="59"/>
    <w:qFormat/>
    <w:uiPriority w:val="0"/>
    <w:rPr>
      <w:rFonts w:hint="eastAsia" w:ascii="宋体" w:hAnsi="宋体" w:eastAsia="宋体" w:cs="宋体"/>
      <w:color w:val="FF0000"/>
      <w:sz w:val="24"/>
      <w:szCs w:val="24"/>
      <w:u w:val="none"/>
    </w:rPr>
  </w:style>
  <w:style w:type="character" w:customStyle="1" w:styleId="255">
    <w:name w:val="font01"/>
    <w:qFormat/>
    <w:uiPriority w:val="0"/>
    <w:rPr>
      <w:rFonts w:hint="default" w:ascii="Times New Roman" w:hAnsi="Times New Roman" w:cs="Times New Roman"/>
      <w:color w:val="000000"/>
      <w:sz w:val="20"/>
      <w:szCs w:val="20"/>
      <w:u w:val="none"/>
    </w:rPr>
  </w:style>
  <w:style w:type="character" w:customStyle="1" w:styleId="256">
    <w:name w:val="font11"/>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13</Pages>
  <Words>5665</Words>
  <Characters>5878</Characters>
  <Lines>62</Lines>
  <Paragraphs>17</Paragraphs>
  <TotalTime>2</TotalTime>
  <ScaleCrop>false</ScaleCrop>
  <LinksUpToDate>false</LinksUpToDate>
  <CharactersWithSpaces>5880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2022-11-04T09:46:00Z</dcterms:created>
  <dc:creator>罗成</dc:creator>
  <cp:lastModifiedBy>拖拖</cp:lastModifiedBy>
  <cp:lastPrinted>2018-08-06T16:28:00Z</cp:lastPrinted>
  <dcterms:modified xsi:type="dcterms:W3CDTF">2026-01-27T08:40:04Z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eyJoZGlkIjoiODgxODk5ODkzMTg1ZTEwMjQwYTVjNjFmMTE2NzlmYTUiLCJ1c2VySWQiOiIxMjA1ODY1MzIifQ==</vt:lpwstr>
  </property>
  <property fmtid="{D5CDD505-2E9C-101B-9397-08002B2CF9AE}" pid="4" name="ICV">
    <vt:lpwstr>0EF3607F991F4D55A6F756171340B21F_13</vt:lpwstr>
  </property>
</Properties>
</file>