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DB5AE">
      <w:pPr>
        <w:pStyle w:val="19"/>
        <w:snapToGrid w:val="0"/>
        <w:spacing w:line="240" w:lineRule="auto"/>
        <w:ind w:left="1347" w:leftChars="54" w:right="0" w:hanging="1234" w:hangingChars="256"/>
        <w:jc w:val="center"/>
        <w:rPr>
          <w:rFonts w:hint="eastAsia" w:ascii="宋体" w:hAnsi="宋体" w:eastAsia="宋体" w:cs="宋体"/>
          <w:b/>
          <w:sz w:val="48"/>
          <w:szCs w:val="48"/>
          <w:lang w:val="en-US" w:eastAsia="zh-CN"/>
        </w:rPr>
      </w:pPr>
    </w:p>
    <w:p w14:paraId="47BAE55B">
      <w:pPr>
        <w:pStyle w:val="19"/>
        <w:snapToGrid w:val="0"/>
        <w:spacing w:line="240" w:lineRule="auto"/>
        <w:ind w:left="1956" w:leftChars="54" w:right="0" w:hanging="1843" w:hangingChars="256"/>
        <w:jc w:val="right"/>
        <w:rPr>
          <w:rFonts w:hint="default" w:ascii="宋体" w:hAnsi="宋体" w:eastAsia="宋体" w:cs="宋体"/>
          <w:b w:val="0"/>
          <w:bCs/>
          <w:sz w:val="30"/>
          <w:szCs w:val="30"/>
          <w:lang w:val="en-US" w:eastAsia="zh-CN"/>
        </w:rPr>
      </w:pPr>
      <w:r>
        <w:rPr>
          <w:rFonts w:hint="eastAsia" w:ascii="宋体" w:hAnsi="宋体" w:eastAsia="宋体" w:cs="宋体"/>
          <w:sz w:val="72"/>
          <w:szCs w:val="72"/>
        </w:rPr>
        <w:drawing>
          <wp:anchor distT="0" distB="0" distL="114300" distR="114300" simplePos="0" relativeHeight="251662336" behindDoc="0" locked="0" layoutInCell="1" allowOverlap="1">
            <wp:simplePos x="0" y="0"/>
            <wp:positionH relativeFrom="column">
              <wp:posOffset>1953895</wp:posOffset>
            </wp:positionH>
            <wp:positionV relativeFrom="paragraph">
              <wp:posOffset>925830</wp:posOffset>
            </wp:positionV>
            <wp:extent cx="1770380" cy="1391285"/>
            <wp:effectExtent l="0" t="0" r="7620" b="5715"/>
            <wp:wrapTopAndBottom/>
            <wp:docPr id="2" name="图片 2" descr="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000"/>
                    <pic:cNvPicPr>
                      <a:picLocks noChangeAspect="1"/>
                    </pic:cNvPicPr>
                  </pic:nvPicPr>
                  <pic:blipFill>
                    <a:blip r:embed="rId5"/>
                    <a:stretch>
                      <a:fillRect/>
                    </a:stretch>
                  </pic:blipFill>
                  <pic:spPr>
                    <a:xfrm>
                      <a:off x="0" y="0"/>
                      <a:ext cx="1770380" cy="1391285"/>
                    </a:xfrm>
                    <a:prstGeom prst="rect">
                      <a:avLst/>
                    </a:prstGeom>
                    <a:noFill/>
                    <a:ln>
                      <a:noFill/>
                    </a:ln>
                  </pic:spPr>
                </pic:pic>
              </a:graphicData>
            </a:graphic>
          </wp:anchor>
        </w:drawing>
      </w:r>
      <w:r>
        <w:rPr>
          <w:rFonts w:hint="eastAsia" w:ascii="宋体" w:hAnsi="宋体" w:eastAsia="宋体" w:cs="宋体"/>
          <w:b/>
          <w:bCs/>
          <w:sz w:val="30"/>
          <w:szCs w:val="30"/>
          <w:lang w:val="en-US" w:eastAsia="zh-CN"/>
        </w:rPr>
        <w:t>项目编号：CQJH-2025-104</w:t>
      </w:r>
    </w:p>
    <w:p w14:paraId="6118305A">
      <w:pPr>
        <w:pStyle w:val="19"/>
        <w:snapToGrid w:val="0"/>
        <w:spacing w:line="240" w:lineRule="auto"/>
        <w:ind w:left="1347" w:leftChars="54" w:right="0" w:hanging="1234" w:hangingChars="256"/>
        <w:jc w:val="center"/>
        <w:rPr>
          <w:rFonts w:hint="eastAsia" w:ascii="宋体" w:hAnsi="宋体" w:eastAsia="宋体" w:cs="宋体"/>
          <w:b/>
          <w:sz w:val="48"/>
          <w:szCs w:val="48"/>
          <w:lang w:val="en-US" w:eastAsia="zh-CN"/>
        </w:rPr>
      </w:pPr>
    </w:p>
    <w:p w14:paraId="00EFC530">
      <w:pPr>
        <w:pStyle w:val="19"/>
        <w:snapToGrid w:val="0"/>
        <w:spacing w:line="240" w:lineRule="auto"/>
        <w:ind w:left="1347" w:leftChars="54" w:right="0" w:hanging="1234" w:hangingChars="256"/>
        <w:jc w:val="center"/>
        <w:rPr>
          <w:rFonts w:hint="eastAsia" w:ascii="宋体" w:hAnsi="宋体" w:eastAsia="宋体" w:cs="宋体"/>
          <w:b/>
          <w:sz w:val="48"/>
          <w:szCs w:val="48"/>
          <w:lang w:val="en-US" w:eastAsia="zh-CN"/>
        </w:rPr>
      </w:pPr>
    </w:p>
    <w:p w14:paraId="3C15CBB1">
      <w:pPr>
        <w:pStyle w:val="19"/>
        <w:snapToGrid w:val="0"/>
        <w:spacing w:line="240" w:lineRule="auto"/>
        <w:ind w:left="1347" w:leftChars="54" w:right="0" w:hanging="1234" w:hangingChars="256"/>
        <w:jc w:val="center"/>
        <w:rPr>
          <w:rFonts w:hint="eastAsia" w:ascii="宋体" w:hAnsi="宋体" w:eastAsia="宋体" w:cs="宋体"/>
          <w:b/>
          <w:sz w:val="48"/>
          <w:szCs w:val="48"/>
          <w:lang w:val="en-US" w:eastAsia="zh-CN"/>
        </w:rPr>
      </w:pPr>
      <w:r>
        <w:rPr>
          <w:rFonts w:hint="eastAsia" w:ascii="宋体" w:hAnsi="宋体" w:eastAsia="宋体" w:cs="宋体"/>
          <w:b/>
          <w:sz w:val="48"/>
          <w:szCs w:val="48"/>
          <w:lang w:val="en-US" w:eastAsia="zh-CN"/>
        </w:rPr>
        <w:t>大河村、高田坎村、真武村、九里村</w:t>
      </w:r>
    </w:p>
    <w:p w14:paraId="2186D3AF">
      <w:pPr>
        <w:pStyle w:val="19"/>
        <w:snapToGrid w:val="0"/>
        <w:spacing w:line="240" w:lineRule="auto"/>
        <w:ind w:left="1347" w:leftChars="54" w:right="0" w:hanging="1234" w:hangingChars="256"/>
        <w:jc w:val="center"/>
        <w:rPr>
          <w:rFonts w:hint="eastAsia" w:ascii="宋体" w:hAnsi="宋体" w:eastAsia="宋体" w:cs="宋体"/>
          <w:b/>
          <w:sz w:val="72"/>
          <w:szCs w:val="72"/>
        </w:rPr>
      </w:pPr>
      <w:r>
        <w:rPr>
          <w:rFonts w:hint="eastAsia" w:ascii="宋体" w:hAnsi="宋体" w:eastAsia="宋体" w:cs="宋体"/>
          <w:b/>
          <w:sz w:val="48"/>
          <w:szCs w:val="48"/>
          <w:lang w:val="en-US" w:eastAsia="zh-CN"/>
        </w:rPr>
        <w:t>农村生活污水治理</w:t>
      </w:r>
    </w:p>
    <w:p w14:paraId="0BC98874">
      <w:pPr>
        <w:pStyle w:val="19"/>
        <w:snapToGrid w:val="0"/>
        <w:spacing w:line="240" w:lineRule="auto"/>
        <w:ind w:left="2272" w:leftChars="54" w:right="0" w:hanging="2159" w:hangingChars="256"/>
        <w:jc w:val="center"/>
        <w:rPr>
          <w:rFonts w:hint="eastAsia" w:ascii="宋体" w:hAnsi="宋体" w:eastAsia="宋体" w:cs="宋体"/>
          <w:b/>
          <w:sz w:val="84"/>
          <w:szCs w:val="84"/>
        </w:rPr>
      </w:pPr>
    </w:p>
    <w:p w14:paraId="79416FE2">
      <w:pPr>
        <w:pStyle w:val="19"/>
        <w:snapToGrid w:val="0"/>
        <w:spacing w:line="240" w:lineRule="auto"/>
        <w:ind w:left="2272" w:leftChars="54" w:right="0" w:hanging="2159" w:hangingChars="256"/>
        <w:jc w:val="center"/>
        <w:rPr>
          <w:rFonts w:hint="eastAsia" w:ascii="宋体" w:hAnsi="宋体" w:eastAsia="宋体" w:cs="宋体"/>
          <w:b/>
          <w:sz w:val="84"/>
          <w:szCs w:val="84"/>
        </w:rPr>
      </w:pPr>
    </w:p>
    <w:p w14:paraId="4D848F13">
      <w:pPr>
        <w:pStyle w:val="19"/>
        <w:snapToGrid w:val="0"/>
        <w:spacing w:line="240" w:lineRule="auto"/>
        <w:ind w:right="0"/>
        <w:jc w:val="center"/>
        <w:rPr>
          <w:rFonts w:hint="eastAsia" w:ascii="宋体" w:hAnsi="宋体" w:eastAsia="宋体" w:cs="宋体"/>
          <w:b/>
          <w:sz w:val="84"/>
          <w:szCs w:val="84"/>
        </w:rPr>
      </w:pPr>
      <w:r>
        <w:rPr>
          <w:rFonts w:hint="eastAsia" w:ascii="宋体" w:hAnsi="宋体" w:eastAsia="宋体" w:cs="宋体"/>
          <w:b/>
          <w:sz w:val="48"/>
          <w:szCs w:val="48"/>
          <w:lang w:val="en-US" w:eastAsia="zh-CN"/>
        </w:rPr>
        <w:t>竞争性比选文件</w:t>
      </w:r>
    </w:p>
    <w:p w14:paraId="7171A9EF">
      <w:pPr>
        <w:widowControl/>
        <w:jc w:val="left"/>
        <w:rPr>
          <w:rFonts w:hint="eastAsia" w:ascii="宋体" w:hAnsi="宋体" w:cs="宋体"/>
          <w:kern w:val="0"/>
          <w:sz w:val="28"/>
          <w:szCs w:val="28"/>
        </w:rPr>
      </w:pPr>
      <w:r>
        <w:rPr>
          <w:rFonts w:hint="eastAsia" w:ascii="宋体" w:hAnsi="宋体" w:cs="宋体"/>
          <w:b/>
          <w:bCs/>
          <w:kern w:val="0"/>
          <w:sz w:val="32"/>
          <w:szCs w:val="32"/>
        </w:rPr>
        <w:t xml:space="preserve">        </w:t>
      </w:r>
    </w:p>
    <w:p w14:paraId="30913474">
      <w:pPr>
        <w:widowControl/>
        <w:spacing w:line="360" w:lineRule="auto"/>
        <w:jc w:val="left"/>
        <w:rPr>
          <w:rFonts w:hint="eastAsia" w:ascii="宋体" w:hAnsi="宋体" w:cs="宋体"/>
          <w:b/>
          <w:bCs/>
          <w:kern w:val="0"/>
          <w:sz w:val="24"/>
        </w:rPr>
      </w:pPr>
    </w:p>
    <w:p w14:paraId="4D961F14">
      <w:pPr>
        <w:pStyle w:val="2"/>
        <w:rPr>
          <w:rFonts w:hint="eastAsia" w:ascii="宋体" w:hAnsi="宋体" w:eastAsia="宋体" w:cs="宋体"/>
          <w:bCs/>
        </w:rPr>
      </w:pPr>
    </w:p>
    <w:p w14:paraId="14184F31">
      <w:pPr>
        <w:widowControl/>
        <w:spacing w:line="360" w:lineRule="auto"/>
        <w:ind w:firstLine="280" w:firstLineChars="100"/>
        <w:jc w:val="left"/>
        <w:rPr>
          <w:rFonts w:hint="eastAsia" w:ascii="宋体" w:hAnsi="宋体" w:cs="宋体"/>
          <w:bCs/>
          <w:kern w:val="0"/>
          <w:sz w:val="28"/>
          <w:szCs w:val="28"/>
        </w:rPr>
      </w:pPr>
    </w:p>
    <w:p w14:paraId="61B13F83">
      <w:pPr>
        <w:pStyle w:val="2"/>
        <w:rPr>
          <w:rFonts w:hint="eastAsia"/>
        </w:rPr>
      </w:pPr>
    </w:p>
    <w:p w14:paraId="03A2C181">
      <w:pPr>
        <w:widowControl/>
        <w:spacing w:line="360" w:lineRule="auto"/>
        <w:rPr>
          <w:rFonts w:hint="eastAsia" w:ascii="宋体" w:hAnsi="宋体" w:cs="宋体"/>
          <w:b/>
          <w:kern w:val="0"/>
          <w:sz w:val="30"/>
          <w:szCs w:val="30"/>
          <w:u w:val="single"/>
        </w:rPr>
      </w:pPr>
      <w:r>
        <w:rPr>
          <w:rFonts w:hint="eastAsia" w:ascii="宋体" w:hAnsi="宋体" w:cs="宋体"/>
          <w:b/>
          <w:spacing w:val="225"/>
          <w:kern w:val="0"/>
          <w:sz w:val="30"/>
          <w:szCs w:val="30"/>
          <w:fitText w:val="1800" w:id="211963432"/>
        </w:rPr>
        <w:t>比选</w:t>
      </w:r>
      <w:r>
        <w:rPr>
          <w:rFonts w:hint="eastAsia" w:ascii="宋体" w:hAnsi="宋体" w:cs="宋体"/>
          <w:b/>
          <w:spacing w:val="0"/>
          <w:kern w:val="0"/>
          <w:sz w:val="30"/>
          <w:szCs w:val="30"/>
          <w:fitText w:val="1800" w:id="211963432"/>
        </w:rPr>
        <w:t>人</w:t>
      </w:r>
      <w:r>
        <w:rPr>
          <w:rFonts w:hint="eastAsia" w:ascii="宋体" w:hAnsi="宋体" w:cs="宋体"/>
          <w:b/>
          <w:kern w:val="0"/>
          <w:sz w:val="30"/>
          <w:szCs w:val="30"/>
        </w:rPr>
        <w:t>：</w:t>
      </w:r>
      <w:r>
        <w:rPr>
          <w:rFonts w:hint="eastAsia" w:ascii="宋体" w:hAnsi="宋体" w:cs="宋体"/>
          <w:b/>
          <w:kern w:val="0"/>
          <w:sz w:val="30"/>
          <w:szCs w:val="30"/>
          <w:u w:val="single"/>
        </w:rPr>
        <w:t>重庆市九龙坡区白市驿镇人民政府（盖单位公章）</w:t>
      </w:r>
    </w:p>
    <w:p w14:paraId="15E615E8">
      <w:pPr>
        <w:widowControl/>
        <w:spacing w:line="360" w:lineRule="auto"/>
        <w:rPr>
          <w:rFonts w:hint="eastAsia" w:ascii="宋体" w:hAnsi="宋体" w:cs="宋体"/>
          <w:b/>
          <w:kern w:val="0"/>
          <w:sz w:val="30"/>
          <w:szCs w:val="30"/>
          <w:u w:val="single"/>
        </w:rPr>
      </w:pPr>
      <w:r>
        <w:rPr>
          <w:rFonts w:hint="eastAsia" w:ascii="宋体" w:hAnsi="宋体" w:cs="宋体"/>
          <w:b/>
          <w:kern w:val="0"/>
          <w:sz w:val="30"/>
          <w:szCs w:val="30"/>
          <w:u w:val="single"/>
        </w:rPr>
        <w:t>比选代理机构：</w:t>
      </w:r>
      <w:r>
        <w:rPr>
          <w:rFonts w:hint="eastAsia" w:ascii="宋体" w:hAnsi="宋体" w:cs="宋体"/>
          <w:b/>
          <w:kern w:val="0"/>
          <w:sz w:val="30"/>
          <w:szCs w:val="30"/>
          <w:u w:val="single"/>
          <w:lang w:eastAsia="zh-CN"/>
        </w:rPr>
        <w:t>重庆璟浩工程咨询有限公司</w:t>
      </w:r>
      <w:r>
        <w:rPr>
          <w:rFonts w:hint="eastAsia" w:ascii="宋体" w:hAnsi="宋体" w:cs="宋体"/>
          <w:b/>
          <w:kern w:val="0"/>
          <w:sz w:val="30"/>
          <w:szCs w:val="30"/>
          <w:u w:val="single"/>
        </w:rPr>
        <w:t>（盖单位公章）</w:t>
      </w:r>
    </w:p>
    <w:p w14:paraId="4358E3B5">
      <w:pPr>
        <w:pStyle w:val="16"/>
        <w:rPr>
          <w:rFonts w:hint="eastAsia" w:ascii="宋体" w:hAnsi="宋体" w:cs="宋体"/>
          <w:b/>
        </w:rPr>
      </w:pPr>
    </w:p>
    <w:p w14:paraId="44246488">
      <w:pPr>
        <w:widowControl/>
        <w:tabs>
          <w:tab w:val="left" w:pos="3300"/>
          <w:tab w:val="center" w:pos="4422"/>
        </w:tabs>
        <w:spacing w:line="360" w:lineRule="auto"/>
        <w:jc w:val="center"/>
        <w:rPr>
          <w:rFonts w:hint="eastAsia" w:ascii="宋体" w:hAnsi="宋体" w:cs="宋体"/>
          <w:b/>
          <w:kern w:val="0"/>
          <w:sz w:val="32"/>
          <w:szCs w:val="32"/>
        </w:rPr>
      </w:pPr>
      <w:r>
        <w:rPr>
          <w:rFonts w:hint="eastAsia" w:ascii="宋体" w:hAnsi="宋体" w:cs="宋体"/>
          <w:b/>
          <w:kern w:val="0"/>
          <w:sz w:val="32"/>
          <w:szCs w:val="32"/>
        </w:rPr>
        <w:t>202</w:t>
      </w:r>
      <w:r>
        <w:rPr>
          <w:rFonts w:hint="eastAsia" w:ascii="宋体" w:hAnsi="宋体" w:cs="宋体"/>
          <w:b/>
          <w:kern w:val="0"/>
          <w:sz w:val="32"/>
          <w:szCs w:val="32"/>
          <w:lang w:val="en-US" w:eastAsia="zh-CN"/>
        </w:rPr>
        <w:t>5</w:t>
      </w:r>
      <w:r>
        <w:rPr>
          <w:rFonts w:hint="eastAsia" w:ascii="宋体" w:hAnsi="宋体" w:cs="宋体"/>
          <w:b/>
          <w:kern w:val="0"/>
          <w:sz w:val="32"/>
          <w:szCs w:val="32"/>
        </w:rPr>
        <w:t>年</w:t>
      </w:r>
      <w:r>
        <w:rPr>
          <w:rFonts w:hint="eastAsia" w:ascii="宋体" w:hAnsi="宋体" w:cs="宋体"/>
          <w:b/>
          <w:kern w:val="0"/>
          <w:sz w:val="32"/>
          <w:szCs w:val="32"/>
          <w:lang w:val="en-US" w:eastAsia="zh-CN"/>
        </w:rPr>
        <w:t>6</w:t>
      </w:r>
      <w:r>
        <w:rPr>
          <w:rFonts w:hint="eastAsia" w:ascii="宋体" w:hAnsi="宋体" w:cs="宋体"/>
          <w:b/>
          <w:kern w:val="0"/>
          <w:sz w:val="32"/>
          <w:szCs w:val="32"/>
        </w:rPr>
        <w:t>月</w:t>
      </w:r>
      <w:bookmarkStart w:id="0" w:name="_Toc22375565"/>
      <w:bookmarkStart w:id="1" w:name="_Toc342573897"/>
    </w:p>
    <w:p w14:paraId="43317DB6">
      <w:pPr>
        <w:widowControl/>
        <w:tabs>
          <w:tab w:val="left" w:pos="3300"/>
          <w:tab w:val="center" w:pos="4422"/>
        </w:tabs>
        <w:spacing w:line="360" w:lineRule="auto"/>
        <w:jc w:val="center"/>
        <w:rPr>
          <w:rFonts w:hint="eastAsia" w:ascii="宋体" w:hAnsi="宋体" w:cs="宋体"/>
          <w:b/>
          <w:sz w:val="44"/>
          <w:szCs w:val="44"/>
        </w:rPr>
      </w:pPr>
      <w:r>
        <w:rPr>
          <w:rFonts w:hint="eastAsia" w:ascii="宋体" w:hAnsi="宋体" w:cs="宋体"/>
          <w:b/>
          <w:kern w:val="0"/>
          <w:sz w:val="30"/>
          <w:szCs w:val="30"/>
        </w:rPr>
        <w:br w:type="page"/>
      </w:r>
      <w:bookmarkStart w:id="2" w:name="_Toc22990007"/>
      <w:r>
        <w:rPr>
          <w:rFonts w:hint="eastAsia" w:ascii="宋体" w:hAnsi="宋体" w:cs="宋体"/>
          <w:b/>
          <w:sz w:val="52"/>
          <w:szCs w:val="52"/>
        </w:rPr>
        <w:t>目  录</w:t>
      </w:r>
    </w:p>
    <w:p w14:paraId="5CB093D2">
      <w:pPr>
        <w:jc w:val="center"/>
        <w:rPr>
          <w:rFonts w:hint="eastAsia" w:ascii="宋体" w:hAnsi="宋体" w:cs="宋体"/>
        </w:rPr>
      </w:pPr>
    </w:p>
    <w:p w14:paraId="7D23BDEC">
      <w:pPr>
        <w:pStyle w:val="190"/>
        <w:tabs>
          <w:tab w:val="right" w:leader="dot" w:pos="9072"/>
        </w:tabs>
        <w:spacing w:line="600" w:lineRule="auto"/>
        <w:rPr>
          <w:rFonts w:hint="eastAsia" w:ascii="宋体" w:hAnsi="宋体" w:cs="宋体"/>
          <w:b/>
          <w:bCs/>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"_Toc6569" </w:instrText>
      </w:r>
      <w:r>
        <w:fldChar w:fldCharType="separate"/>
      </w:r>
      <w:r>
        <w:rPr>
          <w:rFonts w:hint="eastAsia" w:ascii="宋体" w:hAnsi="宋体" w:cs="宋体"/>
          <w:b/>
          <w:bCs/>
          <w:sz w:val="32"/>
          <w:szCs w:val="32"/>
        </w:rPr>
        <w:t>第一章  比选公告</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_Toc6569 </w:instrText>
      </w:r>
      <w:r>
        <w:rPr>
          <w:rFonts w:hint="eastAsia" w:ascii="宋体" w:hAnsi="宋体" w:cs="宋体"/>
          <w:b/>
          <w:bCs/>
          <w:sz w:val="32"/>
          <w:szCs w:val="32"/>
        </w:rPr>
        <w:fldChar w:fldCharType="separate"/>
      </w:r>
      <w:r>
        <w:rPr>
          <w:rFonts w:hint="eastAsia" w:ascii="宋体" w:hAnsi="宋体" w:cs="宋体"/>
          <w:b/>
          <w:bCs/>
          <w:sz w:val="32"/>
          <w:szCs w:val="32"/>
        </w:rPr>
        <w:t>3</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5F39F062">
      <w:pPr>
        <w:pStyle w:val="190"/>
        <w:tabs>
          <w:tab w:val="right" w:leader="dot" w:pos="9072"/>
        </w:tabs>
        <w:spacing w:line="600" w:lineRule="auto"/>
        <w:rPr>
          <w:rFonts w:hint="eastAsia" w:ascii="宋体" w:hAnsi="宋体" w:cs="宋体"/>
          <w:b/>
          <w:bCs/>
          <w:sz w:val="32"/>
          <w:szCs w:val="32"/>
        </w:rPr>
      </w:pPr>
      <w:r>
        <w:fldChar w:fldCharType="begin"/>
      </w:r>
      <w:r>
        <w:instrText xml:space="preserve"> HYPERLINK \l "_Toc13984" </w:instrText>
      </w:r>
      <w:r>
        <w:fldChar w:fldCharType="separate"/>
      </w:r>
      <w:r>
        <w:rPr>
          <w:rFonts w:hint="eastAsia" w:ascii="宋体" w:hAnsi="宋体" w:cs="宋体"/>
          <w:b/>
          <w:bCs/>
          <w:sz w:val="32"/>
          <w:szCs w:val="32"/>
        </w:rPr>
        <w:t>第二章  比选申请人须知</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_Toc13984 </w:instrText>
      </w:r>
      <w:r>
        <w:rPr>
          <w:rFonts w:hint="eastAsia" w:ascii="宋体" w:hAnsi="宋体" w:cs="宋体"/>
          <w:b/>
          <w:bCs/>
          <w:sz w:val="32"/>
          <w:szCs w:val="32"/>
        </w:rPr>
        <w:fldChar w:fldCharType="separate"/>
      </w:r>
      <w:r>
        <w:rPr>
          <w:rFonts w:hint="eastAsia" w:ascii="宋体" w:hAnsi="宋体" w:cs="宋体"/>
          <w:b/>
          <w:bCs/>
          <w:sz w:val="32"/>
          <w:szCs w:val="32"/>
        </w:rPr>
        <w:t>5</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4CC7BDF0">
      <w:pPr>
        <w:pStyle w:val="190"/>
        <w:tabs>
          <w:tab w:val="right" w:leader="dot" w:pos="9072"/>
        </w:tabs>
        <w:spacing w:line="600" w:lineRule="auto"/>
        <w:rPr>
          <w:rFonts w:hint="eastAsia" w:ascii="宋体" w:hAnsi="宋体" w:cs="宋体"/>
          <w:b/>
          <w:bCs/>
          <w:sz w:val="32"/>
          <w:szCs w:val="32"/>
        </w:rPr>
      </w:pPr>
      <w:r>
        <w:fldChar w:fldCharType="begin"/>
      </w:r>
      <w:r>
        <w:instrText xml:space="preserve"> HYPERLINK \l "_Toc15653" </w:instrText>
      </w:r>
      <w:r>
        <w:fldChar w:fldCharType="separate"/>
      </w:r>
      <w:r>
        <w:rPr>
          <w:rFonts w:hint="eastAsia" w:ascii="宋体" w:hAnsi="宋体" w:cs="宋体"/>
          <w:b/>
          <w:bCs/>
          <w:sz w:val="32"/>
          <w:szCs w:val="32"/>
        </w:rPr>
        <w:t>第三章  评标办法（综合评估法）</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_Toc15653 </w:instrText>
      </w:r>
      <w:r>
        <w:rPr>
          <w:rFonts w:hint="eastAsia" w:ascii="宋体" w:hAnsi="宋体" w:cs="宋体"/>
          <w:b/>
          <w:bCs/>
          <w:sz w:val="32"/>
          <w:szCs w:val="32"/>
        </w:rPr>
        <w:fldChar w:fldCharType="separate"/>
      </w:r>
      <w:r>
        <w:rPr>
          <w:rFonts w:hint="eastAsia" w:ascii="宋体" w:hAnsi="宋体" w:cs="宋体"/>
          <w:b/>
          <w:bCs/>
          <w:sz w:val="32"/>
          <w:szCs w:val="32"/>
        </w:rPr>
        <w:t>21</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25CE6DF7">
      <w:pPr>
        <w:pStyle w:val="190"/>
        <w:tabs>
          <w:tab w:val="right" w:leader="dot" w:pos="9072"/>
        </w:tabs>
        <w:spacing w:line="600" w:lineRule="auto"/>
        <w:rPr>
          <w:rFonts w:hint="eastAsia" w:ascii="宋体" w:hAnsi="宋体" w:cs="宋体"/>
          <w:b/>
          <w:bCs/>
          <w:sz w:val="32"/>
          <w:szCs w:val="32"/>
        </w:rPr>
      </w:pPr>
      <w:r>
        <w:fldChar w:fldCharType="begin"/>
      </w:r>
      <w:r>
        <w:instrText xml:space="preserve"> HYPERLINK \l "_Toc813" </w:instrText>
      </w:r>
      <w:r>
        <w:fldChar w:fldCharType="separate"/>
      </w:r>
      <w:r>
        <w:rPr>
          <w:rFonts w:hint="eastAsia" w:ascii="宋体" w:hAnsi="宋体" w:cs="宋体"/>
          <w:b/>
          <w:bCs/>
          <w:sz w:val="32"/>
          <w:szCs w:val="32"/>
        </w:rPr>
        <w:t>第四章  合同条款及格式</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_Toc813 </w:instrText>
      </w:r>
      <w:r>
        <w:rPr>
          <w:rFonts w:hint="eastAsia" w:ascii="宋体" w:hAnsi="宋体" w:cs="宋体"/>
          <w:b/>
          <w:bCs/>
          <w:sz w:val="32"/>
          <w:szCs w:val="32"/>
        </w:rPr>
        <w:fldChar w:fldCharType="separate"/>
      </w:r>
      <w:r>
        <w:rPr>
          <w:rFonts w:hint="eastAsia" w:ascii="宋体" w:hAnsi="宋体" w:cs="宋体"/>
          <w:b/>
          <w:bCs/>
          <w:sz w:val="32"/>
          <w:szCs w:val="32"/>
        </w:rPr>
        <w:t>32</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7B5D6508">
      <w:pPr>
        <w:pStyle w:val="190"/>
        <w:tabs>
          <w:tab w:val="right" w:leader="dot" w:pos="9072"/>
        </w:tabs>
        <w:spacing w:line="600" w:lineRule="auto"/>
        <w:rPr>
          <w:rFonts w:hint="eastAsia" w:ascii="宋体" w:hAnsi="宋体" w:cs="宋体"/>
          <w:b/>
          <w:bCs/>
          <w:sz w:val="32"/>
          <w:szCs w:val="32"/>
        </w:rPr>
      </w:pPr>
      <w:r>
        <w:fldChar w:fldCharType="begin"/>
      </w:r>
      <w:r>
        <w:instrText xml:space="preserve"> HYPERLINK \l "_Toc5116" </w:instrText>
      </w:r>
      <w:r>
        <w:fldChar w:fldCharType="separate"/>
      </w:r>
      <w:r>
        <w:rPr>
          <w:rFonts w:hint="eastAsia" w:ascii="宋体" w:hAnsi="宋体" w:cs="宋体"/>
          <w:b/>
          <w:bCs/>
          <w:sz w:val="32"/>
          <w:szCs w:val="32"/>
        </w:rPr>
        <w:t>第五章  工程量清单</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_Toc5116 </w:instrText>
      </w:r>
      <w:r>
        <w:rPr>
          <w:rFonts w:hint="eastAsia" w:ascii="宋体" w:hAnsi="宋体" w:cs="宋体"/>
          <w:b/>
          <w:bCs/>
          <w:sz w:val="32"/>
          <w:szCs w:val="32"/>
        </w:rPr>
        <w:fldChar w:fldCharType="separate"/>
      </w:r>
      <w:r>
        <w:rPr>
          <w:rFonts w:hint="eastAsia" w:ascii="宋体" w:hAnsi="宋体" w:cs="宋体"/>
          <w:b/>
          <w:bCs/>
          <w:sz w:val="32"/>
          <w:szCs w:val="32"/>
        </w:rPr>
        <w:t>70</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48F9EEF9">
      <w:pPr>
        <w:pStyle w:val="190"/>
        <w:tabs>
          <w:tab w:val="right" w:leader="dot" w:pos="9072"/>
        </w:tabs>
        <w:spacing w:line="600" w:lineRule="auto"/>
        <w:rPr>
          <w:rFonts w:hint="eastAsia" w:ascii="宋体" w:hAnsi="宋体" w:cs="宋体"/>
          <w:b/>
          <w:bCs/>
          <w:sz w:val="32"/>
          <w:szCs w:val="32"/>
        </w:rPr>
      </w:pPr>
      <w:r>
        <w:fldChar w:fldCharType="begin"/>
      </w:r>
      <w:r>
        <w:instrText xml:space="preserve"> HYPERLINK \l "_Toc31973" </w:instrText>
      </w:r>
      <w:r>
        <w:fldChar w:fldCharType="separate"/>
      </w:r>
      <w:r>
        <w:rPr>
          <w:rFonts w:hint="eastAsia" w:ascii="宋体" w:hAnsi="宋体" w:cs="宋体"/>
          <w:b/>
          <w:bCs/>
          <w:sz w:val="32"/>
          <w:szCs w:val="32"/>
        </w:rPr>
        <w:t xml:space="preserve">第六章 </w:t>
      </w:r>
      <w:r>
        <w:rPr>
          <w:rFonts w:hint="eastAsia" w:ascii="宋体" w:hAnsi="宋体" w:cs="宋体"/>
          <w:b/>
          <w:bCs/>
          <w:sz w:val="32"/>
          <w:szCs w:val="32"/>
          <w:lang w:val="en-US" w:eastAsia="zh-CN"/>
        </w:rPr>
        <w:t xml:space="preserve"> </w:t>
      </w:r>
      <w:r>
        <w:rPr>
          <w:rFonts w:hint="eastAsia" w:ascii="宋体" w:hAnsi="宋体" w:cs="宋体"/>
          <w:b/>
          <w:bCs/>
          <w:sz w:val="32"/>
          <w:szCs w:val="32"/>
        </w:rPr>
        <w:t>比选申请文件格式</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_Toc31973 </w:instrText>
      </w:r>
      <w:r>
        <w:rPr>
          <w:rFonts w:hint="eastAsia" w:ascii="宋体" w:hAnsi="宋体" w:cs="宋体"/>
          <w:b/>
          <w:bCs/>
          <w:sz w:val="32"/>
          <w:szCs w:val="32"/>
        </w:rPr>
        <w:fldChar w:fldCharType="separate"/>
      </w:r>
      <w:r>
        <w:rPr>
          <w:rFonts w:hint="eastAsia" w:ascii="宋体" w:hAnsi="宋体" w:cs="宋体"/>
          <w:b/>
          <w:bCs/>
          <w:sz w:val="32"/>
          <w:szCs w:val="32"/>
        </w:rPr>
        <w:t>71</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3751A518">
      <w:pPr>
        <w:pStyle w:val="190"/>
        <w:tabs>
          <w:tab w:val="right" w:leader="dot" w:pos="9072"/>
        </w:tabs>
        <w:spacing w:line="600" w:lineRule="auto"/>
        <w:rPr>
          <w:rFonts w:hint="eastAsia" w:ascii="宋体" w:hAnsi="宋体" w:cs="宋体"/>
          <w:sz w:val="32"/>
          <w:szCs w:val="32"/>
        </w:rPr>
      </w:pPr>
    </w:p>
    <w:p w14:paraId="52374D01">
      <w:pPr>
        <w:pStyle w:val="16"/>
        <w:spacing w:line="600" w:lineRule="auto"/>
        <w:rPr>
          <w:rFonts w:hint="eastAsia" w:ascii="宋体" w:hAnsi="宋体" w:cs="宋体"/>
          <w:sz w:val="32"/>
          <w:szCs w:val="32"/>
        </w:rPr>
      </w:pPr>
      <w:r>
        <w:rPr>
          <w:rFonts w:hint="eastAsia" w:ascii="宋体" w:hAnsi="宋体" w:cs="宋体"/>
          <w:sz w:val="32"/>
          <w:szCs w:val="32"/>
        </w:rPr>
        <w:fldChar w:fldCharType="end"/>
      </w:r>
    </w:p>
    <w:p w14:paraId="2E91FD8D">
      <w:pPr>
        <w:pStyle w:val="31"/>
        <w:tabs>
          <w:tab w:val="right" w:leader="dot" w:pos="9072"/>
        </w:tabs>
        <w:rPr>
          <w:rFonts w:hint="eastAsia" w:ascii="宋体" w:hAnsi="宋体" w:eastAsia="宋体" w:cs="宋体"/>
        </w:rPr>
      </w:pPr>
      <w:r>
        <w:rPr>
          <w:rFonts w:hint="eastAsia" w:ascii="宋体" w:hAnsi="宋体" w:eastAsia="宋体" w:cs="宋体"/>
          <w:b w:val="0"/>
          <w:sz w:val="30"/>
          <w:szCs w:val="30"/>
        </w:rPr>
        <w:fldChar w:fldCharType="begin"/>
      </w:r>
      <w:r>
        <w:rPr>
          <w:rFonts w:hint="eastAsia" w:ascii="宋体" w:hAnsi="宋体" w:eastAsia="宋体" w:cs="宋体"/>
          <w:b w:val="0"/>
          <w:sz w:val="30"/>
          <w:szCs w:val="30"/>
        </w:rPr>
        <w:instrText xml:space="preserve">TOC \o "1-1" \h \u </w:instrText>
      </w:r>
      <w:r>
        <w:rPr>
          <w:rFonts w:hint="eastAsia" w:ascii="宋体" w:hAnsi="宋体" w:eastAsia="宋体" w:cs="宋体"/>
          <w:b w:val="0"/>
          <w:sz w:val="30"/>
          <w:szCs w:val="30"/>
        </w:rPr>
        <w:fldChar w:fldCharType="separate"/>
      </w:r>
    </w:p>
    <w:p w14:paraId="31B8CA10">
      <w:pPr>
        <w:spacing w:line="720" w:lineRule="auto"/>
        <w:rPr>
          <w:rFonts w:hint="eastAsia" w:ascii="宋体" w:hAnsi="宋体" w:cs="宋体"/>
        </w:rPr>
      </w:pPr>
      <w:r>
        <w:rPr>
          <w:rFonts w:hint="eastAsia" w:ascii="宋体" w:hAnsi="宋体" w:cs="宋体"/>
          <w:szCs w:val="30"/>
        </w:rPr>
        <w:fldChar w:fldCharType="end"/>
      </w:r>
    </w:p>
    <w:p w14:paraId="192C985D">
      <w:pPr>
        <w:pStyle w:val="3"/>
        <w:numPr>
          <w:ilvl w:val="0"/>
          <w:numId w:val="0"/>
        </w:numPr>
        <w:spacing w:line="276" w:lineRule="auto"/>
        <w:rPr>
          <w:rFonts w:hint="eastAsia" w:ascii="宋体" w:hAnsi="宋体" w:eastAsia="宋体" w:cs="宋体"/>
          <w:b/>
          <w:kern w:val="0"/>
        </w:rPr>
      </w:pPr>
      <w:r>
        <w:rPr>
          <w:rFonts w:hint="eastAsia" w:ascii="宋体" w:hAnsi="宋体" w:eastAsia="宋体" w:cs="宋体"/>
          <w:b/>
          <w:kern w:val="0"/>
        </w:rPr>
        <w:br w:type="page"/>
      </w:r>
      <w:bookmarkStart w:id="3" w:name="_Toc6569"/>
      <w:bookmarkStart w:id="4" w:name="_Toc6567"/>
      <w:r>
        <w:rPr>
          <w:rFonts w:hint="eastAsia" w:ascii="宋体" w:hAnsi="宋体" w:eastAsia="宋体" w:cs="宋体"/>
          <w:b/>
          <w:kern w:val="0"/>
        </w:rPr>
        <w:t>第一章  比选</w:t>
      </w:r>
      <w:bookmarkEnd w:id="0"/>
      <w:bookmarkEnd w:id="1"/>
      <w:bookmarkEnd w:id="2"/>
      <w:r>
        <w:rPr>
          <w:rFonts w:hint="eastAsia" w:ascii="宋体" w:hAnsi="宋体" w:eastAsia="宋体" w:cs="宋体"/>
          <w:b/>
          <w:kern w:val="0"/>
        </w:rPr>
        <w:t>公告</w:t>
      </w:r>
      <w:bookmarkEnd w:id="3"/>
      <w:bookmarkEnd w:id="4"/>
    </w:p>
    <w:p w14:paraId="5EDDE560">
      <w:pPr>
        <w:rPr>
          <w:rFonts w:hint="eastAsia" w:ascii="宋体" w:hAnsi="宋体" w:cs="宋体"/>
        </w:rPr>
      </w:pPr>
    </w:p>
    <w:p w14:paraId="2EF06ADB">
      <w:pPr>
        <w:pStyle w:val="3"/>
        <w:numPr>
          <w:ilvl w:val="0"/>
          <w:numId w:val="0"/>
        </w:numPr>
        <w:spacing w:line="276" w:lineRule="auto"/>
        <w:rPr>
          <w:rFonts w:hint="eastAsia" w:ascii="宋体" w:hAnsi="宋体" w:eastAsia="宋体" w:cs="宋体"/>
          <w:b/>
          <w:kern w:val="0"/>
          <w:sz w:val="36"/>
          <w:szCs w:val="36"/>
          <w:lang w:eastAsia="zh-CN"/>
        </w:rPr>
      </w:pPr>
      <w:r>
        <w:rPr>
          <w:rFonts w:hint="eastAsia" w:ascii="宋体" w:hAnsi="宋体" w:eastAsia="宋体" w:cs="宋体"/>
          <w:b/>
          <w:kern w:val="0"/>
          <w:sz w:val="36"/>
          <w:szCs w:val="36"/>
          <w:lang w:eastAsia="zh-CN"/>
        </w:rPr>
        <w:t>大河村、高田坎村、真武村、九里村农村生活污水治理</w:t>
      </w:r>
    </w:p>
    <w:p w14:paraId="01B5798F">
      <w:pPr>
        <w:pStyle w:val="3"/>
        <w:numPr>
          <w:ilvl w:val="0"/>
          <w:numId w:val="0"/>
        </w:numPr>
        <w:spacing w:line="276" w:lineRule="auto"/>
        <w:rPr>
          <w:rFonts w:hint="eastAsia" w:ascii="宋体" w:hAnsi="宋体" w:eastAsia="宋体" w:cs="宋体"/>
          <w:b/>
          <w:kern w:val="0"/>
          <w:sz w:val="36"/>
          <w:szCs w:val="36"/>
        </w:rPr>
      </w:pPr>
      <w:r>
        <w:rPr>
          <w:rFonts w:hint="eastAsia" w:ascii="宋体" w:hAnsi="宋体" w:eastAsia="宋体" w:cs="宋体"/>
          <w:b/>
          <w:kern w:val="0"/>
          <w:sz w:val="36"/>
          <w:szCs w:val="36"/>
        </w:rPr>
        <w:t>竞争性比选公告</w:t>
      </w:r>
    </w:p>
    <w:p w14:paraId="2A0502B8">
      <w:pPr>
        <w:pStyle w:val="2"/>
        <w:spacing w:line="480" w:lineRule="auto"/>
        <w:rPr>
          <w:rFonts w:hint="eastAsia" w:ascii="宋体" w:hAnsi="宋体" w:eastAsia="宋体" w:cs="宋体"/>
          <w:snapToGrid w:val="0"/>
          <w:sz w:val="21"/>
          <w:szCs w:val="21"/>
        </w:rPr>
      </w:pPr>
      <w:bookmarkStart w:id="5" w:name="_Toc492644378"/>
      <w:bookmarkStart w:id="6" w:name="_Toc22375566"/>
      <w:bookmarkStart w:id="7" w:name="_Toc266110006"/>
      <w:bookmarkStart w:id="8" w:name="_Toc492994322"/>
      <w:bookmarkStart w:id="9" w:name="_Toc22990008"/>
      <w:r>
        <w:rPr>
          <w:rFonts w:hint="eastAsia" w:ascii="宋体" w:hAnsi="宋体" w:eastAsia="宋体" w:cs="宋体"/>
          <w:snapToGrid w:val="0"/>
          <w:sz w:val="21"/>
          <w:szCs w:val="21"/>
        </w:rPr>
        <w:t>1.比选条件</w:t>
      </w:r>
      <w:bookmarkEnd w:id="5"/>
      <w:bookmarkEnd w:id="6"/>
      <w:bookmarkEnd w:id="7"/>
      <w:bookmarkEnd w:id="8"/>
      <w:bookmarkEnd w:id="9"/>
    </w:p>
    <w:p w14:paraId="1D462749">
      <w:pPr>
        <w:pStyle w:val="23"/>
        <w:snapToGrid w:val="0"/>
        <w:spacing w:line="360" w:lineRule="auto"/>
        <w:ind w:firstLine="457" w:firstLineChars="218"/>
        <w:rPr>
          <w:rFonts w:hint="eastAsia" w:hAnsi="宋体" w:cs="宋体"/>
          <w:snapToGrid w:val="0"/>
          <w:sz w:val="21"/>
          <w:szCs w:val="21"/>
        </w:rPr>
      </w:pPr>
      <w:bookmarkStart w:id="10" w:name="_Toc492994323"/>
      <w:bookmarkStart w:id="11" w:name="_Toc22375567"/>
      <w:bookmarkStart w:id="12" w:name="_Toc22990009"/>
      <w:bookmarkStart w:id="13" w:name="_Toc492644379"/>
      <w:bookmarkStart w:id="14" w:name="_Toc266110007"/>
      <w:r>
        <w:rPr>
          <w:rFonts w:hint="eastAsia" w:hAnsi="宋体" w:cs="宋体"/>
          <w:snapToGrid w:val="0"/>
          <w:sz w:val="21"/>
          <w:szCs w:val="21"/>
        </w:rPr>
        <w:t>本比选项目</w:t>
      </w:r>
      <w:r>
        <w:rPr>
          <w:rFonts w:hint="eastAsia" w:hAnsi="宋体" w:cs="宋体"/>
          <w:snapToGrid w:val="0"/>
          <w:sz w:val="21"/>
          <w:szCs w:val="21"/>
          <w:u w:val="single"/>
          <w:lang w:eastAsia="zh-CN"/>
        </w:rPr>
        <w:t>大河村、高田坎村、真武村、九里村农村生活污水治理</w:t>
      </w:r>
      <w:r>
        <w:rPr>
          <w:rFonts w:hint="eastAsia" w:hAnsi="宋体" w:cs="宋体"/>
          <w:snapToGrid w:val="0"/>
          <w:sz w:val="21"/>
          <w:szCs w:val="21"/>
        </w:rPr>
        <w:t>已批准实施，比选人为</w:t>
      </w:r>
      <w:r>
        <w:rPr>
          <w:rFonts w:hint="eastAsia" w:hAnsi="宋体" w:cs="宋体"/>
          <w:snapToGrid w:val="0"/>
          <w:sz w:val="21"/>
          <w:szCs w:val="21"/>
          <w:u w:val="single"/>
        </w:rPr>
        <w:t>重庆市九龙坡区白市驿镇人民政府</w:t>
      </w:r>
      <w:r>
        <w:rPr>
          <w:rFonts w:hint="eastAsia" w:hAnsi="宋体" w:cs="宋体"/>
          <w:snapToGrid w:val="0"/>
          <w:sz w:val="21"/>
          <w:szCs w:val="21"/>
        </w:rPr>
        <w:t>。建设资金来自</w:t>
      </w:r>
      <w:r>
        <w:rPr>
          <w:rFonts w:hint="eastAsia" w:hAnsi="宋体" w:cs="宋体"/>
          <w:snapToGrid w:val="0"/>
          <w:sz w:val="21"/>
          <w:szCs w:val="21"/>
          <w:u w:val="single"/>
        </w:rPr>
        <w:t>财政资金</w:t>
      </w:r>
      <w:r>
        <w:rPr>
          <w:rFonts w:hint="eastAsia" w:hAnsi="宋体" w:cs="宋体"/>
          <w:snapToGrid w:val="0"/>
          <w:sz w:val="21"/>
          <w:szCs w:val="21"/>
        </w:rPr>
        <w:t>，出资比例</w:t>
      </w:r>
      <w:r>
        <w:rPr>
          <w:rFonts w:hint="eastAsia" w:hAnsi="宋体" w:cs="宋体"/>
          <w:snapToGrid w:val="0"/>
          <w:sz w:val="21"/>
          <w:szCs w:val="21"/>
          <w:u w:val="single"/>
        </w:rPr>
        <w:t>100%</w:t>
      </w:r>
      <w:r>
        <w:rPr>
          <w:rFonts w:hint="eastAsia" w:hAnsi="宋体" w:cs="宋体"/>
          <w:snapToGrid w:val="0"/>
          <w:sz w:val="21"/>
          <w:szCs w:val="21"/>
        </w:rPr>
        <w:t>，现项目已具备招标条件，欢迎有资格的比选申请人参加比选。</w:t>
      </w:r>
    </w:p>
    <w:p w14:paraId="275DEF37">
      <w:pPr>
        <w:pStyle w:val="2"/>
        <w:spacing w:line="480" w:lineRule="auto"/>
        <w:rPr>
          <w:rFonts w:hint="eastAsia" w:ascii="宋体" w:hAnsi="宋体" w:eastAsia="宋体" w:cs="宋体"/>
          <w:snapToGrid w:val="0"/>
          <w:sz w:val="21"/>
          <w:szCs w:val="21"/>
        </w:rPr>
      </w:pPr>
      <w:r>
        <w:rPr>
          <w:rFonts w:hint="eastAsia" w:ascii="宋体" w:hAnsi="宋体" w:eastAsia="宋体" w:cs="宋体"/>
          <w:snapToGrid w:val="0"/>
          <w:sz w:val="21"/>
          <w:szCs w:val="21"/>
        </w:rPr>
        <w:t>2. 项目概况与比选范围</w:t>
      </w:r>
      <w:bookmarkEnd w:id="10"/>
      <w:bookmarkEnd w:id="11"/>
      <w:bookmarkEnd w:id="12"/>
      <w:bookmarkEnd w:id="13"/>
      <w:bookmarkEnd w:id="14"/>
    </w:p>
    <w:p w14:paraId="59AEE6B2">
      <w:pPr>
        <w:pStyle w:val="23"/>
        <w:snapToGrid w:val="0"/>
        <w:spacing w:line="360" w:lineRule="auto"/>
        <w:ind w:firstLine="457" w:firstLineChars="218"/>
        <w:rPr>
          <w:rFonts w:hint="eastAsia" w:hAnsi="宋体" w:cs="宋体"/>
          <w:snapToGrid w:val="0"/>
          <w:sz w:val="21"/>
          <w:szCs w:val="21"/>
        </w:rPr>
      </w:pPr>
      <w:bookmarkStart w:id="15" w:name="_Toc266110008"/>
      <w:r>
        <w:rPr>
          <w:rFonts w:hint="eastAsia" w:hAnsi="宋体" w:cs="宋体"/>
          <w:snapToGrid w:val="0"/>
          <w:sz w:val="21"/>
          <w:szCs w:val="21"/>
        </w:rPr>
        <w:t>2.1 工程地点：</w:t>
      </w:r>
      <w:r>
        <w:rPr>
          <w:rFonts w:hint="eastAsia" w:hAnsi="宋体" w:cs="宋体"/>
          <w:snapToGrid w:val="0"/>
          <w:sz w:val="21"/>
          <w:szCs w:val="21"/>
          <w:u w:val="single"/>
        </w:rPr>
        <w:t>白市驿镇</w:t>
      </w:r>
      <w:r>
        <w:rPr>
          <w:rFonts w:hint="eastAsia" w:hAnsi="宋体" w:cs="宋体"/>
          <w:snapToGrid w:val="0"/>
          <w:sz w:val="21"/>
          <w:szCs w:val="21"/>
        </w:rPr>
        <w:t>。</w:t>
      </w:r>
    </w:p>
    <w:p w14:paraId="25D53313">
      <w:pPr>
        <w:pStyle w:val="23"/>
        <w:snapToGrid w:val="0"/>
        <w:spacing w:line="360" w:lineRule="auto"/>
        <w:ind w:firstLine="457" w:firstLineChars="218"/>
        <w:rPr>
          <w:rFonts w:hint="eastAsia" w:hAnsi="宋体" w:cs="宋体"/>
          <w:snapToGrid w:val="0"/>
          <w:sz w:val="21"/>
          <w:szCs w:val="21"/>
        </w:rPr>
      </w:pPr>
      <w:r>
        <w:rPr>
          <w:rFonts w:hint="eastAsia" w:hAnsi="宋体" w:cs="宋体"/>
          <w:snapToGrid w:val="0"/>
          <w:sz w:val="21"/>
          <w:szCs w:val="21"/>
        </w:rPr>
        <w:t>2.2 工程规模：本次项目</w:t>
      </w:r>
      <w:r>
        <w:rPr>
          <w:rFonts w:hint="eastAsia" w:hAnsi="宋体" w:cs="宋体"/>
          <w:snapToGrid w:val="0"/>
          <w:sz w:val="21"/>
          <w:szCs w:val="21"/>
          <w:lang w:val="en-US" w:eastAsia="zh-CN"/>
        </w:rPr>
        <w:t>招标控价金额</w:t>
      </w:r>
      <w:r>
        <w:rPr>
          <w:rFonts w:hint="eastAsia" w:hAnsi="宋体" w:cs="宋体"/>
          <w:snapToGrid w:val="0"/>
          <w:sz w:val="21"/>
          <w:szCs w:val="21"/>
        </w:rPr>
        <w:t>：</w:t>
      </w:r>
      <w:r>
        <w:rPr>
          <w:rFonts w:hint="eastAsia" w:hAnsi="宋体" w:cs="宋体"/>
          <w:snapToGrid w:val="0"/>
          <w:sz w:val="21"/>
          <w:szCs w:val="21"/>
          <w:u w:val="single"/>
          <w:lang w:val="en-US" w:eastAsia="zh-CN"/>
        </w:rPr>
        <w:t>167045.28</w:t>
      </w:r>
      <w:r>
        <w:rPr>
          <w:rFonts w:hint="eastAsia" w:hAnsi="宋体" w:cs="宋体"/>
          <w:snapToGrid w:val="0"/>
          <w:sz w:val="21"/>
          <w:szCs w:val="21"/>
        </w:rPr>
        <w:t>元。</w:t>
      </w:r>
    </w:p>
    <w:p w14:paraId="7F1535C4">
      <w:pPr>
        <w:pStyle w:val="23"/>
        <w:snapToGrid w:val="0"/>
        <w:spacing w:line="360" w:lineRule="auto"/>
        <w:ind w:firstLine="457" w:firstLineChars="218"/>
        <w:rPr>
          <w:rFonts w:hint="eastAsia" w:hAnsi="宋体" w:cs="宋体"/>
          <w:snapToGrid w:val="0"/>
          <w:sz w:val="21"/>
          <w:szCs w:val="21"/>
          <w:highlight w:val="none"/>
        </w:rPr>
      </w:pPr>
      <w:r>
        <w:rPr>
          <w:rFonts w:hint="eastAsia" w:hAnsi="宋体" w:cs="宋体"/>
          <w:snapToGrid w:val="0"/>
          <w:sz w:val="21"/>
          <w:szCs w:val="21"/>
        </w:rPr>
        <w:t>2.3 比选招标范围：</w:t>
      </w:r>
      <w:r>
        <w:rPr>
          <w:rFonts w:hint="eastAsia" w:hAnsi="宋体" w:cs="宋体"/>
          <w:snapToGrid w:val="0"/>
          <w:sz w:val="21"/>
          <w:szCs w:val="21"/>
          <w:u w:val="single"/>
          <w:lang w:eastAsia="zh-CN"/>
        </w:rPr>
        <w:t>对大河村、高田坎村、真武村、九里村58户（以实际验收户数为准）生活污水进行治理</w:t>
      </w:r>
      <w:r>
        <w:rPr>
          <w:rFonts w:hint="eastAsia" w:hAnsi="宋体" w:cs="MingLiU"/>
          <w:snapToGrid w:val="0"/>
          <w:sz w:val="21"/>
          <w:szCs w:val="21"/>
          <w:u w:val="single"/>
          <w:lang w:val="zh-CN"/>
        </w:rPr>
        <w:t>。</w:t>
      </w:r>
    </w:p>
    <w:p w14:paraId="6BBCA68C">
      <w:pPr>
        <w:pStyle w:val="23"/>
        <w:snapToGrid w:val="0"/>
        <w:spacing w:line="360" w:lineRule="auto"/>
        <w:ind w:firstLine="457" w:firstLineChars="218"/>
        <w:rPr>
          <w:rFonts w:hint="eastAsia" w:hAnsi="宋体" w:cs="宋体"/>
          <w:snapToGrid w:val="0"/>
          <w:sz w:val="21"/>
          <w:szCs w:val="21"/>
          <w:highlight w:val="none"/>
        </w:rPr>
      </w:pPr>
      <w:r>
        <w:rPr>
          <w:rFonts w:hint="eastAsia" w:hAnsi="宋体" w:cs="宋体"/>
          <w:snapToGrid w:val="0"/>
          <w:sz w:val="21"/>
          <w:szCs w:val="21"/>
          <w:highlight w:val="none"/>
        </w:rPr>
        <w:t>2.4 计划工期：总工期30日历天。（具体进场开工时间，以项目业主通知为准）。</w:t>
      </w:r>
    </w:p>
    <w:p w14:paraId="3F4E3CEC">
      <w:pPr>
        <w:pStyle w:val="2"/>
        <w:spacing w:line="480" w:lineRule="auto"/>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3.比选申请人资格要求</w:t>
      </w:r>
      <w:bookmarkEnd w:id="15"/>
    </w:p>
    <w:p w14:paraId="37841183">
      <w:pPr>
        <w:pStyle w:val="23"/>
        <w:snapToGrid w:val="0"/>
        <w:spacing w:line="360" w:lineRule="auto"/>
        <w:ind w:firstLine="457" w:firstLineChars="218"/>
        <w:rPr>
          <w:rFonts w:hint="eastAsia" w:hAnsi="宋体" w:cs="宋体"/>
          <w:snapToGrid w:val="0"/>
          <w:sz w:val="21"/>
          <w:szCs w:val="21"/>
          <w:highlight w:val="none"/>
        </w:rPr>
      </w:pPr>
      <w:bookmarkStart w:id="16" w:name="_Toc266110009"/>
      <w:bookmarkStart w:id="17" w:name="_Toc492644380"/>
      <w:bookmarkStart w:id="18" w:name="_Toc492994324"/>
      <w:r>
        <w:rPr>
          <w:rFonts w:hint="eastAsia" w:hAnsi="宋体" w:cs="宋体"/>
          <w:snapToGrid w:val="0"/>
          <w:sz w:val="21"/>
          <w:szCs w:val="21"/>
          <w:highlight w:val="none"/>
        </w:rPr>
        <w:t>3.1本次招标实行资格后审，比选申请人应同时满足下列资格条件要求：</w:t>
      </w:r>
    </w:p>
    <w:p w14:paraId="60A09805">
      <w:pPr>
        <w:pStyle w:val="23"/>
        <w:snapToGrid w:val="0"/>
        <w:spacing w:line="360" w:lineRule="auto"/>
        <w:ind w:firstLine="457" w:firstLineChars="218"/>
        <w:rPr>
          <w:rFonts w:hint="eastAsia" w:hAnsi="宋体" w:cs="宋体"/>
          <w:snapToGrid w:val="0"/>
          <w:sz w:val="21"/>
          <w:szCs w:val="21"/>
        </w:rPr>
      </w:pPr>
      <w:r>
        <w:rPr>
          <w:rFonts w:hint="eastAsia" w:hAnsi="宋体" w:cs="宋体"/>
          <w:snapToGrid w:val="0"/>
          <w:sz w:val="21"/>
          <w:szCs w:val="21"/>
          <w:highlight w:val="none"/>
        </w:rPr>
        <w:t>3.1.1比选申请人必须是独立法人资格的单</w:t>
      </w:r>
      <w:r>
        <w:rPr>
          <w:rFonts w:hint="eastAsia" w:hAnsi="宋体" w:cs="宋体"/>
          <w:snapToGrid w:val="0"/>
          <w:sz w:val="21"/>
          <w:szCs w:val="21"/>
        </w:rPr>
        <w:t>位；</w:t>
      </w:r>
    </w:p>
    <w:p w14:paraId="0BF4D1F5">
      <w:pPr>
        <w:pStyle w:val="23"/>
        <w:snapToGrid w:val="0"/>
        <w:spacing w:line="360" w:lineRule="auto"/>
        <w:ind w:firstLine="457" w:firstLineChars="218"/>
        <w:rPr>
          <w:rFonts w:hint="eastAsia" w:hAnsi="宋体" w:eastAsia="宋体" w:cs="宋体"/>
          <w:snapToGrid w:val="0"/>
          <w:sz w:val="21"/>
          <w:szCs w:val="21"/>
          <w:u w:val="single"/>
          <w:lang w:val="en-US" w:eastAsia="zh-CN"/>
        </w:rPr>
      </w:pPr>
      <w:r>
        <w:rPr>
          <w:rFonts w:hint="eastAsia" w:hAnsi="宋体" w:cs="宋体"/>
          <w:snapToGrid w:val="0"/>
          <w:sz w:val="21"/>
          <w:szCs w:val="21"/>
        </w:rPr>
        <w:t>3.1.2具备建设行政主管部门颁发的</w:t>
      </w:r>
      <w:r>
        <w:rPr>
          <w:rFonts w:hint="eastAsia" w:hAnsi="宋体" w:cs="宋体"/>
          <w:snapToGrid w:val="0"/>
          <w:sz w:val="21"/>
          <w:szCs w:val="21"/>
          <w:u w:val="single"/>
          <w:lang w:eastAsia="zh-CN"/>
        </w:rPr>
        <w:t>市政公用工程施工总承包三级及以上资质。</w:t>
      </w:r>
    </w:p>
    <w:p w14:paraId="6547D957">
      <w:pPr>
        <w:pStyle w:val="23"/>
        <w:snapToGrid w:val="0"/>
        <w:spacing w:line="360" w:lineRule="auto"/>
        <w:ind w:firstLine="457" w:firstLineChars="218"/>
        <w:rPr>
          <w:rFonts w:hint="eastAsia" w:hAnsi="宋体" w:cs="宋体"/>
          <w:snapToGrid w:val="0"/>
          <w:sz w:val="21"/>
          <w:szCs w:val="21"/>
        </w:rPr>
      </w:pPr>
      <w:r>
        <w:rPr>
          <w:rFonts w:hint="eastAsia" w:hAnsi="宋体" w:cs="宋体"/>
          <w:snapToGrid w:val="0"/>
          <w:sz w:val="21"/>
          <w:szCs w:val="21"/>
        </w:rPr>
        <w:t>3.2本次招标不接受联合体比选投标。</w:t>
      </w:r>
    </w:p>
    <w:bookmarkEnd w:id="16"/>
    <w:bookmarkEnd w:id="17"/>
    <w:bookmarkEnd w:id="18"/>
    <w:p w14:paraId="1069D4B2">
      <w:pPr>
        <w:pStyle w:val="2"/>
        <w:spacing w:line="360" w:lineRule="auto"/>
        <w:rPr>
          <w:rFonts w:hint="eastAsia" w:ascii="宋体" w:hAnsi="宋体" w:eastAsia="宋体" w:cs="宋体"/>
          <w:snapToGrid w:val="0"/>
          <w:sz w:val="21"/>
          <w:szCs w:val="21"/>
        </w:rPr>
      </w:pPr>
      <w:bookmarkStart w:id="19" w:name="_Toc22375568"/>
      <w:bookmarkStart w:id="20" w:name="_Toc22990010"/>
      <w:r>
        <w:rPr>
          <w:rFonts w:hint="eastAsia" w:ascii="宋体" w:hAnsi="宋体" w:eastAsia="宋体" w:cs="宋体"/>
          <w:snapToGrid w:val="0"/>
          <w:sz w:val="21"/>
          <w:szCs w:val="21"/>
        </w:rPr>
        <w:t>4.比选文件的获取</w:t>
      </w:r>
      <w:bookmarkEnd w:id="19"/>
      <w:bookmarkEnd w:id="20"/>
    </w:p>
    <w:p w14:paraId="47116E54">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cs="宋体"/>
          <w:snapToGrid w:val="0"/>
          <w:kern w:val="0"/>
        </w:rPr>
      </w:pPr>
      <w:bookmarkStart w:id="21" w:name="_Toc492994325"/>
      <w:bookmarkStart w:id="22" w:name="_Toc492644381"/>
      <w:bookmarkStart w:id="23" w:name="_Toc22375569"/>
      <w:bookmarkStart w:id="24" w:name="_Toc22990011"/>
      <w:bookmarkStart w:id="25" w:name="_Toc266110010"/>
      <w:r>
        <w:rPr>
          <w:rFonts w:hint="eastAsia" w:ascii="宋体" w:hAnsi="宋体" w:cs="宋体"/>
          <w:snapToGrid w:val="0"/>
          <w:kern w:val="0"/>
        </w:rPr>
        <w:t>4.1本次招标信息在“行采家https://www.gec123.com”发布。</w:t>
      </w:r>
    </w:p>
    <w:p w14:paraId="3A35335F">
      <w:pPr>
        <w:keepNext w:val="0"/>
        <w:keepLines w:val="0"/>
        <w:pageBreakBefore w:val="0"/>
        <w:widowControl w:val="0"/>
        <w:tabs>
          <w:tab w:val="left" w:pos="3840"/>
          <w:tab w:val="left" w:pos="5300"/>
        </w:tabs>
        <w:kinsoku/>
        <w:wordWrap w:val="0"/>
        <w:overflowPunct/>
        <w:topLinePunct w:val="0"/>
        <w:autoSpaceDE w:val="0"/>
        <w:autoSpaceDN w:val="0"/>
        <w:bidi w:val="0"/>
        <w:adjustRightInd w:val="0"/>
        <w:snapToGrid w:val="0"/>
        <w:spacing w:line="460" w:lineRule="exact"/>
        <w:ind w:firstLine="420" w:firstLineChars="200"/>
        <w:jc w:val="left"/>
        <w:textAlignment w:val="auto"/>
        <w:rPr>
          <w:rFonts w:hint="eastAsia" w:ascii="仿宋" w:hAnsi="仿宋" w:eastAsia="仿宋" w:cs="仿宋"/>
          <w:color w:val="auto"/>
          <w:sz w:val="24"/>
          <w:szCs w:val="24"/>
          <w:highlight w:val="none"/>
          <w:lang w:val="en-US" w:eastAsia="zh-CN"/>
        </w:rPr>
      </w:pPr>
      <w:r>
        <w:rPr>
          <w:rFonts w:hint="eastAsia" w:ascii="宋体" w:hAnsi="宋体" w:cs="宋体"/>
          <w:snapToGrid w:val="0"/>
          <w:kern w:val="0"/>
        </w:rPr>
        <w:t>4.2凡有意参加投标者，请</w:t>
      </w:r>
      <w:r>
        <w:rPr>
          <w:rFonts w:hint="eastAsia" w:ascii="宋体" w:hAnsi="宋体" w:eastAsia="宋体" w:cs="宋体"/>
          <w:snapToGrid w:val="0"/>
          <w:kern w:val="0"/>
          <w:lang w:val="en-US" w:eastAsia="zh-CN"/>
        </w:rPr>
        <w:t>在文件发售期限内</w:t>
      </w:r>
      <w:r>
        <w:rPr>
          <w:rFonts w:hint="eastAsia" w:ascii="宋体" w:hAnsi="宋体" w:eastAsia="宋体" w:cs="宋体"/>
          <w:color w:val="auto"/>
          <w:sz w:val="24"/>
          <w:szCs w:val="24"/>
          <w:highlight w:val="none"/>
          <w:lang w:val="en-US" w:eastAsia="zh-CN"/>
        </w:rPr>
        <w:t>（</w:t>
      </w:r>
      <w:r>
        <w:rPr>
          <w:rFonts w:hint="eastAsia" w:ascii="宋体" w:hAnsi="宋体" w:cs="宋体"/>
          <w:snapToGrid w:val="0"/>
          <w:kern w:val="0"/>
          <w:highlight w:val="none"/>
        </w:rPr>
        <w:t>202</w:t>
      </w:r>
      <w:r>
        <w:rPr>
          <w:rFonts w:hint="eastAsia" w:ascii="宋体" w:hAnsi="宋体" w:cs="宋体"/>
          <w:snapToGrid w:val="0"/>
          <w:kern w:val="0"/>
          <w:highlight w:val="none"/>
          <w:lang w:val="en-US" w:eastAsia="zh-CN"/>
        </w:rPr>
        <w:t>5</w:t>
      </w:r>
      <w:r>
        <w:rPr>
          <w:rFonts w:hint="eastAsia" w:ascii="宋体" w:hAnsi="宋体" w:cs="宋体"/>
          <w:snapToGrid w:val="0"/>
          <w:kern w:val="0"/>
          <w:highlight w:val="none"/>
        </w:rPr>
        <w:t>年</w:t>
      </w:r>
      <w:r>
        <w:rPr>
          <w:rFonts w:hint="eastAsia" w:ascii="宋体" w:hAnsi="宋体" w:cs="宋体"/>
          <w:snapToGrid w:val="0"/>
          <w:kern w:val="0"/>
          <w:highlight w:val="none"/>
          <w:lang w:val="en-US" w:eastAsia="zh-CN"/>
        </w:rPr>
        <w:t>06</w:t>
      </w:r>
      <w:r>
        <w:rPr>
          <w:rFonts w:hint="eastAsia" w:ascii="宋体" w:hAnsi="宋体" w:cs="宋体"/>
          <w:snapToGrid w:val="0"/>
          <w:kern w:val="0"/>
          <w:highlight w:val="none"/>
        </w:rPr>
        <w:t>月</w:t>
      </w:r>
      <w:r>
        <w:rPr>
          <w:rFonts w:hint="eastAsia" w:ascii="宋体" w:hAnsi="宋体" w:cs="宋体"/>
          <w:snapToGrid w:val="0"/>
          <w:kern w:val="0"/>
          <w:highlight w:val="none"/>
          <w:lang w:val="en-US" w:eastAsia="zh-CN"/>
        </w:rPr>
        <w:t>09</w:t>
      </w:r>
      <w:r>
        <w:rPr>
          <w:rFonts w:hint="eastAsia" w:ascii="宋体" w:hAnsi="宋体" w:cs="宋体"/>
          <w:snapToGrid w:val="0"/>
          <w:kern w:val="0"/>
          <w:highlight w:val="none"/>
        </w:rPr>
        <w:t>日至202</w:t>
      </w:r>
      <w:r>
        <w:rPr>
          <w:rFonts w:hint="eastAsia" w:ascii="宋体" w:hAnsi="宋体" w:cs="宋体"/>
          <w:snapToGrid w:val="0"/>
          <w:kern w:val="0"/>
          <w:highlight w:val="none"/>
          <w:lang w:val="en-US" w:eastAsia="zh-CN"/>
        </w:rPr>
        <w:t>5</w:t>
      </w:r>
      <w:r>
        <w:rPr>
          <w:rFonts w:hint="eastAsia" w:ascii="宋体" w:hAnsi="宋体" w:cs="宋体"/>
          <w:snapToGrid w:val="0"/>
          <w:kern w:val="0"/>
          <w:highlight w:val="none"/>
        </w:rPr>
        <w:t>年</w:t>
      </w:r>
      <w:r>
        <w:rPr>
          <w:rFonts w:hint="eastAsia" w:ascii="宋体" w:hAnsi="宋体" w:cs="宋体"/>
          <w:snapToGrid w:val="0"/>
          <w:kern w:val="0"/>
          <w:highlight w:val="none"/>
          <w:lang w:val="en-US" w:eastAsia="zh-CN"/>
        </w:rPr>
        <w:t>06</w:t>
      </w:r>
      <w:r>
        <w:rPr>
          <w:rFonts w:hint="eastAsia" w:ascii="宋体" w:hAnsi="宋体" w:cs="宋体"/>
          <w:snapToGrid w:val="0"/>
          <w:kern w:val="0"/>
          <w:highlight w:val="none"/>
        </w:rPr>
        <w:t>月</w:t>
      </w:r>
      <w:r>
        <w:rPr>
          <w:rFonts w:hint="eastAsia" w:ascii="宋体" w:hAnsi="宋体" w:cs="宋体"/>
          <w:snapToGrid w:val="0"/>
          <w:kern w:val="0"/>
          <w:highlight w:val="none"/>
          <w:lang w:val="en-US" w:eastAsia="zh-CN"/>
        </w:rPr>
        <w:t>12</w:t>
      </w:r>
      <w:r>
        <w:rPr>
          <w:rFonts w:hint="eastAsia" w:ascii="宋体" w:hAnsi="宋体" w:cs="宋体"/>
          <w:snapToGrid w:val="0"/>
          <w:kern w:val="0"/>
          <w:highlight w:val="none"/>
        </w:rPr>
        <w:t>日</w:t>
      </w:r>
      <w:r>
        <w:rPr>
          <w:rFonts w:hint="eastAsia" w:ascii="宋体" w:hAnsi="宋体" w:cs="宋体"/>
          <w:snapToGrid w:val="0"/>
          <w:kern w:val="0"/>
          <w:highlight w:val="none"/>
          <w:lang w:val="en-US" w:eastAsia="zh-CN"/>
        </w:rPr>
        <w:t>17:00</w:t>
      </w:r>
      <w:r>
        <w:rPr>
          <w:rFonts w:hint="eastAsia" w:ascii="宋体" w:hAnsi="宋体" w:cs="宋体"/>
          <w:snapToGrid w:val="0"/>
          <w:kern w:val="0"/>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snapToGrid w:val="0"/>
          <w:kern w:val="0"/>
          <w:lang w:val="en-US" w:eastAsia="zh-CN"/>
        </w:rPr>
        <w:t>比选申请人须将附件1《比选文件发售登记表》（加盖</w:t>
      </w:r>
      <w:r>
        <w:rPr>
          <w:rFonts w:hint="eastAsia" w:ascii="宋体" w:hAnsi="宋体" w:cs="宋体"/>
          <w:snapToGrid w:val="0"/>
          <w:kern w:val="0"/>
          <w:lang w:val="en-US" w:eastAsia="zh-CN"/>
        </w:rPr>
        <w:t>比选申请人</w:t>
      </w:r>
      <w:r>
        <w:rPr>
          <w:rFonts w:hint="eastAsia" w:ascii="宋体" w:hAnsi="宋体" w:eastAsia="宋体" w:cs="宋体"/>
          <w:snapToGrid w:val="0"/>
          <w:kern w:val="0"/>
          <w:lang w:val="en-US" w:eastAsia="zh-CN"/>
        </w:rPr>
        <w:t>公章）扫描后发送至</w:t>
      </w:r>
      <w:r>
        <w:rPr>
          <w:rFonts w:hint="eastAsia" w:ascii="宋体" w:hAnsi="宋体" w:cs="宋体"/>
          <w:snapToGrid w:val="0"/>
          <w:kern w:val="0"/>
          <w:lang w:val="en-US" w:eastAsia="zh-CN"/>
        </w:rPr>
        <w:t>3919534260@qq.com</w:t>
      </w:r>
      <w:r>
        <w:rPr>
          <w:rFonts w:hint="eastAsia" w:ascii="宋体" w:hAnsi="宋体" w:eastAsia="宋体" w:cs="宋体"/>
          <w:snapToGrid w:val="0"/>
          <w:kern w:val="0"/>
          <w:lang w:val="en-US" w:eastAsia="zh-CN"/>
        </w:rPr>
        <w:t>或到代理机构递交纸质件，按要求发送邮箱或递交纸质件的比选申请人方才报名成功。（邮件主题为：项目名称+</w:t>
      </w:r>
      <w:r>
        <w:rPr>
          <w:rFonts w:hint="eastAsia" w:ascii="宋体" w:hAnsi="宋体" w:cs="宋体"/>
          <w:snapToGrid w:val="0"/>
          <w:kern w:val="0"/>
          <w:lang w:val="en-US" w:eastAsia="zh-CN"/>
        </w:rPr>
        <w:t>比选申请人</w:t>
      </w:r>
      <w:r>
        <w:rPr>
          <w:rFonts w:hint="eastAsia" w:ascii="宋体" w:hAnsi="宋体" w:eastAsia="宋体" w:cs="宋体"/>
          <w:snapToGrid w:val="0"/>
          <w:kern w:val="0"/>
          <w:lang w:val="en-US" w:eastAsia="zh-CN"/>
        </w:rPr>
        <w:t>名称）</w:t>
      </w:r>
    </w:p>
    <w:p w14:paraId="79AF0244">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宋体"/>
          <w:snapToGrid w:val="0"/>
          <w:kern w:val="0"/>
        </w:rPr>
      </w:pPr>
      <w:r>
        <w:rPr>
          <w:rFonts w:hint="eastAsia" w:ascii="宋体" w:hAnsi="宋体" w:cs="宋体"/>
          <w:snapToGrid w:val="0"/>
          <w:kern w:val="0"/>
        </w:rPr>
        <w:t>4.3比选文件每套售价￥500元，售后不退，由比选申请人在报名时一并缴纳。未按规定报名的投标无效。</w:t>
      </w:r>
    </w:p>
    <w:p w14:paraId="49F6EBE2">
      <w:pPr>
        <w:pStyle w:val="2"/>
        <w:spacing w:line="360" w:lineRule="auto"/>
        <w:ind w:firstLine="420" w:firstLineChars="200"/>
        <w:rPr>
          <w:rFonts w:hint="eastAsia" w:ascii="宋体" w:hAnsi="宋体" w:eastAsia="宋体" w:cs="宋体"/>
          <w:b w:val="0"/>
          <w:snapToGrid w:val="0"/>
          <w:sz w:val="21"/>
          <w:szCs w:val="21"/>
        </w:rPr>
      </w:pPr>
      <w:r>
        <w:rPr>
          <w:rFonts w:hint="eastAsia" w:ascii="宋体" w:hAnsi="宋体" w:eastAsia="宋体" w:cs="宋体"/>
          <w:b w:val="0"/>
          <w:snapToGrid w:val="0"/>
          <w:sz w:val="21"/>
          <w:szCs w:val="21"/>
        </w:rPr>
        <w:t>4.4 比选人发出的答疑及补遗书，比选人在开标前以电话通知并传真或电子邮件的方式将关于本工程答疑、补遗等相关资料传真给比选申请人，若比选申请人未及时接收任何关于本工程的相关文件资料，则比选人视为比选申请人已了解，并不对此负任何责任。</w:t>
      </w:r>
    </w:p>
    <w:p w14:paraId="20C40D5A">
      <w:pPr>
        <w:pStyle w:val="2"/>
        <w:spacing w:line="360" w:lineRule="auto"/>
        <w:rPr>
          <w:rFonts w:hint="eastAsia" w:ascii="宋体" w:hAnsi="宋体" w:eastAsia="宋体" w:cs="宋体"/>
          <w:snapToGrid w:val="0"/>
          <w:sz w:val="21"/>
          <w:szCs w:val="21"/>
        </w:rPr>
      </w:pPr>
      <w:r>
        <w:rPr>
          <w:rFonts w:hint="eastAsia" w:ascii="宋体" w:hAnsi="宋体" w:eastAsia="宋体" w:cs="宋体"/>
          <w:snapToGrid w:val="0"/>
          <w:sz w:val="21"/>
          <w:szCs w:val="21"/>
        </w:rPr>
        <w:t>5.比选文件的递交</w:t>
      </w:r>
      <w:bookmarkEnd w:id="21"/>
      <w:bookmarkEnd w:id="22"/>
      <w:bookmarkEnd w:id="23"/>
      <w:bookmarkEnd w:id="24"/>
      <w:bookmarkEnd w:id="25"/>
    </w:p>
    <w:p w14:paraId="1C40FDC7">
      <w:pPr>
        <w:pStyle w:val="23"/>
        <w:snapToGrid w:val="0"/>
        <w:spacing w:line="360" w:lineRule="auto"/>
        <w:ind w:firstLine="457" w:firstLineChars="218"/>
        <w:rPr>
          <w:rFonts w:hint="eastAsia" w:hAnsi="宋体" w:cs="宋体"/>
          <w:snapToGrid w:val="0"/>
          <w:sz w:val="21"/>
          <w:szCs w:val="21"/>
        </w:rPr>
      </w:pPr>
      <w:bookmarkStart w:id="26" w:name="_Toc266110011"/>
      <w:r>
        <w:rPr>
          <w:rFonts w:hint="eastAsia" w:hAnsi="宋体" w:cs="宋体"/>
          <w:snapToGrid w:val="0"/>
          <w:sz w:val="21"/>
          <w:szCs w:val="21"/>
        </w:rPr>
        <w:t>5.1 纸质比选申请文件递交时间：</w:t>
      </w:r>
      <w:r>
        <w:rPr>
          <w:rFonts w:hint="eastAsia" w:hAnsi="宋体" w:cs="宋体"/>
          <w:snapToGrid w:val="0"/>
          <w:sz w:val="21"/>
          <w:szCs w:val="21"/>
          <w:highlight w:val="none"/>
        </w:rPr>
        <w:t>202</w:t>
      </w:r>
      <w:r>
        <w:rPr>
          <w:rFonts w:hint="eastAsia" w:hAnsi="宋体" w:cs="宋体"/>
          <w:snapToGrid w:val="0"/>
          <w:sz w:val="21"/>
          <w:szCs w:val="21"/>
          <w:highlight w:val="none"/>
          <w:lang w:val="en-US" w:eastAsia="zh-CN"/>
        </w:rPr>
        <w:t>5</w:t>
      </w:r>
      <w:r>
        <w:rPr>
          <w:rFonts w:hint="eastAsia" w:hAnsi="宋体" w:cs="宋体"/>
          <w:snapToGrid w:val="0"/>
          <w:sz w:val="21"/>
          <w:szCs w:val="21"/>
          <w:highlight w:val="none"/>
        </w:rPr>
        <w:t>年</w:t>
      </w:r>
      <w:r>
        <w:rPr>
          <w:rFonts w:hint="eastAsia" w:hAnsi="宋体" w:cs="宋体"/>
          <w:snapToGrid w:val="0"/>
          <w:sz w:val="21"/>
          <w:szCs w:val="21"/>
          <w:highlight w:val="none"/>
          <w:lang w:val="en-US" w:eastAsia="zh-CN"/>
        </w:rPr>
        <w:t>06</w:t>
      </w:r>
      <w:r>
        <w:rPr>
          <w:rFonts w:hint="eastAsia" w:hAnsi="宋体" w:cs="宋体"/>
          <w:snapToGrid w:val="0"/>
          <w:sz w:val="21"/>
          <w:szCs w:val="21"/>
          <w:highlight w:val="none"/>
        </w:rPr>
        <w:t>月</w:t>
      </w:r>
      <w:r>
        <w:rPr>
          <w:rFonts w:hint="eastAsia" w:hAnsi="宋体" w:cs="宋体"/>
          <w:snapToGrid w:val="0"/>
          <w:sz w:val="21"/>
          <w:szCs w:val="21"/>
          <w:highlight w:val="none"/>
          <w:lang w:val="en-US" w:eastAsia="zh-CN"/>
        </w:rPr>
        <w:t>16</w:t>
      </w:r>
      <w:r>
        <w:rPr>
          <w:rFonts w:hint="eastAsia" w:hAnsi="宋体" w:cs="宋体"/>
          <w:snapToGrid w:val="0"/>
          <w:sz w:val="21"/>
          <w:szCs w:val="21"/>
          <w:highlight w:val="none"/>
        </w:rPr>
        <w:t>日</w:t>
      </w:r>
      <w:r>
        <w:rPr>
          <w:rFonts w:hint="eastAsia" w:hAnsi="宋体" w:cs="宋体"/>
          <w:snapToGrid w:val="0"/>
          <w:sz w:val="21"/>
          <w:szCs w:val="21"/>
          <w:highlight w:val="none"/>
          <w:lang w:val="en-US" w:eastAsia="zh-CN"/>
        </w:rPr>
        <w:t>14</w:t>
      </w:r>
      <w:r>
        <w:rPr>
          <w:rFonts w:hint="eastAsia" w:hAnsi="宋体" w:cs="宋体"/>
          <w:snapToGrid w:val="0"/>
          <w:sz w:val="21"/>
          <w:szCs w:val="21"/>
          <w:highlight w:val="none"/>
        </w:rPr>
        <w:t>时30分至1</w:t>
      </w:r>
      <w:r>
        <w:rPr>
          <w:rFonts w:hint="eastAsia" w:hAnsi="宋体" w:cs="宋体"/>
          <w:snapToGrid w:val="0"/>
          <w:sz w:val="21"/>
          <w:szCs w:val="21"/>
          <w:highlight w:val="none"/>
          <w:lang w:val="en-US" w:eastAsia="zh-CN"/>
        </w:rPr>
        <w:t>5</w:t>
      </w:r>
      <w:r>
        <w:rPr>
          <w:rFonts w:hint="eastAsia" w:hAnsi="宋体" w:cs="宋体"/>
          <w:snapToGrid w:val="0"/>
          <w:sz w:val="21"/>
          <w:szCs w:val="21"/>
          <w:highlight w:val="none"/>
        </w:rPr>
        <w:t>时00分</w:t>
      </w:r>
      <w:r>
        <w:rPr>
          <w:rFonts w:hint="eastAsia" w:hAnsi="宋体" w:cs="宋体"/>
          <w:snapToGrid w:val="0"/>
          <w:sz w:val="21"/>
          <w:szCs w:val="21"/>
        </w:rPr>
        <w:t>。比选申请文件的递交截止和比选时间：</w:t>
      </w:r>
      <w:r>
        <w:rPr>
          <w:rFonts w:hint="eastAsia" w:hAnsi="宋体" w:cs="宋体"/>
          <w:snapToGrid w:val="0"/>
          <w:sz w:val="21"/>
          <w:szCs w:val="21"/>
          <w:highlight w:val="none"/>
        </w:rPr>
        <w:t>202</w:t>
      </w:r>
      <w:r>
        <w:rPr>
          <w:rFonts w:hint="eastAsia" w:hAnsi="宋体" w:cs="宋体"/>
          <w:snapToGrid w:val="0"/>
          <w:sz w:val="21"/>
          <w:szCs w:val="21"/>
          <w:highlight w:val="none"/>
          <w:lang w:val="en-US" w:eastAsia="zh-CN"/>
        </w:rPr>
        <w:t>5</w:t>
      </w:r>
      <w:r>
        <w:rPr>
          <w:rFonts w:hint="eastAsia" w:hAnsi="宋体" w:cs="宋体"/>
          <w:snapToGrid w:val="0"/>
          <w:sz w:val="21"/>
          <w:szCs w:val="21"/>
          <w:highlight w:val="none"/>
        </w:rPr>
        <w:t>年</w:t>
      </w:r>
      <w:r>
        <w:rPr>
          <w:rFonts w:hint="eastAsia" w:hAnsi="宋体" w:cs="宋体"/>
          <w:snapToGrid w:val="0"/>
          <w:sz w:val="21"/>
          <w:szCs w:val="21"/>
          <w:highlight w:val="none"/>
          <w:lang w:val="en-US" w:eastAsia="zh-CN"/>
        </w:rPr>
        <w:t>06</w:t>
      </w:r>
      <w:r>
        <w:rPr>
          <w:rFonts w:hint="eastAsia" w:hAnsi="宋体" w:cs="宋体"/>
          <w:snapToGrid w:val="0"/>
          <w:sz w:val="21"/>
          <w:szCs w:val="21"/>
          <w:highlight w:val="none"/>
        </w:rPr>
        <w:t>月</w:t>
      </w:r>
      <w:r>
        <w:rPr>
          <w:rFonts w:hint="eastAsia" w:hAnsi="宋体" w:cs="宋体"/>
          <w:snapToGrid w:val="0"/>
          <w:sz w:val="21"/>
          <w:szCs w:val="21"/>
          <w:highlight w:val="none"/>
          <w:lang w:val="en-US" w:eastAsia="zh-CN"/>
        </w:rPr>
        <w:t>16</w:t>
      </w:r>
      <w:r>
        <w:rPr>
          <w:rFonts w:hint="eastAsia" w:hAnsi="宋体" w:cs="宋体"/>
          <w:snapToGrid w:val="0"/>
          <w:sz w:val="21"/>
          <w:szCs w:val="21"/>
          <w:highlight w:val="none"/>
        </w:rPr>
        <w:t>日1</w:t>
      </w:r>
      <w:r>
        <w:rPr>
          <w:rFonts w:hint="eastAsia" w:hAnsi="宋体" w:cs="宋体"/>
          <w:snapToGrid w:val="0"/>
          <w:sz w:val="21"/>
          <w:szCs w:val="21"/>
          <w:highlight w:val="none"/>
          <w:lang w:val="en-US" w:eastAsia="zh-CN"/>
        </w:rPr>
        <w:t>5</w:t>
      </w:r>
      <w:r>
        <w:rPr>
          <w:rFonts w:hint="eastAsia" w:hAnsi="宋体" w:cs="宋体"/>
          <w:snapToGrid w:val="0"/>
          <w:sz w:val="21"/>
          <w:szCs w:val="21"/>
          <w:highlight w:val="none"/>
        </w:rPr>
        <w:t>时00分</w:t>
      </w:r>
      <w:r>
        <w:rPr>
          <w:rFonts w:hint="eastAsia" w:hAnsi="宋体" w:cs="宋体"/>
          <w:snapToGrid w:val="0"/>
          <w:sz w:val="21"/>
          <w:szCs w:val="21"/>
        </w:rPr>
        <w:t>（北京时间），开标地点详见比选文件。</w:t>
      </w:r>
    </w:p>
    <w:p w14:paraId="04548B18">
      <w:pPr>
        <w:pStyle w:val="23"/>
        <w:snapToGrid w:val="0"/>
        <w:spacing w:line="360" w:lineRule="auto"/>
        <w:ind w:firstLine="457" w:firstLineChars="218"/>
        <w:rPr>
          <w:rFonts w:hint="eastAsia" w:hAnsi="宋体" w:cs="宋体"/>
          <w:snapToGrid w:val="0"/>
          <w:sz w:val="21"/>
          <w:szCs w:val="21"/>
        </w:rPr>
      </w:pPr>
      <w:r>
        <w:rPr>
          <w:rFonts w:hint="eastAsia" w:hAnsi="宋体" w:cs="宋体"/>
          <w:snapToGrid w:val="0"/>
          <w:sz w:val="21"/>
          <w:szCs w:val="21"/>
        </w:rPr>
        <w:t>5.2.线上报价</w:t>
      </w:r>
    </w:p>
    <w:p w14:paraId="3A68DC5B">
      <w:pPr>
        <w:pStyle w:val="23"/>
        <w:snapToGrid w:val="0"/>
        <w:spacing w:line="360" w:lineRule="auto"/>
        <w:ind w:firstLine="457" w:firstLineChars="218"/>
        <w:rPr>
          <w:rFonts w:hint="eastAsia" w:hAnsi="宋体" w:cs="宋体"/>
          <w:snapToGrid w:val="0"/>
          <w:sz w:val="21"/>
          <w:szCs w:val="21"/>
        </w:rPr>
      </w:pPr>
      <w:r>
        <w:rPr>
          <w:rFonts w:hint="eastAsia" w:hAnsi="宋体" w:cs="宋体"/>
          <w:snapToGrid w:val="0"/>
          <w:sz w:val="21"/>
          <w:szCs w:val="21"/>
        </w:rPr>
        <w:t>5.2.1线上报价时间：截止时间：</w:t>
      </w:r>
      <w:r>
        <w:rPr>
          <w:rFonts w:hint="eastAsia" w:hAnsi="宋体" w:cs="宋体"/>
          <w:snapToGrid w:val="0"/>
          <w:sz w:val="21"/>
          <w:szCs w:val="21"/>
          <w:highlight w:val="none"/>
        </w:rPr>
        <w:t>202</w:t>
      </w:r>
      <w:r>
        <w:rPr>
          <w:rFonts w:hint="eastAsia" w:hAnsi="宋体" w:cs="宋体"/>
          <w:snapToGrid w:val="0"/>
          <w:sz w:val="21"/>
          <w:szCs w:val="21"/>
          <w:highlight w:val="none"/>
          <w:lang w:val="en-US" w:eastAsia="zh-CN"/>
        </w:rPr>
        <w:t>5</w:t>
      </w:r>
      <w:r>
        <w:rPr>
          <w:rFonts w:hint="eastAsia" w:hAnsi="宋体" w:cs="宋体"/>
          <w:snapToGrid w:val="0"/>
          <w:sz w:val="21"/>
          <w:szCs w:val="21"/>
          <w:highlight w:val="none"/>
        </w:rPr>
        <w:t>年</w:t>
      </w:r>
      <w:r>
        <w:rPr>
          <w:rFonts w:hint="eastAsia" w:hAnsi="宋体" w:cs="宋体"/>
          <w:snapToGrid w:val="0"/>
          <w:sz w:val="21"/>
          <w:szCs w:val="21"/>
          <w:highlight w:val="none"/>
          <w:lang w:val="en-US" w:eastAsia="zh-CN"/>
        </w:rPr>
        <w:t>06</w:t>
      </w:r>
      <w:r>
        <w:rPr>
          <w:rFonts w:hint="eastAsia" w:hAnsi="宋体" w:cs="宋体"/>
          <w:snapToGrid w:val="0"/>
          <w:sz w:val="21"/>
          <w:szCs w:val="21"/>
          <w:highlight w:val="none"/>
        </w:rPr>
        <w:t>月</w:t>
      </w:r>
      <w:r>
        <w:rPr>
          <w:rFonts w:hint="eastAsia" w:hAnsi="宋体" w:cs="宋体"/>
          <w:snapToGrid w:val="0"/>
          <w:sz w:val="21"/>
          <w:szCs w:val="21"/>
          <w:highlight w:val="none"/>
          <w:lang w:val="en-US" w:eastAsia="zh-CN"/>
        </w:rPr>
        <w:t>16</w:t>
      </w:r>
      <w:r>
        <w:rPr>
          <w:rFonts w:hint="eastAsia" w:hAnsi="宋体" w:cs="宋体"/>
          <w:snapToGrid w:val="0"/>
          <w:sz w:val="21"/>
          <w:szCs w:val="21"/>
          <w:highlight w:val="none"/>
        </w:rPr>
        <w:t>日1</w:t>
      </w:r>
      <w:r>
        <w:rPr>
          <w:rFonts w:hint="eastAsia" w:hAnsi="宋体" w:cs="宋体"/>
          <w:snapToGrid w:val="0"/>
          <w:sz w:val="21"/>
          <w:szCs w:val="21"/>
          <w:highlight w:val="none"/>
          <w:lang w:val="en-US" w:eastAsia="zh-CN"/>
        </w:rPr>
        <w:t>5</w:t>
      </w:r>
      <w:r>
        <w:rPr>
          <w:rFonts w:hint="eastAsia" w:hAnsi="宋体" w:cs="宋体"/>
          <w:snapToGrid w:val="0"/>
          <w:sz w:val="21"/>
          <w:szCs w:val="21"/>
          <w:highlight w:val="none"/>
        </w:rPr>
        <w:t>:00:00</w:t>
      </w:r>
      <w:r>
        <w:rPr>
          <w:rFonts w:hint="eastAsia" w:hAnsi="宋体" w:cs="宋体"/>
          <w:snapToGrid w:val="0"/>
          <w:sz w:val="21"/>
          <w:szCs w:val="21"/>
        </w:rPr>
        <w:t>（北京时间）</w:t>
      </w:r>
    </w:p>
    <w:p w14:paraId="63DA5138">
      <w:pPr>
        <w:pStyle w:val="23"/>
        <w:snapToGrid w:val="0"/>
        <w:spacing w:line="360" w:lineRule="auto"/>
        <w:ind w:firstLine="457" w:firstLineChars="218"/>
        <w:rPr>
          <w:rFonts w:hint="eastAsia" w:hAnsi="宋体" w:cs="宋体"/>
          <w:snapToGrid w:val="0"/>
          <w:sz w:val="21"/>
          <w:szCs w:val="21"/>
        </w:rPr>
      </w:pPr>
      <w:r>
        <w:rPr>
          <w:rFonts w:hint="eastAsia" w:hAnsi="宋体" w:cs="宋体"/>
          <w:snapToGrid w:val="0"/>
          <w:sz w:val="21"/>
          <w:szCs w:val="21"/>
        </w:rPr>
        <w:t>5.2.2线上报价要求：按本项目规定的时间在行采家https://www.gec123.com进行网上报价及上传比选申请文件，未在规定时间内进行网上报价及上传响应文件的将失去竞标资格。</w:t>
      </w:r>
    </w:p>
    <w:p w14:paraId="496ABA18">
      <w:pPr>
        <w:pStyle w:val="23"/>
        <w:snapToGrid w:val="0"/>
        <w:spacing w:line="360" w:lineRule="auto"/>
        <w:ind w:firstLine="457" w:firstLineChars="218"/>
        <w:rPr>
          <w:rFonts w:hint="eastAsia" w:ascii="宋体" w:hAnsi="宋体" w:eastAsia="宋体" w:cs="宋体"/>
          <w:snapToGrid w:val="0"/>
          <w:sz w:val="21"/>
          <w:szCs w:val="21"/>
        </w:rPr>
      </w:pPr>
      <w:r>
        <w:rPr>
          <w:rFonts w:hint="eastAsia" w:hAnsi="宋体" w:cs="宋体"/>
          <w:snapToGrid w:val="0"/>
          <w:sz w:val="21"/>
          <w:szCs w:val="21"/>
        </w:rPr>
        <w:t>5.2.3</w:t>
      </w:r>
      <w:r>
        <w:rPr>
          <w:rFonts w:hint="eastAsia" w:hAnsi="宋体" w:cs="宋体"/>
          <w:snapToGrid w:val="0"/>
          <w:sz w:val="21"/>
          <w:szCs w:val="21"/>
          <w:lang w:eastAsia="zh-CN"/>
        </w:rPr>
        <w:t>比选申请人</w:t>
      </w:r>
      <w:r>
        <w:rPr>
          <w:rFonts w:hint="eastAsia" w:ascii="宋体" w:hAnsi="宋体" w:eastAsia="宋体" w:cs="宋体"/>
          <w:snapToGrid w:val="0"/>
          <w:sz w:val="21"/>
          <w:szCs w:val="21"/>
        </w:rPr>
        <w:t>在行采家https://www.gec123.com的网上需上传盖章签字后的完整比选申请文件（PDF格式）一份</w:t>
      </w:r>
      <w:r>
        <w:rPr>
          <w:rFonts w:hint="eastAsia" w:ascii="宋体" w:hAnsi="宋体" w:eastAsia="宋体" w:cs="宋体"/>
          <w:snapToGrid w:val="0"/>
          <w:sz w:val="21"/>
          <w:szCs w:val="21"/>
          <w:lang w:eastAsia="zh-CN"/>
        </w:rPr>
        <w:t>，</w:t>
      </w:r>
      <w:r>
        <w:rPr>
          <w:rFonts w:hint="eastAsia" w:ascii="宋体" w:hAnsi="宋体" w:eastAsia="宋体" w:cs="宋体"/>
          <w:snapToGrid w:val="0"/>
          <w:sz w:val="21"/>
          <w:szCs w:val="21"/>
          <w:lang w:val="en-US" w:eastAsia="zh-CN"/>
        </w:rPr>
        <w:t>网上电子文档还需上传报价清单的软件版和Excel版</w:t>
      </w:r>
      <w:r>
        <w:rPr>
          <w:rFonts w:hint="eastAsia" w:ascii="宋体" w:hAnsi="宋体" w:eastAsia="宋体" w:cs="宋体"/>
          <w:snapToGrid w:val="0"/>
          <w:sz w:val="21"/>
          <w:szCs w:val="21"/>
        </w:rPr>
        <w:t>。</w:t>
      </w:r>
    </w:p>
    <w:p w14:paraId="1E720203">
      <w:pPr>
        <w:pStyle w:val="23"/>
        <w:snapToGrid w:val="0"/>
        <w:spacing w:line="360" w:lineRule="auto"/>
        <w:ind w:firstLine="457" w:firstLineChars="218"/>
        <w:rPr>
          <w:rFonts w:hint="eastAsia" w:hAnsi="宋体" w:cs="宋体"/>
          <w:snapToGrid w:val="0"/>
          <w:sz w:val="21"/>
          <w:szCs w:val="21"/>
        </w:rPr>
      </w:pPr>
      <w:r>
        <w:rPr>
          <w:rFonts w:hint="eastAsia" w:hAnsi="宋体" w:cs="宋体"/>
          <w:snapToGrid w:val="0"/>
          <w:sz w:val="21"/>
          <w:szCs w:val="21"/>
        </w:rPr>
        <w:t>5.3 纸质比选申请文件逾期送达的或者未送达指定地点的比选文件，招标代理机构不予受理。</w:t>
      </w:r>
    </w:p>
    <w:p w14:paraId="16C3F805">
      <w:pPr>
        <w:pStyle w:val="23"/>
        <w:snapToGrid w:val="0"/>
        <w:spacing w:line="360" w:lineRule="auto"/>
        <w:ind w:firstLine="457" w:firstLineChars="218"/>
        <w:rPr>
          <w:rFonts w:hint="eastAsia" w:hAnsi="宋体" w:cs="宋体"/>
          <w:snapToGrid w:val="0"/>
          <w:sz w:val="21"/>
          <w:szCs w:val="21"/>
        </w:rPr>
      </w:pPr>
      <w:r>
        <w:rPr>
          <w:rFonts w:hint="eastAsia" w:hAnsi="宋体" w:cs="宋体"/>
          <w:snapToGrid w:val="0"/>
          <w:sz w:val="21"/>
          <w:szCs w:val="21"/>
        </w:rPr>
        <w:t xml:space="preserve">5.4 须满足以下三种要件，其比选申请文件才被接受，否则将失去竞标资格： </w:t>
      </w:r>
    </w:p>
    <w:p w14:paraId="770EA3DE">
      <w:pPr>
        <w:pStyle w:val="23"/>
        <w:snapToGrid w:val="0"/>
        <w:spacing w:line="360" w:lineRule="auto"/>
        <w:ind w:firstLine="457" w:firstLineChars="218"/>
        <w:rPr>
          <w:rFonts w:hint="eastAsia" w:hAnsi="宋体" w:cs="宋体"/>
          <w:snapToGrid w:val="0"/>
          <w:sz w:val="21"/>
          <w:szCs w:val="21"/>
        </w:rPr>
      </w:pPr>
      <w:r>
        <w:rPr>
          <w:rFonts w:hint="eastAsia" w:hAnsi="宋体" w:cs="宋体"/>
          <w:snapToGrid w:val="0"/>
          <w:sz w:val="21"/>
          <w:szCs w:val="21"/>
        </w:rPr>
        <w:t xml:space="preserve">5.4.1 按时到比选文件获取地点报名并缴纳了比选文件费； </w:t>
      </w:r>
    </w:p>
    <w:p w14:paraId="07B16381">
      <w:pPr>
        <w:pStyle w:val="23"/>
        <w:snapToGrid w:val="0"/>
        <w:spacing w:line="360" w:lineRule="auto"/>
        <w:ind w:firstLine="457" w:firstLineChars="218"/>
        <w:rPr>
          <w:rFonts w:hint="eastAsia" w:hAnsi="宋体" w:cs="宋体"/>
          <w:snapToGrid w:val="0"/>
          <w:sz w:val="21"/>
          <w:szCs w:val="21"/>
        </w:rPr>
      </w:pPr>
      <w:r>
        <w:rPr>
          <w:rFonts w:hint="eastAsia" w:hAnsi="宋体" w:cs="宋体"/>
          <w:snapToGrid w:val="0"/>
          <w:sz w:val="21"/>
          <w:szCs w:val="21"/>
        </w:rPr>
        <w:t>5.4.2 按时缴纳比选保证金；</w:t>
      </w:r>
    </w:p>
    <w:p w14:paraId="3B42F60C">
      <w:pPr>
        <w:pStyle w:val="23"/>
        <w:snapToGrid w:val="0"/>
        <w:spacing w:line="360" w:lineRule="auto"/>
        <w:ind w:firstLine="457" w:firstLineChars="218"/>
        <w:rPr>
          <w:rFonts w:hint="eastAsia" w:hAnsi="宋体" w:cs="宋体"/>
          <w:snapToGrid w:val="0"/>
          <w:sz w:val="21"/>
          <w:szCs w:val="21"/>
        </w:rPr>
      </w:pPr>
      <w:r>
        <w:rPr>
          <w:rFonts w:hint="eastAsia" w:hAnsi="宋体" w:cs="宋体"/>
          <w:snapToGrid w:val="0"/>
          <w:sz w:val="21"/>
          <w:szCs w:val="21"/>
        </w:rPr>
        <w:t>5.4.3按比选文件的要求，按时上传比选申请文件和递交纸质比选申请文件。</w:t>
      </w:r>
    </w:p>
    <w:p w14:paraId="12E60E51">
      <w:pPr>
        <w:pStyle w:val="2"/>
        <w:spacing w:line="420" w:lineRule="exact"/>
        <w:rPr>
          <w:rFonts w:hint="eastAsia" w:ascii="宋体" w:hAnsi="宋体" w:eastAsia="宋体" w:cs="宋体"/>
          <w:snapToGrid w:val="0"/>
          <w:sz w:val="21"/>
          <w:szCs w:val="21"/>
        </w:rPr>
      </w:pPr>
      <w:bookmarkStart w:id="27" w:name="_Toc22375570"/>
      <w:bookmarkStart w:id="28" w:name="_Toc22990012"/>
      <w:bookmarkStart w:id="29" w:name="_Toc492644382"/>
      <w:bookmarkStart w:id="30" w:name="_Toc492994326"/>
      <w:r>
        <w:rPr>
          <w:rFonts w:hint="eastAsia" w:ascii="宋体" w:hAnsi="宋体" w:eastAsia="宋体" w:cs="宋体"/>
          <w:snapToGrid w:val="0"/>
          <w:sz w:val="21"/>
          <w:szCs w:val="21"/>
        </w:rPr>
        <w:t>6.</w:t>
      </w:r>
      <w:bookmarkEnd w:id="27"/>
      <w:bookmarkEnd w:id="28"/>
      <w:bookmarkEnd w:id="29"/>
      <w:bookmarkEnd w:id="30"/>
      <w:r>
        <w:rPr>
          <w:rFonts w:hint="eastAsia" w:ascii="宋体" w:hAnsi="宋体" w:eastAsia="宋体" w:cs="宋体"/>
          <w:snapToGrid w:val="0"/>
          <w:sz w:val="21"/>
          <w:szCs w:val="21"/>
        </w:rPr>
        <w:t>发布公告的媒介</w:t>
      </w:r>
    </w:p>
    <w:p w14:paraId="1EBFF8BE">
      <w:pPr>
        <w:pStyle w:val="23"/>
        <w:snapToGrid w:val="0"/>
        <w:spacing w:line="360" w:lineRule="auto"/>
        <w:ind w:firstLine="457" w:firstLineChars="218"/>
        <w:rPr>
          <w:rFonts w:hint="eastAsia" w:hAnsi="宋体" w:cs="宋体"/>
          <w:snapToGrid w:val="0"/>
          <w:sz w:val="21"/>
          <w:szCs w:val="21"/>
        </w:rPr>
      </w:pPr>
      <w:r>
        <w:rPr>
          <w:rFonts w:hint="eastAsia" w:hAnsi="宋体" w:cs="宋体"/>
          <w:snapToGrid w:val="0"/>
          <w:sz w:val="21"/>
          <w:szCs w:val="21"/>
        </w:rPr>
        <w:t>本次竞争性比选公告同时在</w:t>
      </w:r>
      <w:r>
        <w:rPr>
          <w:rFonts w:hint="eastAsia" w:hAnsi="宋体" w:cs="宋体"/>
          <w:snapToGrid w:val="0"/>
          <w:sz w:val="21"/>
          <w:szCs w:val="21"/>
          <w:u w:val="single"/>
        </w:rPr>
        <w:t>“行采家https://www.gec123.com”上发布</w:t>
      </w:r>
      <w:r>
        <w:rPr>
          <w:rFonts w:hint="eastAsia" w:hAnsi="宋体" w:cs="宋体"/>
          <w:snapToGrid w:val="0"/>
          <w:sz w:val="21"/>
          <w:szCs w:val="21"/>
        </w:rPr>
        <w:t>。</w:t>
      </w:r>
    </w:p>
    <w:bookmarkEnd w:id="26"/>
    <w:p w14:paraId="45B65728">
      <w:pPr>
        <w:pStyle w:val="2"/>
        <w:spacing w:line="480" w:lineRule="auto"/>
        <w:rPr>
          <w:rFonts w:hint="eastAsia" w:ascii="宋体" w:hAnsi="宋体" w:eastAsia="宋体" w:cs="宋体"/>
          <w:snapToGrid w:val="0"/>
          <w:sz w:val="21"/>
          <w:szCs w:val="21"/>
        </w:rPr>
      </w:pPr>
      <w:bookmarkStart w:id="31" w:name="_Toc266110012"/>
      <w:bookmarkStart w:id="32" w:name="_Toc492644383"/>
      <w:bookmarkStart w:id="33" w:name="_Toc492994327"/>
      <w:bookmarkStart w:id="34" w:name="_Toc22990013"/>
      <w:bookmarkStart w:id="35" w:name="_Toc22375571"/>
      <w:r>
        <w:rPr>
          <w:rFonts w:hint="eastAsia" w:ascii="宋体" w:hAnsi="宋体" w:eastAsia="宋体" w:cs="宋体"/>
          <w:snapToGrid w:val="0"/>
          <w:sz w:val="21"/>
          <w:szCs w:val="21"/>
        </w:rPr>
        <w:t>7.联系方式</w:t>
      </w:r>
      <w:bookmarkEnd w:id="31"/>
      <w:bookmarkEnd w:id="32"/>
      <w:bookmarkEnd w:id="33"/>
      <w:bookmarkEnd w:id="34"/>
      <w:bookmarkEnd w:id="35"/>
    </w:p>
    <w:p w14:paraId="7F3A73F7">
      <w:pPr>
        <w:pStyle w:val="23"/>
        <w:snapToGrid w:val="0"/>
        <w:spacing w:line="360" w:lineRule="auto"/>
        <w:ind w:firstLine="457" w:firstLineChars="218"/>
        <w:rPr>
          <w:rFonts w:hint="eastAsia" w:hAnsi="宋体" w:cs="宋体"/>
          <w:snapToGrid w:val="0"/>
          <w:sz w:val="21"/>
          <w:szCs w:val="21"/>
        </w:rPr>
      </w:pPr>
      <w:r>
        <w:rPr>
          <w:rFonts w:hint="eastAsia" w:hAnsi="宋体" w:cs="宋体"/>
          <w:snapToGrid w:val="0"/>
          <w:sz w:val="21"/>
          <w:szCs w:val="21"/>
        </w:rPr>
        <w:t xml:space="preserve">比选人：重庆市九龙坡区白市驿镇人民政府    </w:t>
      </w:r>
    </w:p>
    <w:p w14:paraId="007FD427">
      <w:pPr>
        <w:pStyle w:val="23"/>
        <w:snapToGrid w:val="0"/>
        <w:spacing w:line="360" w:lineRule="auto"/>
        <w:ind w:firstLine="457" w:firstLineChars="218"/>
        <w:rPr>
          <w:rFonts w:hint="eastAsia" w:hAnsi="宋体" w:cs="宋体"/>
          <w:snapToGrid w:val="0"/>
          <w:sz w:val="21"/>
          <w:szCs w:val="21"/>
        </w:rPr>
      </w:pPr>
      <w:r>
        <w:rPr>
          <w:rFonts w:hint="eastAsia" w:hAnsi="宋体" w:cs="宋体"/>
          <w:snapToGrid w:val="0"/>
          <w:sz w:val="21"/>
          <w:szCs w:val="21"/>
        </w:rPr>
        <w:t>地  址：重庆市九龙坡区白市驿镇人民政府</w:t>
      </w:r>
    </w:p>
    <w:p w14:paraId="42FA94BD">
      <w:pPr>
        <w:pStyle w:val="23"/>
        <w:snapToGrid w:val="0"/>
        <w:spacing w:line="360" w:lineRule="auto"/>
        <w:ind w:firstLine="457" w:firstLineChars="218"/>
        <w:rPr>
          <w:rFonts w:hint="eastAsia" w:hAnsi="宋体" w:cs="宋体"/>
          <w:snapToGrid w:val="0"/>
          <w:sz w:val="21"/>
          <w:szCs w:val="21"/>
        </w:rPr>
      </w:pPr>
      <w:r>
        <w:rPr>
          <w:rFonts w:hint="eastAsia" w:hAnsi="宋体" w:cs="宋体"/>
          <w:snapToGrid w:val="0"/>
          <w:sz w:val="21"/>
          <w:szCs w:val="21"/>
        </w:rPr>
        <w:t>联系人：张老师</w:t>
      </w:r>
    </w:p>
    <w:p w14:paraId="186B5275">
      <w:pPr>
        <w:pStyle w:val="23"/>
        <w:snapToGrid w:val="0"/>
        <w:spacing w:line="360" w:lineRule="auto"/>
        <w:ind w:firstLine="457" w:firstLineChars="218"/>
        <w:rPr>
          <w:rFonts w:hint="eastAsia" w:hAnsi="宋体" w:eastAsia="宋体" w:cs="宋体"/>
          <w:snapToGrid w:val="0"/>
          <w:sz w:val="21"/>
          <w:szCs w:val="21"/>
          <w:lang w:eastAsia="zh-CN"/>
        </w:rPr>
      </w:pPr>
      <w:r>
        <w:rPr>
          <w:rFonts w:hint="eastAsia" w:hAnsi="宋体" w:cs="宋体"/>
          <w:snapToGrid w:val="0"/>
          <w:sz w:val="21"/>
          <w:szCs w:val="21"/>
        </w:rPr>
        <w:t>电  话：</w:t>
      </w:r>
      <w:r>
        <w:rPr>
          <w:rFonts w:hint="eastAsia" w:hAnsi="宋体" w:cs="宋体"/>
          <w:snapToGrid w:val="0"/>
          <w:sz w:val="21"/>
          <w:szCs w:val="21"/>
          <w:highlight w:val="none"/>
          <w:lang w:eastAsia="zh-CN"/>
        </w:rPr>
        <w:t>023-</w:t>
      </w:r>
      <w:bookmarkStart w:id="1172" w:name="_GoBack"/>
      <w:bookmarkEnd w:id="1172"/>
      <w:r>
        <w:rPr>
          <w:rFonts w:hint="eastAsia" w:hAnsi="宋体" w:cs="宋体"/>
          <w:snapToGrid w:val="0"/>
          <w:sz w:val="21"/>
          <w:szCs w:val="21"/>
          <w:highlight w:val="none"/>
          <w:lang w:eastAsia="zh-CN"/>
        </w:rPr>
        <w:t>65701657</w:t>
      </w:r>
    </w:p>
    <w:p w14:paraId="68470BD2">
      <w:pPr>
        <w:pStyle w:val="23"/>
        <w:snapToGrid w:val="0"/>
        <w:spacing w:line="360" w:lineRule="auto"/>
        <w:ind w:firstLine="457" w:firstLineChars="218"/>
        <w:rPr>
          <w:rFonts w:hint="eastAsia" w:hAnsi="宋体" w:cs="宋体"/>
          <w:snapToGrid w:val="0"/>
          <w:sz w:val="21"/>
          <w:szCs w:val="21"/>
        </w:rPr>
      </w:pPr>
      <w:r>
        <w:rPr>
          <w:rFonts w:hint="eastAsia" w:hAnsi="宋体" w:cs="宋体"/>
          <w:snapToGrid w:val="0"/>
          <w:sz w:val="21"/>
          <w:szCs w:val="21"/>
        </w:rPr>
        <w:t>比选代理机构：</w:t>
      </w:r>
      <w:r>
        <w:rPr>
          <w:rFonts w:hint="eastAsia" w:hAnsi="宋体" w:cs="宋体"/>
          <w:snapToGrid w:val="0"/>
          <w:sz w:val="21"/>
          <w:szCs w:val="21"/>
          <w:lang w:eastAsia="zh-CN"/>
        </w:rPr>
        <w:t>重庆璟浩工程咨询有限公司</w:t>
      </w:r>
      <w:r>
        <w:rPr>
          <w:rFonts w:hint="eastAsia" w:hAnsi="宋体" w:cs="宋体"/>
          <w:snapToGrid w:val="0"/>
          <w:sz w:val="21"/>
          <w:szCs w:val="21"/>
        </w:rPr>
        <w:t xml:space="preserve"> </w:t>
      </w:r>
    </w:p>
    <w:p w14:paraId="089D75C6">
      <w:pPr>
        <w:pStyle w:val="23"/>
        <w:snapToGrid w:val="0"/>
        <w:spacing w:line="360" w:lineRule="auto"/>
        <w:ind w:firstLine="457" w:firstLineChars="218"/>
        <w:rPr>
          <w:rFonts w:hint="eastAsia" w:hAnsi="宋体" w:eastAsia="宋体" w:cs="宋体"/>
          <w:snapToGrid w:val="0"/>
          <w:sz w:val="21"/>
          <w:szCs w:val="21"/>
          <w:lang w:eastAsia="zh-CN"/>
        </w:rPr>
      </w:pPr>
      <w:r>
        <w:rPr>
          <w:rFonts w:hint="eastAsia" w:hAnsi="宋体" w:cs="宋体"/>
          <w:snapToGrid w:val="0"/>
          <w:sz w:val="21"/>
          <w:szCs w:val="21"/>
        </w:rPr>
        <w:t>地址：</w:t>
      </w:r>
      <w:r>
        <w:rPr>
          <w:rFonts w:hint="eastAsia" w:hAnsi="宋体" w:cs="宋体"/>
          <w:snapToGrid w:val="0"/>
          <w:sz w:val="21"/>
          <w:szCs w:val="21"/>
          <w:lang w:eastAsia="zh-CN"/>
        </w:rPr>
        <w:t>重庆市九龙坡科园一路200号渝高C座13-3</w:t>
      </w:r>
    </w:p>
    <w:p w14:paraId="1BBBD16C">
      <w:pPr>
        <w:pStyle w:val="23"/>
        <w:snapToGrid w:val="0"/>
        <w:spacing w:line="360" w:lineRule="auto"/>
        <w:ind w:firstLine="457" w:firstLineChars="218"/>
        <w:rPr>
          <w:rFonts w:hint="eastAsia" w:hAnsi="宋体" w:cs="宋体"/>
          <w:snapToGrid w:val="0"/>
          <w:sz w:val="21"/>
          <w:szCs w:val="21"/>
        </w:rPr>
      </w:pPr>
      <w:r>
        <w:rPr>
          <w:rFonts w:hint="eastAsia" w:hAnsi="宋体" w:cs="宋体"/>
          <w:snapToGrid w:val="0"/>
          <w:sz w:val="21"/>
          <w:szCs w:val="21"/>
        </w:rPr>
        <w:t>联系人：</w:t>
      </w:r>
      <w:r>
        <w:rPr>
          <w:rFonts w:hint="eastAsia" w:hAnsi="宋体" w:cs="宋体"/>
          <w:snapToGrid w:val="0"/>
          <w:sz w:val="21"/>
          <w:szCs w:val="21"/>
          <w:lang w:val="en-US" w:eastAsia="zh-CN"/>
        </w:rPr>
        <w:t>谭</w:t>
      </w:r>
      <w:r>
        <w:rPr>
          <w:rFonts w:hint="eastAsia" w:hAnsi="宋体" w:cs="宋体"/>
          <w:snapToGrid w:val="0"/>
          <w:sz w:val="21"/>
          <w:szCs w:val="21"/>
        </w:rPr>
        <w:t>老师</w:t>
      </w:r>
    </w:p>
    <w:p w14:paraId="0F5DE152">
      <w:pPr>
        <w:pStyle w:val="23"/>
        <w:snapToGrid w:val="0"/>
        <w:spacing w:line="360" w:lineRule="auto"/>
        <w:ind w:firstLine="457" w:firstLineChars="218"/>
        <w:rPr>
          <w:rFonts w:hint="eastAsia" w:hAnsi="宋体" w:eastAsia="宋体" w:cs="宋体"/>
          <w:snapToGrid w:val="0"/>
          <w:sz w:val="21"/>
          <w:szCs w:val="21"/>
          <w:lang w:eastAsia="zh-CN"/>
        </w:rPr>
      </w:pPr>
      <w:r>
        <w:rPr>
          <w:rFonts w:hint="eastAsia" w:hAnsi="宋体" w:cs="宋体"/>
          <w:snapToGrid w:val="0"/>
          <w:sz w:val="21"/>
          <w:szCs w:val="21"/>
        </w:rPr>
        <w:t>电话：</w:t>
      </w:r>
      <w:r>
        <w:rPr>
          <w:rFonts w:hint="eastAsia" w:hAnsi="宋体" w:cs="宋体"/>
          <w:snapToGrid w:val="0"/>
          <w:sz w:val="21"/>
          <w:szCs w:val="21"/>
          <w:lang w:eastAsia="zh-CN"/>
        </w:rPr>
        <w:t>023-89311888/19123422606</w:t>
      </w:r>
    </w:p>
    <w:p w14:paraId="1F99CC66">
      <w:pPr>
        <w:jc w:val="right"/>
        <w:rPr>
          <w:rFonts w:hint="eastAsia" w:ascii="宋体" w:hAnsi="宋体" w:cs="宋体"/>
          <w:snapToGrid w:val="0"/>
          <w:kern w:val="0"/>
        </w:rPr>
      </w:pPr>
      <w:r>
        <w:rPr>
          <w:rFonts w:hint="eastAsia" w:ascii="宋体" w:hAnsi="宋体" w:cs="宋体"/>
        </w:rPr>
        <w:t xml:space="preserve">                                                                                           </w:t>
      </w:r>
    </w:p>
    <w:p w14:paraId="6A433513">
      <w:pPr>
        <w:pStyle w:val="3"/>
        <w:numPr>
          <w:ilvl w:val="0"/>
          <w:numId w:val="0"/>
        </w:numPr>
        <w:rPr>
          <w:rFonts w:hint="eastAsia" w:ascii="宋体" w:hAnsi="宋体" w:eastAsia="宋体" w:cs="宋体"/>
          <w:b/>
          <w:kern w:val="0"/>
        </w:rPr>
      </w:pPr>
      <w:r>
        <w:rPr>
          <w:rFonts w:hint="eastAsia" w:ascii="宋体" w:hAnsi="宋体" w:eastAsia="宋体" w:cs="宋体"/>
          <w:b/>
          <w:kern w:val="0"/>
        </w:rPr>
        <w:br w:type="page"/>
      </w:r>
      <w:bookmarkStart w:id="36" w:name="_Toc22990014"/>
      <w:bookmarkStart w:id="37" w:name="_Toc2533"/>
      <w:bookmarkStart w:id="38" w:name="_Toc13908"/>
      <w:bookmarkStart w:id="39" w:name="_Toc2368"/>
      <w:bookmarkStart w:id="40" w:name="_Toc13984"/>
      <w:bookmarkStart w:id="41" w:name="_Toc22375572"/>
      <w:r>
        <w:rPr>
          <w:rFonts w:hint="eastAsia" w:ascii="宋体" w:hAnsi="宋体" w:eastAsia="宋体" w:cs="宋体"/>
          <w:b/>
          <w:kern w:val="0"/>
        </w:rPr>
        <w:t>第二章  比选申请人须知</w:t>
      </w:r>
      <w:bookmarkEnd w:id="36"/>
      <w:bookmarkEnd w:id="37"/>
      <w:bookmarkEnd w:id="38"/>
      <w:bookmarkEnd w:id="39"/>
      <w:bookmarkEnd w:id="40"/>
      <w:bookmarkEnd w:id="41"/>
    </w:p>
    <w:p w14:paraId="2F5819CE">
      <w:pPr>
        <w:pStyle w:val="4"/>
        <w:rPr>
          <w:rFonts w:hint="eastAsia" w:ascii="宋体" w:hAnsi="宋体" w:eastAsia="宋体" w:cs="宋体"/>
          <w:sz w:val="20"/>
        </w:rPr>
      </w:pPr>
      <w:bookmarkStart w:id="42" w:name="_Toc492994329"/>
      <w:bookmarkStart w:id="43" w:name="_Toc22990015"/>
      <w:bookmarkStart w:id="44" w:name="_Toc304992504"/>
      <w:bookmarkStart w:id="45" w:name="_Toc492644385"/>
      <w:bookmarkStart w:id="46" w:name="_Toc22375573"/>
      <w:r>
        <w:rPr>
          <w:rFonts w:hint="eastAsia" w:ascii="宋体" w:hAnsi="宋体" w:eastAsia="宋体" w:cs="宋体"/>
        </w:rPr>
        <w:t>比选申请人须知前附表</w:t>
      </w:r>
      <w:bookmarkEnd w:id="42"/>
      <w:bookmarkEnd w:id="43"/>
      <w:bookmarkEnd w:id="44"/>
      <w:bookmarkEnd w:id="45"/>
      <w:bookmarkEnd w:id="46"/>
    </w:p>
    <w:tbl>
      <w:tblPr>
        <w:tblStyle w:val="4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792"/>
        <w:gridCol w:w="6795"/>
      </w:tblGrid>
      <w:tr w14:paraId="781F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52" w:type="pct"/>
            <w:vAlign w:val="center"/>
          </w:tcPr>
          <w:p w14:paraId="61E2CFFF">
            <w:pPr>
              <w:snapToGrid w:val="0"/>
              <w:spacing w:line="300" w:lineRule="auto"/>
              <w:jc w:val="center"/>
              <w:rPr>
                <w:rFonts w:hint="eastAsia" w:ascii="宋体" w:hAnsi="宋体" w:cs="宋体"/>
                <w:b/>
                <w:kern w:val="0"/>
              </w:rPr>
            </w:pPr>
            <w:r>
              <w:rPr>
                <w:rFonts w:hint="eastAsia" w:ascii="宋体" w:hAnsi="宋体" w:cs="宋体"/>
                <w:b/>
                <w:kern w:val="0"/>
              </w:rPr>
              <w:t>条 款 号</w:t>
            </w:r>
          </w:p>
        </w:tc>
        <w:tc>
          <w:tcPr>
            <w:tcW w:w="907" w:type="pct"/>
            <w:vAlign w:val="center"/>
          </w:tcPr>
          <w:p w14:paraId="55525382">
            <w:pPr>
              <w:snapToGrid w:val="0"/>
              <w:spacing w:line="300" w:lineRule="auto"/>
              <w:jc w:val="center"/>
              <w:rPr>
                <w:rFonts w:hint="eastAsia" w:ascii="宋体" w:hAnsi="宋体" w:cs="宋体"/>
                <w:b/>
                <w:kern w:val="0"/>
              </w:rPr>
            </w:pPr>
            <w:r>
              <w:rPr>
                <w:rFonts w:hint="eastAsia" w:ascii="宋体" w:hAnsi="宋体" w:cs="宋体"/>
                <w:b/>
                <w:kern w:val="0"/>
              </w:rPr>
              <w:t>条款名称</w:t>
            </w:r>
          </w:p>
        </w:tc>
        <w:tc>
          <w:tcPr>
            <w:tcW w:w="3440" w:type="pct"/>
            <w:vAlign w:val="center"/>
          </w:tcPr>
          <w:p w14:paraId="525A9551">
            <w:pPr>
              <w:snapToGrid w:val="0"/>
              <w:spacing w:line="300" w:lineRule="auto"/>
              <w:jc w:val="center"/>
              <w:rPr>
                <w:rFonts w:hint="eastAsia" w:ascii="宋体" w:hAnsi="宋体" w:cs="宋体"/>
                <w:b/>
                <w:kern w:val="0"/>
              </w:rPr>
            </w:pPr>
            <w:r>
              <w:rPr>
                <w:rFonts w:hint="eastAsia" w:ascii="宋体" w:hAnsi="宋体" w:cs="宋体"/>
                <w:b/>
                <w:kern w:val="0"/>
              </w:rPr>
              <w:t>编  列  内  容</w:t>
            </w:r>
          </w:p>
        </w:tc>
      </w:tr>
      <w:tr w14:paraId="65A1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652" w:type="pct"/>
            <w:vAlign w:val="center"/>
          </w:tcPr>
          <w:p w14:paraId="5CD8E860">
            <w:pPr>
              <w:snapToGrid w:val="0"/>
              <w:spacing w:line="300" w:lineRule="auto"/>
              <w:jc w:val="center"/>
              <w:rPr>
                <w:rFonts w:hint="eastAsia" w:ascii="宋体" w:hAnsi="宋体" w:cs="宋体"/>
                <w:kern w:val="0"/>
              </w:rPr>
            </w:pPr>
            <w:r>
              <w:rPr>
                <w:rFonts w:hint="eastAsia" w:ascii="宋体" w:hAnsi="宋体" w:cs="宋体"/>
                <w:kern w:val="0"/>
              </w:rPr>
              <w:t>1.1.2</w:t>
            </w:r>
          </w:p>
        </w:tc>
        <w:tc>
          <w:tcPr>
            <w:tcW w:w="907" w:type="pct"/>
            <w:vAlign w:val="center"/>
          </w:tcPr>
          <w:p w14:paraId="0857846B">
            <w:pPr>
              <w:snapToGrid w:val="0"/>
              <w:spacing w:line="300" w:lineRule="auto"/>
              <w:jc w:val="center"/>
              <w:rPr>
                <w:rFonts w:hint="eastAsia" w:ascii="宋体" w:hAnsi="宋体" w:cs="宋体"/>
                <w:kern w:val="0"/>
              </w:rPr>
            </w:pPr>
            <w:r>
              <w:rPr>
                <w:rFonts w:hint="eastAsia" w:ascii="宋体" w:hAnsi="宋体" w:cs="宋体"/>
                <w:kern w:val="0"/>
              </w:rPr>
              <w:t>比选人</w:t>
            </w:r>
          </w:p>
        </w:tc>
        <w:tc>
          <w:tcPr>
            <w:tcW w:w="3440" w:type="pct"/>
            <w:vAlign w:val="center"/>
          </w:tcPr>
          <w:p w14:paraId="207FB2AC">
            <w:pPr>
              <w:autoSpaceDE w:val="0"/>
              <w:autoSpaceDN w:val="0"/>
              <w:adjustRightInd w:val="0"/>
              <w:snapToGrid w:val="0"/>
              <w:spacing w:line="360" w:lineRule="auto"/>
              <w:jc w:val="left"/>
              <w:rPr>
                <w:rFonts w:hint="eastAsia" w:ascii="宋体" w:hAnsi="宋体" w:cs="宋体"/>
              </w:rPr>
            </w:pPr>
            <w:r>
              <w:rPr>
                <w:rFonts w:hint="eastAsia" w:ascii="宋体" w:hAnsi="宋体" w:cs="宋体"/>
              </w:rPr>
              <w:t xml:space="preserve">比选人：重庆市九龙坡区白市驿镇人民政府    </w:t>
            </w:r>
          </w:p>
          <w:p w14:paraId="5DF633FE">
            <w:pPr>
              <w:autoSpaceDE w:val="0"/>
              <w:autoSpaceDN w:val="0"/>
              <w:adjustRightInd w:val="0"/>
              <w:snapToGrid w:val="0"/>
              <w:spacing w:line="360" w:lineRule="auto"/>
              <w:jc w:val="left"/>
              <w:rPr>
                <w:rFonts w:hint="eastAsia" w:ascii="宋体" w:hAnsi="宋体" w:cs="宋体"/>
              </w:rPr>
            </w:pPr>
            <w:r>
              <w:rPr>
                <w:rFonts w:hint="eastAsia" w:ascii="宋体" w:hAnsi="宋体" w:cs="宋体"/>
              </w:rPr>
              <w:t>地  址：重庆市九龙坡区白市驿镇人民政府</w:t>
            </w:r>
          </w:p>
          <w:p w14:paraId="49358A5D">
            <w:pPr>
              <w:autoSpaceDE w:val="0"/>
              <w:autoSpaceDN w:val="0"/>
              <w:adjustRightInd w:val="0"/>
              <w:snapToGrid w:val="0"/>
              <w:spacing w:line="360" w:lineRule="auto"/>
              <w:jc w:val="left"/>
              <w:rPr>
                <w:rFonts w:hint="eastAsia" w:ascii="宋体" w:hAnsi="宋体" w:cs="宋体"/>
              </w:rPr>
            </w:pPr>
            <w:r>
              <w:rPr>
                <w:rFonts w:hint="eastAsia" w:ascii="宋体" w:hAnsi="宋体" w:cs="宋体"/>
              </w:rPr>
              <w:t>联系人：张老师</w:t>
            </w:r>
          </w:p>
          <w:p w14:paraId="2609EBA0">
            <w:pPr>
              <w:autoSpaceDE w:val="0"/>
              <w:autoSpaceDN w:val="0"/>
              <w:adjustRightInd w:val="0"/>
              <w:snapToGrid w:val="0"/>
              <w:spacing w:line="360" w:lineRule="auto"/>
              <w:jc w:val="left"/>
              <w:rPr>
                <w:rFonts w:hint="eastAsia" w:ascii="宋体" w:hAnsi="宋体" w:eastAsia="宋体" w:cs="宋体"/>
                <w:lang w:eastAsia="zh-CN"/>
              </w:rPr>
            </w:pPr>
            <w:r>
              <w:rPr>
                <w:rFonts w:hint="eastAsia" w:ascii="宋体" w:hAnsi="宋体" w:cs="宋体"/>
              </w:rPr>
              <w:t>电  话：</w:t>
            </w:r>
            <w:r>
              <w:rPr>
                <w:rFonts w:hint="eastAsia" w:ascii="宋体" w:hAnsi="宋体" w:cs="宋体"/>
                <w:snapToGrid w:val="0"/>
                <w:highlight w:val="none"/>
                <w:lang w:eastAsia="zh-CN"/>
              </w:rPr>
              <w:t>023-65701657</w:t>
            </w:r>
          </w:p>
        </w:tc>
      </w:tr>
      <w:tr w14:paraId="6043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52" w:type="pct"/>
            <w:vAlign w:val="center"/>
          </w:tcPr>
          <w:p w14:paraId="72F3AD7F">
            <w:pPr>
              <w:snapToGrid w:val="0"/>
              <w:spacing w:line="300" w:lineRule="auto"/>
              <w:jc w:val="center"/>
              <w:rPr>
                <w:rFonts w:hint="eastAsia" w:ascii="宋体" w:hAnsi="宋体" w:cs="宋体"/>
                <w:kern w:val="0"/>
              </w:rPr>
            </w:pPr>
            <w:r>
              <w:rPr>
                <w:rFonts w:hint="eastAsia" w:ascii="宋体" w:hAnsi="宋体" w:cs="宋体"/>
                <w:kern w:val="0"/>
              </w:rPr>
              <w:t>1.1.3</w:t>
            </w:r>
          </w:p>
        </w:tc>
        <w:tc>
          <w:tcPr>
            <w:tcW w:w="907" w:type="pct"/>
            <w:vAlign w:val="center"/>
          </w:tcPr>
          <w:p w14:paraId="0953D5BB">
            <w:pPr>
              <w:snapToGrid w:val="0"/>
              <w:spacing w:line="300" w:lineRule="auto"/>
              <w:jc w:val="center"/>
              <w:rPr>
                <w:rFonts w:hint="eastAsia" w:ascii="宋体" w:hAnsi="宋体" w:cs="宋体"/>
                <w:kern w:val="0"/>
              </w:rPr>
            </w:pPr>
            <w:r>
              <w:rPr>
                <w:rFonts w:hint="eastAsia" w:ascii="宋体" w:hAnsi="宋体" w:cs="宋体"/>
                <w:kern w:val="0"/>
              </w:rPr>
              <w:t>比选代理机构</w:t>
            </w:r>
          </w:p>
        </w:tc>
        <w:tc>
          <w:tcPr>
            <w:tcW w:w="3440" w:type="pct"/>
            <w:vAlign w:val="center"/>
          </w:tcPr>
          <w:p w14:paraId="703B0C52">
            <w:pPr>
              <w:pStyle w:val="23"/>
              <w:snapToGrid w:val="0"/>
              <w:spacing w:line="360" w:lineRule="auto"/>
              <w:rPr>
                <w:rFonts w:hint="eastAsia" w:hAnsi="宋体" w:cs="宋体"/>
                <w:snapToGrid w:val="0"/>
                <w:sz w:val="21"/>
                <w:szCs w:val="21"/>
              </w:rPr>
            </w:pPr>
            <w:r>
              <w:rPr>
                <w:rFonts w:hint="eastAsia" w:hAnsi="宋体" w:cs="宋体"/>
                <w:snapToGrid w:val="0"/>
                <w:sz w:val="21"/>
                <w:szCs w:val="21"/>
              </w:rPr>
              <w:t>比选代理机构：</w:t>
            </w:r>
            <w:r>
              <w:rPr>
                <w:rFonts w:hint="eastAsia" w:hAnsi="宋体" w:cs="宋体"/>
                <w:snapToGrid w:val="0"/>
                <w:sz w:val="21"/>
                <w:szCs w:val="21"/>
                <w:lang w:eastAsia="zh-CN"/>
              </w:rPr>
              <w:t>重庆璟浩工程咨询有限公司</w:t>
            </w:r>
            <w:r>
              <w:rPr>
                <w:rFonts w:hint="eastAsia" w:hAnsi="宋体" w:cs="宋体"/>
                <w:snapToGrid w:val="0"/>
                <w:sz w:val="21"/>
                <w:szCs w:val="21"/>
              </w:rPr>
              <w:t xml:space="preserve"> </w:t>
            </w:r>
          </w:p>
          <w:p w14:paraId="24549822">
            <w:pPr>
              <w:spacing w:line="360" w:lineRule="auto"/>
              <w:rPr>
                <w:rFonts w:hint="eastAsia" w:ascii="宋体" w:hAnsi="宋体" w:eastAsia="宋体" w:cs="宋体"/>
                <w:snapToGrid w:val="0"/>
                <w:lang w:eastAsia="zh-CN"/>
              </w:rPr>
            </w:pPr>
            <w:r>
              <w:rPr>
                <w:rFonts w:hint="eastAsia" w:ascii="宋体" w:hAnsi="宋体" w:cs="宋体"/>
                <w:snapToGrid w:val="0"/>
              </w:rPr>
              <w:t>地址：</w:t>
            </w:r>
            <w:r>
              <w:rPr>
                <w:rFonts w:hint="eastAsia" w:ascii="宋体" w:hAnsi="宋体" w:cs="宋体"/>
                <w:snapToGrid w:val="0"/>
                <w:lang w:eastAsia="zh-CN"/>
              </w:rPr>
              <w:t>重庆市九龙坡科园一路200号渝高C座13-3</w:t>
            </w:r>
          </w:p>
          <w:p w14:paraId="5C5D0B05">
            <w:pPr>
              <w:spacing w:line="360" w:lineRule="auto"/>
              <w:rPr>
                <w:rFonts w:hint="eastAsia" w:ascii="宋体" w:hAnsi="宋体" w:cs="宋体"/>
                <w:snapToGrid w:val="0"/>
              </w:rPr>
            </w:pPr>
            <w:r>
              <w:rPr>
                <w:rFonts w:hint="eastAsia" w:ascii="宋体" w:hAnsi="宋体" w:cs="宋体"/>
                <w:snapToGrid w:val="0"/>
              </w:rPr>
              <w:t>联系人：陈老师</w:t>
            </w:r>
          </w:p>
          <w:p w14:paraId="787CA145">
            <w:pPr>
              <w:spacing w:line="360" w:lineRule="auto"/>
              <w:rPr>
                <w:rFonts w:hint="eastAsia" w:ascii="宋体" w:hAnsi="宋体" w:eastAsia="宋体" w:cs="宋体"/>
                <w:lang w:eastAsia="zh-CN"/>
              </w:rPr>
            </w:pPr>
            <w:r>
              <w:rPr>
                <w:rFonts w:hint="eastAsia" w:ascii="宋体" w:hAnsi="宋体" w:cs="宋体"/>
                <w:snapToGrid w:val="0"/>
              </w:rPr>
              <w:t>电话：</w:t>
            </w:r>
            <w:r>
              <w:rPr>
                <w:rFonts w:hint="eastAsia" w:ascii="宋体" w:hAnsi="宋体" w:cs="宋体"/>
                <w:snapToGrid w:val="0"/>
                <w:lang w:eastAsia="zh-CN"/>
              </w:rPr>
              <w:t>023-89311888/19123422606</w:t>
            </w:r>
          </w:p>
        </w:tc>
      </w:tr>
      <w:tr w14:paraId="5C3D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52" w:type="pct"/>
            <w:vAlign w:val="center"/>
          </w:tcPr>
          <w:p w14:paraId="23560249">
            <w:pPr>
              <w:snapToGrid w:val="0"/>
              <w:spacing w:line="300" w:lineRule="auto"/>
              <w:jc w:val="center"/>
              <w:rPr>
                <w:rFonts w:hint="eastAsia" w:ascii="宋体" w:hAnsi="宋体" w:cs="宋体"/>
                <w:kern w:val="0"/>
              </w:rPr>
            </w:pPr>
            <w:r>
              <w:rPr>
                <w:rFonts w:hint="eastAsia" w:ascii="宋体" w:hAnsi="宋体" w:cs="宋体"/>
                <w:kern w:val="0"/>
              </w:rPr>
              <w:t>1.1.4</w:t>
            </w:r>
          </w:p>
        </w:tc>
        <w:tc>
          <w:tcPr>
            <w:tcW w:w="907" w:type="pct"/>
            <w:vAlign w:val="center"/>
          </w:tcPr>
          <w:p w14:paraId="35A25E12">
            <w:pPr>
              <w:snapToGrid w:val="0"/>
              <w:spacing w:line="300" w:lineRule="auto"/>
              <w:jc w:val="center"/>
              <w:rPr>
                <w:rFonts w:hint="eastAsia" w:ascii="宋体" w:hAnsi="宋体" w:cs="宋体"/>
                <w:kern w:val="0"/>
              </w:rPr>
            </w:pPr>
            <w:r>
              <w:rPr>
                <w:rFonts w:hint="eastAsia" w:ascii="宋体" w:hAnsi="宋体" w:cs="宋体"/>
                <w:kern w:val="0"/>
              </w:rPr>
              <w:t>项目名称</w:t>
            </w:r>
          </w:p>
        </w:tc>
        <w:tc>
          <w:tcPr>
            <w:tcW w:w="3440" w:type="pct"/>
            <w:vAlign w:val="center"/>
          </w:tcPr>
          <w:p w14:paraId="30FFB12E">
            <w:pPr>
              <w:autoSpaceDE w:val="0"/>
              <w:autoSpaceDN w:val="0"/>
              <w:adjustRightInd w:val="0"/>
              <w:snapToGrid w:val="0"/>
              <w:spacing w:line="360" w:lineRule="auto"/>
              <w:jc w:val="left"/>
              <w:rPr>
                <w:rFonts w:hint="default" w:ascii="宋体" w:hAnsi="宋体" w:eastAsia="宋体" w:cs="宋体"/>
                <w:kern w:val="0"/>
                <w:lang w:val="en-US" w:eastAsia="zh-CN"/>
              </w:rPr>
            </w:pPr>
            <w:r>
              <w:rPr>
                <w:rFonts w:hint="eastAsia" w:ascii="宋体" w:hAnsi="宋体" w:cs="宋体"/>
                <w:lang w:eastAsia="zh-CN"/>
              </w:rPr>
              <w:t>大河村、高田坎村、真武村、九里村农村生活污水治理</w:t>
            </w:r>
          </w:p>
        </w:tc>
      </w:tr>
      <w:tr w14:paraId="599D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52" w:type="pct"/>
            <w:vAlign w:val="center"/>
          </w:tcPr>
          <w:p w14:paraId="2C4199C9">
            <w:pPr>
              <w:snapToGrid w:val="0"/>
              <w:spacing w:line="300" w:lineRule="auto"/>
              <w:jc w:val="center"/>
              <w:rPr>
                <w:rFonts w:hint="eastAsia" w:ascii="宋体" w:hAnsi="宋体" w:cs="宋体"/>
                <w:kern w:val="0"/>
              </w:rPr>
            </w:pPr>
            <w:r>
              <w:rPr>
                <w:rFonts w:hint="eastAsia" w:ascii="宋体" w:hAnsi="宋体" w:cs="宋体"/>
                <w:kern w:val="0"/>
              </w:rPr>
              <w:t>1.1.5</w:t>
            </w:r>
          </w:p>
        </w:tc>
        <w:tc>
          <w:tcPr>
            <w:tcW w:w="907" w:type="pct"/>
            <w:vAlign w:val="center"/>
          </w:tcPr>
          <w:p w14:paraId="6BB57C40">
            <w:pPr>
              <w:snapToGrid w:val="0"/>
              <w:spacing w:line="300" w:lineRule="auto"/>
              <w:jc w:val="center"/>
              <w:rPr>
                <w:rFonts w:hint="eastAsia" w:ascii="宋体" w:hAnsi="宋体" w:cs="宋体"/>
                <w:kern w:val="0"/>
              </w:rPr>
            </w:pPr>
            <w:r>
              <w:rPr>
                <w:rFonts w:hint="eastAsia" w:ascii="宋体" w:hAnsi="宋体" w:cs="宋体"/>
                <w:kern w:val="0"/>
              </w:rPr>
              <w:t>建设地点</w:t>
            </w:r>
          </w:p>
        </w:tc>
        <w:tc>
          <w:tcPr>
            <w:tcW w:w="3440" w:type="pct"/>
            <w:vAlign w:val="center"/>
          </w:tcPr>
          <w:p w14:paraId="2C6C80FD">
            <w:pPr>
              <w:autoSpaceDE w:val="0"/>
              <w:autoSpaceDN w:val="0"/>
              <w:adjustRightInd w:val="0"/>
              <w:snapToGrid w:val="0"/>
              <w:spacing w:line="360" w:lineRule="auto"/>
              <w:jc w:val="left"/>
              <w:rPr>
                <w:rFonts w:hint="eastAsia" w:ascii="宋体" w:hAnsi="宋体" w:cs="宋体"/>
                <w:kern w:val="0"/>
              </w:rPr>
            </w:pPr>
            <w:r>
              <w:rPr>
                <w:rFonts w:hint="eastAsia" w:ascii="宋体" w:hAnsi="宋体" w:cs="宋体"/>
                <w:snapToGrid w:val="0"/>
                <w:u w:val="none"/>
              </w:rPr>
              <w:t>白市驿镇</w:t>
            </w:r>
          </w:p>
        </w:tc>
      </w:tr>
      <w:tr w14:paraId="41B3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52" w:type="pct"/>
            <w:vAlign w:val="center"/>
          </w:tcPr>
          <w:p w14:paraId="7CD6211D">
            <w:pPr>
              <w:snapToGrid w:val="0"/>
              <w:spacing w:line="300" w:lineRule="auto"/>
              <w:jc w:val="center"/>
              <w:rPr>
                <w:rFonts w:hint="eastAsia" w:ascii="宋体" w:hAnsi="宋体" w:cs="宋体"/>
                <w:kern w:val="0"/>
              </w:rPr>
            </w:pPr>
            <w:r>
              <w:rPr>
                <w:rFonts w:hint="eastAsia" w:ascii="宋体" w:hAnsi="宋体" w:cs="宋体"/>
                <w:kern w:val="0"/>
              </w:rPr>
              <w:t>1.2.3</w:t>
            </w:r>
          </w:p>
        </w:tc>
        <w:tc>
          <w:tcPr>
            <w:tcW w:w="907" w:type="pct"/>
            <w:vAlign w:val="center"/>
          </w:tcPr>
          <w:p w14:paraId="3DC1597C">
            <w:pPr>
              <w:snapToGrid w:val="0"/>
              <w:spacing w:line="300" w:lineRule="auto"/>
              <w:jc w:val="center"/>
              <w:rPr>
                <w:rFonts w:hint="eastAsia" w:ascii="宋体" w:hAnsi="宋体" w:cs="宋体"/>
                <w:kern w:val="0"/>
              </w:rPr>
            </w:pPr>
            <w:r>
              <w:rPr>
                <w:rFonts w:hint="eastAsia" w:ascii="宋体" w:hAnsi="宋体" w:cs="宋体"/>
                <w:kern w:val="0"/>
              </w:rPr>
              <w:t>资金情况</w:t>
            </w:r>
          </w:p>
        </w:tc>
        <w:tc>
          <w:tcPr>
            <w:tcW w:w="3440" w:type="pct"/>
            <w:vAlign w:val="center"/>
          </w:tcPr>
          <w:p w14:paraId="3D92BEF1">
            <w:pPr>
              <w:autoSpaceDE w:val="0"/>
              <w:autoSpaceDN w:val="0"/>
              <w:adjustRightInd w:val="0"/>
              <w:snapToGrid w:val="0"/>
              <w:spacing w:line="360" w:lineRule="auto"/>
              <w:jc w:val="left"/>
              <w:rPr>
                <w:rFonts w:hint="eastAsia" w:ascii="宋体" w:hAnsi="宋体" w:cs="宋体"/>
                <w:kern w:val="0"/>
                <w:u w:val="none"/>
              </w:rPr>
            </w:pPr>
            <w:r>
              <w:rPr>
                <w:rFonts w:hint="eastAsia" w:ascii="宋体" w:hAnsi="宋体" w:cs="宋体"/>
                <w:kern w:val="0"/>
                <w:u w:val="none"/>
              </w:rPr>
              <w:t>出资比例为：100%。</w:t>
            </w:r>
          </w:p>
        </w:tc>
      </w:tr>
      <w:tr w14:paraId="4302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2" w:type="pct"/>
            <w:vAlign w:val="center"/>
          </w:tcPr>
          <w:p w14:paraId="2FE4A452">
            <w:pPr>
              <w:snapToGrid w:val="0"/>
              <w:spacing w:line="300" w:lineRule="auto"/>
              <w:jc w:val="center"/>
              <w:rPr>
                <w:rFonts w:hint="eastAsia" w:ascii="宋体" w:hAnsi="宋体" w:cs="宋体"/>
                <w:kern w:val="0"/>
              </w:rPr>
            </w:pPr>
            <w:r>
              <w:rPr>
                <w:rFonts w:hint="eastAsia" w:ascii="宋体" w:hAnsi="宋体" w:cs="宋体"/>
                <w:kern w:val="0"/>
              </w:rPr>
              <w:t>1.3.1</w:t>
            </w:r>
          </w:p>
        </w:tc>
        <w:tc>
          <w:tcPr>
            <w:tcW w:w="907" w:type="pct"/>
            <w:vAlign w:val="center"/>
          </w:tcPr>
          <w:p w14:paraId="7180B9A6">
            <w:pPr>
              <w:snapToGrid w:val="0"/>
              <w:spacing w:line="300" w:lineRule="auto"/>
              <w:jc w:val="center"/>
              <w:rPr>
                <w:rFonts w:hint="eastAsia" w:ascii="宋体" w:hAnsi="宋体" w:cs="宋体"/>
                <w:kern w:val="0"/>
              </w:rPr>
            </w:pPr>
            <w:r>
              <w:rPr>
                <w:rFonts w:hint="eastAsia" w:ascii="宋体" w:hAnsi="宋体" w:cs="宋体"/>
                <w:kern w:val="0"/>
              </w:rPr>
              <w:t>比选范围</w:t>
            </w:r>
          </w:p>
        </w:tc>
        <w:tc>
          <w:tcPr>
            <w:tcW w:w="3440" w:type="pct"/>
            <w:vAlign w:val="center"/>
          </w:tcPr>
          <w:p w14:paraId="725F09AA">
            <w:pPr>
              <w:autoSpaceDE w:val="0"/>
              <w:autoSpaceDN w:val="0"/>
              <w:adjustRightInd w:val="0"/>
              <w:snapToGrid w:val="0"/>
              <w:spacing w:line="360" w:lineRule="auto"/>
              <w:jc w:val="left"/>
              <w:rPr>
                <w:rFonts w:hint="eastAsia" w:ascii="宋体" w:hAnsi="宋体" w:cs="宋体"/>
                <w:kern w:val="0"/>
                <w:u w:val="none"/>
              </w:rPr>
            </w:pPr>
            <w:r>
              <w:rPr>
                <w:rFonts w:hint="eastAsia" w:hAnsi="宋体" w:cs="宋体"/>
                <w:snapToGrid w:val="0"/>
                <w:sz w:val="21"/>
                <w:szCs w:val="21"/>
                <w:u w:val="none"/>
                <w:lang w:eastAsia="zh-CN"/>
              </w:rPr>
              <w:t>对大河村、高田坎村、真武村、九里村58户（以实际验收户数为准）生活污水进行治理</w:t>
            </w:r>
            <w:r>
              <w:rPr>
                <w:rFonts w:hint="eastAsia" w:hAnsi="宋体" w:cs="MingLiU"/>
                <w:snapToGrid w:val="0"/>
                <w:sz w:val="21"/>
                <w:szCs w:val="21"/>
                <w:u w:val="none"/>
                <w:lang w:val="zh-CN"/>
              </w:rPr>
              <w:t>。</w:t>
            </w:r>
          </w:p>
        </w:tc>
      </w:tr>
      <w:tr w14:paraId="0E5A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2" w:type="pct"/>
            <w:vAlign w:val="center"/>
          </w:tcPr>
          <w:p w14:paraId="5BE8EF2A">
            <w:pPr>
              <w:snapToGrid w:val="0"/>
              <w:spacing w:line="300" w:lineRule="auto"/>
              <w:jc w:val="center"/>
              <w:rPr>
                <w:rFonts w:hint="eastAsia" w:ascii="宋体" w:hAnsi="宋体" w:cs="宋体"/>
                <w:kern w:val="0"/>
              </w:rPr>
            </w:pPr>
            <w:r>
              <w:rPr>
                <w:rFonts w:hint="eastAsia" w:ascii="宋体" w:hAnsi="宋体" w:cs="宋体"/>
                <w:kern w:val="0"/>
              </w:rPr>
              <w:t>1.3.2</w:t>
            </w:r>
          </w:p>
        </w:tc>
        <w:tc>
          <w:tcPr>
            <w:tcW w:w="907" w:type="pct"/>
            <w:vAlign w:val="center"/>
          </w:tcPr>
          <w:p w14:paraId="122C00DE">
            <w:pPr>
              <w:snapToGrid w:val="0"/>
              <w:spacing w:line="300" w:lineRule="auto"/>
              <w:jc w:val="center"/>
              <w:rPr>
                <w:rFonts w:hint="eastAsia" w:ascii="宋体" w:hAnsi="宋体" w:cs="宋体"/>
                <w:kern w:val="0"/>
              </w:rPr>
            </w:pPr>
            <w:r>
              <w:rPr>
                <w:rFonts w:hint="eastAsia" w:ascii="宋体" w:hAnsi="宋体" w:cs="宋体"/>
                <w:kern w:val="0"/>
              </w:rPr>
              <w:t>计划工期</w:t>
            </w:r>
          </w:p>
        </w:tc>
        <w:tc>
          <w:tcPr>
            <w:tcW w:w="3440" w:type="pct"/>
            <w:vAlign w:val="center"/>
          </w:tcPr>
          <w:p w14:paraId="3D29F9A0">
            <w:pPr>
              <w:snapToGrid w:val="0"/>
              <w:spacing w:line="360" w:lineRule="auto"/>
              <w:jc w:val="left"/>
              <w:rPr>
                <w:rFonts w:hint="eastAsia" w:ascii="宋体" w:hAnsi="宋体" w:cs="宋体"/>
                <w:kern w:val="0"/>
              </w:rPr>
            </w:pPr>
            <w:r>
              <w:rPr>
                <w:rFonts w:hint="eastAsia" w:ascii="宋体" w:hAnsi="宋体" w:cs="宋体"/>
                <w:snapToGrid w:val="0"/>
              </w:rPr>
              <w:t>总工期30日历天。（具体进场开工时间，以项目业主通知为准）。</w:t>
            </w:r>
          </w:p>
        </w:tc>
      </w:tr>
      <w:tr w14:paraId="3D2B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2" w:type="pct"/>
            <w:vAlign w:val="center"/>
          </w:tcPr>
          <w:p w14:paraId="355843D0">
            <w:pPr>
              <w:snapToGrid w:val="0"/>
              <w:spacing w:line="300" w:lineRule="auto"/>
              <w:jc w:val="center"/>
              <w:rPr>
                <w:rFonts w:hint="eastAsia" w:ascii="宋体" w:hAnsi="宋体" w:cs="宋体"/>
                <w:kern w:val="0"/>
              </w:rPr>
            </w:pPr>
            <w:r>
              <w:rPr>
                <w:rFonts w:hint="eastAsia" w:ascii="宋体" w:hAnsi="宋体" w:cs="宋体"/>
                <w:kern w:val="0"/>
              </w:rPr>
              <w:t>1.3.3</w:t>
            </w:r>
          </w:p>
        </w:tc>
        <w:tc>
          <w:tcPr>
            <w:tcW w:w="907" w:type="pct"/>
            <w:vAlign w:val="center"/>
          </w:tcPr>
          <w:p w14:paraId="162E5849">
            <w:pPr>
              <w:snapToGrid w:val="0"/>
              <w:spacing w:line="300" w:lineRule="auto"/>
              <w:jc w:val="center"/>
              <w:rPr>
                <w:rFonts w:hint="eastAsia" w:ascii="宋体" w:hAnsi="宋体" w:cs="宋体"/>
                <w:kern w:val="0"/>
              </w:rPr>
            </w:pPr>
            <w:r>
              <w:rPr>
                <w:rFonts w:hint="eastAsia" w:ascii="宋体" w:hAnsi="宋体" w:cs="宋体"/>
                <w:kern w:val="0"/>
              </w:rPr>
              <w:t>质量要求</w:t>
            </w:r>
          </w:p>
        </w:tc>
        <w:tc>
          <w:tcPr>
            <w:tcW w:w="3440" w:type="pct"/>
            <w:vAlign w:val="center"/>
          </w:tcPr>
          <w:p w14:paraId="0AFD9435">
            <w:pPr>
              <w:snapToGrid w:val="0"/>
              <w:spacing w:line="360" w:lineRule="auto"/>
              <w:rPr>
                <w:rFonts w:hint="eastAsia" w:ascii="宋体" w:hAnsi="宋体" w:cs="宋体"/>
              </w:rPr>
            </w:pPr>
            <w:r>
              <w:rPr>
                <w:rFonts w:hint="eastAsia" w:ascii="宋体" w:hAnsi="宋体" w:cs="宋体"/>
              </w:rPr>
              <w:t>达到国家现行有关施工质量验收规范要求，并达一次性验收合格。</w:t>
            </w:r>
          </w:p>
        </w:tc>
      </w:tr>
      <w:tr w14:paraId="6E1C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52" w:type="pct"/>
            <w:vAlign w:val="center"/>
          </w:tcPr>
          <w:p w14:paraId="44C54676">
            <w:pPr>
              <w:snapToGrid w:val="0"/>
              <w:spacing w:line="300" w:lineRule="auto"/>
              <w:jc w:val="center"/>
              <w:rPr>
                <w:rFonts w:hint="eastAsia" w:ascii="宋体" w:hAnsi="宋体" w:cs="宋体"/>
                <w:kern w:val="0"/>
              </w:rPr>
            </w:pPr>
            <w:r>
              <w:rPr>
                <w:rFonts w:hint="eastAsia" w:ascii="宋体" w:hAnsi="宋体" w:cs="宋体"/>
                <w:kern w:val="0"/>
              </w:rPr>
              <w:t>1.4.1</w:t>
            </w:r>
          </w:p>
        </w:tc>
        <w:tc>
          <w:tcPr>
            <w:tcW w:w="907" w:type="pct"/>
            <w:vAlign w:val="center"/>
          </w:tcPr>
          <w:p w14:paraId="5F2CEA7E">
            <w:pPr>
              <w:snapToGrid w:val="0"/>
              <w:spacing w:line="360" w:lineRule="auto"/>
              <w:jc w:val="center"/>
              <w:rPr>
                <w:rFonts w:hint="eastAsia" w:ascii="宋体" w:hAnsi="宋体" w:cs="宋体"/>
                <w:kern w:val="0"/>
              </w:rPr>
            </w:pPr>
            <w:r>
              <w:rPr>
                <w:rFonts w:hint="eastAsia" w:ascii="宋体" w:hAnsi="宋体" w:cs="宋体"/>
                <w:kern w:val="0"/>
              </w:rPr>
              <w:t>比选申请人条件、能力和信誉</w:t>
            </w:r>
          </w:p>
          <w:p w14:paraId="592CC481">
            <w:pPr>
              <w:snapToGrid w:val="0"/>
              <w:spacing w:line="300" w:lineRule="auto"/>
              <w:rPr>
                <w:rFonts w:hint="eastAsia" w:ascii="宋体" w:hAnsi="宋体" w:cs="宋体"/>
                <w:kern w:val="0"/>
              </w:rPr>
            </w:pPr>
          </w:p>
        </w:tc>
        <w:tc>
          <w:tcPr>
            <w:tcW w:w="3440" w:type="pct"/>
            <w:vAlign w:val="center"/>
          </w:tcPr>
          <w:p w14:paraId="257B75D0">
            <w:pPr>
              <w:autoSpaceDE w:val="0"/>
              <w:autoSpaceDN w:val="0"/>
              <w:adjustRightInd w:val="0"/>
              <w:snapToGrid w:val="0"/>
              <w:spacing w:line="360" w:lineRule="auto"/>
              <w:jc w:val="left"/>
              <w:rPr>
                <w:rFonts w:hint="eastAsia" w:ascii="宋体" w:hAnsi="宋体" w:cs="宋体"/>
              </w:rPr>
            </w:pPr>
            <w:r>
              <w:rPr>
                <w:rFonts w:hint="eastAsia" w:ascii="宋体" w:hAnsi="宋体" w:cs="宋体"/>
              </w:rPr>
              <w:t>本工程施工比选，</w:t>
            </w:r>
            <w:r>
              <w:rPr>
                <w:rFonts w:hint="eastAsia" w:ascii="宋体" w:hAnsi="宋体" w:cs="宋体"/>
                <w:kern w:val="0"/>
              </w:rPr>
              <w:t>比选申请人应具备以下资格条件：</w:t>
            </w:r>
          </w:p>
          <w:p w14:paraId="0C636416">
            <w:pPr>
              <w:autoSpaceDE w:val="0"/>
              <w:autoSpaceDN w:val="0"/>
              <w:adjustRightInd w:val="0"/>
              <w:snapToGrid w:val="0"/>
              <w:spacing w:line="360" w:lineRule="auto"/>
              <w:ind w:firstLine="415" w:firstLineChars="198"/>
              <w:jc w:val="left"/>
              <w:rPr>
                <w:rFonts w:hint="eastAsia" w:ascii="宋体" w:hAnsi="宋体" w:cs="宋体"/>
              </w:rPr>
            </w:pPr>
            <w:r>
              <w:rPr>
                <w:rFonts w:hint="eastAsia" w:ascii="宋体" w:hAnsi="宋体" w:cs="宋体"/>
              </w:rPr>
              <w:t>1.</w:t>
            </w:r>
            <w:r>
              <w:rPr>
                <w:rFonts w:hint="eastAsia" w:ascii="宋体" w:hAnsi="宋体" w:cs="宋体"/>
                <w:kern w:val="0"/>
              </w:rPr>
              <w:t xml:space="preserve"> 比选申请人条件</w:t>
            </w:r>
          </w:p>
          <w:p w14:paraId="5C036A52">
            <w:pPr>
              <w:autoSpaceDE w:val="0"/>
              <w:autoSpaceDN w:val="0"/>
              <w:adjustRightInd w:val="0"/>
              <w:snapToGrid w:val="0"/>
              <w:spacing w:line="360" w:lineRule="auto"/>
              <w:ind w:firstLine="415" w:firstLineChars="198"/>
              <w:jc w:val="left"/>
              <w:rPr>
                <w:rFonts w:hint="eastAsia" w:ascii="宋体" w:hAnsi="宋体" w:cs="宋体"/>
              </w:rPr>
            </w:pPr>
            <w:r>
              <w:rPr>
                <w:rFonts w:hint="eastAsia" w:ascii="宋体" w:hAnsi="宋体" w:cs="宋体"/>
              </w:rPr>
              <w:t>（1）比选申请人必须是独立法人资格的单位，取得有效的营业执照。</w:t>
            </w:r>
          </w:p>
          <w:p w14:paraId="0A12ACD3">
            <w:pPr>
              <w:autoSpaceDE w:val="0"/>
              <w:autoSpaceDN w:val="0"/>
              <w:adjustRightInd w:val="0"/>
              <w:snapToGrid w:val="0"/>
              <w:spacing w:line="360" w:lineRule="auto"/>
              <w:ind w:firstLine="422" w:firstLineChars="200"/>
              <w:rPr>
                <w:rFonts w:hint="eastAsia" w:ascii="宋体" w:hAnsi="宋体" w:cs="宋体"/>
                <w:b/>
              </w:rPr>
            </w:pPr>
            <w:r>
              <w:rPr>
                <w:rFonts w:hint="eastAsia" w:ascii="宋体" w:hAnsi="宋体" w:cs="宋体"/>
                <w:b/>
              </w:rPr>
              <w:t>注：提供有效的营业执照副本复印件，并加盖比选申请人公章。</w:t>
            </w:r>
          </w:p>
          <w:p w14:paraId="097CD6C0">
            <w:pPr>
              <w:numPr>
                <w:ilvl w:val="0"/>
                <w:numId w:val="2"/>
              </w:numPr>
              <w:autoSpaceDE w:val="0"/>
              <w:autoSpaceDN w:val="0"/>
              <w:adjustRightInd w:val="0"/>
              <w:snapToGrid w:val="0"/>
              <w:spacing w:line="360" w:lineRule="auto"/>
              <w:ind w:firstLine="420" w:firstLineChars="200"/>
              <w:rPr>
                <w:rFonts w:hint="eastAsia" w:ascii="宋体" w:hAnsi="宋体" w:cs="宋体"/>
                <w:u w:val="single"/>
              </w:rPr>
            </w:pPr>
            <w:r>
              <w:rPr>
                <w:rFonts w:hint="eastAsia" w:ascii="宋体" w:hAnsi="宋体" w:cs="宋体"/>
              </w:rPr>
              <w:t>具备建设行政主管部门颁发的</w:t>
            </w:r>
            <w:r>
              <w:rPr>
                <w:rFonts w:hint="eastAsia" w:hAnsi="宋体" w:cs="宋体"/>
                <w:snapToGrid w:val="0"/>
                <w:sz w:val="21"/>
                <w:szCs w:val="21"/>
                <w:u w:val="single"/>
                <w:lang w:eastAsia="zh-CN"/>
              </w:rPr>
              <w:t>市政公用工程施工总承包三级及以上资质。</w:t>
            </w:r>
          </w:p>
          <w:p w14:paraId="66415335">
            <w:pPr>
              <w:autoSpaceDE w:val="0"/>
              <w:autoSpaceDN w:val="0"/>
              <w:adjustRightInd w:val="0"/>
              <w:snapToGrid w:val="0"/>
              <w:spacing w:line="360" w:lineRule="auto"/>
              <w:ind w:firstLine="422" w:firstLineChars="200"/>
              <w:rPr>
                <w:rFonts w:hint="eastAsia" w:ascii="宋体" w:hAnsi="宋体" w:cs="宋体"/>
                <w:b/>
              </w:rPr>
            </w:pPr>
            <w:r>
              <w:rPr>
                <w:rFonts w:hint="eastAsia" w:ascii="宋体" w:hAnsi="宋体" w:cs="宋体"/>
                <w:b/>
              </w:rPr>
              <w:t>注：提供有效的资质证书副本复印件，并加盖比选申请人公章。</w:t>
            </w:r>
          </w:p>
          <w:p w14:paraId="7322118F">
            <w:pPr>
              <w:autoSpaceDE w:val="0"/>
              <w:autoSpaceDN w:val="0"/>
              <w:adjustRightInd w:val="0"/>
              <w:snapToGrid w:val="0"/>
              <w:spacing w:line="360" w:lineRule="auto"/>
              <w:ind w:firstLine="420" w:firstLineChars="200"/>
              <w:jc w:val="left"/>
              <w:rPr>
                <w:rFonts w:hint="eastAsia"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）具备有效的安全生产许可证，企业负责人、拟担任该项目负责人和专职安全生产管理人员（即“三类人员”）具备相应的安全生产考核合格证书。</w:t>
            </w:r>
          </w:p>
          <w:p w14:paraId="7D089E12">
            <w:pPr>
              <w:autoSpaceDE w:val="0"/>
              <w:autoSpaceDN w:val="0"/>
              <w:adjustRightInd w:val="0"/>
              <w:snapToGrid w:val="0"/>
              <w:spacing w:line="360" w:lineRule="auto"/>
              <w:ind w:firstLine="422" w:firstLineChars="200"/>
              <w:rPr>
                <w:rFonts w:hint="eastAsia" w:ascii="宋体" w:hAnsi="宋体" w:cs="宋体"/>
                <w:b/>
              </w:rPr>
            </w:pPr>
            <w:r>
              <w:rPr>
                <w:rFonts w:hint="eastAsia" w:ascii="宋体" w:hAnsi="宋体" w:cs="宋体"/>
                <w:b/>
              </w:rPr>
              <w:t>注：须提供有效的安全生产许可证及“三类人员”安全生产考核合格证书复印件，并加盖比选申请人公章。</w:t>
            </w:r>
          </w:p>
          <w:p w14:paraId="4EA513F2">
            <w:pPr>
              <w:spacing w:line="360" w:lineRule="auto"/>
              <w:ind w:firstLine="420" w:firstLineChars="200"/>
              <w:rPr>
                <w:rFonts w:hint="eastAsia" w:ascii="宋体" w:hAnsi="宋体" w:cs="宋体"/>
                <w:b/>
                <w:bCs/>
              </w:rPr>
            </w:pPr>
            <w:r>
              <w:rPr>
                <w:rFonts w:hint="eastAsia" w:ascii="宋体" w:hAnsi="宋体" w:cs="宋体"/>
              </w:rPr>
              <w:t>2.</w:t>
            </w:r>
            <w:r>
              <w:rPr>
                <w:rFonts w:hint="eastAsia" w:ascii="宋体" w:hAnsi="宋体" w:cs="宋体"/>
                <w:b/>
                <w:bCs/>
              </w:rPr>
              <w:t xml:space="preserve"> 业绩要求</w:t>
            </w:r>
          </w:p>
          <w:p w14:paraId="2DFB0B0C">
            <w:pPr>
              <w:autoSpaceDE w:val="0"/>
              <w:autoSpaceDN w:val="0"/>
              <w:adjustRightInd w:val="0"/>
              <w:snapToGrid w:val="0"/>
              <w:spacing w:line="400" w:lineRule="exact"/>
              <w:ind w:firstLine="415" w:firstLineChars="198"/>
              <w:rPr>
                <w:rFonts w:hint="eastAsia" w:ascii="宋体" w:hAnsi="宋体" w:cs="宋体"/>
              </w:rPr>
            </w:pPr>
            <w:r>
              <w:rPr>
                <w:rFonts w:hint="eastAsia" w:ascii="宋体" w:hAnsi="宋体" w:cs="宋体"/>
              </w:rPr>
              <w:t>无</w:t>
            </w:r>
          </w:p>
          <w:p w14:paraId="12E3A6ED">
            <w:pPr>
              <w:snapToGrid w:val="0"/>
              <w:spacing w:before="156" w:beforeLines="50" w:line="360" w:lineRule="auto"/>
              <w:ind w:firstLine="416"/>
              <w:rPr>
                <w:rFonts w:hint="eastAsia" w:ascii="宋体" w:hAnsi="宋体" w:cs="宋体"/>
                <w:b/>
                <w:bCs/>
              </w:rPr>
            </w:pPr>
            <w:r>
              <w:rPr>
                <w:rFonts w:hint="eastAsia" w:ascii="宋体" w:hAnsi="宋体" w:cs="宋体"/>
                <w:b/>
                <w:bCs/>
              </w:rPr>
              <w:t>3.项目经理资格要求</w:t>
            </w:r>
          </w:p>
          <w:p w14:paraId="4287843A">
            <w:pPr>
              <w:snapToGrid w:val="0"/>
              <w:spacing w:before="156" w:beforeLines="50" w:line="360" w:lineRule="auto"/>
              <w:ind w:firstLine="420" w:firstLineChars="200"/>
              <w:rPr>
                <w:rFonts w:hint="eastAsia" w:ascii="宋体" w:hAnsi="宋体" w:cs="宋体"/>
              </w:rPr>
            </w:pPr>
            <w:r>
              <w:rPr>
                <w:rFonts w:hint="eastAsia" w:ascii="宋体" w:hAnsi="宋体" w:cs="宋体"/>
                <w:lang w:val="zh-CN"/>
              </w:rPr>
              <w:t>比选申请人拟派的项目经理必须已在比选申请人本单位注册并应具有</w:t>
            </w:r>
            <w:r>
              <w:rPr>
                <w:rFonts w:hint="eastAsia" w:ascii="宋体" w:hAnsi="宋体" w:cs="宋体"/>
                <w:b/>
                <w:bCs/>
                <w:u w:val="single"/>
                <w:lang w:val="en-US" w:eastAsia="zh-CN"/>
              </w:rPr>
              <w:t>市政工程</w:t>
            </w:r>
            <w:r>
              <w:rPr>
                <w:rFonts w:hint="eastAsia" w:ascii="宋体" w:hAnsi="宋体" w:cs="宋体"/>
                <w:lang w:val="zh-CN"/>
              </w:rPr>
              <w:t>专业</w:t>
            </w:r>
            <w:r>
              <w:rPr>
                <w:rFonts w:hint="eastAsia" w:ascii="宋体" w:hAnsi="宋体" w:cs="宋体"/>
                <w:u w:val="single"/>
              </w:rPr>
              <w:t>贰</w:t>
            </w:r>
            <w:r>
              <w:rPr>
                <w:rFonts w:hint="eastAsia" w:ascii="宋体" w:hAnsi="宋体" w:cs="宋体"/>
                <w:u w:val="single"/>
                <w:lang w:val="zh-CN"/>
              </w:rPr>
              <w:t>级及以上</w:t>
            </w:r>
            <w:r>
              <w:rPr>
                <w:rFonts w:hint="eastAsia" w:ascii="宋体" w:hAnsi="宋体" w:cs="宋体"/>
                <w:lang w:val="zh-CN"/>
              </w:rPr>
              <w:t>注册建造师执业资格，应为比选申请人本单位人员。</w:t>
            </w:r>
          </w:p>
          <w:p w14:paraId="63E86C66">
            <w:pPr>
              <w:snapToGrid w:val="0"/>
              <w:spacing w:before="156" w:beforeLines="50" w:line="360" w:lineRule="auto"/>
              <w:ind w:firstLine="422" w:firstLineChars="200"/>
              <w:rPr>
                <w:rFonts w:hint="eastAsia" w:ascii="宋体" w:hAnsi="宋体" w:cs="宋体"/>
                <w:b/>
                <w:bCs/>
              </w:rPr>
            </w:pPr>
            <w:r>
              <w:rPr>
                <w:rFonts w:hint="eastAsia" w:ascii="宋体" w:hAnsi="宋体" w:cs="宋体"/>
                <w:b/>
                <w:bCs/>
              </w:rPr>
              <w:t xml:space="preserve"> 注：须提供项目经理的职称证或资格证书或建造师注册证书（在本单位注册且无在建）、身份证的复印件，并加盖比选申请人公章。同时,比选申请人须自行承诺其项目经理无在建工程。</w:t>
            </w:r>
          </w:p>
          <w:p w14:paraId="66938242">
            <w:pPr>
              <w:snapToGrid w:val="0"/>
              <w:spacing w:before="156" w:beforeLines="50" w:line="360" w:lineRule="auto"/>
              <w:ind w:firstLine="422" w:firstLineChars="200"/>
              <w:rPr>
                <w:rFonts w:hint="eastAsia" w:ascii="宋体" w:hAnsi="宋体" w:cs="宋体"/>
                <w:b/>
                <w:bCs/>
              </w:rPr>
            </w:pPr>
            <w:r>
              <w:rPr>
                <w:rFonts w:hint="eastAsia" w:ascii="宋体" w:hAnsi="宋体" w:cs="宋体"/>
                <w:b/>
                <w:bCs/>
              </w:rPr>
              <w:t>4.其他要求：</w:t>
            </w:r>
          </w:p>
          <w:p w14:paraId="43F90BD2">
            <w:pPr>
              <w:snapToGrid w:val="0"/>
              <w:spacing w:before="156" w:beforeLines="50" w:line="360" w:lineRule="auto"/>
              <w:ind w:firstLine="420" w:firstLineChars="200"/>
              <w:rPr>
                <w:rFonts w:hint="eastAsia" w:ascii="宋体" w:hAnsi="宋体" w:cs="宋体"/>
              </w:rPr>
            </w:pPr>
            <w:r>
              <w:rPr>
                <w:rFonts w:hint="eastAsia" w:ascii="宋体" w:hAnsi="宋体" w:cs="宋体"/>
              </w:rPr>
              <w:t>（1） 项目技术负责人：</w:t>
            </w:r>
          </w:p>
          <w:p w14:paraId="44475C11">
            <w:pPr>
              <w:snapToGrid w:val="0"/>
              <w:spacing w:before="156" w:beforeLines="50" w:line="360" w:lineRule="auto"/>
              <w:ind w:firstLine="420" w:firstLineChars="200"/>
              <w:rPr>
                <w:rFonts w:hint="eastAsia" w:ascii="宋体" w:hAnsi="宋体" w:cs="宋体"/>
              </w:rPr>
            </w:pPr>
            <w:r>
              <w:rPr>
                <w:rFonts w:hint="eastAsia" w:ascii="宋体" w:hAnsi="宋体" w:cs="宋体"/>
              </w:rPr>
              <w:t>①应具有</w:t>
            </w:r>
            <w:r>
              <w:rPr>
                <w:rFonts w:hint="eastAsia" w:ascii="宋体" w:hAnsi="宋体" w:cs="宋体"/>
                <w:highlight w:val="none"/>
                <w:u w:val="single"/>
                <w:lang w:val="zh-CN"/>
              </w:rPr>
              <w:t>工程</w:t>
            </w:r>
            <w:r>
              <w:rPr>
                <w:rFonts w:hint="eastAsia" w:ascii="宋体" w:hAnsi="宋体" w:cs="宋体"/>
                <w:highlight w:val="none"/>
                <w:u w:val="single"/>
              </w:rPr>
              <w:t>类</w:t>
            </w:r>
            <w:r>
              <w:rPr>
                <w:rFonts w:hint="eastAsia" w:ascii="宋体" w:hAnsi="宋体" w:cs="宋体"/>
              </w:rPr>
              <w:t>中级及以上职称，且为比选申请人本单位人员；</w:t>
            </w:r>
          </w:p>
          <w:p w14:paraId="00A3DDC8">
            <w:pPr>
              <w:autoSpaceDE w:val="0"/>
              <w:autoSpaceDN w:val="0"/>
              <w:adjustRightInd w:val="0"/>
              <w:spacing w:line="360" w:lineRule="auto"/>
              <w:ind w:firstLine="420" w:firstLineChars="200"/>
              <w:rPr>
                <w:rFonts w:hint="eastAsia" w:ascii="宋体" w:hAnsi="宋体" w:cs="宋体"/>
                <w:kern w:val="0"/>
              </w:rPr>
            </w:pPr>
            <w:r>
              <w:rPr>
                <w:rFonts w:hint="eastAsia" w:ascii="宋体" w:hAnsi="宋体" w:cs="宋体"/>
                <w:kern w:val="0"/>
              </w:rPr>
              <w:t>注：</w:t>
            </w:r>
            <w:r>
              <w:rPr>
                <w:rFonts w:hint="eastAsia" w:ascii="宋体" w:hAnsi="宋体" w:cs="宋体"/>
                <w:kern w:val="0"/>
                <w:lang w:val="zh-CN"/>
              </w:rPr>
              <w:t>比选申请人须在比选申请文件资格审查部分附拟派技术负责人职称证及比选申请人本单位为其缴纳的养老保险证明材料复印件</w:t>
            </w:r>
            <w:r>
              <w:rPr>
                <w:rFonts w:hint="eastAsia" w:ascii="宋体" w:hAnsi="宋体" w:cs="宋体"/>
                <w:kern w:val="0"/>
              </w:rPr>
              <w:t>。</w:t>
            </w:r>
          </w:p>
          <w:p w14:paraId="298000D3">
            <w:pPr>
              <w:snapToGrid w:val="0"/>
              <w:spacing w:before="156" w:beforeLines="50" w:line="360" w:lineRule="auto"/>
              <w:ind w:firstLine="420" w:firstLineChars="200"/>
              <w:rPr>
                <w:rFonts w:hint="eastAsia" w:ascii="宋体" w:hAnsi="宋体" w:cs="宋体"/>
              </w:rPr>
            </w:pPr>
            <w:r>
              <w:rPr>
                <w:rFonts w:hint="eastAsia" w:ascii="宋体" w:hAnsi="宋体" w:cs="宋体"/>
              </w:rPr>
              <w:t>（2）主要管理人员：</w:t>
            </w:r>
          </w:p>
          <w:p w14:paraId="2EAC56DA">
            <w:pPr>
              <w:wordWrap w:val="0"/>
              <w:autoSpaceDE w:val="0"/>
              <w:autoSpaceDN w:val="0"/>
              <w:adjustRightInd w:val="0"/>
              <w:snapToGrid w:val="0"/>
              <w:spacing w:before="38" w:line="360" w:lineRule="auto"/>
              <w:ind w:left="3" w:right="37" w:firstLine="413" w:firstLineChars="197"/>
              <w:jc w:val="left"/>
              <w:rPr>
                <w:rFonts w:hint="eastAsia" w:ascii="宋体" w:hAnsi="宋体" w:cs="宋体"/>
                <w:kern w:val="0"/>
              </w:rPr>
            </w:pPr>
            <w:r>
              <w:rPr>
                <w:rFonts w:hint="eastAsia" w:ascii="宋体" w:hAnsi="宋体" w:cs="宋体"/>
                <w:kern w:val="0"/>
              </w:rPr>
              <w:t>比选申请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比选申请人为其缴纳的养老保险证明材料。中标后不能满足该要求的，比选人可取消其中标资格，给招标人造成损失的，比选申请人依法承担违约赔偿责任。</w:t>
            </w:r>
          </w:p>
          <w:p w14:paraId="248CB104">
            <w:pPr>
              <w:autoSpaceDE w:val="0"/>
              <w:autoSpaceDN w:val="0"/>
              <w:adjustRightInd w:val="0"/>
              <w:snapToGrid w:val="0"/>
              <w:spacing w:line="400" w:lineRule="exact"/>
              <w:ind w:firstLine="420" w:firstLineChars="200"/>
              <w:rPr>
                <w:rFonts w:hint="eastAsia" w:ascii="宋体" w:hAnsi="宋体" w:cs="宋体"/>
              </w:rPr>
            </w:pPr>
            <w:r>
              <w:rPr>
                <w:rFonts w:hint="eastAsia" w:ascii="宋体" w:hAnsi="宋体" w:cs="宋体"/>
              </w:rPr>
              <w:t>（3）委托代理人：</w:t>
            </w:r>
          </w:p>
          <w:p w14:paraId="446FB10B">
            <w:pPr>
              <w:autoSpaceDE w:val="0"/>
              <w:autoSpaceDN w:val="0"/>
              <w:adjustRightInd w:val="0"/>
              <w:snapToGrid w:val="0"/>
              <w:spacing w:line="400" w:lineRule="exact"/>
              <w:ind w:firstLine="420" w:firstLineChars="200"/>
              <w:rPr>
                <w:rFonts w:hint="eastAsia" w:ascii="宋体" w:hAnsi="宋体" w:cs="宋体"/>
              </w:rPr>
            </w:pPr>
            <w:r>
              <w:rPr>
                <w:rFonts w:hint="eastAsia" w:ascii="宋体" w:hAnsi="宋体" w:cs="宋体"/>
              </w:rPr>
              <w:t>委托代理人必须为</w:t>
            </w:r>
            <w:r>
              <w:rPr>
                <w:rFonts w:hint="eastAsia" w:ascii="宋体" w:hAnsi="宋体" w:cs="宋体"/>
                <w:kern w:val="0"/>
              </w:rPr>
              <w:t>比选申请人</w:t>
            </w:r>
            <w:r>
              <w:rPr>
                <w:rFonts w:hint="eastAsia" w:ascii="宋体" w:hAnsi="宋体" w:cs="宋体"/>
              </w:rPr>
              <w:t>本单位人员。</w:t>
            </w:r>
          </w:p>
          <w:p w14:paraId="0BE7D93D">
            <w:pPr>
              <w:autoSpaceDE w:val="0"/>
              <w:autoSpaceDN w:val="0"/>
              <w:adjustRightInd w:val="0"/>
              <w:spacing w:line="360" w:lineRule="auto"/>
              <w:ind w:firstLine="420" w:firstLineChars="200"/>
              <w:rPr>
                <w:rFonts w:hint="eastAsia" w:ascii="宋体" w:hAnsi="宋体" w:cs="宋体"/>
              </w:rPr>
            </w:pPr>
            <w:r>
              <w:rPr>
                <w:rFonts w:hint="eastAsia" w:ascii="宋体" w:hAnsi="宋体" w:cs="宋体"/>
                <w:kern w:val="0"/>
              </w:rPr>
              <w:t>比选申请人</w:t>
            </w:r>
            <w:r>
              <w:rPr>
                <w:rFonts w:hint="eastAsia" w:ascii="宋体" w:hAnsi="宋体" w:cs="宋体"/>
              </w:rPr>
              <w:t>须在比选申请文件资格审查部分提供</w:t>
            </w:r>
            <w:r>
              <w:rPr>
                <w:rFonts w:hint="eastAsia" w:ascii="宋体" w:hAnsi="宋体" w:cs="宋体"/>
                <w:kern w:val="0"/>
              </w:rPr>
              <w:t>比选申请人</w:t>
            </w:r>
            <w:r>
              <w:rPr>
                <w:rFonts w:hint="eastAsia" w:ascii="宋体" w:hAnsi="宋体" w:cs="宋体"/>
              </w:rPr>
              <w:t>为该委托代理人缴纳的养老保险证明。否则，将由评标委员会作否决投标处理。</w:t>
            </w:r>
          </w:p>
          <w:p w14:paraId="5885BA0C">
            <w:pPr>
              <w:snapToGrid w:val="0"/>
              <w:spacing w:line="400" w:lineRule="exact"/>
              <w:ind w:firstLine="420" w:firstLineChars="200"/>
              <w:rPr>
                <w:rFonts w:hint="eastAsia" w:ascii="宋体" w:hAnsi="宋体" w:cs="宋体"/>
                <w:kern w:val="0"/>
              </w:rPr>
            </w:pPr>
            <w:r>
              <w:rPr>
                <w:rFonts w:hint="eastAsia" w:ascii="宋体" w:hAnsi="宋体" w:cs="宋体"/>
                <w:kern w:val="0"/>
              </w:rPr>
              <w:t>注：</w:t>
            </w:r>
          </w:p>
          <w:p w14:paraId="1D3F43BD">
            <w:pPr>
              <w:autoSpaceDE w:val="0"/>
              <w:autoSpaceDN w:val="0"/>
              <w:adjustRightInd w:val="0"/>
              <w:spacing w:line="360" w:lineRule="auto"/>
              <w:ind w:firstLine="420" w:firstLineChars="200"/>
              <w:rPr>
                <w:rFonts w:hint="eastAsia" w:ascii="宋体" w:hAnsi="宋体" w:eastAsia="宋体" w:cs="宋体"/>
              </w:rPr>
            </w:pPr>
            <w:r>
              <w:rPr>
                <w:rFonts w:hint="eastAsia" w:ascii="宋体" w:hAnsi="宋体" w:eastAsia="宋体" w:cs="宋体"/>
              </w:rPr>
              <w:t>1、提供拟派的项目经理为一级建造师或重庆市二级建造师注册人员的，必须提供建造师电子注册证书，且该建造师电子注册证书须由建造师本人在个人签名处手写本人签名。</w:t>
            </w:r>
          </w:p>
          <w:p w14:paraId="1F167A49">
            <w:pPr>
              <w:autoSpaceDE w:val="0"/>
              <w:autoSpaceDN w:val="0"/>
              <w:adjustRightInd w:val="0"/>
              <w:spacing w:line="360" w:lineRule="auto"/>
              <w:ind w:firstLine="420" w:firstLineChars="200"/>
              <w:rPr>
                <w:rFonts w:hint="eastAsia" w:ascii="宋体" w:hAnsi="宋体" w:eastAsia="宋体" w:cs="宋体"/>
              </w:rPr>
            </w:pPr>
            <w:r>
              <w:rPr>
                <w:rFonts w:hint="eastAsia" w:ascii="宋体" w:hAnsi="宋体" w:eastAsia="宋体" w:cs="宋体"/>
              </w:rPr>
              <w:t>2、重庆市以外的省级住房城乡建设主管部门对二级建造师电子注册证书使用有明确规定的，从其规定。未规定使用电子注册证书的，可提供纸质证书扫描件。</w:t>
            </w:r>
          </w:p>
          <w:p w14:paraId="3C5E0714">
            <w:pPr>
              <w:autoSpaceDE w:val="0"/>
              <w:autoSpaceDN w:val="0"/>
              <w:adjustRightInd w:val="0"/>
              <w:spacing w:line="360" w:lineRule="auto"/>
              <w:ind w:firstLine="420" w:firstLineChars="200"/>
              <w:rPr>
                <w:rFonts w:hint="eastAsia" w:ascii="宋体" w:hAnsi="宋体" w:eastAsia="宋体" w:cs="宋体"/>
              </w:rPr>
            </w:pPr>
            <w:r>
              <w:rPr>
                <w:rFonts w:hint="eastAsia" w:ascii="宋体" w:hAnsi="宋体" w:eastAsia="宋体" w:cs="宋体"/>
              </w:rPr>
              <w:t>3、建造师电子注册证书本人手写签名与签名图像笔迹是否一致不作为否决投标的情形。</w:t>
            </w:r>
          </w:p>
          <w:p w14:paraId="7E426BD2">
            <w:pPr>
              <w:autoSpaceDE w:val="0"/>
              <w:autoSpaceDN w:val="0"/>
              <w:adjustRightInd w:val="0"/>
              <w:spacing w:line="360" w:lineRule="auto"/>
              <w:ind w:firstLine="422" w:firstLineChars="200"/>
              <w:rPr>
                <w:rFonts w:hint="eastAsia" w:ascii="宋体" w:hAnsi="宋体" w:cs="宋体"/>
                <w:b/>
                <w:bCs/>
                <w:kern w:val="0"/>
              </w:rPr>
            </w:pPr>
            <w:r>
              <w:rPr>
                <w:rFonts w:hint="eastAsia" w:ascii="宋体" w:hAnsi="宋体" w:cs="宋体"/>
                <w:b/>
                <w:bCs/>
                <w:kern w:val="0"/>
              </w:rPr>
              <w:t>5.信誉要求</w:t>
            </w:r>
          </w:p>
          <w:p w14:paraId="552F4429">
            <w:pPr>
              <w:wordWrap w:val="0"/>
              <w:autoSpaceDE w:val="0"/>
              <w:autoSpaceDN w:val="0"/>
              <w:adjustRightInd w:val="0"/>
              <w:snapToGrid w:val="0"/>
              <w:spacing w:before="38" w:line="360" w:lineRule="auto"/>
              <w:ind w:left="103" w:leftChars="49" w:right="37" w:firstLine="315" w:firstLineChars="150"/>
              <w:jc w:val="left"/>
              <w:rPr>
                <w:rFonts w:hint="eastAsia" w:ascii="宋体" w:hAnsi="宋体" w:cs="宋体"/>
                <w:kern w:val="0"/>
              </w:rPr>
            </w:pPr>
            <w:r>
              <w:rPr>
                <w:rFonts w:hint="eastAsia" w:ascii="宋体" w:hAnsi="宋体" w:cs="宋体"/>
                <w:kern w:val="0"/>
              </w:rPr>
              <w:t>比选申请人自行承诺（格式文件）不得存在下列情形之一：</w:t>
            </w:r>
          </w:p>
          <w:p w14:paraId="1156AFE4">
            <w:pPr>
              <w:wordWrap w:val="0"/>
              <w:autoSpaceDE w:val="0"/>
              <w:autoSpaceDN w:val="0"/>
              <w:adjustRightInd w:val="0"/>
              <w:snapToGrid w:val="0"/>
              <w:spacing w:before="38" w:line="360" w:lineRule="auto"/>
              <w:ind w:left="103" w:leftChars="49" w:right="37" w:firstLine="315" w:firstLineChars="150"/>
              <w:jc w:val="left"/>
              <w:rPr>
                <w:rFonts w:hint="eastAsia" w:ascii="宋体" w:hAnsi="宋体" w:cs="宋体"/>
                <w:kern w:val="0"/>
              </w:rPr>
            </w:pPr>
            <w:r>
              <w:rPr>
                <w:rFonts w:hint="eastAsia" w:ascii="宋体" w:hAnsi="宋体" w:cs="宋体"/>
                <w:kern w:val="0"/>
              </w:rPr>
              <w:t>（1）被最高人民法院在“信用中国”网站（www.creditchina.gov.cn）列入失信被执行人名单；</w:t>
            </w:r>
          </w:p>
          <w:p w14:paraId="45A66CE2">
            <w:pPr>
              <w:wordWrap w:val="0"/>
              <w:autoSpaceDE w:val="0"/>
              <w:autoSpaceDN w:val="0"/>
              <w:adjustRightInd w:val="0"/>
              <w:snapToGrid w:val="0"/>
              <w:spacing w:before="38" w:line="360" w:lineRule="auto"/>
              <w:ind w:left="103" w:leftChars="49" w:right="37" w:firstLine="315" w:firstLineChars="150"/>
              <w:jc w:val="left"/>
              <w:rPr>
                <w:rFonts w:hint="eastAsia" w:ascii="宋体" w:hAnsi="宋体" w:cs="宋体"/>
                <w:kern w:val="0"/>
              </w:rPr>
            </w:pPr>
            <w:r>
              <w:rPr>
                <w:rFonts w:hint="eastAsia" w:ascii="宋体" w:hAnsi="宋体" w:cs="宋体"/>
                <w:kern w:val="0"/>
              </w:rPr>
              <w:t>（2）被列入《重庆市工程建设领域招标投标信用管理暂行办法》规定的重点关注名单且记分达到12分；</w:t>
            </w:r>
          </w:p>
          <w:p w14:paraId="1CABF6A4">
            <w:pPr>
              <w:wordWrap w:val="0"/>
              <w:autoSpaceDE w:val="0"/>
              <w:autoSpaceDN w:val="0"/>
              <w:adjustRightInd w:val="0"/>
              <w:snapToGrid w:val="0"/>
              <w:spacing w:before="38" w:line="360" w:lineRule="auto"/>
              <w:ind w:left="103" w:leftChars="49" w:right="37" w:firstLine="315" w:firstLineChars="150"/>
              <w:jc w:val="left"/>
              <w:rPr>
                <w:rFonts w:hint="eastAsia" w:ascii="宋体" w:hAnsi="宋体" w:cs="宋体"/>
                <w:kern w:val="0"/>
              </w:rPr>
            </w:pPr>
            <w:r>
              <w:rPr>
                <w:rFonts w:hint="eastAsia" w:ascii="宋体" w:hAnsi="宋体" w:cs="宋体"/>
                <w:kern w:val="0"/>
              </w:rPr>
              <w:t>（3）被列入《重庆市工程建设领域招标投标信用管理暂行办法》规定的黑名单；</w:t>
            </w:r>
          </w:p>
          <w:p w14:paraId="0C21B192">
            <w:pPr>
              <w:wordWrap w:val="0"/>
              <w:autoSpaceDE w:val="0"/>
              <w:autoSpaceDN w:val="0"/>
              <w:adjustRightInd w:val="0"/>
              <w:snapToGrid w:val="0"/>
              <w:spacing w:before="38" w:line="360" w:lineRule="auto"/>
              <w:ind w:left="103" w:leftChars="49" w:right="37" w:firstLine="315" w:firstLineChars="150"/>
              <w:jc w:val="left"/>
              <w:rPr>
                <w:rFonts w:hint="eastAsia" w:ascii="宋体" w:hAnsi="宋体" w:cs="宋体"/>
                <w:kern w:val="0"/>
              </w:rPr>
            </w:pPr>
            <w:r>
              <w:rPr>
                <w:rFonts w:hint="eastAsia" w:ascii="宋体" w:hAnsi="宋体" w:cs="宋体"/>
                <w:kern w:val="0"/>
              </w:rPr>
              <w:t>（4）被国家、重庆市（含市或任意区县）有关行政部门处以暂停投标资格行政处罚，且在处罚期限内；</w:t>
            </w:r>
          </w:p>
          <w:p w14:paraId="03A5E62A">
            <w:pPr>
              <w:wordWrap w:val="0"/>
              <w:autoSpaceDE w:val="0"/>
              <w:autoSpaceDN w:val="0"/>
              <w:adjustRightInd w:val="0"/>
              <w:snapToGrid w:val="0"/>
              <w:spacing w:before="38" w:line="360" w:lineRule="auto"/>
              <w:ind w:left="103" w:leftChars="49" w:right="37" w:firstLine="315" w:firstLineChars="150"/>
              <w:jc w:val="left"/>
              <w:rPr>
                <w:rFonts w:hint="eastAsia" w:ascii="宋体" w:hAnsi="宋体" w:cs="宋体"/>
                <w:kern w:val="0"/>
              </w:rPr>
            </w:pPr>
            <w:r>
              <w:rPr>
                <w:rFonts w:hint="eastAsia" w:ascii="宋体" w:hAnsi="宋体" w:cs="宋体"/>
                <w:kern w:val="0"/>
              </w:rPr>
              <w:t>（5）被重庆市住房和城乡建设主管部门暂停在渝承揽新业务。</w:t>
            </w:r>
          </w:p>
          <w:p w14:paraId="0E7B8E9C">
            <w:pPr>
              <w:wordWrap w:val="0"/>
              <w:autoSpaceDE w:val="0"/>
              <w:autoSpaceDN w:val="0"/>
              <w:adjustRightInd w:val="0"/>
              <w:snapToGrid w:val="0"/>
              <w:spacing w:before="38" w:line="360" w:lineRule="auto"/>
              <w:ind w:left="103" w:leftChars="49" w:right="37" w:firstLine="315" w:firstLineChars="150"/>
              <w:jc w:val="left"/>
              <w:rPr>
                <w:rFonts w:hint="eastAsia" w:ascii="宋体" w:hAnsi="宋体" w:cs="宋体"/>
                <w:kern w:val="0"/>
              </w:rPr>
            </w:pPr>
            <w:r>
              <w:rPr>
                <w:rFonts w:hint="eastAsia" w:ascii="宋体" w:hAnsi="宋体" w:cs="宋体"/>
                <w:kern w:val="0"/>
              </w:rPr>
              <w:t>注：①以上第（1）、（2）、（3）、（4）、（5）项信誉要求须比选申请人在比选申请文件的“信誉要求”中自行承诺；</w:t>
            </w:r>
          </w:p>
          <w:p w14:paraId="351AB6BD">
            <w:pPr>
              <w:wordWrap w:val="0"/>
              <w:autoSpaceDE w:val="0"/>
              <w:autoSpaceDN w:val="0"/>
              <w:adjustRightInd w:val="0"/>
              <w:snapToGrid w:val="0"/>
              <w:spacing w:before="38" w:line="360" w:lineRule="auto"/>
              <w:ind w:left="103" w:leftChars="49" w:right="37" w:firstLine="315" w:firstLineChars="150"/>
              <w:jc w:val="left"/>
              <w:rPr>
                <w:rFonts w:hint="eastAsia" w:ascii="宋体" w:hAnsi="宋体" w:cs="宋体"/>
                <w:kern w:val="0"/>
              </w:rPr>
            </w:pPr>
            <w:r>
              <w:rPr>
                <w:rFonts w:hint="eastAsia" w:ascii="宋体" w:hAnsi="宋体" w:cs="宋体"/>
                <w:kern w:val="0"/>
              </w:rPr>
              <w:t>②若比选申请人提供虚假材料，发现后取消投标资格及中标资格，并按重庆市招标投标条例执行。</w:t>
            </w:r>
          </w:p>
          <w:p w14:paraId="5CE12FC0">
            <w:pPr>
              <w:snapToGrid w:val="0"/>
              <w:spacing w:line="360" w:lineRule="auto"/>
              <w:ind w:firstLine="422" w:firstLineChars="200"/>
              <w:jc w:val="left"/>
              <w:rPr>
                <w:rFonts w:hint="eastAsia" w:ascii="宋体" w:hAnsi="宋体" w:cs="宋体"/>
                <w:b/>
              </w:rPr>
            </w:pPr>
            <w:r>
              <w:rPr>
                <w:rFonts w:hint="eastAsia" w:ascii="宋体" w:hAnsi="宋体" w:cs="宋体"/>
                <w:b/>
              </w:rPr>
              <w:t>特别提示：</w:t>
            </w:r>
          </w:p>
          <w:p w14:paraId="45F1B057">
            <w:pPr>
              <w:snapToGrid w:val="0"/>
              <w:spacing w:line="360" w:lineRule="auto"/>
              <w:ind w:firstLine="420" w:firstLineChars="200"/>
              <w:rPr>
                <w:rFonts w:hint="eastAsia" w:ascii="宋体" w:hAnsi="宋体" w:cs="宋体"/>
                <w:kern w:val="0"/>
                <w:lang w:val="zh-CN"/>
              </w:rPr>
            </w:pPr>
            <w:r>
              <w:rPr>
                <w:rFonts w:hint="eastAsia" w:ascii="宋体" w:hAnsi="宋体" w:cs="宋体"/>
                <w:kern w:val="0"/>
                <w:lang w:val="zh-CN"/>
              </w:rPr>
              <w:t>（1）上述1～</w:t>
            </w:r>
            <w:r>
              <w:rPr>
                <w:rFonts w:hint="eastAsia" w:ascii="宋体" w:hAnsi="宋体" w:cs="宋体"/>
                <w:kern w:val="0"/>
              </w:rPr>
              <w:t>5</w:t>
            </w:r>
            <w:r>
              <w:rPr>
                <w:rFonts w:hint="eastAsia" w:ascii="宋体" w:hAnsi="宋体" w:cs="宋体"/>
                <w:kern w:val="0"/>
                <w:lang w:val="zh-CN"/>
              </w:rPr>
              <w:t>条所需提交的相关证明材料复印件均应加盖投标单位法人章并装入比选申请文件资格审查部分中。以上1～</w:t>
            </w:r>
            <w:r>
              <w:rPr>
                <w:rFonts w:hint="eastAsia" w:ascii="宋体" w:hAnsi="宋体" w:cs="宋体"/>
                <w:kern w:val="0"/>
              </w:rPr>
              <w:t>5</w:t>
            </w:r>
            <w:r>
              <w:rPr>
                <w:rFonts w:hint="eastAsia" w:ascii="宋体" w:hAnsi="宋体" w:cs="宋体"/>
                <w:kern w:val="0"/>
                <w:lang w:val="zh-CN"/>
              </w:rPr>
              <w:t>条，有一条不满足，则比选申请文件由评标委员会作否决投标处理。</w:t>
            </w:r>
          </w:p>
          <w:p w14:paraId="6406E068">
            <w:pPr>
              <w:snapToGrid w:val="0"/>
              <w:spacing w:line="360" w:lineRule="auto"/>
              <w:ind w:firstLine="420" w:firstLineChars="200"/>
              <w:rPr>
                <w:rFonts w:hint="eastAsia" w:ascii="宋体" w:hAnsi="宋体" w:cs="宋体"/>
                <w:kern w:val="0"/>
                <w:lang w:val="zh-CN"/>
              </w:rPr>
            </w:pPr>
            <w:r>
              <w:rPr>
                <w:rFonts w:hint="eastAsia" w:ascii="宋体" w:hAnsi="宋体" w:cs="宋体"/>
                <w:kern w:val="0"/>
                <w:lang w:val="zh-CN"/>
              </w:rPr>
              <w:t>（2）比选人在投标有效期内均有权对比选申请人提供的以上资料（证明和证件的原件或复印件）进行核实，</w:t>
            </w:r>
            <w:r>
              <w:rPr>
                <w:rFonts w:hint="eastAsia" w:ascii="宋体" w:hAnsi="宋体" w:cs="宋体"/>
              </w:rPr>
              <w:t>比选申请人须书面承诺若在评标期间有比选申请人投诉并经查实或评标委员会发现比选申请人提供了虚假资料，比选人将对比选申请人的比选申请文件作废标处理，并没收其投标保证金；若在评标结果公示期间或合同谈判过程中有比选申请人投诉或经比选人核查并经查实发现作为中标候选人的比选申请人提供了虚假资料，比选人将取消其中标资格并没收其投标保证金。否则作否决投标处理。</w:t>
            </w:r>
          </w:p>
          <w:p w14:paraId="76DBD7B6">
            <w:pPr>
              <w:snapToGrid w:val="0"/>
              <w:spacing w:line="360" w:lineRule="auto"/>
              <w:ind w:firstLine="420" w:firstLineChars="200"/>
              <w:rPr>
                <w:rFonts w:hint="eastAsia" w:ascii="宋体" w:hAnsi="宋体" w:cs="宋体"/>
                <w:kern w:val="0"/>
              </w:rPr>
            </w:pPr>
            <w:r>
              <w:rPr>
                <w:rFonts w:hint="eastAsia" w:ascii="宋体" w:hAnsi="宋体" w:cs="宋体"/>
                <w:kern w:val="0"/>
                <w:lang w:val="zh-CN"/>
              </w:rPr>
              <w:t>（3）</w:t>
            </w:r>
            <w:r>
              <w:rPr>
                <w:rFonts w:hint="eastAsia" w:ascii="宋体" w:hAnsi="宋体" w:cs="宋体"/>
                <w:kern w:val="0"/>
              </w:rPr>
              <w:t>比选申请人拟派本项目人员均需自行承诺无行贿受贿不良记录和无在建工程承诺。</w:t>
            </w:r>
          </w:p>
          <w:p w14:paraId="6AEF4A77">
            <w:pPr>
              <w:snapToGrid w:val="0"/>
              <w:spacing w:line="360" w:lineRule="auto"/>
              <w:ind w:firstLine="42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本比选文件中所要求的人员养老保险证明要求如下：</w:t>
            </w:r>
          </w:p>
          <w:p w14:paraId="7908A00D">
            <w:pPr>
              <w:snapToGrid w:val="0"/>
              <w:spacing w:line="360" w:lineRule="auto"/>
              <w:ind w:firstLine="420" w:firstLineChars="200"/>
              <w:rPr>
                <w:rFonts w:hint="eastAsia" w:ascii="宋体" w:hAnsi="宋体" w:cs="宋体"/>
                <w:kern w:val="0"/>
                <w:lang w:val="zh-CN"/>
              </w:rPr>
            </w:pPr>
            <w:r>
              <w:rPr>
                <w:rFonts w:hint="eastAsia" w:ascii="宋体" w:hAnsi="宋体" w:cs="宋体"/>
                <w:kern w:val="0"/>
                <w:lang w:val="zh-CN"/>
              </w:rPr>
              <w:t>①社会单位提供养老保险证明，事业单位提供养老保险证明或行政主管部门在编证明。</w:t>
            </w:r>
          </w:p>
          <w:p w14:paraId="5AF1176B">
            <w:pPr>
              <w:snapToGrid w:val="0"/>
              <w:spacing w:line="360" w:lineRule="auto"/>
              <w:ind w:firstLine="420" w:firstLineChars="200"/>
              <w:rPr>
                <w:rFonts w:hint="eastAsia" w:ascii="宋体" w:hAnsi="宋体" w:cs="宋体"/>
                <w:bCs/>
              </w:rPr>
            </w:pPr>
            <w:r>
              <w:rPr>
                <w:rFonts w:hint="eastAsia" w:ascii="宋体" w:hAnsi="宋体" w:cs="宋体"/>
                <w:kern w:val="0"/>
                <w:lang w:val="zh-CN"/>
              </w:rPr>
              <w:t>②比选申请文件中对养老保险的要求为：项目经理、项目技术负责人、</w:t>
            </w:r>
            <w:r>
              <w:rPr>
                <w:rFonts w:hint="eastAsia" w:ascii="宋体" w:hAnsi="宋体" w:cs="宋体"/>
                <w:kern w:val="0"/>
              </w:rPr>
              <w:t>主要管理人员、</w:t>
            </w:r>
            <w:r>
              <w:rPr>
                <w:rFonts w:hint="eastAsia" w:ascii="宋体" w:hAnsi="宋体" w:cs="宋体"/>
              </w:rPr>
              <w:t>委托代理人</w:t>
            </w:r>
            <w:r>
              <w:rPr>
                <w:rFonts w:hint="eastAsia" w:ascii="宋体" w:hAnsi="宋体" w:cs="宋体"/>
                <w:kern w:val="0"/>
                <w:lang w:val="zh-CN"/>
              </w:rPr>
              <w:t>的养老保险证明期限为</w:t>
            </w:r>
            <w:r>
              <w:rPr>
                <w:rFonts w:hint="eastAsia" w:ascii="宋体" w:hAnsi="宋体" w:cs="宋体"/>
                <w:kern w:val="0"/>
                <w:highlight w:val="none"/>
              </w:rPr>
              <w:t>202</w:t>
            </w:r>
            <w:r>
              <w:rPr>
                <w:rFonts w:hint="eastAsia" w:ascii="宋体" w:hAnsi="宋体" w:cs="宋体"/>
                <w:kern w:val="0"/>
                <w:highlight w:val="none"/>
                <w:lang w:val="en-US" w:eastAsia="zh-CN"/>
              </w:rPr>
              <w:t>5</w:t>
            </w:r>
            <w:r>
              <w:rPr>
                <w:rFonts w:hint="eastAsia" w:ascii="宋体" w:hAnsi="宋体" w:cs="宋体"/>
                <w:kern w:val="0"/>
                <w:highlight w:val="none"/>
                <w:lang w:val="zh-CN"/>
              </w:rPr>
              <w:t>年</w:t>
            </w:r>
            <w:r>
              <w:rPr>
                <w:rFonts w:hint="eastAsia" w:ascii="宋体" w:hAnsi="宋体" w:cs="宋体"/>
                <w:kern w:val="0"/>
                <w:highlight w:val="none"/>
                <w:lang w:val="en-US" w:eastAsia="zh-CN"/>
              </w:rPr>
              <w:t>01</w:t>
            </w:r>
            <w:r>
              <w:rPr>
                <w:rFonts w:hint="eastAsia" w:ascii="宋体" w:hAnsi="宋体" w:cs="宋体"/>
                <w:kern w:val="0"/>
                <w:highlight w:val="none"/>
                <w:lang w:val="zh-CN"/>
              </w:rPr>
              <w:t>月至</w:t>
            </w:r>
            <w:r>
              <w:rPr>
                <w:rFonts w:hint="eastAsia" w:ascii="宋体" w:hAnsi="宋体" w:cs="宋体"/>
                <w:kern w:val="0"/>
                <w:highlight w:val="none"/>
              </w:rPr>
              <w:t>202</w:t>
            </w:r>
            <w:r>
              <w:rPr>
                <w:rFonts w:hint="eastAsia" w:ascii="宋体" w:hAnsi="宋体" w:cs="宋体"/>
                <w:kern w:val="0"/>
                <w:highlight w:val="none"/>
                <w:lang w:val="en-US" w:eastAsia="zh-CN"/>
              </w:rPr>
              <w:t>5</w:t>
            </w:r>
            <w:r>
              <w:rPr>
                <w:rFonts w:hint="eastAsia" w:ascii="宋体" w:hAnsi="宋体" w:cs="宋体"/>
                <w:kern w:val="0"/>
                <w:highlight w:val="none"/>
                <w:lang w:val="zh-CN"/>
              </w:rPr>
              <w:t>年</w:t>
            </w:r>
            <w:r>
              <w:rPr>
                <w:rFonts w:hint="eastAsia" w:ascii="宋体" w:hAnsi="宋体" w:cs="宋体"/>
                <w:kern w:val="0"/>
                <w:highlight w:val="none"/>
                <w:lang w:val="en-US" w:eastAsia="zh-CN"/>
              </w:rPr>
              <w:t>05</w:t>
            </w:r>
            <w:r>
              <w:rPr>
                <w:rFonts w:hint="eastAsia" w:ascii="宋体" w:hAnsi="宋体" w:cs="宋体"/>
                <w:kern w:val="0"/>
                <w:lang w:val="zh-CN"/>
              </w:rPr>
              <w:t>月的连续养老保险。</w:t>
            </w:r>
          </w:p>
        </w:tc>
      </w:tr>
      <w:tr w14:paraId="7DAB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52" w:type="pct"/>
            <w:vAlign w:val="center"/>
          </w:tcPr>
          <w:p w14:paraId="506C1344">
            <w:pPr>
              <w:snapToGrid w:val="0"/>
              <w:spacing w:line="300" w:lineRule="auto"/>
              <w:jc w:val="center"/>
              <w:rPr>
                <w:rFonts w:hint="eastAsia" w:ascii="宋体" w:hAnsi="宋体" w:cs="宋体"/>
                <w:kern w:val="0"/>
              </w:rPr>
            </w:pPr>
            <w:r>
              <w:rPr>
                <w:rFonts w:hint="eastAsia" w:ascii="宋体" w:hAnsi="宋体" w:cs="宋体"/>
                <w:kern w:val="0"/>
              </w:rPr>
              <w:t>1.4.2</w:t>
            </w:r>
          </w:p>
        </w:tc>
        <w:tc>
          <w:tcPr>
            <w:tcW w:w="907" w:type="pct"/>
            <w:vAlign w:val="center"/>
          </w:tcPr>
          <w:p w14:paraId="5D2BF86F">
            <w:pPr>
              <w:snapToGrid w:val="0"/>
              <w:spacing w:line="360" w:lineRule="auto"/>
              <w:jc w:val="center"/>
              <w:rPr>
                <w:rFonts w:hint="eastAsia" w:ascii="宋体" w:hAnsi="宋体" w:cs="宋体"/>
                <w:kern w:val="0"/>
              </w:rPr>
            </w:pPr>
            <w:r>
              <w:rPr>
                <w:rFonts w:hint="eastAsia" w:ascii="宋体" w:hAnsi="宋体" w:cs="宋体"/>
                <w:kern w:val="0"/>
              </w:rPr>
              <w:t>是否接受联合体比选投标</w:t>
            </w:r>
          </w:p>
        </w:tc>
        <w:tc>
          <w:tcPr>
            <w:tcW w:w="3440" w:type="pct"/>
            <w:vAlign w:val="center"/>
          </w:tcPr>
          <w:p w14:paraId="7AE6A744">
            <w:pPr>
              <w:snapToGrid w:val="0"/>
              <w:spacing w:line="360" w:lineRule="auto"/>
              <w:rPr>
                <w:rFonts w:hint="eastAsia" w:ascii="宋体" w:hAnsi="宋体" w:cs="宋体"/>
                <w:kern w:val="0"/>
              </w:rPr>
            </w:pPr>
            <w:r>
              <w:rPr>
                <w:rFonts w:hint="eastAsia" w:ascii="宋体" w:hAnsi="宋体" w:cs="宋体"/>
                <w:kern w:val="0"/>
              </w:rPr>
              <w:t>不接受。</w:t>
            </w:r>
          </w:p>
        </w:tc>
      </w:tr>
      <w:tr w14:paraId="679D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52" w:type="pct"/>
            <w:vAlign w:val="center"/>
          </w:tcPr>
          <w:p w14:paraId="45BB5E0B">
            <w:pPr>
              <w:snapToGrid w:val="0"/>
              <w:spacing w:line="300" w:lineRule="auto"/>
              <w:jc w:val="center"/>
              <w:rPr>
                <w:rFonts w:hint="eastAsia" w:ascii="宋体" w:hAnsi="宋体" w:cs="宋体"/>
                <w:kern w:val="0"/>
              </w:rPr>
            </w:pPr>
            <w:r>
              <w:rPr>
                <w:rFonts w:hint="eastAsia" w:ascii="宋体" w:hAnsi="宋体" w:cs="宋体"/>
                <w:kern w:val="0"/>
              </w:rPr>
              <w:t>1.9.1</w:t>
            </w:r>
          </w:p>
        </w:tc>
        <w:tc>
          <w:tcPr>
            <w:tcW w:w="907" w:type="pct"/>
            <w:vAlign w:val="center"/>
          </w:tcPr>
          <w:p w14:paraId="4013B412">
            <w:pPr>
              <w:snapToGrid w:val="0"/>
              <w:spacing w:line="360" w:lineRule="auto"/>
              <w:jc w:val="center"/>
              <w:rPr>
                <w:rFonts w:hint="eastAsia" w:ascii="宋体" w:hAnsi="宋体" w:cs="宋体"/>
                <w:kern w:val="0"/>
              </w:rPr>
            </w:pPr>
            <w:r>
              <w:rPr>
                <w:rFonts w:hint="eastAsia" w:ascii="宋体" w:hAnsi="宋体" w:cs="宋体"/>
                <w:kern w:val="0"/>
              </w:rPr>
              <w:t>踏勘现场</w:t>
            </w:r>
          </w:p>
        </w:tc>
        <w:tc>
          <w:tcPr>
            <w:tcW w:w="3440" w:type="pct"/>
            <w:vAlign w:val="center"/>
          </w:tcPr>
          <w:p w14:paraId="4EEFFBD7">
            <w:pPr>
              <w:snapToGrid w:val="0"/>
              <w:spacing w:line="360" w:lineRule="auto"/>
              <w:rPr>
                <w:rFonts w:hint="eastAsia" w:ascii="宋体" w:hAnsi="宋体" w:cs="宋体"/>
                <w:kern w:val="0"/>
              </w:rPr>
            </w:pPr>
            <w:r>
              <w:rPr>
                <w:rFonts w:hint="eastAsia" w:ascii="宋体" w:hAnsi="宋体" w:cs="宋体"/>
                <w:kern w:val="0"/>
              </w:rPr>
              <w:t>不组织，自行踏勘。</w:t>
            </w:r>
          </w:p>
        </w:tc>
      </w:tr>
      <w:tr w14:paraId="125C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52" w:type="pct"/>
            <w:vAlign w:val="center"/>
          </w:tcPr>
          <w:p w14:paraId="1A242F4F">
            <w:pPr>
              <w:snapToGrid w:val="0"/>
              <w:spacing w:line="300" w:lineRule="auto"/>
              <w:jc w:val="center"/>
              <w:rPr>
                <w:rFonts w:hint="eastAsia" w:ascii="宋体" w:hAnsi="宋体" w:cs="宋体"/>
                <w:kern w:val="0"/>
              </w:rPr>
            </w:pPr>
            <w:r>
              <w:rPr>
                <w:rFonts w:hint="eastAsia" w:ascii="宋体" w:hAnsi="宋体" w:cs="宋体"/>
                <w:kern w:val="0"/>
              </w:rPr>
              <w:t>1.10.1</w:t>
            </w:r>
          </w:p>
        </w:tc>
        <w:tc>
          <w:tcPr>
            <w:tcW w:w="907" w:type="pct"/>
            <w:vAlign w:val="center"/>
          </w:tcPr>
          <w:p w14:paraId="7937A484">
            <w:pPr>
              <w:snapToGrid w:val="0"/>
              <w:spacing w:line="360" w:lineRule="auto"/>
              <w:jc w:val="center"/>
              <w:rPr>
                <w:rFonts w:hint="eastAsia" w:ascii="宋体" w:hAnsi="宋体" w:cs="宋体"/>
                <w:kern w:val="0"/>
              </w:rPr>
            </w:pPr>
            <w:r>
              <w:rPr>
                <w:rFonts w:hint="eastAsia" w:ascii="宋体" w:hAnsi="宋体" w:cs="宋体"/>
                <w:kern w:val="0"/>
              </w:rPr>
              <w:t>比选投标</w:t>
            </w:r>
          </w:p>
          <w:p w14:paraId="66AF4C58">
            <w:pPr>
              <w:snapToGrid w:val="0"/>
              <w:spacing w:line="360" w:lineRule="auto"/>
              <w:jc w:val="center"/>
              <w:rPr>
                <w:rFonts w:hint="eastAsia" w:ascii="宋体" w:hAnsi="宋体" w:cs="宋体"/>
                <w:kern w:val="0"/>
              </w:rPr>
            </w:pPr>
            <w:r>
              <w:rPr>
                <w:rFonts w:hint="eastAsia" w:ascii="宋体" w:hAnsi="宋体" w:cs="宋体"/>
                <w:kern w:val="0"/>
              </w:rPr>
              <w:t>预备会</w:t>
            </w:r>
          </w:p>
        </w:tc>
        <w:tc>
          <w:tcPr>
            <w:tcW w:w="3440" w:type="pct"/>
            <w:vAlign w:val="center"/>
          </w:tcPr>
          <w:p w14:paraId="6E10B77D">
            <w:pPr>
              <w:snapToGrid w:val="0"/>
              <w:spacing w:line="360" w:lineRule="auto"/>
              <w:rPr>
                <w:rFonts w:hint="eastAsia" w:ascii="宋体" w:hAnsi="宋体" w:cs="宋体"/>
                <w:kern w:val="0"/>
              </w:rPr>
            </w:pPr>
            <w:r>
              <w:rPr>
                <w:rFonts w:hint="eastAsia" w:ascii="宋体" w:hAnsi="宋体" w:cs="宋体"/>
                <w:kern w:val="0"/>
              </w:rPr>
              <w:t>不召开。</w:t>
            </w:r>
          </w:p>
        </w:tc>
      </w:tr>
      <w:tr w14:paraId="031F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52" w:type="pct"/>
            <w:vAlign w:val="center"/>
          </w:tcPr>
          <w:p w14:paraId="74AB2DBF">
            <w:pPr>
              <w:snapToGrid w:val="0"/>
              <w:spacing w:line="300" w:lineRule="auto"/>
              <w:jc w:val="center"/>
              <w:rPr>
                <w:rFonts w:hint="eastAsia" w:ascii="宋体" w:hAnsi="宋体" w:cs="宋体"/>
                <w:kern w:val="0"/>
              </w:rPr>
            </w:pPr>
            <w:r>
              <w:rPr>
                <w:rFonts w:hint="eastAsia" w:ascii="宋体" w:hAnsi="宋体" w:cs="宋体"/>
                <w:kern w:val="0"/>
              </w:rPr>
              <w:t>1.10.2</w:t>
            </w:r>
          </w:p>
        </w:tc>
        <w:tc>
          <w:tcPr>
            <w:tcW w:w="907" w:type="pct"/>
            <w:vAlign w:val="center"/>
          </w:tcPr>
          <w:p w14:paraId="6606E03C">
            <w:pPr>
              <w:snapToGrid w:val="0"/>
              <w:spacing w:line="360" w:lineRule="auto"/>
              <w:jc w:val="center"/>
              <w:rPr>
                <w:rFonts w:hint="eastAsia" w:ascii="宋体" w:hAnsi="宋体" w:cs="宋体"/>
                <w:kern w:val="0"/>
              </w:rPr>
            </w:pPr>
            <w:r>
              <w:rPr>
                <w:rFonts w:hint="eastAsia" w:ascii="宋体" w:hAnsi="宋体" w:cs="宋体"/>
                <w:kern w:val="0"/>
              </w:rPr>
              <w:t>比选申请人提出问题的截止时间</w:t>
            </w:r>
          </w:p>
        </w:tc>
        <w:tc>
          <w:tcPr>
            <w:tcW w:w="3440" w:type="pct"/>
            <w:vAlign w:val="center"/>
          </w:tcPr>
          <w:p w14:paraId="30D554B6">
            <w:pPr>
              <w:snapToGrid w:val="0"/>
              <w:spacing w:line="360" w:lineRule="auto"/>
              <w:ind w:firstLine="420" w:firstLineChars="200"/>
              <w:rPr>
                <w:rFonts w:hint="eastAsia" w:ascii="宋体" w:hAnsi="宋体" w:cs="宋体"/>
              </w:rPr>
            </w:pPr>
            <w:r>
              <w:rPr>
                <w:rFonts w:hint="eastAsia" w:ascii="宋体" w:hAnsi="宋体" w:cs="宋体"/>
              </w:rPr>
              <w:t>比选申请人在收到比选文件后，应仔细检查比选文件的所有内容，如有残缺或文字表述不清及存在错、碰、漏、缺、概念模糊和有可能出现歧义或理解上的偏差的内容等应在</w:t>
            </w:r>
            <w:r>
              <w:rPr>
                <w:rFonts w:hint="eastAsia" w:ascii="宋体" w:hAnsi="宋体" w:cs="宋体"/>
                <w:highlight w:val="none"/>
                <w:u w:val="single"/>
              </w:rPr>
              <w:t>202</w:t>
            </w:r>
            <w:r>
              <w:rPr>
                <w:rFonts w:hint="eastAsia" w:ascii="宋体" w:hAnsi="宋体" w:cs="宋体"/>
                <w:highlight w:val="none"/>
                <w:u w:val="single"/>
                <w:lang w:val="en-US" w:eastAsia="zh-CN"/>
              </w:rPr>
              <w:t>5</w:t>
            </w:r>
            <w:r>
              <w:rPr>
                <w:rFonts w:hint="eastAsia" w:ascii="宋体" w:hAnsi="宋体" w:cs="宋体"/>
                <w:highlight w:val="none"/>
              </w:rPr>
              <w:t>年</w:t>
            </w:r>
            <w:r>
              <w:rPr>
                <w:rFonts w:hint="eastAsia" w:ascii="宋体" w:hAnsi="宋体" w:cs="宋体"/>
                <w:highlight w:val="none"/>
                <w:u w:val="single"/>
                <w:lang w:val="en-US" w:eastAsia="zh-CN"/>
              </w:rPr>
              <w:t>06</w:t>
            </w:r>
            <w:r>
              <w:rPr>
                <w:rFonts w:hint="eastAsia" w:ascii="宋体" w:hAnsi="宋体" w:cs="宋体"/>
                <w:highlight w:val="none"/>
              </w:rPr>
              <w:t>月</w:t>
            </w:r>
            <w:r>
              <w:rPr>
                <w:rFonts w:hint="eastAsia" w:ascii="宋体" w:hAnsi="宋体" w:cs="宋体"/>
                <w:highlight w:val="none"/>
                <w:u w:val="single"/>
                <w:lang w:val="en-US" w:eastAsia="zh-CN"/>
              </w:rPr>
              <w:t>13</w:t>
            </w:r>
            <w:r>
              <w:rPr>
                <w:rFonts w:hint="eastAsia" w:ascii="宋体" w:hAnsi="宋体" w:cs="宋体"/>
              </w:rPr>
              <w:t>日</w:t>
            </w:r>
            <w:r>
              <w:rPr>
                <w:rFonts w:hint="eastAsia" w:ascii="宋体" w:hAnsi="宋体" w:cs="宋体"/>
                <w:u w:val="single"/>
              </w:rPr>
              <w:t>1</w:t>
            </w:r>
            <w:r>
              <w:rPr>
                <w:rFonts w:hint="eastAsia" w:ascii="宋体" w:hAnsi="宋体" w:cs="宋体"/>
                <w:u w:val="single"/>
                <w:lang w:val="en-US" w:eastAsia="zh-CN"/>
              </w:rPr>
              <w:t>2</w:t>
            </w:r>
            <w:r>
              <w:rPr>
                <w:rFonts w:hint="eastAsia" w:ascii="宋体" w:hAnsi="宋体" w:cs="宋体"/>
              </w:rPr>
              <w:t>时</w:t>
            </w:r>
            <w:r>
              <w:rPr>
                <w:rFonts w:hint="eastAsia" w:ascii="宋体" w:hAnsi="宋体" w:cs="宋体"/>
                <w:u w:val="single"/>
              </w:rPr>
              <w:t>00</w:t>
            </w:r>
            <w:r>
              <w:rPr>
                <w:rFonts w:hint="eastAsia" w:ascii="宋体" w:hAnsi="宋体" w:cs="宋体"/>
              </w:rPr>
              <w:t>分（北京时间）前书面方式向比选人或比选代理机构提出质疑。各比选申请人的质疑不得显示和隐含企业及个人名称，否则其质疑无效。</w:t>
            </w:r>
          </w:p>
        </w:tc>
      </w:tr>
      <w:tr w14:paraId="19D8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52" w:type="pct"/>
            <w:vAlign w:val="center"/>
          </w:tcPr>
          <w:p w14:paraId="6BA6106E">
            <w:pPr>
              <w:snapToGrid w:val="0"/>
              <w:spacing w:line="300" w:lineRule="auto"/>
              <w:jc w:val="center"/>
              <w:rPr>
                <w:rFonts w:hint="eastAsia" w:ascii="宋体" w:hAnsi="宋体" w:cs="宋体"/>
                <w:kern w:val="0"/>
              </w:rPr>
            </w:pPr>
            <w:r>
              <w:rPr>
                <w:rFonts w:hint="eastAsia" w:ascii="宋体" w:hAnsi="宋体" w:cs="宋体"/>
                <w:kern w:val="0"/>
              </w:rPr>
              <w:t>1.10.3</w:t>
            </w:r>
          </w:p>
        </w:tc>
        <w:tc>
          <w:tcPr>
            <w:tcW w:w="907" w:type="pct"/>
            <w:vAlign w:val="center"/>
          </w:tcPr>
          <w:p w14:paraId="5CD13875">
            <w:pPr>
              <w:snapToGrid w:val="0"/>
              <w:spacing w:line="360" w:lineRule="auto"/>
              <w:jc w:val="center"/>
              <w:rPr>
                <w:rFonts w:hint="eastAsia" w:ascii="宋体" w:hAnsi="宋体" w:cs="宋体"/>
                <w:kern w:val="0"/>
              </w:rPr>
            </w:pPr>
            <w:r>
              <w:rPr>
                <w:rFonts w:hint="eastAsia" w:ascii="宋体" w:hAnsi="宋体" w:cs="宋体"/>
                <w:kern w:val="0"/>
              </w:rPr>
              <w:t>比选人书面澄清的时间</w:t>
            </w:r>
          </w:p>
        </w:tc>
        <w:tc>
          <w:tcPr>
            <w:tcW w:w="3440" w:type="pct"/>
            <w:vAlign w:val="center"/>
          </w:tcPr>
          <w:p w14:paraId="616FD205">
            <w:pPr>
              <w:spacing w:line="360" w:lineRule="auto"/>
              <w:rPr>
                <w:rFonts w:hint="eastAsia" w:ascii="宋体" w:hAnsi="宋体" w:cs="宋体"/>
              </w:rPr>
            </w:pPr>
            <w:r>
              <w:rPr>
                <w:rFonts w:hint="eastAsia" w:ascii="宋体" w:hAnsi="宋体" w:cs="宋体"/>
                <w:highlight w:val="none"/>
                <w:u w:val="single"/>
              </w:rPr>
              <w:t>202</w:t>
            </w:r>
            <w:r>
              <w:rPr>
                <w:rFonts w:hint="eastAsia" w:ascii="宋体" w:hAnsi="宋体" w:cs="宋体"/>
                <w:highlight w:val="none"/>
                <w:u w:val="single"/>
                <w:lang w:val="en-US" w:eastAsia="zh-CN"/>
              </w:rPr>
              <w:t>5</w:t>
            </w:r>
            <w:r>
              <w:rPr>
                <w:rFonts w:hint="eastAsia" w:ascii="宋体" w:hAnsi="宋体" w:cs="宋体"/>
                <w:highlight w:val="none"/>
              </w:rPr>
              <w:t>年</w:t>
            </w:r>
            <w:r>
              <w:rPr>
                <w:rFonts w:hint="eastAsia" w:ascii="宋体" w:hAnsi="宋体" w:cs="宋体"/>
                <w:highlight w:val="none"/>
                <w:u w:val="single"/>
                <w:lang w:val="en-US" w:eastAsia="zh-CN"/>
              </w:rPr>
              <w:t>06</w:t>
            </w:r>
            <w:r>
              <w:rPr>
                <w:rFonts w:hint="eastAsia" w:ascii="宋体" w:hAnsi="宋体" w:cs="宋体"/>
                <w:highlight w:val="none"/>
              </w:rPr>
              <w:t>月</w:t>
            </w:r>
            <w:r>
              <w:rPr>
                <w:rFonts w:hint="eastAsia" w:ascii="宋体" w:hAnsi="宋体" w:cs="宋体"/>
                <w:highlight w:val="none"/>
                <w:u w:val="single"/>
                <w:lang w:val="en-US" w:eastAsia="zh-CN"/>
              </w:rPr>
              <w:t>13</w:t>
            </w:r>
            <w:r>
              <w:rPr>
                <w:rFonts w:hint="eastAsia" w:ascii="宋体" w:hAnsi="宋体" w:cs="宋体"/>
                <w:highlight w:val="none"/>
              </w:rPr>
              <w:t>日</w:t>
            </w:r>
            <w:r>
              <w:rPr>
                <w:rFonts w:hint="eastAsia" w:ascii="宋体" w:hAnsi="宋体" w:cs="宋体"/>
                <w:highlight w:val="none"/>
                <w:u w:val="single"/>
              </w:rPr>
              <w:t>1</w:t>
            </w:r>
            <w:r>
              <w:rPr>
                <w:rFonts w:hint="eastAsia" w:ascii="宋体" w:hAnsi="宋体" w:cs="宋体"/>
                <w:highlight w:val="none"/>
                <w:u w:val="single"/>
                <w:lang w:val="en-US" w:eastAsia="zh-CN"/>
              </w:rPr>
              <w:t>8</w:t>
            </w:r>
            <w:r>
              <w:rPr>
                <w:rFonts w:hint="eastAsia" w:ascii="宋体" w:hAnsi="宋体" w:cs="宋体"/>
                <w:highlight w:val="none"/>
              </w:rPr>
              <w:t>时</w:t>
            </w:r>
            <w:r>
              <w:rPr>
                <w:rFonts w:hint="eastAsia" w:ascii="宋体" w:hAnsi="宋体" w:cs="宋体"/>
                <w:highlight w:val="none"/>
                <w:u w:val="single"/>
              </w:rPr>
              <w:t>00</w:t>
            </w:r>
            <w:r>
              <w:rPr>
                <w:rFonts w:hint="eastAsia" w:ascii="宋体" w:hAnsi="宋体" w:cs="宋体"/>
                <w:highlight w:val="none"/>
              </w:rPr>
              <w:t>分前</w:t>
            </w:r>
            <w:r>
              <w:rPr>
                <w:rFonts w:hint="eastAsia" w:ascii="宋体" w:hAnsi="宋体" w:cs="宋体"/>
              </w:rPr>
              <w:t>。</w:t>
            </w:r>
          </w:p>
        </w:tc>
      </w:tr>
      <w:tr w14:paraId="7CAE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52" w:type="pct"/>
            <w:vAlign w:val="center"/>
          </w:tcPr>
          <w:p w14:paraId="31B3896B">
            <w:pPr>
              <w:snapToGrid w:val="0"/>
              <w:spacing w:line="300" w:lineRule="auto"/>
              <w:jc w:val="center"/>
              <w:rPr>
                <w:rFonts w:hint="eastAsia" w:ascii="宋体" w:hAnsi="宋体" w:cs="宋体"/>
                <w:kern w:val="0"/>
              </w:rPr>
            </w:pPr>
            <w:r>
              <w:rPr>
                <w:rFonts w:hint="eastAsia" w:ascii="宋体" w:hAnsi="宋体" w:cs="宋体"/>
                <w:kern w:val="0"/>
              </w:rPr>
              <w:t>1.11</w:t>
            </w:r>
          </w:p>
        </w:tc>
        <w:tc>
          <w:tcPr>
            <w:tcW w:w="907" w:type="pct"/>
            <w:vAlign w:val="center"/>
          </w:tcPr>
          <w:p w14:paraId="4FAB9F64">
            <w:pPr>
              <w:snapToGrid w:val="0"/>
              <w:spacing w:line="360" w:lineRule="auto"/>
              <w:jc w:val="center"/>
              <w:rPr>
                <w:rFonts w:hint="eastAsia" w:ascii="宋体" w:hAnsi="宋体" w:cs="宋体"/>
                <w:kern w:val="0"/>
              </w:rPr>
            </w:pPr>
            <w:r>
              <w:rPr>
                <w:rFonts w:hint="eastAsia" w:ascii="宋体" w:hAnsi="宋体" w:cs="宋体"/>
                <w:kern w:val="0"/>
              </w:rPr>
              <w:t>分包</w:t>
            </w:r>
          </w:p>
        </w:tc>
        <w:tc>
          <w:tcPr>
            <w:tcW w:w="3440" w:type="pct"/>
            <w:vAlign w:val="center"/>
          </w:tcPr>
          <w:p w14:paraId="060EB126">
            <w:pPr>
              <w:snapToGrid w:val="0"/>
              <w:spacing w:line="360" w:lineRule="auto"/>
              <w:rPr>
                <w:rFonts w:hint="eastAsia" w:ascii="宋体" w:hAnsi="宋体" w:cs="宋体"/>
                <w:kern w:val="0"/>
              </w:rPr>
            </w:pPr>
            <w:r>
              <w:rPr>
                <w:rFonts w:hint="eastAsia" w:ascii="宋体" w:hAnsi="宋体" w:cs="宋体"/>
                <w:kern w:val="0"/>
              </w:rPr>
              <w:t>不允许</w:t>
            </w:r>
          </w:p>
        </w:tc>
      </w:tr>
      <w:tr w14:paraId="25AF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52" w:type="pct"/>
            <w:vAlign w:val="center"/>
          </w:tcPr>
          <w:p w14:paraId="5478EBA6">
            <w:pPr>
              <w:snapToGrid w:val="0"/>
              <w:spacing w:line="300" w:lineRule="auto"/>
              <w:jc w:val="center"/>
              <w:rPr>
                <w:rFonts w:hint="eastAsia" w:ascii="宋体" w:hAnsi="宋体" w:cs="宋体"/>
                <w:kern w:val="0"/>
              </w:rPr>
            </w:pPr>
            <w:r>
              <w:rPr>
                <w:rFonts w:hint="eastAsia" w:ascii="宋体" w:hAnsi="宋体" w:cs="宋体"/>
                <w:kern w:val="0"/>
              </w:rPr>
              <w:t>2.1</w:t>
            </w:r>
          </w:p>
        </w:tc>
        <w:tc>
          <w:tcPr>
            <w:tcW w:w="907" w:type="pct"/>
            <w:vAlign w:val="center"/>
          </w:tcPr>
          <w:p w14:paraId="3DF51267">
            <w:pPr>
              <w:snapToGrid w:val="0"/>
              <w:spacing w:line="360" w:lineRule="auto"/>
              <w:jc w:val="center"/>
              <w:rPr>
                <w:rFonts w:hint="eastAsia" w:ascii="宋体" w:hAnsi="宋体" w:cs="宋体"/>
                <w:kern w:val="0"/>
              </w:rPr>
            </w:pPr>
            <w:r>
              <w:rPr>
                <w:rFonts w:hint="eastAsia" w:ascii="宋体" w:hAnsi="宋体" w:cs="宋体"/>
                <w:kern w:val="0"/>
              </w:rPr>
              <w:t>构成比选文件的其他材料</w:t>
            </w:r>
          </w:p>
        </w:tc>
        <w:tc>
          <w:tcPr>
            <w:tcW w:w="3440" w:type="pct"/>
            <w:vAlign w:val="center"/>
          </w:tcPr>
          <w:p w14:paraId="7DCFBDC0">
            <w:pPr>
              <w:snapToGrid w:val="0"/>
              <w:spacing w:line="360" w:lineRule="auto"/>
              <w:rPr>
                <w:rFonts w:hint="eastAsia" w:ascii="宋体" w:hAnsi="宋体" w:cs="宋体"/>
              </w:rPr>
            </w:pPr>
            <w:r>
              <w:rPr>
                <w:rFonts w:hint="eastAsia" w:ascii="宋体" w:hAnsi="宋体" w:cs="宋体"/>
              </w:rPr>
              <w:t>比选人发出的答疑及补遗书</w:t>
            </w:r>
          </w:p>
        </w:tc>
      </w:tr>
      <w:tr w14:paraId="276A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52" w:type="pct"/>
            <w:vAlign w:val="center"/>
          </w:tcPr>
          <w:p w14:paraId="54466F26">
            <w:pPr>
              <w:snapToGrid w:val="0"/>
              <w:spacing w:line="300" w:lineRule="auto"/>
              <w:jc w:val="center"/>
              <w:rPr>
                <w:rFonts w:hint="eastAsia" w:ascii="宋体" w:hAnsi="宋体" w:cs="宋体"/>
                <w:kern w:val="0"/>
              </w:rPr>
            </w:pPr>
            <w:r>
              <w:rPr>
                <w:rFonts w:hint="eastAsia" w:ascii="宋体" w:hAnsi="宋体" w:cs="宋体"/>
                <w:kern w:val="0"/>
              </w:rPr>
              <w:t>2.3</w:t>
            </w:r>
          </w:p>
        </w:tc>
        <w:tc>
          <w:tcPr>
            <w:tcW w:w="907" w:type="pct"/>
            <w:vAlign w:val="center"/>
          </w:tcPr>
          <w:p w14:paraId="2D22E191">
            <w:pPr>
              <w:snapToGrid w:val="0"/>
              <w:spacing w:line="360" w:lineRule="auto"/>
              <w:jc w:val="center"/>
              <w:rPr>
                <w:rFonts w:hint="eastAsia" w:ascii="宋体" w:hAnsi="宋体" w:cs="宋体"/>
                <w:kern w:val="0"/>
              </w:rPr>
            </w:pPr>
            <w:r>
              <w:rPr>
                <w:rFonts w:hint="eastAsia" w:ascii="宋体" w:hAnsi="宋体" w:cs="宋体"/>
                <w:kern w:val="0"/>
              </w:rPr>
              <w:t>比选申请文件递交截止时间</w:t>
            </w:r>
          </w:p>
        </w:tc>
        <w:tc>
          <w:tcPr>
            <w:tcW w:w="3440" w:type="pct"/>
            <w:vAlign w:val="center"/>
          </w:tcPr>
          <w:p w14:paraId="2E344C92">
            <w:pPr>
              <w:snapToGrid w:val="0"/>
              <w:spacing w:line="360" w:lineRule="auto"/>
              <w:rPr>
                <w:rFonts w:hint="eastAsia" w:ascii="宋体" w:hAnsi="宋体" w:cs="宋体"/>
                <w:kern w:val="0"/>
              </w:rPr>
            </w:pPr>
            <w:r>
              <w:rPr>
                <w:rFonts w:hint="eastAsia" w:ascii="宋体" w:hAnsi="宋体" w:cs="宋体"/>
                <w:highlight w:val="none"/>
                <w:u w:val="single"/>
              </w:rPr>
              <w:t>202</w:t>
            </w:r>
            <w:r>
              <w:rPr>
                <w:rFonts w:hint="eastAsia" w:ascii="宋体" w:hAnsi="宋体" w:cs="宋体"/>
                <w:highlight w:val="none"/>
                <w:u w:val="single"/>
                <w:lang w:val="en-US" w:eastAsia="zh-CN"/>
              </w:rPr>
              <w:t>5</w:t>
            </w:r>
            <w:r>
              <w:rPr>
                <w:rFonts w:hint="eastAsia" w:ascii="宋体" w:hAnsi="宋体" w:cs="宋体"/>
                <w:highlight w:val="none"/>
              </w:rPr>
              <w:t>年</w:t>
            </w:r>
            <w:r>
              <w:rPr>
                <w:rFonts w:hint="eastAsia" w:ascii="宋体" w:hAnsi="宋体" w:cs="宋体"/>
                <w:highlight w:val="none"/>
                <w:u w:val="single"/>
                <w:lang w:val="en-US" w:eastAsia="zh-CN"/>
              </w:rPr>
              <w:t>06</w:t>
            </w:r>
            <w:r>
              <w:rPr>
                <w:rFonts w:hint="eastAsia" w:ascii="宋体" w:hAnsi="宋体" w:cs="宋体"/>
                <w:highlight w:val="none"/>
              </w:rPr>
              <w:t>月</w:t>
            </w:r>
            <w:r>
              <w:rPr>
                <w:rFonts w:hint="eastAsia" w:ascii="宋体" w:hAnsi="宋体" w:cs="宋体"/>
                <w:highlight w:val="none"/>
                <w:u w:val="single"/>
                <w:lang w:val="en-US" w:eastAsia="zh-CN"/>
              </w:rPr>
              <w:t>16</w:t>
            </w:r>
            <w:r>
              <w:rPr>
                <w:rFonts w:hint="eastAsia" w:ascii="宋体" w:hAnsi="宋体" w:cs="宋体"/>
                <w:highlight w:val="none"/>
              </w:rPr>
              <w:t>日</w:t>
            </w:r>
            <w:r>
              <w:rPr>
                <w:rFonts w:hint="eastAsia" w:ascii="宋体" w:hAnsi="宋体" w:cs="宋体"/>
                <w:highlight w:val="none"/>
                <w:u w:val="single"/>
              </w:rPr>
              <w:t>1</w:t>
            </w:r>
            <w:r>
              <w:rPr>
                <w:rFonts w:hint="eastAsia" w:ascii="宋体" w:hAnsi="宋体" w:cs="宋体"/>
                <w:highlight w:val="none"/>
                <w:u w:val="single"/>
                <w:lang w:val="en-US" w:eastAsia="zh-CN"/>
              </w:rPr>
              <w:t>5</w:t>
            </w:r>
            <w:r>
              <w:rPr>
                <w:rFonts w:hint="eastAsia" w:ascii="宋体" w:hAnsi="宋体" w:cs="宋体"/>
                <w:highlight w:val="none"/>
              </w:rPr>
              <w:t>时</w:t>
            </w:r>
            <w:r>
              <w:rPr>
                <w:rFonts w:hint="eastAsia" w:ascii="宋体" w:hAnsi="宋体" w:cs="宋体"/>
                <w:highlight w:val="none"/>
                <w:u w:val="single"/>
              </w:rPr>
              <w:t>00</w:t>
            </w:r>
            <w:r>
              <w:rPr>
                <w:rFonts w:hint="eastAsia" w:ascii="宋体" w:hAnsi="宋体" w:cs="宋体"/>
                <w:highlight w:val="none"/>
              </w:rPr>
              <w:t>分</w:t>
            </w:r>
            <w:r>
              <w:rPr>
                <w:rFonts w:hint="eastAsia" w:ascii="宋体" w:hAnsi="宋体" w:cs="宋体"/>
              </w:rPr>
              <w:t>（北京时间）</w:t>
            </w:r>
          </w:p>
        </w:tc>
      </w:tr>
      <w:tr w14:paraId="7AFF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652" w:type="pct"/>
            <w:vAlign w:val="center"/>
          </w:tcPr>
          <w:p w14:paraId="346BB4BB">
            <w:pPr>
              <w:snapToGrid w:val="0"/>
              <w:spacing w:line="300" w:lineRule="auto"/>
              <w:jc w:val="center"/>
              <w:rPr>
                <w:rFonts w:hint="eastAsia" w:ascii="宋体" w:hAnsi="宋体" w:cs="宋体"/>
                <w:kern w:val="0"/>
              </w:rPr>
            </w:pPr>
            <w:r>
              <w:rPr>
                <w:rFonts w:hint="eastAsia" w:ascii="宋体" w:hAnsi="宋体" w:cs="宋体"/>
                <w:kern w:val="0"/>
              </w:rPr>
              <w:t>3.2</w:t>
            </w:r>
          </w:p>
          <w:p w14:paraId="230145CC">
            <w:pPr>
              <w:snapToGrid w:val="0"/>
              <w:spacing w:line="300" w:lineRule="auto"/>
              <w:jc w:val="center"/>
              <w:rPr>
                <w:rFonts w:hint="eastAsia" w:ascii="宋体" w:hAnsi="宋体" w:cs="宋体"/>
                <w:kern w:val="0"/>
              </w:rPr>
            </w:pPr>
          </w:p>
        </w:tc>
        <w:tc>
          <w:tcPr>
            <w:tcW w:w="907" w:type="pct"/>
            <w:vAlign w:val="center"/>
          </w:tcPr>
          <w:p w14:paraId="02DF711D">
            <w:pPr>
              <w:snapToGrid w:val="0"/>
              <w:spacing w:line="300" w:lineRule="auto"/>
              <w:jc w:val="center"/>
              <w:rPr>
                <w:rFonts w:hint="eastAsia" w:ascii="宋体" w:hAnsi="宋体" w:cs="宋体"/>
                <w:kern w:val="0"/>
              </w:rPr>
            </w:pPr>
            <w:r>
              <w:rPr>
                <w:rFonts w:hint="eastAsia" w:ascii="宋体" w:hAnsi="宋体" w:cs="宋体"/>
              </w:rPr>
              <w:t>报价原则</w:t>
            </w:r>
          </w:p>
        </w:tc>
        <w:tc>
          <w:tcPr>
            <w:tcW w:w="3440" w:type="pct"/>
            <w:vAlign w:val="center"/>
          </w:tcPr>
          <w:p w14:paraId="51031C62">
            <w:pPr>
              <w:adjustRightInd w:val="0"/>
              <w:spacing w:line="480" w:lineRule="exact"/>
              <w:ind w:right="-42" w:rightChars="-20" w:firstLine="420" w:firstLineChars="200"/>
              <w:rPr>
                <w:rFonts w:hint="eastAsia" w:ascii="宋体" w:hAnsi="宋体" w:cs="宋体"/>
                <w:bCs/>
                <w:kern w:val="0"/>
              </w:rPr>
            </w:pPr>
            <w:r>
              <w:rPr>
                <w:rFonts w:hint="eastAsia" w:ascii="宋体" w:hAnsi="宋体" w:cs="宋体"/>
                <w:bCs/>
                <w:kern w:val="0"/>
              </w:rPr>
              <w:t>1、本工程采用工程量清单综合单价计价。</w:t>
            </w:r>
          </w:p>
          <w:p w14:paraId="74A62C25">
            <w:pPr>
              <w:adjustRightInd w:val="0"/>
              <w:spacing w:line="480" w:lineRule="exact"/>
              <w:ind w:right="-42" w:rightChars="-20" w:firstLine="420" w:firstLineChars="200"/>
              <w:rPr>
                <w:rFonts w:hint="eastAsia" w:ascii="宋体" w:hAnsi="宋体" w:cs="宋体"/>
                <w:bCs/>
                <w:kern w:val="0"/>
                <w:lang w:val="en-US" w:eastAsia="zh-CN"/>
              </w:rPr>
            </w:pPr>
            <w:r>
              <w:rPr>
                <w:rFonts w:hint="eastAsia" w:ascii="宋体" w:hAnsi="宋体" w:cs="宋体"/>
                <w:bCs/>
                <w:kern w:val="0"/>
                <w:lang w:val="en-US" w:eastAsia="zh-CN"/>
              </w:rPr>
              <w:t>2、应按照按照工程量清单及说明、《建设工程工程量清单计价规范》（GB50500-2013）、《重庆市建设工程工程量清单计价规则》（CQQDGZ-2013）、《重庆市建设工程工程量清单计价指南》（2013）；定额执行《重庆市装饰装修工程计价定额》（CQZSDE-2018）、《重庆市房屋修缮工程计价定额》（CQFWXSDE-2018）、《重庆市安装工程计价定额》（CQAZDE-2018）、《重庆市建筑工程计价定额》（CQJZDE-2018）、《重庆市建设工程费用定额》（CQFYDE-2018）及其配套文件等为依据，由比选申请人结合自身实力、市场行情自主合理报价。磋商报价应包括完成磋商范围内工程项目的人工费、材料费、机械费、企业管理费、风险费用、措施费（含安全文明施工费）、规费、税金等所有费用。</w:t>
            </w:r>
          </w:p>
          <w:p w14:paraId="29F29507">
            <w:pPr>
              <w:adjustRightInd w:val="0"/>
              <w:spacing w:line="480" w:lineRule="exact"/>
              <w:ind w:right="-42" w:rightChars="-20" w:firstLine="420" w:firstLineChars="200"/>
              <w:rPr>
                <w:rFonts w:hint="eastAsia" w:ascii="宋体" w:hAnsi="宋体" w:cs="宋体"/>
                <w:bCs/>
                <w:kern w:val="0"/>
                <w:lang w:val="en-US" w:eastAsia="zh-CN"/>
              </w:rPr>
            </w:pPr>
            <w:r>
              <w:rPr>
                <w:rFonts w:hint="eastAsia" w:ascii="宋体" w:hAnsi="宋体" w:cs="宋体"/>
                <w:bCs/>
                <w:kern w:val="0"/>
                <w:lang w:val="en-US" w:eastAsia="zh-CN"/>
              </w:rPr>
              <w:t>3、安全文明施工措施费：由采购人根据《建设工程工程量清单计价规范》（GB50500-2013)、《重庆市建设工程工程量清单计价规则》（CQJJGZ-2013)、 《重庆市建设工程费用定额》（CQFYDE-2018）的相关规定和费用标准单列计算，安全文明施工费为暂定金额。比选申请人的竞争性磋商报价函和工程量清单报价中的安全文明施工费必须按照采购人给出的暂定金额填报，否则视为对竞争性磋商文件不作实质性响应，按无效响应处理。</w:t>
            </w:r>
          </w:p>
          <w:p w14:paraId="391368C0">
            <w:pPr>
              <w:adjustRightInd w:val="0"/>
              <w:spacing w:line="480" w:lineRule="exact"/>
              <w:ind w:right="-42" w:rightChars="-20" w:firstLine="420" w:firstLineChars="200"/>
              <w:rPr>
                <w:rFonts w:hint="eastAsia" w:ascii="宋体" w:hAnsi="宋体" w:cs="宋体"/>
                <w:bCs/>
                <w:kern w:val="0"/>
                <w:lang w:val="en-US" w:eastAsia="zh-CN"/>
              </w:rPr>
            </w:pPr>
            <w:r>
              <w:rPr>
                <w:rFonts w:hint="eastAsia" w:ascii="宋体" w:hAnsi="宋体" w:cs="宋体"/>
                <w:bCs/>
                <w:kern w:val="0"/>
                <w:lang w:val="en-US" w:eastAsia="zh-CN"/>
              </w:rPr>
              <w:t>4、人工、材料费：人工工日单价按2018计价定额中的定额单价执行，人工参照成交当期《重庆市建设工程造价信息》信息价执行，材料价格参照成交当期《重庆市建设工程造价信息》信息价并结合市场价执行，比选申请人根据信息价格结合市场行情以及比选申请人的自身实力自主报价，成交后材料、设备价格均不作调整。同一种材料，同规格、型号材料报价必须一致，若评标时未发现，结算时按报价最低值计取。成交后，中选人自行承担其它材料价格涨跌风险，材料价格不调整。</w:t>
            </w:r>
          </w:p>
          <w:p w14:paraId="40AD3FB0">
            <w:pPr>
              <w:adjustRightInd w:val="0"/>
              <w:spacing w:line="480" w:lineRule="exact"/>
              <w:ind w:right="-42" w:rightChars="-20" w:firstLine="420" w:firstLineChars="200"/>
              <w:rPr>
                <w:rFonts w:hint="eastAsia" w:ascii="宋体" w:hAnsi="宋体" w:cs="宋体"/>
                <w:bCs/>
                <w:kern w:val="0"/>
              </w:rPr>
            </w:pPr>
            <w:r>
              <w:rPr>
                <w:rFonts w:hint="eastAsia" w:ascii="宋体" w:hAnsi="宋体" w:cs="宋体"/>
                <w:bCs/>
                <w:kern w:val="0"/>
                <w:lang w:val="en-US" w:eastAsia="zh-CN"/>
              </w:rPr>
              <w:t>5、</w:t>
            </w:r>
            <w:r>
              <w:rPr>
                <w:rFonts w:hint="eastAsia" w:ascii="宋体" w:hAnsi="宋体" w:cs="宋体"/>
                <w:bCs/>
                <w:kern w:val="0"/>
              </w:rPr>
              <w:t>最高限价：</w:t>
            </w:r>
            <w:r>
              <w:rPr>
                <w:rFonts w:hint="eastAsia" w:ascii="宋体" w:hAnsi="宋体" w:cs="宋体"/>
                <w:b/>
              </w:rPr>
              <w:t>本工程招标将设置总报价最高限价和单价最高限价。</w:t>
            </w:r>
            <w:r>
              <w:rPr>
                <w:rFonts w:hint="eastAsia" w:ascii="宋体" w:hAnsi="宋体" w:cs="宋体"/>
                <w:b/>
                <w:highlight w:val="none"/>
              </w:rPr>
              <w:t>投标总报价最高限价为</w:t>
            </w:r>
            <w:r>
              <w:rPr>
                <w:rFonts w:hint="eastAsia" w:ascii="宋体" w:hAnsi="宋体" w:cs="宋体"/>
                <w:b/>
                <w:highlight w:val="none"/>
                <w:u w:val="single"/>
              </w:rPr>
              <w:t>￥</w:t>
            </w:r>
            <w:r>
              <w:rPr>
                <w:rFonts w:hint="eastAsia" w:ascii="宋体" w:hAnsi="宋体" w:cs="宋体"/>
                <w:b/>
                <w:highlight w:val="none"/>
                <w:u w:val="single"/>
                <w:lang w:val="en-US" w:eastAsia="zh-CN"/>
              </w:rPr>
              <w:t>167045.28</w:t>
            </w:r>
            <w:r>
              <w:rPr>
                <w:rFonts w:hint="eastAsia" w:ascii="宋体" w:hAnsi="宋体" w:cs="宋体"/>
                <w:b/>
                <w:highlight w:val="none"/>
                <w:u w:val="single"/>
              </w:rPr>
              <w:t>元(大写：</w:t>
            </w:r>
            <w:r>
              <w:rPr>
                <w:rFonts w:hint="eastAsia" w:ascii="宋体" w:hAnsi="宋体" w:cs="宋体"/>
                <w:b/>
                <w:highlight w:val="none"/>
                <w:u w:val="single"/>
                <w:lang w:val="en-US" w:eastAsia="zh-CN"/>
              </w:rPr>
              <w:t>壹拾陆万柒仟零肆拾伍元贰角捌分</w:t>
            </w:r>
            <w:r>
              <w:rPr>
                <w:rFonts w:hint="eastAsia" w:ascii="宋体" w:hAnsi="宋体" w:cs="宋体"/>
                <w:b/>
                <w:highlight w:val="none"/>
                <w:u w:val="single"/>
              </w:rPr>
              <w:t>），其中:</w:t>
            </w:r>
            <w:r>
              <w:rPr>
                <w:rFonts w:hint="eastAsia" w:ascii="宋体" w:hAnsi="宋体" w:cs="宋体"/>
                <w:b/>
                <w:highlight w:val="none"/>
                <w:u w:val="single"/>
                <w:lang w:eastAsia="zh-CN"/>
              </w:rPr>
              <w:t>安全文明施工费</w:t>
            </w:r>
            <w:r>
              <w:rPr>
                <w:rFonts w:hint="eastAsia" w:ascii="宋体" w:hAnsi="宋体" w:cs="宋体"/>
                <w:b/>
                <w:highlight w:val="none"/>
                <w:u w:val="single"/>
              </w:rPr>
              <w:t>为:4503.77元(大写：</w:t>
            </w:r>
            <w:r>
              <w:rPr>
                <w:rFonts w:hint="eastAsia" w:ascii="宋体" w:hAnsi="宋体" w:cs="宋体"/>
                <w:b/>
                <w:highlight w:val="none"/>
                <w:u w:val="single"/>
                <w:lang w:val="en-US" w:eastAsia="zh-CN"/>
              </w:rPr>
              <w:t>肆仟伍佰零叁元柒角柒分</w:t>
            </w:r>
            <w:r>
              <w:rPr>
                <w:rFonts w:hint="eastAsia" w:ascii="宋体" w:hAnsi="宋体" w:cs="宋体"/>
                <w:b/>
                <w:highlight w:val="none"/>
                <w:u w:val="single"/>
              </w:rPr>
              <w:t>）</w:t>
            </w:r>
            <w:r>
              <w:rPr>
                <w:rFonts w:hint="eastAsia" w:ascii="宋体" w:hAnsi="宋体" w:cs="宋体"/>
                <w:b/>
                <w:bCs/>
                <w:highlight w:val="none"/>
              </w:rPr>
              <w:t>。</w:t>
            </w:r>
            <w:r>
              <w:rPr>
                <w:rFonts w:hint="eastAsia" w:ascii="宋体" w:hAnsi="宋体" w:cs="宋体"/>
                <w:bCs/>
                <w:kern w:val="0"/>
                <w:highlight w:val="none"/>
              </w:rPr>
              <w:t>比选申请</w:t>
            </w:r>
            <w:r>
              <w:rPr>
                <w:rFonts w:hint="eastAsia" w:ascii="宋体" w:hAnsi="宋体" w:cs="宋体"/>
                <w:bCs/>
                <w:kern w:val="0"/>
              </w:rPr>
              <w:t>人的投标总报价不得超过投标总报价最高限价，否则由评标委员会作否决投标处理。</w:t>
            </w:r>
          </w:p>
          <w:p w14:paraId="51711A01">
            <w:pPr>
              <w:pStyle w:val="16"/>
              <w:tabs>
                <w:tab w:val="left" w:pos="546"/>
                <w:tab w:val="left" w:pos="711"/>
              </w:tabs>
              <w:snapToGrid w:val="0"/>
              <w:spacing w:line="400" w:lineRule="exact"/>
              <w:ind w:firstLine="420" w:firstLineChars="200"/>
              <w:rPr>
                <w:rFonts w:hint="eastAsia" w:ascii="宋体" w:hAnsi="宋体" w:cs="宋体"/>
                <w:sz w:val="21"/>
                <w:szCs w:val="21"/>
              </w:rPr>
            </w:pPr>
            <w:r>
              <w:rPr>
                <w:rFonts w:hint="eastAsia" w:ascii="宋体" w:hAnsi="宋体" w:cs="宋体"/>
                <w:bCs/>
                <w:sz w:val="21"/>
                <w:szCs w:val="21"/>
              </w:rPr>
              <w:t>本工程比选将设置全部清单综合单价最高限价，全部清单综合单价最高限价随比选文件一同发布，比选申请人的每项清单综合单价报价不得超过每项清单综合单价最高限价。</w:t>
            </w:r>
          </w:p>
        </w:tc>
      </w:tr>
      <w:tr w14:paraId="73B0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52" w:type="pct"/>
            <w:vAlign w:val="center"/>
          </w:tcPr>
          <w:p w14:paraId="352EC22B">
            <w:pPr>
              <w:snapToGrid w:val="0"/>
              <w:spacing w:line="300" w:lineRule="auto"/>
              <w:jc w:val="center"/>
              <w:rPr>
                <w:rFonts w:hint="eastAsia" w:ascii="宋体" w:hAnsi="宋体" w:cs="宋体"/>
                <w:kern w:val="0"/>
              </w:rPr>
            </w:pPr>
            <w:r>
              <w:rPr>
                <w:rFonts w:hint="eastAsia" w:ascii="宋体" w:hAnsi="宋体" w:cs="宋体"/>
                <w:kern w:val="0"/>
              </w:rPr>
              <w:t>3.3.1</w:t>
            </w:r>
          </w:p>
        </w:tc>
        <w:tc>
          <w:tcPr>
            <w:tcW w:w="907" w:type="pct"/>
            <w:vAlign w:val="center"/>
          </w:tcPr>
          <w:p w14:paraId="5DDBABFC">
            <w:pPr>
              <w:snapToGrid w:val="0"/>
              <w:spacing w:line="300" w:lineRule="auto"/>
              <w:jc w:val="center"/>
              <w:rPr>
                <w:rFonts w:hint="eastAsia" w:ascii="宋体" w:hAnsi="宋体" w:cs="宋体"/>
                <w:kern w:val="0"/>
              </w:rPr>
            </w:pPr>
            <w:r>
              <w:rPr>
                <w:rFonts w:hint="eastAsia" w:ascii="宋体" w:hAnsi="宋体" w:cs="宋体"/>
                <w:kern w:val="0"/>
              </w:rPr>
              <w:t>比选有效期</w:t>
            </w:r>
          </w:p>
        </w:tc>
        <w:tc>
          <w:tcPr>
            <w:tcW w:w="3440" w:type="pct"/>
            <w:vAlign w:val="center"/>
          </w:tcPr>
          <w:p w14:paraId="4F61BD82">
            <w:pPr>
              <w:snapToGrid w:val="0"/>
              <w:spacing w:line="360" w:lineRule="auto"/>
              <w:rPr>
                <w:rFonts w:hint="eastAsia" w:ascii="宋体" w:hAnsi="宋体" w:cs="宋体"/>
              </w:rPr>
            </w:pPr>
            <w:r>
              <w:rPr>
                <w:rFonts w:hint="eastAsia" w:ascii="宋体" w:hAnsi="宋体" w:cs="宋体"/>
              </w:rPr>
              <w:t xml:space="preserve"> 90日历天（从提交比选申请文件截止日起计算）</w:t>
            </w:r>
          </w:p>
        </w:tc>
      </w:tr>
      <w:tr w14:paraId="1D58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52" w:type="pct"/>
            <w:vAlign w:val="center"/>
          </w:tcPr>
          <w:p w14:paraId="44A3C1F7">
            <w:pPr>
              <w:snapToGrid w:val="0"/>
              <w:spacing w:line="300" w:lineRule="auto"/>
              <w:jc w:val="center"/>
              <w:rPr>
                <w:rFonts w:hint="eastAsia" w:ascii="宋体" w:hAnsi="宋体" w:cs="宋体"/>
                <w:kern w:val="0"/>
              </w:rPr>
            </w:pPr>
            <w:r>
              <w:rPr>
                <w:rFonts w:hint="eastAsia" w:ascii="宋体" w:hAnsi="宋体" w:cs="宋体"/>
                <w:kern w:val="0"/>
              </w:rPr>
              <w:t>3.4</w:t>
            </w:r>
          </w:p>
        </w:tc>
        <w:tc>
          <w:tcPr>
            <w:tcW w:w="907" w:type="pct"/>
            <w:vAlign w:val="center"/>
          </w:tcPr>
          <w:p w14:paraId="5954F493">
            <w:pPr>
              <w:snapToGrid w:val="0"/>
              <w:spacing w:line="300" w:lineRule="auto"/>
              <w:jc w:val="center"/>
              <w:rPr>
                <w:rFonts w:hint="eastAsia" w:ascii="宋体" w:hAnsi="宋体" w:cs="宋体"/>
                <w:kern w:val="0"/>
              </w:rPr>
            </w:pPr>
            <w:r>
              <w:rPr>
                <w:rFonts w:hint="eastAsia" w:ascii="宋体" w:hAnsi="宋体" w:cs="宋体"/>
                <w:kern w:val="0"/>
              </w:rPr>
              <w:t>比选保证金</w:t>
            </w:r>
          </w:p>
        </w:tc>
        <w:tc>
          <w:tcPr>
            <w:tcW w:w="3440" w:type="pct"/>
            <w:vAlign w:val="center"/>
          </w:tcPr>
          <w:p w14:paraId="2B378F0F">
            <w:pPr>
              <w:widowControl/>
              <w:adjustRightInd w:val="0"/>
              <w:snapToGrid w:val="0"/>
              <w:spacing w:line="360" w:lineRule="auto"/>
              <w:ind w:firstLine="420" w:firstLineChars="200"/>
              <w:rPr>
                <w:rFonts w:hint="eastAsia" w:ascii="宋体" w:hAnsi="宋体" w:cs="宋体"/>
              </w:rPr>
            </w:pPr>
            <w:r>
              <w:rPr>
                <w:rFonts w:hint="eastAsia" w:ascii="宋体" w:hAnsi="宋体" w:cs="宋体"/>
              </w:rPr>
              <w:t>1. 交纳比选保证金</w:t>
            </w:r>
          </w:p>
          <w:p w14:paraId="0D77FC42">
            <w:pPr>
              <w:widowControl/>
              <w:adjustRightInd w:val="0"/>
              <w:snapToGrid w:val="0"/>
              <w:spacing w:line="360" w:lineRule="auto"/>
              <w:ind w:firstLine="420" w:firstLineChars="200"/>
              <w:rPr>
                <w:rFonts w:hint="eastAsia" w:ascii="宋体" w:hAnsi="宋体" w:cs="宋体"/>
              </w:rPr>
            </w:pPr>
            <w:r>
              <w:rPr>
                <w:rFonts w:hint="eastAsia" w:ascii="宋体" w:hAnsi="宋体" w:cs="宋体"/>
              </w:rPr>
              <w:t>（1）比选保证金的金额：</w:t>
            </w:r>
            <w:r>
              <w:rPr>
                <w:rFonts w:hint="eastAsia" w:ascii="宋体" w:hAnsi="宋体" w:cs="宋体"/>
                <w:lang w:val="en-US" w:eastAsia="zh-CN"/>
              </w:rPr>
              <w:t>1000</w:t>
            </w:r>
            <w:r>
              <w:rPr>
                <w:rFonts w:hint="eastAsia" w:ascii="宋体" w:hAnsi="宋体" w:cs="宋体"/>
              </w:rPr>
              <w:t>.00元</w:t>
            </w:r>
            <w:r>
              <w:rPr>
                <w:rFonts w:hint="eastAsia" w:ascii="宋体" w:hAnsi="宋体" w:cs="宋体"/>
                <w:lang w:eastAsia="zh-CN"/>
              </w:rPr>
              <w:t>（</w:t>
            </w:r>
            <w:r>
              <w:rPr>
                <w:rFonts w:hint="eastAsia" w:ascii="宋体" w:hAnsi="宋体" w:cs="宋体"/>
                <w:lang w:val="en-US" w:eastAsia="zh-CN"/>
              </w:rPr>
              <w:t>大写：壹仟元整）</w:t>
            </w:r>
            <w:r>
              <w:rPr>
                <w:rFonts w:hint="eastAsia" w:ascii="宋体" w:hAnsi="宋体" w:cs="宋体"/>
              </w:rPr>
              <w:t>；</w:t>
            </w:r>
          </w:p>
          <w:p w14:paraId="4F15203B">
            <w:pPr>
              <w:widowControl/>
              <w:adjustRightInd w:val="0"/>
              <w:snapToGrid w:val="0"/>
              <w:spacing w:line="360" w:lineRule="auto"/>
              <w:ind w:firstLine="420" w:firstLineChars="200"/>
              <w:rPr>
                <w:rFonts w:hint="eastAsia" w:ascii="宋体" w:hAnsi="宋体" w:cs="宋体"/>
              </w:rPr>
            </w:pPr>
            <w:r>
              <w:rPr>
                <w:rFonts w:hint="eastAsia" w:ascii="宋体" w:hAnsi="宋体" w:cs="宋体"/>
              </w:rPr>
              <w:t>（2）保证金提交截止时间：同比选申请文件递交截止时间；</w:t>
            </w:r>
          </w:p>
          <w:p w14:paraId="7882505F">
            <w:pPr>
              <w:widowControl/>
              <w:adjustRightInd w:val="0"/>
              <w:snapToGrid w:val="0"/>
              <w:spacing w:line="360" w:lineRule="auto"/>
              <w:ind w:firstLine="420" w:firstLineChars="200"/>
              <w:rPr>
                <w:rFonts w:hint="eastAsia" w:ascii="宋体" w:hAnsi="宋体" w:cs="宋体"/>
              </w:rPr>
            </w:pPr>
            <w:r>
              <w:rPr>
                <w:rFonts w:hint="eastAsia" w:ascii="宋体" w:hAnsi="宋体" w:cs="宋体"/>
              </w:rPr>
              <w:t>（3）比选保证金方式（二选一）：</w:t>
            </w:r>
          </w:p>
          <w:p w14:paraId="1E47AD6E">
            <w:pPr>
              <w:widowControl/>
              <w:adjustRightInd w:val="0"/>
              <w:snapToGrid w:val="0"/>
              <w:spacing w:line="360" w:lineRule="auto"/>
              <w:ind w:firstLine="420" w:firstLineChars="200"/>
              <w:rPr>
                <w:rFonts w:hint="eastAsia" w:ascii="宋体" w:hAnsi="宋体" w:cs="宋体"/>
              </w:rPr>
            </w:pPr>
            <w:r>
              <w:rPr>
                <w:rFonts w:hint="eastAsia" w:ascii="宋体" w:hAnsi="宋体" w:cs="宋体"/>
              </w:rPr>
              <w:t>2.方式：以支票、汇票、本票或者金融机构、担保机构出具的保函等非现金形式或提交现金（密封并加盖</w:t>
            </w:r>
            <w:r>
              <w:rPr>
                <w:rFonts w:hint="eastAsia" w:ascii="宋体" w:hAnsi="宋体" w:cs="宋体"/>
                <w:lang w:eastAsia="zh-CN"/>
              </w:rPr>
              <w:t>比选申请人</w:t>
            </w:r>
            <w:r>
              <w:rPr>
                <w:rFonts w:hint="eastAsia" w:ascii="宋体" w:hAnsi="宋体" w:cs="宋体"/>
              </w:rPr>
              <w:t>公章）或转账递交。</w:t>
            </w:r>
          </w:p>
          <w:p w14:paraId="4605C9B9">
            <w:pPr>
              <w:adjustRightInd w:val="0"/>
              <w:snapToGrid w:val="0"/>
              <w:spacing w:line="360" w:lineRule="auto"/>
              <w:ind w:firstLine="420" w:firstLineChars="200"/>
              <w:rPr>
                <w:rFonts w:hint="eastAsia" w:ascii="宋体" w:hAnsi="宋体" w:cs="宋体"/>
              </w:rPr>
            </w:pPr>
            <w:r>
              <w:rPr>
                <w:rFonts w:hint="eastAsia" w:ascii="宋体" w:hAnsi="宋体" w:cs="宋体"/>
                <w:lang w:val="en-US" w:eastAsia="zh-CN"/>
              </w:rPr>
              <w:t>3</w:t>
            </w:r>
            <w:r>
              <w:rPr>
                <w:rFonts w:hint="eastAsia" w:ascii="宋体" w:hAnsi="宋体" w:cs="宋体"/>
              </w:rPr>
              <w:t>.保证金的退还：</w:t>
            </w:r>
          </w:p>
          <w:p w14:paraId="358DD608">
            <w:pPr>
              <w:adjustRightInd w:val="0"/>
              <w:snapToGrid w:val="0"/>
              <w:spacing w:line="360" w:lineRule="auto"/>
              <w:ind w:firstLine="420" w:firstLineChars="200"/>
              <w:rPr>
                <w:rFonts w:hint="eastAsia" w:ascii="宋体" w:hAnsi="宋体" w:cs="宋体"/>
              </w:rPr>
            </w:pPr>
            <w:r>
              <w:rPr>
                <w:rFonts w:hint="eastAsia" w:ascii="宋体" w:hAnsi="宋体" w:cs="宋体"/>
              </w:rPr>
              <w:t>转账或电汇方式的退还：中选通知书发出后5个工作日内，以来款渠道原路退还未中选比选申请人（前三名除外）的比选保证金，在中选人与比选人合同签订后5个工作日内，以来款渠道原路退还中选候选人的比选保证金。</w:t>
            </w:r>
          </w:p>
        </w:tc>
      </w:tr>
      <w:tr w14:paraId="4702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52" w:type="pct"/>
            <w:vAlign w:val="center"/>
          </w:tcPr>
          <w:p w14:paraId="725593D5">
            <w:pPr>
              <w:snapToGrid w:val="0"/>
              <w:jc w:val="center"/>
              <w:rPr>
                <w:rFonts w:hint="eastAsia" w:ascii="宋体" w:hAnsi="宋体" w:cs="宋体"/>
                <w:kern w:val="0"/>
              </w:rPr>
            </w:pPr>
            <w:r>
              <w:rPr>
                <w:rFonts w:hint="eastAsia" w:ascii="宋体" w:hAnsi="宋体" w:cs="宋体"/>
                <w:kern w:val="0"/>
              </w:rPr>
              <w:t>3.7.3</w:t>
            </w:r>
          </w:p>
        </w:tc>
        <w:tc>
          <w:tcPr>
            <w:tcW w:w="907" w:type="pct"/>
            <w:vAlign w:val="center"/>
          </w:tcPr>
          <w:p w14:paraId="5815447E">
            <w:pPr>
              <w:snapToGrid w:val="0"/>
              <w:spacing w:line="300" w:lineRule="auto"/>
              <w:jc w:val="center"/>
              <w:rPr>
                <w:rFonts w:hint="eastAsia" w:ascii="宋体" w:hAnsi="宋体" w:cs="宋体"/>
                <w:kern w:val="0"/>
              </w:rPr>
            </w:pPr>
            <w:r>
              <w:rPr>
                <w:rFonts w:hint="eastAsia" w:ascii="宋体" w:hAnsi="宋体" w:cs="宋体"/>
                <w:kern w:val="0"/>
              </w:rPr>
              <w:t>签字盖章要求</w:t>
            </w:r>
          </w:p>
        </w:tc>
        <w:tc>
          <w:tcPr>
            <w:tcW w:w="3440" w:type="pct"/>
            <w:vAlign w:val="center"/>
          </w:tcPr>
          <w:p w14:paraId="42F18830">
            <w:pPr>
              <w:snapToGrid w:val="0"/>
              <w:spacing w:line="300" w:lineRule="auto"/>
              <w:ind w:firstLine="210" w:firstLineChars="100"/>
              <w:jc w:val="both"/>
              <w:rPr>
                <w:rFonts w:hint="eastAsia" w:ascii="宋体" w:hAnsi="宋体" w:cs="宋体"/>
                <w:kern w:val="0"/>
              </w:rPr>
            </w:pPr>
            <w:r>
              <w:rPr>
                <w:rFonts w:hint="eastAsia" w:ascii="宋体" w:hAnsi="宋体" w:cs="宋体"/>
                <w:kern w:val="0"/>
              </w:rPr>
              <w:t>按比选文件规定签字或签章要求签字或签章。</w:t>
            </w:r>
          </w:p>
        </w:tc>
      </w:tr>
      <w:tr w14:paraId="78C5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52" w:type="pct"/>
            <w:vAlign w:val="center"/>
          </w:tcPr>
          <w:p w14:paraId="4626C448">
            <w:pPr>
              <w:snapToGrid w:val="0"/>
              <w:spacing w:line="300" w:lineRule="auto"/>
              <w:jc w:val="center"/>
              <w:rPr>
                <w:rFonts w:hint="eastAsia" w:ascii="宋体" w:hAnsi="宋体" w:cs="宋体"/>
                <w:kern w:val="0"/>
              </w:rPr>
            </w:pPr>
            <w:r>
              <w:rPr>
                <w:rFonts w:hint="eastAsia" w:ascii="宋体" w:hAnsi="宋体" w:cs="宋体"/>
                <w:kern w:val="0"/>
              </w:rPr>
              <w:t>3.7.4</w:t>
            </w:r>
          </w:p>
        </w:tc>
        <w:tc>
          <w:tcPr>
            <w:tcW w:w="907" w:type="pct"/>
            <w:vAlign w:val="center"/>
          </w:tcPr>
          <w:p w14:paraId="5844D42C">
            <w:pPr>
              <w:spacing w:line="440" w:lineRule="exact"/>
              <w:jc w:val="left"/>
              <w:rPr>
                <w:rFonts w:hint="eastAsia" w:ascii="宋体" w:hAnsi="宋体" w:cs="宋体"/>
                <w:snapToGrid w:val="0"/>
              </w:rPr>
            </w:pPr>
            <w:r>
              <w:rPr>
                <w:rFonts w:hint="eastAsia" w:ascii="宋体" w:hAnsi="宋体" w:cs="宋体"/>
                <w:snapToGrid w:val="0"/>
              </w:rPr>
              <w:t>比选申请文</w:t>
            </w:r>
          </w:p>
          <w:p w14:paraId="638C89E7">
            <w:pPr>
              <w:spacing w:line="440" w:lineRule="exact"/>
              <w:jc w:val="left"/>
              <w:rPr>
                <w:rFonts w:hint="eastAsia" w:ascii="宋体" w:hAnsi="宋体" w:cs="宋体"/>
                <w:snapToGrid w:val="0"/>
              </w:rPr>
            </w:pPr>
            <w:r>
              <w:rPr>
                <w:rFonts w:hint="eastAsia" w:ascii="宋体" w:hAnsi="宋体" w:cs="宋体"/>
                <w:snapToGrid w:val="0"/>
              </w:rPr>
              <w:t>件的份数</w:t>
            </w:r>
          </w:p>
        </w:tc>
        <w:tc>
          <w:tcPr>
            <w:tcW w:w="3440" w:type="pct"/>
            <w:vAlign w:val="center"/>
          </w:tcPr>
          <w:p w14:paraId="21934EAB">
            <w:pPr>
              <w:spacing w:line="440" w:lineRule="exact"/>
              <w:ind w:firstLine="420" w:firstLineChars="200"/>
              <w:jc w:val="left"/>
              <w:rPr>
                <w:rFonts w:hint="eastAsia" w:ascii="宋体" w:hAnsi="宋体" w:cs="宋体"/>
                <w:snapToGrid w:val="0"/>
              </w:rPr>
            </w:pPr>
            <w:r>
              <w:rPr>
                <w:rFonts w:hint="eastAsia" w:ascii="宋体" w:hAnsi="宋体" w:cs="宋体"/>
                <w:snapToGrid w:val="0"/>
              </w:rPr>
              <w:t>1.纸质比选申请文件一式</w:t>
            </w:r>
            <w:r>
              <w:rPr>
                <w:rFonts w:hint="eastAsia" w:ascii="宋体" w:hAnsi="宋体" w:cs="宋体"/>
                <w:snapToGrid w:val="0"/>
                <w:lang w:val="en-US" w:eastAsia="zh-CN"/>
              </w:rPr>
              <w:t>贰</w:t>
            </w:r>
            <w:r>
              <w:rPr>
                <w:rFonts w:hint="eastAsia" w:ascii="宋体" w:hAnsi="宋体" w:cs="宋体"/>
                <w:snapToGrid w:val="0"/>
              </w:rPr>
              <w:t>份，正本一份，副本</w:t>
            </w:r>
            <w:r>
              <w:rPr>
                <w:rFonts w:hint="eastAsia" w:ascii="宋体" w:hAnsi="宋体" w:cs="宋体"/>
                <w:snapToGrid w:val="0"/>
                <w:lang w:val="en-US" w:eastAsia="zh-CN"/>
              </w:rPr>
              <w:t>二</w:t>
            </w:r>
            <w:r>
              <w:rPr>
                <w:rFonts w:hint="eastAsia" w:ascii="宋体" w:hAnsi="宋体" w:cs="宋体"/>
                <w:snapToGrid w:val="0"/>
              </w:rPr>
              <w:t>份。</w:t>
            </w:r>
          </w:p>
          <w:p w14:paraId="2B3DB13E">
            <w:pPr>
              <w:spacing w:line="440" w:lineRule="exact"/>
              <w:ind w:firstLine="420" w:firstLineChars="200"/>
              <w:jc w:val="left"/>
              <w:rPr>
                <w:rFonts w:hint="eastAsia" w:ascii="宋体" w:hAnsi="宋体" w:cs="宋体"/>
                <w:snapToGrid w:val="0"/>
              </w:rPr>
            </w:pPr>
            <w:r>
              <w:rPr>
                <w:rFonts w:hint="eastAsia" w:ascii="宋体" w:hAnsi="宋体" w:cs="宋体"/>
                <w:snapToGrid w:val="0"/>
              </w:rPr>
              <w:t>2.上传比选申请文件电子档一份</w:t>
            </w:r>
            <w:r>
              <w:rPr>
                <w:rFonts w:hint="eastAsia" w:ascii="宋体" w:hAnsi="宋体" w:cs="宋体"/>
                <w:snapToGrid w:val="0"/>
                <w:lang w:eastAsia="zh-CN"/>
              </w:rPr>
              <w:t>，</w:t>
            </w:r>
            <w:r>
              <w:rPr>
                <w:rFonts w:hint="eastAsia" w:ascii="宋体" w:hAnsi="宋体" w:cs="宋体"/>
                <w:snapToGrid w:val="0"/>
                <w:lang w:val="en-US" w:eastAsia="zh-CN"/>
              </w:rPr>
              <w:t>还需上传报价清单的软件版和Excel版</w:t>
            </w:r>
            <w:r>
              <w:rPr>
                <w:rFonts w:hint="eastAsia" w:ascii="宋体" w:hAnsi="宋体" w:cs="宋体"/>
                <w:snapToGrid w:val="0"/>
              </w:rPr>
              <w:t>。</w:t>
            </w:r>
          </w:p>
        </w:tc>
      </w:tr>
      <w:tr w14:paraId="1C47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52" w:type="pct"/>
            <w:vAlign w:val="center"/>
          </w:tcPr>
          <w:p w14:paraId="45A9DBDA">
            <w:pPr>
              <w:snapToGrid w:val="0"/>
              <w:spacing w:line="300" w:lineRule="auto"/>
              <w:jc w:val="center"/>
              <w:rPr>
                <w:rFonts w:hint="eastAsia" w:ascii="宋体" w:hAnsi="宋体" w:cs="宋体"/>
                <w:kern w:val="0"/>
              </w:rPr>
            </w:pPr>
            <w:r>
              <w:rPr>
                <w:rFonts w:hint="eastAsia" w:ascii="宋体" w:hAnsi="宋体" w:cs="宋体"/>
                <w:kern w:val="0"/>
              </w:rPr>
              <w:t>3.7.5</w:t>
            </w:r>
          </w:p>
        </w:tc>
        <w:tc>
          <w:tcPr>
            <w:tcW w:w="907" w:type="pct"/>
            <w:vAlign w:val="center"/>
          </w:tcPr>
          <w:p w14:paraId="20640859">
            <w:pPr>
              <w:snapToGrid w:val="0"/>
              <w:spacing w:line="288" w:lineRule="auto"/>
              <w:rPr>
                <w:rFonts w:hint="eastAsia" w:ascii="宋体" w:hAnsi="宋体" w:cs="宋体"/>
                <w:kern w:val="0"/>
              </w:rPr>
            </w:pPr>
            <w:r>
              <w:rPr>
                <w:rFonts w:hint="eastAsia" w:ascii="宋体" w:hAnsi="宋体" w:cs="宋体"/>
                <w:kern w:val="0"/>
              </w:rPr>
              <w:t xml:space="preserve">  装订要求</w:t>
            </w:r>
          </w:p>
        </w:tc>
        <w:tc>
          <w:tcPr>
            <w:tcW w:w="3440" w:type="pct"/>
            <w:vAlign w:val="center"/>
          </w:tcPr>
          <w:p w14:paraId="5D53FAF4">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比选申请文件</w:t>
            </w:r>
            <w:r>
              <w:rPr>
                <w:rFonts w:hint="eastAsia" w:ascii="宋体" w:hAnsi="宋体" w:eastAsia="宋体" w:cs="宋体"/>
              </w:rPr>
              <w:t>的正本和副本均采用A4纸、使用不能轻易擦去且不易褪色的打印机打印，副本可以是正本的复印件。</w:t>
            </w:r>
          </w:p>
          <w:p w14:paraId="2D17611F">
            <w:pPr>
              <w:adjustRightInd w:val="0"/>
              <w:snapToGrid w:val="0"/>
              <w:spacing w:line="360" w:lineRule="auto"/>
              <w:ind w:firstLine="420" w:firstLineChars="200"/>
              <w:rPr>
                <w:rFonts w:hint="eastAsia" w:ascii="宋体" w:hAnsi="宋体" w:cs="宋体"/>
              </w:rPr>
            </w:pPr>
            <w:r>
              <w:rPr>
                <w:rFonts w:hint="eastAsia" w:ascii="宋体" w:hAnsi="宋体" w:eastAsia="宋体" w:cs="宋体"/>
              </w:rPr>
              <w:t>2、正本和副本都应装订成册，编制目录。</w:t>
            </w:r>
            <w:r>
              <w:rPr>
                <w:rFonts w:hint="eastAsia" w:ascii="宋体" w:hAnsi="宋体" w:eastAsia="宋体" w:cs="宋体"/>
                <w:lang w:eastAsia="zh-CN"/>
              </w:rPr>
              <w:t>比选申请文件</w:t>
            </w:r>
            <w:r>
              <w:rPr>
                <w:rFonts w:hint="eastAsia" w:ascii="宋体" w:hAnsi="宋体" w:eastAsia="宋体" w:cs="宋体"/>
              </w:rPr>
              <w:t>禁止使用活页装订，否则视为无效投标。</w:t>
            </w:r>
          </w:p>
        </w:tc>
      </w:tr>
      <w:tr w14:paraId="11FE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2" w:type="pct"/>
            <w:vAlign w:val="center"/>
          </w:tcPr>
          <w:p w14:paraId="7367ED9F">
            <w:pPr>
              <w:snapToGrid w:val="0"/>
              <w:spacing w:line="300" w:lineRule="auto"/>
              <w:jc w:val="center"/>
              <w:rPr>
                <w:rFonts w:hint="eastAsia" w:ascii="宋体" w:hAnsi="宋体" w:cs="宋体"/>
                <w:kern w:val="0"/>
              </w:rPr>
            </w:pPr>
            <w:r>
              <w:rPr>
                <w:rFonts w:hint="eastAsia" w:ascii="宋体" w:hAnsi="宋体" w:cs="宋体"/>
                <w:kern w:val="0"/>
              </w:rPr>
              <w:t>4.1.1</w:t>
            </w:r>
          </w:p>
        </w:tc>
        <w:tc>
          <w:tcPr>
            <w:tcW w:w="907" w:type="pct"/>
            <w:vAlign w:val="center"/>
          </w:tcPr>
          <w:p w14:paraId="7513DAE7">
            <w:pPr>
              <w:snapToGrid w:val="0"/>
              <w:spacing w:line="300" w:lineRule="auto"/>
              <w:jc w:val="center"/>
              <w:rPr>
                <w:rFonts w:hint="eastAsia" w:ascii="宋体" w:hAnsi="宋体" w:cs="宋体"/>
                <w:kern w:val="0"/>
              </w:rPr>
            </w:pPr>
            <w:r>
              <w:rPr>
                <w:rFonts w:hint="eastAsia" w:ascii="宋体" w:hAnsi="宋体" w:cs="宋体"/>
                <w:kern w:val="0"/>
              </w:rPr>
              <w:t>比选申请文件的密封</w:t>
            </w:r>
          </w:p>
        </w:tc>
        <w:tc>
          <w:tcPr>
            <w:tcW w:w="3440" w:type="pct"/>
            <w:vAlign w:val="center"/>
          </w:tcPr>
          <w:p w14:paraId="33C46FB8">
            <w:pPr>
              <w:spacing w:line="360" w:lineRule="auto"/>
              <w:ind w:firstLine="422" w:firstLineChars="201"/>
              <w:rPr>
                <w:rFonts w:hint="eastAsia" w:ascii="宋体" w:hAnsi="宋体" w:cs="宋体"/>
                <w:kern w:val="0"/>
              </w:rPr>
            </w:pP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应将</w:t>
            </w:r>
            <w:r>
              <w:rPr>
                <w:rFonts w:hint="eastAsia" w:ascii="宋体" w:hAnsi="宋体" w:eastAsia="宋体" w:cs="宋体"/>
                <w:color w:val="auto"/>
                <w:szCs w:val="21"/>
                <w:highlight w:val="none"/>
                <w:lang w:eastAsia="zh-CN"/>
              </w:rPr>
              <w:t>比选申请文件</w:t>
            </w:r>
            <w:r>
              <w:rPr>
                <w:rFonts w:hint="eastAsia" w:ascii="宋体" w:hAnsi="宋体" w:eastAsia="宋体" w:cs="宋体"/>
                <w:color w:val="auto"/>
                <w:szCs w:val="21"/>
                <w:highlight w:val="none"/>
              </w:rPr>
              <w:t>装入一个或多个外层包装(大口袋或包装箱)中，外层包装应密封并加盖</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公章。</w:t>
            </w:r>
          </w:p>
        </w:tc>
      </w:tr>
      <w:tr w14:paraId="14DD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652" w:type="pct"/>
            <w:vAlign w:val="center"/>
          </w:tcPr>
          <w:p w14:paraId="74855452">
            <w:pPr>
              <w:snapToGrid w:val="0"/>
              <w:spacing w:line="300" w:lineRule="auto"/>
              <w:jc w:val="center"/>
              <w:rPr>
                <w:rFonts w:hint="eastAsia" w:ascii="宋体" w:hAnsi="宋体" w:cs="宋体"/>
                <w:kern w:val="0"/>
              </w:rPr>
            </w:pPr>
            <w:r>
              <w:rPr>
                <w:rFonts w:hint="eastAsia" w:ascii="宋体" w:hAnsi="宋体" w:cs="宋体"/>
                <w:kern w:val="0"/>
              </w:rPr>
              <w:t>4.1.2</w:t>
            </w:r>
          </w:p>
        </w:tc>
        <w:tc>
          <w:tcPr>
            <w:tcW w:w="907" w:type="pct"/>
            <w:vAlign w:val="center"/>
          </w:tcPr>
          <w:p w14:paraId="3A00CF6A">
            <w:pPr>
              <w:snapToGrid w:val="0"/>
              <w:spacing w:line="300" w:lineRule="auto"/>
              <w:jc w:val="center"/>
              <w:rPr>
                <w:rFonts w:hint="eastAsia" w:ascii="宋体" w:hAnsi="宋体" w:cs="宋体"/>
                <w:kern w:val="0"/>
              </w:rPr>
            </w:pPr>
            <w:r>
              <w:rPr>
                <w:rFonts w:hint="eastAsia" w:ascii="宋体" w:hAnsi="宋体" w:cs="宋体"/>
                <w:kern w:val="0"/>
              </w:rPr>
              <w:t>封套上写明</w:t>
            </w:r>
          </w:p>
        </w:tc>
        <w:tc>
          <w:tcPr>
            <w:tcW w:w="3440" w:type="pct"/>
            <w:vAlign w:val="center"/>
          </w:tcPr>
          <w:p w14:paraId="4C21F8A3">
            <w:pPr>
              <w:snapToGrid w:val="0"/>
              <w:spacing w:line="360" w:lineRule="auto"/>
              <w:rPr>
                <w:rFonts w:hint="eastAsia" w:ascii="宋体" w:hAnsi="宋体" w:cs="宋体"/>
                <w:kern w:val="0"/>
              </w:rPr>
            </w:pPr>
            <w:r>
              <w:rPr>
                <w:rFonts w:hint="eastAsia" w:ascii="宋体" w:hAnsi="宋体" w:cs="宋体"/>
                <w:kern w:val="0"/>
              </w:rPr>
              <w:t>比选人的地址：</w:t>
            </w:r>
          </w:p>
          <w:p w14:paraId="4E4C6AF8">
            <w:pPr>
              <w:snapToGrid w:val="0"/>
              <w:spacing w:line="360" w:lineRule="auto"/>
              <w:rPr>
                <w:rFonts w:hint="eastAsia" w:ascii="宋体" w:hAnsi="宋体" w:cs="宋体"/>
                <w:kern w:val="0"/>
              </w:rPr>
            </w:pPr>
            <w:r>
              <w:rPr>
                <w:rFonts w:hint="eastAsia" w:ascii="宋体" w:hAnsi="宋体" w:cs="宋体"/>
                <w:kern w:val="0"/>
              </w:rPr>
              <w:t>比选人名称：</w:t>
            </w:r>
          </w:p>
          <w:p w14:paraId="64B07931">
            <w:pPr>
              <w:snapToGrid w:val="0"/>
              <w:spacing w:line="360" w:lineRule="auto"/>
              <w:rPr>
                <w:rFonts w:hint="eastAsia" w:ascii="宋体" w:hAnsi="宋体" w:cs="宋体"/>
                <w:kern w:val="0"/>
              </w:rPr>
            </w:pPr>
            <w:r>
              <w:rPr>
                <w:rFonts w:hint="eastAsia" w:ascii="宋体" w:hAnsi="宋体" w:cs="宋体"/>
                <w:kern w:val="0"/>
                <w:u w:val="single"/>
              </w:rPr>
              <w:t xml:space="preserve">                          </w:t>
            </w:r>
            <w:r>
              <w:rPr>
                <w:rFonts w:hint="eastAsia" w:ascii="宋体" w:hAnsi="宋体" w:cs="宋体"/>
                <w:kern w:val="0"/>
              </w:rPr>
              <w:t>比选申请文件</w:t>
            </w:r>
          </w:p>
          <w:p w14:paraId="6126497B">
            <w:pPr>
              <w:snapToGrid w:val="0"/>
              <w:spacing w:line="360" w:lineRule="auto"/>
              <w:rPr>
                <w:rFonts w:hint="eastAsia" w:ascii="宋体" w:hAnsi="宋体" w:cs="宋体"/>
              </w:rPr>
            </w:pPr>
            <w:r>
              <w:rPr>
                <w:rFonts w:hint="eastAsia" w:ascii="宋体" w:hAnsi="宋体" w:cs="宋体"/>
                <w:kern w:val="0"/>
              </w:rPr>
              <w:t>在</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r>
              <w:rPr>
                <w:rFonts w:hint="eastAsia" w:ascii="宋体" w:hAnsi="宋体" w:cs="宋体"/>
                <w:kern w:val="0"/>
                <w:u w:val="single"/>
              </w:rPr>
              <w:t xml:space="preserve">    </w:t>
            </w:r>
            <w:r>
              <w:rPr>
                <w:rFonts w:hint="eastAsia" w:ascii="宋体" w:hAnsi="宋体" w:cs="宋体"/>
                <w:kern w:val="0"/>
              </w:rPr>
              <w:t>时</w:t>
            </w:r>
            <w:r>
              <w:rPr>
                <w:rFonts w:hint="eastAsia" w:ascii="宋体" w:hAnsi="宋体" w:cs="宋体"/>
                <w:kern w:val="0"/>
                <w:u w:val="single"/>
              </w:rPr>
              <w:t xml:space="preserve">    </w:t>
            </w:r>
            <w:r>
              <w:rPr>
                <w:rFonts w:hint="eastAsia" w:ascii="宋体" w:hAnsi="宋体" w:cs="宋体"/>
                <w:kern w:val="0"/>
              </w:rPr>
              <w:t>分前不得开启</w:t>
            </w:r>
          </w:p>
        </w:tc>
      </w:tr>
      <w:tr w14:paraId="3B45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652" w:type="pct"/>
            <w:vAlign w:val="center"/>
          </w:tcPr>
          <w:p w14:paraId="1D924ECD">
            <w:pPr>
              <w:snapToGrid w:val="0"/>
              <w:spacing w:line="360" w:lineRule="auto"/>
              <w:jc w:val="center"/>
              <w:rPr>
                <w:rFonts w:hint="eastAsia" w:ascii="宋体" w:hAnsi="宋体" w:cs="宋体"/>
                <w:kern w:val="0"/>
              </w:rPr>
            </w:pPr>
            <w:r>
              <w:rPr>
                <w:rFonts w:hint="eastAsia" w:ascii="宋体" w:hAnsi="宋体" w:cs="宋体"/>
                <w:kern w:val="0"/>
              </w:rPr>
              <w:t>4.2.2</w:t>
            </w:r>
          </w:p>
        </w:tc>
        <w:tc>
          <w:tcPr>
            <w:tcW w:w="907" w:type="pct"/>
            <w:vAlign w:val="center"/>
          </w:tcPr>
          <w:p w14:paraId="10E5CB18">
            <w:pPr>
              <w:spacing w:line="360" w:lineRule="auto"/>
              <w:jc w:val="center"/>
              <w:rPr>
                <w:rFonts w:hint="eastAsia" w:ascii="宋体" w:hAnsi="宋体" w:cs="宋体"/>
                <w:kern w:val="0"/>
              </w:rPr>
            </w:pPr>
            <w:r>
              <w:rPr>
                <w:rFonts w:hint="eastAsia" w:ascii="宋体" w:hAnsi="宋体" w:cs="宋体"/>
                <w:kern w:val="0"/>
              </w:rPr>
              <w:t>递交比选申请文件地点</w:t>
            </w:r>
          </w:p>
        </w:tc>
        <w:tc>
          <w:tcPr>
            <w:tcW w:w="3440" w:type="pct"/>
            <w:vAlign w:val="center"/>
          </w:tcPr>
          <w:p w14:paraId="5AAD092C">
            <w:pPr>
              <w:spacing w:line="360" w:lineRule="auto"/>
              <w:rPr>
                <w:rFonts w:hint="eastAsia" w:ascii="宋体" w:hAnsi="宋体" w:cs="宋体"/>
                <w:kern w:val="0"/>
              </w:rPr>
            </w:pPr>
            <w:r>
              <w:rPr>
                <w:rFonts w:hint="eastAsia" w:ascii="宋体" w:hAnsi="宋体" w:cs="宋体"/>
                <w:kern w:val="0"/>
              </w:rPr>
              <w:t>重庆市九龙坡区白市驿镇人民政府</w:t>
            </w:r>
            <w:r>
              <w:rPr>
                <w:rFonts w:hint="eastAsia" w:ascii="宋体" w:hAnsi="宋体" w:cs="宋体"/>
                <w:kern w:val="0"/>
                <w:lang w:val="en-US" w:eastAsia="zh-CN"/>
              </w:rPr>
              <w:t>425</w:t>
            </w:r>
            <w:r>
              <w:rPr>
                <w:rFonts w:hint="eastAsia" w:ascii="宋体" w:hAnsi="宋体" w:cs="宋体"/>
                <w:kern w:val="0"/>
              </w:rPr>
              <w:t>会议室</w:t>
            </w:r>
          </w:p>
        </w:tc>
      </w:tr>
      <w:tr w14:paraId="0EFD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652" w:type="pct"/>
            <w:vAlign w:val="center"/>
          </w:tcPr>
          <w:p w14:paraId="7BD71615">
            <w:pPr>
              <w:snapToGrid w:val="0"/>
              <w:spacing w:line="360" w:lineRule="auto"/>
              <w:jc w:val="center"/>
              <w:rPr>
                <w:rFonts w:hint="eastAsia" w:ascii="宋体" w:hAnsi="宋体" w:cs="宋体"/>
                <w:kern w:val="0"/>
              </w:rPr>
            </w:pPr>
            <w:r>
              <w:rPr>
                <w:rFonts w:hint="eastAsia" w:ascii="宋体" w:hAnsi="宋体" w:cs="宋体"/>
                <w:kern w:val="0"/>
              </w:rPr>
              <w:t>4.2.3</w:t>
            </w:r>
          </w:p>
        </w:tc>
        <w:tc>
          <w:tcPr>
            <w:tcW w:w="907" w:type="pct"/>
            <w:vAlign w:val="center"/>
          </w:tcPr>
          <w:p w14:paraId="05770E1B">
            <w:pPr>
              <w:snapToGrid w:val="0"/>
              <w:spacing w:line="360" w:lineRule="auto"/>
              <w:jc w:val="center"/>
              <w:rPr>
                <w:rFonts w:hint="eastAsia" w:ascii="宋体" w:hAnsi="宋体" w:cs="宋体"/>
                <w:kern w:val="0"/>
              </w:rPr>
            </w:pPr>
            <w:r>
              <w:rPr>
                <w:rFonts w:hint="eastAsia" w:ascii="宋体" w:hAnsi="宋体" w:cs="宋体"/>
                <w:kern w:val="0"/>
              </w:rPr>
              <w:t>是否退还比选申请文件</w:t>
            </w:r>
          </w:p>
        </w:tc>
        <w:tc>
          <w:tcPr>
            <w:tcW w:w="3440" w:type="pct"/>
            <w:vAlign w:val="center"/>
          </w:tcPr>
          <w:p w14:paraId="4364D9A1">
            <w:pPr>
              <w:snapToGrid w:val="0"/>
              <w:spacing w:line="360" w:lineRule="auto"/>
              <w:rPr>
                <w:rFonts w:hint="eastAsia" w:ascii="宋体" w:hAnsi="宋体" w:cs="宋体"/>
                <w:kern w:val="0"/>
              </w:rPr>
            </w:pPr>
            <w:r>
              <w:rPr>
                <w:rFonts w:hint="eastAsia" w:ascii="宋体" w:hAnsi="宋体" w:cs="宋体"/>
                <w:kern w:val="0"/>
              </w:rPr>
              <w:t xml:space="preserve">   否</w:t>
            </w:r>
          </w:p>
        </w:tc>
      </w:tr>
      <w:tr w14:paraId="0B97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52" w:type="pct"/>
            <w:vAlign w:val="center"/>
          </w:tcPr>
          <w:p w14:paraId="3BE1E5D9">
            <w:pPr>
              <w:snapToGrid w:val="0"/>
              <w:spacing w:line="360" w:lineRule="auto"/>
              <w:jc w:val="center"/>
              <w:rPr>
                <w:rFonts w:hint="eastAsia" w:ascii="宋体" w:hAnsi="宋体" w:cs="宋体"/>
                <w:kern w:val="0"/>
              </w:rPr>
            </w:pPr>
            <w:r>
              <w:rPr>
                <w:rFonts w:hint="eastAsia" w:ascii="宋体" w:hAnsi="宋体" w:cs="宋体"/>
                <w:kern w:val="0"/>
              </w:rPr>
              <w:t>5.1</w:t>
            </w:r>
          </w:p>
        </w:tc>
        <w:tc>
          <w:tcPr>
            <w:tcW w:w="907" w:type="pct"/>
            <w:vAlign w:val="center"/>
          </w:tcPr>
          <w:p w14:paraId="643B99C9">
            <w:pPr>
              <w:snapToGrid w:val="0"/>
              <w:spacing w:line="360" w:lineRule="auto"/>
              <w:jc w:val="center"/>
              <w:rPr>
                <w:rFonts w:hint="eastAsia" w:ascii="宋体" w:hAnsi="宋体" w:cs="宋体"/>
                <w:kern w:val="0"/>
              </w:rPr>
            </w:pPr>
            <w:r>
              <w:rPr>
                <w:rFonts w:hint="eastAsia" w:ascii="宋体" w:hAnsi="宋体" w:cs="宋体"/>
                <w:kern w:val="0"/>
              </w:rPr>
              <w:t>比选时间地点</w:t>
            </w:r>
          </w:p>
        </w:tc>
        <w:tc>
          <w:tcPr>
            <w:tcW w:w="3440" w:type="pct"/>
            <w:vAlign w:val="center"/>
          </w:tcPr>
          <w:p w14:paraId="5D8799B2">
            <w:pPr>
              <w:spacing w:line="360" w:lineRule="auto"/>
              <w:rPr>
                <w:rFonts w:hint="eastAsia" w:ascii="宋体" w:hAnsi="宋体" w:cs="宋体"/>
                <w:kern w:val="0"/>
              </w:rPr>
            </w:pPr>
            <w:r>
              <w:rPr>
                <w:rFonts w:hint="eastAsia" w:ascii="宋体" w:hAnsi="宋体" w:cs="宋体"/>
                <w:kern w:val="0"/>
              </w:rPr>
              <w:t>开标时间：同比选申请文件递交截止时间</w:t>
            </w:r>
          </w:p>
          <w:p w14:paraId="36202E29">
            <w:pPr>
              <w:spacing w:line="360" w:lineRule="auto"/>
              <w:rPr>
                <w:rFonts w:hint="eastAsia" w:ascii="宋体" w:hAnsi="宋体" w:cs="宋体"/>
                <w:kern w:val="0"/>
              </w:rPr>
            </w:pPr>
            <w:r>
              <w:rPr>
                <w:rFonts w:hint="eastAsia" w:ascii="宋体" w:hAnsi="宋体" w:cs="宋体"/>
                <w:kern w:val="0"/>
              </w:rPr>
              <w:t>开标地点：重庆市九龙坡区白市驿镇人民政府</w:t>
            </w:r>
            <w:r>
              <w:rPr>
                <w:rFonts w:hint="eastAsia" w:ascii="宋体" w:hAnsi="宋体" w:cs="宋体"/>
                <w:kern w:val="0"/>
                <w:lang w:val="en-US" w:eastAsia="zh-CN"/>
              </w:rPr>
              <w:t>425</w:t>
            </w:r>
            <w:r>
              <w:rPr>
                <w:rFonts w:hint="eastAsia" w:ascii="宋体" w:hAnsi="宋体" w:cs="宋体"/>
                <w:kern w:val="0"/>
              </w:rPr>
              <w:t>会议室</w:t>
            </w:r>
          </w:p>
        </w:tc>
      </w:tr>
      <w:tr w14:paraId="09D1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52" w:type="pct"/>
            <w:vAlign w:val="center"/>
          </w:tcPr>
          <w:p w14:paraId="561460EF">
            <w:pPr>
              <w:snapToGrid w:val="0"/>
              <w:spacing w:line="360" w:lineRule="auto"/>
              <w:jc w:val="center"/>
              <w:rPr>
                <w:rFonts w:hint="eastAsia" w:ascii="宋体" w:hAnsi="宋体" w:cs="宋体"/>
              </w:rPr>
            </w:pPr>
            <w:r>
              <w:rPr>
                <w:rFonts w:hint="eastAsia" w:ascii="宋体" w:hAnsi="宋体" w:cs="宋体"/>
                <w:kern w:val="0"/>
              </w:rPr>
              <w:t>5.2</w:t>
            </w:r>
          </w:p>
        </w:tc>
        <w:tc>
          <w:tcPr>
            <w:tcW w:w="907" w:type="pct"/>
            <w:vAlign w:val="center"/>
          </w:tcPr>
          <w:p w14:paraId="66D78F9B">
            <w:pPr>
              <w:snapToGrid w:val="0"/>
              <w:spacing w:line="360" w:lineRule="auto"/>
              <w:jc w:val="center"/>
              <w:rPr>
                <w:rFonts w:hint="eastAsia" w:ascii="宋体" w:hAnsi="宋体" w:cs="宋体"/>
              </w:rPr>
            </w:pPr>
            <w:r>
              <w:rPr>
                <w:rFonts w:hint="eastAsia" w:ascii="宋体" w:hAnsi="宋体" w:cs="宋体"/>
                <w:kern w:val="0"/>
              </w:rPr>
              <w:t>评选程序</w:t>
            </w:r>
          </w:p>
        </w:tc>
        <w:tc>
          <w:tcPr>
            <w:tcW w:w="3440" w:type="pct"/>
          </w:tcPr>
          <w:p w14:paraId="76AD24E4">
            <w:pPr>
              <w:autoSpaceDE w:val="0"/>
              <w:autoSpaceDN w:val="0"/>
              <w:adjustRightInd w:val="0"/>
              <w:snapToGrid w:val="0"/>
              <w:spacing w:line="360" w:lineRule="auto"/>
              <w:jc w:val="left"/>
              <w:rPr>
                <w:rFonts w:hint="eastAsia" w:ascii="宋体" w:hAnsi="宋体" w:cs="宋体"/>
              </w:rPr>
            </w:pPr>
            <w:r>
              <w:rPr>
                <w:rFonts w:hint="eastAsia" w:ascii="宋体" w:hAnsi="宋体" w:cs="宋体"/>
              </w:rPr>
              <w:t>主持人按下列程序进行开标：</w:t>
            </w:r>
          </w:p>
          <w:p w14:paraId="6B6D3B22">
            <w:pPr>
              <w:autoSpaceDE w:val="0"/>
              <w:autoSpaceDN w:val="0"/>
              <w:adjustRightInd w:val="0"/>
              <w:snapToGrid w:val="0"/>
              <w:spacing w:line="360" w:lineRule="auto"/>
              <w:jc w:val="left"/>
              <w:rPr>
                <w:rFonts w:hint="eastAsia" w:ascii="宋体" w:hAnsi="宋体" w:cs="宋体"/>
              </w:rPr>
            </w:pPr>
            <w:r>
              <w:rPr>
                <w:rFonts w:hint="eastAsia" w:ascii="宋体" w:hAnsi="宋体" w:cs="宋体"/>
              </w:rPr>
              <w:t>1. 宣布开标纪律；</w:t>
            </w:r>
          </w:p>
          <w:p w14:paraId="58826E60">
            <w:pPr>
              <w:autoSpaceDE w:val="0"/>
              <w:autoSpaceDN w:val="0"/>
              <w:adjustRightInd w:val="0"/>
              <w:snapToGrid w:val="0"/>
              <w:spacing w:line="360" w:lineRule="auto"/>
              <w:jc w:val="left"/>
              <w:rPr>
                <w:rFonts w:hint="eastAsia" w:ascii="宋体" w:hAnsi="宋体" w:cs="宋体"/>
              </w:rPr>
            </w:pPr>
            <w:r>
              <w:rPr>
                <w:rFonts w:hint="eastAsia" w:ascii="宋体" w:hAnsi="宋体" w:cs="宋体"/>
              </w:rPr>
              <w:t>2. 宣布开标人、唱标人、记录人、监标人等有关人员姓名；</w:t>
            </w:r>
          </w:p>
          <w:p w14:paraId="1ED14FCA">
            <w:pPr>
              <w:autoSpaceDE w:val="0"/>
              <w:autoSpaceDN w:val="0"/>
              <w:adjustRightInd w:val="0"/>
              <w:snapToGrid w:val="0"/>
              <w:spacing w:line="360" w:lineRule="auto"/>
              <w:jc w:val="left"/>
              <w:rPr>
                <w:rFonts w:hint="eastAsia" w:ascii="宋体" w:hAnsi="宋体" w:cs="宋体"/>
              </w:rPr>
            </w:pPr>
            <w:r>
              <w:rPr>
                <w:rFonts w:hint="eastAsia" w:ascii="宋体" w:hAnsi="宋体" w:cs="宋体"/>
              </w:rPr>
              <w:t>3. 公布在比选投标截止时间前递交比选申请文件的比选申请人名称，并点名确认比选申请人是否派人到场；</w:t>
            </w:r>
          </w:p>
          <w:p w14:paraId="5EEEB5F9">
            <w:pPr>
              <w:autoSpaceDE w:val="0"/>
              <w:autoSpaceDN w:val="0"/>
              <w:adjustRightInd w:val="0"/>
              <w:snapToGrid w:val="0"/>
              <w:spacing w:line="360" w:lineRule="auto"/>
              <w:jc w:val="left"/>
              <w:rPr>
                <w:rFonts w:hint="eastAsia" w:ascii="宋体" w:hAnsi="宋体" w:cs="宋体"/>
              </w:rPr>
            </w:pPr>
            <w:r>
              <w:rPr>
                <w:rFonts w:hint="eastAsia" w:ascii="宋体" w:hAnsi="宋体" w:cs="宋体"/>
              </w:rPr>
              <w:t>4. 核验参加开标会议的比选申请人的法定代表人身份证明、身份证，或委托代理人本人身份证、附有法定代表人身份证明的授权委托书和有效社保证明（原件），以确认其身份合法有效，若比选申请人的法定代表人或委托代理人身份核验不合格，则视为未派代表参加开标会，并默认开标结果；</w:t>
            </w:r>
          </w:p>
          <w:p w14:paraId="06C7F723">
            <w:pPr>
              <w:widowControl/>
              <w:spacing w:line="360" w:lineRule="auto"/>
              <w:rPr>
                <w:rFonts w:hint="eastAsia" w:ascii="宋体" w:hAnsi="宋体" w:cs="宋体"/>
              </w:rPr>
            </w:pPr>
            <w:r>
              <w:rPr>
                <w:rFonts w:hint="eastAsia" w:ascii="宋体" w:hAnsi="宋体" w:cs="宋体"/>
              </w:rPr>
              <w:t>5. 密封情况检查：比选人检查比选申请文件是否按本须知4.1.1的规定密封，如发现比选申请文件没按本表4.1.1的规定密封，则当众原封退还。</w:t>
            </w:r>
          </w:p>
          <w:p w14:paraId="4060BFD9">
            <w:pPr>
              <w:snapToGrid w:val="0"/>
              <w:spacing w:line="360" w:lineRule="auto"/>
              <w:ind w:left="44" w:leftChars="21"/>
              <w:rPr>
                <w:rFonts w:hint="eastAsia" w:ascii="宋体" w:hAnsi="宋体" w:cs="宋体"/>
              </w:rPr>
            </w:pPr>
            <w:r>
              <w:rPr>
                <w:rFonts w:hint="eastAsia" w:ascii="宋体" w:hAnsi="宋体" w:cs="宋体"/>
              </w:rPr>
              <w:t>6. 设有最高限价或者标底的，公布最高限价或者标底；</w:t>
            </w:r>
          </w:p>
          <w:p w14:paraId="5AACC245">
            <w:pPr>
              <w:snapToGrid w:val="0"/>
              <w:spacing w:line="360" w:lineRule="auto"/>
              <w:ind w:left="44" w:leftChars="21"/>
              <w:rPr>
                <w:rFonts w:hint="eastAsia" w:ascii="宋体" w:hAnsi="宋体" w:cs="宋体"/>
              </w:rPr>
            </w:pPr>
            <w:r>
              <w:rPr>
                <w:rFonts w:hint="eastAsia" w:ascii="宋体" w:hAnsi="宋体" w:cs="宋体"/>
              </w:rPr>
              <w:t>7. 开启比选申请文件顺序：随机开启；</w:t>
            </w:r>
          </w:p>
          <w:p w14:paraId="30A5B41F">
            <w:pPr>
              <w:snapToGrid w:val="0"/>
              <w:spacing w:line="360" w:lineRule="auto"/>
              <w:ind w:left="44" w:leftChars="21"/>
              <w:rPr>
                <w:rFonts w:hint="eastAsia" w:ascii="宋体" w:hAnsi="宋体" w:cs="宋体"/>
              </w:rPr>
            </w:pPr>
            <w:r>
              <w:rPr>
                <w:rFonts w:hint="eastAsia" w:ascii="宋体" w:hAnsi="宋体" w:cs="宋体"/>
              </w:rPr>
              <w:t>8. 按照宣布的开标顺序当众开标，开启比选申请文件大袋及比选申请人比选申请文件部分袋，公布比选申请人名称、标段名称、比选报价、质量目标、工期及其他内容，并记录在案；</w:t>
            </w:r>
          </w:p>
          <w:p w14:paraId="5FFBE80B">
            <w:pPr>
              <w:autoSpaceDE w:val="0"/>
              <w:autoSpaceDN w:val="0"/>
              <w:adjustRightInd w:val="0"/>
              <w:snapToGrid w:val="0"/>
              <w:spacing w:line="360" w:lineRule="auto"/>
              <w:jc w:val="left"/>
              <w:rPr>
                <w:rFonts w:hint="eastAsia" w:ascii="宋体" w:hAnsi="宋体" w:cs="宋体"/>
              </w:rPr>
            </w:pPr>
            <w:r>
              <w:rPr>
                <w:rFonts w:hint="eastAsia" w:ascii="宋体" w:hAnsi="宋体" w:cs="宋体"/>
              </w:rPr>
              <w:t>9. 比选申请人代表、比选人代表、监标人、记录人等有关人员在开标记录上签字确认；</w:t>
            </w:r>
          </w:p>
          <w:p w14:paraId="5E01E595">
            <w:pPr>
              <w:snapToGrid w:val="0"/>
              <w:spacing w:line="360" w:lineRule="auto"/>
              <w:rPr>
                <w:rFonts w:hint="eastAsia" w:ascii="宋体" w:hAnsi="宋体" w:cs="宋体"/>
              </w:rPr>
            </w:pPr>
            <w:r>
              <w:rPr>
                <w:rFonts w:hint="eastAsia" w:ascii="宋体" w:hAnsi="宋体" w:cs="宋体"/>
              </w:rPr>
              <w:t>10. 开标结束。</w:t>
            </w:r>
          </w:p>
        </w:tc>
      </w:tr>
      <w:tr w14:paraId="23CC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2" w:type="pct"/>
            <w:vAlign w:val="center"/>
          </w:tcPr>
          <w:p w14:paraId="3F9FA87E">
            <w:pPr>
              <w:snapToGrid w:val="0"/>
              <w:spacing w:line="360" w:lineRule="auto"/>
              <w:jc w:val="center"/>
              <w:rPr>
                <w:rFonts w:hint="eastAsia" w:ascii="宋体" w:hAnsi="宋体" w:cs="宋体"/>
                <w:kern w:val="0"/>
              </w:rPr>
            </w:pPr>
            <w:r>
              <w:rPr>
                <w:rFonts w:hint="eastAsia" w:ascii="宋体" w:hAnsi="宋体" w:cs="宋体"/>
                <w:kern w:val="0"/>
              </w:rPr>
              <w:t>6.1.1</w:t>
            </w:r>
          </w:p>
        </w:tc>
        <w:tc>
          <w:tcPr>
            <w:tcW w:w="907" w:type="pct"/>
            <w:vAlign w:val="center"/>
          </w:tcPr>
          <w:p w14:paraId="6B0FB347">
            <w:pPr>
              <w:snapToGrid w:val="0"/>
              <w:spacing w:line="360" w:lineRule="auto"/>
              <w:jc w:val="center"/>
              <w:rPr>
                <w:rFonts w:hint="eastAsia" w:ascii="宋体" w:hAnsi="宋体" w:cs="宋体"/>
                <w:kern w:val="0"/>
              </w:rPr>
            </w:pPr>
            <w:r>
              <w:rPr>
                <w:rFonts w:hint="eastAsia" w:ascii="宋体" w:hAnsi="宋体" w:cs="宋体"/>
                <w:kern w:val="0"/>
              </w:rPr>
              <w:t>评选小组组建</w:t>
            </w:r>
          </w:p>
        </w:tc>
        <w:tc>
          <w:tcPr>
            <w:tcW w:w="3440" w:type="pct"/>
            <w:vAlign w:val="center"/>
          </w:tcPr>
          <w:p w14:paraId="545D8BE6">
            <w:pPr>
              <w:autoSpaceDE w:val="0"/>
              <w:autoSpaceDN w:val="0"/>
              <w:adjustRightInd w:val="0"/>
              <w:snapToGrid w:val="0"/>
              <w:spacing w:line="360" w:lineRule="auto"/>
              <w:ind w:left="4" w:leftChars="2"/>
              <w:jc w:val="left"/>
              <w:rPr>
                <w:rFonts w:hint="eastAsia" w:ascii="宋体" w:hAnsi="宋体" w:cs="宋体"/>
                <w:kern w:val="0"/>
              </w:rPr>
            </w:pPr>
            <w:r>
              <w:rPr>
                <w:rFonts w:hint="eastAsia" w:ascii="宋体" w:hAnsi="宋体" w:cs="宋体"/>
              </w:rPr>
              <w:t>评标委员会构成：比选人按法律法规及相关规定依法组建评标委员会。</w:t>
            </w:r>
          </w:p>
        </w:tc>
      </w:tr>
      <w:tr w14:paraId="07BF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52" w:type="pct"/>
            <w:vAlign w:val="center"/>
          </w:tcPr>
          <w:p w14:paraId="05B96978">
            <w:pPr>
              <w:snapToGrid w:val="0"/>
              <w:spacing w:line="360" w:lineRule="auto"/>
              <w:jc w:val="center"/>
              <w:rPr>
                <w:rFonts w:hint="eastAsia" w:ascii="宋体" w:hAnsi="宋体" w:cs="宋体"/>
                <w:kern w:val="0"/>
              </w:rPr>
            </w:pPr>
            <w:r>
              <w:rPr>
                <w:rFonts w:hint="eastAsia" w:ascii="宋体" w:hAnsi="宋体" w:cs="宋体"/>
                <w:kern w:val="0"/>
              </w:rPr>
              <w:t>7.1</w:t>
            </w:r>
          </w:p>
        </w:tc>
        <w:tc>
          <w:tcPr>
            <w:tcW w:w="907" w:type="pct"/>
            <w:vAlign w:val="center"/>
          </w:tcPr>
          <w:p w14:paraId="350FC66F">
            <w:pPr>
              <w:snapToGrid w:val="0"/>
              <w:spacing w:line="360" w:lineRule="auto"/>
              <w:jc w:val="center"/>
              <w:rPr>
                <w:rFonts w:hint="eastAsia" w:ascii="宋体" w:hAnsi="宋体" w:cs="宋体"/>
                <w:kern w:val="0"/>
              </w:rPr>
            </w:pPr>
            <w:r>
              <w:rPr>
                <w:rFonts w:hint="eastAsia" w:ascii="宋体" w:hAnsi="宋体" w:cs="宋体"/>
                <w:kern w:val="0"/>
              </w:rPr>
              <w:t>是否授权评选小组确定中选人</w:t>
            </w:r>
          </w:p>
        </w:tc>
        <w:tc>
          <w:tcPr>
            <w:tcW w:w="3440" w:type="pct"/>
            <w:vAlign w:val="center"/>
          </w:tcPr>
          <w:p w14:paraId="393C5FC0">
            <w:pPr>
              <w:snapToGrid w:val="0"/>
              <w:spacing w:line="276" w:lineRule="auto"/>
              <w:ind w:firstLine="105" w:firstLineChars="50"/>
              <w:rPr>
                <w:rFonts w:hint="eastAsia" w:ascii="宋体" w:hAnsi="宋体" w:cs="宋体"/>
                <w:kern w:val="0"/>
              </w:rPr>
            </w:pPr>
            <w:r>
              <w:rPr>
                <w:rFonts w:hint="eastAsia" w:ascii="宋体" w:hAnsi="宋体" w:cs="宋体"/>
                <w:kern w:val="0"/>
              </w:rPr>
              <w:t>口是</w:t>
            </w:r>
          </w:p>
          <w:p w14:paraId="5C3210E8">
            <w:pPr>
              <w:snapToGrid w:val="0"/>
              <w:spacing w:line="276" w:lineRule="auto"/>
              <w:ind w:left="286" w:leftChars="50" w:hanging="181" w:hangingChars="101"/>
              <w:rPr>
                <w:rFonts w:hint="eastAsia" w:ascii="宋体" w:hAnsi="宋体" w:cs="宋体"/>
                <w:kern w:val="0"/>
              </w:rPr>
            </w:pPr>
            <w:r>
              <w:rPr>
                <w:rFonts w:hint="eastAsia" w:ascii="宋体" w:hAnsi="宋体" w:cs="宋体"/>
                <w:kern w:val="0"/>
                <w:sz w:val="18"/>
                <w:szCs w:val="18"/>
                <w:bdr w:val="single" w:color="auto" w:sz="4" w:space="0"/>
              </w:rPr>
              <w:t>√</w:t>
            </w:r>
            <w:r>
              <w:rPr>
                <w:rFonts w:hint="eastAsia" w:ascii="宋体" w:hAnsi="宋体" w:cs="宋体"/>
                <w:kern w:val="0"/>
              </w:rPr>
              <w:t>否，推荐经评审综合得分由高到低排名前三名为中标候选人。</w:t>
            </w:r>
          </w:p>
        </w:tc>
      </w:tr>
      <w:tr w14:paraId="2489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52" w:type="pct"/>
            <w:vAlign w:val="center"/>
          </w:tcPr>
          <w:p w14:paraId="557A923C">
            <w:pPr>
              <w:snapToGrid w:val="0"/>
              <w:spacing w:line="360" w:lineRule="auto"/>
              <w:jc w:val="center"/>
              <w:rPr>
                <w:rFonts w:hint="eastAsia" w:ascii="宋体" w:hAnsi="宋体" w:cs="宋体"/>
                <w:kern w:val="0"/>
              </w:rPr>
            </w:pPr>
            <w:r>
              <w:rPr>
                <w:rFonts w:hint="eastAsia" w:ascii="宋体" w:hAnsi="宋体" w:cs="宋体"/>
                <w:kern w:val="0"/>
              </w:rPr>
              <w:t>7.2</w:t>
            </w:r>
          </w:p>
        </w:tc>
        <w:tc>
          <w:tcPr>
            <w:tcW w:w="907" w:type="pct"/>
            <w:vAlign w:val="center"/>
          </w:tcPr>
          <w:p w14:paraId="5A48F0B2">
            <w:pPr>
              <w:snapToGrid w:val="0"/>
              <w:spacing w:line="360" w:lineRule="auto"/>
              <w:jc w:val="center"/>
              <w:rPr>
                <w:rFonts w:hint="eastAsia" w:ascii="宋体" w:hAnsi="宋体" w:cs="宋体"/>
                <w:kern w:val="0"/>
              </w:rPr>
            </w:pPr>
            <w:r>
              <w:rPr>
                <w:rFonts w:hint="eastAsia" w:ascii="宋体" w:hAnsi="宋体" w:cs="宋体"/>
                <w:kern w:val="0"/>
              </w:rPr>
              <w:t>中选通知</w:t>
            </w:r>
          </w:p>
        </w:tc>
        <w:tc>
          <w:tcPr>
            <w:tcW w:w="3440" w:type="pct"/>
            <w:vAlign w:val="center"/>
          </w:tcPr>
          <w:p w14:paraId="3B46C1E5">
            <w:pPr>
              <w:autoSpaceDE w:val="0"/>
              <w:autoSpaceDN w:val="0"/>
              <w:adjustRightInd w:val="0"/>
              <w:snapToGrid w:val="0"/>
              <w:spacing w:line="276" w:lineRule="auto"/>
              <w:ind w:firstLine="420"/>
              <w:jc w:val="left"/>
              <w:rPr>
                <w:rFonts w:hint="eastAsia" w:ascii="宋体" w:hAnsi="宋体" w:cs="宋体"/>
                <w:snapToGrid w:val="0"/>
                <w:kern w:val="0"/>
              </w:rPr>
            </w:pPr>
            <w:r>
              <w:rPr>
                <w:rFonts w:hint="eastAsia" w:ascii="宋体" w:hAnsi="宋体" w:cs="宋体"/>
                <w:snapToGrid w:val="0"/>
                <w:kern w:val="0"/>
              </w:rPr>
              <w:t>在本章规定的比选有效期内，比选人以书面形式向中选人发出中选通知书。</w:t>
            </w:r>
          </w:p>
        </w:tc>
      </w:tr>
      <w:tr w14:paraId="6884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52" w:type="pct"/>
            <w:vAlign w:val="center"/>
          </w:tcPr>
          <w:p w14:paraId="3E24F48A">
            <w:pPr>
              <w:snapToGrid w:val="0"/>
              <w:spacing w:line="360" w:lineRule="auto"/>
              <w:jc w:val="center"/>
              <w:rPr>
                <w:rFonts w:hint="eastAsia" w:ascii="宋体" w:hAnsi="宋体" w:cs="宋体"/>
                <w:kern w:val="0"/>
              </w:rPr>
            </w:pPr>
            <w:r>
              <w:rPr>
                <w:rFonts w:hint="eastAsia" w:ascii="宋体" w:hAnsi="宋体" w:cs="宋体"/>
                <w:kern w:val="0"/>
              </w:rPr>
              <w:t>7.3</w:t>
            </w:r>
          </w:p>
        </w:tc>
        <w:tc>
          <w:tcPr>
            <w:tcW w:w="907" w:type="pct"/>
            <w:vAlign w:val="center"/>
          </w:tcPr>
          <w:p w14:paraId="2AC632F1">
            <w:pPr>
              <w:snapToGrid w:val="0"/>
              <w:spacing w:line="300" w:lineRule="auto"/>
              <w:jc w:val="center"/>
              <w:rPr>
                <w:rFonts w:hint="eastAsia" w:ascii="宋体" w:hAnsi="宋体" w:cs="宋体"/>
                <w:kern w:val="0"/>
              </w:rPr>
            </w:pPr>
            <w:r>
              <w:rPr>
                <w:rFonts w:hint="eastAsia" w:ascii="宋体" w:hAnsi="宋体" w:cs="宋体"/>
              </w:rPr>
              <w:t>结算原则</w:t>
            </w:r>
          </w:p>
        </w:tc>
        <w:tc>
          <w:tcPr>
            <w:tcW w:w="3440" w:type="pct"/>
            <w:vAlign w:val="center"/>
          </w:tcPr>
          <w:p w14:paraId="109D151B">
            <w:pPr>
              <w:pStyle w:val="217"/>
              <w:spacing w:line="364" w:lineRule="auto"/>
              <w:ind w:left="107" w:right="-15" w:firstLine="420"/>
              <w:rPr>
                <w:rFonts w:hint="eastAsia" w:ascii="宋体" w:hAnsi="宋体" w:cs="宋体"/>
                <w:highlight w:val="none"/>
              </w:rPr>
            </w:pPr>
            <w:r>
              <w:rPr>
                <w:rFonts w:hint="eastAsia" w:ascii="宋体" w:hAnsi="宋体" w:cs="宋体"/>
                <w:kern w:val="0"/>
                <w:highlight w:val="none"/>
              </w:rPr>
              <w:t>1.</w:t>
            </w:r>
            <w:r>
              <w:rPr>
                <w:rFonts w:hint="eastAsia" w:ascii="宋体" w:hAnsi="宋体" w:cs="宋体"/>
                <w:kern w:val="0"/>
                <w:highlight w:val="none"/>
                <w:u w:val="single"/>
              </w:rPr>
              <w:t>结算总价=分部分项工程量清单综合单价×实际完成工程量＋措施项目费＋安全文明施工措施费＋规费＋设计变更、招标工程量清单漏项或新增项目价款＋合同约定其它费用＋税金+其他项目费</w:t>
            </w:r>
          </w:p>
          <w:p w14:paraId="753F6035">
            <w:pPr>
              <w:pStyle w:val="217"/>
              <w:spacing w:line="364" w:lineRule="auto"/>
              <w:ind w:left="107" w:right="-15" w:firstLine="420"/>
              <w:rPr>
                <w:rFonts w:hint="eastAsia" w:ascii="宋体" w:hAnsi="宋体" w:cs="宋体"/>
              </w:rPr>
            </w:pPr>
            <w:r>
              <w:rPr>
                <w:rFonts w:hint="eastAsia" w:ascii="宋体" w:hAnsi="宋体" w:cs="宋体"/>
              </w:rPr>
              <w:t>（1）单价按中标单价结算；</w:t>
            </w:r>
          </w:p>
          <w:p w14:paraId="1B5AC253">
            <w:pPr>
              <w:pStyle w:val="217"/>
              <w:spacing w:line="364" w:lineRule="auto"/>
              <w:ind w:left="107" w:right="-15" w:firstLine="420"/>
              <w:rPr>
                <w:rFonts w:hint="eastAsia" w:ascii="宋体" w:hAnsi="宋体" w:cs="宋体"/>
              </w:rPr>
            </w:pPr>
            <w:r>
              <w:rPr>
                <w:rFonts w:hint="eastAsia" w:ascii="宋体" w:hAnsi="宋体" w:cs="宋体"/>
              </w:rPr>
              <w:t>（2）实际完成工程量按比选人实际现场收方为准。</w:t>
            </w:r>
          </w:p>
          <w:p w14:paraId="03DDA161">
            <w:pPr>
              <w:pStyle w:val="217"/>
              <w:spacing w:line="364" w:lineRule="auto"/>
              <w:ind w:left="107" w:right="-15" w:firstLine="420"/>
              <w:rPr>
                <w:rFonts w:hint="eastAsia" w:ascii="宋体" w:hAnsi="宋体" w:cs="宋体"/>
                <w:snapToGrid w:val="0"/>
                <w:kern w:val="0"/>
              </w:rPr>
            </w:pPr>
            <w:r>
              <w:rPr>
                <w:rFonts w:hint="eastAsia" w:ascii="宋体" w:hAnsi="宋体" w:cs="宋体"/>
              </w:rPr>
              <w:t>具体以专用合同条款约定为准。</w:t>
            </w:r>
          </w:p>
        </w:tc>
      </w:tr>
      <w:tr w14:paraId="0A93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2" w:type="pct"/>
            <w:vAlign w:val="center"/>
          </w:tcPr>
          <w:p w14:paraId="4614DBD1">
            <w:pPr>
              <w:snapToGrid w:val="0"/>
              <w:spacing w:line="360" w:lineRule="auto"/>
              <w:jc w:val="center"/>
              <w:rPr>
                <w:rFonts w:hint="eastAsia" w:ascii="宋体" w:hAnsi="宋体" w:cs="宋体"/>
                <w:kern w:val="0"/>
              </w:rPr>
            </w:pPr>
            <w:r>
              <w:rPr>
                <w:rFonts w:hint="eastAsia" w:ascii="宋体" w:hAnsi="宋体" w:cs="宋体"/>
                <w:kern w:val="0"/>
              </w:rPr>
              <w:t>7.3.1</w:t>
            </w:r>
          </w:p>
        </w:tc>
        <w:tc>
          <w:tcPr>
            <w:tcW w:w="907" w:type="pct"/>
            <w:vAlign w:val="center"/>
          </w:tcPr>
          <w:p w14:paraId="2941C1E2">
            <w:pPr>
              <w:snapToGrid w:val="0"/>
              <w:spacing w:line="360" w:lineRule="auto"/>
              <w:jc w:val="center"/>
              <w:rPr>
                <w:rFonts w:hint="eastAsia" w:ascii="宋体" w:hAnsi="宋体" w:cs="宋体"/>
                <w:kern w:val="0"/>
              </w:rPr>
            </w:pPr>
            <w:r>
              <w:rPr>
                <w:rFonts w:hint="eastAsia" w:ascii="宋体" w:hAnsi="宋体" w:cs="宋体"/>
                <w:kern w:val="0"/>
              </w:rPr>
              <w:t>履约担保</w:t>
            </w:r>
          </w:p>
        </w:tc>
        <w:tc>
          <w:tcPr>
            <w:tcW w:w="3440" w:type="pct"/>
            <w:vAlign w:val="center"/>
          </w:tcPr>
          <w:p w14:paraId="3AC922EE">
            <w:pPr>
              <w:snapToGrid w:val="0"/>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1.履约保证金的形式：现金或保函或现金+保函的组合；采用保函形式的，保函必须为不可撤销且见索即付；</w:t>
            </w:r>
          </w:p>
          <w:p w14:paraId="47175EDB">
            <w:pPr>
              <w:snapToGrid w:val="0"/>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2.履约担保金的金额：中标价的5% 。</w:t>
            </w:r>
          </w:p>
          <w:p w14:paraId="71FC15B7">
            <w:pPr>
              <w:snapToGrid w:val="0"/>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3.提交时间：在合同签订前，</w:t>
            </w:r>
            <w:r>
              <w:rPr>
                <w:rFonts w:hint="eastAsia" w:ascii="宋体" w:hAnsi="宋体" w:cs="宋体"/>
                <w:lang w:val="en-US" w:eastAsia="zh-CN"/>
              </w:rPr>
              <w:t>中选人</w:t>
            </w:r>
            <w:r>
              <w:rPr>
                <w:rFonts w:hint="eastAsia" w:ascii="宋体" w:hAnsi="宋体" w:eastAsia="宋体" w:cs="宋体"/>
                <w:lang w:eastAsia="zh-CN"/>
              </w:rPr>
              <w:t>按担保金额向</w:t>
            </w:r>
            <w:r>
              <w:rPr>
                <w:rFonts w:hint="eastAsia" w:ascii="宋体" w:hAnsi="宋体" w:cs="宋体"/>
                <w:lang w:val="en-US" w:eastAsia="zh-CN"/>
              </w:rPr>
              <w:t>比选人</w:t>
            </w:r>
            <w:r>
              <w:rPr>
                <w:rFonts w:hint="eastAsia" w:ascii="宋体" w:hAnsi="宋体" w:eastAsia="宋体" w:cs="宋体"/>
                <w:lang w:eastAsia="zh-CN"/>
              </w:rPr>
              <w:t>提交履约担保。</w:t>
            </w:r>
          </w:p>
          <w:p w14:paraId="56D819C7">
            <w:pPr>
              <w:snapToGrid w:val="0"/>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4.违约责任：如</w:t>
            </w:r>
            <w:r>
              <w:rPr>
                <w:rFonts w:hint="eastAsia" w:ascii="宋体" w:hAnsi="宋体" w:cs="宋体"/>
                <w:lang w:val="en-US" w:eastAsia="zh-CN"/>
              </w:rPr>
              <w:t>中选人</w:t>
            </w:r>
            <w:r>
              <w:rPr>
                <w:rFonts w:hint="eastAsia" w:ascii="宋体" w:hAnsi="宋体" w:eastAsia="宋体" w:cs="宋体"/>
                <w:lang w:eastAsia="zh-CN"/>
              </w:rPr>
              <w:t>未按以上规定时间缴纳履约保证金，</w:t>
            </w:r>
            <w:r>
              <w:rPr>
                <w:rFonts w:hint="eastAsia" w:ascii="宋体" w:hAnsi="宋体" w:cs="宋体"/>
                <w:lang w:val="en-US" w:eastAsia="zh-CN"/>
              </w:rPr>
              <w:t>比选人</w:t>
            </w:r>
            <w:r>
              <w:rPr>
                <w:rFonts w:hint="eastAsia" w:ascii="宋体" w:hAnsi="宋体" w:eastAsia="宋体" w:cs="宋体"/>
                <w:lang w:eastAsia="zh-CN"/>
              </w:rPr>
              <w:t>将视其为不诚信行为，并作为无故弃标处理，取消其</w:t>
            </w:r>
            <w:r>
              <w:rPr>
                <w:rFonts w:hint="eastAsia" w:ascii="宋体" w:hAnsi="宋体" w:cs="宋体"/>
                <w:lang w:val="en-US" w:eastAsia="zh-CN"/>
              </w:rPr>
              <w:t>中选人</w:t>
            </w:r>
            <w:r>
              <w:rPr>
                <w:rFonts w:hint="eastAsia" w:ascii="宋体" w:hAnsi="宋体" w:eastAsia="宋体" w:cs="宋体"/>
                <w:lang w:eastAsia="zh-CN"/>
              </w:rPr>
              <w:t>资格，投标保证金不予退还。</w:t>
            </w:r>
          </w:p>
          <w:p w14:paraId="40CA7735">
            <w:pPr>
              <w:snapToGrid w:val="0"/>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5.履约担保的期限：自我方法定代表人（或其委托代理人）签字并加盖公章之日起至你方签发或应签发工程接收证书之日止。</w:t>
            </w:r>
          </w:p>
          <w:p w14:paraId="2D8620EC">
            <w:pPr>
              <w:snapToGrid w:val="0"/>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6.退还方式：采用现金担保的，工程竣工验收合格后30天内无息退还；采用保函的，工程竣工验收合格后30天内退还。</w:t>
            </w:r>
          </w:p>
        </w:tc>
      </w:tr>
      <w:tr w14:paraId="5AC8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52" w:type="pct"/>
            <w:vAlign w:val="center"/>
          </w:tcPr>
          <w:p w14:paraId="661AA769">
            <w:pPr>
              <w:snapToGrid w:val="0"/>
              <w:spacing w:line="360" w:lineRule="auto"/>
              <w:jc w:val="center"/>
              <w:rPr>
                <w:rFonts w:hint="eastAsia" w:ascii="宋体" w:hAnsi="宋体" w:cs="宋体"/>
                <w:kern w:val="0"/>
              </w:rPr>
            </w:pPr>
            <w:r>
              <w:rPr>
                <w:rFonts w:hint="eastAsia" w:ascii="宋体" w:hAnsi="宋体" w:cs="宋体"/>
                <w:kern w:val="0"/>
              </w:rPr>
              <w:t>7.4</w:t>
            </w:r>
          </w:p>
        </w:tc>
        <w:tc>
          <w:tcPr>
            <w:tcW w:w="907" w:type="pct"/>
            <w:vAlign w:val="center"/>
          </w:tcPr>
          <w:p w14:paraId="279562B4">
            <w:pPr>
              <w:snapToGrid w:val="0"/>
              <w:spacing w:line="360" w:lineRule="auto"/>
              <w:jc w:val="center"/>
              <w:rPr>
                <w:rFonts w:hint="eastAsia" w:ascii="宋体" w:hAnsi="宋体" w:cs="宋体"/>
                <w:kern w:val="0"/>
              </w:rPr>
            </w:pPr>
            <w:r>
              <w:rPr>
                <w:rFonts w:hint="eastAsia" w:ascii="宋体" w:hAnsi="宋体" w:cs="宋体"/>
                <w:kern w:val="0"/>
              </w:rPr>
              <w:t>合同授予</w:t>
            </w:r>
          </w:p>
        </w:tc>
        <w:tc>
          <w:tcPr>
            <w:tcW w:w="3440" w:type="pct"/>
            <w:vAlign w:val="center"/>
          </w:tcPr>
          <w:p w14:paraId="28F85B06">
            <w:pPr>
              <w:snapToGrid w:val="0"/>
              <w:spacing w:line="360" w:lineRule="auto"/>
              <w:ind w:firstLine="420" w:firstLineChars="200"/>
              <w:rPr>
                <w:rFonts w:hint="eastAsia" w:ascii="宋体" w:hAnsi="宋体" w:cs="宋体"/>
                <w:kern w:val="0"/>
              </w:rPr>
            </w:pPr>
            <w:r>
              <w:rPr>
                <w:rFonts w:hint="eastAsia" w:ascii="宋体" w:hAnsi="宋体" w:cs="宋体"/>
                <w:snapToGrid w:val="0"/>
                <w:kern w:val="0"/>
              </w:rPr>
              <w:t>比选人和中选人应当自中选通知书发出之日起 30 天内，根据比选文件和中选人的比选申请文件订立书面合同。</w:t>
            </w:r>
          </w:p>
        </w:tc>
      </w:tr>
      <w:tr w14:paraId="3B98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52" w:type="pct"/>
            <w:vAlign w:val="center"/>
          </w:tcPr>
          <w:p w14:paraId="62B55BC4">
            <w:pPr>
              <w:snapToGrid w:val="0"/>
              <w:spacing w:line="300" w:lineRule="auto"/>
              <w:jc w:val="center"/>
              <w:rPr>
                <w:rFonts w:hint="eastAsia" w:ascii="宋体" w:hAnsi="宋体" w:cs="宋体"/>
                <w:kern w:val="0"/>
              </w:rPr>
            </w:pPr>
            <w:r>
              <w:rPr>
                <w:rFonts w:hint="eastAsia" w:ascii="宋体" w:hAnsi="宋体" w:cs="宋体"/>
                <w:kern w:val="0"/>
              </w:rPr>
              <w:t>9</w:t>
            </w:r>
          </w:p>
        </w:tc>
        <w:tc>
          <w:tcPr>
            <w:tcW w:w="907" w:type="pct"/>
            <w:vAlign w:val="center"/>
          </w:tcPr>
          <w:p w14:paraId="628E547A">
            <w:pPr>
              <w:snapToGrid w:val="0"/>
              <w:spacing w:line="300" w:lineRule="auto"/>
              <w:ind w:firstLine="105" w:firstLineChars="50"/>
              <w:jc w:val="center"/>
              <w:rPr>
                <w:rFonts w:hint="eastAsia" w:ascii="宋体" w:hAnsi="宋体" w:cs="宋体"/>
                <w:kern w:val="0"/>
              </w:rPr>
            </w:pPr>
            <w:r>
              <w:rPr>
                <w:rFonts w:hint="eastAsia" w:ascii="宋体" w:hAnsi="宋体" w:cs="宋体"/>
                <w:kern w:val="0"/>
              </w:rPr>
              <w:t>纪律监督</w:t>
            </w:r>
          </w:p>
        </w:tc>
        <w:tc>
          <w:tcPr>
            <w:tcW w:w="3440" w:type="pct"/>
            <w:vAlign w:val="center"/>
          </w:tcPr>
          <w:p w14:paraId="094BCA34">
            <w:pPr>
              <w:snapToGrid w:val="0"/>
              <w:spacing w:line="276" w:lineRule="auto"/>
              <w:ind w:firstLine="105" w:firstLineChars="50"/>
              <w:rPr>
                <w:rFonts w:hint="eastAsia" w:ascii="宋体" w:hAnsi="宋体" w:cs="宋体"/>
                <w:kern w:val="0"/>
              </w:rPr>
            </w:pPr>
            <w:r>
              <w:rPr>
                <w:rFonts w:hint="eastAsia" w:ascii="宋体" w:hAnsi="宋体" w:cs="宋体"/>
                <w:kern w:val="0"/>
              </w:rPr>
              <w:t>按国家比选招标投标相关法律规定</w:t>
            </w:r>
          </w:p>
        </w:tc>
      </w:tr>
      <w:tr w14:paraId="4CC6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52" w:type="pct"/>
            <w:vAlign w:val="center"/>
          </w:tcPr>
          <w:p w14:paraId="73CA3D79">
            <w:pPr>
              <w:snapToGrid w:val="0"/>
              <w:spacing w:line="300" w:lineRule="auto"/>
              <w:jc w:val="center"/>
              <w:rPr>
                <w:rFonts w:hint="eastAsia" w:ascii="宋体" w:hAnsi="宋体" w:cs="宋体"/>
                <w:b/>
                <w:kern w:val="0"/>
              </w:rPr>
            </w:pPr>
            <w:r>
              <w:rPr>
                <w:rFonts w:hint="eastAsia" w:ascii="宋体" w:hAnsi="宋体" w:cs="宋体"/>
                <w:b/>
                <w:kern w:val="0"/>
              </w:rPr>
              <w:t>10</w:t>
            </w:r>
          </w:p>
        </w:tc>
        <w:tc>
          <w:tcPr>
            <w:tcW w:w="4347" w:type="pct"/>
            <w:gridSpan w:val="2"/>
            <w:vAlign w:val="center"/>
          </w:tcPr>
          <w:p w14:paraId="30A533EF">
            <w:pPr>
              <w:snapToGrid w:val="0"/>
              <w:spacing w:line="300" w:lineRule="auto"/>
              <w:jc w:val="center"/>
              <w:rPr>
                <w:rFonts w:hint="eastAsia" w:ascii="宋体" w:hAnsi="宋体" w:cs="宋体"/>
                <w:b/>
                <w:kern w:val="0"/>
              </w:rPr>
            </w:pPr>
            <w:r>
              <w:rPr>
                <w:rFonts w:hint="eastAsia" w:ascii="宋体" w:hAnsi="宋体" w:cs="宋体"/>
                <w:b/>
                <w:kern w:val="0"/>
              </w:rPr>
              <w:t>需要补充的其他内容</w:t>
            </w:r>
          </w:p>
        </w:tc>
      </w:tr>
      <w:tr w14:paraId="233E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652" w:type="pct"/>
            <w:vAlign w:val="center"/>
          </w:tcPr>
          <w:p w14:paraId="676F7AD4">
            <w:pPr>
              <w:snapToGrid w:val="0"/>
              <w:spacing w:line="400" w:lineRule="exact"/>
              <w:jc w:val="center"/>
              <w:rPr>
                <w:rFonts w:hint="eastAsia" w:ascii="宋体" w:hAnsi="宋体" w:cs="宋体"/>
                <w:kern w:val="0"/>
              </w:rPr>
            </w:pPr>
            <w:r>
              <w:rPr>
                <w:rFonts w:hint="eastAsia" w:ascii="宋体" w:hAnsi="宋体" w:cs="宋体"/>
                <w:kern w:val="0"/>
              </w:rPr>
              <w:t>10.1</w:t>
            </w:r>
          </w:p>
        </w:tc>
        <w:tc>
          <w:tcPr>
            <w:tcW w:w="907" w:type="pct"/>
            <w:vAlign w:val="center"/>
          </w:tcPr>
          <w:p w14:paraId="3AC8066F">
            <w:pPr>
              <w:jc w:val="center"/>
              <w:rPr>
                <w:rFonts w:hint="eastAsia" w:ascii="宋体" w:hAnsi="宋体" w:cs="宋体"/>
                <w:kern w:val="0"/>
              </w:rPr>
            </w:pPr>
            <w:r>
              <w:rPr>
                <w:rFonts w:hint="eastAsia" w:ascii="宋体" w:hAnsi="宋体" w:cs="宋体"/>
                <w:bCs/>
              </w:rPr>
              <w:t>比选代理服务费</w:t>
            </w:r>
          </w:p>
        </w:tc>
        <w:tc>
          <w:tcPr>
            <w:tcW w:w="3440" w:type="pct"/>
            <w:vAlign w:val="center"/>
          </w:tcPr>
          <w:p w14:paraId="26ABADFD">
            <w:pPr>
              <w:spacing w:line="360" w:lineRule="auto"/>
              <w:ind w:firstLine="420" w:firstLineChars="200"/>
              <w:rPr>
                <w:rFonts w:hint="eastAsia" w:ascii="宋体" w:hAnsi="宋体" w:cs="宋体"/>
              </w:rPr>
            </w:pPr>
            <w:r>
              <w:rPr>
                <w:rFonts w:hint="eastAsia" w:ascii="宋体" w:hAnsi="宋体" w:cs="宋体"/>
                <w:kern w:val="0"/>
              </w:rPr>
              <w:t>1. 招标代理服务费：以中标金额作为收费基数，收费标准按照国家计委计价格[2002]1980号文件《招标代理服务收费管理暂行办法》的规定计取。代理服务费含在投标报价中，不单独计列。不足3000元的按3000元计费，由</w:t>
            </w:r>
            <w:r>
              <w:rPr>
                <w:rFonts w:hint="eastAsia" w:ascii="宋体" w:hAnsi="宋体" w:cs="宋体"/>
                <w:kern w:val="0"/>
                <w:lang w:eastAsia="zh-CN"/>
              </w:rPr>
              <w:t>中选人</w:t>
            </w:r>
            <w:r>
              <w:rPr>
                <w:rFonts w:hint="eastAsia" w:ascii="宋体" w:hAnsi="宋体" w:cs="宋体"/>
                <w:kern w:val="0"/>
              </w:rPr>
              <w:t xml:space="preserve">在领取中标通知书时一次性支付给招标代理机构。 </w:t>
            </w:r>
          </w:p>
        </w:tc>
      </w:tr>
      <w:tr w14:paraId="7A2A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2" w:type="pct"/>
            <w:vAlign w:val="center"/>
          </w:tcPr>
          <w:p w14:paraId="2E9B4247">
            <w:pPr>
              <w:snapToGrid w:val="0"/>
              <w:spacing w:line="300" w:lineRule="auto"/>
              <w:jc w:val="center"/>
              <w:rPr>
                <w:rFonts w:hint="eastAsia" w:ascii="宋体" w:hAnsi="宋体" w:cs="宋体"/>
                <w:kern w:val="0"/>
              </w:rPr>
            </w:pPr>
            <w:r>
              <w:rPr>
                <w:rFonts w:hint="eastAsia" w:ascii="宋体" w:hAnsi="宋体" w:cs="宋体"/>
                <w:kern w:val="0"/>
              </w:rPr>
              <w:t>10.2</w:t>
            </w:r>
          </w:p>
        </w:tc>
        <w:tc>
          <w:tcPr>
            <w:tcW w:w="907" w:type="pct"/>
            <w:vAlign w:val="center"/>
          </w:tcPr>
          <w:p w14:paraId="154A58C4">
            <w:pPr>
              <w:tabs>
                <w:tab w:val="left" w:pos="2032"/>
              </w:tabs>
              <w:snapToGrid w:val="0"/>
              <w:spacing w:before="156" w:beforeLines="50" w:line="360" w:lineRule="auto"/>
              <w:jc w:val="center"/>
              <w:rPr>
                <w:rFonts w:hint="eastAsia" w:ascii="宋体" w:hAnsi="宋体" w:cs="宋体"/>
              </w:rPr>
            </w:pPr>
            <w:r>
              <w:rPr>
                <w:rFonts w:hint="eastAsia" w:ascii="宋体" w:hAnsi="宋体" w:cs="宋体"/>
              </w:rPr>
              <w:t>比选公示</w:t>
            </w:r>
          </w:p>
        </w:tc>
        <w:tc>
          <w:tcPr>
            <w:tcW w:w="3440" w:type="pct"/>
            <w:vAlign w:val="center"/>
          </w:tcPr>
          <w:p w14:paraId="603C08CE">
            <w:pPr>
              <w:spacing w:line="360" w:lineRule="auto"/>
              <w:ind w:firstLine="420" w:firstLineChars="200"/>
              <w:rPr>
                <w:rFonts w:hint="eastAsia" w:ascii="宋体" w:hAnsi="宋体" w:cs="宋体"/>
              </w:rPr>
            </w:pPr>
            <w:r>
              <w:rPr>
                <w:rFonts w:hint="eastAsia" w:ascii="宋体" w:hAnsi="宋体" w:cs="宋体"/>
                <w:snapToGrid w:val="0"/>
              </w:rPr>
              <w:t>在</w:t>
            </w:r>
            <w:r>
              <w:rPr>
                <w:rFonts w:hint="eastAsia" w:ascii="宋体" w:hAnsi="宋体" w:cs="宋体"/>
                <w:snapToGrid w:val="0"/>
                <w:u w:val="single"/>
              </w:rPr>
              <w:t>“行采家https://www.gec123.com”</w:t>
            </w:r>
            <w:r>
              <w:rPr>
                <w:rFonts w:hint="eastAsia" w:ascii="宋体" w:hAnsi="宋体" w:cs="宋体"/>
              </w:rPr>
              <w:t>上发布</w:t>
            </w:r>
          </w:p>
        </w:tc>
      </w:tr>
      <w:tr w14:paraId="09BC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2" w:type="pct"/>
            <w:vAlign w:val="center"/>
          </w:tcPr>
          <w:p w14:paraId="51CD0E39">
            <w:pPr>
              <w:snapToGrid w:val="0"/>
              <w:spacing w:line="300" w:lineRule="auto"/>
              <w:jc w:val="center"/>
              <w:rPr>
                <w:rFonts w:hint="eastAsia" w:ascii="宋体" w:hAnsi="宋体" w:cs="宋体"/>
                <w:kern w:val="0"/>
              </w:rPr>
            </w:pPr>
            <w:r>
              <w:rPr>
                <w:rFonts w:hint="eastAsia" w:ascii="宋体" w:hAnsi="宋体" w:cs="宋体"/>
                <w:kern w:val="0"/>
              </w:rPr>
              <w:t>10.3</w:t>
            </w:r>
          </w:p>
        </w:tc>
        <w:tc>
          <w:tcPr>
            <w:tcW w:w="907" w:type="pct"/>
            <w:vAlign w:val="center"/>
          </w:tcPr>
          <w:p w14:paraId="42A78BEE">
            <w:pPr>
              <w:snapToGrid w:val="0"/>
              <w:spacing w:line="300" w:lineRule="auto"/>
              <w:jc w:val="center"/>
              <w:rPr>
                <w:rFonts w:hint="eastAsia" w:ascii="宋体" w:hAnsi="宋体" w:cs="宋体"/>
                <w:kern w:val="0"/>
              </w:rPr>
            </w:pPr>
            <w:r>
              <w:rPr>
                <w:rFonts w:hint="eastAsia" w:ascii="宋体" w:hAnsi="宋体" w:cs="宋体"/>
                <w:kern w:val="0"/>
              </w:rPr>
              <w:t>低价风险</w:t>
            </w:r>
          </w:p>
          <w:p w14:paraId="30B00087">
            <w:pPr>
              <w:snapToGrid w:val="0"/>
              <w:spacing w:line="300" w:lineRule="auto"/>
              <w:jc w:val="center"/>
              <w:rPr>
                <w:rFonts w:hint="eastAsia" w:ascii="宋体" w:hAnsi="宋体" w:cs="宋体"/>
                <w:kern w:val="0"/>
              </w:rPr>
            </w:pPr>
            <w:r>
              <w:rPr>
                <w:rFonts w:hint="eastAsia" w:ascii="宋体" w:hAnsi="宋体" w:cs="宋体"/>
                <w:kern w:val="0"/>
              </w:rPr>
              <w:t>担保金</w:t>
            </w:r>
          </w:p>
        </w:tc>
        <w:tc>
          <w:tcPr>
            <w:tcW w:w="3440" w:type="pct"/>
            <w:vAlign w:val="center"/>
          </w:tcPr>
          <w:p w14:paraId="6B11176D">
            <w:pPr>
              <w:pStyle w:val="16"/>
              <w:widowControl/>
              <w:spacing w:line="400" w:lineRule="exact"/>
              <w:ind w:firstLine="420" w:firstLineChars="200"/>
              <w:rPr>
                <w:rFonts w:hint="eastAsia" w:ascii="宋体" w:hAnsi="宋体" w:cs="宋体"/>
              </w:rPr>
            </w:pPr>
            <w:r>
              <w:rPr>
                <w:rFonts w:hint="eastAsia" w:ascii="宋体" w:hAnsi="宋体" w:cs="宋体"/>
                <w:sz w:val="21"/>
                <w:szCs w:val="21"/>
              </w:rPr>
              <w:t>无</w:t>
            </w:r>
          </w:p>
        </w:tc>
      </w:tr>
      <w:tr w14:paraId="4BA1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2" w:type="pct"/>
            <w:vAlign w:val="center"/>
          </w:tcPr>
          <w:p w14:paraId="26A0DC9B">
            <w:pPr>
              <w:snapToGrid w:val="0"/>
              <w:spacing w:line="300" w:lineRule="auto"/>
              <w:jc w:val="center"/>
              <w:rPr>
                <w:rFonts w:hint="eastAsia" w:ascii="宋体" w:hAnsi="宋体" w:cs="宋体"/>
                <w:kern w:val="0"/>
              </w:rPr>
            </w:pPr>
            <w:r>
              <w:rPr>
                <w:rFonts w:hint="eastAsia" w:ascii="宋体" w:hAnsi="宋体" w:cs="宋体"/>
                <w:kern w:val="0"/>
              </w:rPr>
              <w:t>10.3</w:t>
            </w:r>
          </w:p>
        </w:tc>
        <w:tc>
          <w:tcPr>
            <w:tcW w:w="907" w:type="pct"/>
            <w:vAlign w:val="center"/>
          </w:tcPr>
          <w:p w14:paraId="043BDAEA">
            <w:pPr>
              <w:snapToGrid w:val="0"/>
              <w:spacing w:line="400" w:lineRule="exact"/>
              <w:jc w:val="center"/>
              <w:rPr>
                <w:rFonts w:hint="eastAsia" w:ascii="宋体" w:hAnsi="宋体" w:cs="宋体"/>
                <w:kern w:val="0"/>
              </w:rPr>
            </w:pPr>
            <w:r>
              <w:rPr>
                <w:rFonts w:hint="eastAsia" w:ascii="宋体" w:hAnsi="宋体" w:cs="宋体"/>
                <w:kern w:val="0"/>
              </w:rPr>
              <w:t>建筑领域实施农民工工资专用账户相关要求</w:t>
            </w:r>
          </w:p>
        </w:tc>
        <w:tc>
          <w:tcPr>
            <w:tcW w:w="3440" w:type="pct"/>
            <w:vAlign w:val="center"/>
          </w:tcPr>
          <w:p w14:paraId="0749E3C1">
            <w:pPr>
              <w:widowControl/>
              <w:spacing w:line="400" w:lineRule="exact"/>
              <w:ind w:firstLine="420" w:firstLineChars="200"/>
              <w:rPr>
                <w:rFonts w:hint="eastAsia" w:ascii="宋体" w:hAnsi="宋体" w:cs="宋体"/>
                <w:kern w:val="0"/>
              </w:rPr>
            </w:pPr>
            <w:r>
              <w:rPr>
                <w:rFonts w:hint="eastAsia" w:ascii="宋体" w:hAnsi="宋体" w:cs="宋体"/>
                <w:kern w:val="0"/>
              </w:rPr>
              <w:t>本项目在实施过程中，</w:t>
            </w:r>
            <w:r>
              <w:rPr>
                <w:rFonts w:hint="eastAsia" w:ascii="宋体" w:hAnsi="宋体" w:cs="宋体"/>
                <w:kern w:val="0"/>
                <w:lang w:eastAsia="zh-CN"/>
              </w:rPr>
              <w:t>中选人</w:t>
            </w:r>
            <w:r>
              <w:rPr>
                <w:rFonts w:hint="eastAsia" w:ascii="宋体" w:hAnsi="宋体" w:cs="宋体"/>
                <w:kern w:val="0"/>
              </w:rPr>
              <w:t>必须执行《保障农民工工资支付条例》（中华人民共和国国务院令第724号）、《重庆市人民政府办公厅关于全面治理拖欠农民工工资问题的实施意见》（渝府办发〔2016〕101号）、《重庆市城乡建设委员会、中国人民银行重庆营业管理部、中国银行业监督管理委员会重庆监管局关于建筑领域实施农民工工资专用账户管理及银行代发制度（试行）的通知》（渝建发〔2017〕13号）及《重庆市建设工程造价管理总站关于建筑领域农民工工资专户管理网络系统正式运行有关事宜的通知》，实行农民工工资专用账户管理及银行代发制度，填报相应的网络管理系统。</w:t>
            </w:r>
          </w:p>
          <w:p w14:paraId="38B3250D">
            <w:pPr>
              <w:widowControl/>
              <w:spacing w:line="400" w:lineRule="exact"/>
              <w:ind w:firstLine="420" w:firstLineChars="200"/>
              <w:rPr>
                <w:rFonts w:hint="eastAsia" w:ascii="宋体" w:hAnsi="宋体" w:cs="宋体"/>
                <w:kern w:val="0"/>
              </w:rPr>
            </w:pPr>
            <w:r>
              <w:rPr>
                <w:rFonts w:hint="eastAsia" w:ascii="宋体" w:hAnsi="宋体" w:cs="宋体"/>
                <w:kern w:val="0"/>
              </w:rPr>
              <w:t>比选申请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p>
        </w:tc>
      </w:tr>
      <w:tr w14:paraId="4C26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2" w:type="pct"/>
            <w:vAlign w:val="center"/>
          </w:tcPr>
          <w:p w14:paraId="04397030">
            <w:pPr>
              <w:snapToGrid w:val="0"/>
              <w:spacing w:line="300" w:lineRule="auto"/>
              <w:jc w:val="center"/>
              <w:rPr>
                <w:rFonts w:hint="default" w:ascii="宋体" w:hAnsi="宋体" w:eastAsia="宋体" w:cs="宋体"/>
                <w:kern w:val="0"/>
                <w:lang w:val="en-US" w:eastAsia="zh-CN"/>
              </w:rPr>
            </w:pPr>
            <w:bookmarkStart w:id="47" w:name="_Toc304992505"/>
            <w:bookmarkStart w:id="48" w:name="_Toc200513126"/>
            <w:r>
              <w:rPr>
                <w:rFonts w:hint="eastAsia" w:ascii="宋体" w:hAnsi="宋体" w:cs="宋体"/>
                <w:kern w:val="0"/>
                <w:lang w:val="en-US" w:eastAsia="zh-CN"/>
              </w:rPr>
              <w:t>10.4</w:t>
            </w:r>
          </w:p>
        </w:tc>
        <w:tc>
          <w:tcPr>
            <w:tcW w:w="1679" w:type="dxa"/>
            <w:vAlign w:val="center"/>
          </w:tcPr>
          <w:p w14:paraId="2A914F74">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kern w:val="0"/>
                <w:lang w:val="en-US" w:eastAsia="zh-CN"/>
              </w:rPr>
            </w:pPr>
            <w:r>
              <w:rPr>
                <w:rFonts w:hint="eastAsia" w:ascii="宋体" w:hAnsi="宋体" w:cs="宋体"/>
                <w:kern w:val="0"/>
                <w:lang w:val="en-US" w:eastAsia="zh-CN"/>
              </w:rPr>
              <w:t>付款方式</w:t>
            </w:r>
          </w:p>
        </w:tc>
        <w:tc>
          <w:tcPr>
            <w:tcW w:w="6368" w:type="dxa"/>
            <w:vAlign w:val="center"/>
          </w:tcPr>
          <w:p w14:paraId="364260E7">
            <w:pPr>
              <w:widowControl/>
              <w:spacing w:line="400" w:lineRule="exact"/>
              <w:ind w:firstLine="420" w:firstLineChars="200"/>
              <w:rPr>
                <w:rFonts w:hint="eastAsia" w:ascii="宋体" w:hAnsi="宋体" w:cs="宋体"/>
                <w:kern w:val="0"/>
              </w:rPr>
            </w:pPr>
            <w:r>
              <w:rPr>
                <w:rFonts w:hint="eastAsia" w:ascii="宋体" w:hAnsi="宋体" w:cs="宋体"/>
                <w:kern w:val="0"/>
              </w:rPr>
              <w:t>本合同无预付款、进度款，工程完工并经发包人验收合格后15个工作日内支付至合同暂定金额的70%，工程完工并经工程结算及发包人委托外审完成后   15个工作日内拨付至审定金额的97%，施工完成后且缺陷责任期满后，经发包人检查无质量问题后30日付结算审定工程款的3%(不计利息)。发包人每次付款前，承包人需向发包人开具合格发票，否则发包人有权暂缓付款。</w:t>
            </w:r>
          </w:p>
        </w:tc>
      </w:tr>
    </w:tbl>
    <w:p w14:paraId="74F1B836">
      <w:pPr>
        <w:snapToGrid w:val="0"/>
        <w:spacing w:before="156" w:beforeLines="50" w:line="360" w:lineRule="auto"/>
        <w:ind w:firstLine="420" w:firstLineChars="200"/>
        <w:rPr>
          <w:rFonts w:hint="eastAsia" w:ascii="宋体" w:hAnsi="宋体" w:cs="宋体"/>
          <w:kern w:val="0"/>
        </w:rPr>
      </w:pPr>
      <w:r>
        <w:rPr>
          <w:rFonts w:hint="eastAsia" w:ascii="宋体" w:hAnsi="宋体" w:cs="宋体"/>
          <w:kern w:val="0"/>
        </w:rPr>
        <w:t>注：1.比选申请人须知前附表与正文不一致的以前附表为准，评标办法前附表与正文不一致的以前附表为准。</w:t>
      </w:r>
    </w:p>
    <w:p w14:paraId="02DD9956">
      <w:pPr>
        <w:snapToGrid w:val="0"/>
        <w:spacing w:before="156" w:beforeLines="50" w:line="360" w:lineRule="auto"/>
        <w:ind w:firstLine="420" w:firstLineChars="200"/>
        <w:rPr>
          <w:rFonts w:hint="eastAsia" w:ascii="宋体" w:hAnsi="宋体" w:cs="宋体"/>
          <w:snapToGrid w:val="0"/>
        </w:rPr>
      </w:pPr>
      <w:r>
        <w:rPr>
          <w:rFonts w:hint="eastAsia" w:ascii="宋体" w:hAnsi="宋体" w:cs="宋体"/>
          <w:kern w:val="0"/>
        </w:rPr>
        <w:t>2.本比选文件最终解释权归业主。</w:t>
      </w:r>
      <w:r>
        <w:rPr>
          <w:rFonts w:hint="eastAsia" w:ascii="宋体" w:hAnsi="宋体" w:cs="宋体"/>
          <w:snapToGrid w:val="0"/>
        </w:rPr>
        <w:br w:type="page"/>
      </w:r>
      <w:bookmarkEnd w:id="47"/>
      <w:bookmarkEnd w:id="48"/>
      <w:bookmarkStart w:id="49" w:name="_Toc22375574"/>
      <w:bookmarkStart w:id="50" w:name="_Toc22990016"/>
      <w:r>
        <w:rPr>
          <w:rFonts w:hint="eastAsia" w:ascii="宋体" w:hAnsi="宋体" w:cs="宋体"/>
          <w:b/>
          <w:snapToGrid w:val="0"/>
          <w:kern w:val="0"/>
          <w:sz w:val="24"/>
          <w:szCs w:val="28"/>
        </w:rPr>
        <w:t>1.  总则</w:t>
      </w:r>
      <w:bookmarkEnd w:id="49"/>
      <w:bookmarkEnd w:id="50"/>
    </w:p>
    <w:p w14:paraId="0A501BB0">
      <w:pPr>
        <w:pStyle w:val="2"/>
        <w:spacing w:line="360" w:lineRule="auto"/>
        <w:rPr>
          <w:rFonts w:hint="eastAsia" w:ascii="宋体" w:hAnsi="宋体" w:eastAsia="宋体" w:cs="宋体"/>
          <w:snapToGrid w:val="0"/>
        </w:rPr>
      </w:pPr>
      <w:bookmarkStart w:id="51" w:name="_Toc260740988"/>
      <w:bookmarkStart w:id="52" w:name="_Toc492994330"/>
      <w:bookmarkStart w:id="53" w:name="_Toc22990017"/>
      <w:bookmarkStart w:id="54" w:name="_Toc406575072"/>
      <w:bookmarkStart w:id="55" w:name="_Toc22375575"/>
      <w:bookmarkStart w:id="56" w:name="_Toc200513127"/>
      <w:bookmarkStart w:id="57" w:name="_Toc487208650"/>
      <w:r>
        <w:rPr>
          <w:rFonts w:hint="eastAsia" w:ascii="宋体" w:hAnsi="宋体" w:eastAsia="宋体" w:cs="宋体"/>
          <w:snapToGrid w:val="0"/>
        </w:rPr>
        <w:t>1.1  项目概况</w:t>
      </w:r>
      <w:bookmarkEnd w:id="51"/>
      <w:bookmarkEnd w:id="52"/>
      <w:bookmarkEnd w:id="53"/>
      <w:bookmarkEnd w:id="54"/>
      <w:bookmarkEnd w:id="55"/>
      <w:bookmarkEnd w:id="56"/>
      <w:bookmarkEnd w:id="57"/>
    </w:p>
    <w:p w14:paraId="3E42DF32">
      <w:pPr>
        <w:autoSpaceDE w:val="0"/>
        <w:autoSpaceDN w:val="0"/>
        <w:adjustRightInd w:val="0"/>
        <w:snapToGrid w:val="0"/>
        <w:spacing w:line="360" w:lineRule="auto"/>
        <w:ind w:firstLine="357" w:firstLineChars="170"/>
        <w:jc w:val="left"/>
        <w:rPr>
          <w:rFonts w:hint="eastAsia" w:ascii="宋体" w:hAnsi="宋体" w:cs="宋体"/>
          <w:snapToGrid w:val="0"/>
          <w:kern w:val="0"/>
        </w:rPr>
      </w:pPr>
      <w:r>
        <w:rPr>
          <w:rFonts w:hint="eastAsia" w:ascii="宋体" w:hAnsi="宋体" w:cs="宋体"/>
          <w:snapToGrid w:val="0"/>
          <w:kern w:val="0"/>
        </w:rPr>
        <w:t>1.1.1  根据《中华人民共和国招标投标法》、《中华人民共和国招标投标条例》等有关法律、法规和规章的规定，本比选招标项目已具备比选招标条件，现对本项目进行比选招标。</w:t>
      </w:r>
    </w:p>
    <w:p w14:paraId="26794ABC">
      <w:pPr>
        <w:autoSpaceDE w:val="0"/>
        <w:autoSpaceDN w:val="0"/>
        <w:adjustRightInd w:val="0"/>
        <w:snapToGrid w:val="0"/>
        <w:spacing w:line="360" w:lineRule="auto"/>
        <w:ind w:firstLine="357" w:firstLineChars="170"/>
        <w:jc w:val="left"/>
        <w:rPr>
          <w:rFonts w:hint="eastAsia" w:ascii="宋体" w:hAnsi="宋体" w:cs="宋体"/>
          <w:snapToGrid w:val="0"/>
          <w:kern w:val="0"/>
        </w:rPr>
      </w:pPr>
      <w:r>
        <w:rPr>
          <w:rFonts w:hint="eastAsia" w:ascii="宋体" w:hAnsi="宋体" w:cs="宋体"/>
          <w:snapToGrid w:val="0"/>
          <w:kern w:val="0"/>
        </w:rPr>
        <w:t>1.1.2  本比选招标项目比选人：见比选申请人须知前附表。</w:t>
      </w:r>
    </w:p>
    <w:p w14:paraId="1634E717">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1.1.3  本项目比选招标代理机构：见比选申请人须知前附表。</w:t>
      </w:r>
    </w:p>
    <w:p w14:paraId="06921A33">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1.1.4  本比选招标项目名称：见比选申请人须知前附表。</w:t>
      </w:r>
    </w:p>
    <w:p w14:paraId="2E03DCE3">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1.1.5  本项目建设地点：见比选申请人须知前附表。</w:t>
      </w:r>
    </w:p>
    <w:p w14:paraId="653DB971">
      <w:pPr>
        <w:pStyle w:val="2"/>
        <w:snapToGrid w:val="0"/>
        <w:spacing w:before="0" w:line="360" w:lineRule="auto"/>
        <w:rPr>
          <w:rFonts w:hint="eastAsia" w:ascii="宋体" w:hAnsi="宋体" w:eastAsia="宋体" w:cs="宋体"/>
          <w:snapToGrid w:val="0"/>
        </w:rPr>
      </w:pPr>
      <w:bookmarkStart w:id="58" w:name="_Toc406575073"/>
      <w:bookmarkStart w:id="59" w:name="_Toc200513128"/>
      <w:bookmarkStart w:id="60" w:name="_Toc487208651"/>
      <w:bookmarkStart w:id="61" w:name="_Toc492994331"/>
      <w:bookmarkStart w:id="62" w:name="_Toc22375576"/>
      <w:bookmarkStart w:id="63" w:name="_Toc260740989"/>
      <w:bookmarkStart w:id="64" w:name="_Toc22990018"/>
      <w:r>
        <w:rPr>
          <w:rFonts w:hint="eastAsia" w:ascii="宋体" w:hAnsi="宋体" w:eastAsia="宋体" w:cs="宋体"/>
          <w:snapToGrid w:val="0"/>
        </w:rPr>
        <w:t>1.2  资金来源和落实情况</w:t>
      </w:r>
      <w:bookmarkEnd w:id="58"/>
      <w:bookmarkEnd w:id="59"/>
      <w:bookmarkEnd w:id="60"/>
      <w:bookmarkEnd w:id="61"/>
      <w:bookmarkEnd w:id="62"/>
      <w:bookmarkEnd w:id="63"/>
      <w:bookmarkEnd w:id="64"/>
    </w:p>
    <w:p w14:paraId="0C00211C">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1.2.1  本比选招标项目的资金来源：见比选申请人须知前附表。</w:t>
      </w:r>
    </w:p>
    <w:p w14:paraId="7C02E8B7">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1.2.2  本比选招标项目的出资比例：见比选申请人须知前附表。</w:t>
      </w:r>
    </w:p>
    <w:p w14:paraId="16A6A181">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1.2.3  本比选招标项目的资金落实情况：见比选申请人须知前附表。</w:t>
      </w:r>
    </w:p>
    <w:p w14:paraId="118E906E">
      <w:pPr>
        <w:pStyle w:val="2"/>
        <w:snapToGrid w:val="0"/>
        <w:spacing w:before="0" w:line="360" w:lineRule="auto"/>
        <w:rPr>
          <w:rFonts w:hint="eastAsia" w:ascii="宋体" w:hAnsi="宋体" w:eastAsia="宋体" w:cs="宋体"/>
          <w:snapToGrid w:val="0"/>
        </w:rPr>
      </w:pPr>
      <w:bookmarkStart w:id="65" w:name="_Toc22375577"/>
      <w:bookmarkStart w:id="66" w:name="_Toc200513129"/>
      <w:bookmarkStart w:id="67" w:name="_Toc487208652"/>
      <w:bookmarkStart w:id="68" w:name="_Toc406575074"/>
      <w:bookmarkStart w:id="69" w:name="_Toc260740990"/>
      <w:bookmarkStart w:id="70" w:name="_Toc22990019"/>
      <w:bookmarkStart w:id="71" w:name="_Toc492994332"/>
      <w:r>
        <w:rPr>
          <w:rFonts w:hint="eastAsia" w:ascii="宋体" w:hAnsi="宋体" w:eastAsia="宋体" w:cs="宋体"/>
          <w:snapToGrid w:val="0"/>
        </w:rPr>
        <w:t>1.3  比选招标范围、计划工期和质量要求</w:t>
      </w:r>
      <w:bookmarkEnd w:id="65"/>
      <w:bookmarkEnd w:id="66"/>
      <w:bookmarkEnd w:id="67"/>
      <w:bookmarkEnd w:id="68"/>
      <w:bookmarkEnd w:id="69"/>
      <w:bookmarkEnd w:id="70"/>
      <w:bookmarkEnd w:id="71"/>
    </w:p>
    <w:p w14:paraId="25479924">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1.3.1  本次比选招标范围：见比选申请人须知前附表。</w:t>
      </w:r>
    </w:p>
    <w:p w14:paraId="46CAB100">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1.3.2  本项目的计划工期：见比选申请人须知前附表。</w:t>
      </w:r>
    </w:p>
    <w:p w14:paraId="68F52C4E">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1.3.3  本项目的质量要求：见比选申请人须知前附表。</w:t>
      </w:r>
    </w:p>
    <w:p w14:paraId="20B1AE57">
      <w:pPr>
        <w:pStyle w:val="2"/>
        <w:snapToGrid w:val="0"/>
        <w:spacing w:before="0" w:line="360" w:lineRule="auto"/>
        <w:rPr>
          <w:rFonts w:hint="eastAsia" w:ascii="宋体" w:hAnsi="宋体" w:eastAsia="宋体" w:cs="宋体"/>
          <w:snapToGrid w:val="0"/>
          <w:szCs w:val="21"/>
        </w:rPr>
      </w:pPr>
      <w:bookmarkStart w:id="72" w:name="_Toc492994333"/>
      <w:bookmarkStart w:id="73" w:name="_Toc260740991"/>
      <w:bookmarkStart w:id="74" w:name="_Toc200513131"/>
      <w:bookmarkStart w:id="75" w:name="_Toc22990020"/>
      <w:bookmarkStart w:id="76" w:name="_Toc22375578"/>
      <w:bookmarkStart w:id="77" w:name="_Toc406575075"/>
      <w:bookmarkStart w:id="78" w:name="_Toc487208653"/>
      <w:r>
        <w:rPr>
          <w:rFonts w:hint="eastAsia" w:ascii="宋体" w:hAnsi="宋体" w:eastAsia="宋体" w:cs="宋体"/>
          <w:snapToGrid w:val="0"/>
        </w:rPr>
        <w:t>1.4  比选申请人资格要求</w:t>
      </w:r>
      <w:bookmarkEnd w:id="72"/>
      <w:bookmarkEnd w:id="73"/>
      <w:bookmarkEnd w:id="74"/>
      <w:bookmarkEnd w:id="75"/>
      <w:bookmarkEnd w:id="76"/>
      <w:bookmarkEnd w:id="77"/>
      <w:bookmarkEnd w:id="78"/>
    </w:p>
    <w:p w14:paraId="5B79F8B3">
      <w:pPr>
        <w:autoSpaceDE w:val="0"/>
        <w:autoSpaceDN w:val="0"/>
        <w:adjustRightInd w:val="0"/>
        <w:snapToGrid w:val="0"/>
        <w:spacing w:line="360" w:lineRule="auto"/>
        <w:ind w:firstLine="359" w:firstLineChars="171"/>
        <w:jc w:val="left"/>
        <w:rPr>
          <w:rFonts w:hint="eastAsia" w:ascii="宋体" w:hAnsi="宋体" w:cs="宋体"/>
          <w:snapToGrid w:val="0"/>
          <w:kern w:val="0"/>
        </w:rPr>
      </w:pPr>
      <w:bookmarkStart w:id="79" w:name="_Toc200513132"/>
      <w:bookmarkStart w:id="80" w:name="_Toc406575076"/>
      <w:bookmarkStart w:id="81" w:name="_Toc260740992"/>
      <w:bookmarkStart w:id="82" w:name="_Toc492994334"/>
      <w:bookmarkStart w:id="83" w:name="_Toc487208654"/>
      <w:r>
        <w:rPr>
          <w:rFonts w:hint="eastAsia" w:ascii="宋体" w:hAnsi="宋体" w:cs="宋体"/>
          <w:snapToGrid w:val="0"/>
          <w:kern w:val="0"/>
        </w:rPr>
        <w:t>1.4.1 比选申请人应具备承担本标段施工的条件、能力和信誉。</w:t>
      </w:r>
    </w:p>
    <w:p w14:paraId="7146D499">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（1）营业执照：见比选申请人须知前附表；</w:t>
      </w:r>
    </w:p>
    <w:p w14:paraId="4556EF29">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（2）资格条件要求：见比选申请人须知前附表；</w:t>
      </w:r>
    </w:p>
    <w:p w14:paraId="3321E238">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（3）业绩要求：见比选申请人须知前附表；</w:t>
      </w:r>
    </w:p>
    <w:p w14:paraId="35F04E85">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（4）项目经理要求：见比选申请人须知前附表；</w:t>
      </w:r>
    </w:p>
    <w:p w14:paraId="5F01056D">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（5）技术负责人要求：见比选申请人须知前附表；</w:t>
      </w:r>
    </w:p>
    <w:p w14:paraId="453A20E1">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（6）信誉要求：见比选申请人须知前附表；</w:t>
      </w:r>
    </w:p>
    <w:p w14:paraId="620C425C">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（7）其他要求：见比选申请人须知前附表。</w:t>
      </w:r>
    </w:p>
    <w:p w14:paraId="0B5AAF79">
      <w:pPr>
        <w:pStyle w:val="44"/>
        <w:rPr>
          <w:rFonts w:hint="eastAsia" w:ascii="宋体" w:hAnsi="宋体" w:cs="宋体"/>
          <w:snapToGrid w:val="0"/>
          <w:kern w:val="0"/>
          <w:sz w:val="21"/>
        </w:rPr>
      </w:pPr>
      <w:r>
        <w:rPr>
          <w:rFonts w:hint="eastAsia" w:ascii="宋体" w:hAnsi="宋体" w:cs="宋体"/>
          <w:snapToGrid w:val="0"/>
          <w:kern w:val="0"/>
          <w:sz w:val="21"/>
        </w:rPr>
        <w:t>1.4.2  比选申请人须知前附表规定接受联合体投标的，除应符合本章第1.4.1项和比选申请人须知前附表的要求外，还应遵守以下规定：</w:t>
      </w:r>
    </w:p>
    <w:p w14:paraId="310A6596">
      <w:pPr>
        <w:autoSpaceDE w:val="0"/>
        <w:autoSpaceDN w:val="0"/>
        <w:adjustRightInd w:val="0"/>
        <w:snapToGrid w:val="0"/>
        <w:spacing w:line="360" w:lineRule="auto"/>
        <w:ind w:firstLine="359" w:firstLineChars="171"/>
        <w:jc w:val="left"/>
        <w:rPr>
          <w:rFonts w:hint="eastAsia" w:ascii="宋体" w:hAnsi="宋体" w:cs="宋体"/>
          <w:snapToGrid w:val="0"/>
          <w:kern w:val="0"/>
        </w:rPr>
      </w:pPr>
      <w:r>
        <w:rPr>
          <w:rFonts w:hint="eastAsia" w:ascii="宋体" w:hAnsi="宋体" w:cs="宋体"/>
          <w:snapToGrid w:val="0"/>
          <w:kern w:val="0"/>
        </w:rPr>
        <w:t>（1）联合体各方应按比选文件提供的格式签订联合体协议书，明确联合体牵头人和各方权利义务；</w:t>
      </w:r>
    </w:p>
    <w:p w14:paraId="76E800E8">
      <w:pPr>
        <w:autoSpaceDE w:val="0"/>
        <w:autoSpaceDN w:val="0"/>
        <w:adjustRightInd w:val="0"/>
        <w:snapToGrid w:val="0"/>
        <w:spacing w:line="360" w:lineRule="auto"/>
        <w:ind w:firstLine="359" w:firstLineChars="171"/>
        <w:jc w:val="left"/>
        <w:rPr>
          <w:rFonts w:hint="eastAsia" w:ascii="宋体" w:hAnsi="宋体" w:cs="宋体"/>
          <w:snapToGrid w:val="0"/>
          <w:kern w:val="0"/>
        </w:rPr>
      </w:pPr>
      <w:r>
        <w:rPr>
          <w:rFonts w:hint="eastAsia" w:ascii="宋体" w:hAnsi="宋体" w:cs="宋体"/>
          <w:snapToGrid w:val="0"/>
          <w:kern w:val="0"/>
        </w:rPr>
        <w:t>（2）由同一专业的单位组成的联合体，按照资质等级较低的单位确定资质等级；</w:t>
      </w:r>
    </w:p>
    <w:p w14:paraId="3D77C72E">
      <w:pPr>
        <w:autoSpaceDE w:val="0"/>
        <w:autoSpaceDN w:val="0"/>
        <w:adjustRightInd w:val="0"/>
        <w:snapToGrid w:val="0"/>
        <w:spacing w:line="360" w:lineRule="auto"/>
        <w:ind w:firstLine="359" w:firstLineChars="171"/>
        <w:jc w:val="left"/>
        <w:rPr>
          <w:rFonts w:hint="eastAsia" w:ascii="宋体" w:hAnsi="宋体" w:cs="宋体"/>
          <w:snapToGrid w:val="0"/>
          <w:kern w:val="0"/>
        </w:rPr>
      </w:pPr>
      <w:r>
        <w:rPr>
          <w:rFonts w:hint="eastAsia" w:ascii="宋体" w:hAnsi="宋体" w:cs="宋体"/>
          <w:snapToGrid w:val="0"/>
          <w:kern w:val="0"/>
        </w:rPr>
        <w:t>（3）联合体各方不得再以自己名义单独或参加其他联合体在同一标段中投标。</w:t>
      </w:r>
    </w:p>
    <w:p w14:paraId="37211624">
      <w:pPr>
        <w:autoSpaceDE w:val="0"/>
        <w:autoSpaceDN w:val="0"/>
        <w:adjustRightInd w:val="0"/>
        <w:snapToGrid w:val="0"/>
        <w:spacing w:line="360" w:lineRule="auto"/>
        <w:ind w:firstLine="359" w:firstLineChars="171"/>
        <w:jc w:val="left"/>
        <w:rPr>
          <w:rFonts w:hint="eastAsia" w:ascii="宋体" w:hAnsi="宋体" w:cs="宋体"/>
          <w:snapToGrid w:val="0"/>
          <w:kern w:val="0"/>
        </w:rPr>
      </w:pPr>
      <w:r>
        <w:rPr>
          <w:rFonts w:hint="eastAsia" w:ascii="宋体" w:hAnsi="宋体" w:cs="宋体"/>
          <w:snapToGrid w:val="0"/>
          <w:kern w:val="0"/>
        </w:rPr>
        <w:t>1.4.3  比选申请人不得存在下列情形之一：</w:t>
      </w:r>
    </w:p>
    <w:p w14:paraId="0B5B222C">
      <w:pPr>
        <w:autoSpaceDE w:val="0"/>
        <w:autoSpaceDN w:val="0"/>
        <w:adjustRightInd w:val="0"/>
        <w:snapToGrid w:val="0"/>
        <w:spacing w:line="360" w:lineRule="auto"/>
        <w:ind w:firstLine="359" w:firstLineChars="171"/>
        <w:jc w:val="left"/>
        <w:rPr>
          <w:rFonts w:hint="eastAsia" w:ascii="宋体" w:hAnsi="宋体" w:cs="宋体"/>
          <w:snapToGrid w:val="0"/>
          <w:kern w:val="0"/>
        </w:rPr>
      </w:pPr>
      <w:r>
        <w:rPr>
          <w:rFonts w:hint="eastAsia" w:ascii="宋体" w:hAnsi="宋体" w:cs="宋体"/>
          <w:snapToGrid w:val="0"/>
          <w:kern w:val="0"/>
          <w:position w:val="-2"/>
        </w:rPr>
        <w:t>（1）与比选人存在利害关系可能影响比选招标公正性的法人、其他组织或者个人；</w:t>
      </w:r>
    </w:p>
    <w:p w14:paraId="423AA336">
      <w:pPr>
        <w:autoSpaceDE w:val="0"/>
        <w:autoSpaceDN w:val="0"/>
        <w:adjustRightInd w:val="0"/>
        <w:snapToGrid w:val="0"/>
        <w:spacing w:line="360" w:lineRule="auto"/>
        <w:ind w:firstLine="359" w:firstLineChars="171"/>
        <w:jc w:val="left"/>
        <w:rPr>
          <w:rFonts w:hint="eastAsia" w:ascii="宋体" w:hAnsi="宋体" w:cs="宋体"/>
          <w:snapToGrid w:val="0"/>
          <w:kern w:val="0"/>
        </w:rPr>
      </w:pPr>
      <w:r>
        <w:rPr>
          <w:rFonts w:hint="eastAsia" w:ascii="宋体" w:hAnsi="宋体" w:cs="宋体"/>
          <w:snapToGrid w:val="0"/>
          <w:kern w:val="0"/>
        </w:rPr>
        <w:t>（2）为本标段前期准备提供设计或咨询服务的，但设计施工总承包的除外；</w:t>
      </w:r>
    </w:p>
    <w:p w14:paraId="5E94356B">
      <w:pPr>
        <w:autoSpaceDE w:val="0"/>
        <w:autoSpaceDN w:val="0"/>
        <w:adjustRightInd w:val="0"/>
        <w:snapToGrid w:val="0"/>
        <w:spacing w:line="360" w:lineRule="auto"/>
        <w:ind w:firstLine="359" w:firstLineChars="171"/>
        <w:jc w:val="left"/>
        <w:rPr>
          <w:rFonts w:hint="eastAsia" w:ascii="宋体" w:hAnsi="宋体" w:cs="宋体"/>
          <w:snapToGrid w:val="0"/>
          <w:kern w:val="0"/>
        </w:rPr>
      </w:pPr>
      <w:r>
        <w:rPr>
          <w:rFonts w:hint="eastAsia" w:ascii="宋体" w:hAnsi="宋体" w:cs="宋体"/>
          <w:snapToGrid w:val="0"/>
          <w:kern w:val="0"/>
        </w:rPr>
        <w:t>（3）为本标段的监理人；</w:t>
      </w:r>
    </w:p>
    <w:p w14:paraId="76D22BCD">
      <w:pPr>
        <w:autoSpaceDE w:val="0"/>
        <w:autoSpaceDN w:val="0"/>
        <w:adjustRightInd w:val="0"/>
        <w:snapToGrid w:val="0"/>
        <w:spacing w:line="360" w:lineRule="auto"/>
        <w:ind w:firstLine="359" w:firstLineChars="171"/>
        <w:jc w:val="left"/>
        <w:rPr>
          <w:rFonts w:hint="eastAsia" w:ascii="宋体" w:hAnsi="宋体" w:cs="宋体"/>
          <w:snapToGrid w:val="0"/>
          <w:kern w:val="0"/>
        </w:rPr>
      </w:pPr>
      <w:r>
        <w:rPr>
          <w:rFonts w:hint="eastAsia" w:ascii="宋体" w:hAnsi="宋体" w:cs="宋体"/>
          <w:snapToGrid w:val="0"/>
          <w:kern w:val="0"/>
        </w:rPr>
        <w:t>（4）为本标段的代建人；</w:t>
      </w:r>
    </w:p>
    <w:p w14:paraId="77E740D2">
      <w:pPr>
        <w:autoSpaceDE w:val="0"/>
        <w:autoSpaceDN w:val="0"/>
        <w:adjustRightInd w:val="0"/>
        <w:snapToGrid w:val="0"/>
        <w:spacing w:line="360" w:lineRule="auto"/>
        <w:ind w:firstLine="359" w:firstLineChars="171"/>
        <w:jc w:val="left"/>
        <w:rPr>
          <w:rFonts w:hint="eastAsia" w:ascii="宋体" w:hAnsi="宋体" w:cs="宋体"/>
          <w:snapToGrid w:val="0"/>
          <w:kern w:val="0"/>
        </w:rPr>
      </w:pPr>
      <w:r>
        <w:rPr>
          <w:rFonts w:hint="eastAsia" w:ascii="宋体" w:hAnsi="宋体" w:cs="宋体"/>
          <w:snapToGrid w:val="0"/>
          <w:kern w:val="0"/>
        </w:rPr>
        <w:t>（5）为本标段提供比选招标代理服务的；</w:t>
      </w:r>
    </w:p>
    <w:p w14:paraId="7DAEA11C">
      <w:pPr>
        <w:autoSpaceDE w:val="0"/>
        <w:autoSpaceDN w:val="0"/>
        <w:adjustRightInd w:val="0"/>
        <w:snapToGrid w:val="0"/>
        <w:spacing w:line="360" w:lineRule="auto"/>
        <w:ind w:firstLine="359" w:firstLineChars="171"/>
        <w:jc w:val="left"/>
        <w:rPr>
          <w:rFonts w:hint="eastAsia" w:ascii="宋体" w:hAnsi="宋体" w:cs="宋体"/>
          <w:snapToGrid w:val="0"/>
          <w:kern w:val="0"/>
        </w:rPr>
      </w:pPr>
      <w:r>
        <w:rPr>
          <w:rFonts w:hint="eastAsia" w:ascii="宋体" w:hAnsi="宋体" w:cs="宋体"/>
          <w:snapToGrid w:val="0"/>
          <w:kern w:val="0"/>
        </w:rPr>
        <w:t>（6）与本标段的监理人或代建人或比选招标代理机构同为一个法定代表人的；</w:t>
      </w:r>
    </w:p>
    <w:p w14:paraId="2F67B3DF">
      <w:pPr>
        <w:autoSpaceDE w:val="0"/>
        <w:autoSpaceDN w:val="0"/>
        <w:adjustRightInd w:val="0"/>
        <w:snapToGrid w:val="0"/>
        <w:spacing w:line="360" w:lineRule="auto"/>
        <w:ind w:firstLine="359" w:firstLineChars="171"/>
        <w:jc w:val="left"/>
        <w:rPr>
          <w:rFonts w:hint="eastAsia" w:ascii="宋体" w:hAnsi="宋体" w:cs="宋体"/>
          <w:snapToGrid w:val="0"/>
          <w:kern w:val="0"/>
        </w:rPr>
      </w:pPr>
      <w:r>
        <w:rPr>
          <w:rFonts w:hint="eastAsia" w:ascii="宋体" w:hAnsi="宋体" w:cs="宋体"/>
          <w:snapToGrid w:val="0"/>
          <w:kern w:val="0"/>
        </w:rPr>
        <w:t>（7）与本标段的监理人或代建人或比选招标代理机构相互控股或参股的；</w:t>
      </w:r>
    </w:p>
    <w:p w14:paraId="386C3FDD">
      <w:pPr>
        <w:autoSpaceDE w:val="0"/>
        <w:autoSpaceDN w:val="0"/>
        <w:adjustRightInd w:val="0"/>
        <w:snapToGrid w:val="0"/>
        <w:spacing w:line="360" w:lineRule="auto"/>
        <w:ind w:firstLine="359" w:firstLineChars="171"/>
        <w:jc w:val="left"/>
        <w:rPr>
          <w:rFonts w:hint="eastAsia" w:ascii="宋体" w:hAnsi="宋体" w:cs="宋体"/>
          <w:snapToGrid w:val="0"/>
          <w:kern w:val="0"/>
        </w:rPr>
      </w:pPr>
      <w:r>
        <w:rPr>
          <w:rFonts w:hint="eastAsia" w:ascii="宋体" w:hAnsi="宋体" w:cs="宋体"/>
          <w:snapToGrid w:val="0"/>
          <w:kern w:val="0"/>
        </w:rPr>
        <w:t>（8）与本标段的监理人或代建人或比选招标代理机构相互任职或工作的；</w:t>
      </w:r>
    </w:p>
    <w:p w14:paraId="2BDAD090">
      <w:pPr>
        <w:autoSpaceDE w:val="0"/>
        <w:autoSpaceDN w:val="0"/>
        <w:adjustRightInd w:val="0"/>
        <w:snapToGrid w:val="0"/>
        <w:spacing w:line="360" w:lineRule="auto"/>
        <w:ind w:firstLine="359" w:firstLineChars="171"/>
        <w:jc w:val="left"/>
        <w:rPr>
          <w:rFonts w:hint="eastAsia" w:ascii="宋体" w:hAnsi="宋体" w:cs="宋体"/>
          <w:snapToGrid w:val="0"/>
          <w:kern w:val="0"/>
        </w:rPr>
      </w:pPr>
      <w:r>
        <w:rPr>
          <w:rFonts w:hint="eastAsia" w:ascii="宋体" w:hAnsi="宋体" w:cs="宋体"/>
          <w:snapToGrid w:val="0"/>
          <w:kern w:val="0"/>
        </w:rPr>
        <w:t>（9）被责令停业的；</w:t>
      </w:r>
    </w:p>
    <w:p w14:paraId="047FDE89">
      <w:pPr>
        <w:autoSpaceDE w:val="0"/>
        <w:autoSpaceDN w:val="0"/>
        <w:adjustRightInd w:val="0"/>
        <w:snapToGrid w:val="0"/>
        <w:spacing w:line="360" w:lineRule="auto"/>
        <w:ind w:firstLine="359" w:firstLineChars="171"/>
        <w:jc w:val="left"/>
        <w:rPr>
          <w:rFonts w:hint="eastAsia" w:ascii="宋体" w:hAnsi="宋体" w:cs="宋体"/>
          <w:snapToGrid w:val="0"/>
          <w:kern w:val="0"/>
        </w:rPr>
      </w:pPr>
      <w:r>
        <w:rPr>
          <w:rFonts w:hint="eastAsia" w:ascii="宋体" w:hAnsi="宋体" w:cs="宋体"/>
          <w:snapToGrid w:val="0"/>
          <w:kern w:val="0"/>
        </w:rPr>
        <w:t>（10）被暂停或取消投标资格的；</w:t>
      </w:r>
    </w:p>
    <w:p w14:paraId="3888E66B">
      <w:pPr>
        <w:autoSpaceDE w:val="0"/>
        <w:autoSpaceDN w:val="0"/>
        <w:adjustRightInd w:val="0"/>
        <w:snapToGrid w:val="0"/>
        <w:spacing w:line="360" w:lineRule="auto"/>
        <w:ind w:firstLine="359" w:firstLineChars="171"/>
        <w:jc w:val="left"/>
        <w:rPr>
          <w:rFonts w:hint="eastAsia" w:ascii="宋体" w:hAnsi="宋体" w:cs="宋体"/>
          <w:snapToGrid w:val="0"/>
          <w:kern w:val="0"/>
        </w:rPr>
      </w:pPr>
      <w:r>
        <w:rPr>
          <w:rFonts w:hint="eastAsia" w:ascii="宋体" w:hAnsi="宋体" w:cs="宋体"/>
          <w:snapToGrid w:val="0"/>
          <w:kern w:val="0"/>
        </w:rPr>
        <w:t>（11）财产被接管或冻结的；</w:t>
      </w:r>
    </w:p>
    <w:p w14:paraId="76FC56A2">
      <w:pPr>
        <w:pStyle w:val="2"/>
        <w:snapToGrid w:val="0"/>
        <w:spacing w:before="0" w:line="360" w:lineRule="auto"/>
        <w:rPr>
          <w:rFonts w:hint="eastAsia" w:ascii="宋体" w:hAnsi="宋体" w:eastAsia="宋体" w:cs="宋体"/>
          <w:snapToGrid w:val="0"/>
        </w:rPr>
      </w:pPr>
      <w:bookmarkStart w:id="84" w:name="_Toc22990021"/>
      <w:bookmarkStart w:id="85" w:name="_Toc22375579"/>
      <w:r>
        <w:rPr>
          <w:rFonts w:hint="eastAsia" w:ascii="宋体" w:hAnsi="宋体" w:eastAsia="宋体" w:cs="宋体"/>
          <w:snapToGrid w:val="0"/>
        </w:rPr>
        <w:t>1.5  费用承担</w:t>
      </w:r>
      <w:bookmarkEnd w:id="79"/>
      <w:bookmarkEnd w:id="80"/>
      <w:bookmarkEnd w:id="81"/>
      <w:bookmarkEnd w:id="82"/>
      <w:bookmarkEnd w:id="83"/>
      <w:bookmarkEnd w:id="84"/>
      <w:bookmarkEnd w:id="85"/>
    </w:p>
    <w:p w14:paraId="499474CB">
      <w:pPr>
        <w:autoSpaceDE w:val="0"/>
        <w:autoSpaceDN w:val="0"/>
        <w:adjustRightInd w:val="0"/>
        <w:snapToGrid w:val="0"/>
        <w:spacing w:line="360" w:lineRule="auto"/>
        <w:ind w:firstLine="420" w:firstLineChars="200"/>
        <w:jc w:val="left"/>
        <w:rPr>
          <w:rFonts w:hint="eastAsia" w:ascii="宋体" w:hAnsi="宋体" w:cs="宋体"/>
          <w:snapToGrid w:val="0"/>
          <w:kern w:val="0"/>
        </w:rPr>
      </w:pPr>
      <w:r>
        <w:rPr>
          <w:rFonts w:hint="eastAsia" w:ascii="宋体" w:hAnsi="宋体" w:cs="宋体"/>
          <w:snapToGrid w:val="0"/>
          <w:kern w:val="0"/>
        </w:rPr>
        <w:t>不论比选招标投标结果如何，比选申请人应承担其参加本比选投标活动所涉及的一切费用。</w:t>
      </w:r>
    </w:p>
    <w:p w14:paraId="5F5177F8">
      <w:pPr>
        <w:pStyle w:val="2"/>
        <w:snapToGrid w:val="0"/>
        <w:spacing w:before="0" w:line="360" w:lineRule="auto"/>
        <w:rPr>
          <w:rFonts w:hint="eastAsia" w:ascii="宋体" w:hAnsi="宋体" w:eastAsia="宋体" w:cs="宋体"/>
          <w:snapToGrid w:val="0"/>
        </w:rPr>
      </w:pPr>
      <w:bookmarkStart w:id="86" w:name="_Toc22990022"/>
      <w:bookmarkStart w:id="87" w:name="_Toc22375580"/>
      <w:bookmarkStart w:id="88" w:name="_Toc487208655"/>
      <w:bookmarkStart w:id="89" w:name="_Toc492994335"/>
      <w:bookmarkStart w:id="90" w:name="_Toc200513133"/>
      <w:bookmarkStart w:id="91" w:name="_Toc260740993"/>
      <w:bookmarkStart w:id="92" w:name="_Toc406575077"/>
      <w:r>
        <w:rPr>
          <w:rFonts w:hint="eastAsia" w:ascii="宋体" w:hAnsi="宋体" w:eastAsia="宋体" w:cs="宋体"/>
          <w:snapToGrid w:val="0"/>
        </w:rPr>
        <w:t>1.6  保密</w:t>
      </w:r>
      <w:bookmarkEnd w:id="86"/>
      <w:bookmarkEnd w:id="87"/>
      <w:bookmarkEnd w:id="88"/>
      <w:bookmarkEnd w:id="89"/>
      <w:bookmarkEnd w:id="90"/>
      <w:bookmarkEnd w:id="91"/>
      <w:bookmarkEnd w:id="92"/>
    </w:p>
    <w:p w14:paraId="53745855">
      <w:pPr>
        <w:autoSpaceDE w:val="0"/>
        <w:autoSpaceDN w:val="0"/>
        <w:adjustRightInd w:val="0"/>
        <w:snapToGrid w:val="0"/>
        <w:spacing w:line="360" w:lineRule="auto"/>
        <w:ind w:firstLine="420"/>
        <w:jc w:val="left"/>
        <w:rPr>
          <w:rFonts w:hint="eastAsia" w:ascii="宋体" w:hAnsi="宋体" w:cs="宋体"/>
          <w:snapToGrid w:val="0"/>
          <w:kern w:val="0"/>
        </w:rPr>
      </w:pPr>
      <w:r>
        <w:rPr>
          <w:rFonts w:hint="eastAsia" w:ascii="宋体" w:hAnsi="宋体" w:cs="宋体"/>
          <w:snapToGrid w:val="0"/>
          <w:kern w:val="0"/>
        </w:rPr>
        <w:t>参与比选招标投标活动的各方应对比选文件和比选申请文件中的商业和技术等秘密保密，违者应 对由此造成的后果承担法律责任。</w:t>
      </w:r>
    </w:p>
    <w:p w14:paraId="316D9CA8">
      <w:pPr>
        <w:pStyle w:val="2"/>
        <w:snapToGrid w:val="0"/>
        <w:spacing w:before="0" w:line="360" w:lineRule="auto"/>
        <w:rPr>
          <w:rFonts w:hint="eastAsia" w:ascii="宋体" w:hAnsi="宋体" w:eastAsia="宋体" w:cs="宋体"/>
          <w:snapToGrid w:val="0"/>
        </w:rPr>
      </w:pPr>
      <w:bookmarkStart w:id="93" w:name="_Toc22990023"/>
      <w:bookmarkStart w:id="94" w:name="_Toc492994336"/>
      <w:bookmarkStart w:id="95" w:name="_Toc487208656"/>
      <w:bookmarkStart w:id="96" w:name="_Toc260740994"/>
      <w:bookmarkStart w:id="97" w:name="_Toc406575078"/>
      <w:bookmarkStart w:id="98" w:name="_Toc22375581"/>
      <w:bookmarkStart w:id="99" w:name="_Toc200513134"/>
      <w:r>
        <w:rPr>
          <w:rFonts w:hint="eastAsia" w:ascii="宋体" w:hAnsi="宋体" w:eastAsia="宋体" w:cs="宋体"/>
          <w:snapToGrid w:val="0"/>
        </w:rPr>
        <w:t>1.7  语言文字</w:t>
      </w:r>
      <w:bookmarkEnd w:id="93"/>
      <w:bookmarkEnd w:id="94"/>
      <w:bookmarkEnd w:id="95"/>
      <w:bookmarkEnd w:id="96"/>
      <w:bookmarkEnd w:id="97"/>
      <w:bookmarkEnd w:id="98"/>
      <w:bookmarkEnd w:id="99"/>
    </w:p>
    <w:p w14:paraId="551FA276">
      <w:pPr>
        <w:autoSpaceDE w:val="0"/>
        <w:autoSpaceDN w:val="0"/>
        <w:adjustRightInd w:val="0"/>
        <w:snapToGrid w:val="0"/>
        <w:spacing w:line="360" w:lineRule="auto"/>
        <w:ind w:firstLine="420" w:firstLineChars="200"/>
        <w:jc w:val="left"/>
        <w:rPr>
          <w:rFonts w:hint="eastAsia" w:ascii="宋体" w:hAnsi="宋体" w:cs="宋体"/>
          <w:snapToGrid w:val="0"/>
          <w:kern w:val="0"/>
        </w:rPr>
      </w:pPr>
      <w:r>
        <w:rPr>
          <w:rFonts w:hint="eastAsia" w:ascii="宋体" w:hAnsi="宋体" w:cs="宋体"/>
          <w:snapToGrid w:val="0"/>
          <w:kern w:val="0"/>
        </w:rPr>
        <w:t>除专用术语外，与比选招标投标有关的语言均使用中文。必要时专用术语应附有中文注释。</w:t>
      </w:r>
    </w:p>
    <w:p w14:paraId="39A86302">
      <w:pPr>
        <w:pStyle w:val="2"/>
        <w:snapToGrid w:val="0"/>
        <w:spacing w:before="0" w:line="360" w:lineRule="auto"/>
        <w:rPr>
          <w:rFonts w:hint="eastAsia" w:ascii="宋体" w:hAnsi="宋体" w:eastAsia="宋体" w:cs="宋体"/>
          <w:snapToGrid w:val="0"/>
        </w:rPr>
      </w:pPr>
      <w:bookmarkStart w:id="100" w:name="_Toc200513135"/>
      <w:bookmarkStart w:id="101" w:name="_Toc22375582"/>
      <w:bookmarkStart w:id="102" w:name="_Toc406575079"/>
      <w:bookmarkStart w:id="103" w:name="_Toc22990024"/>
      <w:bookmarkStart w:id="104" w:name="_Toc492994337"/>
      <w:bookmarkStart w:id="105" w:name="_Toc487208657"/>
      <w:bookmarkStart w:id="106" w:name="_Toc260740995"/>
      <w:r>
        <w:rPr>
          <w:rFonts w:hint="eastAsia" w:ascii="宋体" w:hAnsi="宋体" w:eastAsia="宋体" w:cs="宋体"/>
          <w:snapToGrid w:val="0"/>
        </w:rPr>
        <w:t>1.8  计量单位</w:t>
      </w:r>
      <w:bookmarkEnd w:id="100"/>
      <w:bookmarkEnd w:id="101"/>
      <w:bookmarkEnd w:id="102"/>
      <w:bookmarkEnd w:id="103"/>
      <w:bookmarkEnd w:id="104"/>
      <w:bookmarkEnd w:id="105"/>
      <w:bookmarkEnd w:id="106"/>
    </w:p>
    <w:p w14:paraId="0BEB0AE9">
      <w:pPr>
        <w:autoSpaceDE w:val="0"/>
        <w:autoSpaceDN w:val="0"/>
        <w:adjustRightInd w:val="0"/>
        <w:snapToGrid w:val="0"/>
        <w:spacing w:line="360" w:lineRule="auto"/>
        <w:ind w:firstLine="424" w:firstLineChars="202"/>
        <w:jc w:val="left"/>
        <w:rPr>
          <w:rFonts w:hint="eastAsia" w:ascii="宋体" w:hAnsi="宋体" w:cs="宋体"/>
          <w:snapToGrid w:val="0"/>
          <w:kern w:val="0"/>
        </w:rPr>
      </w:pPr>
      <w:r>
        <w:rPr>
          <w:rFonts w:hint="eastAsia" w:ascii="宋体" w:hAnsi="宋体" w:cs="宋体"/>
          <w:snapToGrid w:val="0"/>
          <w:kern w:val="0"/>
        </w:rPr>
        <w:t>所有计量均采用中华人民共和国法定计量单位。</w:t>
      </w:r>
    </w:p>
    <w:p w14:paraId="530E558D">
      <w:pPr>
        <w:pStyle w:val="2"/>
        <w:snapToGrid w:val="0"/>
        <w:spacing w:before="0" w:line="360" w:lineRule="auto"/>
        <w:rPr>
          <w:rFonts w:hint="eastAsia" w:ascii="宋体" w:hAnsi="宋体" w:eastAsia="宋体" w:cs="宋体"/>
          <w:snapToGrid w:val="0"/>
        </w:rPr>
      </w:pPr>
      <w:bookmarkStart w:id="107" w:name="_Toc492994338"/>
      <w:bookmarkStart w:id="108" w:name="_Toc406575080"/>
      <w:bookmarkStart w:id="109" w:name="_Toc487208658"/>
      <w:bookmarkStart w:id="110" w:name="_Toc200513136"/>
      <w:bookmarkStart w:id="111" w:name="_Toc22375583"/>
      <w:bookmarkStart w:id="112" w:name="_Toc22990025"/>
      <w:bookmarkStart w:id="113" w:name="_Toc260740996"/>
      <w:r>
        <w:rPr>
          <w:rFonts w:hint="eastAsia" w:ascii="宋体" w:hAnsi="宋体" w:eastAsia="宋体" w:cs="宋体"/>
          <w:snapToGrid w:val="0"/>
        </w:rPr>
        <w:t>1.9  踏勘现场</w:t>
      </w:r>
      <w:bookmarkEnd w:id="107"/>
      <w:bookmarkEnd w:id="108"/>
      <w:bookmarkEnd w:id="109"/>
      <w:bookmarkEnd w:id="110"/>
      <w:bookmarkEnd w:id="111"/>
      <w:bookmarkEnd w:id="112"/>
      <w:bookmarkEnd w:id="113"/>
    </w:p>
    <w:p w14:paraId="67F4D1F2">
      <w:pPr>
        <w:autoSpaceDE w:val="0"/>
        <w:autoSpaceDN w:val="0"/>
        <w:adjustRightInd w:val="0"/>
        <w:snapToGrid w:val="0"/>
        <w:spacing w:line="360" w:lineRule="auto"/>
        <w:ind w:firstLine="420"/>
        <w:jc w:val="left"/>
        <w:rPr>
          <w:rFonts w:hint="eastAsia" w:ascii="宋体" w:hAnsi="宋体" w:cs="宋体"/>
          <w:snapToGrid w:val="0"/>
          <w:kern w:val="0"/>
        </w:rPr>
      </w:pPr>
      <w:r>
        <w:rPr>
          <w:rFonts w:hint="eastAsia" w:ascii="宋体" w:hAnsi="宋体" w:cs="宋体"/>
          <w:snapToGrid w:val="0"/>
          <w:kern w:val="0"/>
        </w:rPr>
        <w:t>1.9.1  比选人不组织，比选申请人必须自行前往施工现场踏勘，并在其资格审查资料中对此作出书面说明，对本合同项目的风险和义务已经十分了解，已充分考虑了现场和环境条件，否则视为不响应比选文件。</w:t>
      </w:r>
    </w:p>
    <w:p w14:paraId="362714F2">
      <w:pPr>
        <w:autoSpaceDE w:val="0"/>
        <w:autoSpaceDN w:val="0"/>
        <w:adjustRightInd w:val="0"/>
        <w:snapToGrid w:val="0"/>
        <w:spacing w:line="360" w:lineRule="auto"/>
        <w:ind w:firstLine="420"/>
        <w:jc w:val="left"/>
        <w:rPr>
          <w:rFonts w:hint="eastAsia" w:ascii="宋体" w:hAnsi="宋体" w:cs="宋体"/>
          <w:snapToGrid w:val="0"/>
          <w:kern w:val="0"/>
        </w:rPr>
      </w:pPr>
      <w:r>
        <w:rPr>
          <w:rFonts w:hint="eastAsia" w:ascii="宋体" w:hAnsi="宋体" w:cs="宋体"/>
          <w:snapToGrid w:val="0"/>
          <w:kern w:val="0"/>
        </w:rPr>
        <w:t>1.9.2  比选申请人踏勘现场发生的费用自理。</w:t>
      </w:r>
    </w:p>
    <w:p w14:paraId="145B4E33">
      <w:pPr>
        <w:autoSpaceDE w:val="0"/>
        <w:autoSpaceDN w:val="0"/>
        <w:adjustRightInd w:val="0"/>
        <w:snapToGrid w:val="0"/>
        <w:spacing w:line="360" w:lineRule="auto"/>
        <w:ind w:firstLine="420"/>
        <w:jc w:val="left"/>
        <w:rPr>
          <w:rFonts w:hint="eastAsia" w:ascii="宋体" w:hAnsi="宋体" w:cs="宋体"/>
          <w:snapToGrid w:val="0"/>
          <w:kern w:val="0"/>
        </w:rPr>
      </w:pPr>
      <w:r>
        <w:rPr>
          <w:rFonts w:hint="eastAsia" w:ascii="宋体" w:hAnsi="宋体" w:cs="宋体"/>
          <w:snapToGrid w:val="0"/>
          <w:kern w:val="0"/>
        </w:rPr>
        <w:t>1.9.3  除比选人的原因外，比选申请人自行负责在踏勘现场中所发生的人员伤亡和财产损失。</w:t>
      </w:r>
    </w:p>
    <w:p w14:paraId="0DD3BC8B">
      <w:pPr>
        <w:autoSpaceDE w:val="0"/>
        <w:autoSpaceDN w:val="0"/>
        <w:adjustRightInd w:val="0"/>
        <w:snapToGrid w:val="0"/>
        <w:spacing w:line="360" w:lineRule="auto"/>
        <w:ind w:firstLine="420"/>
        <w:jc w:val="left"/>
        <w:rPr>
          <w:rFonts w:hint="eastAsia" w:ascii="宋体" w:hAnsi="宋体" w:cs="宋体"/>
          <w:snapToGrid w:val="0"/>
          <w:kern w:val="0"/>
        </w:rPr>
      </w:pPr>
      <w:r>
        <w:rPr>
          <w:rFonts w:hint="eastAsia" w:ascii="宋体" w:hAnsi="宋体" w:cs="宋体"/>
          <w:snapToGrid w:val="0"/>
          <w:kern w:val="0"/>
        </w:rPr>
        <w:t>1.9.4  比选人在踏勘现场中介绍的工程场地和相关的周边环境情况，供比选申请人在编制比选申请文件时参考，比选人不对比选申请人据此做出的判断和决策负责。</w:t>
      </w:r>
    </w:p>
    <w:p w14:paraId="0EF4D4F3">
      <w:pPr>
        <w:pStyle w:val="2"/>
        <w:snapToGrid w:val="0"/>
        <w:spacing w:before="0" w:line="360" w:lineRule="auto"/>
        <w:rPr>
          <w:rFonts w:hint="eastAsia" w:ascii="宋体" w:hAnsi="宋体" w:eastAsia="宋体" w:cs="宋体"/>
          <w:snapToGrid w:val="0"/>
        </w:rPr>
      </w:pPr>
      <w:bookmarkStart w:id="114" w:name="_Toc200513137"/>
      <w:bookmarkStart w:id="115" w:name="_Toc492994339"/>
      <w:bookmarkStart w:id="116" w:name="_Toc406575081"/>
      <w:bookmarkStart w:id="117" w:name="_Toc22990026"/>
      <w:bookmarkStart w:id="118" w:name="_Toc487208659"/>
      <w:bookmarkStart w:id="119" w:name="_Toc22375584"/>
      <w:bookmarkStart w:id="120" w:name="_Toc260740997"/>
      <w:r>
        <w:rPr>
          <w:rFonts w:hint="eastAsia" w:ascii="宋体" w:hAnsi="宋体" w:eastAsia="宋体" w:cs="宋体"/>
          <w:snapToGrid w:val="0"/>
        </w:rPr>
        <w:t>1.10  比选投标预备会</w:t>
      </w:r>
      <w:bookmarkEnd w:id="114"/>
      <w:bookmarkEnd w:id="115"/>
      <w:bookmarkEnd w:id="116"/>
      <w:bookmarkEnd w:id="117"/>
      <w:bookmarkEnd w:id="118"/>
      <w:bookmarkEnd w:id="119"/>
      <w:bookmarkEnd w:id="120"/>
    </w:p>
    <w:p w14:paraId="619A2772">
      <w:pPr>
        <w:autoSpaceDE w:val="0"/>
        <w:autoSpaceDN w:val="0"/>
        <w:adjustRightInd w:val="0"/>
        <w:snapToGrid w:val="0"/>
        <w:spacing w:line="360" w:lineRule="auto"/>
        <w:ind w:firstLine="420"/>
        <w:jc w:val="left"/>
        <w:rPr>
          <w:rFonts w:hint="eastAsia" w:ascii="宋体" w:hAnsi="宋体" w:cs="宋体"/>
          <w:snapToGrid w:val="0"/>
          <w:kern w:val="0"/>
        </w:rPr>
      </w:pPr>
      <w:bookmarkStart w:id="121" w:name="_Toc406575082"/>
      <w:bookmarkStart w:id="122" w:name="_Toc260740998"/>
      <w:bookmarkStart w:id="123" w:name="_Toc487208660"/>
      <w:bookmarkStart w:id="124" w:name="_Toc200513138"/>
      <w:bookmarkStart w:id="125" w:name="_Toc492994340"/>
      <w:r>
        <w:rPr>
          <w:rFonts w:hint="eastAsia" w:ascii="宋体" w:hAnsi="宋体" w:cs="宋体"/>
          <w:snapToGrid w:val="0"/>
          <w:kern w:val="0"/>
        </w:rPr>
        <w:t>1.10.1  比选申请人须知前附表规定召开比选投标预备会的，比选人按比选申请人须知前附表规定的时间和地点召开比选投标预备会，澄清比选申请人提出的问题。</w:t>
      </w:r>
    </w:p>
    <w:p w14:paraId="71E830F4">
      <w:pPr>
        <w:autoSpaceDE w:val="0"/>
        <w:autoSpaceDN w:val="0"/>
        <w:adjustRightInd w:val="0"/>
        <w:snapToGrid w:val="0"/>
        <w:spacing w:line="360" w:lineRule="auto"/>
        <w:ind w:firstLine="420"/>
        <w:jc w:val="left"/>
        <w:rPr>
          <w:rFonts w:hint="eastAsia" w:ascii="宋体" w:hAnsi="宋体" w:cs="宋体"/>
          <w:snapToGrid w:val="0"/>
          <w:kern w:val="0"/>
        </w:rPr>
      </w:pPr>
      <w:r>
        <w:rPr>
          <w:rFonts w:hint="eastAsia" w:ascii="宋体" w:hAnsi="宋体" w:cs="宋体"/>
          <w:snapToGrid w:val="0"/>
          <w:kern w:val="0"/>
        </w:rPr>
        <w:t>1.10.2  比选申请人应在比选申请人须知前附表规定的时间前，以书面形式将提出的问题送达比选人，以便比选人在会议期间澄清。</w:t>
      </w:r>
    </w:p>
    <w:p w14:paraId="73AAFA19">
      <w:pPr>
        <w:autoSpaceDE w:val="0"/>
        <w:autoSpaceDN w:val="0"/>
        <w:adjustRightInd w:val="0"/>
        <w:snapToGrid w:val="0"/>
        <w:spacing w:line="360" w:lineRule="auto"/>
        <w:ind w:firstLine="424" w:firstLineChars="202"/>
        <w:jc w:val="left"/>
        <w:rPr>
          <w:rFonts w:hint="eastAsia" w:ascii="宋体" w:hAnsi="宋体" w:cs="宋体"/>
          <w:snapToGrid w:val="0"/>
          <w:kern w:val="0"/>
        </w:rPr>
      </w:pPr>
      <w:r>
        <w:rPr>
          <w:rFonts w:hint="eastAsia" w:ascii="宋体" w:hAnsi="宋体" w:cs="宋体"/>
          <w:snapToGrid w:val="0"/>
          <w:kern w:val="0"/>
        </w:rPr>
        <w:t>1.10.3  比选投标预备会后，比选人在比选申请人须知前附表规定的时间内，将对比选申请人所提问题</w:t>
      </w:r>
      <w:r>
        <w:rPr>
          <w:rFonts w:hint="eastAsia" w:ascii="宋体" w:hAnsi="宋体" w:cs="宋体"/>
          <w:snapToGrid w:val="0"/>
          <w:kern w:val="0"/>
          <w:position w:val="-2"/>
        </w:rPr>
        <w:t>的澄清，以书面方式通知所有购买比选文件的比选申请人。该澄清内容为比选文件的组成部分。</w:t>
      </w:r>
    </w:p>
    <w:p w14:paraId="01497BDC">
      <w:pPr>
        <w:pStyle w:val="2"/>
        <w:snapToGrid w:val="0"/>
        <w:spacing w:before="0" w:line="360" w:lineRule="auto"/>
        <w:rPr>
          <w:rFonts w:hint="eastAsia" w:ascii="宋体" w:hAnsi="宋体" w:eastAsia="宋体" w:cs="宋体"/>
          <w:snapToGrid w:val="0"/>
        </w:rPr>
      </w:pPr>
      <w:bookmarkStart w:id="126" w:name="_Toc22375585"/>
      <w:bookmarkStart w:id="127" w:name="_Toc22990027"/>
      <w:r>
        <w:rPr>
          <w:rFonts w:hint="eastAsia" w:ascii="宋体" w:hAnsi="宋体" w:eastAsia="宋体" w:cs="宋体"/>
          <w:snapToGrid w:val="0"/>
        </w:rPr>
        <w:t>1.11  分包</w:t>
      </w:r>
      <w:bookmarkEnd w:id="121"/>
      <w:bookmarkEnd w:id="122"/>
      <w:bookmarkEnd w:id="123"/>
      <w:bookmarkEnd w:id="124"/>
      <w:bookmarkEnd w:id="125"/>
      <w:bookmarkEnd w:id="126"/>
      <w:bookmarkEnd w:id="127"/>
    </w:p>
    <w:p w14:paraId="7B215440">
      <w:pPr>
        <w:autoSpaceDE w:val="0"/>
        <w:autoSpaceDN w:val="0"/>
        <w:adjustRightInd w:val="0"/>
        <w:snapToGrid w:val="0"/>
        <w:spacing w:line="360" w:lineRule="auto"/>
        <w:ind w:left="359" w:leftChars="171"/>
        <w:jc w:val="left"/>
        <w:rPr>
          <w:rFonts w:hint="eastAsia" w:ascii="宋体" w:hAnsi="宋体" w:cs="宋体"/>
          <w:snapToGrid w:val="0"/>
          <w:kern w:val="0"/>
        </w:rPr>
      </w:pPr>
      <w:bookmarkStart w:id="128" w:name="_Toc487208661"/>
      <w:bookmarkStart w:id="129" w:name="_Toc200513139"/>
      <w:bookmarkStart w:id="130" w:name="_Toc406575083"/>
      <w:bookmarkStart w:id="131" w:name="_Toc260740999"/>
      <w:bookmarkStart w:id="132" w:name="_Toc492994341"/>
      <w:r>
        <w:rPr>
          <w:rFonts w:hint="eastAsia" w:ascii="宋体" w:hAnsi="宋体" w:cs="宋体"/>
          <w:snapToGrid w:val="0"/>
          <w:kern w:val="0"/>
        </w:rPr>
        <w:t>本工程不允许分包。</w:t>
      </w:r>
    </w:p>
    <w:p w14:paraId="48AA1755">
      <w:pPr>
        <w:pStyle w:val="2"/>
        <w:snapToGrid w:val="0"/>
        <w:spacing w:before="0" w:line="360" w:lineRule="auto"/>
        <w:rPr>
          <w:rFonts w:hint="eastAsia" w:ascii="宋体" w:hAnsi="宋体" w:eastAsia="宋体" w:cs="宋体"/>
          <w:snapToGrid w:val="0"/>
        </w:rPr>
      </w:pPr>
      <w:bookmarkStart w:id="133" w:name="_Toc22375586"/>
      <w:bookmarkStart w:id="134" w:name="_Toc22990028"/>
      <w:r>
        <w:rPr>
          <w:rFonts w:hint="eastAsia" w:ascii="宋体" w:hAnsi="宋体" w:eastAsia="宋体" w:cs="宋体"/>
          <w:snapToGrid w:val="0"/>
        </w:rPr>
        <w:t>1.12  偏离</w:t>
      </w:r>
      <w:bookmarkEnd w:id="128"/>
      <w:bookmarkEnd w:id="129"/>
      <w:bookmarkEnd w:id="130"/>
      <w:bookmarkEnd w:id="131"/>
      <w:bookmarkEnd w:id="132"/>
      <w:bookmarkEnd w:id="133"/>
      <w:bookmarkEnd w:id="134"/>
    </w:p>
    <w:p w14:paraId="404DF577">
      <w:pPr>
        <w:autoSpaceDE w:val="0"/>
        <w:autoSpaceDN w:val="0"/>
        <w:adjustRightInd w:val="0"/>
        <w:snapToGrid w:val="0"/>
        <w:spacing w:line="360" w:lineRule="auto"/>
        <w:ind w:firstLine="420" w:firstLineChars="200"/>
        <w:jc w:val="left"/>
        <w:rPr>
          <w:rFonts w:hint="eastAsia" w:ascii="宋体" w:hAnsi="宋体" w:cs="宋体"/>
          <w:snapToGrid w:val="0"/>
          <w:kern w:val="0"/>
        </w:rPr>
      </w:pPr>
      <w:r>
        <w:rPr>
          <w:rFonts w:hint="eastAsia" w:ascii="宋体" w:hAnsi="宋体" w:cs="宋体"/>
          <w:snapToGrid w:val="0"/>
          <w:kern w:val="0"/>
        </w:rPr>
        <w:t>比选申请人须知前附表允许比选申请文件偏离比选文件某些要求的，偏离应当符合比选文件规定 的偏离范围和幅度。</w:t>
      </w:r>
    </w:p>
    <w:p w14:paraId="09CEAB0E">
      <w:pPr>
        <w:pStyle w:val="2"/>
        <w:snapToGrid w:val="0"/>
        <w:spacing w:before="0" w:line="360" w:lineRule="auto"/>
        <w:rPr>
          <w:rFonts w:hint="eastAsia" w:ascii="宋体" w:hAnsi="宋体" w:eastAsia="宋体" w:cs="宋体"/>
          <w:snapToGrid w:val="0"/>
        </w:rPr>
      </w:pPr>
      <w:bookmarkStart w:id="135" w:name="_Toc22375587"/>
      <w:bookmarkStart w:id="136" w:name="_Toc22990029"/>
      <w:bookmarkStart w:id="137" w:name="_Toc406575084"/>
      <w:bookmarkStart w:id="138" w:name="_Toc492994342"/>
      <w:bookmarkStart w:id="139" w:name="_Toc487208662"/>
      <w:bookmarkStart w:id="140" w:name="_Toc200513140"/>
      <w:r>
        <w:rPr>
          <w:rFonts w:hint="eastAsia" w:ascii="宋体" w:hAnsi="宋体" w:eastAsia="宋体" w:cs="宋体"/>
          <w:snapToGrid w:val="0"/>
        </w:rPr>
        <w:t>2.  比选文件</w:t>
      </w:r>
      <w:bookmarkEnd w:id="135"/>
      <w:bookmarkEnd w:id="136"/>
      <w:bookmarkEnd w:id="137"/>
      <w:bookmarkEnd w:id="138"/>
      <w:bookmarkEnd w:id="139"/>
      <w:bookmarkEnd w:id="140"/>
    </w:p>
    <w:p w14:paraId="5884DCE0">
      <w:pPr>
        <w:pStyle w:val="2"/>
        <w:snapToGrid w:val="0"/>
        <w:spacing w:before="0" w:line="360" w:lineRule="auto"/>
        <w:rPr>
          <w:rFonts w:hint="eastAsia" w:ascii="宋体" w:hAnsi="宋体" w:eastAsia="宋体" w:cs="宋体"/>
          <w:snapToGrid w:val="0"/>
        </w:rPr>
      </w:pPr>
      <w:bookmarkStart w:id="141" w:name="_Toc200513141"/>
      <w:bookmarkStart w:id="142" w:name="_Toc406575085"/>
      <w:bookmarkStart w:id="143" w:name="_Toc487208663"/>
      <w:bookmarkStart w:id="144" w:name="_Toc22990030"/>
      <w:bookmarkStart w:id="145" w:name="_Toc22375588"/>
      <w:bookmarkStart w:id="146" w:name="_Toc260741001"/>
      <w:bookmarkStart w:id="147" w:name="_Toc492994343"/>
      <w:r>
        <w:rPr>
          <w:rFonts w:hint="eastAsia" w:ascii="宋体" w:hAnsi="宋体" w:eastAsia="宋体" w:cs="宋体"/>
          <w:snapToGrid w:val="0"/>
        </w:rPr>
        <w:t>2.1  比选文件的组成</w:t>
      </w:r>
      <w:bookmarkEnd w:id="141"/>
      <w:bookmarkEnd w:id="142"/>
      <w:bookmarkEnd w:id="143"/>
      <w:bookmarkEnd w:id="144"/>
      <w:bookmarkEnd w:id="145"/>
      <w:bookmarkEnd w:id="146"/>
      <w:bookmarkEnd w:id="147"/>
    </w:p>
    <w:p w14:paraId="7C1A5E54">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本比选文件包括：</w:t>
      </w:r>
    </w:p>
    <w:p w14:paraId="1AA1BE5E">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（1）竞争性比选邀请书；</w:t>
      </w:r>
    </w:p>
    <w:p w14:paraId="4A10EDBF">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（2）比选申请人须知；</w:t>
      </w:r>
    </w:p>
    <w:p w14:paraId="067D8AD0">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（3）评标办法；</w:t>
      </w:r>
    </w:p>
    <w:p w14:paraId="1942F98C">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（4）合同条款及格式；</w:t>
      </w:r>
    </w:p>
    <w:p w14:paraId="396C3B3D">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（5）工程量清单（如果有）；</w:t>
      </w:r>
    </w:p>
    <w:p w14:paraId="082962AA">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（6）图纸（如果有）；</w:t>
      </w:r>
    </w:p>
    <w:p w14:paraId="36BABC85">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（7）技术标准和要求（如果有）；</w:t>
      </w:r>
    </w:p>
    <w:p w14:paraId="34DF0CF7">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（8）比选申请文件格式；</w:t>
      </w:r>
    </w:p>
    <w:p w14:paraId="6C01209E">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（9）比选申请人须知前附表规定的其他材料。</w:t>
      </w:r>
    </w:p>
    <w:p w14:paraId="024D32C8">
      <w:pPr>
        <w:autoSpaceDE w:val="0"/>
        <w:autoSpaceDN w:val="0"/>
        <w:adjustRightInd w:val="0"/>
        <w:snapToGrid w:val="0"/>
        <w:spacing w:line="360" w:lineRule="auto"/>
        <w:ind w:firstLine="420"/>
        <w:jc w:val="left"/>
        <w:rPr>
          <w:rFonts w:hint="eastAsia" w:ascii="宋体" w:hAnsi="宋体" w:cs="宋体"/>
          <w:snapToGrid w:val="0"/>
        </w:rPr>
      </w:pPr>
      <w:r>
        <w:rPr>
          <w:rFonts w:hint="eastAsia" w:ascii="宋体" w:hAnsi="宋体" w:cs="宋体"/>
          <w:snapToGrid w:val="0"/>
          <w:kern w:val="0"/>
        </w:rPr>
        <w:t>根据本章对比选文件所作的澄清、修改，构成比选文件的组成部分。</w:t>
      </w:r>
    </w:p>
    <w:p w14:paraId="66A1CCFD">
      <w:pPr>
        <w:pStyle w:val="2"/>
        <w:snapToGrid w:val="0"/>
        <w:spacing w:before="0" w:line="360" w:lineRule="auto"/>
        <w:rPr>
          <w:rFonts w:hint="eastAsia" w:ascii="宋体" w:hAnsi="宋体" w:eastAsia="宋体" w:cs="宋体"/>
          <w:snapToGrid w:val="0"/>
        </w:rPr>
      </w:pPr>
      <w:bookmarkStart w:id="148" w:name="_Toc487208664"/>
      <w:bookmarkStart w:id="149" w:name="_Toc492994344"/>
      <w:bookmarkStart w:id="150" w:name="_Toc292875782"/>
      <w:bookmarkStart w:id="151" w:name="_Toc406575086"/>
      <w:bookmarkStart w:id="152" w:name="_Toc22990031"/>
      <w:bookmarkStart w:id="153" w:name="_Toc22375589"/>
      <w:r>
        <w:rPr>
          <w:rFonts w:hint="eastAsia" w:ascii="宋体" w:hAnsi="宋体" w:eastAsia="宋体" w:cs="宋体"/>
          <w:snapToGrid w:val="0"/>
        </w:rPr>
        <w:t>2.2  比选文件的澄清</w:t>
      </w:r>
      <w:bookmarkEnd w:id="148"/>
      <w:bookmarkEnd w:id="149"/>
      <w:bookmarkEnd w:id="150"/>
      <w:bookmarkEnd w:id="151"/>
      <w:bookmarkEnd w:id="152"/>
      <w:bookmarkEnd w:id="153"/>
    </w:p>
    <w:p w14:paraId="6841F7CD">
      <w:pPr>
        <w:spacing w:line="360" w:lineRule="auto"/>
        <w:ind w:firstLine="420" w:firstLineChars="200"/>
        <w:rPr>
          <w:rFonts w:hint="eastAsia" w:ascii="宋体" w:hAnsi="宋体" w:cs="宋体"/>
        </w:rPr>
      </w:pPr>
      <w:bookmarkStart w:id="154" w:name="_Toc200513144"/>
      <w:bookmarkStart w:id="155" w:name="_Toc406575088"/>
      <w:r>
        <w:rPr>
          <w:rFonts w:hint="eastAsia" w:ascii="宋体" w:hAnsi="宋体" w:cs="宋体"/>
          <w:snapToGrid w:val="0"/>
        </w:rPr>
        <w:t>参照比选申请人须知前附表相关条款执行。</w:t>
      </w:r>
    </w:p>
    <w:p w14:paraId="45CC67E9">
      <w:pPr>
        <w:pStyle w:val="2"/>
        <w:snapToGrid w:val="0"/>
        <w:spacing w:before="0" w:line="360" w:lineRule="auto"/>
        <w:rPr>
          <w:rFonts w:hint="eastAsia" w:ascii="宋体" w:hAnsi="宋体" w:eastAsia="宋体" w:cs="宋体"/>
          <w:snapToGrid w:val="0"/>
        </w:rPr>
      </w:pPr>
      <w:bookmarkStart w:id="156" w:name="_Toc224103334"/>
      <w:bookmarkStart w:id="157" w:name="_Toc287607763"/>
      <w:bookmarkStart w:id="158" w:name="_Toc277082569"/>
      <w:bookmarkStart w:id="159" w:name="_Toc200513143"/>
      <w:bookmarkStart w:id="160" w:name="_Toc415675146"/>
      <w:bookmarkStart w:id="161" w:name="_Toc426901932"/>
      <w:bookmarkStart w:id="162" w:name="_Toc487208665"/>
      <w:bookmarkStart w:id="163" w:name="_Toc492994345"/>
      <w:bookmarkStart w:id="164" w:name="_Toc415675668"/>
      <w:bookmarkStart w:id="165" w:name="_Toc426914066"/>
      <w:bookmarkStart w:id="166" w:name="_Toc426903639"/>
      <w:bookmarkStart w:id="167" w:name="_Toc415675942"/>
      <w:bookmarkStart w:id="168" w:name="_Toc426914958"/>
      <w:bookmarkStart w:id="169" w:name="_Toc426916206"/>
      <w:bookmarkStart w:id="170" w:name="_Toc22375590"/>
      <w:bookmarkStart w:id="171" w:name="_Toc22990032"/>
      <w:r>
        <w:rPr>
          <w:rFonts w:hint="eastAsia" w:ascii="宋体" w:hAnsi="宋体" w:eastAsia="宋体" w:cs="宋体"/>
          <w:snapToGrid w:val="0"/>
        </w:rPr>
        <w:t>2.3</w:t>
      </w:r>
      <w:bookmarkEnd w:id="156"/>
      <w:bookmarkEnd w:id="157"/>
      <w:bookmarkEnd w:id="158"/>
      <w:bookmarkEnd w:id="159"/>
      <w:r>
        <w:rPr>
          <w:rFonts w:hint="eastAsia" w:ascii="宋体" w:hAnsi="宋体" w:eastAsia="宋体" w:cs="宋体"/>
          <w:snapToGrid w:val="0"/>
        </w:rPr>
        <w:t xml:space="preserve"> </w:t>
      </w:r>
      <w:bookmarkEnd w:id="160"/>
      <w:bookmarkEnd w:id="161"/>
      <w:bookmarkEnd w:id="162"/>
      <w:bookmarkEnd w:id="163"/>
      <w:bookmarkEnd w:id="164"/>
      <w:bookmarkEnd w:id="165"/>
      <w:bookmarkEnd w:id="166"/>
      <w:bookmarkEnd w:id="167"/>
      <w:bookmarkEnd w:id="168"/>
      <w:bookmarkEnd w:id="169"/>
      <w:r>
        <w:rPr>
          <w:rFonts w:hint="eastAsia" w:ascii="宋体" w:hAnsi="宋体" w:eastAsia="宋体" w:cs="宋体"/>
          <w:snapToGrid w:val="0"/>
        </w:rPr>
        <w:t>比选申请文件递交截止时间</w:t>
      </w:r>
      <w:bookmarkEnd w:id="170"/>
      <w:bookmarkEnd w:id="171"/>
    </w:p>
    <w:p w14:paraId="4DBB39D3">
      <w:pPr>
        <w:spacing w:line="360" w:lineRule="auto"/>
        <w:ind w:firstLine="420" w:firstLineChars="200"/>
        <w:rPr>
          <w:rFonts w:hint="eastAsia" w:ascii="宋体" w:hAnsi="宋体" w:cs="宋体"/>
        </w:rPr>
      </w:pPr>
      <w:bookmarkStart w:id="172" w:name="_Toc426903640"/>
      <w:r>
        <w:rPr>
          <w:rFonts w:hint="eastAsia" w:ascii="宋体" w:hAnsi="宋体" w:cs="宋体"/>
        </w:rPr>
        <w:t>自比选文件发出之日起至比选申请人须知前附表规定的提交比选申请文件截止时间。</w:t>
      </w:r>
      <w:bookmarkEnd w:id="172"/>
    </w:p>
    <w:p w14:paraId="22A627E0">
      <w:pPr>
        <w:pStyle w:val="2"/>
        <w:snapToGrid w:val="0"/>
        <w:spacing w:before="0" w:line="360" w:lineRule="auto"/>
        <w:rPr>
          <w:rFonts w:hint="eastAsia" w:ascii="宋体" w:hAnsi="宋体" w:eastAsia="宋体" w:cs="宋体"/>
          <w:snapToGrid w:val="0"/>
        </w:rPr>
      </w:pPr>
      <w:bookmarkStart w:id="173" w:name="_Toc492994346"/>
      <w:bookmarkStart w:id="174" w:name="_Toc487208666"/>
      <w:bookmarkStart w:id="175" w:name="_Toc22990033"/>
      <w:bookmarkStart w:id="176" w:name="_Toc22375591"/>
      <w:r>
        <w:rPr>
          <w:rFonts w:hint="eastAsia" w:ascii="宋体" w:hAnsi="宋体" w:eastAsia="宋体" w:cs="宋体"/>
          <w:snapToGrid w:val="0"/>
        </w:rPr>
        <w:t xml:space="preserve">3.  </w:t>
      </w:r>
      <w:bookmarkEnd w:id="154"/>
      <w:bookmarkEnd w:id="155"/>
      <w:bookmarkEnd w:id="173"/>
      <w:bookmarkEnd w:id="174"/>
      <w:r>
        <w:rPr>
          <w:rFonts w:hint="eastAsia" w:ascii="宋体" w:hAnsi="宋体" w:eastAsia="宋体" w:cs="宋体"/>
          <w:snapToGrid w:val="0"/>
        </w:rPr>
        <w:t>比选申请文件</w:t>
      </w:r>
      <w:bookmarkEnd w:id="175"/>
      <w:bookmarkEnd w:id="176"/>
    </w:p>
    <w:p w14:paraId="5B547625">
      <w:pPr>
        <w:pStyle w:val="2"/>
        <w:snapToGrid w:val="0"/>
        <w:spacing w:before="0" w:line="360" w:lineRule="auto"/>
        <w:rPr>
          <w:rFonts w:hint="eastAsia" w:ascii="宋体" w:hAnsi="宋体" w:eastAsia="宋体" w:cs="宋体"/>
          <w:snapToGrid w:val="0"/>
        </w:rPr>
      </w:pPr>
      <w:bookmarkStart w:id="177" w:name="_Toc200513145"/>
      <w:bookmarkStart w:id="178" w:name="_Toc22990034"/>
      <w:bookmarkStart w:id="179" w:name="_Toc492994347"/>
      <w:bookmarkStart w:id="180" w:name="_Toc260741005"/>
      <w:bookmarkStart w:id="181" w:name="_Toc406575089"/>
      <w:bookmarkStart w:id="182" w:name="_Toc22375592"/>
      <w:bookmarkStart w:id="183" w:name="_Toc487208667"/>
      <w:r>
        <w:rPr>
          <w:rFonts w:hint="eastAsia" w:ascii="宋体" w:hAnsi="宋体" w:eastAsia="宋体" w:cs="宋体"/>
          <w:snapToGrid w:val="0"/>
        </w:rPr>
        <w:t>3.1  比选申请文件的组成</w:t>
      </w:r>
      <w:bookmarkEnd w:id="177"/>
      <w:bookmarkEnd w:id="178"/>
      <w:bookmarkEnd w:id="179"/>
      <w:bookmarkEnd w:id="180"/>
      <w:bookmarkEnd w:id="181"/>
      <w:bookmarkEnd w:id="182"/>
      <w:bookmarkEnd w:id="183"/>
    </w:p>
    <w:p w14:paraId="52454501">
      <w:pPr>
        <w:autoSpaceDE w:val="0"/>
        <w:autoSpaceDN w:val="0"/>
        <w:adjustRightInd w:val="0"/>
        <w:snapToGrid w:val="0"/>
        <w:spacing w:line="360" w:lineRule="auto"/>
        <w:ind w:firstLine="420" w:firstLineChars="200"/>
        <w:jc w:val="left"/>
        <w:rPr>
          <w:rFonts w:hint="eastAsia" w:ascii="宋体" w:hAnsi="宋体" w:cs="宋体"/>
          <w:snapToGrid w:val="0"/>
          <w:kern w:val="0"/>
        </w:rPr>
      </w:pPr>
      <w:bookmarkStart w:id="184" w:name="_Toc406575090"/>
      <w:bookmarkStart w:id="185" w:name="_Toc260741006"/>
      <w:bookmarkStart w:id="186" w:name="_Toc200513146"/>
      <w:r>
        <w:rPr>
          <w:rFonts w:hint="eastAsia" w:ascii="宋体" w:hAnsi="宋体" w:cs="宋体"/>
          <w:snapToGrid w:val="0"/>
          <w:kern w:val="0"/>
        </w:rPr>
        <w:t>3.1.1 比选申请文件应包括下列内容：</w:t>
      </w:r>
    </w:p>
    <w:p w14:paraId="46750FDB">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（1）比选比选申请人比选申请文件部分</w:t>
      </w:r>
    </w:p>
    <w:p w14:paraId="13EE0BE5">
      <w:pPr>
        <w:autoSpaceDE w:val="0"/>
        <w:autoSpaceDN w:val="0"/>
        <w:adjustRightInd w:val="0"/>
        <w:snapToGrid w:val="0"/>
        <w:spacing w:line="360" w:lineRule="auto"/>
        <w:ind w:firstLine="420" w:firstLineChars="200"/>
        <w:jc w:val="left"/>
        <w:rPr>
          <w:rFonts w:hint="eastAsia" w:ascii="宋体" w:hAnsi="宋体" w:cs="宋体"/>
          <w:snapToGrid w:val="0"/>
          <w:kern w:val="0"/>
        </w:rPr>
      </w:pPr>
      <w:r>
        <w:rPr>
          <w:rFonts w:hint="eastAsia" w:ascii="宋体" w:hAnsi="宋体" w:cs="宋体"/>
          <w:snapToGrid w:val="0"/>
          <w:kern w:val="0"/>
        </w:rPr>
        <w:t>3.1.2  比选申请人须知前附表规定不接受联合体投标的，或比选申请人没有组成联合体的，比选申请文件不包括本章所指的联合体协议书。</w:t>
      </w:r>
    </w:p>
    <w:p w14:paraId="2E4B00AC">
      <w:pPr>
        <w:pStyle w:val="2"/>
        <w:snapToGrid w:val="0"/>
        <w:spacing w:before="0" w:line="360" w:lineRule="auto"/>
        <w:rPr>
          <w:rFonts w:hint="eastAsia" w:ascii="宋体" w:hAnsi="宋体" w:eastAsia="宋体" w:cs="宋体"/>
          <w:snapToGrid w:val="0"/>
        </w:rPr>
      </w:pPr>
      <w:bookmarkStart w:id="187" w:name="_Toc22990035"/>
      <w:bookmarkStart w:id="188" w:name="_Toc492994348"/>
      <w:bookmarkStart w:id="189" w:name="_Toc487208668"/>
      <w:bookmarkStart w:id="190" w:name="_Toc22375593"/>
      <w:r>
        <w:rPr>
          <w:rFonts w:hint="eastAsia" w:ascii="宋体" w:hAnsi="宋体" w:eastAsia="宋体" w:cs="宋体"/>
          <w:snapToGrid w:val="0"/>
        </w:rPr>
        <w:t>3.2  比选报价</w:t>
      </w:r>
      <w:bookmarkEnd w:id="184"/>
      <w:bookmarkEnd w:id="185"/>
      <w:bookmarkEnd w:id="186"/>
      <w:bookmarkEnd w:id="187"/>
      <w:bookmarkEnd w:id="188"/>
      <w:bookmarkEnd w:id="189"/>
      <w:bookmarkEnd w:id="190"/>
    </w:p>
    <w:p w14:paraId="0E658DF8">
      <w:pPr>
        <w:spacing w:line="360" w:lineRule="auto"/>
        <w:ind w:firstLine="420" w:firstLineChars="200"/>
        <w:rPr>
          <w:rFonts w:hint="eastAsia" w:ascii="宋体" w:hAnsi="宋体" w:cs="宋体"/>
          <w:snapToGrid w:val="0"/>
        </w:rPr>
      </w:pPr>
      <w:r>
        <w:rPr>
          <w:rFonts w:hint="eastAsia" w:ascii="宋体" w:hAnsi="宋体" w:cs="宋体"/>
        </w:rPr>
        <w:t xml:space="preserve">   </w:t>
      </w:r>
      <w:bookmarkStart w:id="191" w:name="_Toc426903677"/>
      <w:bookmarkStart w:id="192" w:name="_Toc200513147"/>
      <w:bookmarkStart w:id="193" w:name="_Toc260741007"/>
      <w:r>
        <w:rPr>
          <w:rFonts w:hint="eastAsia" w:ascii="宋体" w:hAnsi="宋体" w:cs="宋体"/>
          <w:snapToGrid w:val="0"/>
        </w:rPr>
        <w:t>见比选申请人须知前附表</w:t>
      </w:r>
      <w:bookmarkEnd w:id="191"/>
      <w:r>
        <w:rPr>
          <w:rFonts w:hint="eastAsia" w:ascii="宋体" w:hAnsi="宋体" w:cs="宋体"/>
          <w:snapToGrid w:val="0"/>
          <w:kern w:val="0"/>
        </w:rPr>
        <w:t>。</w:t>
      </w:r>
    </w:p>
    <w:p w14:paraId="69042182">
      <w:pPr>
        <w:pStyle w:val="2"/>
        <w:snapToGrid w:val="0"/>
        <w:spacing w:before="0" w:line="360" w:lineRule="auto"/>
        <w:rPr>
          <w:rFonts w:hint="eastAsia" w:ascii="宋体" w:hAnsi="宋体" w:eastAsia="宋体" w:cs="宋体"/>
          <w:snapToGrid w:val="0"/>
        </w:rPr>
      </w:pPr>
      <w:bookmarkStart w:id="194" w:name="_Toc22375594"/>
      <w:bookmarkStart w:id="195" w:name="_Toc406575091"/>
      <w:bookmarkStart w:id="196" w:name="_Toc487208669"/>
      <w:bookmarkStart w:id="197" w:name="_Toc22990036"/>
      <w:bookmarkStart w:id="198" w:name="_Toc492994349"/>
      <w:r>
        <w:rPr>
          <w:rFonts w:hint="eastAsia" w:ascii="宋体" w:hAnsi="宋体" w:eastAsia="宋体" w:cs="宋体"/>
          <w:snapToGrid w:val="0"/>
        </w:rPr>
        <w:t>3.3  比选投标有效期</w:t>
      </w:r>
      <w:bookmarkEnd w:id="192"/>
      <w:bookmarkEnd w:id="193"/>
      <w:bookmarkEnd w:id="194"/>
      <w:bookmarkEnd w:id="195"/>
      <w:bookmarkEnd w:id="196"/>
      <w:bookmarkEnd w:id="197"/>
      <w:bookmarkEnd w:id="198"/>
    </w:p>
    <w:p w14:paraId="5E865DD4">
      <w:pPr>
        <w:autoSpaceDE w:val="0"/>
        <w:autoSpaceDN w:val="0"/>
        <w:adjustRightInd w:val="0"/>
        <w:snapToGrid w:val="0"/>
        <w:spacing w:line="360" w:lineRule="auto"/>
        <w:ind w:firstLine="420"/>
        <w:jc w:val="left"/>
        <w:rPr>
          <w:rFonts w:hint="eastAsia" w:ascii="宋体" w:hAnsi="宋体" w:cs="宋体"/>
          <w:snapToGrid w:val="0"/>
          <w:kern w:val="0"/>
        </w:rPr>
      </w:pPr>
      <w:r>
        <w:rPr>
          <w:rFonts w:hint="eastAsia" w:ascii="宋体" w:hAnsi="宋体" w:cs="宋体"/>
          <w:snapToGrid w:val="0"/>
          <w:kern w:val="0"/>
        </w:rPr>
        <w:t>3.3.1  在比选申请人须知前附表规定的比选投标有效期内，比选申请人不得要求撤销或修改其比选申请文件。</w:t>
      </w:r>
    </w:p>
    <w:p w14:paraId="63CA738B">
      <w:pPr>
        <w:autoSpaceDE w:val="0"/>
        <w:autoSpaceDN w:val="0"/>
        <w:adjustRightInd w:val="0"/>
        <w:snapToGrid w:val="0"/>
        <w:spacing w:line="360" w:lineRule="auto"/>
        <w:ind w:firstLine="420"/>
        <w:rPr>
          <w:rFonts w:hint="eastAsia" w:ascii="宋体" w:hAnsi="宋体" w:cs="宋体"/>
          <w:snapToGrid w:val="0"/>
          <w:kern w:val="0"/>
        </w:rPr>
      </w:pPr>
      <w:r>
        <w:rPr>
          <w:rFonts w:hint="eastAsia" w:ascii="宋体" w:hAnsi="宋体" w:cs="宋体"/>
          <w:snapToGrid w:val="0"/>
          <w:kern w:val="0"/>
        </w:rPr>
        <w:t>3.3.2  出现特殊情况需要延长比选投标有效期的，比选人以书面形式通知所有比选申请人延长比选投标有效期。</w:t>
      </w:r>
    </w:p>
    <w:p w14:paraId="68BF7A0E">
      <w:pPr>
        <w:pStyle w:val="2"/>
        <w:snapToGrid w:val="0"/>
        <w:spacing w:before="0" w:line="360" w:lineRule="auto"/>
        <w:rPr>
          <w:rFonts w:hint="eastAsia" w:ascii="宋体" w:hAnsi="宋体" w:eastAsia="宋体" w:cs="宋体"/>
          <w:snapToGrid w:val="0"/>
        </w:rPr>
      </w:pPr>
      <w:bookmarkStart w:id="199" w:name="_Toc200513148"/>
      <w:bookmarkStart w:id="200" w:name="_Toc492994350"/>
      <w:bookmarkStart w:id="201" w:name="_Toc487208670"/>
      <w:bookmarkStart w:id="202" w:name="_Toc22375595"/>
      <w:bookmarkStart w:id="203" w:name="_Toc260741008"/>
      <w:bookmarkStart w:id="204" w:name="_Toc22990037"/>
      <w:bookmarkStart w:id="205" w:name="_Toc406575092"/>
      <w:r>
        <w:rPr>
          <w:rFonts w:hint="eastAsia" w:ascii="宋体" w:hAnsi="宋体" w:eastAsia="宋体" w:cs="宋体"/>
          <w:snapToGrid w:val="0"/>
        </w:rPr>
        <w:t>3.4  比选投标保证金</w:t>
      </w:r>
      <w:bookmarkEnd w:id="199"/>
      <w:bookmarkEnd w:id="200"/>
      <w:bookmarkEnd w:id="201"/>
      <w:bookmarkEnd w:id="202"/>
      <w:bookmarkEnd w:id="203"/>
      <w:bookmarkEnd w:id="204"/>
      <w:bookmarkEnd w:id="205"/>
    </w:p>
    <w:p w14:paraId="14BA4DC5">
      <w:pPr>
        <w:autoSpaceDE w:val="0"/>
        <w:autoSpaceDN w:val="0"/>
        <w:adjustRightInd w:val="0"/>
        <w:snapToGrid w:val="0"/>
        <w:spacing w:line="360" w:lineRule="auto"/>
        <w:ind w:firstLine="420" w:firstLineChars="200"/>
        <w:jc w:val="left"/>
        <w:rPr>
          <w:rFonts w:hint="eastAsia" w:ascii="宋体" w:hAnsi="宋体" w:cs="宋体"/>
          <w:snapToGrid w:val="0"/>
          <w:kern w:val="0"/>
        </w:rPr>
      </w:pPr>
      <w:bookmarkStart w:id="206" w:name="_Toc200513150"/>
      <w:bookmarkStart w:id="207" w:name="_Toc260741009"/>
      <w:bookmarkStart w:id="208" w:name="_Toc487208671"/>
      <w:bookmarkStart w:id="209" w:name="_Toc492994351"/>
      <w:bookmarkStart w:id="210" w:name="_Toc406575093"/>
      <w:r>
        <w:rPr>
          <w:rFonts w:hint="eastAsia" w:ascii="宋体" w:hAnsi="宋体" w:cs="宋体"/>
          <w:snapToGrid w:val="0"/>
          <w:kern w:val="0"/>
        </w:rPr>
        <w:t>无。</w:t>
      </w:r>
    </w:p>
    <w:p w14:paraId="4A463A82">
      <w:pPr>
        <w:pStyle w:val="2"/>
        <w:snapToGrid w:val="0"/>
        <w:spacing w:before="0" w:line="360" w:lineRule="auto"/>
        <w:rPr>
          <w:rFonts w:hint="eastAsia" w:ascii="宋体" w:hAnsi="宋体" w:eastAsia="宋体" w:cs="宋体"/>
          <w:snapToGrid w:val="0"/>
        </w:rPr>
      </w:pPr>
      <w:bookmarkStart w:id="211" w:name="_Toc22375596"/>
      <w:bookmarkStart w:id="212" w:name="_Toc22990038"/>
      <w:r>
        <w:rPr>
          <w:rFonts w:hint="eastAsia" w:ascii="宋体" w:hAnsi="宋体" w:eastAsia="宋体" w:cs="宋体"/>
          <w:snapToGrid w:val="0"/>
        </w:rPr>
        <w:t>3.5  资格审查资料</w:t>
      </w:r>
      <w:bookmarkEnd w:id="206"/>
      <w:bookmarkEnd w:id="207"/>
      <w:bookmarkEnd w:id="208"/>
      <w:bookmarkEnd w:id="209"/>
      <w:bookmarkEnd w:id="210"/>
      <w:bookmarkEnd w:id="211"/>
      <w:bookmarkEnd w:id="212"/>
    </w:p>
    <w:p w14:paraId="033F730F">
      <w:pPr>
        <w:autoSpaceDE w:val="0"/>
        <w:autoSpaceDN w:val="0"/>
        <w:adjustRightInd w:val="0"/>
        <w:snapToGrid w:val="0"/>
        <w:spacing w:line="360" w:lineRule="auto"/>
        <w:ind w:firstLine="420" w:firstLineChars="200"/>
        <w:jc w:val="left"/>
        <w:rPr>
          <w:rFonts w:hint="eastAsia" w:ascii="宋体" w:hAnsi="宋体" w:cs="宋体"/>
        </w:rPr>
      </w:pPr>
      <w:bookmarkStart w:id="213" w:name="_Toc200513151"/>
      <w:bookmarkStart w:id="214" w:name="_Toc260741010"/>
      <w:bookmarkStart w:id="215" w:name="_Toc406575094"/>
      <w:r>
        <w:rPr>
          <w:rFonts w:hint="eastAsia" w:ascii="宋体" w:hAnsi="宋体" w:cs="宋体"/>
        </w:rPr>
        <w:t>所有资格审查资料按须知前附表规定提供。</w:t>
      </w:r>
    </w:p>
    <w:p w14:paraId="342DB428">
      <w:pPr>
        <w:pStyle w:val="2"/>
        <w:snapToGrid w:val="0"/>
        <w:spacing w:before="0" w:line="360" w:lineRule="auto"/>
        <w:rPr>
          <w:rFonts w:hint="eastAsia" w:ascii="宋体" w:hAnsi="宋体" w:eastAsia="宋体" w:cs="宋体"/>
          <w:snapToGrid w:val="0"/>
        </w:rPr>
      </w:pPr>
      <w:bookmarkStart w:id="216" w:name="_Toc487208672"/>
      <w:bookmarkStart w:id="217" w:name="_Toc22375597"/>
      <w:bookmarkStart w:id="218" w:name="_Toc22990039"/>
      <w:bookmarkStart w:id="219" w:name="_Toc492994352"/>
      <w:r>
        <w:rPr>
          <w:rFonts w:hint="eastAsia" w:ascii="宋体" w:hAnsi="宋体" w:eastAsia="宋体" w:cs="宋体"/>
          <w:snapToGrid w:val="0"/>
        </w:rPr>
        <w:t>3.6  备选比选投标方案</w:t>
      </w:r>
      <w:bookmarkEnd w:id="213"/>
      <w:bookmarkEnd w:id="214"/>
      <w:bookmarkEnd w:id="215"/>
      <w:bookmarkEnd w:id="216"/>
      <w:bookmarkEnd w:id="217"/>
      <w:bookmarkEnd w:id="218"/>
      <w:bookmarkEnd w:id="219"/>
    </w:p>
    <w:p w14:paraId="586534BB">
      <w:pPr>
        <w:autoSpaceDE w:val="0"/>
        <w:autoSpaceDN w:val="0"/>
        <w:adjustRightInd w:val="0"/>
        <w:snapToGrid w:val="0"/>
        <w:spacing w:line="360" w:lineRule="auto"/>
        <w:ind w:firstLine="420"/>
        <w:rPr>
          <w:rFonts w:hint="eastAsia" w:ascii="宋体" w:hAnsi="宋体" w:cs="宋体"/>
          <w:snapToGrid w:val="0"/>
          <w:kern w:val="0"/>
        </w:rPr>
      </w:pPr>
      <w:r>
        <w:rPr>
          <w:rFonts w:hint="eastAsia" w:ascii="宋体" w:hAnsi="宋体" w:cs="宋体"/>
          <w:snapToGrid w:val="0"/>
          <w:kern w:val="0"/>
        </w:rPr>
        <w:t>除比选申请人须知前附表另有规定外，比选申请人不得递交备选比选投标方案。允许比选申请人递交备选比选投标方案的，只有比选</w:t>
      </w:r>
      <w:r>
        <w:rPr>
          <w:rFonts w:hint="eastAsia" w:ascii="宋体" w:hAnsi="宋体" w:cs="宋体"/>
          <w:snapToGrid w:val="0"/>
          <w:kern w:val="0"/>
          <w:lang w:eastAsia="zh-CN"/>
        </w:rPr>
        <w:t>中选人</w:t>
      </w:r>
      <w:r>
        <w:rPr>
          <w:rFonts w:hint="eastAsia" w:ascii="宋体" w:hAnsi="宋体" w:cs="宋体"/>
          <w:snapToGrid w:val="0"/>
          <w:kern w:val="0"/>
        </w:rPr>
        <w:t>所递交的备选比选投标方案方可予以考虑。评标委员会认为比选</w:t>
      </w:r>
      <w:r>
        <w:rPr>
          <w:rFonts w:hint="eastAsia" w:ascii="宋体" w:hAnsi="宋体" w:cs="宋体"/>
          <w:snapToGrid w:val="0"/>
          <w:kern w:val="0"/>
          <w:lang w:eastAsia="zh-CN"/>
        </w:rPr>
        <w:t>中选人</w:t>
      </w:r>
      <w:r>
        <w:rPr>
          <w:rFonts w:hint="eastAsia" w:ascii="宋体" w:hAnsi="宋体" w:cs="宋体"/>
          <w:snapToGrid w:val="0"/>
          <w:kern w:val="0"/>
        </w:rPr>
        <w:t>的备 选比选投标方案优于其按照比选文件要求编制的比选投标方案的，比选人可以接受该备选比选投标方案。</w:t>
      </w:r>
    </w:p>
    <w:p w14:paraId="3DA4BE61">
      <w:pPr>
        <w:pStyle w:val="2"/>
        <w:snapToGrid w:val="0"/>
        <w:spacing w:before="0" w:line="360" w:lineRule="auto"/>
        <w:rPr>
          <w:rFonts w:hint="eastAsia" w:ascii="宋体" w:hAnsi="宋体" w:eastAsia="宋体" w:cs="宋体"/>
          <w:snapToGrid w:val="0"/>
        </w:rPr>
      </w:pPr>
      <w:bookmarkStart w:id="220" w:name="_Toc22990040"/>
      <w:bookmarkStart w:id="221" w:name="_Toc260741011"/>
      <w:bookmarkStart w:id="222" w:name="_Toc22375598"/>
      <w:bookmarkStart w:id="223" w:name="_Toc487208673"/>
      <w:bookmarkStart w:id="224" w:name="_Toc200513152"/>
      <w:bookmarkStart w:id="225" w:name="_Toc406575095"/>
      <w:bookmarkStart w:id="226" w:name="_Toc492994353"/>
      <w:r>
        <w:rPr>
          <w:rFonts w:hint="eastAsia" w:ascii="宋体" w:hAnsi="宋体" w:eastAsia="宋体" w:cs="宋体"/>
          <w:snapToGrid w:val="0"/>
        </w:rPr>
        <w:t>3.7  比选申请文件的编制</w:t>
      </w:r>
      <w:bookmarkEnd w:id="220"/>
      <w:bookmarkEnd w:id="221"/>
      <w:bookmarkEnd w:id="222"/>
      <w:bookmarkEnd w:id="223"/>
      <w:bookmarkEnd w:id="224"/>
      <w:bookmarkEnd w:id="225"/>
      <w:bookmarkEnd w:id="226"/>
    </w:p>
    <w:p w14:paraId="74285DE9">
      <w:pPr>
        <w:autoSpaceDE w:val="0"/>
        <w:autoSpaceDN w:val="0"/>
        <w:adjustRightInd w:val="0"/>
        <w:snapToGrid w:val="0"/>
        <w:spacing w:line="360" w:lineRule="auto"/>
        <w:ind w:firstLine="420"/>
        <w:rPr>
          <w:rFonts w:hint="eastAsia" w:ascii="宋体" w:hAnsi="宋体" w:cs="宋体"/>
          <w:snapToGrid w:val="0"/>
          <w:kern w:val="0"/>
        </w:rPr>
      </w:pPr>
      <w:bookmarkStart w:id="227" w:name="_Toc492994354"/>
      <w:bookmarkStart w:id="228" w:name="_Toc200513153"/>
      <w:bookmarkStart w:id="229" w:name="_Toc406575096"/>
      <w:bookmarkStart w:id="230" w:name="_Toc487208674"/>
      <w:r>
        <w:rPr>
          <w:rFonts w:hint="eastAsia" w:ascii="宋体" w:hAnsi="宋体" w:cs="宋体"/>
          <w:snapToGrid w:val="0"/>
          <w:kern w:val="0"/>
        </w:rPr>
        <w:t>3.7.1  比选申请文件应按第六章“比选申请文件格式”进行编写，如有必要，可以增加附页，作为比选申请文件的组成部分。其中，投标函附录在满足比选文件实质性要求的基础上，可以提出比比选文件要求更有利于比选人的承诺。</w:t>
      </w:r>
    </w:p>
    <w:p w14:paraId="4BA7A935">
      <w:pPr>
        <w:autoSpaceDE w:val="0"/>
        <w:autoSpaceDN w:val="0"/>
        <w:adjustRightInd w:val="0"/>
        <w:snapToGrid w:val="0"/>
        <w:spacing w:line="360" w:lineRule="auto"/>
        <w:ind w:firstLine="420"/>
        <w:rPr>
          <w:rFonts w:hint="eastAsia" w:ascii="宋体" w:hAnsi="宋体" w:cs="宋体"/>
          <w:snapToGrid w:val="0"/>
          <w:kern w:val="0"/>
        </w:rPr>
      </w:pPr>
      <w:r>
        <w:rPr>
          <w:rFonts w:hint="eastAsia" w:ascii="宋体" w:hAnsi="宋体" w:cs="宋体"/>
          <w:snapToGrid w:val="0"/>
          <w:kern w:val="0"/>
        </w:rPr>
        <w:t>3.7.2  比选申请文件应当对比选文件有关工期、比选投标有效期、质量要求、技术标准和要求、 招标范围等实质性内容做出响应。</w:t>
      </w:r>
    </w:p>
    <w:p w14:paraId="7A132FF1">
      <w:pPr>
        <w:autoSpaceDE w:val="0"/>
        <w:autoSpaceDN w:val="0"/>
        <w:adjustRightInd w:val="0"/>
        <w:snapToGrid w:val="0"/>
        <w:spacing w:before="1" w:line="360" w:lineRule="auto"/>
        <w:ind w:right="-164" w:firstLine="426"/>
        <w:jc w:val="left"/>
        <w:rPr>
          <w:rFonts w:hint="eastAsia" w:ascii="宋体" w:hAnsi="宋体" w:cs="宋体"/>
          <w:snapToGrid w:val="0"/>
          <w:kern w:val="0"/>
        </w:rPr>
      </w:pPr>
      <w:r>
        <w:rPr>
          <w:rFonts w:hint="eastAsia" w:ascii="宋体" w:hAnsi="宋体" w:cs="宋体"/>
          <w:snapToGrid w:val="0"/>
          <w:kern w:val="0"/>
        </w:rPr>
        <w:t xml:space="preserve">3.7.3  </w:t>
      </w:r>
      <w:r>
        <w:rPr>
          <w:rFonts w:hint="eastAsia" w:ascii="宋体" w:hAnsi="宋体" w:cs="宋体"/>
          <w:snapToGrid w:val="0"/>
          <w:kern w:val="0"/>
          <w:position w:val="-2"/>
        </w:rPr>
        <w:t>比选申请文件应用不褪色的材料书写或打印，并由比选申请人的法定代表人或其委托代理</w:t>
      </w:r>
      <w:r>
        <w:rPr>
          <w:rFonts w:hint="eastAsia" w:ascii="宋体" w:hAnsi="宋体" w:cs="宋体"/>
          <w:snapToGrid w:val="0"/>
          <w:kern w:val="0"/>
        </w:rPr>
        <w:t>人签字或盖章、盖单位公章。委托代理人签字的，比选申请文件应附法定代表人签署的授权委托书。比选申请文件应尽量避免涂改、行间插字或删除。如果出现上述情况，改动之处应加盖单位公章和由比选申请人的法定代表人或其授权的代理人签字确认。签字或盖章的具体要求见比选申请人须知前附表及第六章比选申请文件格式要求。</w:t>
      </w:r>
    </w:p>
    <w:p w14:paraId="4D231AA6">
      <w:pPr>
        <w:autoSpaceDE w:val="0"/>
        <w:autoSpaceDN w:val="0"/>
        <w:adjustRightInd w:val="0"/>
        <w:snapToGrid w:val="0"/>
        <w:spacing w:before="1" w:line="380" w:lineRule="exact"/>
        <w:ind w:right="-164" w:firstLine="426"/>
        <w:rPr>
          <w:rFonts w:hint="eastAsia" w:ascii="宋体" w:hAnsi="宋体" w:cs="宋体"/>
          <w:snapToGrid w:val="0"/>
          <w:kern w:val="0"/>
        </w:rPr>
      </w:pPr>
      <w:r>
        <w:rPr>
          <w:rFonts w:hint="eastAsia" w:ascii="宋体" w:hAnsi="宋体" w:cs="宋体"/>
          <w:snapToGrid w:val="0"/>
          <w:kern w:val="0"/>
        </w:rPr>
        <w:t>3.7.4  比选申请文件份数见比选申请人须知前附表。正本和副本的封面左上角应清楚地标记“正本”或“副本”的字样，正本和副本封面均须加盖单位公章（鲜章），副本可为正本复印件。当副本和正本不一致时，以正本为准。正本与网上上传电子文档不一致时，作否决投标处理。</w:t>
      </w:r>
    </w:p>
    <w:p w14:paraId="56C233EF">
      <w:pPr>
        <w:autoSpaceDE w:val="0"/>
        <w:autoSpaceDN w:val="0"/>
        <w:adjustRightInd w:val="0"/>
        <w:snapToGrid w:val="0"/>
        <w:spacing w:before="1" w:line="380" w:lineRule="exact"/>
        <w:ind w:right="-164" w:firstLine="426"/>
        <w:rPr>
          <w:rFonts w:hint="eastAsia" w:ascii="宋体" w:hAnsi="宋体" w:cs="宋体"/>
          <w:snapToGrid w:val="0"/>
          <w:kern w:val="0"/>
        </w:rPr>
      </w:pPr>
      <w:r>
        <w:rPr>
          <w:rFonts w:hint="eastAsia" w:ascii="宋体" w:hAnsi="宋体" w:cs="宋体"/>
          <w:snapToGrid w:val="0"/>
          <w:kern w:val="0"/>
        </w:rPr>
        <w:t>3.7.5  比选申请文件的正本与副本应分别装订成册，并编制目录，具体装订要求见比选申请人须知前附表规定。</w:t>
      </w:r>
    </w:p>
    <w:p w14:paraId="734F4BA9">
      <w:pPr>
        <w:pStyle w:val="4"/>
        <w:rPr>
          <w:rFonts w:hint="eastAsia" w:ascii="宋体" w:hAnsi="宋体" w:eastAsia="宋体" w:cs="宋体"/>
          <w:snapToGrid w:val="0"/>
          <w:spacing w:val="0"/>
        </w:rPr>
      </w:pPr>
      <w:bookmarkStart w:id="231" w:name="_Toc22375599"/>
      <w:bookmarkStart w:id="232" w:name="_Toc22990041"/>
      <w:r>
        <w:rPr>
          <w:rFonts w:hint="eastAsia" w:ascii="宋体" w:hAnsi="宋体" w:eastAsia="宋体" w:cs="宋体"/>
          <w:snapToGrid w:val="0"/>
          <w:spacing w:val="0"/>
        </w:rPr>
        <w:t>4.  比选投标</w:t>
      </w:r>
      <w:bookmarkEnd w:id="227"/>
      <w:bookmarkEnd w:id="228"/>
      <w:bookmarkEnd w:id="229"/>
      <w:bookmarkEnd w:id="230"/>
      <w:bookmarkEnd w:id="231"/>
      <w:bookmarkEnd w:id="232"/>
    </w:p>
    <w:p w14:paraId="44168B8E">
      <w:pPr>
        <w:pStyle w:val="2"/>
        <w:snapToGrid w:val="0"/>
        <w:spacing w:before="0" w:line="360" w:lineRule="auto"/>
        <w:rPr>
          <w:rFonts w:hint="eastAsia" w:ascii="宋体" w:hAnsi="宋体" w:eastAsia="宋体" w:cs="宋体"/>
          <w:snapToGrid w:val="0"/>
        </w:rPr>
      </w:pPr>
      <w:bookmarkStart w:id="233" w:name="_Toc406575097"/>
      <w:bookmarkStart w:id="234" w:name="_Toc260741013"/>
      <w:bookmarkStart w:id="235" w:name="_Toc22375600"/>
      <w:bookmarkStart w:id="236" w:name="_Toc22990042"/>
      <w:bookmarkStart w:id="237" w:name="_Toc492994355"/>
      <w:bookmarkStart w:id="238" w:name="_Toc487208675"/>
      <w:bookmarkStart w:id="239" w:name="_Toc200513154"/>
      <w:r>
        <w:rPr>
          <w:rFonts w:hint="eastAsia" w:ascii="宋体" w:hAnsi="宋体" w:eastAsia="宋体" w:cs="宋体"/>
          <w:snapToGrid w:val="0"/>
        </w:rPr>
        <w:t>4.1  比选申请文件的密封和标记</w:t>
      </w:r>
      <w:bookmarkEnd w:id="233"/>
      <w:bookmarkEnd w:id="234"/>
      <w:bookmarkEnd w:id="235"/>
      <w:bookmarkEnd w:id="236"/>
      <w:bookmarkEnd w:id="237"/>
      <w:bookmarkEnd w:id="238"/>
      <w:bookmarkEnd w:id="239"/>
    </w:p>
    <w:p w14:paraId="2FF4957D">
      <w:pPr>
        <w:autoSpaceDE w:val="0"/>
        <w:autoSpaceDN w:val="0"/>
        <w:adjustRightInd w:val="0"/>
        <w:snapToGrid w:val="0"/>
        <w:spacing w:line="360" w:lineRule="auto"/>
        <w:ind w:left="359" w:leftChars="171"/>
        <w:jc w:val="left"/>
        <w:rPr>
          <w:rFonts w:hint="eastAsia" w:ascii="宋体" w:hAnsi="宋体" w:cs="宋体"/>
          <w:snapToGrid w:val="0"/>
          <w:kern w:val="0"/>
        </w:rPr>
      </w:pPr>
      <w:bookmarkStart w:id="240" w:name="_Toc200513155"/>
      <w:r>
        <w:rPr>
          <w:rFonts w:hint="eastAsia" w:ascii="宋体" w:hAnsi="宋体" w:cs="宋体"/>
          <w:snapToGrid w:val="0"/>
          <w:kern w:val="0"/>
        </w:rPr>
        <w:t>4.1.1  比选申请文件的正本与副本密封见比选申请人须知前附表。</w:t>
      </w:r>
    </w:p>
    <w:p w14:paraId="55179A26">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4.1.2  比选申请文件的封套上应写明的内容见比选申请人须知前附表。</w:t>
      </w:r>
    </w:p>
    <w:p w14:paraId="0581976C">
      <w:pPr>
        <w:autoSpaceDE w:val="0"/>
        <w:autoSpaceDN w:val="0"/>
        <w:adjustRightInd w:val="0"/>
        <w:snapToGrid w:val="0"/>
        <w:spacing w:line="360" w:lineRule="auto"/>
        <w:ind w:left="13" w:leftChars="6" w:firstLine="344" w:firstLineChars="164"/>
        <w:jc w:val="left"/>
        <w:rPr>
          <w:rFonts w:hint="eastAsia" w:ascii="宋体" w:hAnsi="宋体" w:cs="宋体"/>
          <w:snapToGrid w:val="0"/>
          <w:kern w:val="0"/>
        </w:rPr>
      </w:pPr>
      <w:r>
        <w:rPr>
          <w:rFonts w:hint="eastAsia" w:ascii="宋体" w:hAnsi="宋体" w:cs="宋体"/>
          <w:snapToGrid w:val="0"/>
          <w:kern w:val="0"/>
        </w:rPr>
        <w:t>4.1.3  未按本章要求密封和加写标记的比选申请文件，比选人不予受理。</w:t>
      </w:r>
    </w:p>
    <w:p w14:paraId="579AC820">
      <w:pPr>
        <w:pStyle w:val="2"/>
        <w:snapToGrid w:val="0"/>
        <w:spacing w:before="0" w:line="360" w:lineRule="auto"/>
        <w:rPr>
          <w:rFonts w:hint="eastAsia" w:ascii="宋体" w:hAnsi="宋体" w:eastAsia="宋体" w:cs="宋体"/>
          <w:snapToGrid w:val="0"/>
        </w:rPr>
      </w:pPr>
      <w:bookmarkStart w:id="241" w:name="_Toc406575098"/>
      <w:bookmarkStart w:id="242" w:name="_Toc260741014"/>
      <w:bookmarkStart w:id="243" w:name="_Toc22990043"/>
      <w:bookmarkStart w:id="244" w:name="_Toc492994356"/>
      <w:bookmarkStart w:id="245" w:name="_Toc487208676"/>
      <w:bookmarkStart w:id="246" w:name="_Toc22375601"/>
      <w:r>
        <w:rPr>
          <w:rFonts w:hint="eastAsia" w:ascii="宋体" w:hAnsi="宋体" w:eastAsia="宋体" w:cs="宋体"/>
          <w:snapToGrid w:val="0"/>
        </w:rPr>
        <w:t>4.2  比选申请文件的递交</w:t>
      </w:r>
      <w:bookmarkEnd w:id="240"/>
      <w:bookmarkEnd w:id="241"/>
      <w:bookmarkEnd w:id="242"/>
      <w:bookmarkEnd w:id="243"/>
      <w:bookmarkEnd w:id="244"/>
      <w:bookmarkEnd w:id="245"/>
      <w:bookmarkEnd w:id="246"/>
    </w:p>
    <w:p w14:paraId="67FC4ED0">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4.2.1  比选申请人应在本章规定的比选投标截止时间前递交比选申请文件。</w:t>
      </w:r>
    </w:p>
    <w:p w14:paraId="55685D93">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4.2.2  比选申请人递交比选申请文件的地点：见比选申请人须知前附表。</w:t>
      </w:r>
    </w:p>
    <w:p w14:paraId="1FDAAC57">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4.2.3  除比选申请人须知前附表另有规定外，比选申请人所递交的比选申请文件不予退还。</w:t>
      </w:r>
    </w:p>
    <w:p w14:paraId="23125A94">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4.2.4  比选人收到比选申请文件后，向比选申请人出具签收凭证。</w:t>
      </w:r>
    </w:p>
    <w:p w14:paraId="1229927F">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4.2.5  逾期送达的或者未送达指定地点的比选申请文件，比选人不予受理。</w:t>
      </w:r>
    </w:p>
    <w:p w14:paraId="5FE5C47D">
      <w:pPr>
        <w:pStyle w:val="2"/>
        <w:snapToGrid w:val="0"/>
        <w:spacing w:before="0" w:line="360" w:lineRule="auto"/>
        <w:rPr>
          <w:rFonts w:hint="eastAsia" w:ascii="宋体" w:hAnsi="宋体" w:eastAsia="宋体" w:cs="宋体"/>
          <w:snapToGrid w:val="0"/>
        </w:rPr>
      </w:pPr>
      <w:bookmarkStart w:id="247" w:name="_Toc22375602"/>
      <w:bookmarkStart w:id="248" w:name="_Toc487208677"/>
      <w:bookmarkStart w:id="249" w:name="_Toc492994357"/>
      <w:bookmarkStart w:id="250" w:name="_Toc200513156"/>
      <w:bookmarkStart w:id="251" w:name="_Toc260741015"/>
      <w:bookmarkStart w:id="252" w:name="_Toc406575099"/>
      <w:bookmarkStart w:id="253" w:name="_Toc22990044"/>
      <w:r>
        <w:rPr>
          <w:rFonts w:hint="eastAsia" w:ascii="宋体" w:hAnsi="宋体" w:eastAsia="宋体" w:cs="宋体"/>
          <w:snapToGrid w:val="0"/>
        </w:rPr>
        <w:t>4.3  比选申请文件的修改与撤回</w:t>
      </w:r>
      <w:bookmarkEnd w:id="247"/>
      <w:bookmarkEnd w:id="248"/>
      <w:bookmarkEnd w:id="249"/>
      <w:bookmarkEnd w:id="250"/>
      <w:bookmarkEnd w:id="251"/>
      <w:bookmarkEnd w:id="252"/>
      <w:bookmarkEnd w:id="253"/>
    </w:p>
    <w:p w14:paraId="0CAFCBA6">
      <w:pPr>
        <w:autoSpaceDE w:val="0"/>
        <w:autoSpaceDN w:val="0"/>
        <w:adjustRightInd w:val="0"/>
        <w:snapToGrid w:val="0"/>
        <w:spacing w:line="360" w:lineRule="auto"/>
        <w:ind w:firstLine="420"/>
        <w:jc w:val="left"/>
        <w:rPr>
          <w:rFonts w:hint="eastAsia" w:ascii="宋体" w:hAnsi="宋体" w:cs="宋体"/>
          <w:snapToGrid w:val="0"/>
          <w:kern w:val="0"/>
        </w:rPr>
      </w:pPr>
      <w:r>
        <w:rPr>
          <w:rFonts w:hint="eastAsia" w:ascii="宋体" w:hAnsi="宋体" w:cs="宋体"/>
          <w:snapToGrid w:val="0"/>
          <w:kern w:val="0"/>
        </w:rPr>
        <w:t>4.3.1  在本章规定的比选投标截止时间前，比选申请人可以修改或撤回已递交的比选申请文件，但应以书面形式通知比选人。</w:t>
      </w:r>
    </w:p>
    <w:p w14:paraId="4F2469C8">
      <w:pPr>
        <w:autoSpaceDE w:val="0"/>
        <w:autoSpaceDN w:val="0"/>
        <w:adjustRightInd w:val="0"/>
        <w:snapToGrid w:val="0"/>
        <w:spacing w:line="360" w:lineRule="auto"/>
        <w:ind w:firstLine="420"/>
        <w:jc w:val="left"/>
        <w:rPr>
          <w:rFonts w:hint="eastAsia" w:ascii="宋体" w:hAnsi="宋体" w:cs="宋体"/>
          <w:snapToGrid w:val="0"/>
          <w:kern w:val="0"/>
        </w:rPr>
      </w:pPr>
      <w:r>
        <w:rPr>
          <w:rFonts w:hint="eastAsia" w:ascii="宋体" w:hAnsi="宋体" w:cs="宋体"/>
          <w:snapToGrid w:val="0"/>
          <w:kern w:val="0"/>
        </w:rPr>
        <w:t>4.3.2  比选申请人修改或撤回已递交比选申请文件的书面通知应按照本章的要求签字或盖章。比选人收到书面通知后，向比选申请人出具签收凭证。</w:t>
      </w:r>
    </w:p>
    <w:p w14:paraId="42FB0CA0">
      <w:pPr>
        <w:autoSpaceDE w:val="0"/>
        <w:autoSpaceDN w:val="0"/>
        <w:adjustRightInd w:val="0"/>
        <w:snapToGrid w:val="0"/>
        <w:spacing w:line="360" w:lineRule="auto"/>
        <w:ind w:firstLine="420"/>
        <w:jc w:val="left"/>
        <w:rPr>
          <w:rFonts w:hint="eastAsia" w:ascii="宋体" w:hAnsi="宋体" w:cs="宋体"/>
          <w:snapToGrid w:val="0"/>
          <w:kern w:val="0"/>
        </w:rPr>
      </w:pPr>
      <w:r>
        <w:rPr>
          <w:rFonts w:hint="eastAsia" w:ascii="宋体" w:hAnsi="宋体" w:cs="宋体"/>
          <w:snapToGrid w:val="0"/>
          <w:kern w:val="0"/>
        </w:rPr>
        <w:t>4.3.3  修改的内容为比选申请文件的组成部分。修改的比选申请文件应按照本章规定进行编制、密封、标记和递交，并标明“修改”字样。</w:t>
      </w:r>
    </w:p>
    <w:p w14:paraId="34203057">
      <w:pPr>
        <w:pStyle w:val="4"/>
        <w:rPr>
          <w:rFonts w:hint="eastAsia" w:ascii="宋体" w:hAnsi="宋体" w:eastAsia="宋体" w:cs="宋体"/>
          <w:snapToGrid w:val="0"/>
          <w:spacing w:val="0"/>
        </w:rPr>
      </w:pPr>
      <w:bookmarkStart w:id="254" w:name="_Toc487208678"/>
      <w:bookmarkStart w:id="255" w:name="_Toc200513157"/>
      <w:bookmarkStart w:id="256" w:name="_Toc406575100"/>
      <w:bookmarkStart w:id="257" w:name="_Toc492994358"/>
      <w:bookmarkStart w:id="258" w:name="_Toc22375603"/>
      <w:bookmarkStart w:id="259" w:name="_Toc22990045"/>
      <w:r>
        <w:rPr>
          <w:rFonts w:hint="eastAsia" w:ascii="宋体" w:hAnsi="宋体" w:eastAsia="宋体" w:cs="宋体"/>
          <w:snapToGrid w:val="0"/>
          <w:spacing w:val="0"/>
        </w:rPr>
        <w:t>5.  开标</w:t>
      </w:r>
      <w:bookmarkEnd w:id="254"/>
      <w:bookmarkEnd w:id="255"/>
      <w:bookmarkEnd w:id="256"/>
      <w:bookmarkEnd w:id="257"/>
      <w:bookmarkEnd w:id="258"/>
      <w:bookmarkEnd w:id="259"/>
    </w:p>
    <w:p w14:paraId="51EB47C1">
      <w:pPr>
        <w:pStyle w:val="2"/>
        <w:snapToGrid w:val="0"/>
        <w:spacing w:before="0" w:line="360" w:lineRule="auto"/>
        <w:rPr>
          <w:rFonts w:hint="eastAsia" w:ascii="宋体" w:hAnsi="宋体" w:eastAsia="宋体" w:cs="宋体"/>
          <w:snapToGrid w:val="0"/>
        </w:rPr>
      </w:pPr>
      <w:bookmarkStart w:id="260" w:name="_Toc22990046"/>
      <w:bookmarkStart w:id="261" w:name="_Toc492994359"/>
      <w:bookmarkStart w:id="262" w:name="_Toc260741017"/>
      <w:bookmarkStart w:id="263" w:name="_Toc22375604"/>
      <w:bookmarkStart w:id="264" w:name="_Toc406575101"/>
      <w:bookmarkStart w:id="265" w:name="_Toc487208679"/>
      <w:bookmarkStart w:id="266" w:name="_Toc200513158"/>
      <w:r>
        <w:rPr>
          <w:rFonts w:hint="eastAsia" w:ascii="宋体" w:hAnsi="宋体" w:eastAsia="宋体" w:cs="宋体"/>
          <w:snapToGrid w:val="0"/>
        </w:rPr>
        <w:t>5.1  开标时间和地点</w:t>
      </w:r>
      <w:bookmarkEnd w:id="260"/>
      <w:bookmarkEnd w:id="261"/>
      <w:bookmarkEnd w:id="262"/>
      <w:bookmarkEnd w:id="263"/>
      <w:bookmarkEnd w:id="264"/>
      <w:bookmarkEnd w:id="265"/>
      <w:bookmarkEnd w:id="266"/>
    </w:p>
    <w:p w14:paraId="4A2CA243">
      <w:pPr>
        <w:autoSpaceDE w:val="0"/>
        <w:autoSpaceDN w:val="0"/>
        <w:adjustRightInd w:val="0"/>
        <w:snapToGrid w:val="0"/>
        <w:spacing w:line="360" w:lineRule="auto"/>
        <w:ind w:firstLine="420" w:firstLineChars="200"/>
        <w:jc w:val="left"/>
        <w:rPr>
          <w:rFonts w:hint="eastAsia" w:ascii="宋体" w:hAnsi="宋体" w:cs="宋体"/>
          <w:snapToGrid w:val="0"/>
          <w:kern w:val="0"/>
        </w:rPr>
      </w:pPr>
      <w:r>
        <w:rPr>
          <w:rFonts w:hint="eastAsia" w:ascii="宋体" w:hAnsi="宋体" w:cs="宋体"/>
          <w:snapToGrid w:val="0"/>
          <w:kern w:val="0"/>
        </w:rPr>
        <w:t>比选人在本章规定的比选投标截止时间（开标时间）和比选申请人须知前附表规定的地点公开开标，并邀请所有比选申请人的法定代表人或其委托代理人准时参加。</w:t>
      </w:r>
    </w:p>
    <w:p w14:paraId="2D59B471">
      <w:pPr>
        <w:pStyle w:val="2"/>
        <w:snapToGrid w:val="0"/>
        <w:spacing w:before="0" w:line="360" w:lineRule="auto"/>
        <w:rPr>
          <w:rFonts w:hint="eastAsia" w:ascii="宋体" w:hAnsi="宋体" w:eastAsia="宋体" w:cs="宋体"/>
          <w:snapToGrid w:val="0"/>
        </w:rPr>
      </w:pPr>
      <w:bookmarkStart w:id="267" w:name="_Toc260741018"/>
      <w:bookmarkStart w:id="268" w:name="_Toc492994360"/>
      <w:bookmarkStart w:id="269" w:name="_Toc200513159"/>
      <w:bookmarkStart w:id="270" w:name="_Toc22375605"/>
      <w:bookmarkStart w:id="271" w:name="_Toc487208680"/>
      <w:bookmarkStart w:id="272" w:name="_Toc22990047"/>
      <w:bookmarkStart w:id="273" w:name="_Toc406575102"/>
      <w:r>
        <w:rPr>
          <w:rFonts w:hint="eastAsia" w:ascii="宋体" w:hAnsi="宋体" w:eastAsia="宋体" w:cs="宋体"/>
          <w:snapToGrid w:val="0"/>
        </w:rPr>
        <w:t>5.2  开标程序</w:t>
      </w:r>
      <w:bookmarkEnd w:id="267"/>
      <w:bookmarkEnd w:id="268"/>
      <w:bookmarkEnd w:id="269"/>
      <w:bookmarkEnd w:id="270"/>
      <w:bookmarkEnd w:id="271"/>
      <w:bookmarkEnd w:id="272"/>
      <w:bookmarkEnd w:id="273"/>
    </w:p>
    <w:p w14:paraId="656C0D31">
      <w:pPr>
        <w:autoSpaceDE w:val="0"/>
        <w:autoSpaceDN w:val="0"/>
        <w:adjustRightInd w:val="0"/>
        <w:snapToGrid w:val="0"/>
        <w:spacing w:line="360" w:lineRule="auto"/>
        <w:ind w:firstLine="420" w:firstLineChars="200"/>
        <w:jc w:val="left"/>
        <w:rPr>
          <w:rFonts w:hint="eastAsia" w:ascii="宋体" w:hAnsi="宋体" w:cs="宋体"/>
        </w:rPr>
      </w:pPr>
      <w:bookmarkStart w:id="274" w:name="_Toc406575103"/>
      <w:bookmarkStart w:id="275" w:name="_Toc200513160"/>
      <w:r>
        <w:rPr>
          <w:rFonts w:hint="eastAsia" w:ascii="宋体" w:hAnsi="宋体" w:cs="宋体"/>
          <w:snapToGrid w:val="0"/>
          <w:kern w:val="0"/>
        </w:rPr>
        <w:t>详见比选申请人须知前附表。</w:t>
      </w:r>
    </w:p>
    <w:p w14:paraId="7D430F34">
      <w:pPr>
        <w:pStyle w:val="4"/>
        <w:rPr>
          <w:rFonts w:hint="eastAsia" w:ascii="宋体" w:hAnsi="宋体" w:eastAsia="宋体" w:cs="宋体"/>
          <w:snapToGrid w:val="0"/>
          <w:spacing w:val="0"/>
        </w:rPr>
      </w:pPr>
      <w:bookmarkStart w:id="276" w:name="_Toc22990048"/>
      <w:bookmarkStart w:id="277" w:name="_Toc487208681"/>
      <w:bookmarkStart w:id="278" w:name="_Toc492994361"/>
      <w:bookmarkStart w:id="279" w:name="_Toc22375606"/>
      <w:r>
        <w:rPr>
          <w:rFonts w:hint="eastAsia" w:ascii="宋体" w:hAnsi="宋体" w:eastAsia="宋体" w:cs="宋体"/>
          <w:snapToGrid w:val="0"/>
          <w:spacing w:val="0"/>
        </w:rPr>
        <w:t>6.  评标</w:t>
      </w:r>
      <w:bookmarkEnd w:id="274"/>
      <w:bookmarkEnd w:id="275"/>
      <w:bookmarkEnd w:id="276"/>
      <w:bookmarkEnd w:id="277"/>
      <w:bookmarkEnd w:id="278"/>
      <w:bookmarkEnd w:id="279"/>
    </w:p>
    <w:p w14:paraId="10AB2824">
      <w:pPr>
        <w:pStyle w:val="2"/>
        <w:snapToGrid w:val="0"/>
        <w:spacing w:before="0" w:line="360" w:lineRule="auto"/>
        <w:rPr>
          <w:rFonts w:hint="eastAsia" w:ascii="宋体" w:hAnsi="宋体" w:eastAsia="宋体" w:cs="宋体"/>
          <w:snapToGrid w:val="0"/>
        </w:rPr>
      </w:pPr>
      <w:bookmarkStart w:id="280" w:name="_Toc487208683"/>
      <w:bookmarkStart w:id="281" w:name="_Toc22990049"/>
      <w:bookmarkStart w:id="282" w:name="_Toc22375607"/>
      <w:bookmarkStart w:id="283" w:name="_Toc492994363"/>
      <w:bookmarkStart w:id="284" w:name="_Toc406575105"/>
      <w:bookmarkStart w:id="285" w:name="_Toc260741021"/>
      <w:bookmarkStart w:id="286" w:name="_Toc200513162"/>
      <w:r>
        <w:rPr>
          <w:rFonts w:hint="eastAsia" w:ascii="宋体" w:hAnsi="宋体" w:eastAsia="宋体" w:cs="宋体"/>
          <w:snapToGrid w:val="0"/>
        </w:rPr>
        <w:t>6.1  评标原则</w:t>
      </w:r>
      <w:bookmarkEnd w:id="280"/>
      <w:bookmarkEnd w:id="281"/>
      <w:bookmarkEnd w:id="282"/>
      <w:bookmarkEnd w:id="283"/>
      <w:bookmarkEnd w:id="284"/>
      <w:bookmarkEnd w:id="285"/>
      <w:bookmarkEnd w:id="286"/>
    </w:p>
    <w:p w14:paraId="112FB670">
      <w:pPr>
        <w:autoSpaceDE w:val="0"/>
        <w:autoSpaceDN w:val="0"/>
        <w:adjustRightInd w:val="0"/>
        <w:snapToGrid w:val="0"/>
        <w:spacing w:line="360" w:lineRule="auto"/>
        <w:ind w:firstLine="315" w:firstLineChars="150"/>
        <w:jc w:val="left"/>
        <w:rPr>
          <w:rFonts w:hint="eastAsia" w:ascii="宋体" w:hAnsi="宋体" w:cs="宋体"/>
          <w:snapToGrid w:val="0"/>
          <w:kern w:val="0"/>
        </w:rPr>
      </w:pPr>
      <w:bookmarkStart w:id="287" w:name="_Toc406575106"/>
      <w:bookmarkStart w:id="288" w:name="_Toc260741022"/>
      <w:bookmarkStart w:id="289" w:name="_Toc492994364"/>
      <w:bookmarkStart w:id="290" w:name="_Toc200513163"/>
      <w:bookmarkStart w:id="291" w:name="_Toc487208684"/>
      <w:r>
        <w:rPr>
          <w:rFonts w:hint="eastAsia" w:ascii="宋体" w:hAnsi="宋体" w:cs="宋体"/>
          <w:snapToGrid w:val="0"/>
          <w:kern w:val="0"/>
        </w:rPr>
        <w:t xml:space="preserve"> 6.1.1  评标由比选人依法组建的评标委员会负责。评标委员会成员人数以及评标专家确定方式见比选申请人须知前附表。</w:t>
      </w:r>
    </w:p>
    <w:p w14:paraId="6E76937E">
      <w:pPr>
        <w:autoSpaceDE w:val="0"/>
        <w:autoSpaceDN w:val="0"/>
        <w:adjustRightInd w:val="0"/>
        <w:snapToGrid w:val="0"/>
        <w:spacing w:line="360" w:lineRule="auto"/>
        <w:ind w:firstLine="420" w:firstLineChars="200"/>
        <w:jc w:val="left"/>
        <w:rPr>
          <w:rFonts w:hint="eastAsia" w:ascii="宋体" w:hAnsi="宋体" w:cs="宋体"/>
          <w:snapToGrid w:val="0"/>
          <w:kern w:val="0"/>
        </w:rPr>
      </w:pPr>
      <w:r>
        <w:rPr>
          <w:rFonts w:hint="eastAsia" w:ascii="宋体" w:hAnsi="宋体" w:cs="宋体"/>
          <w:snapToGrid w:val="0"/>
          <w:kern w:val="0"/>
        </w:rPr>
        <w:t>6.1.2  评标委员会成员有下列情形之一的，应当回避：</w:t>
      </w:r>
    </w:p>
    <w:p w14:paraId="56053A70">
      <w:pPr>
        <w:autoSpaceDE w:val="0"/>
        <w:autoSpaceDN w:val="0"/>
        <w:adjustRightInd w:val="0"/>
        <w:snapToGrid w:val="0"/>
        <w:spacing w:line="360" w:lineRule="auto"/>
        <w:ind w:firstLine="420" w:firstLineChars="200"/>
        <w:jc w:val="left"/>
        <w:rPr>
          <w:rFonts w:hint="eastAsia" w:ascii="宋体" w:hAnsi="宋体" w:cs="宋体"/>
          <w:snapToGrid w:val="0"/>
          <w:kern w:val="0"/>
        </w:rPr>
      </w:pPr>
      <w:r>
        <w:rPr>
          <w:rFonts w:hint="eastAsia" w:ascii="宋体" w:hAnsi="宋体" w:cs="宋体"/>
          <w:snapToGrid w:val="0"/>
          <w:kern w:val="0"/>
        </w:rPr>
        <w:t>（1）比选人或比选申请人的主要负责人的近亲属；</w:t>
      </w:r>
    </w:p>
    <w:p w14:paraId="219FC9A9">
      <w:pPr>
        <w:autoSpaceDE w:val="0"/>
        <w:autoSpaceDN w:val="0"/>
        <w:adjustRightInd w:val="0"/>
        <w:snapToGrid w:val="0"/>
        <w:spacing w:line="360" w:lineRule="auto"/>
        <w:ind w:firstLine="420" w:firstLineChars="200"/>
        <w:jc w:val="left"/>
        <w:rPr>
          <w:rFonts w:hint="eastAsia" w:ascii="宋体" w:hAnsi="宋体" w:cs="宋体"/>
          <w:snapToGrid w:val="0"/>
          <w:kern w:val="0"/>
        </w:rPr>
      </w:pPr>
      <w:r>
        <w:rPr>
          <w:rFonts w:hint="eastAsia" w:ascii="宋体" w:hAnsi="宋体" w:cs="宋体"/>
          <w:snapToGrid w:val="0"/>
          <w:kern w:val="0"/>
        </w:rPr>
        <w:t>（2）项目主管部门或者行政监督部门的人员；</w:t>
      </w:r>
    </w:p>
    <w:p w14:paraId="0A080C40">
      <w:pPr>
        <w:autoSpaceDE w:val="0"/>
        <w:autoSpaceDN w:val="0"/>
        <w:adjustRightInd w:val="0"/>
        <w:snapToGrid w:val="0"/>
        <w:spacing w:line="360" w:lineRule="auto"/>
        <w:ind w:firstLine="420" w:firstLineChars="200"/>
        <w:jc w:val="left"/>
        <w:rPr>
          <w:rFonts w:hint="eastAsia" w:ascii="宋体" w:hAnsi="宋体" w:cs="宋体"/>
          <w:snapToGrid w:val="0"/>
          <w:kern w:val="0"/>
        </w:rPr>
      </w:pPr>
      <w:r>
        <w:rPr>
          <w:rFonts w:hint="eastAsia" w:ascii="宋体" w:hAnsi="宋体" w:cs="宋体"/>
          <w:snapToGrid w:val="0"/>
          <w:kern w:val="0"/>
        </w:rPr>
        <w:t>（3）与比选申请人有利害关系，可能影响对比选投标公正评审的；</w:t>
      </w:r>
    </w:p>
    <w:p w14:paraId="71CA9B09">
      <w:pPr>
        <w:autoSpaceDE w:val="0"/>
        <w:autoSpaceDN w:val="0"/>
        <w:adjustRightInd w:val="0"/>
        <w:snapToGrid w:val="0"/>
        <w:spacing w:line="360" w:lineRule="auto"/>
        <w:ind w:firstLine="420" w:firstLineChars="200"/>
        <w:jc w:val="left"/>
        <w:rPr>
          <w:rFonts w:hint="eastAsia" w:ascii="宋体" w:hAnsi="宋体" w:cs="宋体"/>
          <w:snapToGrid w:val="0"/>
          <w:kern w:val="0"/>
        </w:rPr>
      </w:pPr>
      <w:r>
        <w:rPr>
          <w:rFonts w:hint="eastAsia" w:ascii="宋体" w:hAnsi="宋体" w:cs="宋体"/>
          <w:snapToGrid w:val="0"/>
          <w:kern w:val="0"/>
        </w:rPr>
        <w:t>（4）曾因在招标、评标以及其他与招标投标有关活动中从事违法行为而受过行政处罚或刑事处罚的。</w:t>
      </w:r>
    </w:p>
    <w:p w14:paraId="04AA936C">
      <w:pPr>
        <w:autoSpaceDE w:val="0"/>
        <w:autoSpaceDN w:val="0"/>
        <w:adjustRightInd w:val="0"/>
        <w:snapToGrid w:val="0"/>
        <w:spacing w:line="360" w:lineRule="auto"/>
        <w:jc w:val="left"/>
        <w:rPr>
          <w:rFonts w:hint="eastAsia" w:ascii="宋体" w:hAnsi="宋体" w:cs="宋体"/>
          <w:snapToGrid w:val="0"/>
        </w:rPr>
      </w:pPr>
      <w:r>
        <w:rPr>
          <w:rFonts w:hint="eastAsia" w:ascii="宋体" w:hAnsi="宋体" w:cs="宋体"/>
          <w:snapToGrid w:val="0"/>
        </w:rPr>
        <w:t>6.2  评标</w:t>
      </w:r>
      <w:bookmarkEnd w:id="287"/>
      <w:bookmarkEnd w:id="288"/>
      <w:bookmarkEnd w:id="289"/>
      <w:bookmarkEnd w:id="290"/>
      <w:bookmarkEnd w:id="291"/>
    </w:p>
    <w:p w14:paraId="1EE6401F">
      <w:pPr>
        <w:autoSpaceDE w:val="0"/>
        <w:autoSpaceDN w:val="0"/>
        <w:adjustRightInd w:val="0"/>
        <w:snapToGrid w:val="0"/>
        <w:spacing w:line="360" w:lineRule="auto"/>
        <w:ind w:firstLine="420"/>
        <w:jc w:val="left"/>
        <w:rPr>
          <w:rFonts w:hint="eastAsia" w:ascii="宋体" w:hAnsi="宋体" w:cs="宋体"/>
          <w:snapToGrid w:val="0"/>
          <w:kern w:val="0"/>
        </w:rPr>
      </w:pPr>
      <w:r>
        <w:rPr>
          <w:rFonts w:hint="eastAsia" w:ascii="宋体" w:hAnsi="宋体" w:cs="宋体"/>
          <w:snapToGrid w:val="0"/>
          <w:kern w:val="0"/>
        </w:rPr>
        <w:t>评标委员会按照第三章“评标办法”规定的方法、评审因素、标准和程序对比选申请文件进行评审。第三章“评标办法”没有规定的方法、评审因素和标准，不作为评标依据。</w:t>
      </w:r>
    </w:p>
    <w:p w14:paraId="0236AD59">
      <w:pPr>
        <w:pStyle w:val="4"/>
        <w:rPr>
          <w:rFonts w:hint="eastAsia" w:ascii="宋体" w:hAnsi="宋体" w:eastAsia="宋体" w:cs="宋体"/>
          <w:snapToGrid w:val="0"/>
          <w:spacing w:val="0"/>
        </w:rPr>
      </w:pPr>
      <w:bookmarkStart w:id="292" w:name="_Toc22990050"/>
      <w:bookmarkStart w:id="293" w:name="_Toc200513164"/>
      <w:bookmarkStart w:id="294" w:name="_Toc406575107"/>
      <w:bookmarkStart w:id="295" w:name="_Toc487208685"/>
      <w:bookmarkStart w:id="296" w:name="_Toc22375608"/>
      <w:bookmarkStart w:id="297" w:name="_Toc492994365"/>
      <w:r>
        <w:rPr>
          <w:rFonts w:hint="eastAsia" w:ascii="宋体" w:hAnsi="宋体" w:eastAsia="宋体" w:cs="宋体"/>
          <w:snapToGrid w:val="0"/>
          <w:spacing w:val="0"/>
        </w:rPr>
        <w:t>7.  合同授予</w:t>
      </w:r>
      <w:bookmarkEnd w:id="292"/>
      <w:bookmarkEnd w:id="293"/>
      <w:bookmarkEnd w:id="294"/>
      <w:bookmarkEnd w:id="295"/>
      <w:bookmarkEnd w:id="296"/>
      <w:bookmarkEnd w:id="297"/>
    </w:p>
    <w:p w14:paraId="06A4D8C5">
      <w:pPr>
        <w:pStyle w:val="2"/>
        <w:snapToGrid w:val="0"/>
        <w:spacing w:before="0" w:line="360" w:lineRule="auto"/>
        <w:rPr>
          <w:rFonts w:hint="eastAsia" w:ascii="宋体" w:hAnsi="宋体" w:eastAsia="宋体" w:cs="宋体"/>
          <w:snapToGrid w:val="0"/>
        </w:rPr>
      </w:pPr>
      <w:bookmarkStart w:id="298" w:name="_Toc200513165"/>
      <w:bookmarkStart w:id="299" w:name="_Toc22990051"/>
      <w:bookmarkStart w:id="300" w:name="_Toc260741024"/>
      <w:bookmarkStart w:id="301" w:name="_Toc22375609"/>
      <w:bookmarkStart w:id="302" w:name="_Toc487208686"/>
      <w:bookmarkStart w:id="303" w:name="_Toc406575108"/>
      <w:bookmarkStart w:id="304" w:name="_Toc492994366"/>
      <w:r>
        <w:rPr>
          <w:rFonts w:hint="eastAsia" w:ascii="宋体" w:hAnsi="宋体" w:eastAsia="宋体" w:cs="宋体"/>
          <w:snapToGrid w:val="0"/>
        </w:rPr>
        <w:t>7.1  定标方式</w:t>
      </w:r>
      <w:bookmarkEnd w:id="298"/>
      <w:bookmarkEnd w:id="299"/>
      <w:bookmarkEnd w:id="300"/>
      <w:bookmarkEnd w:id="301"/>
      <w:bookmarkEnd w:id="302"/>
      <w:bookmarkEnd w:id="303"/>
      <w:bookmarkEnd w:id="304"/>
    </w:p>
    <w:p w14:paraId="7D1CC233">
      <w:pPr>
        <w:autoSpaceDE w:val="0"/>
        <w:autoSpaceDN w:val="0"/>
        <w:adjustRightInd w:val="0"/>
        <w:snapToGrid w:val="0"/>
        <w:spacing w:line="360" w:lineRule="auto"/>
        <w:ind w:firstLine="420"/>
        <w:jc w:val="left"/>
        <w:rPr>
          <w:rFonts w:hint="eastAsia" w:ascii="宋体" w:hAnsi="宋体" w:cs="宋体"/>
          <w:snapToGrid w:val="0"/>
          <w:kern w:val="0"/>
        </w:rPr>
      </w:pPr>
      <w:r>
        <w:rPr>
          <w:rFonts w:hint="eastAsia" w:ascii="宋体" w:hAnsi="宋体" w:cs="宋体"/>
          <w:snapToGrid w:val="0"/>
          <w:kern w:val="0"/>
        </w:rPr>
        <w:t>除比选申请人须知前附表规定评标委员会直接确定</w:t>
      </w:r>
      <w:r>
        <w:rPr>
          <w:rFonts w:hint="eastAsia" w:ascii="宋体" w:hAnsi="宋体" w:cs="宋体"/>
          <w:snapToGrid w:val="0"/>
          <w:kern w:val="0"/>
          <w:lang w:eastAsia="zh-CN"/>
        </w:rPr>
        <w:t>中选人</w:t>
      </w:r>
      <w:r>
        <w:rPr>
          <w:rFonts w:hint="eastAsia" w:ascii="宋体" w:hAnsi="宋体" w:cs="宋体"/>
          <w:snapToGrid w:val="0"/>
          <w:kern w:val="0"/>
        </w:rPr>
        <w:t>外，比选人依据评标委员会推荐的中标候选人确定</w:t>
      </w:r>
      <w:r>
        <w:rPr>
          <w:rFonts w:hint="eastAsia" w:ascii="宋体" w:hAnsi="宋体" w:cs="宋体"/>
          <w:snapToGrid w:val="0"/>
          <w:kern w:val="0"/>
          <w:lang w:eastAsia="zh-CN"/>
        </w:rPr>
        <w:t>中选人</w:t>
      </w:r>
      <w:r>
        <w:rPr>
          <w:rFonts w:hint="eastAsia" w:ascii="宋体" w:hAnsi="宋体" w:cs="宋体"/>
          <w:snapToGrid w:val="0"/>
          <w:kern w:val="0"/>
        </w:rPr>
        <w:t>，评标委员会推荐中标候选人的人数见比选申请人须知前附表。</w:t>
      </w:r>
    </w:p>
    <w:p w14:paraId="53531E0C">
      <w:pPr>
        <w:pStyle w:val="2"/>
        <w:snapToGrid w:val="0"/>
        <w:spacing w:before="0" w:line="360" w:lineRule="auto"/>
        <w:rPr>
          <w:rFonts w:hint="eastAsia" w:ascii="宋体" w:hAnsi="宋体" w:eastAsia="宋体" w:cs="宋体"/>
          <w:snapToGrid w:val="0"/>
        </w:rPr>
      </w:pPr>
      <w:bookmarkStart w:id="305" w:name="_Toc260741025"/>
      <w:bookmarkStart w:id="306" w:name="_Toc22375610"/>
      <w:bookmarkStart w:id="307" w:name="_Toc492994367"/>
      <w:bookmarkStart w:id="308" w:name="_Toc406575109"/>
      <w:bookmarkStart w:id="309" w:name="_Toc22990052"/>
      <w:bookmarkStart w:id="310" w:name="_Toc487208687"/>
      <w:bookmarkStart w:id="311" w:name="_Toc200513166"/>
      <w:r>
        <w:rPr>
          <w:rFonts w:hint="eastAsia" w:ascii="宋体" w:hAnsi="宋体" w:eastAsia="宋体" w:cs="宋体"/>
          <w:snapToGrid w:val="0"/>
        </w:rPr>
        <w:t>7.2  比选中标通知</w:t>
      </w:r>
      <w:bookmarkEnd w:id="305"/>
      <w:bookmarkEnd w:id="306"/>
      <w:bookmarkEnd w:id="307"/>
      <w:bookmarkEnd w:id="308"/>
      <w:bookmarkEnd w:id="309"/>
      <w:bookmarkEnd w:id="310"/>
      <w:bookmarkEnd w:id="311"/>
    </w:p>
    <w:p w14:paraId="36B482E8">
      <w:pPr>
        <w:autoSpaceDE w:val="0"/>
        <w:autoSpaceDN w:val="0"/>
        <w:adjustRightInd w:val="0"/>
        <w:snapToGrid w:val="0"/>
        <w:spacing w:line="360" w:lineRule="auto"/>
        <w:ind w:firstLine="420"/>
        <w:jc w:val="left"/>
        <w:rPr>
          <w:rFonts w:hint="eastAsia" w:ascii="宋体" w:hAnsi="宋体" w:cs="宋体"/>
          <w:snapToGrid w:val="0"/>
          <w:kern w:val="0"/>
        </w:rPr>
      </w:pPr>
      <w:r>
        <w:rPr>
          <w:rFonts w:hint="eastAsia" w:ascii="宋体" w:hAnsi="宋体" w:cs="宋体"/>
          <w:snapToGrid w:val="0"/>
          <w:kern w:val="0"/>
        </w:rPr>
        <w:t>在本章规定的比选投标有效期内，比选人</w:t>
      </w:r>
      <w:r>
        <w:rPr>
          <w:rFonts w:hint="eastAsia" w:ascii="宋体" w:hAnsi="宋体" w:cs="宋体"/>
        </w:rPr>
        <w:t>依法确定</w:t>
      </w:r>
      <w:r>
        <w:rPr>
          <w:rFonts w:hint="eastAsia" w:ascii="宋体" w:hAnsi="宋体" w:cs="宋体"/>
          <w:snapToGrid w:val="0"/>
          <w:kern w:val="0"/>
        </w:rPr>
        <w:t>比选</w:t>
      </w:r>
      <w:r>
        <w:rPr>
          <w:rFonts w:hint="eastAsia" w:ascii="宋体" w:hAnsi="宋体" w:cs="宋体"/>
          <w:snapToGrid w:val="0"/>
          <w:kern w:val="0"/>
          <w:lang w:eastAsia="zh-CN"/>
        </w:rPr>
        <w:t>中选人</w:t>
      </w:r>
      <w:r>
        <w:rPr>
          <w:rFonts w:hint="eastAsia" w:ascii="宋体" w:hAnsi="宋体" w:cs="宋体"/>
        </w:rPr>
        <w:t>后，比选代理机构</w:t>
      </w:r>
      <w:r>
        <w:rPr>
          <w:rFonts w:hint="eastAsia" w:ascii="宋体" w:hAnsi="宋体" w:cs="宋体"/>
          <w:snapToGrid w:val="0"/>
          <w:kern w:val="0"/>
        </w:rPr>
        <w:t>以书面形式向比选</w:t>
      </w:r>
      <w:r>
        <w:rPr>
          <w:rFonts w:hint="eastAsia" w:ascii="宋体" w:hAnsi="宋体" w:cs="宋体"/>
          <w:snapToGrid w:val="0"/>
          <w:kern w:val="0"/>
          <w:lang w:eastAsia="zh-CN"/>
        </w:rPr>
        <w:t>中选人</w:t>
      </w:r>
      <w:r>
        <w:rPr>
          <w:rFonts w:hint="eastAsia" w:ascii="宋体" w:hAnsi="宋体" w:cs="宋体"/>
          <w:snapToGrid w:val="0"/>
          <w:kern w:val="0"/>
        </w:rPr>
        <w:t>发出比选中标通知书，同时将比选中标结果通知未比选中标的比选申请人。</w:t>
      </w:r>
    </w:p>
    <w:p w14:paraId="460EE23C">
      <w:pPr>
        <w:pStyle w:val="2"/>
        <w:snapToGrid w:val="0"/>
        <w:spacing w:before="0" w:line="360" w:lineRule="auto"/>
        <w:rPr>
          <w:rFonts w:hint="eastAsia" w:ascii="宋体" w:hAnsi="宋体" w:eastAsia="宋体" w:cs="宋体"/>
          <w:snapToGrid w:val="0"/>
        </w:rPr>
      </w:pPr>
      <w:bookmarkStart w:id="312" w:name="_Toc22990053"/>
      <w:bookmarkStart w:id="313" w:name="_Toc200513167"/>
      <w:bookmarkStart w:id="314" w:name="_Toc406575110"/>
      <w:bookmarkStart w:id="315" w:name="_Toc260741026"/>
      <w:bookmarkStart w:id="316" w:name="_Toc492994368"/>
      <w:bookmarkStart w:id="317" w:name="_Toc487208688"/>
      <w:bookmarkStart w:id="318" w:name="_Toc22375611"/>
      <w:r>
        <w:rPr>
          <w:rFonts w:hint="eastAsia" w:ascii="宋体" w:hAnsi="宋体" w:eastAsia="宋体" w:cs="宋体"/>
          <w:snapToGrid w:val="0"/>
        </w:rPr>
        <w:t>7.3  履约担保</w:t>
      </w:r>
      <w:bookmarkEnd w:id="312"/>
      <w:bookmarkEnd w:id="313"/>
      <w:bookmarkEnd w:id="314"/>
      <w:bookmarkEnd w:id="315"/>
      <w:bookmarkEnd w:id="316"/>
      <w:bookmarkEnd w:id="317"/>
      <w:bookmarkEnd w:id="318"/>
    </w:p>
    <w:p w14:paraId="4409FD7A">
      <w:pPr>
        <w:wordWrap w:val="0"/>
        <w:autoSpaceDE w:val="0"/>
        <w:autoSpaceDN w:val="0"/>
        <w:adjustRightInd w:val="0"/>
        <w:snapToGrid w:val="0"/>
        <w:spacing w:line="360" w:lineRule="auto"/>
        <w:ind w:firstLine="420"/>
        <w:rPr>
          <w:rFonts w:hint="eastAsia" w:ascii="宋体" w:hAnsi="宋体" w:cs="宋体"/>
          <w:snapToGrid w:val="0"/>
          <w:kern w:val="0"/>
        </w:rPr>
      </w:pPr>
      <w:bookmarkStart w:id="319" w:name="_Toc492994369"/>
      <w:bookmarkStart w:id="320" w:name="_Toc200513168"/>
      <w:bookmarkStart w:id="321" w:name="_Toc487208689"/>
      <w:bookmarkStart w:id="322" w:name="_Toc406575111"/>
      <w:bookmarkStart w:id="323" w:name="_Toc260741027"/>
      <w:r>
        <w:rPr>
          <w:rFonts w:hint="eastAsia" w:ascii="宋体" w:hAnsi="宋体" w:cs="宋体"/>
          <w:snapToGrid w:val="0"/>
          <w:kern w:val="0"/>
        </w:rPr>
        <w:t xml:space="preserve">7.3.1  </w:t>
      </w:r>
      <w:r>
        <w:rPr>
          <w:rFonts w:hint="eastAsia" w:ascii="宋体" w:hAnsi="宋体" w:cs="宋体"/>
          <w:snapToGrid w:val="0"/>
          <w:kern w:val="0"/>
          <w:lang w:eastAsia="zh-CN"/>
        </w:rPr>
        <w:t>中选人</w:t>
      </w:r>
      <w:r>
        <w:rPr>
          <w:rFonts w:hint="eastAsia" w:ascii="宋体" w:hAnsi="宋体" w:cs="宋体"/>
          <w:snapToGrid w:val="0"/>
          <w:kern w:val="0"/>
        </w:rPr>
        <w:t>应按比选人须知前附表规定的时间、金额、担保形式和竞争性比选文件第四章“合同条款及格式”规定的履约担保格式向比选人提交履约担保。</w:t>
      </w:r>
    </w:p>
    <w:p w14:paraId="4E4DF774">
      <w:pPr>
        <w:wordWrap w:val="0"/>
        <w:autoSpaceDE w:val="0"/>
        <w:autoSpaceDN w:val="0"/>
        <w:adjustRightInd w:val="0"/>
        <w:snapToGrid w:val="0"/>
        <w:spacing w:line="360" w:lineRule="auto"/>
        <w:ind w:firstLine="420"/>
        <w:jc w:val="left"/>
        <w:rPr>
          <w:rFonts w:hint="eastAsia" w:ascii="宋体" w:hAnsi="宋体" w:cs="宋体"/>
          <w:snapToGrid w:val="0"/>
          <w:kern w:val="0"/>
        </w:rPr>
      </w:pPr>
      <w:r>
        <w:rPr>
          <w:rFonts w:hint="eastAsia" w:ascii="宋体" w:hAnsi="宋体" w:cs="宋体"/>
          <w:snapToGrid w:val="0"/>
          <w:kern w:val="0"/>
        </w:rPr>
        <w:t xml:space="preserve">7.3.2  </w:t>
      </w:r>
      <w:r>
        <w:rPr>
          <w:rFonts w:hint="eastAsia" w:ascii="宋体" w:hAnsi="宋体" w:cs="宋体"/>
          <w:snapToGrid w:val="0"/>
          <w:kern w:val="0"/>
          <w:lang w:eastAsia="zh-CN"/>
        </w:rPr>
        <w:t>中选人</w:t>
      </w:r>
      <w:r>
        <w:rPr>
          <w:rFonts w:hint="eastAsia" w:ascii="宋体" w:hAnsi="宋体" w:cs="宋体"/>
          <w:snapToGrid w:val="0"/>
          <w:kern w:val="0"/>
        </w:rPr>
        <w:t>不能按本章要求提交履约担保的，视为放弃中标。</w:t>
      </w:r>
    </w:p>
    <w:p w14:paraId="201AF795">
      <w:pPr>
        <w:pStyle w:val="2"/>
        <w:snapToGrid w:val="0"/>
        <w:spacing w:before="0" w:line="360" w:lineRule="auto"/>
        <w:rPr>
          <w:rFonts w:hint="eastAsia" w:ascii="宋体" w:hAnsi="宋体" w:eastAsia="宋体" w:cs="宋体"/>
          <w:snapToGrid w:val="0"/>
        </w:rPr>
      </w:pPr>
      <w:bookmarkStart w:id="324" w:name="_Toc22990054"/>
      <w:bookmarkStart w:id="325" w:name="_Toc22375612"/>
      <w:r>
        <w:rPr>
          <w:rFonts w:hint="eastAsia" w:ascii="宋体" w:hAnsi="宋体" w:eastAsia="宋体" w:cs="宋体"/>
          <w:snapToGrid w:val="0"/>
        </w:rPr>
        <w:t>7.4  签订合同</w:t>
      </w:r>
      <w:bookmarkEnd w:id="319"/>
      <w:bookmarkEnd w:id="320"/>
      <w:bookmarkEnd w:id="321"/>
      <w:bookmarkEnd w:id="322"/>
      <w:bookmarkEnd w:id="323"/>
      <w:bookmarkEnd w:id="324"/>
      <w:bookmarkEnd w:id="325"/>
    </w:p>
    <w:p w14:paraId="4598CBD2">
      <w:pPr>
        <w:autoSpaceDE w:val="0"/>
        <w:autoSpaceDN w:val="0"/>
        <w:adjustRightInd w:val="0"/>
        <w:snapToGrid w:val="0"/>
        <w:spacing w:line="360" w:lineRule="auto"/>
        <w:ind w:firstLine="420"/>
        <w:rPr>
          <w:rFonts w:hint="eastAsia" w:ascii="宋体" w:hAnsi="宋体" w:cs="宋体"/>
          <w:snapToGrid w:val="0"/>
          <w:kern w:val="0"/>
        </w:rPr>
      </w:pPr>
      <w:r>
        <w:rPr>
          <w:rFonts w:hint="eastAsia" w:ascii="宋体" w:hAnsi="宋体" w:cs="宋体"/>
          <w:snapToGrid w:val="0"/>
          <w:kern w:val="0"/>
        </w:rPr>
        <w:t>7.4.1 比选人和比选</w:t>
      </w:r>
      <w:r>
        <w:rPr>
          <w:rFonts w:hint="eastAsia" w:ascii="宋体" w:hAnsi="宋体" w:cs="宋体"/>
          <w:snapToGrid w:val="0"/>
          <w:kern w:val="0"/>
          <w:lang w:eastAsia="zh-CN"/>
        </w:rPr>
        <w:t>中选人</w:t>
      </w:r>
      <w:r>
        <w:rPr>
          <w:rFonts w:hint="eastAsia" w:ascii="宋体" w:hAnsi="宋体" w:cs="宋体"/>
          <w:snapToGrid w:val="0"/>
          <w:kern w:val="0"/>
        </w:rPr>
        <w:t>应当自比选中标通知书发出之日起30天内，根据比选文件和比选</w:t>
      </w:r>
      <w:r>
        <w:rPr>
          <w:rFonts w:hint="eastAsia" w:ascii="宋体" w:hAnsi="宋体" w:cs="宋体"/>
          <w:snapToGrid w:val="0"/>
          <w:kern w:val="0"/>
          <w:lang w:eastAsia="zh-CN"/>
        </w:rPr>
        <w:t>中选人</w:t>
      </w:r>
      <w:r>
        <w:rPr>
          <w:rFonts w:hint="eastAsia" w:ascii="宋体" w:hAnsi="宋体" w:cs="宋体"/>
          <w:snapToGrid w:val="0"/>
          <w:kern w:val="0"/>
        </w:rPr>
        <w:t>的比选申请文件订立书面合同。比选</w:t>
      </w:r>
      <w:r>
        <w:rPr>
          <w:rFonts w:hint="eastAsia" w:ascii="宋体" w:hAnsi="宋体" w:cs="宋体"/>
          <w:snapToGrid w:val="0"/>
          <w:kern w:val="0"/>
          <w:lang w:eastAsia="zh-CN"/>
        </w:rPr>
        <w:t>中选人</w:t>
      </w:r>
      <w:r>
        <w:rPr>
          <w:rFonts w:hint="eastAsia" w:ascii="宋体" w:hAnsi="宋体" w:cs="宋体"/>
          <w:snapToGrid w:val="0"/>
          <w:kern w:val="0"/>
        </w:rPr>
        <w:t>无正当理由拒签合同的，比选人取消其比选中标资格。</w:t>
      </w:r>
    </w:p>
    <w:p w14:paraId="11D01614">
      <w:pPr>
        <w:pStyle w:val="4"/>
        <w:rPr>
          <w:rFonts w:hint="eastAsia" w:ascii="宋体" w:hAnsi="宋体" w:eastAsia="宋体" w:cs="宋体"/>
          <w:snapToGrid w:val="0"/>
          <w:spacing w:val="0"/>
        </w:rPr>
      </w:pPr>
      <w:bookmarkStart w:id="326" w:name="_Toc487208690"/>
      <w:bookmarkStart w:id="327" w:name="_Toc22990055"/>
      <w:bookmarkStart w:id="328" w:name="_Toc22375613"/>
      <w:bookmarkStart w:id="329" w:name="_Toc492994370"/>
      <w:bookmarkStart w:id="330" w:name="_Toc406575112"/>
      <w:bookmarkStart w:id="331" w:name="_Toc200513169"/>
      <w:r>
        <w:rPr>
          <w:rFonts w:hint="eastAsia" w:ascii="宋体" w:hAnsi="宋体" w:eastAsia="宋体" w:cs="宋体"/>
          <w:snapToGrid w:val="0"/>
          <w:spacing w:val="0"/>
        </w:rPr>
        <w:t>8.  重新比选招标和不再比选招标</w:t>
      </w:r>
      <w:bookmarkEnd w:id="326"/>
      <w:bookmarkEnd w:id="327"/>
      <w:bookmarkEnd w:id="328"/>
      <w:bookmarkEnd w:id="329"/>
      <w:bookmarkEnd w:id="330"/>
      <w:bookmarkEnd w:id="331"/>
    </w:p>
    <w:p w14:paraId="76EBA81F">
      <w:pPr>
        <w:pStyle w:val="2"/>
        <w:snapToGrid w:val="0"/>
        <w:spacing w:before="0" w:line="360" w:lineRule="auto"/>
        <w:rPr>
          <w:rFonts w:hint="eastAsia" w:ascii="宋体" w:hAnsi="宋体" w:eastAsia="宋体" w:cs="宋体"/>
          <w:snapToGrid w:val="0"/>
        </w:rPr>
      </w:pPr>
      <w:bookmarkStart w:id="332" w:name="_Toc492994371"/>
      <w:bookmarkStart w:id="333" w:name="_Toc406575113"/>
      <w:bookmarkStart w:id="334" w:name="_Toc22990056"/>
      <w:bookmarkStart w:id="335" w:name="_Toc22375614"/>
      <w:bookmarkStart w:id="336" w:name="_Toc200513170"/>
      <w:bookmarkStart w:id="337" w:name="_Toc487208691"/>
      <w:bookmarkStart w:id="338" w:name="_Toc260741029"/>
      <w:r>
        <w:rPr>
          <w:rFonts w:hint="eastAsia" w:ascii="宋体" w:hAnsi="宋体" w:eastAsia="宋体" w:cs="宋体"/>
          <w:snapToGrid w:val="0"/>
        </w:rPr>
        <w:t>8.1  重新比选招标</w:t>
      </w:r>
      <w:bookmarkEnd w:id="332"/>
      <w:bookmarkEnd w:id="333"/>
      <w:bookmarkEnd w:id="334"/>
      <w:bookmarkEnd w:id="335"/>
      <w:bookmarkEnd w:id="336"/>
      <w:bookmarkEnd w:id="337"/>
      <w:bookmarkEnd w:id="338"/>
    </w:p>
    <w:p w14:paraId="499DA991">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有下列情形之一的，比选人将重新比选招标：</w:t>
      </w:r>
    </w:p>
    <w:p w14:paraId="407F06B4">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（1）比选投标截止时间止，比选申请人少于 3 个的；</w:t>
      </w:r>
    </w:p>
    <w:p w14:paraId="6430F7DD">
      <w:pPr>
        <w:autoSpaceDE w:val="0"/>
        <w:autoSpaceDN w:val="0"/>
        <w:adjustRightInd w:val="0"/>
        <w:snapToGrid w:val="0"/>
        <w:spacing w:line="360" w:lineRule="auto"/>
        <w:ind w:left="359" w:leftChars="171"/>
        <w:jc w:val="left"/>
        <w:rPr>
          <w:rFonts w:hint="eastAsia" w:ascii="宋体" w:hAnsi="宋体" w:cs="宋体"/>
          <w:snapToGrid w:val="0"/>
          <w:kern w:val="0"/>
        </w:rPr>
      </w:pPr>
      <w:r>
        <w:rPr>
          <w:rFonts w:hint="eastAsia" w:ascii="宋体" w:hAnsi="宋体" w:cs="宋体"/>
          <w:snapToGrid w:val="0"/>
          <w:kern w:val="0"/>
        </w:rPr>
        <w:t>（2）经评标委员会评审后否决所有比选投标的。</w:t>
      </w:r>
    </w:p>
    <w:p w14:paraId="45A1B645">
      <w:pPr>
        <w:pStyle w:val="4"/>
        <w:rPr>
          <w:rFonts w:hint="eastAsia" w:ascii="宋体" w:hAnsi="宋体" w:eastAsia="宋体" w:cs="宋体"/>
          <w:snapToGrid w:val="0"/>
          <w:spacing w:val="0"/>
        </w:rPr>
      </w:pPr>
      <w:bookmarkStart w:id="339" w:name="_Toc487208693"/>
      <w:bookmarkStart w:id="340" w:name="_Toc22375615"/>
      <w:bookmarkStart w:id="341" w:name="_Toc406575115"/>
      <w:bookmarkStart w:id="342" w:name="_Toc22990057"/>
      <w:bookmarkStart w:id="343" w:name="_Toc492994373"/>
      <w:bookmarkStart w:id="344" w:name="_Toc200513172"/>
      <w:r>
        <w:rPr>
          <w:rFonts w:hint="eastAsia" w:ascii="宋体" w:hAnsi="宋体" w:eastAsia="宋体" w:cs="宋体"/>
          <w:snapToGrid w:val="0"/>
          <w:spacing w:val="0"/>
        </w:rPr>
        <w:t>9.  纪律和监督</w:t>
      </w:r>
      <w:bookmarkEnd w:id="339"/>
      <w:bookmarkEnd w:id="340"/>
      <w:bookmarkEnd w:id="341"/>
      <w:bookmarkEnd w:id="342"/>
      <w:bookmarkEnd w:id="343"/>
      <w:bookmarkEnd w:id="344"/>
    </w:p>
    <w:p w14:paraId="67DA5EDD">
      <w:pPr>
        <w:pStyle w:val="2"/>
        <w:snapToGrid w:val="0"/>
        <w:spacing w:before="0" w:line="360" w:lineRule="auto"/>
        <w:rPr>
          <w:rFonts w:hint="eastAsia" w:ascii="宋体" w:hAnsi="宋体" w:eastAsia="宋体" w:cs="宋体"/>
          <w:snapToGrid w:val="0"/>
        </w:rPr>
      </w:pPr>
      <w:bookmarkStart w:id="345" w:name="_Toc406575116"/>
      <w:bookmarkStart w:id="346" w:name="_Toc22375616"/>
      <w:bookmarkStart w:id="347" w:name="_Toc260741032"/>
      <w:bookmarkStart w:id="348" w:name="_Toc22990058"/>
      <w:bookmarkStart w:id="349" w:name="_Toc487208694"/>
      <w:bookmarkStart w:id="350" w:name="_Toc200513173"/>
      <w:bookmarkStart w:id="351" w:name="_Toc492994374"/>
      <w:r>
        <w:rPr>
          <w:rFonts w:hint="eastAsia" w:ascii="宋体" w:hAnsi="宋体" w:eastAsia="宋体" w:cs="宋体"/>
          <w:snapToGrid w:val="0"/>
        </w:rPr>
        <w:t>9.1  对比选人的纪律要求</w:t>
      </w:r>
      <w:bookmarkEnd w:id="345"/>
      <w:bookmarkEnd w:id="346"/>
      <w:bookmarkEnd w:id="347"/>
      <w:bookmarkEnd w:id="348"/>
      <w:bookmarkEnd w:id="349"/>
      <w:bookmarkEnd w:id="350"/>
      <w:bookmarkEnd w:id="351"/>
    </w:p>
    <w:p w14:paraId="3F763068">
      <w:pPr>
        <w:autoSpaceDE w:val="0"/>
        <w:autoSpaceDN w:val="0"/>
        <w:adjustRightInd w:val="0"/>
        <w:snapToGrid w:val="0"/>
        <w:spacing w:line="360" w:lineRule="auto"/>
        <w:ind w:firstLine="420"/>
        <w:jc w:val="left"/>
        <w:rPr>
          <w:rFonts w:hint="eastAsia" w:ascii="宋体" w:hAnsi="宋体" w:cs="宋体"/>
          <w:snapToGrid w:val="0"/>
          <w:kern w:val="0"/>
        </w:rPr>
      </w:pPr>
      <w:r>
        <w:rPr>
          <w:rFonts w:hint="eastAsia" w:ascii="宋体" w:hAnsi="宋体" w:cs="宋体"/>
          <w:snapToGrid w:val="0"/>
          <w:kern w:val="0"/>
        </w:rPr>
        <w:t>比选人不得泄漏比选招标投标活动中应当保密的情况和资料，不得与比选申请人串通损害国家利 益、社会公共利益或者他人合法权益。</w:t>
      </w:r>
    </w:p>
    <w:p w14:paraId="342BE3BE">
      <w:pPr>
        <w:pStyle w:val="2"/>
        <w:snapToGrid w:val="0"/>
        <w:spacing w:line="360" w:lineRule="auto"/>
        <w:rPr>
          <w:rFonts w:hint="eastAsia" w:ascii="宋体" w:hAnsi="宋体" w:eastAsia="宋体" w:cs="宋体"/>
          <w:snapToGrid w:val="0"/>
        </w:rPr>
      </w:pPr>
      <w:bookmarkStart w:id="352" w:name="_Toc487208696"/>
      <w:bookmarkStart w:id="353" w:name="_Toc224103365"/>
      <w:bookmarkStart w:id="354" w:name="_Toc492994375"/>
      <w:bookmarkStart w:id="355" w:name="_Toc22990059"/>
      <w:bookmarkStart w:id="356" w:name="_Toc287607794"/>
      <w:bookmarkStart w:id="357" w:name="_Toc277082600"/>
      <w:bookmarkStart w:id="358" w:name="_Toc12093"/>
      <w:bookmarkStart w:id="359" w:name="_Toc22375617"/>
      <w:bookmarkStart w:id="360" w:name="_Toc287620733"/>
      <w:bookmarkStart w:id="361" w:name="_Toc200513175"/>
      <w:bookmarkStart w:id="362" w:name="_Toc406575118"/>
      <w:bookmarkStart w:id="363" w:name="_Toc260741034"/>
      <w:r>
        <w:rPr>
          <w:rFonts w:hint="eastAsia" w:ascii="宋体" w:hAnsi="宋体" w:eastAsia="宋体" w:cs="宋体"/>
          <w:snapToGrid w:val="0"/>
        </w:rPr>
        <w:t>9.2  对比选申请人的纪律要求</w:t>
      </w:r>
      <w:bookmarkEnd w:id="352"/>
      <w:bookmarkEnd w:id="353"/>
      <w:bookmarkEnd w:id="354"/>
      <w:bookmarkEnd w:id="355"/>
      <w:bookmarkEnd w:id="356"/>
      <w:bookmarkEnd w:id="357"/>
      <w:bookmarkEnd w:id="358"/>
      <w:bookmarkEnd w:id="359"/>
      <w:bookmarkEnd w:id="360"/>
    </w:p>
    <w:p w14:paraId="12CCC153">
      <w:pPr>
        <w:autoSpaceDE w:val="0"/>
        <w:autoSpaceDN w:val="0"/>
        <w:adjustRightInd w:val="0"/>
        <w:snapToGrid w:val="0"/>
        <w:spacing w:line="360" w:lineRule="auto"/>
        <w:ind w:firstLine="420"/>
        <w:rPr>
          <w:rFonts w:hint="eastAsia" w:ascii="宋体" w:hAnsi="宋体" w:cs="宋体"/>
          <w:snapToGrid w:val="0"/>
          <w:kern w:val="0"/>
        </w:rPr>
      </w:pPr>
      <w:r>
        <w:rPr>
          <w:rFonts w:hint="eastAsia" w:ascii="宋体" w:hAnsi="宋体" w:cs="宋体"/>
          <w:snapToGrid w:val="0"/>
          <w:kern w:val="0"/>
        </w:rPr>
        <w:t>比选申请人不得相互串通比选投标或者与比选人串通比选投标，不得向比选人或者评标委员会成员行贿谋取比选中标，不得以他人名义比选投标或者以其他方式弄虚作假骗取比选中标；比选申请人不得以任何方式干扰、影响评标工作。</w:t>
      </w:r>
    </w:p>
    <w:p w14:paraId="542143B3">
      <w:pPr>
        <w:autoSpaceDE w:val="0"/>
        <w:autoSpaceDN w:val="0"/>
        <w:adjustRightInd w:val="0"/>
        <w:snapToGrid w:val="0"/>
        <w:spacing w:line="360" w:lineRule="auto"/>
        <w:ind w:firstLine="420"/>
        <w:rPr>
          <w:rFonts w:hint="eastAsia" w:ascii="宋体" w:hAnsi="宋体" w:cs="宋体"/>
        </w:rPr>
      </w:pPr>
      <w:r>
        <w:rPr>
          <w:rFonts w:hint="eastAsia" w:ascii="宋体" w:hAnsi="宋体" w:cs="宋体"/>
        </w:rPr>
        <w:t xml:space="preserve"> 有下列情形之一的，属于比选申请人相互串通比选投标：</w:t>
      </w:r>
    </w:p>
    <w:p w14:paraId="1B2F0CDC">
      <w:pPr>
        <w:autoSpaceDE w:val="0"/>
        <w:autoSpaceDN w:val="0"/>
        <w:adjustRightInd w:val="0"/>
        <w:snapToGrid w:val="0"/>
        <w:spacing w:line="360" w:lineRule="auto"/>
        <w:ind w:firstLine="840" w:firstLineChars="400"/>
        <w:rPr>
          <w:rFonts w:hint="eastAsia" w:ascii="宋体" w:hAnsi="宋体" w:cs="宋体"/>
        </w:rPr>
      </w:pPr>
      <w:r>
        <w:rPr>
          <w:rFonts w:hint="eastAsia" w:ascii="宋体" w:hAnsi="宋体" w:cs="宋体"/>
        </w:rPr>
        <w:t>（1）比选申请人之间协商比选报价等比选申请文件的实质性内容；</w:t>
      </w:r>
    </w:p>
    <w:p w14:paraId="770D1DCC">
      <w:pPr>
        <w:autoSpaceDE w:val="0"/>
        <w:autoSpaceDN w:val="0"/>
        <w:adjustRightInd w:val="0"/>
        <w:snapToGrid w:val="0"/>
        <w:spacing w:line="360" w:lineRule="auto"/>
        <w:ind w:firstLine="420"/>
        <w:rPr>
          <w:rFonts w:hint="eastAsia" w:ascii="宋体" w:hAnsi="宋体" w:cs="宋体"/>
        </w:rPr>
      </w:pPr>
      <w:r>
        <w:rPr>
          <w:rFonts w:hint="eastAsia" w:ascii="宋体" w:hAnsi="宋体" w:cs="宋体"/>
        </w:rPr>
        <w:t>  （2）比选申请人之间约定比选</w:t>
      </w:r>
      <w:r>
        <w:rPr>
          <w:rFonts w:hint="eastAsia" w:ascii="宋体" w:hAnsi="宋体" w:cs="宋体"/>
          <w:lang w:eastAsia="zh-CN"/>
        </w:rPr>
        <w:t>中选人</w:t>
      </w:r>
      <w:r>
        <w:rPr>
          <w:rFonts w:hint="eastAsia" w:ascii="宋体" w:hAnsi="宋体" w:cs="宋体"/>
        </w:rPr>
        <w:t>；</w:t>
      </w:r>
    </w:p>
    <w:p w14:paraId="4D3D1F0F">
      <w:pPr>
        <w:autoSpaceDE w:val="0"/>
        <w:autoSpaceDN w:val="0"/>
        <w:adjustRightInd w:val="0"/>
        <w:snapToGrid w:val="0"/>
        <w:spacing w:line="360" w:lineRule="auto"/>
        <w:ind w:firstLine="420"/>
        <w:rPr>
          <w:rFonts w:hint="eastAsia" w:ascii="宋体" w:hAnsi="宋体" w:cs="宋体"/>
        </w:rPr>
      </w:pPr>
      <w:r>
        <w:rPr>
          <w:rFonts w:hint="eastAsia" w:ascii="宋体" w:hAnsi="宋体" w:cs="宋体"/>
        </w:rPr>
        <w:t>  （3）比选申请人之间约定部分比选申请人放弃比选投标或者比选中标；</w:t>
      </w:r>
    </w:p>
    <w:p w14:paraId="3CDD5758">
      <w:pPr>
        <w:autoSpaceDE w:val="0"/>
        <w:autoSpaceDN w:val="0"/>
        <w:adjustRightInd w:val="0"/>
        <w:snapToGrid w:val="0"/>
        <w:spacing w:line="360" w:lineRule="auto"/>
        <w:ind w:firstLine="420"/>
        <w:rPr>
          <w:rFonts w:hint="eastAsia" w:ascii="宋体" w:hAnsi="宋体" w:cs="宋体"/>
        </w:rPr>
      </w:pPr>
      <w:r>
        <w:rPr>
          <w:rFonts w:hint="eastAsia" w:ascii="宋体" w:hAnsi="宋体" w:cs="宋体"/>
        </w:rPr>
        <w:t>  （4）属于同一集团、协会、商会等组织成员的比选申请人按照该组织要求协同比选投标；</w:t>
      </w:r>
    </w:p>
    <w:p w14:paraId="126C9D18">
      <w:pPr>
        <w:autoSpaceDE w:val="0"/>
        <w:autoSpaceDN w:val="0"/>
        <w:adjustRightInd w:val="0"/>
        <w:snapToGrid w:val="0"/>
        <w:spacing w:line="360" w:lineRule="auto"/>
        <w:ind w:firstLine="420"/>
        <w:rPr>
          <w:rFonts w:hint="eastAsia" w:ascii="宋体" w:hAnsi="宋体" w:cs="宋体"/>
        </w:rPr>
      </w:pPr>
      <w:r>
        <w:rPr>
          <w:rFonts w:hint="eastAsia" w:ascii="宋体" w:hAnsi="宋体" w:cs="宋体"/>
        </w:rPr>
        <w:t>  （5）比选申请人之间为谋取比选中标或者排斥特定比选申请人而采取的其他联合行动。</w:t>
      </w:r>
    </w:p>
    <w:p w14:paraId="6BD35830">
      <w:pPr>
        <w:autoSpaceDE w:val="0"/>
        <w:autoSpaceDN w:val="0"/>
        <w:adjustRightInd w:val="0"/>
        <w:snapToGrid w:val="0"/>
        <w:spacing w:line="360" w:lineRule="auto"/>
        <w:ind w:firstLine="420"/>
        <w:rPr>
          <w:rFonts w:hint="eastAsia" w:ascii="宋体" w:hAnsi="宋体" w:cs="宋体"/>
        </w:rPr>
      </w:pPr>
      <w:r>
        <w:rPr>
          <w:rFonts w:hint="eastAsia" w:ascii="宋体" w:hAnsi="宋体" w:cs="宋体"/>
        </w:rPr>
        <w:t>有下列情形之一的，视为比选申请人相互串通比选投标：</w:t>
      </w:r>
    </w:p>
    <w:p w14:paraId="25EB2BAA">
      <w:pPr>
        <w:autoSpaceDE w:val="0"/>
        <w:autoSpaceDN w:val="0"/>
        <w:adjustRightInd w:val="0"/>
        <w:snapToGrid w:val="0"/>
        <w:spacing w:line="360" w:lineRule="auto"/>
        <w:ind w:firstLine="420"/>
        <w:rPr>
          <w:rFonts w:hint="eastAsia" w:ascii="宋体" w:hAnsi="宋体" w:cs="宋体"/>
        </w:rPr>
      </w:pPr>
      <w:r>
        <w:rPr>
          <w:rFonts w:hint="eastAsia" w:ascii="宋体" w:hAnsi="宋体" w:cs="宋体"/>
        </w:rPr>
        <w:t>  （1）不同比选申请人的比选申请文件由同一单位或者个人编制；</w:t>
      </w:r>
    </w:p>
    <w:p w14:paraId="49F6E6E8">
      <w:pPr>
        <w:autoSpaceDE w:val="0"/>
        <w:autoSpaceDN w:val="0"/>
        <w:adjustRightInd w:val="0"/>
        <w:snapToGrid w:val="0"/>
        <w:spacing w:line="360" w:lineRule="auto"/>
        <w:ind w:firstLine="420"/>
        <w:rPr>
          <w:rFonts w:hint="eastAsia" w:ascii="宋体" w:hAnsi="宋体" w:cs="宋体"/>
        </w:rPr>
      </w:pPr>
      <w:r>
        <w:rPr>
          <w:rFonts w:hint="eastAsia" w:ascii="宋体" w:hAnsi="宋体" w:cs="宋体"/>
        </w:rPr>
        <w:t>  （2）不同比选申请人委托同一单位或者个人办理比选投标事宜；</w:t>
      </w:r>
    </w:p>
    <w:p w14:paraId="20053D6E">
      <w:pPr>
        <w:autoSpaceDE w:val="0"/>
        <w:autoSpaceDN w:val="0"/>
        <w:adjustRightInd w:val="0"/>
        <w:snapToGrid w:val="0"/>
        <w:spacing w:line="360" w:lineRule="auto"/>
        <w:ind w:firstLine="420"/>
        <w:rPr>
          <w:rFonts w:hint="eastAsia" w:ascii="宋体" w:hAnsi="宋体" w:cs="宋体"/>
        </w:rPr>
      </w:pPr>
      <w:r>
        <w:rPr>
          <w:rFonts w:hint="eastAsia" w:ascii="宋体" w:hAnsi="宋体" w:cs="宋体"/>
        </w:rPr>
        <w:t>  （3）不同比选申请人的比选申请文件载明的项目管理成员为同一人；</w:t>
      </w:r>
    </w:p>
    <w:p w14:paraId="04127510">
      <w:pPr>
        <w:autoSpaceDE w:val="0"/>
        <w:autoSpaceDN w:val="0"/>
        <w:adjustRightInd w:val="0"/>
        <w:snapToGrid w:val="0"/>
        <w:spacing w:line="360" w:lineRule="auto"/>
        <w:ind w:firstLine="420"/>
        <w:rPr>
          <w:rFonts w:hint="eastAsia" w:ascii="宋体" w:hAnsi="宋体" w:cs="宋体"/>
        </w:rPr>
      </w:pPr>
      <w:r>
        <w:rPr>
          <w:rFonts w:hint="eastAsia" w:ascii="宋体" w:hAnsi="宋体" w:cs="宋体"/>
        </w:rPr>
        <w:t>  （4）不同比选申请人的比选申请文件异常一致或者比选报价呈规律性差异；</w:t>
      </w:r>
    </w:p>
    <w:p w14:paraId="5321A0F5">
      <w:pPr>
        <w:autoSpaceDE w:val="0"/>
        <w:autoSpaceDN w:val="0"/>
        <w:adjustRightInd w:val="0"/>
        <w:snapToGrid w:val="0"/>
        <w:spacing w:line="360" w:lineRule="auto"/>
        <w:ind w:firstLine="420"/>
        <w:rPr>
          <w:rFonts w:hint="eastAsia" w:ascii="宋体" w:hAnsi="宋体" w:cs="宋体"/>
        </w:rPr>
      </w:pPr>
      <w:r>
        <w:rPr>
          <w:rFonts w:hint="eastAsia" w:ascii="宋体" w:hAnsi="宋体" w:cs="宋体"/>
        </w:rPr>
        <w:t>  （5）不同比选申请人的比选申请文件相互混装；</w:t>
      </w:r>
    </w:p>
    <w:p w14:paraId="4C28AF0B">
      <w:pPr>
        <w:autoSpaceDE w:val="0"/>
        <w:autoSpaceDN w:val="0"/>
        <w:adjustRightInd w:val="0"/>
        <w:snapToGrid w:val="0"/>
        <w:spacing w:line="360" w:lineRule="auto"/>
        <w:ind w:firstLine="420"/>
        <w:rPr>
          <w:rFonts w:hint="eastAsia" w:ascii="宋体" w:hAnsi="宋体" w:cs="宋体"/>
        </w:rPr>
      </w:pPr>
      <w:r>
        <w:rPr>
          <w:rFonts w:hint="eastAsia" w:ascii="宋体" w:hAnsi="宋体" w:cs="宋体"/>
        </w:rPr>
        <w:t>比选申请人的委托代理人或其他管理人员，必须为本单位在职人员，否则视为以他人名义比选投标。</w:t>
      </w:r>
    </w:p>
    <w:p w14:paraId="4FD0233E">
      <w:pPr>
        <w:autoSpaceDE w:val="0"/>
        <w:autoSpaceDN w:val="0"/>
        <w:adjustRightInd w:val="0"/>
        <w:snapToGrid w:val="0"/>
        <w:spacing w:line="360" w:lineRule="auto"/>
        <w:ind w:firstLine="315" w:firstLineChars="150"/>
        <w:rPr>
          <w:rFonts w:hint="eastAsia" w:ascii="宋体" w:hAnsi="宋体" w:cs="宋体"/>
        </w:rPr>
      </w:pPr>
      <w:r>
        <w:rPr>
          <w:rFonts w:hint="eastAsia" w:ascii="宋体" w:hAnsi="宋体" w:cs="宋体"/>
        </w:rPr>
        <w:t>本单位在职人员除满足比选申请人须之前附表规定外还需满足以下条件：</w:t>
      </w:r>
    </w:p>
    <w:p w14:paraId="7EE4F117">
      <w:pPr>
        <w:autoSpaceDE w:val="0"/>
        <w:autoSpaceDN w:val="0"/>
        <w:adjustRightInd w:val="0"/>
        <w:snapToGrid w:val="0"/>
        <w:spacing w:line="360" w:lineRule="auto"/>
        <w:ind w:firstLine="840" w:firstLineChars="400"/>
        <w:rPr>
          <w:rFonts w:hint="eastAsia" w:ascii="宋体" w:hAnsi="宋体" w:cs="宋体"/>
        </w:rPr>
      </w:pPr>
      <w:r>
        <w:rPr>
          <w:rFonts w:hint="eastAsia" w:ascii="宋体" w:hAnsi="宋体" w:cs="宋体"/>
        </w:rPr>
        <w:t>（1）与比选申请人有合法的劳动合同关系</w:t>
      </w:r>
    </w:p>
    <w:p w14:paraId="3001EAF4">
      <w:pPr>
        <w:autoSpaceDE w:val="0"/>
        <w:autoSpaceDN w:val="0"/>
        <w:adjustRightInd w:val="0"/>
        <w:snapToGrid w:val="0"/>
        <w:spacing w:line="360" w:lineRule="auto"/>
        <w:ind w:firstLine="840" w:firstLineChars="400"/>
        <w:rPr>
          <w:rFonts w:hint="eastAsia" w:ascii="宋体" w:hAnsi="宋体" w:cs="宋体"/>
        </w:rPr>
      </w:pPr>
      <w:r>
        <w:rPr>
          <w:rFonts w:hint="eastAsia" w:ascii="宋体" w:hAnsi="宋体" w:cs="宋体"/>
        </w:rPr>
        <w:t>（2）与比选申请人有合法的劳动报酬关系</w:t>
      </w:r>
    </w:p>
    <w:p w14:paraId="549F662F">
      <w:pPr>
        <w:autoSpaceDE w:val="0"/>
        <w:autoSpaceDN w:val="0"/>
        <w:adjustRightInd w:val="0"/>
        <w:snapToGrid w:val="0"/>
        <w:spacing w:line="360" w:lineRule="auto"/>
        <w:ind w:firstLine="420" w:firstLineChars="200"/>
        <w:rPr>
          <w:rFonts w:hint="eastAsia" w:ascii="宋体" w:hAnsi="宋体" w:cs="宋体"/>
        </w:rPr>
      </w:pPr>
      <w:r>
        <w:rPr>
          <w:rFonts w:hint="eastAsia" w:ascii="宋体" w:hAnsi="宋体" w:cs="宋体"/>
        </w:rPr>
        <w:t>比选申请人有下列情形之一的，属于以其他方式弄虚作假的行为：</w:t>
      </w:r>
    </w:p>
    <w:p w14:paraId="02200739">
      <w:pPr>
        <w:autoSpaceDE w:val="0"/>
        <w:autoSpaceDN w:val="0"/>
        <w:adjustRightInd w:val="0"/>
        <w:snapToGrid w:val="0"/>
        <w:spacing w:line="360" w:lineRule="auto"/>
        <w:ind w:firstLine="420" w:firstLineChars="200"/>
        <w:rPr>
          <w:rFonts w:hint="eastAsia" w:ascii="宋体" w:hAnsi="宋体" w:cs="宋体"/>
        </w:rPr>
      </w:pPr>
      <w:r>
        <w:rPr>
          <w:rFonts w:hint="eastAsia" w:ascii="宋体" w:hAnsi="宋体" w:cs="宋体"/>
        </w:rPr>
        <w:t>    （一）使用伪造、变造的许可证件；</w:t>
      </w:r>
    </w:p>
    <w:p w14:paraId="21C1C9A2">
      <w:pPr>
        <w:autoSpaceDE w:val="0"/>
        <w:autoSpaceDN w:val="0"/>
        <w:adjustRightInd w:val="0"/>
        <w:snapToGrid w:val="0"/>
        <w:spacing w:line="360" w:lineRule="auto"/>
        <w:ind w:firstLine="420" w:firstLineChars="200"/>
        <w:rPr>
          <w:rFonts w:hint="eastAsia" w:ascii="宋体" w:hAnsi="宋体" w:cs="宋体"/>
        </w:rPr>
      </w:pPr>
      <w:r>
        <w:rPr>
          <w:rFonts w:hint="eastAsia" w:ascii="宋体" w:hAnsi="宋体" w:cs="宋体"/>
        </w:rPr>
        <w:t>    （二）提供虚假的财务状况或者业绩；</w:t>
      </w:r>
    </w:p>
    <w:p w14:paraId="226120F9">
      <w:pPr>
        <w:autoSpaceDE w:val="0"/>
        <w:autoSpaceDN w:val="0"/>
        <w:adjustRightInd w:val="0"/>
        <w:snapToGrid w:val="0"/>
        <w:spacing w:line="360" w:lineRule="auto"/>
        <w:ind w:firstLine="420" w:firstLineChars="200"/>
        <w:rPr>
          <w:rFonts w:hint="eastAsia" w:ascii="宋体" w:hAnsi="宋体" w:cs="宋体"/>
        </w:rPr>
      </w:pPr>
      <w:r>
        <w:rPr>
          <w:rFonts w:hint="eastAsia" w:ascii="宋体" w:hAnsi="宋体" w:cs="宋体"/>
        </w:rPr>
        <w:t>    （三）提供虚假的项目负责人或者主要技术人员简历、劳动关系证明；</w:t>
      </w:r>
    </w:p>
    <w:p w14:paraId="033AC821">
      <w:pPr>
        <w:autoSpaceDE w:val="0"/>
        <w:autoSpaceDN w:val="0"/>
        <w:adjustRightInd w:val="0"/>
        <w:snapToGrid w:val="0"/>
        <w:spacing w:line="360" w:lineRule="auto"/>
        <w:ind w:firstLine="420" w:firstLineChars="200"/>
        <w:rPr>
          <w:rFonts w:hint="eastAsia" w:ascii="宋体" w:hAnsi="宋体" w:cs="宋体"/>
        </w:rPr>
      </w:pPr>
      <w:r>
        <w:rPr>
          <w:rFonts w:hint="eastAsia" w:ascii="宋体" w:hAnsi="宋体" w:cs="宋体"/>
        </w:rPr>
        <w:t>    （四）提供虚假的信用状况；</w:t>
      </w:r>
    </w:p>
    <w:p w14:paraId="011C3B09">
      <w:pPr>
        <w:autoSpaceDE w:val="0"/>
        <w:autoSpaceDN w:val="0"/>
        <w:adjustRightInd w:val="0"/>
        <w:snapToGrid w:val="0"/>
        <w:spacing w:line="360" w:lineRule="auto"/>
        <w:ind w:firstLine="420" w:firstLineChars="200"/>
        <w:rPr>
          <w:rFonts w:hint="eastAsia" w:ascii="宋体" w:hAnsi="宋体" w:cs="宋体"/>
          <w:snapToGrid w:val="0"/>
          <w:kern w:val="0"/>
        </w:rPr>
      </w:pPr>
      <w:r>
        <w:rPr>
          <w:rFonts w:hint="eastAsia" w:ascii="宋体" w:hAnsi="宋体" w:cs="宋体"/>
        </w:rPr>
        <w:t>    （五）其他弄虚作假的行为。</w:t>
      </w:r>
    </w:p>
    <w:p w14:paraId="33117FB8">
      <w:pPr>
        <w:pStyle w:val="2"/>
        <w:snapToGrid w:val="0"/>
        <w:spacing w:before="0" w:line="360" w:lineRule="auto"/>
        <w:rPr>
          <w:rFonts w:hint="eastAsia" w:ascii="宋体" w:hAnsi="宋体" w:eastAsia="宋体" w:cs="宋体"/>
          <w:snapToGrid w:val="0"/>
        </w:rPr>
      </w:pPr>
      <w:bookmarkStart w:id="364" w:name="_Toc487208697"/>
      <w:bookmarkStart w:id="365" w:name="_Toc22375618"/>
      <w:bookmarkStart w:id="366" w:name="_Toc492994376"/>
      <w:bookmarkStart w:id="367" w:name="_Toc22990060"/>
      <w:r>
        <w:rPr>
          <w:rFonts w:hint="eastAsia" w:ascii="宋体" w:hAnsi="宋体" w:eastAsia="宋体" w:cs="宋体"/>
          <w:snapToGrid w:val="0"/>
        </w:rPr>
        <w:t>9.3  对评标委员会成员的纪律要求</w:t>
      </w:r>
      <w:bookmarkEnd w:id="361"/>
      <w:bookmarkEnd w:id="362"/>
      <w:bookmarkEnd w:id="363"/>
      <w:bookmarkEnd w:id="364"/>
      <w:bookmarkEnd w:id="365"/>
      <w:bookmarkEnd w:id="366"/>
      <w:bookmarkEnd w:id="367"/>
    </w:p>
    <w:p w14:paraId="415D9034">
      <w:pPr>
        <w:autoSpaceDE w:val="0"/>
        <w:autoSpaceDN w:val="0"/>
        <w:adjustRightInd w:val="0"/>
        <w:snapToGrid w:val="0"/>
        <w:spacing w:line="360" w:lineRule="auto"/>
        <w:ind w:firstLine="420"/>
        <w:rPr>
          <w:rFonts w:hint="eastAsia" w:ascii="宋体" w:hAnsi="宋体" w:cs="宋体"/>
          <w:snapToGrid w:val="0"/>
          <w:kern w:val="0"/>
        </w:rPr>
      </w:pPr>
      <w:r>
        <w:rPr>
          <w:rFonts w:hint="eastAsia" w:ascii="宋体" w:hAnsi="宋体" w:cs="宋体"/>
          <w:snapToGrid w:val="0"/>
          <w:kern w:val="0"/>
        </w:rPr>
        <w:t>评标委员会成员不得收受他人的财物或者其他好处，不得向他人透漏对比选申请文件的评审 和比较、比选中标候选人的推荐情况以及评标有关的其他情况。在评标活动中，评标委员会成员不得擅离职守，影响评标程序正常进行，不得使用第三章“评标办法”没有规定的评审因素和标准进行评标。</w:t>
      </w:r>
    </w:p>
    <w:p w14:paraId="3D71E3D5">
      <w:pPr>
        <w:pStyle w:val="2"/>
        <w:snapToGrid w:val="0"/>
        <w:spacing w:before="0" w:line="360" w:lineRule="auto"/>
        <w:rPr>
          <w:rFonts w:hint="eastAsia" w:ascii="宋体" w:hAnsi="宋体" w:eastAsia="宋体" w:cs="宋体"/>
          <w:snapToGrid w:val="0"/>
        </w:rPr>
      </w:pPr>
      <w:bookmarkStart w:id="368" w:name="_Toc487208698"/>
      <w:bookmarkStart w:id="369" w:name="_Toc22990061"/>
      <w:bookmarkStart w:id="370" w:name="_Toc260741035"/>
      <w:bookmarkStart w:id="371" w:name="_Toc22375619"/>
      <w:bookmarkStart w:id="372" w:name="_Toc492994377"/>
      <w:bookmarkStart w:id="373" w:name="_Toc200513176"/>
      <w:bookmarkStart w:id="374" w:name="_Toc406575119"/>
      <w:r>
        <w:rPr>
          <w:rFonts w:hint="eastAsia" w:ascii="宋体" w:hAnsi="宋体" w:eastAsia="宋体" w:cs="宋体"/>
          <w:snapToGrid w:val="0"/>
        </w:rPr>
        <w:t>9.4  对与评标活动有关的工作人员的纪律要求</w:t>
      </w:r>
      <w:bookmarkEnd w:id="368"/>
      <w:bookmarkEnd w:id="369"/>
      <w:bookmarkEnd w:id="370"/>
      <w:bookmarkEnd w:id="371"/>
      <w:bookmarkEnd w:id="372"/>
      <w:bookmarkEnd w:id="373"/>
      <w:bookmarkEnd w:id="374"/>
    </w:p>
    <w:p w14:paraId="553E48BB">
      <w:pPr>
        <w:autoSpaceDE w:val="0"/>
        <w:autoSpaceDN w:val="0"/>
        <w:adjustRightInd w:val="0"/>
        <w:snapToGrid w:val="0"/>
        <w:spacing w:line="360" w:lineRule="auto"/>
        <w:ind w:firstLine="420"/>
        <w:rPr>
          <w:rFonts w:hint="eastAsia" w:ascii="宋体" w:hAnsi="宋体" w:cs="宋体"/>
          <w:snapToGrid w:val="0"/>
          <w:kern w:val="0"/>
        </w:rPr>
      </w:pPr>
      <w:r>
        <w:rPr>
          <w:rFonts w:hint="eastAsia" w:ascii="宋体" w:hAnsi="宋体" w:cs="宋体"/>
          <w:snapToGrid w:val="0"/>
          <w:kern w:val="0"/>
        </w:rPr>
        <w:t>与评标活动有关的工作人员不得收受他人的财物或者其他好处，不得向他人透漏对比选投标 文件的评审和比较、比选中标候选人的推荐情况以及评标有关的其他情况。在评标活动中，与评标活动有关的工作人员不得擅离职守，影响评标程序正常进行。</w:t>
      </w:r>
    </w:p>
    <w:p w14:paraId="51790C6B">
      <w:pPr>
        <w:pStyle w:val="2"/>
        <w:snapToGrid w:val="0"/>
        <w:spacing w:before="0" w:line="360" w:lineRule="auto"/>
        <w:rPr>
          <w:rFonts w:hint="eastAsia" w:ascii="宋体" w:hAnsi="宋体" w:eastAsia="宋体" w:cs="宋体"/>
          <w:snapToGrid w:val="0"/>
        </w:rPr>
      </w:pPr>
      <w:bookmarkStart w:id="375" w:name="_Toc200513177"/>
      <w:bookmarkStart w:id="376" w:name="_Toc260741036"/>
      <w:bookmarkStart w:id="377" w:name="_Toc22990062"/>
      <w:bookmarkStart w:id="378" w:name="_Toc492994378"/>
      <w:bookmarkStart w:id="379" w:name="_Toc22375620"/>
      <w:bookmarkStart w:id="380" w:name="_Toc406575120"/>
      <w:bookmarkStart w:id="381" w:name="_Toc487208699"/>
      <w:r>
        <w:rPr>
          <w:rFonts w:hint="eastAsia" w:ascii="宋体" w:hAnsi="宋体" w:eastAsia="宋体" w:cs="宋体"/>
          <w:snapToGrid w:val="0"/>
        </w:rPr>
        <w:t>9.5  投诉</w:t>
      </w:r>
      <w:bookmarkEnd w:id="375"/>
      <w:bookmarkEnd w:id="376"/>
      <w:bookmarkEnd w:id="377"/>
      <w:bookmarkEnd w:id="378"/>
      <w:bookmarkEnd w:id="379"/>
      <w:bookmarkEnd w:id="380"/>
      <w:bookmarkEnd w:id="381"/>
    </w:p>
    <w:p w14:paraId="2BDE4096">
      <w:pPr>
        <w:autoSpaceDE w:val="0"/>
        <w:autoSpaceDN w:val="0"/>
        <w:adjustRightInd w:val="0"/>
        <w:snapToGrid w:val="0"/>
        <w:spacing w:line="360" w:lineRule="auto"/>
        <w:ind w:firstLine="420"/>
        <w:jc w:val="left"/>
        <w:rPr>
          <w:rFonts w:hint="eastAsia" w:ascii="宋体" w:hAnsi="宋体" w:cs="宋体"/>
          <w:snapToGrid w:val="0"/>
          <w:kern w:val="0"/>
        </w:rPr>
      </w:pPr>
      <w:bookmarkStart w:id="382" w:name="_Toc200513178"/>
      <w:bookmarkStart w:id="383" w:name="_Toc406575121"/>
      <w:bookmarkStart w:id="384" w:name="_Toc487208700"/>
      <w:bookmarkStart w:id="385" w:name="_Toc492994379"/>
      <w:r>
        <w:rPr>
          <w:rFonts w:hint="eastAsia" w:ascii="宋体" w:hAnsi="宋体" w:cs="宋体"/>
          <w:snapToGrid w:val="0"/>
          <w:kern w:val="0"/>
        </w:rPr>
        <w:t>见比选申请人须知前附表。</w:t>
      </w:r>
    </w:p>
    <w:p w14:paraId="08607A8F">
      <w:pPr>
        <w:pStyle w:val="4"/>
        <w:rPr>
          <w:rFonts w:hint="eastAsia" w:ascii="宋体" w:hAnsi="宋体" w:eastAsia="宋体" w:cs="宋体"/>
          <w:snapToGrid w:val="0"/>
          <w:spacing w:val="0"/>
        </w:rPr>
      </w:pPr>
      <w:bookmarkStart w:id="386" w:name="_Toc22375621"/>
      <w:bookmarkStart w:id="387" w:name="_Toc22990063"/>
      <w:r>
        <w:rPr>
          <w:rFonts w:hint="eastAsia" w:ascii="宋体" w:hAnsi="宋体" w:eastAsia="宋体" w:cs="宋体"/>
          <w:snapToGrid w:val="0"/>
          <w:spacing w:val="0"/>
        </w:rPr>
        <w:t>10.  需要补充的其他内容</w:t>
      </w:r>
      <w:bookmarkEnd w:id="382"/>
      <w:bookmarkEnd w:id="383"/>
      <w:bookmarkEnd w:id="384"/>
      <w:bookmarkEnd w:id="385"/>
      <w:bookmarkEnd w:id="386"/>
      <w:bookmarkEnd w:id="387"/>
    </w:p>
    <w:p w14:paraId="784A7F09">
      <w:pPr>
        <w:autoSpaceDE w:val="0"/>
        <w:autoSpaceDN w:val="0"/>
        <w:adjustRightInd w:val="0"/>
        <w:snapToGrid w:val="0"/>
        <w:spacing w:line="360" w:lineRule="auto"/>
        <w:ind w:firstLine="420"/>
        <w:jc w:val="left"/>
        <w:rPr>
          <w:rFonts w:hint="eastAsia" w:ascii="宋体" w:hAnsi="宋体" w:cs="宋体"/>
          <w:snapToGrid w:val="0"/>
          <w:kern w:val="0"/>
        </w:rPr>
      </w:pPr>
      <w:r>
        <w:rPr>
          <w:rFonts w:hint="eastAsia" w:ascii="宋体" w:hAnsi="宋体" w:cs="宋体"/>
          <w:snapToGrid w:val="0"/>
          <w:kern w:val="0"/>
        </w:rPr>
        <w:t>需要补充的其他内容：见比选申请人须知前附表。</w:t>
      </w:r>
    </w:p>
    <w:p w14:paraId="5CF87A39">
      <w:pPr>
        <w:autoSpaceDE w:val="0"/>
        <w:autoSpaceDN w:val="0"/>
        <w:adjustRightInd w:val="0"/>
        <w:snapToGrid w:val="0"/>
        <w:spacing w:line="360" w:lineRule="auto"/>
        <w:jc w:val="left"/>
        <w:rPr>
          <w:rFonts w:hint="eastAsia" w:ascii="宋体" w:hAnsi="宋体" w:cs="宋体"/>
          <w:b/>
          <w:snapToGrid w:val="0"/>
          <w:kern w:val="0"/>
        </w:rPr>
      </w:pPr>
    </w:p>
    <w:p w14:paraId="4375C395">
      <w:pPr>
        <w:pStyle w:val="4"/>
        <w:jc w:val="center"/>
        <w:rPr>
          <w:rFonts w:hint="eastAsia" w:ascii="宋体" w:hAnsi="宋体" w:eastAsia="宋体" w:cs="宋体"/>
          <w:snapToGrid w:val="0"/>
        </w:rPr>
      </w:pPr>
      <w:r>
        <w:rPr>
          <w:rFonts w:hint="eastAsia" w:ascii="宋体" w:hAnsi="宋体" w:eastAsia="宋体" w:cs="宋体"/>
          <w:snapToGrid w:val="0"/>
          <w:szCs w:val="21"/>
        </w:rPr>
        <w:br w:type="page"/>
      </w:r>
      <w:bookmarkStart w:id="388" w:name="_Toc15653"/>
      <w:r>
        <w:rPr>
          <w:rFonts w:hint="eastAsia" w:ascii="宋体" w:hAnsi="宋体" w:eastAsia="宋体" w:cs="宋体"/>
          <w:spacing w:val="0"/>
          <w:w w:val="100"/>
          <w:sz w:val="44"/>
          <w:szCs w:val="44"/>
        </w:rPr>
        <w:t>第三章 评标办法（综合评估法）</w:t>
      </w:r>
      <w:bookmarkEnd w:id="388"/>
    </w:p>
    <w:p w14:paraId="17DD1408">
      <w:pPr>
        <w:keepNext/>
        <w:keepLines/>
        <w:spacing w:before="100" w:after="100" w:line="360" w:lineRule="auto"/>
        <w:outlineLvl w:val="1"/>
        <w:rPr>
          <w:rFonts w:hint="eastAsia" w:ascii="宋体" w:hAnsi="宋体" w:cs="宋体"/>
          <w:b/>
          <w:sz w:val="32"/>
          <w:szCs w:val="32"/>
        </w:rPr>
      </w:pPr>
      <w:bookmarkStart w:id="389" w:name="_Toc27183"/>
      <w:bookmarkStart w:id="390" w:name="_Toc37837928"/>
      <w:r>
        <w:rPr>
          <w:rFonts w:hint="eastAsia" w:ascii="宋体" w:hAnsi="宋体" w:cs="宋体"/>
          <w:b/>
          <w:sz w:val="32"/>
          <w:szCs w:val="32"/>
        </w:rPr>
        <w:t>评标办法前附表</w:t>
      </w:r>
      <w:bookmarkEnd w:id="389"/>
      <w:bookmarkEnd w:id="390"/>
    </w:p>
    <w:p w14:paraId="175635C6">
      <w:pPr>
        <w:spacing w:line="400" w:lineRule="exact"/>
        <w:ind w:firstLine="427" w:firstLineChars="196"/>
        <w:rPr>
          <w:rFonts w:hint="eastAsia" w:ascii="宋体" w:hAnsi="宋体" w:cs="宋体"/>
          <w:spacing w:val="4"/>
        </w:rPr>
      </w:pPr>
      <w:bookmarkStart w:id="391" w:name="_Toc13210726"/>
      <w:r>
        <w:rPr>
          <w:rFonts w:hint="eastAsia" w:ascii="宋体" w:hAnsi="宋体" w:cs="宋体"/>
          <w:spacing w:val="4"/>
        </w:rPr>
        <w:t>评标办法前附表中的评审内容必须和比选申请人须知前附表中的对应内容一致，若比选申请人须知前附表中未作要求的内容，不得列入评标办法前附表作为评定依据。</w:t>
      </w:r>
      <w:bookmarkEnd w:id="391"/>
    </w:p>
    <w:tbl>
      <w:tblPr>
        <w:tblStyle w:val="46"/>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9"/>
        <w:gridCol w:w="1764"/>
        <w:gridCol w:w="1962"/>
        <w:gridCol w:w="4893"/>
      </w:tblGrid>
      <w:tr w14:paraId="757A3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blHeader/>
        </w:trPr>
        <w:tc>
          <w:tcPr>
            <w:tcW w:w="633" w:type="pct"/>
            <w:tcBorders>
              <w:right w:val="single" w:color="auto" w:sz="4" w:space="0"/>
            </w:tcBorders>
            <w:vAlign w:val="center"/>
          </w:tcPr>
          <w:p w14:paraId="6159AF9D">
            <w:pPr>
              <w:spacing w:line="400" w:lineRule="exact"/>
              <w:jc w:val="center"/>
              <w:rPr>
                <w:rFonts w:hint="eastAsia" w:ascii="宋体" w:hAnsi="宋体" w:cs="宋体"/>
                <w:b/>
              </w:rPr>
            </w:pPr>
            <w:r>
              <w:rPr>
                <w:rFonts w:hint="eastAsia" w:ascii="宋体" w:hAnsi="宋体" w:cs="宋体"/>
                <w:b/>
              </w:rPr>
              <w:t>条款号</w:t>
            </w:r>
          </w:p>
        </w:tc>
        <w:tc>
          <w:tcPr>
            <w:tcW w:w="894" w:type="pct"/>
            <w:tcBorders>
              <w:left w:val="single" w:color="auto" w:sz="4" w:space="0"/>
            </w:tcBorders>
            <w:vAlign w:val="center"/>
          </w:tcPr>
          <w:p w14:paraId="48B30D33">
            <w:pPr>
              <w:spacing w:line="400" w:lineRule="exact"/>
              <w:jc w:val="center"/>
              <w:rPr>
                <w:rFonts w:hint="eastAsia" w:ascii="宋体" w:hAnsi="宋体" w:cs="宋体"/>
                <w:b/>
              </w:rPr>
            </w:pPr>
            <w:r>
              <w:rPr>
                <w:rFonts w:hint="eastAsia" w:ascii="宋体" w:hAnsi="宋体" w:cs="宋体"/>
                <w:b/>
              </w:rPr>
              <w:t>评审因素</w:t>
            </w:r>
          </w:p>
        </w:tc>
        <w:tc>
          <w:tcPr>
            <w:tcW w:w="3472" w:type="pct"/>
            <w:gridSpan w:val="2"/>
            <w:vAlign w:val="center"/>
          </w:tcPr>
          <w:p w14:paraId="180E3E56">
            <w:pPr>
              <w:spacing w:line="400" w:lineRule="exact"/>
              <w:jc w:val="center"/>
              <w:rPr>
                <w:rFonts w:hint="eastAsia" w:ascii="宋体" w:hAnsi="宋体" w:cs="宋体"/>
                <w:b/>
              </w:rPr>
            </w:pPr>
            <w:r>
              <w:rPr>
                <w:rFonts w:hint="eastAsia" w:ascii="宋体" w:hAnsi="宋体" w:cs="宋体"/>
                <w:b/>
              </w:rPr>
              <w:t>评审标准</w:t>
            </w:r>
          </w:p>
        </w:tc>
      </w:tr>
      <w:tr w14:paraId="4FD23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3" w:type="pct"/>
            <w:tcBorders>
              <w:right w:val="single" w:color="auto" w:sz="4" w:space="0"/>
            </w:tcBorders>
            <w:vAlign w:val="center"/>
          </w:tcPr>
          <w:p w14:paraId="6C94E382">
            <w:pPr>
              <w:pStyle w:val="200"/>
              <w:spacing w:line="400" w:lineRule="exact"/>
              <w:ind w:firstLine="420"/>
              <w:rPr>
                <w:rFonts w:hint="eastAsia" w:hAnsi="宋体" w:cs="宋体"/>
                <w:sz w:val="21"/>
              </w:rPr>
            </w:pPr>
            <w:r>
              <w:rPr>
                <w:rFonts w:hint="eastAsia" w:hAnsi="宋体" w:cs="宋体"/>
                <w:sz w:val="21"/>
              </w:rPr>
              <w:t>1</w:t>
            </w:r>
          </w:p>
        </w:tc>
        <w:tc>
          <w:tcPr>
            <w:tcW w:w="894" w:type="pct"/>
            <w:tcBorders>
              <w:left w:val="single" w:color="auto" w:sz="4" w:space="0"/>
            </w:tcBorders>
            <w:vAlign w:val="center"/>
          </w:tcPr>
          <w:p w14:paraId="26E8E372">
            <w:pPr>
              <w:pStyle w:val="200"/>
              <w:spacing w:line="400" w:lineRule="exact"/>
              <w:ind w:firstLine="0" w:firstLineChars="0"/>
              <w:jc w:val="center"/>
              <w:rPr>
                <w:rFonts w:hint="eastAsia" w:hAnsi="宋体" w:cs="宋体"/>
                <w:sz w:val="21"/>
              </w:rPr>
            </w:pPr>
            <w:r>
              <w:rPr>
                <w:rFonts w:hint="eastAsia" w:hAnsi="宋体" w:cs="宋体"/>
                <w:sz w:val="21"/>
              </w:rPr>
              <w:t>评标办法</w:t>
            </w:r>
          </w:p>
        </w:tc>
        <w:tc>
          <w:tcPr>
            <w:tcW w:w="3472" w:type="pct"/>
            <w:gridSpan w:val="2"/>
            <w:vAlign w:val="center"/>
          </w:tcPr>
          <w:p w14:paraId="4F6A5192">
            <w:pPr>
              <w:spacing w:line="360" w:lineRule="auto"/>
              <w:ind w:firstLine="420" w:firstLineChars="200"/>
              <w:rPr>
                <w:rFonts w:hint="eastAsia" w:ascii="宋体" w:hAnsi="宋体" w:cs="宋体"/>
                <w:kern w:val="0"/>
              </w:rPr>
            </w:pPr>
            <w:r>
              <w:rPr>
                <w:rFonts w:hint="eastAsia" w:ascii="宋体" w:hAnsi="宋体" w:cs="宋体"/>
                <w:kern w:val="0"/>
              </w:rPr>
              <w:t>本次招标采用综合评估法，以比选申请人递交的纸质比选申请文件为评审依据，按照下列步骤推荐中标候选人：</w:t>
            </w:r>
          </w:p>
          <w:p w14:paraId="3CC840FB">
            <w:pPr>
              <w:spacing w:line="360" w:lineRule="auto"/>
              <w:ind w:firstLine="420" w:firstLineChars="200"/>
              <w:rPr>
                <w:rFonts w:hint="eastAsia" w:ascii="宋体" w:hAnsi="宋体" w:cs="宋体"/>
                <w:kern w:val="0"/>
              </w:rPr>
            </w:pPr>
            <w:r>
              <w:rPr>
                <w:rFonts w:hint="eastAsia" w:ascii="宋体" w:hAnsi="宋体" w:cs="宋体"/>
                <w:kern w:val="0"/>
              </w:rPr>
              <w:t>（一）对通过评审的比选申请人按照综合得分由高到低的顺序取前三家（若与前三家出现得分相同时，一并纳入）。</w:t>
            </w:r>
          </w:p>
          <w:p w14:paraId="6971A915">
            <w:pPr>
              <w:spacing w:line="360" w:lineRule="auto"/>
              <w:ind w:firstLine="420" w:firstLineChars="200"/>
              <w:rPr>
                <w:rFonts w:hint="eastAsia" w:ascii="宋体" w:hAnsi="宋体" w:cs="宋体"/>
                <w:kern w:val="0"/>
              </w:rPr>
            </w:pPr>
            <w:r>
              <w:rPr>
                <w:rFonts w:hint="eastAsia" w:ascii="宋体" w:hAnsi="宋体" w:cs="宋体"/>
                <w:kern w:val="0"/>
              </w:rPr>
              <w:t>（二）按照评标得分由高到低的顺序推荐中标候选人。评标得分相等时，评标委员会依次按照以下优先顺序推荐中标候选人：</w:t>
            </w:r>
          </w:p>
          <w:p w14:paraId="48708AE8">
            <w:pPr>
              <w:spacing w:line="360" w:lineRule="auto"/>
              <w:ind w:firstLine="420" w:firstLineChars="200"/>
              <w:rPr>
                <w:rFonts w:hint="eastAsia" w:ascii="宋体" w:hAnsi="宋体" w:cs="宋体"/>
                <w:kern w:val="0"/>
              </w:rPr>
            </w:pPr>
            <w:r>
              <w:rPr>
                <w:rFonts w:hint="eastAsia" w:ascii="宋体" w:hAnsi="宋体" w:cs="宋体"/>
                <w:kern w:val="0"/>
              </w:rPr>
              <w:t xml:space="preserve">（1）技术得分高的优先； </w:t>
            </w:r>
          </w:p>
          <w:p w14:paraId="208DBEEC">
            <w:pPr>
              <w:spacing w:line="360" w:lineRule="auto"/>
              <w:ind w:firstLine="420" w:firstLineChars="200"/>
              <w:rPr>
                <w:rFonts w:hint="eastAsia" w:ascii="宋体" w:hAnsi="宋体" w:cs="宋体"/>
                <w:kern w:val="0"/>
              </w:rPr>
            </w:pPr>
            <w:r>
              <w:rPr>
                <w:rFonts w:hint="eastAsia" w:ascii="宋体" w:hAnsi="宋体" w:cs="宋体"/>
                <w:kern w:val="0"/>
              </w:rPr>
              <w:t>（2）商务得分高的优先；</w:t>
            </w:r>
          </w:p>
          <w:p w14:paraId="78E23900">
            <w:pPr>
              <w:spacing w:line="360" w:lineRule="auto"/>
              <w:ind w:firstLine="420" w:firstLineChars="200"/>
              <w:rPr>
                <w:rFonts w:hint="eastAsia" w:ascii="宋体" w:hAnsi="宋体" w:cs="宋体"/>
                <w:kern w:val="0"/>
              </w:rPr>
            </w:pPr>
            <w:r>
              <w:rPr>
                <w:rFonts w:hint="eastAsia" w:ascii="宋体" w:hAnsi="宋体" w:cs="宋体"/>
                <w:kern w:val="0"/>
              </w:rPr>
              <w:t>（3）投标报价低的优先；</w:t>
            </w:r>
          </w:p>
          <w:p w14:paraId="19B1A9F7">
            <w:pPr>
              <w:spacing w:line="400" w:lineRule="exact"/>
              <w:ind w:firstLine="420" w:firstLineChars="200"/>
              <w:rPr>
                <w:rFonts w:hint="eastAsia" w:ascii="宋体" w:hAnsi="宋体" w:cs="宋体"/>
              </w:rPr>
            </w:pPr>
            <w:r>
              <w:rPr>
                <w:rFonts w:hint="eastAsia" w:ascii="宋体" w:hAnsi="宋体" w:cs="宋体"/>
                <w:kern w:val="0"/>
              </w:rPr>
              <w:t>（4）评标委员会投票决定。</w:t>
            </w:r>
          </w:p>
        </w:tc>
      </w:tr>
      <w:tr w14:paraId="20008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3" w:type="pct"/>
            <w:tcBorders>
              <w:right w:val="single" w:color="auto" w:sz="4" w:space="0"/>
            </w:tcBorders>
            <w:vAlign w:val="center"/>
          </w:tcPr>
          <w:p w14:paraId="4DB00AF9">
            <w:pPr>
              <w:spacing w:line="400" w:lineRule="exact"/>
              <w:jc w:val="center"/>
              <w:rPr>
                <w:rFonts w:hint="eastAsia" w:ascii="宋体" w:hAnsi="宋体" w:cs="宋体"/>
              </w:rPr>
            </w:pPr>
            <w:r>
              <w:rPr>
                <w:rFonts w:hint="eastAsia" w:ascii="宋体" w:hAnsi="宋体" w:cs="宋体"/>
              </w:rPr>
              <w:t>2.1</w:t>
            </w:r>
          </w:p>
        </w:tc>
        <w:tc>
          <w:tcPr>
            <w:tcW w:w="894" w:type="pct"/>
            <w:tcBorders>
              <w:left w:val="single" w:color="auto" w:sz="4" w:space="0"/>
              <w:right w:val="single" w:color="auto" w:sz="4" w:space="0"/>
            </w:tcBorders>
            <w:vAlign w:val="center"/>
          </w:tcPr>
          <w:p w14:paraId="75A1D117">
            <w:pPr>
              <w:spacing w:line="400" w:lineRule="exact"/>
              <w:jc w:val="center"/>
              <w:rPr>
                <w:rFonts w:hint="eastAsia" w:ascii="宋体" w:hAnsi="宋体" w:cs="宋体"/>
              </w:rPr>
            </w:pPr>
            <w:r>
              <w:rPr>
                <w:rFonts w:hint="eastAsia" w:ascii="宋体" w:hAnsi="宋体" w:cs="宋体"/>
              </w:rPr>
              <w:t>排名顺序</w:t>
            </w:r>
          </w:p>
        </w:tc>
        <w:tc>
          <w:tcPr>
            <w:tcW w:w="3472" w:type="pct"/>
            <w:gridSpan w:val="2"/>
            <w:tcBorders>
              <w:left w:val="single" w:color="auto" w:sz="4" w:space="0"/>
            </w:tcBorders>
            <w:vAlign w:val="center"/>
          </w:tcPr>
          <w:p w14:paraId="5BDF4901">
            <w:pPr>
              <w:spacing w:line="400" w:lineRule="exact"/>
              <w:ind w:firstLine="420" w:firstLineChars="200"/>
              <w:rPr>
                <w:rFonts w:hint="eastAsia" w:ascii="宋体" w:hAnsi="宋体" w:cs="宋体"/>
              </w:rPr>
            </w:pPr>
            <w:r>
              <w:rPr>
                <w:rFonts w:hint="eastAsia" w:ascii="宋体" w:hAnsi="宋体" w:cs="宋体"/>
              </w:rPr>
              <w:t>对投标总报价不高于最高限价的所有比选申请人的比选申请文件，按照综合得分由高到低的顺序排序。</w:t>
            </w:r>
          </w:p>
        </w:tc>
      </w:tr>
      <w:tr w14:paraId="14F92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3" w:type="pct"/>
            <w:tcBorders>
              <w:right w:val="single" w:color="auto" w:sz="4" w:space="0"/>
            </w:tcBorders>
            <w:vAlign w:val="center"/>
          </w:tcPr>
          <w:p w14:paraId="4FAF65CD">
            <w:pPr>
              <w:spacing w:line="400" w:lineRule="exact"/>
              <w:jc w:val="center"/>
              <w:rPr>
                <w:rFonts w:hint="eastAsia" w:ascii="宋体" w:hAnsi="宋体" w:cs="宋体"/>
              </w:rPr>
            </w:pPr>
            <w:r>
              <w:rPr>
                <w:rFonts w:hint="eastAsia" w:ascii="宋体" w:hAnsi="宋体" w:cs="宋体"/>
              </w:rPr>
              <w:t>2.2</w:t>
            </w:r>
          </w:p>
        </w:tc>
        <w:tc>
          <w:tcPr>
            <w:tcW w:w="894" w:type="pct"/>
            <w:tcBorders>
              <w:left w:val="single" w:color="auto" w:sz="4" w:space="0"/>
              <w:right w:val="single" w:color="auto" w:sz="4" w:space="0"/>
            </w:tcBorders>
            <w:vAlign w:val="center"/>
          </w:tcPr>
          <w:p w14:paraId="16E15825">
            <w:pPr>
              <w:spacing w:line="400" w:lineRule="exact"/>
              <w:jc w:val="center"/>
              <w:rPr>
                <w:rFonts w:hint="eastAsia" w:ascii="宋体" w:hAnsi="宋体" w:cs="宋体"/>
              </w:rPr>
            </w:pPr>
            <w:r>
              <w:rPr>
                <w:rFonts w:hint="eastAsia" w:ascii="宋体" w:hAnsi="宋体" w:cs="宋体"/>
              </w:rPr>
              <w:t>符合性</w:t>
            </w:r>
          </w:p>
          <w:p w14:paraId="5DFF41C8">
            <w:pPr>
              <w:spacing w:line="400" w:lineRule="exact"/>
              <w:jc w:val="center"/>
              <w:rPr>
                <w:rFonts w:hint="eastAsia" w:ascii="宋体" w:hAnsi="宋体" w:cs="宋体"/>
              </w:rPr>
            </w:pPr>
            <w:r>
              <w:rPr>
                <w:rFonts w:hint="eastAsia" w:ascii="宋体" w:hAnsi="宋体" w:cs="宋体"/>
              </w:rPr>
              <w:t>审查</w:t>
            </w:r>
          </w:p>
        </w:tc>
        <w:tc>
          <w:tcPr>
            <w:tcW w:w="3472" w:type="pct"/>
            <w:gridSpan w:val="2"/>
            <w:tcBorders>
              <w:left w:val="single" w:color="auto" w:sz="4" w:space="0"/>
            </w:tcBorders>
            <w:vAlign w:val="center"/>
          </w:tcPr>
          <w:p w14:paraId="248B744B">
            <w:pPr>
              <w:spacing w:line="400" w:lineRule="exact"/>
              <w:ind w:firstLine="436" w:firstLineChars="200"/>
              <w:rPr>
                <w:rFonts w:hint="eastAsia" w:ascii="宋体" w:hAnsi="宋体" w:cs="宋体"/>
              </w:rPr>
            </w:pPr>
            <w:r>
              <w:rPr>
                <w:rFonts w:hint="eastAsia" w:ascii="宋体" w:hAnsi="宋体" w:cs="宋体"/>
                <w:spacing w:val="4"/>
              </w:rPr>
              <w:t>符合性审查内容：形式评审、资格评审、响应性评审</w:t>
            </w:r>
            <w:r>
              <w:rPr>
                <w:rFonts w:hint="eastAsia" w:ascii="宋体" w:hAnsi="宋体" w:cs="宋体"/>
              </w:rPr>
              <w:t>合格的比选申请人中，按照综合得分由高到低的顺序排序。</w:t>
            </w:r>
          </w:p>
        </w:tc>
      </w:tr>
      <w:tr w14:paraId="6E332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633" w:type="pct"/>
            <w:vMerge w:val="restart"/>
            <w:tcBorders>
              <w:right w:val="single" w:color="auto" w:sz="4" w:space="0"/>
            </w:tcBorders>
            <w:vAlign w:val="center"/>
          </w:tcPr>
          <w:p w14:paraId="34FB5398">
            <w:pPr>
              <w:spacing w:line="400" w:lineRule="exact"/>
              <w:jc w:val="center"/>
              <w:rPr>
                <w:rFonts w:hint="eastAsia" w:ascii="宋体" w:hAnsi="宋体" w:cs="宋体"/>
              </w:rPr>
            </w:pPr>
            <w:r>
              <w:rPr>
                <w:rFonts w:hint="eastAsia" w:ascii="宋体" w:hAnsi="宋体" w:cs="宋体"/>
              </w:rPr>
              <w:t>2.2.1</w:t>
            </w:r>
          </w:p>
        </w:tc>
        <w:tc>
          <w:tcPr>
            <w:tcW w:w="894" w:type="pct"/>
            <w:vMerge w:val="restart"/>
            <w:tcBorders>
              <w:left w:val="single" w:color="auto" w:sz="4" w:space="0"/>
              <w:right w:val="single" w:color="auto" w:sz="4" w:space="0"/>
            </w:tcBorders>
            <w:vAlign w:val="center"/>
          </w:tcPr>
          <w:p w14:paraId="28C2AE0F">
            <w:pPr>
              <w:spacing w:line="400" w:lineRule="exact"/>
              <w:jc w:val="center"/>
              <w:rPr>
                <w:rFonts w:hint="eastAsia" w:ascii="宋体" w:hAnsi="宋体" w:cs="宋体"/>
              </w:rPr>
            </w:pPr>
            <w:r>
              <w:rPr>
                <w:rFonts w:hint="eastAsia" w:ascii="宋体" w:hAnsi="宋体" w:cs="宋体"/>
              </w:rPr>
              <w:t>形式评审标准</w:t>
            </w:r>
          </w:p>
        </w:tc>
        <w:tc>
          <w:tcPr>
            <w:tcW w:w="994" w:type="pct"/>
            <w:tcBorders>
              <w:top w:val="single" w:color="auto" w:sz="4" w:space="0"/>
              <w:left w:val="single" w:color="auto" w:sz="4" w:space="0"/>
              <w:bottom w:val="single" w:color="auto" w:sz="4" w:space="0"/>
              <w:right w:val="single" w:color="auto" w:sz="4" w:space="0"/>
            </w:tcBorders>
            <w:vAlign w:val="center"/>
          </w:tcPr>
          <w:p w14:paraId="4F9C45FF">
            <w:pPr>
              <w:spacing w:line="400" w:lineRule="exact"/>
              <w:rPr>
                <w:rFonts w:hint="eastAsia" w:ascii="宋体" w:hAnsi="宋体" w:cs="宋体"/>
              </w:rPr>
            </w:pPr>
            <w:r>
              <w:rPr>
                <w:rFonts w:hint="eastAsia" w:ascii="宋体" w:hAnsi="宋体" w:cs="宋体"/>
              </w:rPr>
              <w:t>比选申请人名称</w:t>
            </w:r>
          </w:p>
        </w:tc>
        <w:tc>
          <w:tcPr>
            <w:tcW w:w="2478" w:type="pct"/>
            <w:tcBorders>
              <w:top w:val="single" w:color="auto" w:sz="4" w:space="0"/>
              <w:left w:val="single" w:color="auto" w:sz="4" w:space="0"/>
              <w:bottom w:val="single" w:color="auto" w:sz="4" w:space="0"/>
            </w:tcBorders>
            <w:vAlign w:val="center"/>
          </w:tcPr>
          <w:p w14:paraId="39362B98">
            <w:pPr>
              <w:snapToGrid w:val="0"/>
              <w:spacing w:line="400" w:lineRule="exact"/>
              <w:rPr>
                <w:rFonts w:hint="eastAsia" w:ascii="宋体" w:hAnsi="宋体" w:cs="宋体"/>
              </w:rPr>
            </w:pPr>
            <w:r>
              <w:rPr>
                <w:rFonts w:hint="eastAsia" w:ascii="宋体" w:hAnsi="宋体" w:cs="宋体"/>
              </w:rPr>
              <w:t>与营业执照、资质证书、安全生产许可证一致。</w:t>
            </w:r>
          </w:p>
        </w:tc>
      </w:tr>
      <w:tr w14:paraId="41A2C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633" w:type="pct"/>
            <w:vMerge w:val="continue"/>
            <w:tcBorders>
              <w:right w:val="single" w:color="auto" w:sz="4" w:space="0"/>
            </w:tcBorders>
            <w:vAlign w:val="center"/>
          </w:tcPr>
          <w:p w14:paraId="3B33BEE7">
            <w:pPr>
              <w:spacing w:line="400" w:lineRule="exact"/>
              <w:jc w:val="center"/>
              <w:rPr>
                <w:rFonts w:hint="eastAsia" w:ascii="宋体" w:hAnsi="宋体" w:cs="宋体"/>
              </w:rPr>
            </w:pPr>
          </w:p>
        </w:tc>
        <w:tc>
          <w:tcPr>
            <w:tcW w:w="894" w:type="pct"/>
            <w:vMerge w:val="continue"/>
            <w:tcBorders>
              <w:left w:val="single" w:color="auto" w:sz="4" w:space="0"/>
              <w:right w:val="single" w:color="auto" w:sz="4" w:space="0"/>
            </w:tcBorders>
            <w:vAlign w:val="center"/>
          </w:tcPr>
          <w:p w14:paraId="4B2F7E5B">
            <w:pPr>
              <w:spacing w:line="400" w:lineRule="exact"/>
              <w:jc w:val="center"/>
              <w:rPr>
                <w:rFonts w:hint="eastAsia" w:ascii="宋体" w:hAnsi="宋体" w:cs="宋体"/>
              </w:rPr>
            </w:pPr>
          </w:p>
        </w:tc>
        <w:tc>
          <w:tcPr>
            <w:tcW w:w="994" w:type="pct"/>
            <w:tcBorders>
              <w:top w:val="single" w:color="auto" w:sz="4" w:space="0"/>
              <w:left w:val="single" w:color="auto" w:sz="4" w:space="0"/>
              <w:bottom w:val="single" w:color="auto" w:sz="4" w:space="0"/>
              <w:right w:val="single" w:color="auto" w:sz="4" w:space="0"/>
            </w:tcBorders>
            <w:vAlign w:val="center"/>
          </w:tcPr>
          <w:p w14:paraId="780F4C1C">
            <w:pPr>
              <w:spacing w:line="400" w:lineRule="exact"/>
              <w:rPr>
                <w:rFonts w:hint="eastAsia" w:ascii="宋体" w:hAnsi="宋体" w:cs="宋体"/>
              </w:rPr>
            </w:pPr>
            <w:r>
              <w:rPr>
                <w:rFonts w:hint="eastAsia" w:ascii="宋体" w:hAnsi="宋体" w:cs="宋体"/>
              </w:rPr>
              <w:t>投标函签字盖章</w:t>
            </w:r>
          </w:p>
        </w:tc>
        <w:tc>
          <w:tcPr>
            <w:tcW w:w="2478" w:type="pct"/>
            <w:tcBorders>
              <w:top w:val="single" w:color="auto" w:sz="4" w:space="0"/>
              <w:left w:val="single" w:color="auto" w:sz="4" w:space="0"/>
              <w:bottom w:val="single" w:color="auto" w:sz="4" w:space="0"/>
            </w:tcBorders>
            <w:vAlign w:val="center"/>
          </w:tcPr>
          <w:p w14:paraId="7DE7D351">
            <w:pPr>
              <w:snapToGrid w:val="0"/>
              <w:spacing w:line="400" w:lineRule="exact"/>
              <w:rPr>
                <w:rFonts w:hint="eastAsia" w:ascii="宋体" w:hAnsi="宋体" w:cs="宋体"/>
              </w:rPr>
            </w:pPr>
            <w:r>
              <w:rPr>
                <w:rFonts w:hint="eastAsia" w:ascii="宋体" w:hAnsi="宋体" w:cs="宋体"/>
              </w:rPr>
              <w:t>有法定代表人或其委托代理人签字（或盖章）、加盖单位法人章。</w:t>
            </w:r>
          </w:p>
        </w:tc>
      </w:tr>
      <w:tr w14:paraId="1164D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633" w:type="pct"/>
            <w:vMerge w:val="continue"/>
            <w:tcBorders>
              <w:right w:val="single" w:color="auto" w:sz="4" w:space="0"/>
            </w:tcBorders>
            <w:vAlign w:val="center"/>
          </w:tcPr>
          <w:p w14:paraId="1BFCA2FB">
            <w:pPr>
              <w:spacing w:line="400" w:lineRule="exact"/>
              <w:jc w:val="center"/>
              <w:rPr>
                <w:rFonts w:hint="eastAsia" w:ascii="宋体" w:hAnsi="宋体" w:cs="宋体"/>
              </w:rPr>
            </w:pPr>
          </w:p>
        </w:tc>
        <w:tc>
          <w:tcPr>
            <w:tcW w:w="894" w:type="pct"/>
            <w:vMerge w:val="continue"/>
            <w:tcBorders>
              <w:left w:val="single" w:color="auto" w:sz="4" w:space="0"/>
              <w:right w:val="single" w:color="auto" w:sz="4" w:space="0"/>
            </w:tcBorders>
            <w:vAlign w:val="center"/>
          </w:tcPr>
          <w:p w14:paraId="46053A9E">
            <w:pPr>
              <w:spacing w:line="400" w:lineRule="exact"/>
              <w:jc w:val="center"/>
              <w:rPr>
                <w:rFonts w:hint="eastAsia" w:ascii="宋体" w:hAnsi="宋体" w:cs="宋体"/>
              </w:rPr>
            </w:pPr>
          </w:p>
        </w:tc>
        <w:tc>
          <w:tcPr>
            <w:tcW w:w="994" w:type="pct"/>
            <w:tcBorders>
              <w:top w:val="single" w:color="auto" w:sz="4" w:space="0"/>
              <w:left w:val="single" w:color="auto" w:sz="4" w:space="0"/>
              <w:bottom w:val="single" w:color="auto" w:sz="4" w:space="0"/>
              <w:right w:val="single" w:color="auto" w:sz="4" w:space="0"/>
            </w:tcBorders>
            <w:vAlign w:val="center"/>
          </w:tcPr>
          <w:p w14:paraId="51A6AB85">
            <w:pPr>
              <w:spacing w:line="400" w:lineRule="exact"/>
              <w:rPr>
                <w:rFonts w:hint="eastAsia" w:ascii="宋体" w:hAnsi="宋体" w:cs="宋体"/>
              </w:rPr>
            </w:pPr>
            <w:r>
              <w:rPr>
                <w:rFonts w:hint="eastAsia" w:ascii="宋体" w:hAnsi="宋体" w:cs="宋体"/>
              </w:rPr>
              <w:t>比选申请文件格式</w:t>
            </w:r>
          </w:p>
        </w:tc>
        <w:tc>
          <w:tcPr>
            <w:tcW w:w="2478" w:type="pct"/>
            <w:tcBorders>
              <w:top w:val="single" w:color="auto" w:sz="4" w:space="0"/>
              <w:left w:val="single" w:color="auto" w:sz="4" w:space="0"/>
              <w:bottom w:val="single" w:color="auto" w:sz="4" w:space="0"/>
            </w:tcBorders>
            <w:vAlign w:val="center"/>
          </w:tcPr>
          <w:p w14:paraId="020EEB48">
            <w:pPr>
              <w:snapToGrid w:val="0"/>
              <w:spacing w:line="400" w:lineRule="exact"/>
              <w:rPr>
                <w:rFonts w:hint="eastAsia" w:ascii="宋体" w:hAnsi="宋体" w:cs="宋体"/>
              </w:rPr>
            </w:pPr>
            <w:r>
              <w:rPr>
                <w:rFonts w:hint="eastAsia" w:ascii="宋体" w:hAnsi="宋体" w:cs="宋体"/>
              </w:rPr>
              <w:t>符合第六章“比选申请文件格式”的要求。</w:t>
            </w:r>
          </w:p>
        </w:tc>
      </w:tr>
      <w:tr w14:paraId="58D99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633" w:type="pct"/>
            <w:vMerge w:val="continue"/>
            <w:tcBorders>
              <w:right w:val="single" w:color="auto" w:sz="4" w:space="0"/>
            </w:tcBorders>
            <w:vAlign w:val="center"/>
          </w:tcPr>
          <w:p w14:paraId="64295344">
            <w:pPr>
              <w:spacing w:line="400" w:lineRule="exact"/>
              <w:jc w:val="center"/>
              <w:rPr>
                <w:rFonts w:hint="eastAsia" w:ascii="宋体" w:hAnsi="宋体" w:cs="宋体"/>
              </w:rPr>
            </w:pPr>
          </w:p>
        </w:tc>
        <w:tc>
          <w:tcPr>
            <w:tcW w:w="894" w:type="pct"/>
            <w:vMerge w:val="continue"/>
            <w:tcBorders>
              <w:left w:val="single" w:color="auto" w:sz="4" w:space="0"/>
              <w:right w:val="single" w:color="auto" w:sz="4" w:space="0"/>
            </w:tcBorders>
            <w:vAlign w:val="center"/>
          </w:tcPr>
          <w:p w14:paraId="206C518A">
            <w:pPr>
              <w:spacing w:line="400" w:lineRule="exact"/>
              <w:jc w:val="center"/>
              <w:rPr>
                <w:rFonts w:hint="eastAsia" w:ascii="宋体" w:hAnsi="宋体" w:cs="宋体"/>
              </w:rPr>
            </w:pPr>
          </w:p>
        </w:tc>
        <w:tc>
          <w:tcPr>
            <w:tcW w:w="994" w:type="pct"/>
            <w:tcBorders>
              <w:top w:val="single" w:color="auto" w:sz="4" w:space="0"/>
              <w:left w:val="single" w:color="auto" w:sz="4" w:space="0"/>
              <w:bottom w:val="single" w:color="auto" w:sz="4" w:space="0"/>
              <w:right w:val="single" w:color="auto" w:sz="4" w:space="0"/>
            </w:tcBorders>
            <w:vAlign w:val="center"/>
          </w:tcPr>
          <w:p w14:paraId="7680DBF1">
            <w:pPr>
              <w:spacing w:line="400" w:lineRule="exact"/>
              <w:rPr>
                <w:rFonts w:hint="eastAsia" w:ascii="宋体" w:hAnsi="宋体" w:cs="宋体"/>
              </w:rPr>
            </w:pPr>
            <w:r>
              <w:rPr>
                <w:rFonts w:hint="eastAsia" w:ascii="宋体" w:hAnsi="宋体" w:cs="宋体"/>
              </w:rPr>
              <w:t>比选申请文件一致性</w:t>
            </w:r>
          </w:p>
        </w:tc>
        <w:tc>
          <w:tcPr>
            <w:tcW w:w="2478" w:type="pct"/>
            <w:tcBorders>
              <w:top w:val="single" w:color="auto" w:sz="4" w:space="0"/>
              <w:left w:val="single" w:color="auto" w:sz="4" w:space="0"/>
              <w:bottom w:val="single" w:color="auto" w:sz="4" w:space="0"/>
            </w:tcBorders>
            <w:vAlign w:val="center"/>
          </w:tcPr>
          <w:p w14:paraId="4882B153">
            <w:pPr>
              <w:snapToGrid w:val="0"/>
              <w:spacing w:line="400" w:lineRule="exact"/>
              <w:rPr>
                <w:rFonts w:hint="eastAsia" w:ascii="宋体" w:hAnsi="宋体" w:cs="宋体"/>
              </w:rPr>
            </w:pPr>
            <w:r>
              <w:rPr>
                <w:rFonts w:hint="eastAsia" w:ascii="宋体" w:hAnsi="宋体" w:cs="宋体"/>
                <w:color w:val="000000"/>
              </w:rPr>
              <w:t>比选申请人递交的纸质比选申请文件正本与网上上传的比选申请文件电子文档一致。</w:t>
            </w:r>
          </w:p>
        </w:tc>
      </w:tr>
      <w:tr w14:paraId="4D298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633" w:type="pct"/>
            <w:vMerge w:val="continue"/>
            <w:tcBorders>
              <w:right w:val="single" w:color="auto" w:sz="4" w:space="0"/>
            </w:tcBorders>
            <w:vAlign w:val="center"/>
          </w:tcPr>
          <w:p w14:paraId="2DBEE8BE">
            <w:pPr>
              <w:spacing w:line="400" w:lineRule="exact"/>
              <w:jc w:val="center"/>
              <w:rPr>
                <w:rFonts w:hint="eastAsia" w:ascii="宋体" w:hAnsi="宋体" w:cs="宋体"/>
              </w:rPr>
            </w:pPr>
          </w:p>
        </w:tc>
        <w:tc>
          <w:tcPr>
            <w:tcW w:w="894" w:type="pct"/>
            <w:vMerge w:val="continue"/>
            <w:tcBorders>
              <w:left w:val="single" w:color="auto" w:sz="4" w:space="0"/>
              <w:right w:val="single" w:color="auto" w:sz="4" w:space="0"/>
            </w:tcBorders>
            <w:vAlign w:val="center"/>
          </w:tcPr>
          <w:p w14:paraId="0FF37FBE">
            <w:pPr>
              <w:spacing w:line="400" w:lineRule="exact"/>
              <w:jc w:val="center"/>
              <w:rPr>
                <w:rFonts w:hint="eastAsia" w:ascii="宋体" w:hAnsi="宋体" w:cs="宋体"/>
              </w:rPr>
            </w:pPr>
          </w:p>
        </w:tc>
        <w:tc>
          <w:tcPr>
            <w:tcW w:w="994" w:type="pct"/>
            <w:tcBorders>
              <w:top w:val="single" w:color="auto" w:sz="4" w:space="0"/>
              <w:left w:val="single" w:color="auto" w:sz="4" w:space="0"/>
              <w:bottom w:val="single" w:color="auto" w:sz="4" w:space="0"/>
              <w:right w:val="single" w:color="auto" w:sz="4" w:space="0"/>
            </w:tcBorders>
            <w:vAlign w:val="center"/>
          </w:tcPr>
          <w:p w14:paraId="0B7850C7">
            <w:pPr>
              <w:spacing w:line="400" w:lineRule="exact"/>
              <w:rPr>
                <w:rFonts w:hint="eastAsia" w:ascii="宋体" w:hAnsi="宋体" w:cs="宋体"/>
              </w:rPr>
            </w:pPr>
            <w:r>
              <w:rPr>
                <w:rFonts w:hint="eastAsia" w:ascii="宋体" w:hAnsi="宋体" w:cs="宋体"/>
              </w:rPr>
              <w:t>报价唯一</w:t>
            </w:r>
          </w:p>
        </w:tc>
        <w:tc>
          <w:tcPr>
            <w:tcW w:w="2478" w:type="pct"/>
            <w:tcBorders>
              <w:top w:val="single" w:color="auto" w:sz="4" w:space="0"/>
              <w:left w:val="single" w:color="auto" w:sz="4" w:space="0"/>
              <w:bottom w:val="single" w:color="auto" w:sz="4" w:space="0"/>
            </w:tcBorders>
            <w:vAlign w:val="center"/>
          </w:tcPr>
          <w:p w14:paraId="21BF90FA">
            <w:pPr>
              <w:snapToGrid w:val="0"/>
              <w:spacing w:after="31" w:afterLines="10" w:line="400" w:lineRule="exact"/>
              <w:rPr>
                <w:rFonts w:hint="eastAsia" w:ascii="宋体" w:hAnsi="宋体" w:cs="宋体"/>
              </w:rPr>
            </w:pPr>
            <w:r>
              <w:rPr>
                <w:rFonts w:hint="eastAsia" w:ascii="宋体" w:hAnsi="宋体" w:cs="宋体"/>
              </w:rPr>
              <w:t>只能有一个有效报价。在比选文件没有规定的情况下，不得提交选择性报价。</w:t>
            </w:r>
          </w:p>
        </w:tc>
      </w:tr>
      <w:tr w14:paraId="2761A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633" w:type="pct"/>
            <w:vMerge w:val="continue"/>
            <w:tcBorders>
              <w:right w:val="single" w:color="auto" w:sz="4" w:space="0"/>
            </w:tcBorders>
            <w:vAlign w:val="center"/>
          </w:tcPr>
          <w:p w14:paraId="4C341C8C">
            <w:pPr>
              <w:spacing w:line="400" w:lineRule="exact"/>
              <w:jc w:val="center"/>
              <w:rPr>
                <w:rFonts w:hint="eastAsia" w:ascii="宋体" w:hAnsi="宋体" w:cs="宋体"/>
              </w:rPr>
            </w:pPr>
          </w:p>
        </w:tc>
        <w:tc>
          <w:tcPr>
            <w:tcW w:w="894" w:type="pct"/>
            <w:vMerge w:val="continue"/>
            <w:tcBorders>
              <w:left w:val="single" w:color="auto" w:sz="4" w:space="0"/>
              <w:right w:val="single" w:color="auto" w:sz="4" w:space="0"/>
            </w:tcBorders>
            <w:vAlign w:val="center"/>
          </w:tcPr>
          <w:p w14:paraId="06380379">
            <w:pPr>
              <w:spacing w:line="400" w:lineRule="exact"/>
              <w:jc w:val="center"/>
              <w:rPr>
                <w:rFonts w:hint="eastAsia" w:ascii="宋体" w:hAnsi="宋体" w:cs="宋体"/>
              </w:rPr>
            </w:pPr>
          </w:p>
        </w:tc>
        <w:tc>
          <w:tcPr>
            <w:tcW w:w="994" w:type="pct"/>
            <w:tcBorders>
              <w:top w:val="single" w:color="auto" w:sz="4" w:space="0"/>
              <w:left w:val="single" w:color="auto" w:sz="4" w:space="0"/>
              <w:bottom w:val="single" w:color="auto" w:sz="4" w:space="0"/>
              <w:right w:val="single" w:color="auto" w:sz="4" w:space="0"/>
            </w:tcBorders>
            <w:vAlign w:val="center"/>
          </w:tcPr>
          <w:p w14:paraId="2DE9FFEA">
            <w:pPr>
              <w:spacing w:line="400" w:lineRule="exact"/>
              <w:rPr>
                <w:rFonts w:hint="eastAsia" w:ascii="宋体" w:hAnsi="宋体" w:cs="宋体"/>
              </w:rPr>
            </w:pPr>
            <w:r>
              <w:rPr>
                <w:rFonts w:hint="eastAsia" w:ascii="宋体" w:hAnsi="宋体" w:cs="宋体"/>
              </w:rPr>
              <w:t>比选申请文件的签署</w:t>
            </w:r>
          </w:p>
        </w:tc>
        <w:tc>
          <w:tcPr>
            <w:tcW w:w="2478" w:type="pct"/>
            <w:tcBorders>
              <w:top w:val="single" w:color="auto" w:sz="4" w:space="0"/>
              <w:left w:val="single" w:color="auto" w:sz="4" w:space="0"/>
              <w:bottom w:val="single" w:color="auto" w:sz="4" w:space="0"/>
            </w:tcBorders>
            <w:vAlign w:val="center"/>
          </w:tcPr>
          <w:p w14:paraId="050B8E60">
            <w:pPr>
              <w:autoSpaceDE w:val="0"/>
              <w:autoSpaceDN w:val="0"/>
              <w:adjustRightInd w:val="0"/>
              <w:snapToGrid w:val="0"/>
              <w:spacing w:line="400" w:lineRule="exact"/>
              <w:rPr>
                <w:rFonts w:hint="eastAsia" w:ascii="宋体" w:hAnsi="宋体" w:cs="宋体"/>
              </w:rPr>
            </w:pPr>
            <w:r>
              <w:rPr>
                <w:rFonts w:hint="eastAsia" w:ascii="宋体" w:hAnsi="宋体" w:cs="宋体"/>
              </w:rPr>
              <w:t>比选申请文件上法定代表人或其委托代理人的签字（或盖章）齐全。</w:t>
            </w:r>
          </w:p>
        </w:tc>
      </w:tr>
      <w:tr w14:paraId="08827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633" w:type="pct"/>
            <w:vMerge w:val="continue"/>
            <w:tcBorders>
              <w:bottom w:val="single" w:color="auto" w:sz="4" w:space="0"/>
              <w:right w:val="single" w:color="auto" w:sz="4" w:space="0"/>
            </w:tcBorders>
            <w:vAlign w:val="center"/>
          </w:tcPr>
          <w:p w14:paraId="6974067C">
            <w:pPr>
              <w:spacing w:line="400" w:lineRule="exact"/>
              <w:jc w:val="center"/>
              <w:rPr>
                <w:rFonts w:hint="eastAsia" w:ascii="宋体" w:hAnsi="宋体" w:cs="宋体"/>
              </w:rPr>
            </w:pPr>
          </w:p>
        </w:tc>
        <w:tc>
          <w:tcPr>
            <w:tcW w:w="894" w:type="pct"/>
            <w:vMerge w:val="continue"/>
            <w:tcBorders>
              <w:left w:val="single" w:color="auto" w:sz="4" w:space="0"/>
              <w:bottom w:val="single" w:color="auto" w:sz="4" w:space="0"/>
              <w:right w:val="single" w:color="auto" w:sz="4" w:space="0"/>
            </w:tcBorders>
            <w:vAlign w:val="center"/>
          </w:tcPr>
          <w:p w14:paraId="2329BA43">
            <w:pPr>
              <w:spacing w:line="400" w:lineRule="exact"/>
              <w:jc w:val="center"/>
              <w:rPr>
                <w:rFonts w:hint="eastAsia" w:ascii="宋体" w:hAnsi="宋体" w:cs="宋体"/>
              </w:rPr>
            </w:pPr>
          </w:p>
        </w:tc>
        <w:tc>
          <w:tcPr>
            <w:tcW w:w="994" w:type="pct"/>
            <w:tcBorders>
              <w:top w:val="single" w:color="auto" w:sz="4" w:space="0"/>
              <w:left w:val="single" w:color="auto" w:sz="4" w:space="0"/>
              <w:bottom w:val="single" w:color="auto" w:sz="4" w:space="0"/>
              <w:right w:val="single" w:color="auto" w:sz="4" w:space="0"/>
            </w:tcBorders>
            <w:vAlign w:val="center"/>
          </w:tcPr>
          <w:p w14:paraId="12DB4F72">
            <w:pPr>
              <w:spacing w:line="400" w:lineRule="exact"/>
              <w:rPr>
                <w:rFonts w:hint="eastAsia" w:ascii="宋体" w:hAnsi="宋体" w:cs="宋体"/>
              </w:rPr>
            </w:pPr>
            <w:r>
              <w:rPr>
                <w:rFonts w:hint="eastAsia" w:ascii="宋体" w:hAnsi="宋体" w:cs="宋体"/>
              </w:rPr>
              <w:t>委托代理人</w:t>
            </w:r>
          </w:p>
        </w:tc>
        <w:tc>
          <w:tcPr>
            <w:tcW w:w="2478" w:type="pct"/>
            <w:tcBorders>
              <w:top w:val="single" w:color="auto" w:sz="4" w:space="0"/>
              <w:left w:val="single" w:color="auto" w:sz="4" w:space="0"/>
              <w:bottom w:val="single" w:color="auto" w:sz="4" w:space="0"/>
            </w:tcBorders>
            <w:vAlign w:val="center"/>
          </w:tcPr>
          <w:p w14:paraId="02837740">
            <w:pPr>
              <w:snapToGrid w:val="0"/>
              <w:spacing w:after="78" w:afterLines="25" w:line="400" w:lineRule="exact"/>
              <w:rPr>
                <w:rFonts w:hint="eastAsia" w:ascii="宋体" w:hAnsi="宋体" w:cs="宋体"/>
              </w:rPr>
            </w:pPr>
            <w:r>
              <w:rPr>
                <w:rFonts w:hint="eastAsia" w:ascii="宋体" w:hAnsi="宋体" w:cs="宋体"/>
              </w:rPr>
              <w:t>比选申请人法定代表人的委托代理人有法定代表人签署的授权委托书和养老保险。</w:t>
            </w:r>
          </w:p>
        </w:tc>
      </w:tr>
      <w:tr w14:paraId="2FA44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633" w:type="pct"/>
            <w:vMerge w:val="restart"/>
            <w:tcBorders>
              <w:top w:val="single" w:color="auto" w:sz="4" w:space="0"/>
              <w:right w:val="single" w:color="auto" w:sz="4" w:space="0"/>
            </w:tcBorders>
            <w:vAlign w:val="center"/>
          </w:tcPr>
          <w:p w14:paraId="0F9681AD">
            <w:pPr>
              <w:spacing w:line="400" w:lineRule="exact"/>
              <w:jc w:val="center"/>
              <w:rPr>
                <w:rFonts w:hint="eastAsia" w:ascii="宋体" w:hAnsi="宋体" w:cs="宋体"/>
              </w:rPr>
            </w:pPr>
            <w:r>
              <w:rPr>
                <w:rFonts w:hint="eastAsia" w:ascii="宋体" w:hAnsi="宋体" w:cs="宋体"/>
              </w:rPr>
              <w:t>2.2.2</w:t>
            </w:r>
          </w:p>
        </w:tc>
        <w:tc>
          <w:tcPr>
            <w:tcW w:w="894" w:type="pct"/>
            <w:vMerge w:val="restart"/>
            <w:tcBorders>
              <w:top w:val="single" w:color="auto" w:sz="4" w:space="0"/>
              <w:left w:val="single" w:color="auto" w:sz="4" w:space="0"/>
              <w:right w:val="single" w:color="auto" w:sz="4" w:space="0"/>
            </w:tcBorders>
            <w:vAlign w:val="center"/>
          </w:tcPr>
          <w:p w14:paraId="1BF9717A">
            <w:pPr>
              <w:spacing w:line="400" w:lineRule="exact"/>
              <w:jc w:val="center"/>
              <w:rPr>
                <w:rFonts w:hint="eastAsia" w:ascii="宋体" w:hAnsi="宋体" w:cs="宋体"/>
              </w:rPr>
            </w:pPr>
            <w:r>
              <w:rPr>
                <w:rFonts w:hint="eastAsia" w:ascii="宋体" w:hAnsi="宋体" w:cs="宋体"/>
              </w:rPr>
              <w:t>资格评审标准</w:t>
            </w:r>
          </w:p>
        </w:tc>
        <w:tc>
          <w:tcPr>
            <w:tcW w:w="994" w:type="pct"/>
            <w:tcBorders>
              <w:top w:val="single" w:color="auto" w:sz="4" w:space="0"/>
              <w:left w:val="single" w:color="auto" w:sz="4" w:space="0"/>
              <w:right w:val="single" w:color="auto" w:sz="4" w:space="0"/>
            </w:tcBorders>
            <w:vAlign w:val="center"/>
          </w:tcPr>
          <w:p w14:paraId="4B832348">
            <w:pPr>
              <w:snapToGrid w:val="0"/>
              <w:spacing w:line="400" w:lineRule="exact"/>
              <w:rPr>
                <w:rFonts w:hint="eastAsia" w:ascii="宋体" w:hAnsi="宋体" w:cs="宋体"/>
              </w:rPr>
            </w:pPr>
            <w:r>
              <w:rPr>
                <w:rFonts w:hint="eastAsia" w:ascii="宋体" w:hAnsi="宋体" w:cs="宋体"/>
              </w:rPr>
              <w:t>营业执照</w:t>
            </w:r>
          </w:p>
        </w:tc>
        <w:tc>
          <w:tcPr>
            <w:tcW w:w="2478" w:type="pct"/>
            <w:tcBorders>
              <w:top w:val="single" w:color="auto" w:sz="4" w:space="0"/>
              <w:left w:val="single" w:color="auto" w:sz="4" w:space="0"/>
            </w:tcBorders>
            <w:vAlign w:val="center"/>
          </w:tcPr>
          <w:p w14:paraId="00ED6E12">
            <w:pPr>
              <w:snapToGrid w:val="0"/>
              <w:spacing w:line="400" w:lineRule="exact"/>
              <w:rPr>
                <w:rFonts w:hint="eastAsia" w:ascii="宋体" w:hAnsi="宋体" w:cs="宋体"/>
              </w:rPr>
            </w:pPr>
            <w:r>
              <w:rPr>
                <w:rFonts w:hint="eastAsia" w:ascii="宋体" w:hAnsi="宋体" w:cs="宋体"/>
              </w:rPr>
              <w:t>符合第二章“比选申请人须知”第1.4.1项规定</w:t>
            </w:r>
          </w:p>
        </w:tc>
      </w:tr>
      <w:tr w14:paraId="5277E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633" w:type="pct"/>
            <w:vMerge w:val="continue"/>
            <w:tcBorders>
              <w:right w:val="single" w:color="auto" w:sz="4" w:space="0"/>
            </w:tcBorders>
            <w:vAlign w:val="center"/>
          </w:tcPr>
          <w:p w14:paraId="4C9F1754">
            <w:pPr>
              <w:spacing w:line="400" w:lineRule="exact"/>
              <w:jc w:val="center"/>
              <w:rPr>
                <w:rFonts w:hint="eastAsia" w:ascii="宋体" w:hAnsi="宋体" w:cs="宋体"/>
              </w:rPr>
            </w:pPr>
          </w:p>
        </w:tc>
        <w:tc>
          <w:tcPr>
            <w:tcW w:w="894" w:type="pct"/>
            <w:vMerge w:val="continue"/>
            <w:tcBorders>
              <w:left w:val="single" w:color="auto" w:sz="4" w:space="0"/>
              <w:right w:val="single" w:color="auto" w:sz="4" w:space="0"/>
            </w:tcBorders>
            <w:vAlign w:val="center"/>
          </w:tcPr>
          <w:p w14:paraId="0E4ECCBF">
            <w:pPr>
              <w:spacing w:line="400" w:lineRule="exact"/>
              <w:jc w:val="center"/>
              <w:rPr>
                <w:rFonts w:hint="eastAsia" w:ascii="宋体" w:hAnsi="宋体" w:cs="宋体"/>
              </w:rPr>
            </w:pPr>
          </w:p>
        </w:tc>
        <w:tc>
          <w:tcPr>
            <w:tcW w:w="994" w:type="pct"/>
            <w:tcBorders>
              <w:top w:val="single" w:color="auto" w:sz="4" w:space="0"/>
              <w:left w:val="single" w:color="auto" w:sz="4" w:space="0"/>
              <w:right w:val="single" w:color="auto" w:sz="4" w:space="0"/>
            </w:tcBorders>
            <w:vAlign w:val="center"/>
          </w:tcPr>
          <w:p w14:paraId="0011614E">
            <w:pPr>
              <w:snapToGrid w:val="0"/>
              <w:spacing w:line="400" w:lineRule="exact"/>
              <w:rPr>
                <w:rFonts w:hint="eastAsia" w:ascii="宋体" w:hAnsi="宋体" w:cs="宋体"/>
              </w:rPr>
            </w:pPr>
            <w:r>
              <w:rPr>
                <w:rFonts w:hint="eastAsia" w:ascii="宋体" w:hAnsi="宋体" w:cs="宋体"/>
              </w:rPr>
              <w:t>安全生产条件</w:t>
            </w:r>
          </w:p>
        </w:tc>
        <w:tc>
          <w:tcPr>
            <w:tcW w:w="2478" w:type="pct"/>
            <w:tcBorders>
              <w:top w:val="single" w:color="auto" w:sz="4" w:space="0"/>
              <w:left w:val="single" w:color="auto" w:sz="4" w:space="0"/>
            </w:tcBorders>
            <w:vAlign w:val="center"/>
          </w:tcPr>
          <w:p w14:paraId="35CE9D5E">
            <w:pPr>
              <w:snapToGrid w:val="0"/>
              <w:spacing w:after="78" w:afterLines="25" w:line="400" w:lineRule="exact"/>
              <w:rPr>
                <w:rFonts w:hint="eastAsia" w:ascii="宋体" w:hAnsi="宋体" w:cs="宋体"/>
              </w:rPr>
            </w:pPr>
            <w:r>
              <w:rPr>
                <w:rFonts w:hint="eastAsia" w:ascii="宋体" w:hAnsi="宋体" w:cs="宋体"/>
              </w:rPr>
              <w:t>符合第二章“比选申请人须知”第1.4.1项规定</w:t>
            </w:r>
          </w:p>
        </w:tc>
      </w:tr>
      <w:tr w14:paraId="34585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633" w:type="pct"/>
            <w:vMerge w:val="continue"/>
            <w:tcBorders>
              <w:right w:val="single" w:color="auto" w:sz="4" w:space="0"/>
            </w:tcBorders>
            <w:vAlign w:val="center"/>
          </w:tcPr>
          <w:p w14:paraId="5C5366DA">
            <w:pPr>
              <w:spacing w:line="400" w:lineRule="exact"/>
              <w:jc w:val="center"/>
              <w:rPr>
                <w:rFonts w:hint="eastAsia" w:ascii="宋体" w:hAnsi="宋体" w:cs="宋体"/>
              </w:rPr>
            </w:pPr>
          </w:p>
        </w:tc>
        <w:tc>
          <w:tcPr>
            <w:tcW w:w="894" w:type="pct"/>
            <w:vMerge w:val="continue"/>
            <w:tcBorders>
              <w:left w:val="single" w:color="auto" w:sz="4" w:space="0"/>
              <w:right w:val="single" w:color="auto" w:sz="4" w:space="0"/>
            </w:tcBorders>
            <w:vAlign w:val="center"/>
          </w:tcPr>
          <w:p w14:paraId="069D9ECD">
            <w:pPr>
              <w:spacing w:line="400" w:lineRule="exact"/>
              <w:jc w:val="center"/>
              <w:rPr>
                <w:rFonts w:hint="eastAsia" w:ascii="宋体" w:hAnsi="宋体" w:cs="宋体"/>
              </w:rPr>
            </w:pPr>
          </w:p>
        </w:tc>
        <w:tc>
          <w:tcPr>
            <w:tcW w:w="994" w:type="pct"/>
            <w:tcBorders>
              <w:top w:val="single" w:color="auto" w:sz="4" w:space="0"/>
              <w:left w:val="single" w:color="auto" w:sz="4" w:space="0"/>
              <w:right w:val="single" w:color="auto" w:sz="4" w:space="0"/>
            </w:tcBorders>
            <w:vAlign w:val="center"/>
          </w:tcPr>
          <w:p w14:paraId="67E1DDA3">
            <w:pPr>
              <w:snapToGrid w:val="0"/>
              <w:spacing w:line="400" w:lineRule="exact"/>
              <w:rPr>
                <w:rFonts w:hint="eastAsia" w:ascii="宋体" w:hAnsi="宋体" w:cs="宋体"/>
              </w:rPr>
            </w:pPr>
            <w:r>
              <w:rPr>
                <w:rFonts w:hint="eastAsia" w:ascii="宋体" w:hAnsi="宋体" w:cs="宋体"/>
              </w:rPr>
              <w:t>资质等级</w:t>
            </w:r>
          </w:p>
        </w:tc>
        <w:tc>
          <w:tcPr>
            <w:tcW w:w="2478" w:type="pct"/>
            <w:tcBorders>
              <w:top w:val="single" w:color="auto" w:sz="4" w:space="0"/>
              <w:left w:val="single" w:color="auto" w:sz="4" w:space="0"/>
            </w:tcBorders>
            <w:vAlign w:val="center"/>
          </w:tcPr>
          <w:p w14:paraId="5F0094C6">
            <w:pPr>
              <w:snapToGrid w:val="0"/>
              <w:spacing w:line="400" w:lineRule="exact"/>
              <w:rPr>
                <w:rFonts w:hint="eastAsia" w:ascii="宋体" w:hAnsi="宋体" w:cs="宋体"/>
              </w:rPr>
            </w:pPr>
            <w:r>
              <w:rPr>
                <w:rFonts w:hint="eastAsia" w:ascii="宋体" w:hAnsi="宋体" w:cs="宋体"/>
              </w:rPr>
              <w:t>符合第二章“比选申请人须知”第1.4.1项规定</w:t>
            </w:r>
          </w:p>
        </w:tc>
      </w:tr>
      <w:tr w14:paraId="54857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33" w:type="pct"/>
            <w:vMerge w:val="continue"/>
            <w:tcBorders>
              <w:right w:val="single" w:color="auto" w:sz="4" w:space="0"/>
            </w:tcBorders>
            <w:vAlign w:val="center"/>
          </w:tcPr>
          <w:p w14:paraId="0F4BDEB7">
            <w:pPr>
              <w:spacing w:line="400" w:lineRule="exact"/>
              <w:jc w:val="center"/>
              <w:rPr>
                <w:rFonts w:hint="eastAsia" w:ascii="宋体" w:hAnsi="宋体" w:cs="宋体"/>
              </w:rPr>
            </w:pPr>
          </w:p>
        </w:tc>
        <w:tc>
          <w:tcPr>
            <w:tcW w:w="894" w:type="pct"/>
            <w:vMerge w:val="continue"/>
            <w:tcBorders>
              <w:left w:val="single" w:color="auto" w:sz="4" w:space="0"/>
              <w:right w:val="single" w:color="auto" w:sz="4" w:space="0"/>
            </w:tcBorders>
            <w:vAlign w:val="center"/>
          </w:tcPr>
          <w:p w14:paraId="6CABBA7D">
            <w:pPr>
              <w:spacing w:line="400" w:lineRule="exact"/>
              <w:jc w:val="center"/>
              <w:rPr>
                <w:rFonts w:hint="eastAsia" w:ascii="宋体" w:hAnsi="宋体" w:cs="宋体"/>
              </w:rPr>
            </w:pPr>
          </w:p>
        </w:tc>
        <w:tc>
          <w:tcPr>
            <w:tcW w:w="994" w:type="pct"/>
            <w:tcBorders>
              <w:top w:val="single" w:color="auto" w:sz="4" w:space="0"/>
              <w:left w:val="single" w:color="auto" w:sz="4" w:space="0"/>
              <w:right w:val="single" w:color="auto" w:sz="4" w:space="0"/>
            </w:tcBorders>
            <w:vAlign w:val="center"/>
          </w:tcPr>
          <w:p w14:paraId="131E4D77">
            <w:pPr>
              <w:snapToGrid w:val="0"/>
              <w:spacing w:line="400" w:lineRule="exact"/>
              <w:rPr>
                <w:rFonts w:hint="eastAsia" w:ascii="宋体" w:hAnsi="宋体" w:cs="宋体"/>
              </w:rPr>
            </w:pPr>
            <w:r>
              <w:rPr>
                <w:rFonts w:hint="eastAsia" w:ascii="宋体" w:hAnsi="宋体" w:cs="宋体"/>
              </w:rPr>
              <w:t>项目经理资格</w:t>
            </w:r>
          </w:p>
        </w:tc>
        <w:tc>
          <w:tcPr>
            <w:tcW w:w="2478" w:type="pct"/>
            <w:tcBorders>
              <w:top w:val="single" w:color="auto" w:sz="4" w:space="0"/>
              <w:left w:val="single" w:color="auto" w:sz="4" w:space="0"/>
            </w:tcBorders>
            <w:vAlign w:val="center"/>
          </w:tcPr>
          <w:p w14:paraId="0C8E920B">
            <w:pPr>
              <w:snapToGrid w:val="0"/>
              <w:spacing w:line="400" w:lineRule="exact"/>
              <w:rPr>
                <w:rFonts w:hint="eastAsia" w:ascii="宋体" w:hAnsi="宋体" w:cs="宋体"/>
              </w:rPr>
            </w:pPr>
            <w:r>
              <w:rPr>
                <w:rFonts w:hint="eastAsia" w:ascii="宋体" w:hAnsi="宋体" w:cs="宋体"/>
              </w:rPr>
              <w:t>符合第二章“比选申请人须知”第1.4.1项规定</w:t>
            </w:r>
          </w:p>
        </w:tc>
      </w:tr>
      <w:tr w14:paraId="1DD56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633" w:type="pct"/>
            <w:vMerge w:val="continue"/>
            <w:tcBorders>
              <w:right w:val="single" w:color="auto" w:sz="4" w:space="0"/>
            </w:tcBorders>
            <w:vAlign w:val="center"/>
          </w:tcPr>
          <w:p w14:paraId="1E7C3127">
            <w:pPr>
              <w:spacing w:line="400" w:lineRule="exact"/>
              <w:jc w:val="center"/>
              <w:rPr>
                <w:rFonts w:hint="eastAsia" w:ascii="宋体" w:hAnsi="宋体" w:cs="宋体"/>
              </w:rPr>
            </w:pPr>
          </w:p>
        </w:tc>
        <w:tc>
          <w:tcPr>
            <w:tcW w:w="894" w:type="pct"/>
            <w:vMerge w:val="continue"/>
            <w:tcBorders>
              <w:left w:val="single" w:color="auto" w:sz="4" w:space="0"/>
              <w:right w:val="single" w:color="auto" w:sz="4" w:space="0"/>
            </w:tcBorders>
            <w:vAlign w:val="center"/>
          </w:tcPr>
          <w:p w14:paraId="1D767857">
            <w:pPr>
              <w:spacing w:line="400" w:lineRule="exact"/>
              <w:jc w:val="center"/>
              <w:rPr>
                <w:rFonts w:hint="eastAsia" w:ascii="宋体" w:hAnsi="宋体" w:cs="宋体"/>
              </w:rPr>
            </w:pPr>
          </w:p>
        </w:tc>
        <w:tc>
          <w:tcPr>
            <w:tcW w:w="994" w:type="pct"/>
            <w:tcBorders>
              <w:top w:val="single" w:color="auto" w:sz="4" w:space="0"/>
              <w:left w:val="single" w:color="auto" w:sz="4" w:space="0"/>
              <w:right w:val="single" w:color="auto" w:sz="4" w:space="0"/>
            </w:tcBorders>
            <w:vAlign w:val="center"/>
          </w:tcPr>
          <w:p w14:paraId="64F36CE8">
            <w:pPr>
              <w:snapToGrid w:val="0"/>
              <w:spacing w:line="400" w:lineRule="exact"/>
              <w:rPr>
                <w:rFonts w:hint="eastAsia" w:ascii="宋体" w:hAnsi="宋体" w:cs="宋体"/>
              </w:rPr>
            </w:pPr>
            <w:r>
              <w:rPr>
                <w:rFonts w:hint="eastAsia" w:ascii="宋体" w:hAnsi="宋体" w:cs="宋体"/>
              </w:rPr>
              <w:t>其他要求</w:t>
            </w:r>
          </w:p>
        </w:tc>
        <w:tc>
          <w:tcPr>
            <w:tcW w:w="2478" w:type="pct"/>
            <w:tcBorders>
              <w:top w:val="single" w:color="auto" w:sz="4" w:space="0"/>
              <w:left w:val="single" w:color="auto" w:sz="4" w:space="0"/>
            </w:tcBorders>
            <w:vAlign w:val="center"/>
          </w:tcPr>
          <w:p w14:paraId="69A5EF2C">
            <w:pPr>
              <w:snapToGrid w:val="0"/>
              <w:spacing w:line="400" w:lineRule="exact"/>
              <w:rPr>
                <w:rFonts w:hint="eastAsia" w:ascii="宋体" w:hAnsi="宋体" w:cs="宋体"/>
                <w:u w:val="single"/>
              </w:rPr>
            </w:pPr>
            <w:r>
              <w:rPr>
                <w:rFonts w:hint="eastAsia" w:ascii="宋体" w:hAnsi="宋体" w:cs="宋体"/>
              </w:rPr>
              <w:t>符合第二章“比选申请人须知”第1.4.1项规定</w:t>
            </w:r>
          </w:p>
        </w:tc>
      </w:tr>
      <w:tr w14:paraId="5E207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33" w:type="pct"/>
            <w:vMerge w:val="continue"/>
            <w:tcBorders>
              <w:right w:val="single" w:color="auto" w:sz="4" w:space="0"/>
            </w:tcBorders>
            <w:vAlign w:val="center"/>
          </w:tcPr>
          <w:p w14:paraId="1E80ED7E">
            <w:pPr>
              <w:spacing w:line="400" w:lineRule="exact"/>
              <w:jc w:val="center"/>
              <w:rPr>
                <w:rFonts w:hint="eastAsia" w:ascii="宋体" w:hAnsi="宋体" w:cs="宋体"/>
              </w:rPr>
            </w:pPr>
          </w:p>
        </w:tc>
        <w:tc>
          <w:tcPr>
            <w:tcW w:w="894" w:type="pct"/>
            <w:vMerge w:val="continue"/>
            <w:tcBorders>
              <w:left w:val="single" w:color="auto" w:sz="4" w:space="0"/>
              <w:right w:val="single" w:color="auto" w:sz="4" w:space="0"/>
            </w:tcBorders>
            <w:vAlign w:val="center"/>
          </w:tcPr>
          <w:p w14:paraId="5323BF2F">
            <w:pPr>
              <w:spacing w:line="400" w:lineRule="exact"/>
              <w:jc w:val="center"/>
              <w:rPr>
                <w:rFonts w:hint="eastAsia" w:ascii="宋体" w:hAnsi="宋体" w:cs="宋体"/>
              </w:rPr>
            </w:pPr>
          </w:p>
        </w:tc>
        <w:tc>
          <w:tcPr>
            <w:tcW w:w="994" w:type="pct"/>
            <w:tcBorders>
              <w:top w:val="single" w:color="auto" w:sz="4" w:space="0"/>
              <w:left w:val="single" w:color="auto" w:sz="4" w:space="0"/>
              <w:right w:val="single" w:color="auto" w:sz="4" w:space="0"/>
            </w:tcBorders>
            <w:vAlign w:val="center"/>
          </w:tcPr>
          <w:p w14:paraId="1D6A41B2">
            <w:pPr>
              <w:snapToGrid w:val="0"/>
              <w:spacing w:line="400" w:lineRule="exact"/>
              <w:rPr>
                <w:rFonts w:hint="eastAsia" w:ascii="宋体" w:hAnsi="宋体" w:cs="宋体"/>
              </w:rPr>
            </w:pPr>
            <w:r>
              <w:rPr>
                <w:rFonts w:hint="eastAsia" w:ascii="宋体" w:hAnsi="宋体" w:cs="宋体"/>
              </w:rPr>
              <w:t>信誉要求</w:t>
            </w:r>
          </w:p>
        </w:tc>
        <w:tc>
          <w:tcPr>
            <w:tcW w:w="2478" w:type="pct"/>
            <w:tcBorders>
              <w:top w:val="single" w:color="auto" w:sz="4" w:space="0"/>
              <w:left w:val="single" w:color="auto" w:sz="4" w:space="0"/>
            </w:tcBorders>
            <w:vAlign w:val="center"/>
          </w:tcPr>
          <w:p w14:paraId="1067186B">
            <w:pPr>
              <w:snapToGrid w:val="0"/>
              <w:spacing w:line="400" w:lineRule="exact"/>
              <w:rPr>
                <w:rFonts w:hint="eastAsia" w:ascii="宋体" w:hAnsi="宋体" w:cs="宋体"/>
                <w:u w:val="single"/>
              </w:rPr>
            </w:pPr>
            <w:r>
              <w:rPr>
                <w:rFonts w:hint="eastAsia" w:ascii="宋体" w:hAnsi="宋体" w:cs="宋体"/>
              </w:rPr>
              <w:t>符合第二章“比选申请人须知”第1.4.1项规定</w:t>
            </w:r>
          </w:p>
        </w:tc>
      </w:tr>
      <w:tr w14:paraId="28C43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3" w:type="pct"/>
            <w:vMerge w:val="restart"/>
            <w:tcBorders>
              <w:right w:val="single" w:color="auto" w:sz="4" w:space="0"/>
            </w:tcBorders>
            <w:vAlign w:val="center"/>
          </w:tcPr>
          <w:p w14:paraId="1D8F7258">
            <w:pPr>
              <w:spacing w:line="400" w:lineRule="exact"/>
              <w:jc w:val="center"/>
              <w:rPr>
                <w:rFonts w:hint="eastAsia" w:ascii="宋体" w:hAnsi="宋体" w:cs="宋体"/>
              </w:rPr>
            </w:pPr>
            <w:r>
              <w:rPr>
                <w:rFonts w:hint="eastAsia" w:ascii="宋体" w:hAnsi="宋体" w:cs="宋体"/>
              </w:rPr>
              <w:t>2.2.3</w:t>
            </w:r>
          </w:p>
        </w:tc>
        <w:tc>
          <w:tcPr>
            <w:tcW w:w="894" w:type="pct"/>
            <w:vMerge w:val="restart"/>
            <w:tcBorders>
              <w:left w:val="single" w:color="auto" w:sz="4" w:space="0"/>
            </w:tcBorders>
            <w:vAlign w:val="center"/>
          </w:tcPr>
          <w:p w14:paraId="2322571D">
            <w:pPr>
              <w:spacing w:line="400" w:lineRule="exact"/>
              <w:jc w:val="center"/>
              <w:rPr>
                <w:rFonts w:hint="eastAsia" w:ascii="宋体" w:hAnsi="宋体" w:cs="宋体"/>
              </w:rPr>
            </w:pPr>
            <w:r>
              <w:rPr>
                <w:rFonts w:hint="eastAsia" w:ascii="宋体" w:hAnsi="宋体" w:cs="宋体"/>
              </w:rPr>
              <w:t>响应性评审标准</w:t>
            </w:r>
          </w:p>
        </w:tc>
        <w:tc>
          <w:tcPr>
            <w:tcW w:w="994" w:type="pct"/>
            <w:tcBorders>
              <w:right w:val="single" w:color="auto" w:sz="4" w:space="0"/>
            </w:tcBorders>
            <w:vAlign w:val="center"/>
          </w:tcPr>
          <w:p w14:paraId="7774AF66">
            <w:pPr>
              <w:snapToGrid w:val="0"/>
              <w:spacing w:line="400" w:lineRule="exact"/>
              <w:rPr>
                <w:rFonts w:hint="eastAsia" w:ascii="宋体" w:hAnsi="宋体" w:cs="宋体"/>
              </w:rPr>
            </w:pPr>
            <w:r>
              <w:rPr>
                <w:rFonts w:hint="eastAsia" w:ascii="宋体" w:hAnsi="宋体" w:cs="宋体"/>
              </w:rPr>
              <w:t>投标总报价</w:t>
            </w:r>
          </w:p>
        </w:tc>
        <w:tc>
          <w:tcPr>
            <w:tcW w:w="2478" w:type="pct"/>
            <w:tcBorders>
              <w:left w:val="single" w:color="auto" w:sz="4" w:space="0"/>
            </w:tcBorders>
            <w:vAlign w:val="center"/>
          </w:tcPr>
          <w:p w14:paraId="5279E147">
            <w:pPr>
              <w:snapToGrid w:val="0"/>
              <w:spacing w:line="400" w:lineRule="exact"/>
              <w:rPr>
                <w:rFonts w:hint="eastAsia" w:ascii="宋体" w:hAnsi="宋体" w:cs="宋体"/>
              </w:rPr>
            </w:pPr>
            <w:r>
              <w:rPr>
                <w:rFonts w:hint="eastAsia" w:ascii="宋体" w:hAnsi="宋体" w:cs="宋体"/>
              </w:rPr>
              <w:t>投标总报价不得高于比选人公布的投标总报价最高限价。</w:t>
            </w:r>
          </w:p>
        </w:tc>
      </w:tr>
      <w:tr w14:paraId="0A341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3" w:type="pct"/>
            <w:vMerge w:val="continue"/>
            <w:tcBorders>
              <w:right w:val="single" w:color="auto" w:sz="4" w:space="0"/>
            </w:tcBorders>
            <w:vAlign w:val="center"/>
          </w:tcPr>
          <w:p w14:paraId="0AD0AD1D">
            <w:pPr>
              <w:spacing w:line="400" w:lineRule="exact"/>
              <w:jc w:val="center"/>
              <w:rPr>
                <w:rFonts w:hint="eastAsia" w:ascii="宋体" w:hAnsi="宋体" w:cs="宋体"/>
              </w:rPr>
            </w:pPr>
          </w:p>
        </w:tc>
        <w:tc>
          <w:tcPr>
            <w:tcW w:w="894" w:type="pct"/>
            <w:vMerge w:val="continue"/>
            <w:tcBorders>
              <w:left w:val="single" w:color="auto" w:sz="4" w:space="0"/>
            </w:tcBorders>
            <w:vAlign w:val="center"/>
          </w:tcPr>
          <w:p w14:paraId="028DEA43">
            <w:pPr>
              <w:spacing w:line="400" w:lineRule="exact"/>
              <w:jc w:val="center"/>
              <w:rPr>
                <w:rFonts w:hint="eastAsia" w:ascii="宋体" w:hAnsi="宋体" w:cs="宋体"/>
              </w:rPr>
            </w:pPr>
          </w:p>
        </w:tc>
        <w:tc>
          <w:tcPr>
            <w:tcW w:w="994" w:type="pct"/>
            <w:tcBorders>
              <w:right w:val="single" w:color="auto" w:sz="4" w:space="0"/>
            </w:tcBorders>
            <w:vAlign w:val="center"/>
          </w:tcPr>
          <w:p w14:paraId="1960ACB6">
            <w:pPr>
              <w:snapToGrid w:val="0"/>
              <w:spacing w:line="400" w:lineRule="exact"/>
              <w:rPr>
                <w:rFonts w:hint="eastAsia" w:ascii="宋体" w:hAnsi="宋体" w:cs="宋体"/>
              </w:rPr>
            </w:pPr>
            <w:r>
              <w:rPr>
                <w:rFonts w:hint="eastAsia" w:ascii="宋体" w:hAnsi="宋体" w:cs="宋体"/>
              </w:rPr>
              <w:t>暂定金额（暂列金）</w:t>
            </w:r>
          </w:p>
        </w:tc>
        <w:tc>
          <w:tcPr>
            <w:tcW w:w="2478" w:type="pct"/>
            <w:tcBorders>
              <w:left w:val="single" w:color="auto" w:sz="4" w:space="0"/>
            </w:tcBorders>
            <w:vAlign w:val="center"/>
          </w:tcPr>
          <w:p w14:paraId="2CCE8794">
            <w:pPr>
              <w:snapToGrid w:val="0"/>
              <w:spacing w:line="400" w:lineRule="exact"/>
              <w:rPr>
                <w:rFonts w:hint="eastAsia" w:ascii="宋体" w:hAnsi="宋体" w:cs="宋体"/>
              </w:rPr>
            </w:pPr>
            <w:r>
              <w:rPr>
                <w:rFonts w:hint="eastAsia" w:ascii="宋体" w:hAnsi="宋体" w:cs="宋体"/>
                <w:lang w:eastAsia="zh-CN"/>
              </w:rPr>
              <w:t>安全文明施工费</w:t>
            </w:r>
            <w:r>
              <w:rPr>
                <w:rFonts w:hint="eastAsia" w:ascii="宋体" w:hAnsi="宋体" w:cs="宋体"/>
              </w:rPr>
              <w:t>等其他暂定金额（暂列金）、暂估价必须按照比选文件给定的金额填报。</w:t>
            </w:r>
          </w:p>
        </w:tc>
      </w:tr>
      <w:tr w14:paraId="39966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3" w:type="pct"/>
            <w:vMerge w:val="continue"/>
            <w:tcBorders>
              <w:right w:val="single" w:color="auto" w:sz="4" w:space="0"/>
            </w:tcBorders>
            <w:vAlign w:val="center"/>
          </w:tcPr>
          <w:p w14:paraId="0A9DD747">
            <w:pPr>
              <w:spacing w:line="400" w:lineRule="exact"/>
              <w:jc w:val="center"/>
              <w:rPr>
                <w:rFonts w:hint="eastAsia" w:ascii="宋体" w:hAnsi="宋体" w:cs="宋体"/>
              </w:rPr>
            </w:pPr>
          </w:p>
        </w:tc>
        <w:tc>
          <w:tcPr>
            <w:tcW w:w="894" w:type="pct"/>
            <w:vMerge w:val="continue"/>
            <w:tcBorders>
              <w:left w:val="single" w:color="auto" w:sz="4" w:space="0"/>
            </w:tcBorders>
            <w:vAlign w:val="center"/>
          </w:tcPr>
          <w:p w14:paraId="645874AA">
            <w:pPr>
              <w:spacing w:line="400" w:lineRule="exact"/>
              <w:jc w:val="center"/>
              <w:rPr>
                <w:rFonts w:hint="eastAsia" w:ascii="宋体" w:hAnsi="宋体" w:cs="宋体"/>
              </w:rPr>
            </w:pPr>
          </w:p>
        </w:tc>
        <w:tc>
          <w:tcPr>
            <w:tcW w:w="994" w:type="pct"/>
            <w:tcBorders>
              <w:right w:val="single" w:color="auto" w:sz="4" w:space="0"/>
            </w:tcBorders>
            <w:vAlign w:val="center"/>
          </w:tcPr>
          <w:p w14:paraId="30808E9A">
            <w:pPr>
              <w:snapToGrid w:val="0"/>
              <w:spacing w:line="400" w:lineRule="exact"/>
              <w:rPr>
                <w:rFonts w:hint="eastAsia" w:ascii="宋体" w:hAnsi="宋体" w:cs="宋体"/>
              </w:rPr>
            </w:pPr>
            <w:r>
              <w:rPr>
                <w:rFonts w:hint="eastAsia" w:ascii="宋体" w:hAnsi="宋体" w:cs="宋体"/>
              </w:rPr>
              <w:t>投标内容</w:t>
            </w:r>
          </w:p>
        </w:tc>
        <w:tc>
          <w:tcPr>
            <w:tcW w:w="2478" w:type="pct"/>
            <w:tcBorders>
              <w:left w:val="single" w:color="auto" w:sz="4" w:space="0"/>
            </w:tcBorders>
            <w:vAlign w:val="center"/>
          </w:tcPr>
          <w:p w14:paraId="4EEB728D">
            <w:pPr>
              <w:snapToGrid w:val="0"/>
              <w:spacing w:line="400" w:lineRule="exact"/>
              <w:rPr>
                <w:rFonts w:hint="eastAsia" w:ascii="宋体" w:hAnsi="宋体" w:cs="宋体"/>
              </w:rPr>
            </w:pPr>
            <w:r>
              <w:rPr>
                <w:rFonts w:hint="eastAsia" w:ascii="宋体" w:hAnsi="宋体" w:cs="宋体"/>
              </w:rPr>
              <w:t>符合第二章“比选申请人须知”第1.3.1项规定</w:t>
            </w:r>
          </w:p>
        </w:tc>
      </w:tr>
      <w:tr w14:paraId="4AB17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3" w:type="pct"/>
            <w:vMerge w:val="continue"/>
            <w:tcBorders>
              <w:right w:val="single" w:color="auto" w:sz="4" w:space="0"/>
            </w:tcBorders>
            <w:vAlign w:val="center"/>
          </w:tcPr>
          <w:p w14:paraId="59BE47D6">
            <w:pPr>
              <w:spacing w:line="400" w:lineRule="exact"/>
              <w:jc w:val="center"/>
              <w:rPr>
                <w:rFonts w:hint="eastAsia" w:ascii="宋体" w:hAnsi="宋体" w:cs="宋体"/>
              </w:rPr>
            </w:pPr>
          </w:p>
        </w:tc>
        <w:tc>
          <w:tcPr>
            <w:tcW w:w="894" w:type="pct"/>
            <w:vMerge w:val="continue"/>
            <w:tcBorders>
              <w:left w:val="single" w:color="auto" w:sz="4" w:space="0"/>
            </w:tcBorders>
            <w:vAlign w:val="center"/>
          </w:tcPr>
          <w:p w14:paraId="73D6C7E3">
            <w:pPr>
              <w:spacing w:line="400" w:lineRule="exact"/>
              <w:jc w:val="center"/>
              <w:rPr>
                <w:rFonts w:hint="eastAsia" w:ascii="宋体" w:hAnsi="宋体" w:cs="宋体"/>
              </w:rPr>
            </w:pPr>
          </w:p>
        </w:tc>
        <w:tc>
          <w:tcPr>
            <w:tcW w:w="994" w:type="pct"/>
            <w:tcBorders>
              <w:right w:val="single" w:color="auto" w:sz="4" w:space="0"/>
            </w:tcBorders>
            <w:vAlign w:val="center"/>
          </w:tcPr>
          <w:p w14:paraId="11BF45EE">
            <w:pPr>
              <w:snapToGrid w:val="0"/>
              <w:spacing w:line="400" w:lineRule="exact"/>
              <w:rPr>
                <w:rFonts w:hint="eastAsia" w:ascii="宋体" w:hAnsi="宋体" w:cs="宋体"/>
              </w:rPr>
            </w:pPr>
            <w:r>
              <w:rPr>
                <w:rFonts w:hint="eastAsia" w:ascii="宋体" w:hAnsi="宋体" w:cs="宋体"/>
              </w:rPr>
              <w:t>工期</w:t>
            </w:r>
          </w:p>
        </w:tc>
        <w:tc>
          <w:tcPr>
            <w:tcW w:w="2478" w:type="pct"/>
            <w:tcBorders>
              <w:left w:val="single" w:color="auto" w:sz="4" w:space="0"/>
            </w:tcBorders>
            <w:vAlign w:val="center"/>
          </w:tcPr>
          <w:p w14:paraId="71EA75AD">
            <w:pPr>
              <w:snapToGrid w:val="0"/>
              <w:spacing w:line="400" w:lineRule="exact"/>
              <w:rPr>
                <w:rFonts w:hint="eastAsia" w:ascii="宋体" w:hAnsi="宋体" w:cs="宋体"/>
              </w:rPr>
            </w:pPr>
            <w:r>
              <w:rPr>
                <w:rFonts w:hint="eastAsia" w:ascii="宋体" w:hAnsi="宋体" w:cs="宋体"/>
              </w:rPr>
              <w:t>符合第二章“比选申请人须知”第1.3.2项规定</w:t>
            </w:r>
          </w:p>
        </w:tc>
      </w:tr>
      <w:tr w14:paraId="6DD66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3" w:type="pct"/>
            <w:vMerge w:val="continue"/>
            <w:tcBorders>
              <w:right w:val="single" w:color="auto" w:sz="4" w:space="0"/>
            </w:tcBorders>
            <w:vAlign w:val="center"/>
          </w:tcPr>
          <w:p w14:paraId="149E1179">
            <w:pPr>
              <w:spacing w:line="400" w:lineRule="exact"/>
              <w:jc w:val="center"/>
              <w:rPr>
                <w:rFonts w:hint="eastAsia" w:ascii="宋体" w:hAnsi="宋体" w:cs="宋体"/>
              </w:rPr>
            </w:pPr>
          </w:p>
        </w:tc>
        <w:tc>
          <w:tcPr>
            <w:tcW w:w="894" w:type="pct"/>
            <w:vMerge w:val="continue"/>
            <w:tcBorders>
              <w:left w:val="single" w:color="auto" w:sz="4" w:space="0"/>
            </w:tcBorders>
            <w:vAlign w:val="center"/>
          </w:tcPr>
          <w:p w14:paraId="0F11188A">
            <w:pPr>
              <w:spacing w:line="400" w:lineRule="exact"/>
              <w:jc w:val="center"/>
              <w:rPr>
                <w:rFonts w:hint="eastAsia" w:ascii="宋体" w:hAnsi="宋体" w:cs="宋体"/>
              </w:rPr>
            </w:pPr>
          </w:p>
        </w:tc>
        <w:tc>
          <w:tcPr>
            <w:tcW w:w="994" w:type="pct"/>
            <w:tcBorders>
              <w:right w:val="single" w:color="auto" w:sz="4" w:space="0"/>
            </w:tcBorders>
            <w:vAlign w:val="center"/>
          </w:tcPr>
          <w:p w14:paraId="1DE727D9">
            <w:pPr>
              <w:snapToGrid w:val="0"/>
              <w:spacing w:line="400" w:lineRule="exact"/>
              <w:rPr>
                <w:rFonts w:hint="eastAsia" w:ascii="宋体" w:hAnsi="宋体" w:cs="宋体"/>
              </w:rPr>
            </w:pPr>
            <w:r>
              <w:rPr>
                <w:rFonts w:hint="eastAsia" w:ascii="宋体" w:hAnsi="宋体" w:cs="宋体"/>
              </w:rPr>
              <w:t>质量要求</w:t>
            </w:r>
          </w:p>
        </w:tc>
        <w:tc>
          <w:tcPr>
            <w:tcW w:w="2478" w:type="pct"/>
            <w:tcBorders>
              <w:left w:val="single" w:color="auto" w:sz="4" w:space="0"/>
            </w:tcBorders>
            <w:vAlign w:val="center"/>
          </w:tcPr>
          <w:p w14:paraId="47F06EC6">
            <w:pPr>
              <w:snapToGrid w:val="0"/>
              <w:spacing w:line="400" w:lineRule="exact"/>
              <w:rPr>
                <w:rFonts w:hint="eastAsia" w:ascii="宋体" w:hAnsi="宋体" w:cs="宋体"/>
              </w:rPr>
            </w:pPr>
            <w:r>
              <w:rPr>
                <w:rFonts w:hint="eastAsia" w:ascii="宋体" w:hAnsi="宋体" w:cs="宋体"/>
              </w:rPr>
              <w:t>符合第二章“比选申请人须知”第1.3.3项规定</w:t>
            </w:r>
          </w:p>
        </w:tc>
      </w:tr>
      <w:tr w14:paraId="25076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3" w:type="pct"/>
            <w:vMerge w:val="continue"/>
            <w:tcBorders>
              <w:right w:val="single" w:color="auto" w:sz="4" w:space="0"/>
            </w:tcBorders>
            <w:vAlign w:val="center"/>
          </w:tcPr>
          <w:p w14:paraId="55EA222C">
            <w:pPr>
              <w:spacing w:line="400" w:lineRule="exact"/>
              <w:jc w:val="center"/>
              <w:rPr>
                <w:rFonts w:hint="eastAsia" w:ascii="宋体" w:hAnsi="宋体" w:cs="宋体"/>
              </w:rPr>
            </w:pPr>
          </w:p>
        </w:tc>
        <w:tc>
          <w:tcPr>
            <w:tcW w:w="894" w:type="pct"/>
            <w:vMerge w:val="continue"/>
            <w:tcBorders>
              <w:left w:val="single" w:color="auto" w:sz="4" w:space="0"/>
            </w:tcBorders>
            <w:vAlign w:val="center"/>
          </w:tcPr>
          <w:p w14:paraId="122DD352">
            <w:pPr>
              <w:spacing w:line="400" w:lineRule="exact"/>
              <w:jc w:val="center"/>
              <w:rPr>
                <w:rFonts w:hint="eastAsia" w:ascii="宋体" w:hAnsi="宋体" w:cs="宋体"/>
              </w:rPr>
            </w:pPr>
          </w:p>
        </w:tc>
        <w:tc>
          <w:tcPr>
            <w:tcW w:w="994" w:type="pct"/>
            <w:tcBorders>
              <w:right w:val="single" w:color="auto" w:sz="4" w:space="0"/>
            </w:tcBorders>
            <w:vAlign w:val="center"/>
          </w:tcPr>
          <w:p w14:paraId="0310A265">
            <w:pPr>
              <w:snapToGrid w:val="0"/>
              <w:spacing w:line="400" w:lineRule="exact"/>
              <w:rPr>
                <w:rFonts w:hint="eastAsia" w:ascii="宋体" w:hAnsi="宋体" w:cs="宋体"/>
              </w:rPr>
            </w:pPr>
            <w:r>
              <w:rPr>
                <w:rFonts w:hint="eastAsia" w:ascii="宋体" w:hAnsi="宋体" w:cs="宋体"/>
              </w:rPr>
              <w:t>投标有效期</w:t>
            </w:r>
          </w:p>
        </w:tc>
        <w:tc>
          <w:tcPr>
            <w:tcW w:w="2478" w:type="pct"/>
            <w:tcBorders>
              <w:left w:val="single" w:color="auto" w:sz="4" w:space="0"/>
            </w:tcBorders>
            <w:vAlign w:val="center"/>
          </w:tcPr>
          <w:p w14:paraId="3032B99C">
            <w:pPr>
              <w:snapToGrid w:val="0"/>
              <w:spacing w:line="400" w:lineRule="exact"/>
              <w:rPr>
                <w:rFonts w:hint="eastAsia" w:ascii="宋体" w:hAnsi="宋体" w:cs="宋体"/>
              </w:rPr>
            </w:pPr>
            <w:r>
              <w:rPr>
                <w:rFonts w:hint="eastAsia" w:ascii="宋体" w:hAnsi="宋体" w:cs="宋体"/>
              </w:rPr>
              <w:t>符合第二章“比选申请人须知”第3.3.1项规定</w:t>
            </w:r>
          </w:p>
        </w:tc>
      </w:tr>
      <w:tr w14:paraId="61590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3" w:type="pct"/>
            <w:vMerge w:val="continue"/>
            <w:tcBorders>
              <w:right w:val="single" w:color="auto" w:sz="4" w:space="0"/>
            </w:tcBorders>
            <w:vAlign w:val="center"/>
          </w:tcPr>
          <w:p w14:paraId="276DD2DD">
            <w:pPr>
              <w:spacing w:line="400" w:lineRule="exact"/>
              <w:jc w:val="center"/>
              <w:rPr>
                <w:rFonts w:hint="eastAsia" w:ascii="宋体" w:hAnsi="宋体" w:cs="宋体"/>
              </w:rPr>
            </w:pPr>
          </w:p>
        </w:tc>
        <w:tc>
          <w:tcPr>
            <w:tcW w:w="894" w:type="pct"/>
            <w:vMerge w:val="continue"/>
            <w:tcBorders>
              <w:left w:val="single" w:color="auto" w:sz="4" w:space="0"/>
            </w:tcBorders>
            <w:vAlign w:val="center"/>
          </w:tcPr>
          <w:p w14:paraId="3B3F3649">
            <w:pPr>
              <w:spacing w:line="400" w:lineRule="exact"/>
              <w:jc w:val="center"/>
              <w:rPr>
                <w:rFonts w:hint="eastAsia" w:ascii="宋体" w:hAnsi="宋体" w:cs="宋体"/>
              </w:rPr>
            </w:pPr>
          </w:p>
        </w:tc>
        <w:tc>
          <w:tcPr>
            <w:tcW w:w="994" w:type="pct"/>
            <w:tcBorders>
              <w:right w:val="single" w:color="auto" w:sz="4" w:space="0"/>
            </w:tcBorders>
            <w:vAlign w:val="center"/>
          </w:tcPr>
          <w:p w14:paraId="03126BBC">
            <w:pPr>
              <w:spacing w:line="400" w:lineRule="exact"/>
              <w:rPr>
                <w:rFonts w:hint="eastAsia" w:ascii="宋体" w:hAnsi="宋体" w:cs="宋体"/>
              </w:rPr>
            </w:pPr>
            <w:r>
              <w:rPr>
                <w:rFonts w:hint="eastAsia" w:ascii="宋体" w:hAnsi="宋体" w:cs="宋体"/>
              </w:rPr>
              <w:t>比选保证金</w:t>
            </w:r>
          </w:p>
        </w:tc>
        <w:tc>
          <w:tcPr>
            <w:tcW w:w="2478" w:type="pct"/>
            <w:tcBorders>
              <w:left w:val="single" w:color="auto" w:sz="4" w:space="0"/>
            </w:tcBorders>
            <w:vAlign w:val="center"/>
          </w:tcPr>
          <w:p w14:paraId="74BBBD45">
            <w:pPr>
              <w:tabs>
                <w:tab w:val="left" w:pos="611"/>
                <w:tab w:val="left" w:pos="669"/>
              </w:tabs>
              <w:snapToGrid w:val="0"/>
              <w:spacing w:line="400" w:lineRule="exact"/>
              <w:rPr>
                <w:rFonts w:hint="eastAsia" w:ascii="宋体" w:hAnsi="宋体" w:cs="宋体"/>
              </w:rPr>
            </w:pPr>
            <w:r>
              <w:rPr>
                <w:rFonts w:hint="eastAsia" w:ascii="宋体" w:hAnsi="宋体" w:cs="宋体"/>
              </w:rPr>
              <w:t>符合第二章“比选申请人须知前附表”第3.4项规定。</w:t>
            </w:r>
          </w:p>
        </w:tc>
      </w:tr>
      <w:tr w14:paraId="5DEBA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3" w:type="pct"/>
            <w:vMerge w:val="continue"/>
            <w:tcBorders>
              <w:right w:val="single" w:color="auto" w:sz="4" w:space="0"/>
            </w:tcBorders>
            <w:vAlign w:val="center"/>
          </w:tcPr>
          <w:p w14:paraId="2F4F559A">
            <w:pPr>
              <w:spacing w:line="400" w:lineRule="exact"/>
              <w:jc w:val="center"/>
              <w:rPr>
                <w:rFonts w:hint="eastAsia" w:ascii="宋体" w:hAnsi="宋体" w:cs="宋体"/>
              </w:rPr>
            </w:pPr>
          </w:p>
        </w:tc>
        <w:tc>
          <w:tcPr>
            <w:tcW w:w="894" w:type="pct"/>
            <w:vMerge w:val="continue"/>
            <w:tcBorders>
              <w:left w:val="single" w:color="auto" w:sz="4" w:space="0"/>
            </w:tcBorders>
            <w:vAlign w:val="center"/>
          </w:tcPr>
          <w:p w14:paraId="1193B995">
            <w:pPr>
              <w:spacing w:line="400" w:lineRule="exact"/>
              <w:jc w:val="center"/>
              <w:rPr>
                <w:rFonts w:hint="eastAsia" w:ascii="宋体" w:hAnsi="宋体" w:cs="宋体"/>
              </w:rPr>
            </w:pPr>
          </w:p>
        </w:tc>
        <w:tc>
          <w:tcPr>
            <w:tcW w:w="994" w:type="pct"/>
            <w:tcBorders>
              <w:right w:val="single" w:color="auto" w:sz="4" w:space="0"/>
            </w:tcBorders>
            <w:vAlign w:val="center"/>
          </w:tcPr>
          <w:p w14:paraId="6B434B4A">
            <w:pPr>
              <w:snapToGrid w:val="0"/>
              <w:spacing w:line="400" w:lineRule="exact"/>
              <w:rPr>
                <w:rFonts w:hint="eastAsia" w:ascii="宋体" w:hAnsi="宋体" w:cs="宋体"/>
              </w:rPr>
            </w:pPr>
            <w:r>
              <w:rPr>
                <w:rFonts w:hint="eastAsia" w:ascii="宋体" w:hAnsi="宋体" w:cs="宋体"/>
              </w:rPr>
              <w:t>权利义务</w:t>
            </w:r>
          </w:p>
        </w:tc>
        <w:tc>
          <w:tcPr>
            <w:tcW w:w="2478" w:type="pct"/>
            <w:tcBorders>
              <w:left w:val="single" w:color="auto" w:sz="4" w:space="0"/>
            </w:tcBorders>
            <w:vAlign w:val="center"/>
          </w:tcPr>
          <w:p w14:paraId="0FAC3EA3">
            <w:pPr>
              <w:snapToGrid w:val="0"/>
              <w:spacing w:after="31" w:afterLines="10" w:line="400" w:lineRule="exact"/>
              <w:rPr>
                <w:rFonts w:hint="eastAsia" w:ascii="宋体" w:hAnsi="宋体" w:cs="宋体"/>
              </w:rPr>
            </w:pPr>
            <w:r>
              <w:rPr>
                <w:rFonts w:hint="eastAsia" w:ascii="宋体" w:hAnsi="宋体" w:cs="宋体"/>
              </w:rPr>
              <w:t>符合第四章“合同条款及格式”规定，比选申请文件不应附有比选人不能接受的条件。</w:t>
            </w:r>
          </w:p>
        </w:tc>
      </w:tr>
      <w:tr w14:paraId="11094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3" w:type="pct"/>
            <w:vMerge w:val="continue"/>
            <w:tcBorders>
              <w:right w:val="single" w:color="auto" w:sz="4" w:space="0"/>
            </w:tcBorders>
            <w:vAlign w:val="center"/>
          </w:tcPr>
          <w:p w14:paraId="340AAA1D">
            <w:pPr>
              <w:spacing w:line="400" w:lineRule="exact"/>
              <w:jc w:val="center"/>
              <w:rPr>
                <w:rFonts w:hint="eastAsia" w:ascii="宋体" w:hAnsi="宋体" w:cs="宋体"/>
              </w:rPr>
            </w:pPr>
          </w:p>
        </w:tc>
        <w:tc>
          <w:tcPr>
            <w:tcW w:w="894" w:type="pct"/>
            <w:vMerge w:val="continue"/>
            <w:tcBorders>
              <w:left w:val="single" w:color="auto" w:sz="4" w:space="0"/>
            </w:tcBorders>
            <w:vAlign w:val="center"/>
          </w:tcPr>
          <w:p w14:paraId="182CDE59">
            <w:pPr>
              <w:spacing w:line="400" w:lineRule="exact"/>
              <w:jc w:val="center"/>
              <w:rPr>
                <w:rFonts w:hint="eastAsia" w:ascii="宋体" w:hAnsi="宋体" w:cs="宋体"/>
              </w:rPr>
            </w:pPr>
          </w:p>
        </w:tc>
        <w:tc>
          <w:tcPr>
            <w:tcW w:w="994" w:type="pct"/>
            <w:tcBorders>
              <w:right w:val="single" w:color="auto" w:sz="4" w:space="0"/>
            </w:tcBorders>
            <w:vAlign w:val="center"/>
          </w:tcPr>
          <w:p w14:paraId="0C5ABE92">
            <w:pPr>
              <w:snapToGrid w:val="0"/>
              <w:spacing w:line="400" w:lineRule="exact"/>
              <w:rPr>
                <w:rFonts w:hint="eastAsia" w:ascii="宋体" w:hAnsi="宋体" w:cs="宋体"/>
              </w:rPr>
            </w:pPr>
            <w:r>
              <w:rPr>
                <w:rFonts w:hint="eastAsia" w:ascii="宋体" w:hAnsi="宋体" w:cs="宋体"/>
              </w:rPr>
              <w:t>已标价</w:t>
            </w:r>
          </w:p>
          <w:p w14:paraId="104DB066">
            <w:pPr>
              <w:snapToGrid w:val="0"/>
              <w:spacing w:line="400" w:lineRule="exact"/>
              <w:rPr>
                <w:rFonts w:hint="eastAsia" w:ascii="宋体" w:hAnsi="宋体" w:cs="宋体"/>
              </w:rPr>
            </w:pPr>
            <w:r>
              <w:rPr>
                <w:rFonts w:hint="eastAsia" w:ascii="宋体" w:hAnsi="宋体" w:cs="宋体"/>
              </w:rPr>
              <w:t>工程量清单</w:t>
            </w:r>
          </w:p>
        </w:tc>
        <w:tc>
          <w:tcPr>
            <w:tcW w:w="2478" w:type="pct"/>
            <w:tcBorders>
              <w:left w:val="single" w:color="auto" w:sz="4" w:space="0"/>
            </w:tcBorders>
            <w:vAlign w:val="center"/>
          </w:tcPr>
          <w:p w14:paraId="0F74E5DD">
            <w:pPr>
              <w:spacing w:after="62" w:afterLines="20" w:line="400" w:lineRule="exact"/>
              <w:rPr>
                <w:rFonts w:hint="eastAsia" w:ascii="宋体" w:hAnsi="宋体" w:cs="宋体"/>
              </w:rPr>
            </w:pPr>
            <w:r>
              <w:rPr>
                <w:rFonts w:hint="eastAsia" w:ascii="宋体" w:hAnsi="宋体" w:cs="宋体"/>
              </w:rPr>
              <w:t>比选申请人承诺（格式自拟）满足以下内容：</w:t>
            </w:r>
          </w:p>
          <w:p w14:paraId="12A31A97">
            <w:pPr>
              <w:spacing w:after="62" w:afterLines="20" w:line="400" w:lineRule="exact"/>
              <w:rPr>
                <w:rFonts w:hint="eastAsia" w:ascii="宋体" w:hAnsi="宋体" w:cs="宋体"/>
              </w:rPr>
            </w:pPr>
            <w:r>
              <w:rPr>
                <w:rFonts w:hint="eastAsia" w:ascii="宋体" w:hAnsi="宋体" w:cs="宋体"/>
              </w:rPr>
              <w:t>1.符合第五章“工程量清单”给出的范围及数量。</w:t>
            </w:r>
          </w:p>
          <w:p w14:paraId="163FDB64">
            <w:pPr>
              <w:snapToGrid w:val="0"/>
              <w:spacing w:after="31" w:afterLines="10" w:line="400" w:lineRule="exact"/>
              <w:rPr>
                <w:rFonts w:hint="eastAsia" w:ascii="宋体" w:hAnsi="宋体" w:cs="宋体"/>
              </w:rPr>
            </w:pPr>
            <w:r>
              <w:rPr>
                <w:rFonts w:hint="eastAsia" w:ascii="宋体" w:hAnsi="宋体" w:cs="宋体"/>
              </w:rPr>
              <w:t>2.比选文件中规定工程量清单不允许修改的内容不得修改。</w:t>
            </w:r>
          </w:p>
          <w:p w14:paraId="2AD03836">
            <w:pPr>
              <w:snapToGrid w:val="0"/>
              <w:spacing w:after="31" w:afterLines="10" w:line="400" w:lineRule="exact"/>
              <w:rPr>
                <w:rFonts w:hint="eastAsia" w:ascii="宋体" w:hAnsi="宋体" w:cs="宋体"/>
              </w:rPr>
            </w:pPr>
            <w:r>
              <w:rPr>
                <w:rFonts w:hint="eastAsia" w:ascii="宋体" w:hAnsi="宋体" w:cs="宋体"/>
              </w:rPr>
              <w:t>3.每项工程量清单综合单价报价不得高于对应工程量清单综合单价最高限价。</w:t>
            </w:r>
          </w:p>
        </w:tc>
      </w:tr>
      <w:tr w14:paraId="07147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3" w:type="pct"/>
            <w:vMerge w:val="continue"/>
            <w:tcBorders>
              <w:right w:val="single" w:color="auto" w:sz="4" w:space="0"/>
            </w:tcBorders>
            <w:vAlign w:val="center"/>
          </w:tcPr>
          <w:p w14:paraId="2B318C3D">
            <w:pPr>
              <w:spacing w:line="400" w:lineRule="exact"/>
              <w:jc w:val="center"/>
              <w:rPr>
                <w:rFonts w:hint="eastAsia" w:ascii="宋体" w:hAnsi="宋体" w:cs="宋体"/>
              </w:rPr>
            </w:pPr>
          </w:p>
        </w:tc>
        <w:tc>
          <w:tcPr>
            <w:tcW w:w="894" w:type="pct"/>
            <w:vMerge w:val="continue"/>
            <w:tcBorders>
              <w:left w:val="single" w:color="auto" w:sz="4" w:space="0"/>
            </w:tcBorders>
            <w:vAlign w:val="center"/>
          </w:tcPr>
          <w:p w14:paraId="26DDD3C8">
            <w:pPr>
              <w:spacing w:line="400" w:lineRule="exact"/>
              <w:jc w:val="center"/>
              <w:rPr>
                <w:rFonts w:hint="eastAsia" w:ascii="宋体" w:hAnsi="宋体" w:cs="宋体"/>
              </w:rPr>
            </w:pPr>
          </w:p>
        </w:tc>
        <w:tc>
          <w:tcPr>
            <w:tcW w:w="994" w:type="pct"/>
            <w:tcBorders>
              <w:right w:val="single" w:color="auto" w:sz="4" w:space="0"/>
            </w:tcBorders>
            <w:vAlign w:val="center"/>
          </w:tcPr>
          <w:p w14:paraId="27126E68">
            <w:pPr>
              <w:snapToGrid w:val="0"/>
              <w:spacing w:line="400" w:lineRule="exact"/>
              <w:rPr>
                <w:rFonts w:hint="eastAsia" w:ascii="宋体" w:hAnsi="宋体" w:cs="宋体"/>
              </w:rPr>
            </w:pPr>
            <w:r>
              <w:rPr>
                <w:rFonts w:hint="eastAsia" w:ascii="宋体" w:hAnsi="宋体" w:cs="宋体"/>
              </w:rPr>
              <w:t>投标报价算术错误修正</w:t>
            </w:r>
          </w:p>
        </w:tc>
        <w:tc>
          <w:tcPr>
            <w:tcW w:w="2478" w:type="pct"/>
            <w:tcBorders>
              <w:left w:val="single" w:color="auto" w:sz="4" w:space="0"/>
            </w:tcBorders>
            <w:vAlign w:val="center"/>
          </w:tcPr>
          <w:p w14:paraId="092261F4">
            <w:pPr>
              <w:snapToGrid w:val="0"/>
              <w:spacing w:line="400" w:lineRule="exact"/>
              <w:rPr>
                <w:rFonts w:hint="eastAsia" w:ascii="宋体" w:hAnsi="宋体" w:cs="宋体"/>
              </w:rPr>
            </w:pPr>
            <w:r>
              <w:rPr>
                <w:rFonts w:hint="eastAsia" w:ascii="宋体" w:hAnsi="宋体" w:cs="宋体"/>
              </w:rPr>
              <w:t>符合第三章3.评标程序规定。</w:t>
            </w:r>
          </w:p>
        </w:tc>
      </w:tr>
      <w:tr w14:paraId="73681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3" w:type="pct"/>
            <w:vMerge w:val="continue"/>
            <w:tcBorders>
              <w:right w:val="single" w:color="auto" w:sz="4" w:space="0"/>
            </w:tcBorders>
            <w:vAlign w:val="center"/>
          </w:tcPr>
          <w:p w14:paraId="38037512">
            <w:pPr>
              <w:spacing w:line="400" w:lineRule="exact"/>
              <w:jc w:val="center"/>
              <w:rPr>
                <w:rFonts w:hint="eastAsia" w:ascii="宋体" w:hAnsi="宋体" w:cs="宋体"/>
              </w:rPr>
            </w:pPr>
          </w:p>
        </w:tc>
        <w:tc>
          <w:tcPr>
            <w:tcW w:w="894" w:type="pct"/>
            <w:vMerge w:val="continue"/>
            <w:tcBorders>
              <w:left w:val="single" w:color="auto" w:sz="4" w:space="0"/>
            </w:tcBorders>
            <w:vAlign w:val="center"/>
          </w:tcPr>
          <w:p w14:paraId="77AF15C4">
            <w:pPr>
              <w:spacing w:line="400" w:lineRule="exact"/>
              <w:jc w:val="center"/>
              <w:rPr>
                <w:rFonts w:hint="eastAsia" w:ascii="宋体" w:hAnsi="宋体" w:cs="宋体"/>
              </w:rPr>
            </w:pPr>
          </w:p>
        </w:tc>
        <w:tc>
          <w:tcPr>
            <w:tcW w:w="994" w:type="pct"/>
            <w:tcBorders>
              <w:right w:val="single" w:color="auto" w:sz="4" w:space="0"/>
            </w:tcBorders>
            <w:vAlign w:val="center"/>
          </w:tcPr>
          <w:p w14:paraId="12E3056E">
            <w:pPr>
              <w:snapToGrid w:val="0"/>
              <w:spacing w:line="400" w:lineRule="exact"/>
              <w:rPr>
                <w:rFonts w:hint="eastAsia" w:ascii="宋体" w:hAnsi="宋体" w:cs="宋体"/>
              </w:rPr>
            </w:pPr>
            <w:r>
              <w:rPr>
                <w:rFonts w:hint="eastAsia" w:ascii="宋体" w:hAnsi="宋体" w:cs="宋体"/>
              </w:rPr>
              <w:t>实质性要求</w:t>
            </w:r>
          </w:p>
        </w:tc>
        <w:tc>
          <w:tcPr>
            <w:tcW w:w="2478" w:type="pct"/>
            <w:tcBorders>
              <w:left w:val="single" w:color="auto" w:sz="4" w:space="0"/>
            </w:tcBorders>
            <w:vAlign w:val="center"/>
          </w:tcPr>
          <w:p w14:paraId="2A53FEF1">
            <w:pPr>
              <w:snapToGrid w:val="0"/>
              <w:spacing w:after="31" w:afterLines="10" w:line="400" w:lineRule="exact"/>
              <w:rPr>
                <w:rFonts w:hint="eastAsia" w:ascii="宋体" w:hAnsi="宋体" w:cs="宋体"/>
              </w:rPr>
            </w:pPr>
            <w:r>
              <w:rPr>
                <w:rFonts w:hint="eastAsia" w:ascii="宋体" w:hAnsi="宋体" w:cs="宋体"/>
              </w:rPr>
              <w:t>涉嫌串通投标、弄虚作假等其他违反招投标相关法律、法规行为的。</w:t>
            </w:r>
          </w:p>
        </w:tc>
      </w:tr>
      <w:tr w14:paraId="5C85C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633" w:type="pct"/>
            <w:tcBorders>
              <w:right w:val="single" w:color="auto" w:sz="4" w:space="0"/>
            </w:tcBorders>
            <w:vAlign w:val="center"/>
          </w:tcPr>
          <w:p w14:paraId="7C2B4EFF">
            <w:pPr>
              <w:spacing w:line="388" w:lineRule="exact"/>
              <w:jc w:val="center"/>
              <w:rPr>
                <w:rFonts w:hint="eastAsia" w:ascii="宋体" w:hAnsi="宋体" w:cs="宋体"/>
              </w:rPr>
            </w:pPr>
            <w:r>
              <w:rPr>
                <w:rFonts w:hint="eastAsia" w:ascii="宋体" w:hAnsi="宋体" w:cs="宋体"/>
                <w:kern w:val="0"/>
              </w:rPr>
              <w:t>2.3.1</w:t>
            </w:r>
          </w:p>
        </w:tc>
        <w:tc>
          <w:tcPr>
            <w:tcW w:w="894" w:type="pct"/>
            <w:tcBorders>
              <w:left w:val="single" w:color="auto" w:sz="4" w:space="0"/>
              <w:right w:val="single" w:color="auto" w:sz="4" w:space="0"/>
            </w:tcBorders>
            <w:vAlign w:val="center"/>
          </w:tcPr>
          <w:p w14:paraId="248279CF">
            <w:pPr>
              <w:tabs>
                <w:tab w:val="left" w:pos="1875"/>
              </w:tabs>
              <w:spacing w:line="388" w:lineRule="exact"/>
              <w:jc w:val="center"/>
              <w:rPr>
                <w:rFonts w:hint="eastAsia" w:ascii="宋体" w:hAnsi="宋体" w:cs="宋体"/>
              </w:rPr>
            </w:pPr>
            <w:r>
              <w:rPr>
                <w:rFonts w:hint="eastAsia" w:ascii="宋体" w:hAnsi="宋体" w:cs="宋体"/>
                <w:kern w:val="0"/>
              </w:rPr>
              <w:t>分值构成 (总分1OO分)</w:t>
            </w:r>
          </w:p>
        </w:tc>
        <w:tc>
          <w:tcPr>
            <w:tcW w:w="3472" w:type="pct"/>
            <w:gridSpan w:val="2"/>
            <w:tcBorders>
              <w:left w:val="single" w:color="auto" w:sz="4" w:space="0"/>
            </w:tcBorders>
          </w:tcPr>
          <w:p w14:paraId="3C87C6B4">
            <w:pPr>
              <w:adjustRightInd w:val="0"/>
              <w:snapToGrid w:val="0"/>
              <w:spacing w:line="520" w:lineRule="atLeast"/>
              <w:ind w:right="113" w:firstLine="420" w:firstLineChars="200"/>
              <w:rPr>
                <w:rFonts w:hint="eastAsia" w:ascii="宋体" w:hAnsi="宋体" w:cs="宋体"/>
              </w:rPr>
            </w:pPr>
            <w:r>
              <w:rPr>
                <w:rFonts w:hint="eastAsia" w:ascii="宋体" w:hAnsi="宋体" w:cs="宋体"/>
              </w:rPr>
              <w:t>（1）技术部分30分；</w:t>
            </w:r>
          </w:p>
          <w:p w14:paraId="3FDEAC53">
            <w:pPr>
              <w:adjustRightInd w:val="0"/>
              <w:snapToGrid w:val="0"/>
              <w:spacing w:line="520" w:lineRule="atLeast"/>
              <w:ind w:right="113" w:firstLine="420" w:firstLineChars="200"/>
              <w:rPr>
                <w:rFonts w:hint="eastAsia" w:ascii="宋体" w:hAnsi="宋体" w:cs="宋体"/>
              </w:rPr>
            </w:pPr>
            <w:r>
              <w:rPr>
                <w:rFonts w:hint="eastAsia" w:ascii="宋体" w:hAnsi="宋体" w:cs="宋体"/>
              </w:rPr>
              <w:t>（2）投标报价70分。</w:t>
            </w:r>
          </w:p>
        </w:tc>
      </w:tr>
      <w:tr w14:paraId="1744A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633" w:type="pct"/>
            <w:tcBorders>
              <w:right w:val="single" w:color="auto" w:sz="4" w:space="0"/>
            </w:tcBorders>
            <w:vAlign w:val="center"/>
          </w:tcPr>
          <w:p w14:paraId="13AA6BB5">
            <w:pPr>
              <w:spacing w:line="388" w:lineRule="exact"/>
              <w:jc w:val="center"/>
              <w:rPr>
                <w:rFonts w:hint="eastAsia" w:ascii="宋体" w:hAnsi="宋体" w:cs="宋体"/>
                <w:kern w:val="0"/>
              </w:rPr>
            </w:pPr>
            <w:r>
              <w:rPr>
                <w:rFonts w:hint="eastAsia" w:ascii="宋体" w:hAnsi="宋体" w:cs="宋体"/>
                <w:kern w:val="0"/>
              </w:rPr>
              <w:t>2.3.2</w:t>
            </w:r>
          </w:p>
        </w:tc>
        <w:tc>
          <w:tcPr>
            <w:tcW w:w="894" w:type="pct"/>
            <w:tcBorders>
              <w:left w:val="single" w:color="auto" w:sz="4" w:space="0"/>
              <w:right w:val="single" w:color="auto" w:sz="4" w:space="0"/>
            </w:tcBorders>
            <w:vAlign w:val="center"/>
          </w:tcPr>
          <w:p w14:paraId="0BF2B12F">
            <w:pPr>
              <w:spacing w:line="441" w:lineRule="exact"/>
              <w:jc w:val="center"/>
              <w:rPr>
                <w:rFonts w:hint="eastAsia" w:ascii="宋体" w:hAnsi="宋体" w:cs="宋体"/>
                <w:kern w:val="0"/>
              </w:rPr>
            </w:pPr>
            <w:r>
              <w:rPr>
                <w:rFonts w:hint="eastAsia" w:ascii="宋体" w:hAnsi="宋体" w:cs="宋体"/>
                <w:kern w:val="0"/>
              </w:rPr>
              <w:t>评标基准价计算</w:t>
            </w:r>
          </w:p>
          <w:p w14:paraId="788414EA">
            <w:pPr>
              <w:spacing w:line="441" w:lineRule="exact"/>
              <w:jc w:val="center"/>
              <w:rPr>
                <w:rFonts w:hint="eastAsia" w:ascii="宋体" w:hAnsi="宋体" w:cs="宋体"/>
                <w:kern w:val="0"/>
              </w:rPr>
            </w:pPr>
            <w:r>
              <w:rPr>
                <w:rFonts w:hint="eastAsia" w:ascii="宋体" w:hAnsi="宋体" w:cs="宋体"/>
                <w:kern w:val="0"/>
              </w:rPr>
              <w:t>方法</w:t>
            </w:r>
          </w:p>
        </w:tc>
        <w:tc>
          <w:tcPr>
            <w:tcW w:w="3472" w:type="pct"/>
            <w:gridSpan w:val="2"/>
            <w:tcBorders>
              <w:left w:val="single" w:color="auto" w:sz="4" w:space="0"/>
            </w:tcBorders>
          </w:tcPr>
          <w:p w14:paraId="7E2341BA">
            <w:pPr>
              <w:spacing w:line="400" w:lineRule="exact"/>
              <w:ind w:firstLine="420" w:firstLineChars="200"/>
              <w:rPr>
                <w:rFonts w:hint="eastAsia" w:ascii="宋体" w:hAnsi="宋体" w:cs="宋体"/>
                <w:kern w:val="0"/>
              </w:rPr>
            </w:pPr>
            <w:r>
              <w:rPr>
                <w:rFonts w:hint="eastAsia" w:ascii="宋体" w:hAnsi="宋体" w:cs="宋体"/>
                <w:kern w:val="0"/>
              </w:rPr>
              <w:t>所有通过初步评审合格的竞标人（比选人设有最高限价的，则竞标总报价高于最高限价的除外）的竞标总报价中去掉六分之一（不能整除的按小数点前整数取整，不足六家报价则不去掉）的最低价和相同家数的最高价后的算术平均值P1即为竞标总报价的评标基准价。在评标基准价计算完成后（除计算错误外），在后续的评审过程中不得再对其做出调整。</w:t>
            </w:r>
          </w:p>
          <w:p w14:paraId="299D6BFE">
            <w:pPr>
              <w:adjustRightInd w:val="0"/>
              <w:snapToGrid w:val="0"/>
              <w:spacing w:line="520" w:lineRule="atLeast"/>
              <w:ind w:right="113" w:firstLine="420" w:firstLineChars="200"/>
              <w:rPr>
                <w:rFonts w:hint="eastAsia" w:ascii="宋体" w:hAnsi="宋体" w:cs="宋体"/>
                <w:kern w:val="0"/>
              </w:rPr>
            </w:pPr>
            <w:r>
              <w:rPr>
                <w:rFonts w:hint="eastAsia" w:ascii="宋体" w:hAnsi="宋体" w:cs="宋体"/>
                <w:kern w:val="0"/>
              </w:rPr>
              <w:t>以上计算取小数点后两位，第三位四舍五入。</w:t>
            </w:r>
          </w:p>
        </w:tc>
      </w:tr>
      <w:tr w14:paraId="4D842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633" w:type="pct"/>
            <w:tcBorders>
              <w:right w:val="single" w:color="auto" w:sz="4" w:space="0"/>
            </w:tcBorders>
            <w:vAlign w:val="center"/>
          </w:tcPr>
          <w:p w14:paraId="3FB9EAB2">
            <w:pPr>
              <w:snapToGrid w:val="0"/>
              <w:spacing w:line="440" w:lineRule="atLeast"/>
              <w:jc w:val="center"/>
              <w:rPr>
                <w:rFonts w:hint="eastAsia" w:ascii="宋体" w:hAnsi="宋体" w:cs="宋体"/>
                <w:b/>
                <w:kern w:val="0"/>
              </w:rPr>
            </w:pPr>
            <w:r>
              <w:rPr>
                <w:rFonts w:hint="eastAsia" w:ascii="宋体" w:hAnsi="宋体" w:cs="宋体"/>
                <w:kern w:val="0"/>
              </w:rPr>
              <w:t>2.3.3（1）</w:t>
            </w:r>
          </w:p>
        </w:tc>
        <w:tc>
          <w:tcPr>
            <w:tcW w:w="894" w:type="pct"/>
            <w:tcBorders>
              <w:left w:val="single" w:color="auto" w:sz="4" w:space="0"/>
              <w:right w:val="single" w:color="auto" w:sz="4" w:space="0"/>
            </w:tcBorders>
            <w:vAlign w:val="center"/>
          </w:tcPr>
          <w:p w14:paraId="5A6D97F0">
            <w:pPr>
              <w:snapToGrid w:val="0"/>
              <w:spacing w:line="440" w:lineRule="atLeast"/>
              <w:jc w:val="center"/>
              <w:rPr>
                <w:rFonts w:hint="eastAsia" w:ascii="宋体" w:hAnsi="宋体" w:cs="宋体"/>
                <w:b/>
                <w:kern w:val="0"/>
              </w:rPr>
            </w:pPr>
            <w:r>
              <w:rPr>
                <w:rFonts w:hint="eastAsia" w:ascii="宋体" w:hAnsi="宋体" w:cs="宋体"/>
                <w:kern w:val="0"/>
              </w:rPr>
              <w:t>技术部分（A）</w:t>
            </w:r>
          </w:p>
        </w:tc>
        <w:tc>
          <w:tcPr>
            <w:tcW w:w="3472" w:type="pct"/>
            <w:gridSpan w:val="2"/>
            <w:tcBorders>
              <w:left w:val="single" w:color="auto" w:sz="4" w:space="0"/>
            </w:tcBorders>
            <w:vAlign w:val="center"/>
          </w:tcPr>
          <w:p w14:paraId="396AB3E5">
            <w:pPr>
              <w:snapToGrid w:val="0"/>
              <w:spacing w:line="440" w:lineRule="atLeast"/>
              <w:jc w:val="center"/>
              <w:rPr>
                <w:rFonts w:hint="eastAsia" w:ascii="宋体" w:hAnsi="宋体" w:cs="宋体"/>
                <w:b/>
                <w:kern w:val="0"/>
              </w:rPr>
            </w:pPr>
            <w:r>
              <w:rPr>
                <w:rFonts w:hint="eastAsia" w:ascii="宋体" w:hAnsi="宋体" w:cs="宋体"/>
                <w:bCs/>
                <w:kern w:val="0"/>
              </w:rPr>
              <w:t>30分</w:t>
            </w:r>
          </w:p>
        </w:tc>
      </w:tr>
      <w:tr w14:paraId="4125C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633" w:type="pct"/>
            <w:tcBorders>
              <w:right w:val="single" w:color="auto" w:sz="4" w:space="0"/>
            </w:tcBorders>
            <w:vAlign w:val="center"/>
          </w:tcPr>
          <w:p w14:paraId="62B137E3">
            <w:pPr>
              <w:snapToGrid w:val="0"/>
              <w:spacing w:line="360" w:lineRule="atLeast"/>
              <w:jc w:val="center"/>
              <w:rPr>
                <w:rFonts w:hint="eastAsia" w:ascii="宋体" w:hAnsi="宋体" w:cs="宋体"/>
                <w:b/>
                <w:kern w:val="0"/>
              </w:rPr>
            </w:pPr>
            <w:r>
              <w:rPr>
                <w:rFonts w:hint="eastAsia" w:ascii="宋体" w:hAnsi="宋体" w:cs="宋体"/>
                <w:kern w:val="0"/>
              </w:rPr>
              <w:t>2.3.3（2）</w:t>
            </w:r>
          </w:p>
        </w:tc>
        <w:tc>
          <w:tcPr>
            <w:tcW w:w="894" w:type="pct"/>
            <w:tcBorders>
              <w:left w:val="single" w:color="auto" w:sz="4" w:space="0"/>
              <w:right w:val="single" w:color="auto" w:sz="4" w:space="0"/>
            </w:tcBorders>
            <w:vAlign w:val="center"/>
          </w:tcPr>
          <w:p w14:paraId="43B9F507">
            <w:pPr>
              <w:snapToGrid w:val="0"/>
              <w:spacing w:line="440" w:lineRule="atLeast"/>
              <w:jc w:val="center"/>
              <w:rPr>
                <w:rFonts w:hint="eastAsia" w:ascii="宋体" w:hAnsi="宋体" w:cs="宋体"/>
                <w:b/>
                <w:kern w:val="0"/>
              </w:rPr>
            </w:pPr>
            <w:r>
              <w:rPr>
                <w:rFonts w:hint="eastAsia" w:ascii="宋体" w:hAnsi="宋体" w:cs="宋体"/>
              </w:rPr>
              <w:t>投标总报价(B)</w:t>
            </w:r>
          </w:p>
        </w:tc>
        <w:tc>
          <w:tcPr>
            <w:tcW w:w="3472" w:type="pct"/>
            <w:gridSpan w:val="2"/>
            <w:tcBorders>
              <w:left w:val="single" w:color="auto" w:sz="4" w:space="0"/>
            </w:tcBorders>
            <w:vAlign w:val="center"/>
          </w:tcPr>
          <w:p w14:paraId="4FF9E728">
            <w:pPr>
              <w:snapToGrid w:val="0"/>
              <w:spacing w:line="400" w:lineRule="atLeast"/>
              <w:jc w:val="center"/>
              <w:rPr>
                <w:rFonts w:hint="eastAsia" w:ascii="宋体" w:hAnsi="宋体" w:cs="宋体"/>
                <w:b/>
                <w:kern w:val="0"/>
              </w:rPr>
            </w:pPr>
            <w:r>
              <w:rPr>
                <w:rFonts w:hint="eastAsia" w:ascii="宋体" w:hAnsi="宋体" w:cs="宋体"/>
              </w:rPr>
              <w:t>70分</w:t>
            </w:r>
          </w:p>
        </w:tc>
      </w:tr>
      <w:tr w14:paraId="09A85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633" w:type="pct"/>
            <w:tcBorders>
              <w:right w:val="single" w:color="auto" w:sz="4" w:space="0"/>
            </w:tcBorders>
            <w:vAlign w:val="center"/>
          </w:tcPr>
          <w:p w14:paraId="62295525">
            <w:pPr>
              <w:spacing w:line="400" w:lineRule="exact"/>
              <w:jc w:val="center"/>
              <w:rPr>
                <w:rFonts w:hint="eastAsia" w:ascii="宋体" w:hAnsi="宋体" w:cs="宋体"/>
              </w:rPr>
            </w:pPr>
            <w:r>
              <w:rPr>
                <w:rFonts w:hint="eastAsia" w:ascii="宋体" w:hAnsi="宋体" w:cs="宋体"/>
              </w:rPr>
              <w:t>3</w:t>
            </w:r>
          </w:p>
        </w:tc>
        <w:tc>
          <w:tcPr>
            <w:tcW w:w="894" w:type="pct"/>
            <w:tcBorders>
              <w:left w:val="single" w:color="auto" w:sz="4" w:space="0"/>
              <w:right w:val="single" w:color="auto" w:sz="4" w:space="0"/>
            </w:tcBorders>
            <w:vAlign w:val="center"/>
          </w:tcPr>
          <w:p w14:paraId="66B45FE7">
            <w:pPr>
              <w:spacing w:line="400" w:lineRule="exact"/>
              <w:ind w:firstLine="420" w:firstLineChars="200"/>
              <w:rPr>
                <w:rFonts w:hint="eastAsia" w:ascii="宋体" w:hAnsi="宋体" w:eastAsia="宋体" w:cs="宋体"/>
                <w:kern w:val="0"/>
              </w:rPr>
            </w:pPr>
            <w:r>
              <w:rPr>
                <w:rFonts w:hint="eastAsia" w:ascii="宋体" w:hAnsi="宋体" w:eastAsia="宋体" w:cs="宋体"/>
                <w:kern w:val="0"/>
              </w:rPr>
              <w:t>评标程序</w:t>
            </w:r>
          </w:p>
        </w:tc>
        <w:tc>
          <w:tcPr>
            <w:tcW w:w="3472" w:type="pct"/>
            <w:gridSpan w:val="2"/>
            <w:tcBorders>
              <w:left w:val="single" w:color="auto" w:sz="4" w:space="0"/>
            </w:tcBorders>
            <w:vAlign w:val="center"/>
          </w:tcPr>
          <w:p w14:paraId="30D01D9A">
            <w:pPr>
              <w:spacing w:line="400" w:lineRule="exact"/>
              <w:ind w:firstLine="420" w:firstLineChars="200"/>
              <w:rPr>
                <w:rFonts w:hint="eastAsia" w:ascii="宋体" w:hAnsi="宋体" w:eastAsia="宋体" w:cs="宋体"/>
                <w:kern w:val="0"/>
              </w:rPr>
            </w:pPr>
            <w:r>
              <w:rPr>
                <w:rFonts w:hint="eastAsia" w:ascii="宋体" w:hAnsi="宋体" w:eastAsia="宋体" w:cs="宋体"/>
                <w:kern w:val="0"/>
              </w:rPr>
              <w:t>1.对所有比选申请人按本附表2.2进行初步评审（即形式评审、资格评审、响应性评审）。</w:t>
            </w:r>
          </w:p>
          <w:p w14:paraId="3B0C5A03">
            <w:pPr>
              <w:spacing w:line="400" w:lineRule="exact"/>
              <w:ind w:firstLine="420" w:firstLineChars="200"/>
              <w:rPr>
                <w:rFonts w:hint="eastAsia" w:ascii="宋体" w:hAnsi="宋体" w:eastAsia="宋体" w:cs="宋体"/>
                <w:kern w:val="0"/>
              </w:rPr>
            </w:pPr>
            <w:r>
              <w:rPr>
                <w:rFonts w:hint="eastAsia" w:ascii="宋体" w:hAnsi="宋体" w:eastAsia="宋体" w:cs="宋体"/>
                <w:kern w:val="0"/>
              </w:rPr>
              <w:t>2.对初步评审合格的比选申请文件，按本章评标办法第3.2.1款规定的程序进行详细评审，确定得分最高的前三名比选申请人（按得分高低排序）为中标候选人。</w:t>
            </w:r>
          </w:p>
          <w:p w14:paraId="63E6005A">
            <w:pPr>
              <w:spacing w:line="400" w:lineRule="exact"/>
              <w:ind w:firstLine="420" w:firstLineChars="200"/>
              <w:rPr>
                <w:rFonts w:hint="eastAsia" w:ascii="宋体" w:hAnsi="宋体" w:eastAsia="宋体" w:cs="宋体"/>
                <w:kern w:val="0"/>
              </w:rPr>
            </w:pPr>
            <w:r>
              <w:rPr>
                <w:rFonts w:hint="eastAsia" w:ascii="宋体" w:hAnsi="宋体" w:eastAsia="宋体" w:cs="宋体"/>
                <w:kern w:val="0"/>
              </w:rPr>
              <w:t>3.如经过对所有比选申请人的比选申请文件进行评审，有效投标不足三个，使得投标明显缺乏竞争的，评标委员会可以否决全部投标。</w:t>
            </w:r>
          </w:p>
        </w:tc>
      </w:tr>
      <w:tr w14:paraId="19049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633" w:type="pct"/>
            <w:vMerge w:val="restart"/>
            <w:tcBorders>
              <w:right w:val="single" w:color="auto" w:sz="4" w:space="0"/>
            </w:tcBorders>
            <w:vAlign w:val="center"/>
          </w:tcPr>
          <w:p w14:paraId="1B6B47AB">
            <w:pPr>
              <w:snapToGrid w:val="0"/>
              <w:spacing w:line="440" w:lineRule="atLeast"/>
              <w:jc w:val="center"/>
              <w:rPr>
                <w:rFonts w:hint="eastAsia" w:ascii="宋体" w:hAnsi="宋体" w:cs="宋体"/>
                <w:kern w:val="0"/>
              </w:rPr>
            </w:pPr>
            <w:r>
              <w:rPr>
                <w:rFonts w:hint="eastAsia" w:ascii="宋体" w:hAnsi="宋体" w:cs="宋体"/>
                <w:kern w:val="0"/>
              </w:rPr>
              <w:t>技术部分</w:t>
            </w:r>
          </w:p>
          <w:p w14:paraId="7DA91A19">
            <w:pPr>
              <w:snapToGrid w:val="0"/>
              <w:spacing w:line="440" w:lineRule="atLeast"/>
              <w:jc w:val="center"/>
              <w:rPr>
                <w:rFonts w:hint="eastAsia" w:ascii="宋体" w:hAnsi="宋体" w:cs="宋体"/>
                <w:kern w:val="0"/>
              </w:rPr>
            </w:pPr>
            <w:r>
              <w:rPr>
                <w:rFonts w:hint="eastAsia" w:ascii="宋体" w:hAnsi="宋体" w:cs="宋体"/>
                <w:kern w:val="0"/>
              </w:rPr>
              <w:t>（施工组织设计）</w:t>
            </w:r>
          </w:p>
          <w:p w14:paraId="5B5B2D03">
            <w:pPr>
              <w:snapToGrid w:val="0"/>
              <w:spacing w:line="440" w:lineRule="atLeast"/>
              <w:jc w:val="center"/>
              <w:rPr>
                <w:rFonts w:hint="eastAsia" w:ascii="宋体" w:hAnsi="宋体" w:cs="宋体"/>
              </w:rPr>
            </w:pPr>
            <w:r>
              <w:rPr>
                <w:rFonts w:hint="eastAsia" w:ascii="宋体" w:hAnsi="宋体" w:cs="宋体"/>
              </w:rPr>
              <w:t>3.2.1</w:t>
            </w:r>
          </w:p>
          <w:p w14:paraId="53DAB6B6">
            <w:pPr>
              <w:snapToGrid w:val="0"/>
              <w:spacing w:line="440" w:lineRule="atLeast"/>
              <w:jc w:val="center"/>
              <w:rPr>
                <w:rFonts w:hint="eastAsia" w:ascii="宋体" w:hAnsi="宋体" w:cs="宋体"/>
              </w:rPr>
            </w:pPr>
            <w:r>
              <w:rPr>
                <w:rFonts w:hint="eastAsia" w:ascii="宋体" w:hAnsi="宋体" w:cs="宋体"/>
              </w:rPr>
              <w:t>(1)</w:t>
            </w:r>
          </w:p>
        </w:tc>
        <w:tc>
          <w:tcPr>
            <w:tcW w:w="1654" w:type="dxa"/>
            <w:tcBorders>
              <w:left w:val="single" w:color="auto" w:sz="4" w:space="0"/>
              <w:right w:val="single" w:color="auto" w:sz="4" w:space="0"/>
            </w:tcBorders>
            <w:vAlign w:val="center"/>
          </w:tcPr>
          <w:p w14:paraId="08A0502B">
            <w:pPr>
              <w:spacing w:line="400" w:lineRule="exact"/>
              <w:rPr>
                <w:rFonts w:hint="eastAsia" w:ascii="宋体" w:hAnsi="宋体" w:eastAsia="宋体" w:cs="宋体"/>
                <w:kern w:val="0"/>
              </w:rPr>
            </w:pPr>
            <w:r>
              <w:rPr>
                <w:rFonts w:hint="eastAsia" w:ascii="宋体" w:hAnsi="宋体" w:eastAsia="宋体" w:cs="宋体"/>
                <w:kern w:val="0"/>
                <w:lang w:val="en-US" w:eastAsia="zh-CN"/>
              </w:rPr>
              <w:t>施工方案与技术措施（5分）</w:t>
            </w:r>
          </w:p>
        </w:tc>
        <w:tc>
          <w:tcPr>
            <w:tcW w:w="6425" w:type="dxa"/>
            <w:gridSpan w:val="2"/>
            <w:tcBorders>
              <w:left w:val="single" w:color="auto" w:sz="4" w:space="0"/>
            </w:tcBorders>
            <w:vAlign w:val="center"/>
          </w:tcPr>
          <w:p w14:paraId="7006F976">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施工总体布置是否合理，图示是否清晰、是否相互干扰，是否满足施工条件要求。所采用的施工方案、程序和措施，能否保证工程质量和安全，能否减少干扰加快施工进度等。</w:t>
            </w:r>
          </w:p>
          <w:p w14:paraId="737EDAC8">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（1）方案布置完整、可行性高、科学性强、合理性高得5分；</w:t>
            </w:r>
          </w:p>
          <w:p w14:paraId="7066F70E">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（2）方案较完整、可行性较高、科学性较强、合理性较高得4分；</w:t>
            </w:r>
          </w:p>
          <w:p w14:paraId="59CD6393">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（3）方案完整性、可行性、科学性、合理性均一般得3分；</w:t>
            </w:r>
          </w:p>
          <w:p w14:paraId="4F49DEB6">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（4）方案不完整，可行性、科学性、合理性差得1分；</w:t>
            </w:r>
          </w:p>
          <w:p w14:paraId="3C2088E9">
            <w:pPr>
              <w:spacing w:line="400" w:lineRule="exact"/>
              <w:ind w:firstLine="420" w:firstLineChars="200"/>
              <w:rPr>
                <w:rFonts w:hint="eastAsia" w:ascii="宋体" w:hAnsi="宋体" w:eastAsia="宋体" w:cs="宋体"/>
                <w:kern w:val="0"/>
              </w:rPr>
            </w:pPr>
            <w:r>
              <w:rPr>
                <w:rFonts w:hint="eastAsia" w:ascii="宋体" w:hAnsi="宋体" w:eastAsia="宋体" w:cs="宋体"/>
                <w:kern w:val="0"/>
                <w:lang w:val="en-US" w:eastAsia="zh-CN"/>
              </w:rPr>
              <w:t>（5）未提供方案得0分。</w:t>
            </w:r>
          </w:p>
        </w:tc>
      </w:tr>
      <w:tr w14:paraId="79950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33" w:type="pct"/>
            <w:vMerge w:val="continue"/>
            <w:tcBorders>
              <w:right w:val="single" w:color="auto" w:sz="4" w:space="0"/>
            </w:tcBorders>
            <w:vAlign w:val="center"/>
          </w:tcPr>
          <w:p w14:paraId="6014FAA8">
            <w:pPr>
              <w:snapToGrid w:val="0"/>
              <w:spacing w:line="440" w:lineRule="atLeast"/>
              <w:jc w:val="center"/>
              <w:rPr>
                <w:rFonts w:hint="eastAsia" w:ascii="宋体" w:hAnsi="宋体" w:cs="宋体"/>
              </w:rPr>
            </w:pPr>
          </w:p>
        </w:tc>
        <w:tc>
          <w:tcPr>
            <w:tcW w:w="1654" w:type="dxa"/>
            <w:tcBorders>
              <w:left w:val="single" w:color="auto" w:sz="4" w:space="0"/>
              <w:right w:val="single" w:color="auto" w:sz="4" w:space="0"/>
            </w:tcBorders>
            <w:vAlign w:val="center"/>
          </w:tcPr>
          <w:p w14:paraId="11CCBF17">
            <w:pPr>
              <w:spacing w:line="400" w:lineRule="exact"/>
              <w:rPr>
                <w:rFonts w:hint="eastAsia" w:ascii="宋体" w:hAnsi="宋体" w:eastAsia="宋体" w:cs="宋体"/>
                <w:kern w:val="0"/>
              </w:rPr>
            </w:pPr>
            <w:r>
              <w:rPr>
                <w:rFonts w:hint="eastAsia" w:ascii="宋体" w:hAnsi="宋体" w:eastAsia="宋体" w:cs="宋体"/>
                <w:kern w:val="0"/>
                <w:lang w:val="en-US" w:eastAsia="zh-CN"/>
              </w:rPr>
              <w:t>质量管理体系与措施（5分）</w:t>
            </w:r>
          </w:p>
        </w:tc>
        <w:tc>
          <w:tcPr>
            <w:tcW w:w="6425" w:type="dxa"/>
            <w:gridSpan w:val="2"/>
            <w:tcBorders>
              <w:left w:val="single" w:color="auto" w:sz="4" w:space="0"/>
            </w:tcBorders>
            <w:vAlign w:val="center"/>
          </w:tcPr>
          <w:p w14:paraId="508085AA">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质量管理体系是否健全有效，硬性措施是否切实可行，限期工程的赶工措施是否可行。保证措施是否具有针对性，材料的质量保证措施能否满足比选文件文件所要求的工程质量要求。</w:t>
            </w:r>
          </w:p>
          <w:p w14:paraId="37C09B53">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（1）管理体系与措施完整、可行性高、科学性强、合理性高得5分；</w:t>
            </w:r>
          </w:p>
          <w:p w14:paraId="5F1AE877">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（2）管理体系与措施较完整、可行性较高、科学性较强、合理性较高得4分；</w:t>
            </w:r>
          </w:p>
          <w:p w14:paraId="2834B82C">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（3）管理体系与措施完整性、可行性、科学性、合理性均一般得3分；</w:t>
            </w:r>
          </w:p>
          <w:p w14:paraId="7D77EDA6">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（4）管理体系与措施不完整，可行性、科学性、合理性差得1分；</w:t>
            </w:r>
          </w:p>
          <w:p w14:paraId="30826A0A">
            <w:pPr>
              <w:spacing w:line="400" w:lineRule="exact"/>
              <w:ind w:firstLine="420" w:firstLineChars="200"/>
              <w:rPr>
                <w:rFonts w:hint="eastAsia" w:ascii="宋体" w:hAnsi="宋体" w:eastAsia="宋体" w:cs="宋体"/>
                <w:kern w:val="0"/>
              </w:rPr>
            </w:pPr>
            <w:r>
              <w:rPr>
                <w:rFonts w:hint="eastAsia" w:ascii="宋体" w:hAnsi="宋体" w:eastAsia="宋体" w:cs="宋体"/>
                <w:kern w:val="0"/>
                <w:lang w:val="en-US" w:eastAsia="zh-CN"/>
              </w:rPr>
              <w:t>（5）未提供方案得0分。</w:t>
            </w:r>
          </w:p>
        </w:tc>
      </w:tr>
      <w:tr w14:paraId="067D6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633" w:type="pct"/>
            <w:vMerge w:val="continue"/>
            <w:tcBorders>
              <w:right w:val="single" w:color="auto" w:sz="4" w:space="0"/>
            </w:tcBorders>
            <w:vAlign w:val="center"/>
          </w:tcPr>
          <w:p w14:paraId="64739474">
            <w:pPr>
              <w:spacing w:line="400" w:lineRule="exact"/>
              <w:jc w:val="center"/>
              <w:rPr>
                <w:rFonts w:hint="eastAsia" w:ascii="宋体" w:hAnsi="宋体" w:cs="宋体"/>
              </w:rPr>
            </w:pPr>
          </w:p>
        </w:tc>
        <w:tc>
          <w:tcPr>
            <w:tcW w:w="1654" w:type="dxa"/>
            <w:tcBorders>
              <w:left w:val="single" w:color="auto" w:sz="4" w:space="0"/>
              <w:right w:val="single" w:color="auto" w:sz="4" w:space="0"/>
            </w:tcBorders>
            <w:vAlign w:val="center"/>
          </w:tcPr>
          <w:p w14:paraId="11AB0995">
            <w:pPr>
              <w:spacing w:line="400" w:lineRule="exact"/>
              <w:rPr>
                <w:rFonts w:hint="eastAsia" w:ascii="宋体" w:hAnsi="宋体" w:eastAsia="宋体" w:cs="宋体"/>
                <w:kern w:val="0"/>
              </w:rPr>
            </w:pPr>
            <w:r>
              <w:rPr>
                <w:rFonts w:hint="eastAsia" w:ascii="宋体" w:hAnsi="宋体" w:eastAsia="宋体" w:cs="宋体"/>
                <w:kern w:val="0"/>
                <w:lang w:val="en-US" w:eastAsia="zh-CN"/>
              </w:rPr>
              <w:t>安全管理体系与措施（5分）</w:t>
            </w:r>
          </w:p>
        </w:tc>
        <w:tc>
          <w:tcPr>
            <w:tcW w:w="6425" w:type="dxa"/>
            <w:gridSpan w:val="2"/>
            <w:tcBorders>
              <w:left w:val="single" w:color="auto" w:sz="4" w:space="0"/>
            </w:tcBorders>
            <w:vAlign w:val="center"/>
          </w:tcPr>
          <w:p w14:paraId="206F3C96">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安全管理体系是否健全有效，施工安全专项方案及安全管理保证措施是否具有针对性、文明施工和防止扰民措施是否得当等。</w:t>
            </w:r>
          </w:p>
          <w:p w14:paraId="175BA760">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（1）管理体系与措施完整、可行性高、科学性强、合理性高得5分；</w:t>
            </w:r>
          </w:p>
          <w:p w14:paraId="7B03A2AC">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（2）管理体系与措施较完整、可行性较高、科学性较强、合理性较高得4分；</w:t>
            </w:r>
          </w:p>
          <w:p w14:paraId="273CABDA">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（3）管理体系与措施完整性、可行性、科学性、合理性均一般得3分；</w:t>
            </w:r>
          </w:p>
          <w:p w14:paraId="42878746">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（4）管理体系与措施不完整，可行性、科学性、合理性差得1分；</w:t>
            </w:r>
          </w:p>
          <w:p w14:paraId="4D3BD4A6">
            <w:pPr>
              <w:spacing w:line="400" w:lineRule="exact"/>
              <w:ind w:firstLine="420" w:firstLineChars="200"/>
              <w:rPr>
                <w:rFonts w:hint="eastAsia" w:ascii="宋体" w:hAnsi="宋体" w:eastAsia="宋体" w:cs="宋体"/>
                <w:kern w:val="0"/>
              </w:rPr>
            </w:pPr>
            <w:r>
              <w:rPr>
                <w:rFonts w:hint="eastAsia" w:ascii="宋体" w:hAnsi="宋体" w:eastAsia="宋体" w:cs="宋体"/>
                <w:kern w:val="0"/>
                <w:lang w:val="en-US" w:eastAsia="zh-CN"/>
              </w:rPr>
              <w:t>（5）未提供方案得0分。</w:t>
            </w:r>
          </w:p>
        </w:tc>
      </w:tr>
      <w:tr w14:paraId="5D75F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633" w:type="pct"/>
            <w:vMerge w:val="continue"/>
            <w:tcBorders>
              <w:right w:val="single" w:color="auto" w:sz="4" w:space="0"/>
            </w:tcBorders>
            <w:vAlign w:val="center"/>
          </w:tcPr>
          <w:p w14:paraId="12EB1F3C">
            <w:pPr>
              <w:spacing w:line="400" w:lineRule="exact"/>
              <w:jc w:val="center"/>
              <w:rPr>
                <w:rFonts w:hint="eastAsia" w:ascii="宋体" w:hAnsi="宋体" w:cs="宋体"/>
              </w:rPr>
            </w:pPr>
          </w:p>
        </w:tc>
        <w:tc>
          <w:tcPr>
            <w:tcW w:w="1654" w:type="dxa"/>
            <w:tcBorders>
              <w:left w:val="single" w:color="auto" w:sz="4" w:space="0"/>
              <w:right w:val="single" w:color="auto" w:sz="4" w:space="0"/>
            </w:tcBorders>
            <w:vAlign w:val="center"/>
          </w:tcPr>
          <w:p w14:paraId="3D4101A5">
            <w:pPr>
              <w:spacing w:line="400" w:lineRule="exact"/>
              <w:rPr>
                <w:rFonts w:hint="eastAsia" w:ascii="宋体" w:hAnsi="宋体" w:eastAsia="宋体" w:cs="宋体"/>
                <w:kern w:val="0"/>
              </w:rPr>
            </w:pPr>
            <w:r>
              <w:rPr>
                <w:rFonts w:hint="eastAsia" w:ascii="宋体" w:hAnsi="宋体" w:eastAsia="宋体" w:cs="宋体"/>
                <w:kern w:val="0"/>
                <w:lang w:val="en-US" w:eastAsia="zh-CN"/>
              </w:rPr>
              <w:t>环境保护管理体系措施（5分）</w:t>
            </w:r>
          </w:p>
        </w:tc>
        <w:tc>
          <w:tcPr>
            <w:tcW w:w="6425" w:type="dxa"/>
            <w:gridSpan w:val="2"/>
            <w:tcBorders>
              <w:left w:val="single" w:color="auto" w:sz="4" w:space="0"/>
            </w:tcBorders>
            <w:vAlign w:val="center"/>
          </w:tcPr>
          <w:p w14:paraId="13E289C2">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环境保护管理体系的方案、措施是否先进、合理、可靠。</w:t>
            </w:r>
          </w:p>
          <w:p w14:paraId="718109F9">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（1）方案完整、可行性高、科学性强、合理性高得5分；</w:t>
            </w:r>
          </w:p>
          <w:p w14:paraId="2D517DEB">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（2）方案较完整、可行性较高、科学性较强、合理性较高得4分；</w:t>
            </w:r>
          </w:p>
          <w:p w14:paraId="46905030">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（3）方案完整性、可行性、科学性、合理性均一般得3分；</w:t>
            </w:r>
          </w:p>
          <w:p w14:paraId="1BFE9AD1">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（4）方案不完整，可行性、科学性、合理性差得1分；</w:t>
            </w:r>
          </w:p>
          <w:p w14:paraId="7AD513CD">
            <w:pPr>
              <w:spacing w:line="400" w:lineRule="exact"/>
              <w:ind w:firstLine="420" w:firstLineChars="200"/>
              <w:rPr>
                <w:rFonts w:hint="eastAsia" w:ascii="宋体" w:hAnsi="宋体" w:eastAsia="宋体" w:cs="宋体"/>
                <w:kern w:val="0"/>
              </w:rPr>
            </w:pPr>
            <w:r>
              <w:rPr>
                <w:rFonts w:hint="eastAsia" w:ascii="宋体" w:hAnsi="宋体" w:eastAsia="宋体" w:cs="宋体"/>
                <w:kern w:val="0"/>
                <w:lang w:val="en-US" w:eastAsia="zh-CN"/>
              </w:rPr>
              <w:t>（5）未提供方案得0分。</w:t>
            </w:r>
          </w:p>
        </w:tc>
      </w:tr>
      <w:tr w14:paraId="0027F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633" w:type="pct"/>
            <w:vMerge w:val="continue"/>
            <w:tcBorders>
              <w:right w:val="single" w:color="auto" w:sz="4" w:space="0"/>
            </w:tcBorders>
            <w:vAlign w:val="center"/>
          </w:tcPr>
          <w:p w14:paraId="125E78AB">
            <w:pPr>
              <w:spacing w:line="400" w:lineRule="exact"/>
              <w:jc w:val="center"/>
              <w:rPr>
                <w:rFonts w:hint="eastAsia" w:ascii="宋体" w:hAnsi="宋体" w:cs="宋体"/>
              </w:rPr>
            </w:pPr>
          </w:p>
        </w:tc>
        <w:tc>
          <w:tcPr>
            <w:tcW w:w="1654" w:type="dxa"/>
            <w:tcBorders>
              <w:left w:val="single" w:color="auto" w:sz="4" w:space="0"/>
              <w:right w:val="single" w:color="auto" w:sz="4" w:space="0"/>
            </w:tcBorders>
            <w:vAlign w:val="center"/>
          </w:tcPr>
          <w:p w14:paraId="4D47E12E">
            <w:pPr>
              <w:spacing w:line="400" w:lineRule="exact"/>
              <w:rPr>
                <w:rFonts w:hint="eastAsia" w:ascii="宋体" w:hAnsi="宋体" w:eastAsia="宋体" w:cs="宋体"/>
                <w:kern w:val="0"/>
              </w:rPr>
            </w:pPr>
            <w:r>
              <w:rPr>
                <w:rFonts w:hint="eastAsia" w:ascii="宋体" w:hAnsi="宋体" w:eastAsia="宋体" w:cs="宋体"/>
                <w:kern w:val="0"/>
                <w:lang w:val="en-US" w:eastAsia="zh-CN"/>
              </w:rPr>
              <w:t>工程进度计划与措施（5分）</w:t>
            </w:r>
          </w:p>
        </w:tc>
        <w:tc>
          <w:tcPr>
            <w:tcW w:w="6425" w:type="dxa"/>
            <w:gridSpan w:val="2"/>
            <w:tcBorders>
              <w:left w:val="single" w:color="auto" w:sz="4" w:space="0"/>
            </w:tcBorders>
            <w:vAlign w:val="center"/>
          </w:tcPr>
          <w:p w14:paraId="3B8568EF">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总计划是否满足比选文件要求，各关键节点的工期是否切实可行，保证工期的措施是否科学、可靠。施工总体进度计划是否合理、控制性项目是否安排得当，工程进度补救措施是否可行，能否保证在比选人规定的工期内完成。</w:t>
            </w:r>
          </w:p>
          <w:p w14:paraId="2CA52807">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（1）计划与措施完整、可行性高、科学性强、合理性高得5分；</w:t>
            </w:r>
          </w:p>
          <w:p w14:paraId="5CB50F50">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（2）计划与措施较完整、可行性较高、科学性较强、合理性较高得4分；</w:t>
            </w:r>
          </w:p>
          <w:p w14:paraId="19A6B16C">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（3）计划与措施完整性、可行性、科学性、合理性均一般得3分；</w:t>
            </w:r>
          </w:p>
          <w:p w14:paraId="2EC66C44">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（4）计划与措施不完整，可行性、科学性、合理性差得1分；</w:t>
            </w:r>
          </w:p>
          <w:p w14:paraId="5C185F40">
            <w:pPr>
              <w:spacing w:line="400" w:lineRule="exact"/>
              <w:ind w:firstLine="420" w:firstLineChars="200"/>
              <w:rPr>
                <w:rFonts w:hint="eastAsia" w:ascii="宋体" w:hAnsi="宋体" w:eastAsia="宋体" w:cs="宋体"/>
                <w:kern w:val="0"/>
              </w:rPr>
            </w:pPr>
            <w:r>
              <w:rPr>
                <w:rFonts w:hint="eastAsia" w:ascii="宋体" w:hAnsi="宋体" w:eastAsia="宋体" w:cs="宋体"/>
                <w:kern w:val="0"/>
                <w:lang w:val="en-US" w:eastAsia="zh-CN"/>
              </w:rPr>
              <w:t>（5）未提供方案得0分。</w:t>
            </w:r>
          </w:p>
        </w:tc>
      </w:tr>
      <w:tr w14:paraId="07C65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633" w:type="pct"/>
            <w:vMerge w:val="continue"/>
            <w:tcBorders>
              <w:right w:val="single" w:color="auto" w:sz="4" w:space="0"/>
            </w:tcBorders>
            <w:vAlign w:val="center"/>
          </w:tcPr>
          <w:p w14:paraId="194FD168">
            <w:pPr>
              <w:spacing w:line="400" w:lineRule="exact"/>
              <w:jc w:val="center"/>
              <w:rPr>
                <w:rFonts w:hint="eastAsia" w:ascii="宋体" w:hAnsi="宋体" w:cs="宋体"/>
              </w:rPr>
            </w:pPr>
          </w:p>
        </w:tc>
        <w:tc>
          <w:tcPr>
            <w:tcW w:w="1654" w:type="dxa"/>
            <w:tcBorders>
              <w:left w:val="single" w:color="auto" w:sz="4" w:space="0"/>
              <w:right w:val="single" w:color="auto" w:sz="4" w:space="0"/>
            </w:tcBorders>
            <w:vAlign w:val="center"/>
          </w:tcPr>
          <w:p w14:paraId="656D2805">
            <w:pPr>
              <w:spacing w:line="400" w:lineRule="exact"/>
              <w:rPr>
                <w:rFonts w:hint="eastAsia" w:ascii="宋体" w:hAnsi="宋体" w:eastAsia="宋体" w:cs="宋体"/>
                <w:kern w:val="0"/>
              </w:rPr>
            </w:pPr>
            <w:r>
              <w:rPr>
                <w:rFonts w:hint="eastAsia" w:ascii="宋体" w:hAnsi="宋体" w:eastAsia="宋体" w:cs="宋体"/>
                <w:kern w:val="0"/>
                <w:lang w:val="en-US" w:eastAsia="zh-CN"/>
              </w:rPr>
              <w:t>施工设备配置情况（5分）</w:t>
            </w:r>
          </w:p>
        </w:tc>
        <w:tc>
          <w:tcPr>
            <w:tcW w:w="6425" w:type="dxa"/>
            <w:gridSpan w:val="2"/>
            <w:tcBorders>
              <w:left w:val="single" w:color="auto" w:sz="4" w:space="0"/>
            </w:tcBorders>
            <w:vAlign w:val="center"/>
          </w:tcPr>
          <w:p w14:paraId="0C4B952A">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根据方案完整性、可行性、科学性、合理性进行评审。</w:t>
            </w:r>
          </w:p>
          <w:p w14:paraId="4AC87ADC">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（1）方案完整、可行性高、科学性强、合理性高得5分；</w:t>
            </w:r>
          </w:p>
          <w:p w14:paraId="42FCCED1">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（2）方案较完整、可行性较高、科学性较强、合理性较高得4分；</w:t>
            </w:r>
          </w:p>
          <w:p w14:paraId="05563363">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（3）方案完整性、可行性、科学性、合理性均一般得3分；</w:t>
            </w:r>
          </w:p>
          <w:p w14:paraId="595A24A2">
            <w:pPr>
              <w:spacing w:line="400" w:lineRule="exact"/>
              <w:ind w:firstLine="420" w:firstLineChars="200"/>
              <w:rPr>
                <w:rFonts w:hint="eastAsia" w:ascii="宋体" w:hAnsi="宋体" w:eastAsia="宋体" w:cs="宋体"/>
                <w:kern w:val="0"/>
                <w:lang w:val="en-US" w:eastAsia="zh-CN"/>
              </w:rPr>
            </w:pPr>
            <w:r>
              <w:rPr>
                <w:rFonts w:hint="eastAsia" w:ascii="宋体" w:hAnsi="宋体" w:eastAsia="宋体" w:cs="宋体"/>
                <w:kern w:val="0"/>
                <w:lang w:val="en-US" w:eastAsia="zh-CN"/>
              </w:rPr>
              <w:t>（4）方案不完整，可行性、科学性、合理性差得1分；</w:t>
            </w:r>
          </w:p>
          <w:p w14:paraId="55A7B42D">
            <w:pPr>
              <w:spacing w:line="400" w:lineRule="exact"/>
              <w:ind w:firstLine="420" w:firstLineChars="200"/>
              <w:rPr>
                <w:rFonts w:hint="eastAsia" w:ascii="宋体" w:hAnsi="宋体" w:eastAsia="宋体" w:cs="宋体"/>
                <w:kern w:val="0"/>
              </w:rPr>
            </w:pPr>
            <w:r>
              <w:rPr>
                <w:rFonts w:hint="eastAsia" w:ascii="宋体" w:hAnsi="宋体" w:eastAsia="宋体" w:cs="宋体"/>
                <w:kern w:val="0"/>
                <w:lang w:val="en-US" w:eastAsia="zh-CN"/>
              </w:rPr>
              <w:t>（5）未提供方案得0分。</w:t>
            </w:r>
          </w:p>
        </w:tc>
      </w:tr>
      <w:tr w14:paraId="60E69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5000" w:type="pct"/>
            <w:gridSpan w:val="4"/>
            <w:vAlign w:val="center"/>
          </w:tcPr>
          <w:p w14:paraId="5FC9EF1A">
            <w:pPr>
              <w:snapToGrid w:val="0"/>
              <w:spacing w:line="360" w:lineRule="auto"/>
              <w:ind w:firstLine="422" w:firstLineChars="200"/>
              <w:rPr>
                <w:rFonts w:hint="eastAsia" w:ascii="宋体" w:hAnsi="宋体" w:cs="宋体"/>
              </w:rPr>
            </w:pPr>
            <w:r>
              <w:rPr>
                <w:rFonts w:hint="eastAsia" w:ascii="宋体" w:hAnsi="宋体" w:cs="宋体"/>
                <w:b/>
              </w:rPr>
              <w:t>评标委员会全体成员对技术部分进行评审，当评标委员会成员为</w:t>
            </w:r>
            <w:r>
              <w:rPr>
                <w:rFonts w:hint="eastAsia" w:ascii="宋体" w:hAnsi="宋体" w:cs="宋体"/>
                <w:b/>
                <w:lang w:val="en-US" w:eastAsia="zh-CN"/>
              </w:rPr>
              <w:t>3</w:t>
            </w:r>
            <w:r>
              <w:rPr>
                <w:rFonts w:hint="eastAsia" w:ascii="宋体" w:hAnsi="宋体" w:cs="宋体"/>
                <w:b/>
              </w:rPr>
              <w:t>人及以上时（含</w:t>
            </w:r>
            <w:r>
              <w:rPr>
                <w:rFonts w:hint="eastAsia" w:ascii="宋体" w:hAnsi="宋体" w:cs="宋体"/>
                <w:b/>
                <w:lang w:val="en-US" w:eastAsia="zh-CN"/>
              </w:rPr>
              <w:t>3</w:t>
            </w:r>
            <w:r>
              <w:rPr>
                <w:rFonts w:hint="eastAsia" w:ascii="宋体" w:hAnsi="宋体" w:cs="宋体"/>
                <w:b/>
              </w:rPr>
              <w:t>人），比选申请人技术部分得分应在所有评委打分中去掉一个最高和一个最低分，余下评委打分取算平均值为该比选申请人技术部分得分。以上计算取小数点后两位，第三位四舍五入。</w:t>
            </w:r>
          </w:p>
        </w:tc>
      </w:tr>
      <w:tr w14:paraId="503A7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633" w:type="pct"/>
            <w:tcBorders>
              <w:right w:val="single" w:color="auto" w:sz="4" w:space="0"/>
            </w:tcBorders>
            <w:vAlign w:val="center"/>
          </w:tcPr>
          <w:p w14:paraId="08FCA6E5">
            <w:pPr>
              <w:spacing w:line="441" w:lineRule="exact"/>
              <w:jc w:val="center"/>
              <w:rPr>
                <w:rFonts w:hint="eastAsia" w:ascii="宋体" w:hAnsi="宋体" w:cs="宋体"/>
              </w:rPr>
            </w:pPr>
            <w:r>
              <w:rPr>
                <w:rFonts w:hint="eastAsia" w:ascii="宋体" w:hAnsi="宋体" w:cs="宋体"/>
              </w:rPr>
              <w:t>投标</w:t>
            </w:r>
          </w:p>
          <w:p w14:paraId="5F9B42B5">
            <w:pPr>
              <w:spacing w:line="441" w:lineRule="exact"/>
              <w:jc w:val="center"/>
              <w:rPr>
                <w:rFonts w:hint="eastAsia" w:ascii="宋体" w:hAnsi="宋体" w:cs="宋体"/>
              </w:rPr>
            </w:pPr>
            <w:r>
              <w:rPr>
                <w:rFonts w:hint="eastAsia" w:ascii="宋体" w:hAnsi="宋体" w:cs="宋体"/>
              </w:rPr>
              <w:t>报价评分标准</w:t>
            </w:r>
          </w:p>
          <w:p w14:paraId="625AF756">
            <w:pPr>
              <w:snapToGrid w:val="0"/>
              <w:spacing w:line="440" w:lineRule="atLeast"/>
              <w:jc w:val="center"/>
              <w:rPr>
                <w:rFonts w:hint="eastAsia" w:ascii="宋体" w:hAnsi="宋体" w:cs="宋体"/>
              </w:rPr>
            </w:pPr>
            <w:r>
              <w:rPr>
                <w:rFonts w:hint="eastAsia" w:ascii="宋体" w:hAnsi="宋体" w:cs="宋体"/>
              </w:rPr>
              <w:t>3.2.1</w:t>
            </w:r>
          </w:p>
          <w:p w14:paraId="56CF996C">
            <w:pPr>
              <w:spacing w:line="441" w:lineRule="exact"/>
              <w:jc w:val="center"/>
              <w:rPr>
                <w:rFonts w:hint="eastAsia" w:ascii="宋体" w:hAnsi="宋体" w:cs="宋体"/>
              </w:rPr>
            </w:pPr>
            <w:r>
              <w:rPr>
                <w:rFonts w:hint="eastAsia" w:ascii="宋体" w:hAnsi="宋体" w:cs="宋体"/>
              </w:rPr>
              <w:t>(2)</w:t>
            </w:r>
          </w:p>
        </w:tc>
        <w:tc>
          <w:tcPr>
            <w:tcW w:w="894" w:type="pct"/>
            <w:tcBorders>
              <w:left w:val="single" w:color="auto" w:sz="4" w:space="0"/>
              <w:right w:val="single" w:color="auto" w:sz="4" w:space="0"/>
            </w:tcBorders>
            <w:vAlign w:val="center"/>
          </w:tcPr>
          <w:p w14:paraId="753DB5BF">
            <w:pPr>
              <w:ind w:firstLine="18" w:firstLineChars="9"/>
              <w:jc w:val="center"/>
              <w:rPr>
                <w:rFonts w:hint="eastAsia" w:ascii="宋体" w:hAnsi="宋体" w:cs="宋体"/>
              </w:rPr>
            </w:pPr>
            <w:r>
              <w:rPr>
                <w:rFonts w:hint="eastAsia" w:ascii="宋体" w:hAnsi="宋体" w:cs="宋体"/>
              </w:rPr>
              <w:t>投标总报价（70分）</w:t>
            </w:r>
          </w:p>
        </w:tc>
        <w:tc>
          <w:tcPr>
            <w:tcW w:w="3472" w:type="pct"/>
            <w:gridSpan w:val="2"/>
            <w:tcBorders>
              <w:left w:val="single" w:color="auto" w:sz="4" w:space="0"/>
            </w:tcBorders>
            <w:vAlign w:val="center"/>
          </w:tcPr>
          <w:p w14:paraId="5B7267B5">
            <w:pPr>
              <w:spacing w:line="300" w:lineRule="auto"/>
              <w:ind w:firstLine="420" w:firstLineChars="200"/>
              <w:rPr>
                <w:rStyle w:val="216"/>
                <w:rFonts w:hint="eastAsia" w:ascii="宋体" w:hAnsi="宋体" w:cs="宋体"/>
                <w:color w:val="000000"/>
              </w:rPr>
            </w:pPr>
            <w:r>
              <w:rPr>
                <w:rFonts w:hint="eastAsia" w:ascii="宋体" w:hAnsi="宋体" w:cs="宋体"/>
              </w:rPr>
              <w:t>所有通过初步评审合格的有效竞标文件的竞标总报价</w:t>
            </w:r>
            <w:r>
              <w:rPr>
                <w:rStyle w:val="216"/>
                <w:rFonts w:hint="eastAsia" w:ascii="宋体" w:hAnsi="宋体" w:cs="宋体"/>
                <w:color w:val="000000"/>
              </w:rPr>
              <w:t>先得基础分值满分</w:t>
            </w:r>
            <w:r>
              <w:rPr>
                <w:rStyle w:val="216"/>
                <w:rFonts w:hint="eastAsia" w:ascii="宋体" w:hAnsi="宋体" w:cs="宋体"/>
                <w:color w:val="000000"/>
                <w:u w:val="single" w:color="000000"/>
              </w:rPr>
              <w:t>70</w:t>
            </w:r>
            <w:r>
              <w:rPr>
                <w:rStyle w:val="216"/>
                <w:rFonts w:hint="eastAsia" w:ascii="宋体" w:hAnsi="宋体" w:cs="宋体"/>
                <w:color w:val="000000"/>
              </w:rPr>
              <w:t>分，在此基础上，</w:t>
            </w:r>
            <w:r>
              <w:rPr>
                <w:rFonts w:hint="eastAsia" w:ascii="宋体" w:hAnsi="宋体" w:cs="宋体"/>
              </w:rPr>
              <w:t>竞标总报价</w:t>
            </w:r>
            <w:r>
              <w:rPr>
                <w:rStyle w:val="216"/>
                <w:rFonts w:hint="eastAsia" w:ascii="宋体" w:hAnsi="宋体" w:cs="宋体"/>
                <w:color w:val="000000"/>
              </w:rPr>
              <w:t>与评标准基价相比，每增加1%扣</w:t>
            </w:r>
            <w:r>
              <w:rPr>
                <w:rStyle w:val="216"/>
                <w:rFonts w:hint="eastAsia" w:ascii="宋体" w:hAnsi="宋体" w:cs="宋体"/>
                <w:color w:val="000000"/>
                <w:u w:val="single" w:color="000000"/>
              </w:rPr>
              <w:t>0.</w:t>
            </w:r>
            <w:r>
              <w:rPr>
                <w:rStyle w:val="216"/>
                <w:rFonts w:hint="eastAsia" w:ascii="宋体" w:hAnsi="宋体" w:cs="宋体"/>
                <w:color w:val="000000"/>
                <w:u w:val="single" w:color="000000"/>
                <w:lang w:val="en-US" w:eastAsia="zh-CN"/>
              </w:rPr>
              <w:t>2</w:t>
            </w:r>
            <w:r>
              <w:rPr>
                <w:rStyle w:val="216"/>
                <w:rFonts w:hint="eastAsia" w:ascii="宋体" w:hAnsi="宋体" w:cs="宋体"/>
                <w:color w:val="000000"/>
              </w:rPr>
              <w:t xml:space="preserve">分，每减少1%扣 </w:t>
            </w:r>
            <w:r>
              <w:rPr>
                <w:rStyle w:val="216"/>
                <w:rFonts w:hint="eastAsia" w:ascii="宋体" w:hAnsi="宋体" w:cs="宋体"/>
                <w:color w:val="000000"/>
                <w:u w:val="single" w:color="000000"/>
              </w:rPr>
              <w:t>0.</w:t>
            </w:r>
            <w:r>
              <w:rPr>
                <w:rStyle w:val="216"/>
                <w:rFonts w:hint="eastAsia" w:ascii="宋体" w:hAnsi="宋体" w:cs="宋体"/>
                <w:color w:val="000000"/>
                <w:u w:val="single" w:color="000000"/>
                <w:lang w:val="en-US" w:eastAsia="zh-CN"/>
              </w:rPr>
              <w:t>1</w:t>
            </w:r>
            <w:r>
              <w:rPr>
                <w:rStyle w:val="216"/>
                <w:rFonts w:hint="eastAsia" w:ascii="宋体" w:hAnsi="宋体" w:cs="宋体"/>
                <w:color w:val="000000"/>
              </w:rPr>
              <w:t>分，扣完为止。</w:t>
            </w:r>
          </w:p>
          <w:p w14:paraId="4F016664">
            <w:pPr>
              <w:snapToGrid w:val="0"/>
              <w:spacing w:line="360" w:lineRule="auto"/>
              <w:ind w:firstLine="420" w:firstLineChars="200"/>
              <w:jc w:val="left"/>
              <w:rPr>
                <w:rStyle w:val="216"/>
                <w:rFonts w:hint="eastAsia" w:ascii="宋体" w:hAnsi="宋体" w:cs="宋体"/>
                <w:color w:val="000000"/>
              </w:rPr>
            </w:pPr>
            <w:r>
              <w:rPr>
                <w:rStyle w:val="216"/>
                <w:rFonts w:hint="eastAsia" w:ascii="宋体" w:hAnsi="宋体" w:cs="宋体"/>
                <w:color w:val="000000"/>
              </w:rPr>
              <w:t>按插入法计算得分。</w:t>
            </w:r>
          </w:p>
          <w:p w14:paraId="03C1E9CA">
            <w:pPr>
              <w:snapToGrid w:val="0"/>
              <w:spacing w:line="360" w:lineRule="auto"/>
              <w:ind w:firstLine="420" w:firstLineChars="200"/>
              <w:jc w:val="left"/>
              <w:rPr>
                <w:rStyle w:val="216"/>
                <w:rFonts w:hint="eastAsia" w:ascii="宋体" w:hAnsi="宋体" w:cs="宋体"/>
                <w:color w:val="000000"/>
              </w:rPr>
            </w:pPr>
            <w:r>
              <w:rPr>
                <w:rStyle w:val="216"/>
                <w:rFonts w:hint="eastAsia" w:ascii="宋体" w:hAnsi="宋体" w:cs="宋体"/>
                <w:color w:val="000000"/>
              </w:rPr>
              <w:t>未参与评标基准价计算的投标总报价，仍应参加计算相应分值。</w:t>
            </w:r>
          </w:p>
          <w:p w14:paraId="4132AD98">
            <w:pPr>
              <w:snapToGrid w:val="0"/>
              <w:spacing w:line="440" w:lineRule="atLeast"/>
              <w:ind w:firstLine="434" w:firstLineChars="207"/>
              <w:rPr>
                <w:rFonts w:hint="eastAsia" w:ascii="宋体" w:hAnsi="宋体" w:cs="宋体"/>
                <w:spacing w:val="1"/>
              </w:rPr>
            </w:pPr>
            <w:r>
              <w:rPr>
                <w:rStyle w:val="216"/>
                <w:rFonts w:hint="eastAsia" w:ascii="宋体" w:hAnsi="宋体" w:cs="宋体"/>
                <w:color w:val="000000"/>
              </w:rPr>
              <w:t>以上计算取小数点后两位，第三位四舍五入。</w:t>
            </w:r>
          </w:p>
        </w:tc>
      </w:tr>
      <w:tr w14:paraId="70964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633" w:type="pct"/>
            <w:tcBorders>
              <w:right w:val="single" w:color="auto" w:sz="4" w:space="0"/>
            </w:tcBorders>
            <w:vAlign w:val="center"/>
          </w:tcPr>
          <w:p w14:paraId="6E04C7A5">
            <w:pPr>
              <w:spacing w:line="441" w:lineRule="exact"/>
              <w:jc w:val="center"/>
              <w:rPr>
                <w:rFonts w:hint="eastAsia" w:ascii="宋体" w:hAnsi="宋体" w:cs="宋体"/>
              </w:rPr>
            </w:pPr>
            <w:r>
              <w:rPr>
                <w:rFonts w:hint="eastAsia" w:ascii="宋体" w:hAnsi="宋体" w:cs="宋体"/>
              </w:rPr>
              <w:t>3.2.2</w:t>
            </w:r>
          </w:p>
        </w:tc>
        <w:tc>
          <w:tcPr>
            <w:tcW w:w="894" w:type="pct"/>
            <w:tcBorders>
              <w:left w:val="single" w:color="auto" w:sz="4" w:space="0"/>
              <w:right w:val="single" w:color="auto" w:sz="4" w:space="0"/>
            </w:tcBorders>
            <w:vAlign w:val="center"/>
          </w:tcPr>
          <w:p w14:paraId="486BFB7A">
            <w:pPr>
              <w:ind w:firstLine="18" w:firstLineChars="9"/>
              <w:jc w:val="center"/>
              <w:rPr>
                <w:rFonts w:hint="eastAsia" w:ascii="宋体" w:hAnsi="宋体" w:cs="宋体"/>
              </w:rPr>
            </w:pPr>
            <w:r>
              <w:rPr>
                <w:rFonts w:hint="eastAsia" w:ascii="宋体" w:hAnsi="宋体" w:cs="宋体"/>
              </w:rPr>
              <w:t>比选申请人得分</w:t>
            </w:r>
          </w:p>
        </w:tc>
        <w:tc>
          <w:tcPr>
            <w:tcW w:w="3472" w:type="pct"/>
            <w:gridSpan w:val="2"/>
            <w:tcBorders>
              <w:left w:val="single" w:color="auto" w:sz="4" w:space="0"/>
            </w:tcBorders>
          </w:tcPr>
          <w:p w14:paraId="719B5EF2">
            <w:pPr>
              <w:snapToGrid w:val="0"/>
              <w:spacing w:before="156" w:beforeLines="50" w:line="400" w:lineRule="atLeast"/>
              <w:jc w:val="center"/>
              <w:rPr>
                <w:rFonts w:hint="eastAsia" w:ascii="宋体" w:hAnsi="宋体" w:cs="宋体"/>
              </w:rPr>
            </w:pPr>
            <w:r>
              <w:rPr>
                <w:rFonts w:hint="eastAsia" w:ascii="宋体" w:hAnsi="宋体" w:cs="宋体"/>
                <w:b/>
                <w:kern w:val="0"/>
              </w:rPr>
              <w:t>比选申请人得分=A+B</w:t>
            </w:r>
          </w:p>
        </w:tc>
      </w:tr>
    </w:tbl>
    <w:p w14:paraId="50E5A719">
      <w:pPr>
        <w:pStyle w:val="4"/>
        <w:rPr>
          <w:rFonts w:hint="eastAsia" w:ascii="宋体" w:hAnsi="宋体" w:eastAsia="宋体" w:cs="宋体"/>
          <w:snapToGrid w:val="0"/>
          <w:sz w:val="21"/>
          <w:szCs w:val="21"/>
        </w:rPr>
      </w:pPr>
      <w:r>
        <w:rPr>
          <w:rFonts w:hint="eastAsia" w:ascii="宋体" w:hAnsi="宋体" w:eastAsia="宋体" w:cs="宋体"/>
          <w:snapToGrid w:val="0"/>
          <w:sz w:val="21"/>
          <w:szCs w:val="21"/>
        </w:rPr>
        <w:br w:type="page"/>
      </w:r>
      <w:bookmarkStart w:id="392" w:name="_Toc20113"/>
      <w:bookmarkStart w:id="393" w:name="_Toc37837929"/>
      <w:r>
        <w:rPr>
          <w:rFonts w:hint="eastAsia" w:ascii="宋体" w:hAnsi="宋体" w:eastAsia="宋体" w:cs="宋体"/>
          <w:sz w:val="21"/>
          <w:szCs w:val="21"/>
        </w:rPr>
        <w:t>1.  评标方法</w:t>
      </w:r>
      <w:bookmarkEnd w:id="392"/>
      <w:bookmarkEnd w:id="393"/>
    </w:p>
    <w:p w14:paraId="15483E87">
      <w:pPr>
        <w:spacing w:line="360" w:lineRule="auto"/>
        <w:ind w:firstLine="420" w:firstLineChars="200"/>
        <w:rPr>
          <w:rFonts w:hint="eastAsia" w:ascii="宋体" w:hAnsi="宋体" w:cs="宋体"/>
          <w:kern w:val="0"/>
        </w:rPr>
      </w:pPr>
      <w:r>
        <w:rPr>
          <w:rFonts w:hint="eastAsia" w:ascii="宋体" w:hAnsi="宋体" w:cs="宋体"/>
          <w:kern w:val="0"/>
        </w:rPr>
        <w:t>本次评标采用综合评估法，以比选申请人递交的纸质比选申请文件为评审依据</w:t>
      </w:r>
      <w:r>
        <w:rPr>
          <w:rFonts w:hint="eastAsia" w:ascii="宋体" w:hAnsi="宋体" w:cs="宋体"/>
          <w:spacing w:val="-47"/>
          <w:kern w:val="0"/>
        </w:rPr>
        <w:t>。</w:t>
      </w:r>
      <w:r>
        <w:rPr>
          <w:rFonts w:hint="eastAsia" w:ascii="宋体" w:hAnsi="宋体" w:cs="宋体"/>
          <w:kern w:val="0"/>
        </w:rPr>
        <w:t>评标委员会对满足比选文件实质性要求的比选申请文件</w:t>
      </w:r>
      <w:r>
        <w:rPr>
          <w:rFonts w:hint="eastAsia" w:ascii="宋体" w:hAnsi="宋体" w:cs="宋体"/>
          <w:spacing w:val="-47"/>
          <w:kern w:val="0"/>
        </w:rPr>
        <w:t>，</w:t>
      </w:r>
      <w:r>
        <w:rPr>
          <w:rFonts w:hint="eastAsia" w:ascii="宋体" w:hAnsi="宋体" w:cs="宋体"/>
          <w:kern w:val="0"/>
        </w:rPr>
        <w:t>按照本章</w:t>
      </w:r>
      <w:r>
        <w:rPr>
          <w:rFonts w:hint="eastAsia" w:ascii="宋体" w:hAnsi="宋体" w:cs="宋体"/>
          <w:spacing w:val="-1"/>
          <w:kern w:val="0"/>
        </w:rPr>
        <w:t>规</w:t>
      </w:r>
      <w:r>
        <w:rPr>
          <w:rFonts w:hint="eastAsia" w:ascii="宋体" w:hAnsi="宋体" w:cs="宋体"/>
          <w:kern w:val="0"/>
        </w:rPr>
        <w:t>定的评分标准进行打分</w:t>
      </w:r>
      <w:r>
        <w:rPr>
          <w:rFonts w:hint="eastAsia" w:ascii="宋体" w:hAnsi="宋体" w:cs="宋体"/>
          <w:spacing w:val="-20"/>
          <w:kern w:val="0"/>
        </w:rPr>
        <w:t>，</w:t>
      </w:r>
      <w:r>
        <w:rPr>
          <w:rFonts w:hint="eastAsia" w:ascii="宋体" w:hAnsi="宋体" w:cs="宋体"/>
          <w:kern w:val="0"/>
        </w:rPr>
        <w:t>并按得分由高到低顺序推荐中标候选人</w:t>
      </w:r>
      <w:r>
        <w:rPr>
          <w:rFonts w:hint="eastAsia" w:ascii="宋体" w:hAnsi="宋体" w:cs="宋体"/>
          <w:spacing w:val="-20"/>
          <w:kern w:val="0"/>
        </w:rPr>
        <w:t>，</w:t>
      </w:r>
      <w:r>
        <w:rPr>
          <w:rFonts w:hint="eastAsia" w:ascii="宋体" w:hAnsi="宋体" w:cs="宋体"/>
          <w:kern w:val="0"/>
        </w:rPr>
        <w:t>但投标报价低于其成本的除外</w:t>
      </w:r>
      <w:r>
        <w:rPr>
          <w:rFonts w:hint="eastAsia" w:ascii="宋体" w:hAnsi="宋体" w:cs="宋体"/>
          <w:spacing w:val="-31"/>
          <w:kern w:val="0"/>
        </w:rPr>
        <w:t>。</w:t>
      </w:r>
      <w:r>
        <w:rPr>
          <w:rFonts w:hint="eastAsia" w:ascii="宋体" w:hAnsi="宋体" w:cs="宋体"/>
          <w:kern w:val="0"/>
        </w:rPr>
        <w:t>评标得分相等时，评标委员会依次按照以下优先顺序推荐中标候选人：</w:t>
      </w:r>
    </w:p>
    <w:p w14:paraId="0F938FB9">
      <w:pPr>
        <w:spacing w:line="360" w:lineRule="auto"/>
        <w:ind w:firstLine="420" w:firstLineChars="200"/>
        <w:rPr>
          <w:rFonts w:hint="eastAsia" w:ascii="宋体" w:hAnsi="宋体" w:cs="宋体"/>
          <w:kern w:val="0"/>
        </w:rPr>
      </w:pPr>
      <w:r>
        <w:rPr>
          <w:rFonts w:hint="eastAsia" w:ascii="宋体" w:hAnsi="宋体" w:cs="宋体"/>
          <w:kern w:val="0"/>
        </w:rPr>
        <w:t xml:space="preserve">（1）技术得分高的优先； </w:t>
      </w:r>
    </w:p>
    <w:p w14:paraId="2AFD550B">
      <w:pPr>
        <w:spacing w:line="360" w:lineRule="auto"/>
        <w:ind w:firstLine="420" w:firstLineChars="200"/>
        <w:rPr>
          <w:rFonts w:hint="eastAsia" w:ascii="宋体" w:hAnsi="宋体" w:cs="宋体"/>
          <w:kern w:val="0"/>
        </w:rPr>
      </w:pPr>
      <w:r>
        <w:rPr>
          <w:rFonts w:hint="eastAsia" w:ascii="宋体" w:hAnsi="宋体" w:cs="宋体"/>
          <w:kern w:val="0"/>
        </w:rPr>
        <w:t>（2）商务得分高的优先；</w:t>
      </w:r>
    </w:p>
    <w:p w14:paraId="53B4609C">
      <w:pPr>
        <w:spacing w:line="360" w:lineRule="auto"/>
        <w:ind w:firstLine="420" w:firstLineChars="200"/>
        <w:rPr>
          <w:rFonts w:hint="eastAsia" w:ascii="宋体" w:hAnsi="宋体" w:cs="宋体"/>
          <w:kern w:val="0"/>
        </w:rPr>
      </w:pPr>
      <w:r>
        <w:rPr>
          <w:rFonts w:hint="eastAsia" w:ascii="宋体" w:hAnsi="宋体" w:cs="宋体"/>
          <w:kern w:val="0"/>
        </w:rPr>
        <w:t>（3）投标报价低的优先；</w:t>
      </w:r>
    </w:p>
    <w:p w14:paraId="49EB23CD">
      <w:pPr>
        <w:autoSpaceDE w:val="0"/>
        <w:autoSpaceDN w:val="0"/>
        <w:adjustRightInd w:val="0"/>
        <w:snapToGrid w:val="0"/>
        <w:spacing w:line="360" w:lineRule="auto"/>
        <w:ind w:firstLine="420"/>
        <w:rPr>
          <w:rFonts w:hint="eastAsia" w:ascii="宋体" w:hAnsi="宋体" w:cs="宋体"/>
        </w:rPr>
      </w:pPr>
      <w:r>
        <w:rPr>
          <w:rFonts w:hint="eastAsia" w:ascii="宋体" w:hAnsi="宋体" w:cs="宋体"/>
          <w:kern w:val="0"/>
        </w:rPr>
        <w:t>（4）评标委员会投票决定。</w:t>
      </w:r>
    </w:p>
    <w:p w14:paraId="5CC95539">
      <w:pPr>
        <w:pStyle w:val="4"/>
        <w:rPr>
          <w:rFonts w:hint="eastAsia" w:ascii="宋体" w:hAnsi="宋体" w:eastAsia="宋体" w:cs="宋体"/>
          <w:sz w:val="21"/>
          <w:szCs w:val="21"/>
        </w:rPr>
      </w:pPr>
      <w:bookmarkStart w:id="394" w:name="_Toc37837930"/>
      <w:bookmarkStart w:id="395" w:name="_Toc10968"/>
      <w:r>
        <w:rPr>
          <w:rFonts w:hint="eastAsia" w:ascii="宋体" w:hAnsi="宋体" w:eastAsia="宋体" w:cs="宋体"/>
          <w:sz w:val="21"/>
          <w:szCs w:val="21"/>
        </w:rPr>
        <w:t>2.  评审标准</w:t>
      </w:r>
      <w:bookmarkEnd w:id="394"/>
      <w:bookmarkEnd w:id="395"/>
    </w:p>
    <w:p w14:paraId="32D75F2C">
      <w:pPr>
        <w:spacing w:line="360" w:lineRule="auto"/>
        <w:rPr>
          <w:rFonts w:hint="eastAsia" w:ascii="宋体" w:hAnsi="宋体" w:cs="宋体"/>
        </w:rPr>
      </w:pPr>
      <w:bookmarkStart w:id="396" w:name="_Toc241483912"/>
      <w:bookmarkStart w:id="397" w:name="_Toc200513200"/>
      <w:bookmarkStart w:id="398" w:name="_Toc300754714"/>
      <w:bookmarkStart w:id="399" w:name="_Toc237171530"/>
      <w:bookmarkStart w:id="400" w:name="_Toc500104025"/>
      <w:bookmarkStart w:id="401" w:name="_Toc419122822"/>
      <w:bookmarkStart w:id="402" w:name="_Toc485580551"/>
      <w:bookmarkStart w:id="403" w:name="_Toc485580642"/>
      <w:bookmarkStart w:id="404" w:name="_Toc224103386"/>
      <w:bookmarkStart w:id="405" w:name="_Toc37837932"/>
      <w:bookmarkStart w:id="406" w:name="_Toc11348"/>
      <w:bookmarkStart w:id="407" w:name="_Toc33035649"/>
      <w:r>
        <w:rPr>
          <w:rFonts w:hint="eastAsia" w:ascii="宋体" w:hAnsi="宋体" w:cs="宋体"/>
        </w:rPr>
        <w:t>2.1  初步评审标准</w:t>
      </w:r>
      <w:bookmarkEnd w:id="396"/>
      <w:bookmarkEnd w:id="397"/>
      <w:bookmarkEnd w:id="398"/>
      <w:bookmarkEnd w:id="399"/>
      <w:bookmarkEnd w:id="400"/>
      <w:bookmarkEnd w:id="401"/>
      <w:bookmarkEnd w:id="402"/>
      <w:bookmarkEnd w:id="403"/>
      <w:bookmarkEnd w:id="404"/>
    </w:p>
    <w:p w14:paraId="0B6AF14E">
      <w:pPr>
        <w:autoSpaceDE w:val="0"/>
        <w:autoSpaceDN w:val="0"/>
        <w:adjustRightInd w:val="0"/>
        <w:snapToGrid w:val="0"/>
        <w:spacing w:line="360" w:lineRule="auto"/>
        <w:ind w:left="1" w:firstLine="535" w:firstLineChars="255"/>
        <w:jc w:val="left"/>
        <w:rPr>
          <w:rFonts w:hint="eastAsia" w:ascii="宋体" w:hAnsi="宋体" w:cs="宋体"/>
          <w:kern w:val="0"/>
        </w:rPr>
      </w:pPr>
      <w:r>
        <w:rPr>
          <w:rFonts w:hint="eastAsia" w:ascii="宋体" w:hAnsi="宋体" w:cs="宋体"/>
          <w:kern w:val="0"/>
        </w:rPr>
        <w:t>2.1.1  形式评审标准：见评标办法前附表。</w:t>
      </w:r>
    </w:p>
    <w:p w14:paraId="20B7FA68">
      <w:pPr>
        <w:autoSpaceDE w:val="0"/>
        <w:autoSpaceDN w:val="0"/>
        <w:adjustRightInd w:val="0"/>
        <w:snapToGrid w:val="0"/>
        <w:spacing w:line="360" w:lineRule="auto"/>
        <w:ind w:left="1" w:firstLine="535" w:firstLineChars="255"/>
        <w:jc w:val="left"/>
        <w:rPr>
          <w:rFonts w:hint="eastAsia" w:ascii="宋体" w:hAnsi="宋体" w:cs="宋体"/>
          <w:kern w:val="0"/>
        </w:rPr>
      </w:pPr>
      <w:r>
        <w:rPr>
          <w:rFonts w:hint="eastAsia" w:ascii="宋体" w:hAnsi="宋体" w:cs="宋体"/>
          <w:kern w:val="0"/>
        </w:rPr>
        <w:t>2.1.2  资格评审标准：见评标办法前附表</w:t>
      </w:r>
    </w:p>
    <w:p w14:paraId="4D0E1CAE">
      <w:pPr>
        <w:autoSpaceDE w:val="0"/>
        <w:autoSpaceDN w:val="0"/>
        <w:adjustRightInd w:val="0"/>
        <w:snapToGrid w:val="0"/>
        <w:spacing w:line="360" w:lineRule="auto"/>
        <w:ind w:left="1" w:firstLine="535" w:firstLineChars="255"/>
        <w:jc w:val="left"/>
        <w:rPr>
          <w:rFonts w:hint="eastAsia" w:ascii="宋体" w:hAnsi="宋体" w:cs="宋体"/>
          <w:kern w:val="0"/>
        </w:rPr>
      </w:pPr>
      <w:r>
        <w:rPr>
          <w:rFonts w:hint="eastAsia" w:ascii="宋体" w:hAnsi="宋体" w:cs="宋体"/>
          <w:kern w:val="0"/>
        </w:rPr>
        <w:t>2.1.3  响应性评审标准：见评标办法前附表。</w:t>
      </w:r>
    </w:p>
    <w:p w14:paraId="316F2231">
      <w:pPr>
        <w:spacing w:line="360" w:lineRule="auto"/>
        <w:rPr>
          <w:rFonts w:hint="eastAsia" w:ascii="宋体" w:hAnsi="宋体" w:cs="宋体"/>
        </w:rPr>
      </w:pPr>
      <w:bookmarkStart w:id="408" w:name="_Toc300754715"/>
      <w:bookmarkStart w:id="409" w:name="_Toc485580643"/>
      <w:bookmarkStart w:id="410" w:name="_Toc237171531"/>
      <w:bookmarkStart w:id="411" w:name="_Toc419122823"/>
      <w:bookmarkStart w:id="412" w:name="_Toc241483913"/>
      <w:bookmarkStart w:id="413" w:name="_Toc485580552"/>
      <w:bookmarkStart w:id="414" w:name="_Toc200513201"/>
      <w:bookmarkStart w:id="415" w:name="_Toc500104026"/>
      <w:bookmarkStart w:id="416" w:name="_Toc224103387"/>
      <w:r>
        <w:rPr>
          <w:rFonts w:hint="eastAsia" w:ascii="宋体" w:hAnsi="宋体" w:cs="宋体"/>
        </w:rPr>
        <w:t>2.2  分值构成与评分标准</w:t>
      </w:r>
      <w:bookmarkEnd w:id="408"/>
      <w:bookmarkEnd w:id="409"/>
      <w:bookmarkEnd w:id="410"/>
      <w:bookmarkEnd w:id="411"/>
      <w:bookmarkEnd w:id="412"/>
      <w:bookmarkEnd w:id="413"/>
      <w:bookmarkEnd w:id="414"/>
      <w:bookmarkEnd w:id="415"/>
      <w:bookmarkEnd w:id="416"/>
    </w:p>
    <w:p w14:paraId="0F7F899F">
      <w:pPr>
        <w:autoSpaceDE w:val="0"/>
        <w:autoSpaceDN w:val="0"/>
        <w:adjustRightInd w:val="0"/>
        <w:snapToGrid w:val="0"/>
        <w:spacing w:line="360" w:lineRule="auto"/>
        <w:ind w:left="1" w:firstLine="535" w:firstLineChars="255"/>
        <w:jc w:val="left"/>
        <w:rPr>
          <w:rFonts w:hint="eastAsia" w:ascii="宋体" w:hAnsi="宋体" w:cs="宋体"/>
          <w:kern w:val="0"/>
        </w:rPr>
      </w:pPr>
      <w:r>
        <w:rPr>
          <w:rFonts w:hint="eastAsia" w:ascii="宋体" w:hAnsi="宋体" w:cs="宋体"/>
          <w:kern w:val="0"/>
        </w:rPr>
        <w:t>2.2.1  分值构成</w:t>
      </w:r>
    </w:p>
    <w:p w14:paraId="2ACF47BE">
      <w:pPr>
        <w:autoSpaceDE w:val="0"/>
        <w:autoSpaceDN w:val="0"/>
        <w:adjustRightInd w:val="0"/>
        <w:snapToGrid w:val="0"/>
        <w:spacing w:line="360" w:lineRule="auto"/>
        <w:ind w:left="896" w:leftChars="258" w:hanging="354" w:hangingChars="169"/>
        <w:jc w:val="left"/>
        <w:rPr>
          <w:rFonts w:hint="eastAsia" w:ascii="宋体" w:hAnsi="宋体" w:cs="宋体"/>
          <w:kern w:val="0"/>
        </w:rPr>
      </w:pPr>
      <w:r>
        <w:rPr>
          <w:rFonts w:hint="eastAsia" w:ascii="宋体" w:hAnsi="宋体" w:cs="宋体"/>
          <w:kern w:val="0"/>
        </w:rPr>
        <w:t>投标</w:t>
      </w:r>
      <w:r>
        <w:rPr>
          <w:rFonts w:hint="eastAsia" w:ascii="宋体" w:hAnsi="宋体" w:cs="宋体"/>
          <w:spacing w:val="-1"/>
          <w:kern w:val="0"/>
        </w:rPr>
        <w:t>报</w:t>
      </w:r>
      <w:r>
        <w:rPr>
          <w:rFonts w:hint="eastAsia" w:ascii="宋体" w:hAnsi="宋体" w:cs="宋体"/>
          <w:kern w:val="0"/>
        </w:rPr>
        <w:t>价：见评标办法前附表；</w:t>
      </w:r>
    </w:p>
    <w:p w14:paraId="6D001997">
      <w:pPr>
        <w:autoSpaceDE w:val="0"/>
        <w:autoSpaceDN w:val="0"/>
        <w:adjustRightInd w:val="0"/>
        <w:snapToGrid w:val="0"/>
        <w:spacing w:line="360" w:lineRule="auto"/>
        <w:ind w:left="1" w:firstLine="535" w:firstLineChars="255"/>
        <w:jc w:val="left"/>
        <w:rPr>
          <w:rFonts w:hint="eastAsia" w:ascii="宋体" w:hAnsi="宋体" w:cs="宋体"/>
          <w:kern w:val="0"/>
        </w:rPr>
      </w:pPr>
      <w:r>
        <w:rPr>
          <w:rFonts w:hint="eastAsia" w:ascii="宋体" w:hAnsi="宋体" w:cs="宋体"/>
          <w:kern w:val="0"/>
        </w:rPr>
        <w:t>2.2.2  评标基准价计算</w:t>
      </w:r>
    </w:p>
    <w:p w14:paraId="37E2A054">
      <w:pPr>
        <w:autoSpaceDE w:val="0"/>
        <w:autoSpaceDN w:val="0"/>
        <w:adjustRightInd w:val="0"/>
        <w:snapToGrid w:val="0"/>
        <w:spacing w:line="360" w:lineRule="auto"/>
        <w:ind w:left="1" w:firstLine="535" w:firstLineChars="255"/>
        <w:jc w:val="left"/>
        <w:rPr>
          <w:rFonts w:hint="eastAsia" w:ascii="宋体" w:hAnsi="宋体" w:cs="宋体"/>
          <w:kern w:val="0"/>
        </w:rPr>
      </w:pPr>
      <w:r>
        <w:rPr>
          <w:rFonts w:hint="eastAsia" w:ascii="宋体" w:hAnsi="宋体" w:cs="宋体"/>
          <w:kern w:val="0"/>
        </w:rPr>
        <w:t>评标基准价计算方法：见评标办法前附表。</w:t>
      </w:r>
    </w:p>
    <w:p w14:paraId="0C2D94B4">
      <w:pPr>
        <w:autoSpaceDE w:val="0"/>
        <w:autoSpaceDN w:val="0"/>
        <w:adjustRightInd w:val="0"/>
        <w:snapToGrid w:val="0"/>
        <w:spacing w:line="360" w:lineRule="auto"/>
        <w:ind w:left="1" w:firstLine="535" w:firstLineChars="255"/>
        <w:jc w:val="left"/>
        <w:rPr>
          <w:rFonts w:hint="eastAsia" w:ascii="宋体" w:hAnsi="宋体" w:cs="宋体"/>
          <w:kern w:val="0"/>
        </w:rPr>
      </w:pPr>
      <w:r>
        <w:rPr>
          <w:rFonts w:hint="eastAsia" w:ascii="宋体" w:hAnsi="宋体" w:cs="宋体"/>
          <w:kern w:val="0"/>
        </w:rPr>
        <w:t>2.2.3  评分标准</w:t>
      </w:r>
    </w:p>
    <w:p w14:paraId="4BAE7D3B">
      <w:pPr>
        <w:autoSpaceDE w:val="0"/>
        <w:autoSpaceDN w:val="0"/>
        <w:adjustRightInd w:val="0"/>
        <w:snapToGrid w:val="0"/>
        <w:spacing w:line="360" w:lineRule="auto"/>
        <w:ind w:left="1" w:firstLine="535" w:firstLineChars="255"/>
        <w:jc w:val="left"/>
        <w:rPr>
          <w:rFonts w:hint="eastAsia" w:ascii="宋体" w:hAnsi="宋体" w:cs="宋体"/>
          <w:kern w:val="0"/>
        </w:rPr>
      </w:pPr>
      <w:r>
        <w:rPr>
          <w:rFonts w:hint="eastAsia" w:ascii="宋体" w:hAnsi="宋体" w:cs="宋体"/>
          <w:kern w:val="0"/>
        </w:rPr>
        <w:t>投标</w:t>
      </w:r>
      <w:r>
        <w:rPr>
          <w:rFonts w:hint="eastAsia" w:ascii="宋体" w:hAnsi="宋体" w:cs="宋体"/>
          <w:spacing w:val="-1"/>
          <w:kern w:val="0"/>
        </w:rPr>
        <w:t>报</w:t>
      </w:r>
      <w:r>
        <w:rPr>
          <w:rFonts w:hint="eastAsia" w:ascii="宋体" w:hAnsi="宋体" w:cs="宋体"/>
          <w:kern w:val="0"/>
        </w:rPr>
        <w:t>价评分标准：见评标办法前附表；</w:t>
      </w:r>
    </w:p>
    <w:bookmarkEnd w:id="405"/>
    <w:bookmarkEnd w:id="406"/>
    <w:bookmarkEnd w:id="407"/>
    <w:p w14:paraId="000710FC">
      <w:pPr>
        <w:pStyle w:val="2"/>
        <w:spacing w:before="0" w:line="360" w:lineRule="auto"/>
        <w:rPr>
          <w:rFonts w:hint="eastAsia" w:ascii="宋体" w:hAnsi="宋体" w:eastAsia="宋体" w:cs="宋体"/>
          <w:sz w:val="21"/>
          <w:szCs w:val="21"/>
        </w:rPr>
      </w:pPr>
      <w:bookmarkStart w:id="417" w:name="_Toc37837933"/>
      <w:bookmarkStart w:id="418" w:name="_Toc20181"/>
      <w:r>
        <w:rPr>
          <w:rFonts w:hint="eastAsia" w:ascii="宋体" w:hAnsi="宋体" w:eastAsia="宋体" w:cs="宋体"/>
          <w:sz w:val="21"/>
          <w:szCs w:val="21"/>
        </w:rPr>
        <w:t>3.  评标程序</w:t>
      </w:r>
      <w:bookmarkEnd w:id="417"/>
      <w:bookmarkEnd w:id="418"/>
    </w:p>
    <w:p w14:paraId="2A235124">
      <w:pPr>
        <w:spacing w:line="360" w:lineRule="auto"/>
        <w:rPr>
          <w:rFonts w:hint="eastAsia" w:ascii="宋体" w:hAnsi="宋体" w:cs="宋体"/>
        </w:rPr>
      </w:pPr>
      <w:bookmarkStart w:id="419" w:name="_Toc200513203"/>
      <w:bookmarkStart w:id="420" w:name="_Toc241483915"/>
      <w:bookmarkStart w:id="421" w:name="_Toc419122825"/>
      <w:bookmarkStart w:id="422" w:name="_Toc485580554"/>
      <w:bookmarkStart w:id="423" w:name="_Toc500104028"/>
      <w:bookmarkStart w:id="424" w:name="_Toc485580645"/>
      <w:bookmarkStart w:id="425" w:name="_Toc300754717"/>
      <w:bookmarkStart w:id="426" w:name="_Toc224103389"/>
      <w:bookmarkStart w:id="427" w:name="_Toc237171533"/>
      <w:bookmarkStart w:id="428" w:name="_Toc37837937"/>
      <w:bookmarkStart w:id="429" w:name="_Toc479262406"/>
      <w:bookmarkStart w:id="430" w:name="_Toc33035654"/>
      <w:bookmarkStart w:id="431" w:name="_Toc11704"/>
      <w:bookmarkStart w:id="432" w:name="_Toc484465184"/>
      <w:r>
        <w:rPr>
          <w:rFonts w:hint="eastAsia" w:ascii="宋体" w:hAnsi="宋体" w:cs="宋体"/>
        </w:rPr>
        <w:t>3.1  初步评审</w:t>
      </w:r>
      <w:bookmarkEnd w:id="419"/>
      <w:bookmarkEnd w:id="420"/>
      <w:bookmarkEnd w:id="421"/>
      <w:bookmarkEnd w:id="422"/>
      <w:bookmarkEnd w:id="423"/>
      <w:bookmarkEnd w:id="424"/>
      <w:bookmarkEnd w:id="425"/>
      <w:bookmarkEnd w:id="426"/>
      <w:bookmarkEnd w:id="427"/>
    </w:p>
    <w:p w14:paraId="27EC9165">
      <w:pPr>
        <w:autoSpaceDE w:val="0"/>
        <w:autoSpaceDN w:val="0"/>
        <w:adjustRightInd w:val="0"/>
        <w:snapToGrid w:val="0"/>
        <w:spacing w:line="360" w:lineRule="auto"/>
        <w:ind w:left="1" w:firstLine="535" w:firstLineChars="255"/>
        <w:jc w:val="left"/>
        <w:rPr>
          <w:rFonts w:hint="eastAsia" w:ascii="宋体" w:hAnsi="宋体" w:cs="宋体"/>
          <w:kern w:val="0"/>
        </w:rPr>
      </w:pPr>
      <w:r>
        <w:rPr>
          <w:rFonts w:hint="eastAsia" w:ascii="宋体" w:hAnsi="宋体" w:cs="宋体"/>
          <w:kern w:val="0"/>
        </w:rPr>
        <w:t>3.1.1  评标委员会可以要求比选申请人提交第二章“比选申请人须知” 各项规定的有关证明和证件的原件，以便核验。评标委员会依据本章规定的标准对比选申请文件进行初步评审。有一项不符合评审标准的，作否决投标处理，资格后审不合格。</w:t>
      </w:r>
    </w:p>
    <w:p w14:paraId="3992A376">
      <w:pPr>
        <w:autoSpaceDE w:val="0"/>
        <w:autoSpaceDN w:val="0"/>
        <w:adjustRightInd w:val="0"/>
        <w:snapToGrid w:val="0"/>
        <w:spacing w:line="360" w:lineRule="auto"/>
        <w:ind w:left="1" w:firstLine="535" w:firstLineChars="255"/>
        <w:jc w:val="left"/>
        <w:rPr>
          <w:rFonts w:hint="eastAsia" w:ascii="宋体" w:hAnsi="宋体" w:cs="宋体"/>
          <w:kern w:val="0"/>
        </w:rPr>
      </w:pPr>
      <w:r>
        <w:rPr>
          <w:rFonts w:hint="eastAsia" w:ascii="宋体" w:hAnsi="宋体" w:cs="宋体"/>
          <w:kern w:val="0"/>
        </w:rPr>
        <w:t>3.1.2  比选申请人有以下情形之一的，其投标作否决投标处理：</w:t>
      </w:r>
    </w:p>
    <w:p w14:paraId="4995C28E">
      <w:pPr>
        <w:autoSpaceDE w:val="0"/>
        <w:autoSpaceDN w:val="0"/>
        <w:adjustRightInd w:val="0"/>
        <w:snapToGrid w:val="0"/>
        <w:spacing w:line="360" w:lineRule="auto"/>
        <w:ind w:left="1" w:firstLine="535" w:firstLineChars="255"/>
        <w:jc w:val="left"/>
        <w:rPr>
          <w:rFonts w:hint="eastAsia" w:ascii="宋体" w:hAnsi="宋体" w:cs="宋体"/>
          <w:kern w:val="0"/>
        </w:rPr>
      </w:pPr>
      <w:r>
        <w:rPr>
          <w:rFonts w:hint="eastAsia" w:ascii="宋体" w:hAnsi="宋体" w:cs="宋体"/>
          <w:kern w:val="0"/>
        </w:rPr>
        <w:t>（1）第二章“比选申请人须知”第 1.4.3 项规定的任何一种情形的；</w:t>
      </w:r>
    </w:p>
    <w:p w14:paraId="11558F84">
      <w:pPr>
        <w:autoSpaceDE w:val="0"/>
        <w:autoSpaceDN w:val="0"/>
        <w:adjustRightInd w:val="0"/>
        <w:snapToGrid w:val="0"/>
        <w:spacing w:line="360" w:lineRule="auto"/>
        <w:ind w:left="1" w:firstLine="535" w:firstLineChars="255"/>
        <w:jc w:val="left"/>
        <w:rPr>
          <w:rFonts w:hint="eastAsia" w:ascii="宋体" w:hAnsi="宋体" w:cs="宋体"/>
          <w:kern w:val="0"/>
        </w:rPr>
      </w:pPr>
      <w:r>
        <w:rPr>
          <w:rFonts w:hint="eastAsia" w:ascii="宋体" w:hAnsi="宋体" w:cs="宋体"/>
          <w:kern w:val="0"/>
        </w:rPr>
        <w:t>（2）串通投标或弄虚作假或有其他违法行为的；</w:t>
      </w:r>
    </w:p>
    <w:p w14:paraId="1A6F6AD6">
      <w:pPr>
        <w:autoSpaceDE w:val="0"/>
        <w:autoSpaceDN w:val="0"/>
        <w:adjustRightInd w:val="0"/>
        <w:snapToGrid w:val="0"/>
        <w:spacing w:line="360" w:lineRule="auto"/>
        <w:ind w:left="1" w:firstLine="535" w:firstLineChars="255"/>
        <w:jc w:val="left"/>
        <w:rPr>
          <w:rFonts w:hint="eastAsia" w:ascii="宋体" w:hAnsi="宋体" w:cs="宋体"/>
          <w:kern w:val="0"/>
        </w:rPr>
      </w:pPr>
      <w:r>
        <w:rPr>
          <w:rFonts w:hint="eastAsia" w:ascii="宋体" w:hAnsi="宋体" w:cs="宋体"/>
          <w:kern w:val="0"/>
        </w:rPr>
        <w:t>（3）不按评标委员会要求澄清、说明或补正的；</w:t>
      </w:r>
    </w:p>
    <w:p w14:paraId="3F6249D7">
      <w:pPr>
        <w:autoSpaceDE w:val="0"/>
        <w:autoSpaceDN w:val="0"/>
        <w:adjustRightInd w:val="0"/>
        <w:snapToGrid w:val="0"/>
        <w:spacing w:line="360" w:lineRule="auto"/>
        <w:ind w:left="1" w:firstLine="535" w:firstLineChars="255"/>
        <w:jc w:val="left"/>
        <w:rPr>
          <w:rFonts w:hint="eastAsia" w:ascii="宋体" w:hAnsi="宋体" w:cs="宋体"/>
          <w:kern w:val="0"/>
        </w:rPr>
      </w:pPr>
      <w:r>
        <w:rPr>
          <w:rFonts w:hint="eastAsia" w:ascii="宋体" w:hAnsi="宋体" w:cs="宋体"/>
          <w:kern w:val="0"/>
        </w:rPr>
        <w:t>（4）比选文件约定的其他情形。</w:t>
      </w:r>
    </w:p>
    <w:p w14:paraId="38B79C7D">
      <w:pPr>
        <w:autoSpaceDE w:val="0"/>
        <w:autoSpaceDN w:val="0"/>
        <w:adjustRightInd w:val="0"/>
        <w:snapToGrid w:val="0"/>
        <w:spacing w:line="360" w:lineRule="auto"/>
        <w:ind w:left="1" w:firstLine="535" w:firstLineChars="255"/>
        <w:jc w:val="left"/>
        <w:rPr>
          <w:rFonts w:hint="eastAsia" w:ascii="宋体" w:hAnsi="宋体" w:cs="宋体"/>
          <w:kern w:val="0"/>
        </w:rPr>
      </w:pPr>
      <w:r>
        <w:rPr>
          <w:rFonts w:hint="eastAsia" w:ascii="宋体" w:hAnsi="宋体" w:cs="宋体"/>
          <w:kern w:val="0"/>
        </w:rPr>
        <w:t>3.1.3  投标报价有算术错误的，评标委员会按以下原则对投标报价进行修正，修正的价格经比选申请人书面确认后具有约束力。比选申请人不接受修正价格的，其投标作否决投标处理。</w:t>
      </w:r>
    </w:p>
    <w:p w14:paraId="76FB4A03">
      <w:pPr>
        <w:autoSpaceDE w:val="0"/>
        <w:autoSpaceDN w:val="0"/>
        <w:adjustRightInd w:val="0"/>
        <w:snapToGrid w:val="0"/>
        <w:spacing w:line="360" w:lineRule="auto"/>
        <w:ind w:firstLine="420" w:firstLineChars="200"/>
        <w:jc w:val="left"/>
        <w:rPr>
          <w:rFonts w:hint="eastAsia" w:ascii="宋体" w:hAnsi="宋体" w:cs="宋体"/>
          <w:kern w:val="0"/>
        </w:rPr>
      </w:pPr>
      <w:r>
        <w:rPr>
          <w:rFonts w:hint="eastAsia" w:ascii="宋体" w:hAnsi="宋体" w:cs="宋体"/>
          <w:kern w:val="0"/>
        </w:rPr>
        <w:t>（</w:t>
      </w:r>
      <w:r>
        <w:rPr>
          <w:rFonts w:hint="eastAsia" w:ascii="宋体" w:hAnsi="宋体" w:cs="宋体"/>
          <w:spacing w:val="1"/>
          <w:kern w:val="0"/>
        </w:rPr>
        <w:t>1</w:t>
      </w:r>
      <w:r>
        <w:rPr>
          <w:rFonts w:hint="eastAsia" w:ascii="宋体" w:hAnsi="宋体" w:cs="宋体"/>
          <w:kern w:val="0"/>
        </w:rPr>
        <w:t>）比选申请文件中的大写金额与小写金额不一致的，以大写金额为准；</w:t>
      </w:r>
    </w:p>
    <w:p w14:paraId="215356CB">
      <w:pPr>
        <w:autoSpaceDE w:val="0"/>
        <w:autoSpaceDN w:val="0"/>
        <w:adjustRightInd w:val="0"/>
        <w:snapToGrid w:val="0"/>
        <w:spacing w:line="360" w:lineRule="auto"/>
        <w:ind w:firstLine="420" w:firstLineChars="200"/>
        <w:jc w:val="left"/>
        <w:rPr>
          <w:rFonts w:hint="eastAsia" w:ascii="宋体" w:hAnsi="宋体" w:cs="宋体"/>
          <w:kern w:val="0"/>
        </w:rPr>
      </w:pPr>
      <w:r>
        <w:rPr>
          <w:rFonts w:hint="eastAsia" w:ascii="宋体" w:hAnsi="宋体" w:cs="宋体"/>
          <w:kern w:val="0"/>
        </w:rPr>
        <w:t>（2）数字表示的数额与用文字表示的数额不一致时，以文字数额为准；</w:t>
      </w:r>
    </w:p>
    <w:p w14:paraId="15356D69">
      <w:pPr>
        <w:autoSpaceDE w:val="0"/>
        <w:autoSpaceDN w:val="0"/>
        <w:adjustRightInd w:val="0"/>
        <w:snapToGrid w:val="0"/>
        <w:spacing w:line="360" w:lineRule="auto"/>
        <w:ind w:firstLine="420" w:firstLineChars="200"/>
        <w:jc w:val="left"/>
        <w:rPr>
          <w:rFonts w:hint="eastAsia" w:ascii="宋体" w:hAnsi="宋体" w:cs="宋体"/>
          <w:kern w:val="0"/>
        </w:rPr>
      </w:pPr>
      <w:r>
        <w:rPr>
          <w:rFonts w:hint="eastAsia" w:ascii="宋体" w:hAnsi="宋体" w:cs="宋体"/>
          <w:kern w:val="0"/>
        </w:rPr>
        <w:t>（3）单价与总价之间不一致时，应以总价为准，并修改单价；</w:t>
      </w:r>
    </w:p>
    <w:p w14:paraId="3DB30972">
      <w:pPr>
        <w:spacing w:line="360" w:lineRule="auto"/>
        <w:rPr>
          <w:rFonts w:hint="eastAsia" w:ascii="宋体" w:hAnsi="宋体" w:cs="宋体"/>
        </w:rPr>
      </w:pPr>
      <w:bookmarkStart w:id="433" w:name="_Toc224103390"/>
      <w:bookmarkStart w:id="434" w:name="_Toc485580646"/>
      <w:bookmarkStart w:id="435" w:name="_Toc300754718"/>
      <w:bookmarkStart w:id="436" w:name="_Toc237171534"/>
      <w:bookmarkStart w:id="437" w:name="_Toc500104029"/>
      <w:bookmarkStart w:id="438" w:name="_Toc419122826"/>
      <w:bookmarkStart w:id="439" w:name="_Toc241483916"/>
      <w:bookmarkStart w:id="440" w:name="_Toc200513204"/>
      <w:bookmarkStart w:id="441" w:name="_Toc485580555"/>
      <w:r>
        <w:rPr>
          <w:rFonts w:hint="eastAsia" w:ascii="宋体" w:hAnsi="宋体" w:cs="宋体"/>
        </w:rPr>
        <w:t>3.2  详细评审</w:t>
      </w:r>
      <w:bookmarkEnd w:id="433"/>
      <w:bookmarkEnd w:id="434"/>
      <w:bookmarkEnd w:id="435"/>
      <w:bookmarkEnd w:id="436"/>
      <w:bookmarkEnd w:id="437"/>
      <w:bookmarkEnd w:id="438"/>
      <w:bookmarkEnd w:id="439"/>
      <w:bookmarkEnd w:id="440"/>
      <w:bookmarkEnd w:id="441"/>
    </w:p>
    <w:p w14:paraId="187E2C04">
      <w:pPr>
        <w:autoSpaceDE w:val="0"/>
        <w:autoSpaceDN w:val="0"/>
        <w:adjustRightInd w:val="0"/>
        <w:snapToGrid w:val="0"/>
        <w:spacing w:line="360" w:lineRule="auto"/>
        <w:ind w:left="1" w:firstLine="535" w:firstLineChars="255"/>
        <w:jc w:val="left"/>
        <w:rPr>
          <w:rFonts w:hint="eastAsia" w:ascii="宋体" w:hAnsi="宋体" w:cs="宋体"/>
          <w:kern w:val="0"/>
        </w:rPr>
      </w:pPr>
      <w:r>
        <w:rPr>
          <w:rFonts w:hint="eastAsia" w:ascii="宋体" w:hAnsi="宋体" w:cs="宋体"/>
          <w:kern w:val="0"/>
        </w:rPr>
        <w:t>3.2.1  评标委员会按本章规定的量化因素和分值进行打分，并计算出综合评估得分。</w:t>
      </w:r>
    </w:p>
    <w:p w14:paraId="3B6B4183">
      <w:pPr>
        <w:autoSpaceDE w:val="0"/>
        <w:autoSpaceDN w:val="0"/>
        <w:adjustRightInd w:val="0"/>
        <w:snapToGrid w:val="0"/>
        <w:spacing w:line="360" w:lineRule="auto"/>
        <w:ind w:firstLine="532"/>
        <w:jc w:val="left"/>
        <w:rPr>
          <w:rFonts w:hint="eastAsia" w:ascii="宋体" w:hAnsi="宋体" w:cs="宋体"/>
          <w:kern w:val="0"/>
        </w:rPr>
      </w:pPr>
      <w:r>
        <w:rPr>
          <w:rFonts w:hint="eastAsia" w:ascii="宋体" w:hAnsi="宋体" w:cs="宋体"/>
          <w:kern w:val="0"/>
        </w:rPr>
        <w:t>（1）按本章评标办法前附表规定的评审因素和分值对技术部分计算出得分A；</w:t>
      </w:r>
    </w:p>
    <w:p w14:paraId="1CBD10F0">
      <w:pPr>
        <w:autoSpaceDE w:val="0"/>
        <w:autoSpaceDN w:val="0"/>
        <w:adjustRightInd w:val="0"/>
        <w:snapToGrid w:val="0"/>
        <w:spacing w:line="360" w:lineRule="auto"/>
        <w:ind w:firstLine="532"/>
        <w:jc w:val="left"/>
        <w:rPr>
          <w:rFonts w:hint="eastAsia" w:ascii="宋体" w:hAnsi="宋体" w:cs="宋体"/>
          <w:kern w:val="0"/>
        </w:rPr>
      </w:pPr>
      <w:r>
        <w:rPr>
          <w:rFonts w:hint="eastAsia" w:ascii="宋体" w:hAnsi="宋体" w:cs="宋体"/>
          <w:kern w:val="0"/>
        </w:rPr>
        <w:t>（2）按本章评标办法前附表规定的评审因素和分值对投标报价计算出得分B；</w:t>
      </w:r>
    </w:p>
    <w:p w14:paraId="1C3F9291">
      <w:pPr>
        <w:autoSpaceDE w:val="0"/>
        <w:autoSpaceDN w:val="0"/>
        <w:adjustRightInd w:val="0"/>
        <w:snapToGrid w:val="0"/>
        <w:spacing w:line="360" w:lineRule="auto"/>
        <w:ind w:left="1" w:firstLine="535" w:firstLineChars="255"/>
        <w:jc w:val="left"/>
        <w:rPr>
          <w:rFonts w:hint="eastAsia" w:ascii="宋体" w:hAnsi="宋体" w:cs="宋体"/>
          <w:kern w:val="0"/>
        </w:rPr>
      </w:pPr>
      <w:r>
        <w:rPr>
          <w:rFonts w:hint="eastAsia" w:ascii="宋体" w:hAnsi="宋体" w:cs="宋体"/>
          <w:kern w:val="0"/>
        </w:rPr>
        <w:t>3.2.2  评分分值计算保留小数点后两位，小数点后第三位“四舍五入”。</w:t>
      </w:r>
    </w:p>
    <w:p w14:paraId="4DE6942D">
      <w:pPr>
        <w:autoSpaceDE w:val="0"/>
        <w:autoSpaceDN w:val="0"/>
        <w:adjustRightInd w:val="0"/>
        <w:snapToGrid w:val="0"/>
        <w:spacing w:line="360" w:lineRule="auto"/>
        <w:ind w:left="1" w:firstLine="535" w:firstLineChars="255"/>
        <w:jc w:val="left"/>
        <w:rPr>
          <w:rFonts w:hint="eastAsia" w:ascii="宋体" w:hAnsi="宋体" w:cs="宋体"/>
          <w:kern w:val="0"/>
        </w:rPr>
      </w:pPr>
      <w:r>
        <w:rPr>
          <w:rFonts w:hint="eastAsia" w:ascii="宋体" w:hAnsi="宋体" w:cs="宋体"/>
          <w:kern w:val="0"/>
        </w:rPr>
        <w:t>3.2.3  比选申请人得分=A+B</w:t>
      </w:r>
    </w:p>
    <w:p w14:paraId="21CF5179">
      <w:pPr>
        <w:autoSpaceDE w:val="0"/>
        <w:autoSpaceDN w:val="0"/>
        <w:adjustRightInd w:val="0"/>
        <w:snapToGrid w:val="0"/>
        <w:spacing w:line="360" w:lineRule="auto"/>
        <w:ind w:left="1" w:firstLine="535" w:firstLineChars="255"/>
        <w:jc w:val="left"/>
        <w:rPr>
          <w:rFonts w:hint="eastAsia" w:ascii="宋体" w:hAnsi="宋体" w:cs="宋体"/>
          <w:kern w:val="0"/>
        </w:rPr>
      </w:pPr>
      <w:r>
        <w:rPr>
          <w:rFonts w:hint="eastAsia" w:ascii="宋体" w:hAnsi="宋体" w:cs="宋体"/>
          <w:kern w:val="0"/>
        </w:rPr>
        <w:t>3.2.4 评标委员会发现比选申请人的报价明显低于其他投标报价，或者在设有标底时明显低于标底，使得其投标报价可能低于其个别成本的，应当要求该比选申请人做出书面说明并提供相应的证明材料。比选申请人不能合理说明或者不能提供相应证明材料的，由评标委员会认定该比选申请人以低于成本报价竞标，其投标作否决投标处理。</w:t>
      </w:r>
    </w:p>
    <w:p w14:paraId="2975619B">
      <w:pPr>
        <w:spacing w:line="360" w:lineRule="auto"/>
        <w:rPr>
          <w:rFonts w:hint="eastAsia" w:ascii="宋体" w:hAnsi="宋体" w:cs="宋体"/>
        </w:rPr>
      </w:pPr>
      <w:r>
        <w:rPr>
          <w:rFonts w:hint="eastAsia" w:ascii="宋体" w:hAnsi="宋体" w:cs="宋体"/>
        </w:rPr>
        <w:t xml:space="preserve"> </w:t>
      </w:r>
      <w:bookmarkStart w:id="442" w:name="_Toc500104030"/>
      <w:bookmarkStart w:id="443" w:name="_Toc485580647"/>
      <w:bookmarkStart w:id="444" w:name="_Toc241483917"/>
      <w:bookmarkStart w:id="445" w:name="_Toc224103391"/>
      <w:bookmarkStart w:id="446" w:name="_Toc419122827"/>
      <w:bookmarkStart w:id="447" w:name="_Toc237171535"/>
      <w:bookmarkStart w:id="448" w:name="_Toc485580556"/>
      <w:bookmarkStart w:id="449" w:name="_Toc200513205"/>
      <w:bookmarkStart w:id="450" w:name="_Toc300754719"/>
      <w:r>
        <w:rPr>
          <w:rFonts w:hint="eastAsia" w:ascii="宋体" w:hAnsi="宋体" w:cs="宋体"/>
        </w:rPr>
        <w:t>3.3  比选申请文件的澄清和补正</w:t>
      </w:r>
      <w:bookmarkEnd w:id="442"/>
      <w:bookmarkEnd w:id="443"/>
      <w:bookmarkEnd w:id="444"/>
      <w:bookmarkEnd w:id="445"/>
      <w:bookmarkEnd w:id="446"/>
      <w:bookmarkEnd w:id="447"/>
      <w:bookmarkEnd w:id="448"/>
      <w:bookmarkEnd w:id="449"/>
      <w:bookmarkEnd w:id="450"/>
    </w:p>
    <w:p w14:paraId="172E3833">
      <w:pPr>
        <w:autoSpaceDE w:val="0"/>
        <w:autoSpaceDN w:val="0"/>
        <w:adjustRightInd w:val="0"/>
        <w:snapToGrid w:val="0"/>
        <w:spacing w:line="360" w:lineRule="auto"/>
        <w:ind w:left="1" w:firstLine="535" w:firstLineChars="255"/>
        <w:jc w:val="left"/>
        <w:rPr>
          <w:rFonts w:hint="eastAsia" w:ascii="宋体" w:hAnsi="宋体" w:cs="宋体"/>
          <w:kern w:val="0"/>
        </w:rPr>
      </w:pPr>
      <w:r>
        <w:rPr>
          <w:rFonts w:hint="eastAsia" w:ascii="宋体" w:hAnsi="宋体" w:cs="宋体"/>
          <w:kern w:val="0"/>
        </w:rPr>
        <w:t>3.3.1  在评标过程中，评标委员会可以书面形式要求比选申请人对所提交比选申请文件中不明确的内容进行书面澄清或说明，或者对细微偏差进行补正。评标委员会不接受比选申请人主动提出的澄清、说明或补正。</w:t>
      </w:r>
    </w:p>
    <w:p w14:paraId="632EBB8A">
      <w:pPr>
        <w:autoSpaceDE w:val="0"/>
        <w:autoSpaceDN w:val="0"/>
        <w:adjustRightInd w:val="0"/>
        <w:snapToGrid w:val="0"/>
        <w:spacing w:line="360" w:lineRule="auto"/>
        <w:ind w:left="1" w:firstLine="535" w:firstLineChars="255"/>
        <w:jc w:val="left"/>
        <w:rPr>
          <w:rFonts w:hint="eastAsia" w:ascii="宋体" w:hAnsi="宋体" w:cs="宋体"/>
          <w:kern w:val="0"/>
        </w:rPr>
      </w:pPr>
      <w:r>
        <w:rPr>
          <w:rFonts w:hint="eastAsia" w:ascii="宋体" w:hAnsi="宋体" w:cs="宋体"/>
          <w:kern w:val="0"/>
        </w:rPr>
        <w:t>3.3.2  澄清、说明和补正不得改变比选申请文件的实质性内容（算术性错误修正的除外）。比选申请人的书面澄清、说明和补正属于比选申请文件的组成部分。</w:t>
      </w:r>
    </w:p>
    <w:p w14:paraId="12DD941F">
      <w:pPr>
        <w:autoSpaceDE w:val="0"/>
        <w:autoSpaceDN w:val="0"/>
        <w:adjustRightInd w:val="0"/>
        <w:snapToGrid w:val="0"/>
        <w:spacing w:line="360" w:lineRule="auto"/>
        <w:ind w:left="1" w:firstLine="535" w:firstLineChars="255"/>
        <w:jc w:val="left"/>
        <w:rPr>
          <w:rFonts w:hint="eastAsia" w:ascii="宋体" w:hAnsi="宋体" w:cs="宋体"/>
          <w:kern w:val="0"/>
        </w:rPr>
      </w:pPr>
      <w:r>
        <w:rPr>
          <w:rFonts w:hint="eastAsia" w:ascii="宋体" w:hAnsi="宋体" w:cs="宋体"/>
          <w:kern w:val="0"/>
        </w:rPr>
        <w:t>3.3.3  评标委员会对比选申请人提交的澄清、说明或补正有疑问的，可以要求比选申请人进一步澄清、说明或补正，直至满足评标委员会的要求。</w:t>
      </w:r>
    </w:p>
    <w:p w14:paraId="59882DD2">
      <w:pPr>
        <w:pStyle w:val="2"/>
        <w:spacing w:before="0" w:line="360" w:lineRule="auto"/>
        <w:rPr>
          <w:rFonts w:hint="eastAsia" w:ascii="宋体" w:hAnsi="宋体" w:eastAsia="宋体" w:cs="宋体"/>
          <w:sz w:val="21"/>
          <w:szCs w:val="21"/>
        </w:rPr>
      </w:pPr>
      <w:r>
        <w:rPr>
          <w:rFonts w:hint="eastAsia" w:ascii="宋体" w:hAnsi="宋体" w:eastAsia="宋体" w:cs="宋体"/>
          <w:sz w:val="21"/>
          <w:szCs w:val="21"/>
        </w:rPr>
        <w:t>3.4 评标结果</w:t>
      </w:r>
      <w:bookmarkEnd w:id="428"/>
      <w:bookmarkEnd w:id="429"/>
      <w:bookmarkEnd w:id="430"/>
      <w:bookmarkEnd w:id="431"/>
      <w:bookmarkEnd w:id="432"/>
    </w:p>
    <w:p w14:paraId="5852B2D8">
      <w:pPr>
        <w:autoSpaceDE w:val="0"/>
        <w:autoSpaceDN w:val="0"/>
        <w:adjustRightInd w:val="0"/>
        <w:spacing w:line="360" w:lineRule="auto"/>
        <w:ind w:firstLine="420" w:firstLineChars="200"/>
        <w:rPr>
          <w:rFonts w:hint="eastAsia" w:ascii="宋体" w:hAnsi="宋体" w:cs="宋体"/>
        </w:rPr>
      </w:pPr>
      <w:r>
        <w:rPr>
          <w:rFonts w:hint="eastAsia" w:ascii="宋体" w:hAnsi="宋体" w:cs="宋体"/>
        </w:rPr>
        <w:t>3.4.1除第二章“比选申请人须知”前附表授权直接确定</w:t>
      </w:r>
      <w:r>
        <w:rPr>
          <w:rFonts w:hint="eastAsia" w:ascii="宋体" w:hAnsi="宋体" w:cs="宋体"/>
          <w:lang w:eastAsia="zh-CN"/>
        </w:rPr>
        <w:t>中选人</w:t>
      </w:r>
      <w:r>
        <w:rPr>
          <w:rFonts w:hint="eastAsia" w:ascii="宋体" w:hAnsi="宋体" w:cs="宋体"/>
        </w:rPr>
        <w:t>外，评标委员会按综合评估法推荐中标候选人。</w:t>
      </w:r>
    </w:p>
    <w:p w14:paraId="77A3F556">
      <w:pPr>
        <w:spacing w:line="360" w:lineRule="auto"/>
        <w:ind w:firstLine="420" w:firstLineChars="200"/>
        <w:rPr>
          <w:rFonts w:hint="eastAsia" w:ascii="宋体" w:hAnsi="宋体" w:cs="宋体"/>
        </w:rPr>
      </w:pPr>
      <w:r>
        <w:rPr>
          <w:rFonts w:hint="eastAsia" w:ascii="宋体" w:hAnsi="宋体" w:cs="宋体"/>
        </w:rPr>
        <w:t>3.4.2 评标委员会完成评标后，应当向比选人提交书面评标报告和中标候选人名单。</w:t>
      </w:r>
    </w:p>
    <w:p w14:paraId="6807E185">
      <w:pPr>
        <w:ind w:firstLine="18" w:firstLineChars="9"/>
        <w:jc w:val="center"/>
        <w:rPr>
          <w:rFonts w:hint="eastAsia" w:ascii="宋体" w:hAnsi="宋体" w:cs="宋体"/>
          <w:szCs w:val="20"/>
        </w:rPr>
      </w:pPr>
    </w:p>
    <w:p w14:paraId="1163A022">
      <w:pPr>
        <w:pStyle w:val="33"/>
        <w:spacing w:line="360" w:lineRule="auto"/>
        <w:rPr>
          <w:rFonts w:hint="eastAsia" w:hAnsi="宋体" w:cs="宋体"/>
        </w:rPr>
      </w:pPr>
      <w:r>
        <w:rPr>
          <w:rFonts w:hint="eastAsia" w:hAnsi="宋体" w:cs="宋体"/>
          <w:spacing w:val="1"/>
          <w:w w:val="99"/>
        </w:rPr>
        <w:br w:type="page"/>
      </w:r>
      <w:r>
        <w:rPr>
          <w:rFonts w:hint="eastAsia" w:hAnsi="宋体" w:cs="宋体"/>
          <w:b/>
          <w:szCs w:val="24"/>
        </w:rPr>
        <w:t>附件A：综合评估法否决投标情况一览表</w:t>
      </w:r>
    </w:p>
    <w:p w14:paraId="3602F2A6">
      <w:pPr>
        <w:spacing w:line="360" w:lineRule="auto"/>
        <w:rPr>
          <w:rFonts w:hint="eastAsia" w:ascii="宋体" w:hAnsi="宋体" w:cs="宋体"/>
          <w:b/>
        </w:rPr>
      </w:pPr>
      <w:r>
        <w:rPr>
          <w:rFonts w:hint="eastAsia" w:ascii="宋体" w:hAnsi="宋体" w:cs="宋体"/>
          <w:b/>
        </w:rPr>
        <w:t>一览表否决投标条件之外的评标委员会不得判为重大偏差。</w:t>
      </w: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979"/>
        <w:gridCol w:w="6604"/>
      </w:tblGrid>
      <w:tr w14:paraId="0545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shd w:val="clear" w:color="auto" w:fill="auto"/>
            <w:vAlign w:val="center"/>
          </w:tcPr>
          <w:p w14:paraId="2A2389EC">
            <w:pPr>
              <w:spacing w:line="400" w:lineRule="exact"/>
              <w:jc w:val="center"/>
              <w:rPr>
                <w:rFonts w:hint="eastAsia" w:ascii="宋体" w:hAnsi="宋体" w:cs="宋体"/>
                <w:b/>
                <w:color w:val="000000"/>
              </w:rPr>
            </w:pPr>
            <w:r>
              <w:rPr>
                <w:rFonts w:hint="eastAsia" w:ascii="宋体" w:hAnsi="宋体" w:cs="宋体"/>
                <w:b/>
                <w:color w:val="000000"/>
              </w:rPr>
              <w:t>章节号</w:t>
            </w:r>
          </w:p>
        </w:tc>
        <w:tc>
          <w:tcPr>
            <w:tcW w:w="1002" w:type="pct"/>
            <w:shd w:val="clear" w:color="auto" w:fill="auto"/>
            <w:vAlign w:val="center"/>
          </w:tcPr>
          <w:p w14:paraId="306EDE61">
            <w:pPr>
              <w:spacing w:line="400" w:lineRule="exact"/>
              <w:jc w:val="center"/>
              <w:rPr>
                <w:rFonts w:hint="eastAsia" w:ascii="宋体" w:hAnsi="宋体" w:cs="宋体"/>
                <w:b/>
                <w:color w:val="000000"/>
              </w:rPr>
            </w:pPr>
            <w:r>
              <w:rPr>
                <w:rFonts w:hint="eastAsia" w:ascii="宋体" w:hAnsi="宋体" w:cs="宋体"/>
                <w:b/>
                <w:color w:val="000000"/>
              </w:rPr>
              <w:t>条款名称</w:t>
            </w:r>
          </w:p>
        </w:tc>
        <w:tc>
          <w:tcPr>
            <w:tcW w:w="3344" w:type="pct"/>
            <w:shd w:val="clear" w:color="auto" w:fill="auto"/>
            <w:vAlign w:val="center"/>
          </w:tcPr>
          <w:p w14:paraId="2855F932">
            <w:pPr>
              <w:spacing w:line="400" w:lineRule="exact"/>
              <w:jc w:val="center"/>
              <w:rPr>
                <w:rFonts w:hint="eastAsia" w:ascii="宋体" w:hAnsi="宋体" w:cs="宋体"/>
                <w:b/>
                <w:color w:val="000000"/>
              </w:rPr>
            </w:pPr>
            <w:r>
              <w:rPr>
                <w:rFonts w:hint="eastAsia" w:ascii="宋体" w:hAnsi="宋体" w:cs="宋体"/>
                <w:b/>
                <w:color w:val="000000"/>
              </w:rPr>
              <w:t>否决投标条件</w:t>
            </w:r>
          </w:p>
        </w:tc>
      </w:tr>
      <w:tr w14:paraId="2E95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shd w:val="clear" w:color="auto" w:fill="auto"/>
            <w:vAlign w:val="center"/>
          </w:tcPr>
          <w:p w14:paraId="5DB1C0C1">
            <w:pPr>
              <w:spacing w:line="400" w:lineRule="exact"/>
              <w:jc w:val="center"/>
              <w:rPr>
                <w:rFonts w:hint="eastAsia" w:ascii="宋体" w:hAnsi="宋体" w:cs="宋体"/>
                <w:color w:val="000000"/>
              </w:rPr>
            </w:pPr>
            <w:r>
              <w:rPr>
                <w:rFonts w:hint="eastAsia" w:ascii="宋体" w:hAnsi="宋体" w:cs="宋体"/>
                <w:color w:val="000000"/>
              </w:rPr>
              <w:t>第二章1.3.2</w:t>
            </w:r>
          </w:p>
        </w:tc>
        <w:tc>
          <w:tcPr>
            <w:tcW w:w="1002" w:type="pct"/>
            <w:shd w:val="clear" w:color="auto" w:fill="auto"/>
            <w:vAlign w:val="center"/>
          </w:tcPr>
          <w:p w14:paraId="073C9E02">
            <w:pPr>
              <w:spacing w:line="400" w:lineRule="exact"/>
              <w:ind w:firstLine="420" w:firstLineChars="200"/>
              <w:rPr>
                <w:rFonts w:hint="eastAsia" w:ascii="宋体" w:hAnsi="宋体" w:cs="宋体"/>
                <w:color w:val="000000"/>
              </w:rPr>
            </w:pPr>
            <w:r>
              <w:rPr>
                <w:rFonts w:hint="eastAsia" w:ascii="宋体" w:hAnsi="宋体" w:cs="宋体"/>
                <w:color w:val="000000"/>
              </w:rPr>
              <w:t>计划工期</w:t>
            </w:r>
          </w:p>
        </w:tc>
        <w:tc>
          <w:tcPr>
            <w:tcW w:w="3344" w:type="pct"/>
            <w:shd w:val="clear" w:color="auto" w:fill="auto"/>
            <w:vAlign w:val="center"/>
          </w:tcPr>
          <w:p w14:paraId="3B8669CD">
            <w:pPr>
              <w:spacing w:line="400" w:lineRule="exact"/>
              <w:ind w:firstLine="420" w:firstLineChars="200"/>
              <w:rPr>
                <w:rFonts w:hint="eastAsia" w:ascii="宋体" w:hAnsi="宋体" w:cs="宋体"/>
                <w:color w:val="000000"/>
              </w:rPr>
            </w:pPr>
            <w:r>
              <w:rPr>
                <w:rFonts w:hint="eastAsia" w:ascii="宋体" w:hAnsi="宋体" w:cs="宋体"/>
                <w:color w:val="000000"/>
              </w:rPr>
              <w:t>投标函中必须填报投标工期、且投标工期必须满足此要求，否则视为对比选文件未作出实质性响应，其比选申请文件按否决投标处理。</w:t>
            </w:r>
          </w:p>
        </w:tc>
      </w:tr>
      <w:tr w14:paraId="4BE5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53" w:type="pct"/>
            <w:vMerge w:val="restart"/>
            <w:shd w:val="clear" w:color="auto" w:fill="auto"/>
            <w:vAlign w:val="center"/>
          </w:tcPr>
          <w:p w14:paraId="3DCF0A74">
            <w:pPr>
              <w:spacing w:line="400" w:lineRule="exact"/>
              <w:jc w:val="center"/>
              <w:rPr>
                <w:rFonts w:hint="eastAsia" w:ascii="宋体" w:hAnsi="宋体" w:cs="宋体"/>
                <w:color w:val="000000"/>
              </w:rPr>
            </w:pPr>
            <w:r>
              <w:rPr>
                <w:rFonts w:hint="eastAsia" w:ascii="宋体" w:hAnsi="宋体" w:cs="宋体"/>
                <w:color w:val="000000"/>
              </w:rPr>
              <w:t>第二章</w:t>
            </w:r>
          </w:p>
          <w:p w14:paraId="4AD0E459">
            <w:pPr>
              <w:spacing w:line="400" w:lineRule="exact"/>
              <w:jc w:val="center"/>
              <w:rPr>
                <w:rFonts w:hint="eastAsia" w:ascii="宋体" w:hAnsi="宋体" w:cs="宋体"/>
                <w:color w:val="000000"/>
              </w:rPr>
            </w:pPr>
            <w:r>
              <w:rPr>
                <w:rFonts w:hint="eastAsia" w:ascii="宋体" w:hAnsi="宋体" w:cs="宋体"/>
                <w:color w:val="000000"/>
              </w:rPr>
              <w:t>3.2</w:t>
            </w:r>
          </w:p>
        </w:tc>
        <w:tc>
          <w:tcPr>
            <w:tcW w:w="1002" w:type="pct"/>
            <w:vMerge w:val="restart"/>
            <w:shd w:val="clear" w:color="auto" w:fill="auto"/>
            <w:vAlign w:val="center"/>
          </w:tcPr>
          <w:p w14:paraId="4AD50CDD">
            <w:pPr>
              <w:spacing w:line="400" w:lineRule="exact"/>
              <w:jc w:val="center"/>
              <w:rPr>
                <w:rFonts w:hint="eastAsia" w:ascii="宋体" w:hAnsi="宋体" w:cs="宋体"/>
                <w:color w:val="000000"/>
              </w:rPr>
            </w:pPr>
            <w:r>
              <w:rPr>
                <w:rFonts w:hint="eastAsia" w:ascii="宋体" w:hAnsi="宋体" w:cs="宋体"/>
                <w:color w:val="000000"/>
              </w:rPr>
              <w:t>投标报价</w:t>
            </w:r>
          </w:p>
        </w:tc>
        <w:tc>
          <w:tcPr>
            <w:tcW w:w="3344" w:type="pct"/>
            <w:shd w:val="clear" w:color="auto" w:fill="auto"/>
            <w:vAlign w:val="center"/>
          </w:tcPr>
          <w:p w14:paraId="6A5B4EA7">
            <w:pPr>
              <w:spacing w:line="400" w:lineRule="exact"/>
              <w:ind w:firstLine="420" w:firstLineChars="200"/>
              <w:rPr>
                <w:rFonts w:hint="eastAsia" w:ascii="宋体" w:hAnsi="宋体" w:cs="宋体"/>
                <w:color w:val="000000"/>
              </w:rPr>
            </w:pPr>
            <w:r>
              <w:rPr>
                <w:rFonts w:hint="eastAsia" w:ascii="宋体" w:hAnsi="宋体" w:cs="宋体"/>
                <w:color w:val="000000"/>
              </w:rPr>
              <w:t>投标函中的总报价必须取整且与已标价工程量清单总报价一致，否则由评标委员会作否决投标处理。</w:t>
            </w:r>
          </w:p>
        </w:tc>
      </w:tr>
      <w:tr w14:paraId="0E47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53" w:type="pct"/>
            <w:vMerge w:val="continue"/>
            <w:shd w:val="clear" w:color="auto" w:fill="auto"/>
            <w:vAlign w:val="center"/>
          </w:tcPr>
          <w:p w14:paraId="367107FB">
            <w:pPr>
              <w:spacing w:line="400" w:lineRule="exact"/>
              <w:jc w:val="center"/>
              <w:rPr>
                <w:rFonts w:hint="eastAsia" w:ascii="宋体" w:hAnsi="宋体" w:cs="宋体"/>
                <w:color w:val="000000"/>
              </w:rPr>
            </w:pPr>
          </w:p>
        </w:tc>
        <w:tc>
          <w:tcPr>
            <w:tcW w:w="1002" w:type="pct"/>
            <w:vMerge w:val="continue"/>
            <w:shd w:val="clear" w:color="auto" w:fill="auto"/>
            <w:vAlign w:val="center"/>
          </w:tcPr>
          <w:p w14:paraId="294C016D">
            <w:pPr>
              <w:spacing w:line="400" w:lineRule="exact"/>
              <w:jc w:val="center"/>
              <w:rPr>
                <w:rFonts w:hint="eastAsia" w:ascii="宋体" w:hAnsi="宋体" w:cs="宋体"/>
                <w:color w:val="000000"/>
              </w:rPr>
            </w:pPr>
          </w:p>
        </w:tc>
        <w:tc>
          <w:tcPr>
            <w:tcW w:w="3344" w:type="pct"/>
            <w:shd w:val="clear" w:color="auto" w:fill="auto"/>
            <w:vAlign w:val="center"/>
          </w:tcPr>
          <w:p w14:paraId="63DF72E2">
            <w:pPr>
              <w:spacing w:line="400" w:lineRule="exact"/>
              <w:ind w:firstLine="420" w:firstLineChars="200"/>
              <w:rPr>
                <w:rFonts w:hint="eastAsia" w:ascii="宋体" w:hAnsi="宋体" w:cs="宋体"/>
                <w:color w:val="000000"/>
              </w:rPr>
            </w:pPr>
            <w:r>
              <w:rPr>
                <w:rFonts w:hint="eastAsia" w:ascii="宋体" w:hAnsi="宋体" w:cs="宋体"/>
                <w:color w:val="000000"/>
              </w:rPr>
              <w:t>比选申请人在工程量清单中多报的子目和单价或总价比选人将不予接受，并将被视为重大偏差，作否决投标处理。</w:t>
            </w:r>
          </w:p>
        </w:tc>
      </w:tr>
      <w:tr w14:paraId="725C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53" w:type="pct"/>
            <w:vMerge w:val="continue"/>
            <w:shd w:val="clear" w:color="auto" w:fill="auto"/>
            <w:vAlign w:val="center"/>
          </w:tcPr>
          <w:p w14:paraId="5ECD7418">
            <w:pPr>
              <w:spacing w:line="400" w:lineRule="exact"/>
              <w:jc w:val="center"/>
              <w:rPr>
                <w:rFonts w:hint="eastAsia" w:ascii="宋体" w:hAnsi="宋体" w:cs="宋体"/>
                <w:color w:val="000000"/>
              </w:rPr>
            </w:pPr>
          </w:p>
        </w:tc>
        <w:tc>
          <w:tcPr>
            <w:tcW w:w="1002" w:type="pct"/>
            <w:vMerge w:val="continue"/>
            <w:shd w:val="clear" w:color="auto" w:fill="auto"/>
            <w:vAlign w:val="center"/>
          </w:tcPr>
          <w:p w14:paraId="0AEBA4A6">
            <w:pPr>
              <w:spacing w:line="400" w:lineRule="exact"/>
              <w:jc w:val="center"/>
              <w:rPr>
                <w:rFonts w:hint="eastAsia" w:ascii="宋体" w:hAnsi="宋体" w:cs="宋体"/>
                <w:color w:val="000000"/>
              </w:rPr>
            </w:pPr>
          </w:p>
        </w:tc>
        <w:tc>
          <w:tcPr>
            <w:tcW w:w="3344" w:type="pct"/>
            <w:shd w:val="clear" w:color="auto" w:fill="auto"/>
            <w:vAlign w:val="center"/>
          </w:tcPr>
          <w:p w14:paraId="0D182550">
            <w:pPr>
              <w:spacing w:line="400" w:lineRule="exact"/>
              <w:ind w:firstLine="420" w:firstLineChars="200"/>
              <w:rPr>
                <w:rFonts w:hint="eastAsia" w:ascii="宋体" w:hAnsi="宋体" w:cs="宋体"/>
                <w:color w:val="000000"/>
              </w:rPr>
            </w:pPr>
            <w:r>
              <w:rPr>
                <w:rFonts w:hint="eastAsia" w:ascii="宋体" w:hAnsi="宋体" w:cs="宋体"/>
                <w:color w:val="000000"/>
              </w:rPr>
              <w:t>本工程招标将设置投标总价最高限价（含</w:t>
            </w:r>
            <w:r>
              <w:rPr>
                <w:rFonts w:hint="eastAsia" w:ascii="宋体" w:hAnsi="宋体" w:cs="宋体"/>
                <w:color w:val="000000"/>
                <w:lang w:eastAsia="zh-CN"/>
              </w:rPr>
              <w:t>安全文明施工费</w:t>
            </w:r>
            <w:r>
              <w:rPr>
                <w:rFonts w:hint="eastAsia" w:ascii="宋体" w:hAnsi="宋体" w:cs="宋体"/>
                <w:color w:val="000000"/>
              </w:rPr>
              <w:t>暂定金额）、分部分项工程量清单项目综合单价最高限价，比选申请人的投标报价不得超过最高限价，否则，将作否决投标处理。</w:t>
            </w:r>
          </w:p>
        </w:tc>
      </w:tr>
      <w:tr w14:paraId="36B1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53" w:type="pct"/>
            <w:vMerge w:val="continue"/>
            <w:shd w:val="clear" w:color="auto" w:fill="auto"/>
            <w:vAlign w:val="center"/>
          </w:tcPr>
          <w:p w14:paraId="524ECA83">
            <w:pPr>
              <w:spacing w:line="400" w:lineRule="exact"/>
              <w:jc w:val="center"/>
              <w:rPr>
                <w:rFonts w:hint="eastAsia" w:ascii="宋体" w:hAnsi="宋体" w:cs="宋体"/>
                <w:color w:val="000000"/>
              </w:rPr>
            </w:pPr>
          </w:p>
        </w:tc>
        <w:tc>
          <w:tcPr>
            <w:tcW w:w="1002" w:type="pct"/>
            <w:vMerge w:val="continue"/>
            <w:shd w:val="clear" w:color="auto" w:fill="auto"/>
            <w:vAlign w:val="center"/>
          </w:tcPr>
          <w:p w14:paraId="33BBEBD1">
            <w:pPr>
              <w:spacing w:line="400" w:lineRule="exact"/>
              <w:jc w:val="center"/>
              <w:rPr>
                <w:rFonts w:hint="eastAsia" w:ascii="宋体" w:hAnsi="宋体" w:cs="宋体"/>
                <w:color w:val="000000"/>
              </w:rPr>
            </w:pPr>
          </w:p>
        </w:tc>
        <w:tc>
          <w:tcPr>
            <w:tcW w:w="3344" w:type="pct"/>
            <w:shd w:val="clear" w:color="auto" w:fill="auto"/>
            <w:vAlign w:val="center"/>
          </w:tcPr>
          <w:p w14:paraId="4B527DCD">
            <w:pPr>
              <w:spacing w:line="400" w:lineRule="exact"/>
              <w:ind w:firstLine="420" w:firstLineChars="200"/>
              <w:rPr>
                <w:rFonts w:hint="eastAsia" w:ascii="宋体" w:hAnsi="宋体" w:cs="宋体"/>
                <w:color w:val="000000"/>
              </w:rPr>
            </w:pPr>
            <w:r>
              <w:rPr>
                <w:rFonts w:hint="eastAsia" w:ascii="宋体" w:hAnsi="宋体" w:cs="宋体"/>
                <w:color w:val="000000"/>
                <w:lang w:eastAsia="zh-CN"/>
              </w:rPr>
              <w:t>安全文明施工费</w:t>
            </w:r>
            <w:r>
              <w:rPr>
                <w:rFonts w:hint="eastAsia" w:ascii="宋体" w:hAnsi="宋体" w:cs="宋体"/>
                <w:color w:val="000000"/>
              </w:rPr>
              <w:t>必须按暂定金额填报，不得浮动，否则视为对比选文件不作实质性响应，其比选申请文件作否决投标处理。</w:t>
            </w:r>
          </w:p>
        </w:tc>
      </w:tr>
      <w:tr w14:paraId="5ECB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53" w:type="pct"/>
            <w:vMerge w:val="continue"/>
            <w:shd w:val="clear" w:color="auto" w:fill="auto"/>
            <w:vAlign w:val="center"/>
          </w:tcPr>
          <w:p w14:paraId="40BCA5AE">
            <w:pPr>
              <w:spacing w:line="400" w:lineRule="exact"/>
              <w:jc w:val="center"/>
              <w:rPr>
                <w:rFonts w:hint="eastAsia" w:ascii="宋体" w:hAnsi="宋体" w:cs="宋体"/>
                <w:color w:val="000000"/>
              </w:rPr>
            </w:pPr>
          </w:p>
        </w:tc>
        <w:tc>
          <w:tcPr>
            <w:tcW w:w="1002" w:type="pct"/>
            <w:vMerge w:val="continue"/>
            <w:shd w:val="clear" w:color="auto" w:fill="auto"/>
            <w:vAlign w:val="center"/>
          </w:tcPr>
          <w:p w14:paraId="202CDE5A">
            <w:pPr>
              <w:spacing w:line="400" w:lineRule="exact"/>
              <w:jc w:val="center"/>
              <w:rPr>
                <w:rFonts w:hint="eastAsia" w:ascii="宋体" w:hAnsi="宋体" w:cs="宋体"/>
                <w:color w:val="000000"/>
              </w:rPr>
            </w:pPr>
          </w:p>
        </w:tc>
        <w:tc>
          <w:tcPr>
            <w:tcW w:w="3344" w:type="pct"/>
            <w:shd w:val="clear" w:color="auto" w:fill="auto"/>
            <w:vAlign w:val="center"/>
          </w:tcPr>
          <w:p w14:paraId="745AE9E0">
            <w:pPr>
              <w:spacing w:line="400" w:lineRule="exact"/>
              <w:ind w:firstLine="420" w:firstLineChars="200"/>
              <w:rPr>
                <w:rFonts w:hint="eastAsia" w:ascii="宋体" w:hAnsi="宋体" w:cs="宋体"/>
                <w:color w:val="000000"/>
              </w:rPr>
            </w:pPr>
            <w:r>
              <w:rPr>
                <w:rFonts w:hint="eastAsia" w:ascii="宋体" w:hAnsi="宋体" w:cs="宋体"/>
                <w:color w:val="000000"/>
              </w:rPr>
              <w:t>比选文件及相关补遗文件规定了暂列金额，材料设备暂估价、专业工程暂估价的，比选申请人必须按比选人给定的价格进行报价，否则视为对比选文件不作实质性响应，其比选申请文件作否决投标处理。</w:t>
            </w:r>
          </w:p>
        </w:tc>
      </w:tr>
      <w:tr w14:paraId="6CFF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53" w:type="pct"/>
            <w:vMerge w:val="continue"/>
            <w:shd w:val="clear" w:color="auto" w:fill="auto"/>
            <w:vAlign w:val="center"/>
          </w:tcPr>
          <w:p w14:paraId="326FFABE">
            <w:pPr>
              <w:spacing w:line="400" w:lineRule="exact"/>
              <w:jc w:val="center"/>
              <w:rPr>
                <w:rFonts w:hint="eastAsia" w:ascii="宋体" w:hAnsi="宋体" w:cs="宋体"/>
                <w:color w:val="000000"/>
              </w:rPr>
            </w:pPr>
          </w:p>
        </w:tc>
        <w:tc>
          <w:tcPr>
            <w:tcW w:w="1002" w:type="pct"/>
            <w:vMerge w:val="continue"/>
            <w:shd w:val="clear" w:color="auto" w:fill="auto"/>
            <w:vAlign w:val="center"/>
          </w:tcPr>
          <w:p w14:paraId="0CF30FA9">
            <w:pPr>
              <w:spacing w:line="400" w:lineRule="exact"/>
              <w:jc w:val="center"/>
              <w:rPr>
                <w:rFonts w:hint="eastAsia" w:ascii="宋体" w:hAnsi="宋体" w:cs="宋体"/>
                <w:color w:val="000000"/>
              </w:rPr>
            </w:pPr>
          </w:p>
        </w:tc>
        <w:tc>
          <w:tcPr>
            <w:tcW w:w="3344" w:type="pct"/>
            <w:shd w:val="clear" w:color="auto" w:fill="auto"/>
            <w:vAlign w:val="center"/>
          </w:tcPr>
          <w:p w14:paraId="63AC888E">
            <w:pPr>
              <w:spacing w:line="400" w:lineRule="exact"/>
              <w:ind w:firstLine="420" w:firstLineChars="200"/>
              <w:rPr>
                <w:rFonts w:hint="eastAsia" w:ascii="宋体" w:hAnsi="宋体" w:cs="宋体"/>
                <w:color w:val="000000"/>
              </w:rPr>
            </w:pPr>
            <w:r>
              <w:rPr>
                <w:rFonts w:hint="eastAsia" w:ascii="宋体" w:hAnsi="宋体" w:cs="宋体"/>
                <w:color w:val="000000"/>
              </w:rPr>
              <w:t>比选申请人必须按招标工程量清单填报价格，项目编码、项目名称、项目特征、计量单位、工程量必须与招标工程量清单一致，在评标过程中若发现比选申请人的已标价工程量清单与招标工程量清单不一致的，由评标委员会作否决投标处理。</w:t>
            </w:r>
          </w:p>
        </w:tc>
      </w:tr>
      <w:tr w14:paraId="4EBA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53" w:type="pct"/>
            <w:shd w:val="clear" w:color="auto" w:fill="auto"/>
            <w:vAlign w:val="center"/>
          </w:tcPr>
          <w:p w14:paraId="2483F289">
            <w:pPr>
              <w:spacing w:line="400" w:lineRule="exact"/>
              <w:jc w:val="center"/>
              <w:rPr>
                <w:rFonts w:hint="eastAsia" w:ascii="宋体" w:hAnsi="宋体" w:cs="宋体"/>
                <w:color w:val="000000"/>
              </w:rPr>
            </w:pPr>
            <w:r>
              <w:rPr>
                <w:rFonts w:hint="eastAsia" w:ascii="宋体" w:hAnsi="宋体" w:cs="宋体"/>
                <w:color w:val="000000"/>
              </w:rPr>
              <w:t>第二章</w:t>
            </w:r>
          </w:p>
          <w:p w14:paraId="74FC3CC5">
            <w:pPr>
              <w:spacing w:line="400" w:lineRule="exact"/>
              <w:jc w:val="center"/>
              <w:rPr>
                <w:rFonts w:hint="eastAsia" w:ascii="宋体" w:hAnsi="宋体" w:cs="宋体"/>
                <w:color w:val="000000"/>
              </w:rPr>
            </w:pPr>
            <w:r>
              <w:rPr>
                <w:rFonts w:hint="eastAsia" w:ascii="宋体" w:hAnsi="宋体" w:cs="宋体"/>
                <w:color w:val="000000"/>
              </w:rPr>
              <w:t>3.4</w:t>
            </w:r>
          </w:p>
        </w:tc>
        <w:tc>
          <w:tcPr>
            <w:tcW w:w="1002" w:type="pct"/>
            <w:shd w:val="clear" w:color="auto" w:fill="auto"/>
            <w:vAlign w:val="center"/>
          </w:tcPr>
          <w:p w14:paraId="0BB44AF4">
            <w:pPr>
              <w:spacing w:line="400" w:lineRule="exact"/>
              <w:jc w:val="center"/>
              <w:rPr>
                <w:rFonts w:hint="eastAsia" w:ascii="宋体" w:hAnsi="宋体" w:cs="宋体"/>
                <w:color w:val="000000"/>
              </w:rPr>
            </w:pPr>
            <w:r>
              <w:rPr>
                <w:rFonts w:hint="eastAsia" w:ascii="宋体" w:hAnsi="宋体" w:cs="宋体"/>
                <w:color w:val="000000"/>
              </w:rPr>
              <w:t>投标保证金</w:t>
            </w:r>
          </w:p>
        </w:tc>
        <w:tc>
          <w:tcPr>
            <w:tcW w:w="3344" w:type="pct"/>
            <w:shd w:val="clear" w:color="auto" w:fill="auto"/>
            <w:vAlign w:val="center"/>
          </w:tcPr>
          <w:p w14:paraId="1EAC3002">
            <w:pPr>
              <w:spacing w:line="400" w:lineRule="exact"/>
              <w:ind w:firstLine="420" w:firstLineChars="200"/>
              <w:rPr>
                <w:rFonts w:hint="eastAsia" w:ascii="宋体" w:hAnsi="宋体" w:cs="宋体"/>
                <w:color w:val="000000"/>
              </w:rPr>
            </w:pPr>
            <w:r>
              <w:rPr>
                <w:rFonts w:hint="eastAsia" w:ascii="宋体" w:hAnsi="宋体" w:cs="宋体"/>
                <w:color w:val="000000"/>
              </w:rPr>
              <w:t>比选申请人应按比选申请人须知前附表3.4款规定的金额、担保形式等递交投标保证金，并作为其比选申请文件的组成部分。</w:t>
            </w:r>
          </w:p>
        </w:tc>
      </w:tr>
      <w:tr w14:paraId="35E7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53" w:type="pct"/>
            <w:shd w:val="clear" w:color="auto" w:fill="auto"/>
            <w:vAlign w:val="center"/>
          </w:tcPr>
          <w:p w14:paraId="65D339FE">
            <w:pPr>
              <w:spacing w:line="400" w:lineRule="exact"/>
              <w:jc w:val="center"/>
              <w:rPr>
                <w:rFonts w:hint="eastAsia" w:ascii="宋体" w:hAnsi="宋体" w:cs="宋体"/>
                <w:color w:val="000000"/>
              </w:rPr>
            </w:pPr>
            <w:r>
              <w:rPr>
                <w:rFonts w:hint="eastAsia" w:ascii="宋体" w:hAnsi="宋体" w:cs="宋体"/>
                <w:color w:val="000000"/>
              </w:rPr>
              <w:t>第二章</w:t>
            </w:r>
          </w:p>
          <w:p w14:paraId="7364C4F3">
            <w:pPr>
              <w:spacing w:line="400" w:lineRule="exact"/>
              <w:jc w:val="center"/>
              <w:rPr>
                <w:rFonts w:hint="eastAsia" w:ascii="宋体" w:hAnsi="宋体" w:cs="宋体"/>
                <w:color w:val="000000"/>
              </w:rPr>
            </w:pPr>
            <w:r>
              <w:rPr>
                <w:rFonts w:hint="eastAsia" w:ascii="宋体" w:hAnsi="宋体" w:cs="宋体"/>
                <w:color w:val="000000"/>
              </w:rPr>
              <w:t>3.7.3</w:t>
            </w:r>
          </w:p>
        </w:tc>
        <w:tc>
          <w:tcPr>
            <w:tcW w:w="1002" w:type="pct"/>
            <w:shd w:val="clear" w:color="auto" w:fill="auto"/>
            <w:vAlign w:val="center"/>
          </w:tcPr>
          <w:p w14:paraId="7BE48BE5">
            <w:pPr>
              <w:spacing w:line="400" w:lineRule="exact"/>
              <w:jc w:val="center"/>
              <w:rPr>
                <w:rFonts w:hint="eastAsia" w:ascii="宋体" w:hAnsi="宋体" w:cs="宋体"/>
                <w:color w:val="000000"/>
              </w:rPr>
            </w:pPr>
            <w:r>
              <w:rPr>
                <w:rFonts w:hint="eastAsia" w:ascii="宋体" w:hAnsi="宋体" w:cs="宋体"/>
                <w:color w:val="000000"/>
              </w:rPr>
              <w:t>签字盖章要求</w:t>
            </w:r>
          </w:p>
        </w:tc>
        <w:tc>
          <w:tcPr>
            <w:tcW w:w="3344" w:type="pct"/>
            <w:shd w:val="clear" w:color="auto" w:fill="auto"/>
            <w:vAlign w:val="center"/>
          </w:tcPr>
          <w:p w14:paraId="09D7C682">
            <w:pPr>
              <w:spacing w:line="400" w:lineRule="exact"/>
              <w:ind w:firstLine="420" w:firstLineChars="200"/>
              <w:rPr>
                <w:rFonts w:hint="eastAsia" w:ascii="宋体" w:hAnsi="宋体" w:cs="宋体"/>
                <w:color w:val="000000"/>
              </w:rPr>
            </w:pPr>
            <w:r>
              <w:rPr>
                <w:rFonts w:hint="eastAsia" w:ascii="宋体" w:hAnsi="宋体" w:cs="宋体"/>
                <w:color w:val="000000"/>
              </w:rPr>
              <w:t>按本章比选申请人须知3.7.3款执行，否则由评标委员会作否决投标处理。</w:t>
            </w:r>
          </w:p>
        </w:tc>
      </w:tr>
      <w:tr w14:paraId="72C1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restart"/>
            <w:shd w:val="clear" w:color="auto" w:fill="auto"/>
            <w:vAlign w:val="center"/>
          </w:tcPr>
          <w:p w14:paraId="7D310379">
            <w:pPr>
              <w:spacing w:line="400" w:lineRule="exact"/>
              <w:jc w:val="center"/>
              <w:rPr>
                <w:rFonts w:hint="eastAsia" w:ascii="宋体" w:hAnsi="宋体" w:cs="宋体"/>
                <w:color w:val="000000"/>
              </w:rPr>
            </w:pPr>
            <w:r>
              <w:rPr>
                <w:rFonts w:hint="eastAsia" w:ascii="宋体" w:hAnsi="宋体" w:cs="宋体"/>
                <w:color w:val="000000"/>
              </w:rPr>
              <w:t>第三章</w:t>
            </w:r>
          </w:p>
        </w:tc>
        <w:tc>
          <w:tcPr>
            <w:tcW w:w="1002" w:type="pct"/>
            <w:vMerge w:val="restart"/>
            <w:shd w:val="clear" w:color="auto" w:fill="auto"/>
            <w:vAlign w:val="center"/>
          </w:tcPr>
          <w:p w14:paraId="5C5F44B2">
            <w:pPr>
              <w:spacing w:line="400" w:lineRule="exact"/>
              <w:jc w:val="center"/>
              <w:rPr>
                <w:rFonts w:hint="eastAsia" w:ascii="宋体" w:hAnsi="宋体" w:cs="宋体"/>
                <w:color w:val="000000"/>
              </w:rPr>
            </w:pPr>
            <w:r>
              <w:rPr>
                <w:rFonts w:hint="eastAsia" w:ascii="宋体" w:hAnsi="宋体" w:cs="宋体"/>
                <w:color w:val="000000"/>
              </w:rPr>
              <w:t>形式评审</w:t>
            </w:r>
          </w:p>
        </w:tc>
        <w:tc>
          <w:tcPr>
            <w:tcW w:w="3344" w:type="pct"/>
            <w:shd w:val="clear" w:color="auto" w:fill="auto"/>
          </w:tcPr>
          <w:p w14:paraId="4DDB57B9">
            <w:pPr>
              <w:spacing w:line="400" w:lineRule="exact"/>
              <w:ind w:firstLine="420" w:firstLineChars="200"/>
              <w:rPr>
                <w:rFonts w:hint="eastAsia" w:ascii="宋体" w:hAnsi="宋体" w:cs="宋体"/>
                <w:color w:val="000000"/>
              </w:rPr>
            </w:pPr>
            <w:r>
              <w:rPr>
                <w:rFonts w:hint="eastAsia" w:ascii="宋体" w:hAnsi="宋体" w:cs="宋体"/>
                <w:color w:val="000000"/>
              </w:rPr>
              <w:t>比选申请人名称必须与营业执照、资质证书、安全生产许可证一致，否则由评标委员会作否决投标处理。</w:t>
            </w:r>
          </w:p>
        </w:tc>
      </w:tr>
      <w:tr w14:paraId="2F09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auto"/>
            <w:vAlign w:val="center"/>
          </w:tcPr>
          <w:p w14:paraId="7BAB0A84">
            <w:pPr>
              <w:spacing w:line="400" w:lineRule="exact"/>
              <w:jc w:val="center"/>
              <w:rPr>
                <w:rFonts w:hint="eastAsia" w:ascii="宋体" w:hAnsi="宋体" w:cs="宋体"/>
                <w:color w:val="000000"/>
              </w:rPr>
            </w:pPr>
          </w:p>
        </w:tc>
        <w:tc>
          <w:tcPr>
            <w:tcW w:w="1002" w:type="pct"/>
            <w:vMerge w:val="continue"/>
            <w:shd w:val="clear" w:color="auto" w:fill="auto"/>
            <w:vAlign w:val="center"/>
          </w:tcPr>
          <w:p w14:paraId="6BBF5745">
            <w:pPr>
              <w:spacing w:line="400" w:lineRule="exact"/>
              <w:jc w:val="center"/>
              <w:rPr>
                <w:rFonts w:hint="eastAsia" w:ascii="宋体" w:hAnsi="宋体" w:cs="宋体"/>
                <w:color w:val="000000"/>
              </w:rPr>
            </w:pPr>
          </w:p>
        </w:tc>
        <w:tc>
          <w:tcPr>
            <w:tcW w:w="3344" w:type="pct"/>
            <w:shd w:val="clear" w:color="auto" w:fill="auto"/>
          </w:tcPr>
          <w:p w14:paraId="2683F2DF">
            <w:pPr>
              <w:spacing w:line="400" w:lineRule="exact"/>
              <w:ind w:firstLine="420" w:firstLineChars="200"/>
              <w:rPr>
                <w:rFonts w:hint="eastAsia" w:ascii="宋体" w:hAnsi="宋体" w:cs="宋体"/>
                <w:color w:val="000000"/>
              </w:rPr>
            </w:pPr>
            <w:r>
              <w:rPr>
                <w:rFonts w:hint="eastAsia" w:ascii="宋体" w:hAnsi="宋体" w:cs="宋体"/>
                <w:color w:val="000000"/>
              </w:rPr>
              <w:t>投标函规定签字、盖章的位置有法定代表人或其委托代理人签字（或盖章）、加盖单位法人章，否则由评标委员会作否决投标处理。</w:t>
            </w:r>
          </w:p>
        </w:tc>
      </w:tr>
      <w:tr w14:paraId="6526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auto"/>
            <w:vAlign w:val="center"/>
          </w:tcPr>
          <w:p w14:paraId="09FBE50D">
            <w:pPr>
              <w:spacing w:line="400" w:lineRule="exact"/>
              <w:jc w:val="center"/>
              <w:rPr>
                <w:rFonts w:hint="eastAsia" w:ascii="宋体" w:hAnsi="宋体" w:cs="宋体"/>
                <w:color w:val="000000"/>
              </w:rPr>
            </w:pPr>
          </w:p>
        </w:tc>
        <w:tc>
          <w:tcPr>
            <w:tcW w:w="1002" w:type="pct"/>
            <w:vMerge w:val="continue"/>
            <w:shd w:val="clear" w:color="auto" w:fill="auto"/>
            <w:vAlign w:val="center"/>
          </w:tcPr>
          <w:p w14:paraId="1F8ECA77">
            <w:pPr>
              <w:spacing w:line="400" w:lineRule="exact"/>
              <w:jc w:val="center"/>
              <w:rPr>
                <w:rFonts w:hint="eastAsia" w:ascii="宋体" w:hAnsi="宋体" w:cs="宋体"/>
                <w:color w:val="000000"/>
              </w:rPr>
            </w:pPr>
          </w:p>
        </w:tc>
        <w:tc>
          <w:tcPr>
            <w:tcW w:w="3344" w:type="pct"/>
            <w:shd w:val="clear" w:color="auto" w:fill="auto"/>
          </w:tcPr>
          <w:p w14:paraId="43F9E72F">
            <w:pPr>
              <w:spacing w:line="400" w:lineRule="exact"/>
              <w:ind w:firstLine="420" w:firstLineChars="200"/>
              <w:rPr>
                <w:rFonts w:hint="eastAsia" w:ascii="宋体" w:hAnsi="宋体" w:cs="宋体"/>
                <w:color w:val="000000"/>
              </w:rPr>
            </w:pPr>
            <w:r>
              <w:rPr>
                <w:rFonts w:hint="eastAsia" w:ascii="宋体" w:hAnsi="宋体" w:cs="宋体"/>
                <w:color w:val="000000"/>
              </w:rPr>
              <w:t>比选申请文件格式符合第六章“比选申请文件格式”的要求，否则由评标委员会作否决投标处理。</w:t>
            </w:r>
          </w:p>
        </w:tc>
      </w:tr>
      <w:tr w14:paraId="0556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auto"/>
            <w:vAlign w:val="center"/>
          </w:tcPr>
          <w:p w14:paraId="1E730521">
            <w:pPr>
              <w:spacing w:line="400" w:lineRule="exact"/>
              <w:jc w:val="center"/>
              <w:rPr>
                <w:rFonts w:hint="eastAsia" w:ascii="宋体" w:hAnsi="宋体" w:cs="宋体"/>
                <w:color w:val="000000"/>
              </w:rPr>
            </w:pPr>
          </w:p>
        </w:tc>
        <w:tc>
          <w:tcPr>
            <w:tcW w:w="1002" w:type="pct"/>
            <w:vMerge w:val="continue"/>
            <w:shd w:val="clear" w:color="auto" w:fill="auto"/>
            <w:vAlign w:val="center"/>
          </w:tcPr>
          <w:p w14:paraId="3D987F9B">
            <w:pPr>
              <w:spacing w:line="400" w:lineRule="exact"/>
              <w:jc w:val="center"/>
              <w:rPr>
                <w:rFonts w:hint="eastAsia" w:ascii="宋体" w:hAnsi="宋体" w:cs="宋体"/>
                <w:color w:val="000000"/>
              </w:rPr>
            </w:pPr>
          </w:p>
        </w:tc>
        <w:tc>
          <w:tcPr>
            <w:tcW w:w="3344" w:type="pct"/>
            <w:shd w:val="clear" w:color="auto" w:fill="auto"/>
          </w:tcPr>
          <w:p w14:paraId="1E643520">
            <w:pPr>
              <w:spacing w:line="400" w:lineRule="exact"/>
              <w:ind w:firstLine="420" w:firstLineChars="200"/>
              <w:rPr>
                <w:rFonts w:hint="eastAsia" w:ascii="宋体" w:hAnsi="宋体" w:cs="宋体"/>
                <w:color w:val="000000"/>
              </w:rPr>
            </w:pPr>
            <w:r>
              <w:rPr>
                <w:rFonts w:hint="eastAsia" w:ascii="宋体" w:hAnsi="宋体" w:cs="宋体"/>
                <w:color w:val="000000"/>
              </w:rPr>
              <w:t>比选申请人递交的纸质比选申请文件正本应与网上上传的比选申请文件电子文档一致，否则由评标委员会作否决投标处理。</w:t>
            </w:r>
          </w:p>
        </w:tc>
      </w:tr>
      <w:tr w14:paraId="17B0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53" w:type="pct"/>
            <w:vMerge w:val="continue"/>
            <w:shd w:val="clear" w:color="auto" w:fill="auto"/>
            <w:vAlign w:val="center"/>
          </w:tcPr>
          <w:p w14:paraId="7127BCA9">
            <w:pPr>
              <w:spacing w:line="400" w:lineRule="exact"/>
              <w:jc w:val="center"/>
              <w:rPr>
                <w:rFonts w:hint="eastAsia" w:ascii="宋体" w:hAnsi="宋体" w:cs="宋体"/>
                <w:color w:val="000000"/>
              </w:rPr>
            </w:pPr>
          </w:p>
        </w:tc>
        <w:tc>
          <w:tcPr>
            <w:tcW w:w="1002" w:type="pct"/>
            <w:vMerge w:val="continue"/>
            <w:shd w:val="clear" w:color="auto" w:fill="auto"/>
            <w:vAlign w:val="center"/>
          </w:tcPr>
          <w:p w14:paraId="1C7D89DF">
            <w:pPr>
              <w:spacing w:line="400" w:lineRule="exact"/>
              <w:jc w:val="center"/>
              <w:rPr>
                <w:rFonts w:hint="eastAsia" w:ascii="宋体" w:hAnsi="宋体" w:cs="宋体"/>
                <w:color w:val="000000"/>
              </w:rPr>
            </w:pPr>
          </w:p>
        </w:tc>
        <w:tc>
          <w:tcPr>
            <w:tcW w:w="3344" w:type="pct"/>
            <w:shd w:val="clear" w:color="auto" w:fill="auto"/>
          </w:tcPr>
          <w:p w14:paraId="171EE7D6">
            <w:pPr>
              <w:spacing w:line="400" w:lineRule="exact"/>
              <w:ind w:firstLine="420" w:firstLineChars="200"/>
              <w:rPr>
                <w:rFonts w:hint="eastAsia" w:ascii="宋体" w:hAnsi="宋体" w:cs="宋体"/>
                <w:color w:val="000000"/>
              </w:rPr>
            </w:pPr>
            <w:r>
              <w:rPr>
                <w:rFonts w:hint="eastAsia" w:ascii="宋体" w:hAnsi="宋体" w:cs="宋体"/>
                <w:color w:val="000000"/>
              </w:rPr>
              <w:t>只能有一个有效报价。在比选文件没有规定的情况下，不得提交选择性报价，否则由评标委员会作否决投标处理。</w:t>
            </w:r>
          </w:p>
        </w:tc>
      </w:tr>
      <w:tr w14:paraId="372B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auto"/>
            <w:vAlign w:val="center"/>
          </w:tcPr>
          <w:p w14:paraId="723F70AD">
            <w:pPr>
              <w:spacing w:line="400" w:lineRule="exact"/>
              <w:jc w:val="center"/>
              <w:rPr>
                <w:rFonts w:hint="eastAsia" w:ascii="宋体" w:hAnsi="宋体" w:cs="宋体"/>
                <w:color w:val="000000"/>
              </w:rPr>
            </w:pPr>
          </w:p>
        </w:tc>
        <w:tc>
          <w:tcPr>
            <w:tcW w:w="1002" w:type="pct"/>
            <w:vMerge w:val="continue"/>
            <w:shd w:val="clear" w:color="auto" w:fill="auto"/>
            <w:vAlign w:val="center"/>
          </w:tcPr>
          <w:p w14:paraId="06D280CE">
            <w:pPr>
              <w:spacing w:line="400" w:lineRule="exact"/>
              <w:jc w:val="center"/>
              <w:rPr>
                <w:rFonts w:hint="eastAsia" w:ascii="宋体" w:hAnsi="宋体" w:cs="宋体"/>
                <w:color w:val="000000"/>
              </w:rPr>
            </w:pPr>
          </w:p>
        </w:tc>
        <w:tc>
          <w:tcPr>
            <w:tcW w:w="3344" w:type="pct"/>
            <w:shd w:val="clear" w:color="auto" w:fill="auto"/>
          </w:tcPr>
          <w:p w14:paraId="54A41E4D">
            <w:pPr>
              <w:spacing w:line="400" w:lineRule="exact"/>
              <w:ind w:firstLine="420" w:firstLineChars="200"/>
              <w:rPr>
                <w:rFonts w:hint="eastAsia" w:ascii="宋体" w:hAnsi="宋体" w:cs="宋体"/>
                <w:color w:val="000000"/>
              </w:rPr>
            </w:pPr>
            <w:r>
              <w:rPr>
                <w:rFonts w:hint="eastAsia" w:ascii="宋体" w:hAnsi="宋体" w:cs="宋体"/>
                <w:color w:val="000000"/>
              </w:rPr>
              <w:t>比选申请文件中比选申请文件格式要求须法定代表人或其委托代理人的签字（或盖章）须齐全，否则由评标委员会作否决投标处理。</w:t>
            </w:r>
          </w:p>
        </w:tc>
      </w:tr>
      <w:tr w14:paraId="38FD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auto"/>
            <w:vAlign w:val="center"/>
          </w:tcPr>
          <w:p w14:paraId="11DE2C32">
            <w:pPr>
              <w:spacing w:line="400" w:lineRule="exact"/>
              <w:jc w:val="center"/>
              <w:rPr>
                <w:rFonts w:hint="eastAsia" w:ascii="宋体" w:hAnsi="宋体" w:cs="宋体"/>
                <w:color w:val="000000"/>
              </w:rPr>
            </w:pPr>
          </w:p>
        </w:tc>
        <w:tc>
          <w:tcPr>
            <w:tcW w:w="1002" w:type="pct"/>
            <w:vMerge w:val="continue"/>
            <w:shd w:val="clear" w:color="auto" w:fill="auto"/>
            <w:vAlign w:val="center"/>
          </w:tcPr>
          <w:p w14:paraId="1352379C">
            <w:pPr>
              <w:spacing w:line="400" w:lineRule="exact"/>
              <w:jc w:val="center"/>
              <w:rPr>
                <w:rFonts w:hint="eastAsia" w:ascii="宋体" w:hAnsi="宋体" w:cs="宋体"/>
                <w:color w:val="000000"/>
              </w:rPr>
            </w:pPr>
          </w:p>
        </w:tc>
        <w:tc>
          <w:tcPr>
            <w:tcW w:w="3344" w:type="pct"/>
            <w:shd w:val="clear" w:color="auto" w:fill="auto"/>
          </w:tcPr>
          <w:p w14:paraId="542C0D0C">
            <w:pPr>
              <w:spacing w:line="400" w:lineRule="exact"/>
              <w:ind w:firstLine="420" w:firstLineChars="200"/>
              <w:rPr>
                <w:rFonts w:hint="eastAsia" w:ascii="宋体" w:hAnsi="宋体" w:cs="宋体"/>
                <w:color w:val="000000"/>
              </w:rPr>
            </w:pPr>
            <w:r>
              <w:rPr>
                <w:rFonts w:hint="eastAsia" w:ascii="宋体" w:hAnsi="宋体" w:cs="宋体"/>
                <w:color w:val="000000"/>
              </w:rPr>
              <w:t>比选申请人法定代表人的委托代理人有法定代表人签署的授权委托书。且委托代理人必须提供比选申请人本单位为其缴纳的养老保险证明材料，否则由评标委员会作否决投标处理。</w:t>
            </w:r>
          </w:p>
        </w:tc>
      </w:tr>
      <w:tr w14:paraId="2BEA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auto"/>
            <w:vAlign w:val="center"/>
          </w:tcPr>
          <w:p w14:paraId="6F41EAC5">
            <w:pPr>
              <w:spacing w:line="400" w:lineRule="exact"/>
              <w:jc w:val="center"/>
              <w:rPr>
                <w:rFonts w:hint="eastAsia" w:ascii="宋体" w:hAnsi="宋体" w:cs="宋体"/>
                <w:color w:val="000000"/>
              </w:rPr>
            </w:pPr>
          </w:p>
        </w:tc>
        <w:tc>
          <w:tcPr>
            <w:tcW w:w="1002" w:type="pct"/>
            <w:vMerge w:val="restart"/>
            <w:shd w:val="clear" w:color="auto" w:fill="auto"/>
            <w:vAlign w:val="center"/>
          </w:tcPr>
          <w:p w14:paraId="4ED871AA">
            <w:pPr>
              <w:spacing w:line="400" w:lineRule="exact"/>
              <w:jc w:val="center"/>
              <w:rPr>
                <w:rFonts w:hint="eastAsia" w:ascii="宋体" w:hAnsi="宋体" w:cs="宋体"/>
                <w:color w:val="000000"/>
              </w:rPr>
            </w:pPr>
            <w:r>
              <w:rPr>
                <w:rFonts w:hint="eastAsia" w:ascii="宋体" w:hAnsi="宋体" w:cs="宋体"/>
                <w:color w:val="000000"/>
              </w:rPr>
              <w:t>资格评审</w:t>
            </w:r>
          </w:p>
        </w:tc>
        <w:tc>
          <w:tcPr>
            <w:tcW w:w="3344" w:type="pct"/>
            <w:shd w:val="clear" w:color="auto" w:fill="auto"/>
            <w:vAlign w:val="center"/>
          </w:tcPr>
          <w:p w14:paraId="608D6863">
            <w:pPr>
              <w:spacing w:line="400" w:lineRule="exact"/>
              <w:ind w:firstLine="420" w:firstLineChars="200"/>
              <w:rPr>
                <w:rFonts w:hint="eastAsia" w:ascii="宋体" w:hAnsi="宋体" w:cs="宋体"/>
                <w:color w:val="000000"/>
              </w:rPr>
            </w:pPr>
            <w:r>
              <w:rPr>
                <w:rFonts w:hint="eastAsia" w:ascii="宋体" w:hAnsi="宋体" w:cs="宋体"/>
                <w:color w:val="000000"/>
              </w:rPr>
              <w:t>比选申请人的资质条件、营业执照及安全生产条件须满足比选申请人须知前附表1.4.1项第1条的要求，否则由评标委员会作否决投标处理。</w:t>
            </w:r>
          </w:p>
        </w:tc>
      </w:tr>
      <w:tr w14:paraId="7DB7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auto"/>
            <w:vAlign w:val="center"/>
          </w:tcPr>
          <w:p w14:paraId="60E85EA1">
            <w:pPr>
              <w:spacing w:line="400" w:lineRule="exact"/>
              <w:jc w:val="center"/>
              <w:rPr>
                <w:rFonts w:hint="eastAsia" w:ascii="宋体" w:hAnsi="宋体" w:cs="宋体"/>
                <w:color w:val="000000"/>
              </w:rPr>
            </w:pPr>
          </w:p>
        </w:tc>
        <w:tc>
          <w:tcPr>
            <w:tcW w:w="1002" w:type="pct"/>
            <w:vMerge w:val="continue"/>
            <w:shd w:val="clear" w:color="auto" w:fill="auto"/>
            <w:vAlign w:val="center"/>
          </w:tcPr>
          <w:p w14:paraId="4D833BAD">
            <w:pPr>
              <w:spacing w:line="400" w:lineRule="exact"/>
              <w:jc w:val="center"/>
              <w:rPr>
                <w:rFonts w:hint="eastAsia" w:ascii="宋体" w:hAnsi="宋体" w:cs="宋体"/>
                <w:color w:val="000000"/>
              </w:rPr>
            </w:pPr>
          </w:p>
        </w:tc>
        <w:tc>
          <w:tcPr>
            <w:tcW w:w="3344" w:type="pct"/>
            <w:shd w:val="clear" w:color="auto" w:fill="auto"/>
            <w:vAlign w:val="center"/>
          </w:tcPr>
          <w:p w14:paraId="3E9538FC">
            <w:pPr>
              <w:spacing w:line="400" w:lineRule="exact"/>
              <w:ind w:firstLine="420" w:firstLineChars="200"/>
              <w:rPr>
                <w:rFonts w:hint="eastAsia" w:ascii="宋体" w:hAnsi="宋体" w:cs="宋体"/>
                <w:color w:val="000000"/>
              </w:rPr>
            </w:pPr>
            <w:r>
              <w:rPr>
                <w:rFonts w:hint="eastAsia" w:ascii="宋体" w:hAnsi="宋体" w:cs="宋体"/>
                <w:color w:val="000000"/>
              </w:rPr>
              <w:t>比选申请人的业绩须满足比选申请人须知前附表1.4.1项第2条的要求，否则由评标委员会作否决投标处理。</w:t>
            </w:r>
          </w:p>
        </w:tc>
      </w:tr>
      <w:tr w14:paraId="6E65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auto"/>
            <w:vAlign w:val="center"/>
          </w:tcPr>
          <w:p w14:paraId="1408D741">
            <w:pPr>
              <w:spacing w:line="400" w:lineRule="exact"/>
              <w:jc w:val="center"/>
              <w:rPr>
                <w:rFonts w:hint="eastAsia" w:ascii="宋体" w:hAnsi="宋体" w:cs="宋体"/>
                <w:color w:val="000000"/>
              </w:rPr>
            </w:pPr>
          </w:p>
        </w:tc>
        <w:tc>
          <w:tcPr>
            <w:tcW w:w="1002" w:type="pct"/>
            <w:vMerge w:val="continue"/>
            <w:shd w:val="clear" w:color="auto" w:fill="auto"/>
            <w:vAlign w:val="center"/>
          </w:tcPr>
          <w:p w14:paraId="32369109">
            <w:pPr>
              <w:spacing w:line="400" w:lineRule="exact"/>
              <w:jc w:val="center"/>
              <w:rPr>
                <w:rFonts w:hint="eastAsia" w:ascii="宋体" w:hAnsi="宋体" w:cs="宋体"/>
                <w:color w:val="000000"/>
              </w:rPr>
            </w:pPr>
          </w:p>
        </w:tc>
        <w:tc>
          <w:tcPr>
            <w:tcW w:w="3344" w:type="pct"/>
            <w:shd w:val="clear" w:color="auto" w:fill="auto"/>
            <w:vAlign w:val="center"/>
          </w:tcPr>
          <w:p w14:paraId="7266D77D">
            <w:pPr>
              <w:spacing w:line="400" w:lineRule="exact"/>
              <w:ind w:firstLine="420" w:firstLineChars="200"/>
              <w:rPr>
                <w:rFonts w:hint="eastAsia" w:ascii="宋体" w:hAnsi="宋体" w:cs="宋体"/>
                <w:color w:val="000000"/>
              </w:rPr>
            </w:pPr>
            <w:r>
              <w:rPr>
                <w:rFonts w:hint="eastAsia" w:ascii="宋体" w:hAnsi="宋体" w:cs="宋体"/>
                <w:color w:val="000000"/>
              </w:rPr>
              <w:t>比选申请人的项目经理资格须满足比选申请人须知前附表1.4.1项第3条的要求，否则由评标委员会作否决投标处理。</w:t>
            </w:r>
          </w:p>
        </w:tc>
      </w:tr>
      <w:tr w14:paraId="2DD8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auto"/>
            <w:vAlign w:val="center"/>
          </w:tcPr>
          <w:p w14:paraId="53519D82">
            <w:pPr>
              <w:spacing w:line="400" w:lineRule="exact"/>
              <w:jc w:val="center"/>
              <w:rPr>
                <w:rFonts w:hint="eastAsia" w:ascii="宋体" w:hAnsi="宋体" w:cs="宋体"/>
                <w:color w:val="000000"/>
              </w:rPr>
            </w:pPr>
          </w:p>
        </w:tc>
        <w:tc>
          <w:tcPr>
            <w:tcW w:w="1002" w:type="pct"/>
            <w:vMerge w:val="continue"/>
            <w:shd w:val="clear" w:color="auto" w:fill="auto"/>
            <w:vAlign w:val="center"/>
          </w:tcPr>
          <w:p w14:paraId="7D1454C5">
            <w:pPr>
              <w:spacing w:line="400" w:lineRule="exact"/>
              <w:jc w:val="center"/>
              <w:rPr>
                <w:rFonts w:hint="eastAsia" w:ascii="宋体" w:hAnsi="宋体" w:cs="宋体"/>
                <w:color w:val="000000"/>
              </w:rPr>
            </w:pPr>
          </w:p>
        </w:tc>
        <w:tc>
          <w:tcPr>
            <w:tcW w:w="3344" w:type="pct"/>
            <w:shd w:val="clear" w:color="auto" w:fill="auto"/>
            <w:vAlign w:val="center"/>
          </w:tcPr>
          <w:p w14:paraId="100513E3">
            <w:pPr>
              <w:spacing w:line="400" w:lineRule="exact"/>
              <w:ind w:firstLine="420" w:firstLineChars="200"/>
              <w:rPr>
                <w:rFonts w:hint="eastAsia" w:ascii="宋体" w:hAnsi="宋体" w:cs="宋体"/>
                <w:color w:val="000000"/>
              </w:rPr>
            </w:pPr>
            <w:r>
              <w:rPr>
                <w:rFonts w:hint="eastAsia" w:ascii="宋体" w:hAnsi="宋体" w:cs="宋体"/>
                <w:color w:val="000000"/>
              </w:rPr>
              <w:t>比选申请人的其他要求须满足比选申请人须知前附表1.4.1项第4条的要求，否则由评标委员会作否决投标处理。</w:t>
            </w:r>
          </w:p>
        </w:tc>
      </w:tr>
      <w:tr w14:paraId="494A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3" w:type="pct"/>
            <w:vMerge w:val="continue"/>
            <w:shd w:val="clear" w:color="auto" w:fill="auto"/>
            <w:vAlign w:val="center"/>
          </w:tcPr>
          <w:p w14:paraId="6C224087">
            <w:pPr>
              <w:spacing w:line="400" w:lineRule="exact"/>
              <w:jc w:val="center"/>
              <w:rPr>
                <w:rFonts w:hint="eastAsia" w:ascii="宋体" w:hAnsi="宋体" w:cs="宋体"/>
                <w:color w:val="000000"/>
              </w:rPr>
            </w:pPr>
          </w:p>
        </w:tc>
        <w:tc>
          <w:tcPr>
            <w:tcW w:w="1002" w:type="pct"/>
            <w:vMerge w:val="continue"/>
            <w:shd w:val="clear" w:color="auto" w:fill="auto"/>
            <w:vAlign w:val="center"/>
          </w:tcPr>
          <w:p w14:paraId="79127399">
            <w:pPr>
              <w:spacing w:line="400" w:lineRule="exact"/>
              <w:jc w:val="center"/>
              <w:rPr>
                <w:rFonts w:hint="eastAsia" w:ascii="宋体" w:hAnsi="宋体" w:cs="宋体"/>
                <w:color w:val="000000"/>
              </w:rPr>
            </w:pPr>
          </w:p>
        </w:tc>
        <w:tc>
          <w:tcPr>
            <w:tcW w:w="3344" w:type="pct"/>
            <w:shd w:val="clear" w:color="auto" w:fill="auto"/>
            <w:vAlign w:val="center"/>
          </w:tcPr>
          <w:p w14:paraId="53E9BED3">
            <w:pPr>
              <w:spacing w:line="400" w:lineRule="exact"/>
              <w:ind w:firstLine="420" w:firstLineChars="200"/>
              <w:rPr>
                <w:rFonts w:hint="eastAsia" w:ascii="宋体" w:hAnsi="宋体" w:cs="宋体"/>
                <w:color w:val="000000"/>
              </w:rPr>
            </w:pPr>
            <w:r>
              <w:rPr>
                <w:rFonts w:hint="eastAsia" w:ascii="宋体" w:hAnsi="宋体" w:cs="宋体"/>
                <w:color w:val="000000"/>
              </w:rPr>
              <w:t>比选申请人的信誉要求须满足比选申请人须知前附表1.4.1项第5条的要求，否则由评标委员会作否决投标处理。</w:t>
            </w:r>
          </w:p>
        </w:tc>
      </w:tr>
      <w:tr w14:paraId="0341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auto"/>
            <w:vAlign w:val="center"/>
          </w:tcPr>
          <w:p w14:paraId="4AA130E9">
            <w:pPr>
              <w:spacing w:line="400" w:lineRule="exact"/>
              <w:jc w:val="center"/>
              <w:rPr>
                <w:rFonts w:hint="eastAsia" w:ascii="宋体" w:hAnsi="宋体" w:cs="宋体"/>
                <w:color w:val="000000"/>
              </w:rPr>
            </w:pPr>
          </w:p>
        </w:tc>
        <w:tc>
          <w:tcPr>
            <w:tcW w:w="1002" w:type="pct"/>
            <w:vMerge w:val="restart"/>
            <w:shd w:val="clear" w:color="auto" w:fill="auto"/>
            <w:vAlign w:val="center"/>
          </w:tcPr>
          <w:p w14:paraId="24DE3097">
            <w:pPr>
              <w:spacing w:line="400" w:lineRule="exact"/>
              <w:jc w:val="center"/>
              <w:rPr>
                <w:rFonts w:hint="eastAsia" w:ascii="宋体" w:hAnsi="宋体" w:cs="宋体"/>
                <w:color w:val="000000"/>
              </w:rPr>
            </w:pPr>
            <w:r>
              <w:rPr>
                <w:rFonts w:hint="eastAsia" w:ascii="宋体" w:hAnsi="宋体" w:cs="宋体"/>
                <w:color w:val="000000"/>
              </w:rPr>
              <w:t>响应性评审</w:t>
            </w:r>
          </w:p>
        </w:tc>
        <w:tc>
          <w:tcPr>
            <w:tcW w:w="3344" w:type="pct"/>
            <w:shd w:val="clear" w:color="auto" w:fill="auto"/>
            <w:vAlign w:val="center"/>
          </w:tcPr>
          <w:p w14:paraId="7AFAD171">
            <w:pPr>
              <w:spacing w:line="400" w:lineRule="exact"/>
              <w:ind w:firstLine="420" w:firstLineChars="200"/>
              <w:rPr>
                <w:rFonts w:hint="eastAsia" w:ascii="宋体" w:hAnsi="宋体" w:cs="宋体"/>
                <w:color w:val="000000"/>
              </w:rPr>
            </w:pPr>
            <w:r>
              <w:rPr>
                <w:rFonts w:hint="eastAsia" w:ascii="宋体" w:hAnsi="宋体" w:cs="宋体"/>
                <w:color w:val="000000"/>
              </w:rPr>
              <w:t>投标内容符合第二章“比选申请人须知”第1.3.1项规定，否则由评标委员会作否决投标处理。</w:t>
            </w:r>
          </w:p>
        </w:tc>
      </w:tr>
      <w:tr w14:paraId="6B1E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auto"/>
            <w:vAlign w:val="center"/>
          </w:tcPr>
          <w:p w14:paraId="0E38D78E">
            <w:pPr>
              <w:spacing w:line="400" w:lineRule="exact"/>
              <w:jc w:val="center"/>
              <w:rPr>
                <w:rFonts w:hint="eastAsia" w:ascii="宋体" w:hAnsi="宋体" w:cs="宋体"/>
                <w:color w:val="000000"/>
              </w:rPr>
            </w:pPr>
          </w:p>
        </w:tc>
        <w:tc>
          <w:tcPr>
            <w:tcW w:w="1002" w:type="pct"/>
            <w:vMerge w:val="continue"/>
            <w:shd w:val="clear" w:color="auto" w:fill="auto"/>
            <w:vAlign w:val="center"/>
          </w:tcPr>
          <w:p w14:paraId="35B22C9E">
            <w:pPr>
              <w:spacing w:line="400" w:lineRule="exact"/>
              <w:jc w:val="center"/>
              <w:rPr>
                <w:rFonts w:hint="eastAsia" w:ascii="宋体" w:hAnsi="宋体" w:cs="宋体"/>
                <w:color w:val="000000"/>
              </w:rPr>
            </w:pPr>
          </w:p>
        </w:tc>
        <w:tc>
          <w:tcPr>
            <w:tcW w:w="3344" w:type="pct"/>
            <w:shd w:val="clear" w:color="auto" w:fill="auto"/>
            <w:vAlign w:val="center"/>
          </w:tcPr>
          <w:p w14:paraId="0F668590">
            <w:pPr>
              <w:spacing w:line="400" w:lineRule="exact"/>
              <w:ind w:firstLine="420" w:firstLineChars="200"/>
              <w:rPr>
                <w:rFonts w:hint="eastAsia" w:ascii="宋体" w:hAnsi="宋体" w:cs="宋体"/>
                <w:color w:val="000000"/>
              </w:rPr>
            </w:pPr>
            <w:r>
              <w:rPr>
                <w:rFonts w:hint="eastAsia" w:ascii="宋体" w:hAnsi="宋体" w:cs="宋体"/>
                <w:color w:val="000000"/>
              </w:rPr>
              <w:t>工期符合第二章“比选申请人须知”第1.3.2项规定，否则由评标委员会作否决投标处理。</w:t>
            </w:r>
          </w:p>
        </w:tc>
      </w:tr>
      <w:tr w14:paraId="5C7C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auto"/>
            <w:vAlign w:val="center"/>
          </w:tcPr>
          <w:p w14:paraId="123F7362">
            <w:pPr>
              <w:spacing w:line="400" w:lineRule="exact"/>
              <w:jc w:val="center"/>
              <w:rPr>
                <w:rFonts w:hint="eastAsia" w:ascii="宋体" w:hAnsi="宋体" w:cs="宋体"/>
                <w:color w:val="000000"/>
              </w:rPr>
            </w:pPr>
          </w:p>
        </w:tc>
        <w:tc>
          <w:tcPr>
            <w:tcW w:w="1002" w:type="pct"/>
            <w:vMerge w:val="continue"/>
            <w:shd w:val="clear" w:color="auto" w:fill="auto"/>
            <w:vAlign w:val="center"/>
          </w:tcPr>
          <w:p w14:paraId="273A2A14">
            <w:pPr>
              <w:spacing w:line="400" w:lineRule="exact"/>
              <w:jc w:val="center"/>
              <w:rPr>
                <w:rFonts w:hint="eastAsia" w:ascii="宋体" w:hAnsi="宋体" w:cs="宋体"/>
                <w:color w:val="000000"/>
              </w:rPr>
            </w:pPr>
          </w:p>
        </w:tc>
        <w:tc>
          <w:tcPr>
            <w:tcW w:w="3344" w:type="pct"/>
            <w:shd w:val="clear" w:color="auto" w:fill="auto"/>
            <w:vAlign w:val="center"/>
          </w:tcPr>
          <w:p w14:paraId="7D6D12EF">
            <w:pPr>
              <w:spacing w:line="400" w:lineRule="exact"/>
              <w:ind w:firstLine="420" w:firstLineChars="200"/>
              <w:rPr>
                <w:rFonts w:hint="eastAsia" w:ascii="宋体" w:hAnsi="宋体" w:cs="宋体"/>
                <w:color w:val="000000"/>
              </w:rPr>
            </w:pPr>
            <w:r>
              <w:rPr>
                <w:rFonts w:hint="eastAsia" w:ascii="宋体" w:hAnsi="宋体" w:cs="宋体"/>
                <w:color w:val="000000"/>
              </w:rPr>
              <w:t>工程质量符合第二章“比选申请人须知”第1.3.3项规定，否则由评标委员会作否决投标处理。</w:t>
            </w:r>
          </w:p>
        </w:tc>
      </w:tr>
      <w:tr w14:paraId="1261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auto"/>
            <w:vAlign w:val="center"/>
          </w:tcPr>
          <w:p w14:paraId="29ABAE11">
            <w:pPr>
              <w:spacing w:line="400" w:lineRule="exact"/>
              <w:jc w:val="center"/>
              <w:rPr>
                <w:rFonts w:hint="eastAsia" w:ascii="宋体" w:hAnsi="宋体" w:cs="宋体"/>
                <w:color w:val="000000"/>
              </w:rPr>
            </w:pPr>
          </w:p>
        </w:tc>
        <w:tc>
          <w:tcPr>
            <w:tcW w:w="1002" w:type="pct"/>
            <w:vMerge w:val="continue"/>
            <w:shd w:val="clear" w:color="auto" w:fill="auto"/>
            <w:vAlign w:val="center"/>
          </w:tcPr>
          <w:p w14:paraId="3A4194E6">
            <w:pPr>
              <w:spacing w:line="400" w:lineRule="exact"/>
              <w:jc w:val="center"/>
              <w:rPr>
                <w:rFonts w:hint="eastAsia" w:ascii="宋体" w:hAnsi="宋体" w:cs="宋体"/>
                <w:color w:val="000000"/>
              </w:rPr>
            </w:pPr>
          </w:p>
        </w:tc>
        <w:tc>
          <w:tcPr>
            <w:tcW w:w="3344" w:type="pct"/>
            <w:shd w:val="clear" w:color="auto" w:fill="auto"/>
            <w:vAlign w:val="center"/>
          </w:tcPr>
          <w:p w14:paraId="00FA036A">
            <w:pPr>
              <w:spacing w:line="400" w:lineRule="exact"/>
              <w:ind w:firstLine="420" w:firstLineChars="200"/>
              <w:rPr>
                <w:rFonts w:hint="eastAsia" w:ascii="宋体" w:hAnsi="宋体" w:cs="宋体"/>
                <w:color w:val="000000"/>
              </w:rPr>
            </w:pPr>
            <w:r>
              <w:rPr>
                <w:rFonts w:hint="eastAsia" w:ascii="宋体" w:hAnsi="宋体" w:cs="宋体"/>
                <w:color w:val="000000"/>
              </w:rPr>
              <w:t>投标有效期符合第二章“比选申请人须知”第3.3.1项规定，自行在比选申请人承诺函第6其他补充说明中填报，否则由评标委员会作否决投标处理。</w:t>
            </w:r>
          </w:p>
        </w:tc>
      </w:tr>
      <w:tr w14:paraId="5B96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auto"/>
            <w:vAlign w:val="center"/>
          </w:tcPr>
          <w:p w14:paraId="4952A46B">
            <w:pPr>
              <w:spacing w:line="400" w:lineRule="exact"/>
              <w:jc w:val="center"/>
              <w:rPr>
                <w:rFonts w:hint="eastAsia" w:ascii="宋体" w:hAnsi="宋体" w:cs="宋体"/>
                <w:color w:val="000000"/>
              </w:rPr>
            </w:pPr>
          </w:p>
        </w:tc>
        <w:tc>
          <w:tcPr>
            <w:tcW w:w="1002" w:type="pct"/>
            <w:vMerge w:val="continue"/>
            <w:shd w:val="clear" w:color="auto" w:fill="auto"/>
            <w:vAlign w:val="center"/>
          </w:tcPr>
          <w:p w14:paraId="027A696A">
            <w:pPr>
              <w:spacing w:line="400" w:lineRule="exact"/>
              <w:jc w:val="center"/>
              <w:rPr>
                <w:rFonts w:hint="eastAsia" w:ascii="宋体" w:hAnsi="宋体" w:cs="宋体"/>
                <w:color w:val="000000"/>
              </w:rPr>
            </w:pPr>
          </w:p>
        </w:tc>
        <w:tc>
          <w:tcPr>
            <w:tcW w:w="3344" w:type="pct"/>
            <w:shd w:val="clear" w:color="auto" w:fill="auto"/>
            <w:vAlign w:val="center"/>
          </w:tcPr>
          <w:p w14:paraId="2D2ABCB5">
            <w:pPr>
              <w:tabs>
                <w:tab w:val="left" w:pos="546"/>
                <w:tab w:val="left" w:pos="711"/>
              </w:tabs>
              <w:snapToGrid w:val="0"/>
              <w:spacing w:line="400" w:lineRule="exact"/>
              <w:ind w:firstLine="420" w:firstLineChars="200"/>
              <w:rPr>
                <w:rFonts w:hint="eastAsia" w:ascii="宋体" w:hAnsi="宋体" w:cs="宋体"/>
                <w:color w:val="000000"/>
              </w:rPr>
            </w:pPr>
            <w:r>
              <w:rPr>
                <w:rFonts w:hint="eastAsia" w:ascii="宋体" w:hAnsi="宋体" w:cs="宋体"/>
                <w:color w:val="000000"/>
              </w:rPr>
              <w:t>已标价工程量清单的承诺函符合第二章“比选申请人须知”前附表第3.2条投标报价中的规定，否则由评标委员会作否决投标处理。</w:t>
            </w:r>
          </w:p>
        </w:tc>
      </w:tr>
      <w:tr w14:paraId="1838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auto"/>
            <w:vAlign w:val="center"/>
          </w:tcPr>
          <w:p w14:paraId="2EC50339">
            <w:pPr>
              <w:spacing w:line="400" w:lineRule="exact"/>
              <w:jc w:val="center"/>
              <w:rPr>
                <w:rFonts w:hint="eastAsia" w:ascii="宋体" w:hAnsi="宋体" w:cs="宋体"/>
                <w:color w:val="000000"/>
              </w:rPr>
            </w:pPr>
          </w:p>
        </w:tc>
        <w:tc>
          <w:tcPr>
            <w:tcW w:w="1002" w:type="pct"/>
            <w:vMerge w:val="continue"/>
            <w:shd w:val="clear" w:color="auto" w:fill="auto"/>
            <w:vAlign w:val="center"/>
          </w:tcPr>
          <w:p w14:paraId="57196F7B">
            <w:pPr>
              <w:spacing w:line="400" w:lineRule="exact"/>
              <w:jc w:val="center"/>
              <w:rPr>
                <w:rFonts w:hint="eastAsia" w:ascii="宋体" w:hAnsi="宋体" w:cs="宋体"/>
                <w:color w:val="000000"/>
              </w:rPr>
            </w:pPr>
          </w:p>
        </w:tc>
        <w:tc>
          <w:tcPr>
            <w:tcW w:w="3344" w:type="pct"/>
            <w:shd w:val="clear" w:color="auto" w:fill="auto"/>
            <w:vAlign w:val="center"/>
          </w:tcPr>
          <w:p w14:paraId="05D6B05B">
            <w:pPr>
              <w:tabs>
                <w:tab w:val="left" w:pos="546"/>
                <w:tab w:val="left" w:pos="711"/>
              </w:tabs>
              <w:snapToGrid w:val="0"/>
              <w:spacing w:line="400" w:lineRule="exact"/>
              <w:ind w:firstLine="420" w:firstLineChars="200"/>
              <w:rPr>
                <w:rFonts w:hint="eastAsia" w:ascii="宋体" w:hAnsi="宋体" w:cs="宋体"/>
                <w:color w:val="000000"/>
              </w:rPr>
            </w:pPr>
            <w:r>
              <w:rPr>
                <w:rFonts w:hint="eastAsia" w:ascii="宋体" w:hAnsi="宋体" w:cs="宋体"/>
                <w:color w:val="000000"/>
              </w:rPr>
              <w:t>投标总报价低于最高限价85%的，比选申请人应在编制比选申请文件时，在投标函部分中递交低价风险担保缴纳承诺书。承诺书格式详见第六章比选申请文件格式。否则由评标委员会作否决投标处理。</w:t>
            </w:r>
          </w:p>
        </w:tc>
      </w:tr>
      <w:tr w14:paraId="3961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auto"/>
            <w:vAlign w:val="center"/>
          </w:tcPr>
          <w:p w14:paraId="439794B0">
            <w:pPr>
              <w:spacing w:line="400" w:lineRule="exact"/>
              <w:jc w:val="center"/>
              <w:rPr>
                <w:rFonts w:hint="eastAsia" w:ascii="宋体" w:hAnsi="宋体" w:cs="宋体"/>
                <w:color w:val="000000"/>
              </w:rPr>
            </w:pPr>
          </w:p>
        </w:tc>
        <w:tc>
          <w:tcPr>
            <w:tcW w:w="1002" w:type="pct"/>
            <w:vMerge w:val="continue"/>
            <w:shd w:val="clear" w:color="auto" w:fill="auto"/>
            <w:vAlign w:val="center"/>
          </w:tcPr>
          <w:p w14:paraId="29300D97">
            <w:pPr>
              <w:spacing w:line="400" w:lineRule="exact"/>
              <w:jc w:val="center"/>
              <w:rPr>
                <w:rFonts w:hint="eastAsia" w:ascii="宋体" w:hAnsi="宋体" w:cs="宋体"/>
                <w:color w:val="000000"/>
              </w:rPr>
            </w:pPr>
          </w:p>
        </w:tc>
        <w:tc>
          <w:tcPr>
            <w:tcW w:w="3344" w:type="pct"/>
            <w:shd w:val="clear" w:color="auto" w:fill="auto"/>
            <w:vAlign w:val="center"/>
          </w:tcPr>
          <w:p w14:paraId="338611AE">
            <w:pPr>
              <w:spacing w:line="400" w:lineRule="exact"/>
              <w:ind w:firstLine="420" w:firstLineChars="200"/>
              <w:rPr>
                <w:rFonts w:hint="eastAsia" w:ascii="宋体" w:hAnsi="宋体" w:cs="宋体"/>
                <w:color w:val="000000"/>
              </w:rPr>
            </w:pPr>
            <w:r>
              <w:rPr>
                <w:rFonts w:hint="eastAsia" w:ascii="宋体" w:hAnsi="宋体" w:cs="宋体"/>
                <w:color w:val="000000"/>
              </w:rPr>
              <w:t>投标报价有算术错误的，评标委员会按比选文件规定的原则对投标报价进行修正，修正的价格经比选申请人书面确认后具有约束力。比选申请人不接受修正价格的，其投标由评标委员会作否决投标处理。</w:t>
            </w:r>
          </w:p>
        </w:tc>
      </w:tr>
      <w:tr w14:paraId="0E31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auto"/>
            <w:vAlign w:val="center"/>
          </w:tcPr>
          <w:p w14:paraId="594BC345">
            <w:pPr>
              <w:spacing w:line="400" w:lineRule="exact"/>
              <w:jc w:val="center"/>
              <w:rPr>
                <w:rFonts w:hint="eastAsia" w:ascii="宋体" w:hAnsi="宋体" w:cs="宋体"/>
                <w:color w:val="000000"/>
              </w:rPr>
            </w:pPr>
          </w:p>
        </w:tc>
        <w:tc>
          <w:tcPr>
            <w:tcW w:w="1002" w:type="pct"/>
            <w:vMerge w:val="continue"/>
            <w:shd w:val="clear" w:color="auto" w:fill="auto"/>
            <w:vAlign w:val="center"/>
          </w:tcPr>
          <w:p w14:paraId="4A8F1205">
            <w:pPr>
              <w:spacing w:line="400" w:lineRule="exact"/>
              <w:jc w:val="center"/>
              <w:rPr>
                <w:rFonts w:hint="eastAsia" w:ascii="宋体" w:hAnsi="宋体" w:cs="宋体"/>
                <w:color w:val="000000"/>
              </w:rPr>
            </w:pPr>
          </w:p>
        </w:tc>
        <w:tc>
          <w:tcPr>
            <w:tcW w:w="3344" w:type="pct"/>
            <w:shd w:val="clear" w:color="auto" w:fill="auto"/>
            <w:vAlign w:val="center"/>
          </w:tcPr>
          <w:p w14:paraId="6DB32F7E">
            <w:pPr>
              <w:spacing w:line="400" w:lineRule="exact"/>
              <w:ind w:firstLine="420" w:firstLineChars="200"/>
              <w:rPr>
                <w:rFonts w:hint="eastAsia" w:ascii="宋体" w:hAnsi="宋体" w:cs="宋体"/>
                <w:color w:val="000000"/>
              </w:rPr>
            </w:pPr>
            <w:r>
              <w:rPr>
                <w:rFonts w:hint="eastAsia" w:ascii="宋体" w:hAnsi="宋体" w:cs="宋体"/>
                <w:color w:val="000000"/>
              </w:rPr>
              <w:t>不得有涉嫌串通投标、弄虚作假等违反招投标相关法律、法规的行为，否则由评标委员会作否决投标处理。</w:t>
            </w:r>
          </w:p>
        </w:tc>
      </w:tr>
      <w:tr w14:paraId="0097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auto"/>
            <w:vAlign w:val="center"/>
          </w:tcPr>
          <w:p w14:paraId="2A9BEE82">
            <w:pPr>
              <w:spacing w:line="400" w:lineRule="exact"/>
              <w:jc w:val="center"/>
              <w:rPr>
                <w:rFonts w:hint="eastAsia" w:ascii="宋体" w:hAnsi="宋体" w:cs="宋体"/>
                <w:color w:val="000000"/>
              </w:rPr>
            </w:pPr>
          </w:p>
        </w:tc>
        <w:tc>
          <w:tcPr>
            <w:tcW w:w="1002" w:type="pct"/>
            <w:vMerge w:val="continue"/>
            <w:shd w:val="clear" w:color="auto" w:fill="auto"/>
            <w:vAlign w:val="center"/>
          </w:tcPr>
          <w:p w14:paraId="3B19ADEB">
            <w:pPr>
              <w:spacing w:line="400" w:lineRule="exact"/>
              <w:jc w:val="center"/>
              <w:rPr>
                <w:rFonts w:hint="eastAsia" w:ascii="宋体" w:hAnsi="宋体" w:cs="宋体"/>
                <w:color w:val="000000"/>
              </w:rPr>
            </w:pPr>
          </w:p>
        </w:tc>
        <w:tc>
          <w:tcPr>
            <w:tcW w:w="3344" w:type="pct"/>
            <w:shd w:val="clear" w:color="auto" w:fill="auto"/>
            <w:vAlign w:val="center"/>
          </w:tcPr>
          <w:p w14:paraId="6331EF27">
            <w:pPr>
              <w:spacing w:line="400" w:lineRule="exact"/>
              <w:ind w:firstLine="420" w:firstLineChars="200"/>
              <w:rPr>
                <w:rFonts w:hint="eastAsia" w:ascii="宋体" w:hAnsi="宋体" w:cs="宋体"/>
                <w:color w:val="000000"/>
              </w:rPr>
            </w:pPr>
            <w:r>
              <w:rPr>
                <w:rFonts w:hint="eastAsia" w:ascii="宋体" w:hAnsi="宋体" w:cs="宋体"/>
                <w:color w:val="000000"/>
              </w:rPr>
              <w:t>比选申请人有以下情形之一的，其比选申请文件由评标委员会作否决投标处理：</w:t>
            </w:r>
          </w:p>
          <w:p w14:paraId="0DB0A2C2">
            <w:pPr>
              <w:spacing w:line="400" w:lineRule="exact"/>
              <w:ind w:firstLine="420" w:firstLineChars="200"/>
              <w:rPr>
                <w:rFonts w:hint="eastAsia" w:ascii="宋体" w:hAnsi="宋体" w:cs="宋体"/>
                <w:color w:val="000000"/>
              </w:rPr>
            </w:pPr>
            <w:r>
              <w:rPr>
                <w:rFonts w:hint="eastAsia" w:ascii="宋体" w:hAnsi="宋体" w:cs="宋体"/>
                <w:color w:val="000000"/>
              </w:rPr>
              <w:t>1.第二章“比选申请人须知”第1.4.3项规定的任何一种情形：</w:t>
            </w:r>
          </w:p>
          <w:p w14:paraId="4C609C0E">
            <w:pPr>
              <w:spacing w:line="400" w:lineRule="exact"/>
              <w:ind w:firstLine="420" w:firstLineChars="200"/>
              <w:rPr>
                <w:rFonts w:hint="eastAsia" w:ascii="宋体" w:hAnsi="宋体" w:cs="宋体"/>
                <w:color w:val="000000"/>
              </w:rPr>
            </w:pPr>
            <w:r>
              <w:rPr>
                <w:rFonts w:hint="eastAsia" w:ascii="宋体" w:hAnsi="宋体" w:cs="宋体"/>
                <w:color w:val="000000"/>
              </w:rPr>
              <w:t>（1）与比选人存在利害关系可能影响招标公正性的法人、其他组织或者个人；</w:t>
            </w:r>
          </w:p>
          <w:p w14:paraId="314FAC0A">
            <w:pPr>
              <w:spacing w:line="400" w:lineRule="exact"/>
              <w:ind w:firstLine="420" w:firstLineChars="200"/>
              <w:rPr>
                <w:rFonts w:hint="eastAsia" w:ascii="宋体" w:hAnsi="宋体" w:cs="宋体"/>
                <w:color w:val="000000"/>
              </w:rPr>
            </w:pPr>
            <w:r>
              <w:rPr>
                <w:rFonts w:hint="eastAsia" w:ascii="宋体" w:hAnsi="宋体" w:cs="宋体"/>
                <w:color w:val="000000"/>
              </w:rPr>
              <w:t>（2）为本标段前期准备提供设计或咨询服务的，但设计施工总承包的除外；</w:t>
            </w:r>
          </w:p>
          <w:p w14:paraId="5887C523">
            <w:pPr>
              <w:spacing w:line="400" w:lineRule="exact"/>
              <w:ind w:firstLine="420" w:firstLineChars="200"/>
              <w:rPr>
                <w:rFonts w:hint="eastAsia" w:ascii="宋体" w:hAnsi="宋体" w:cs="宋体"/>
                <w:color w:val="000000"/>
              </w:rPr>
            </w:pPr>
            <w:r>
              <w:rPr>
                <w:rFonts w:hint="eastAsia" w:ascii="宋体" w:hAnsi="宋体" w:cs="宋体"/>
                <w:color w:val="000000"/>
              </w:rPr>
              <w:t>（3）为本标段的监理人；</w:t>
            </w:r>
          </w:p>
          <w:p w14:paraId="6BA2B0D2">
            <w:pPr>
              <w:spacing w:line="400" w:lineRule="exact"/>
              <w:ind w:firstLine="420" w:firstLineChars="200"/>
              <w:rPr>
                <w:rFonts w:hint="eastAsia" w:ascii="宋体" w:hAnsi="宋体" w:cs="宋体"/>
                <w:color w:val="000000"/>
              </w:rPr>
            </w:pPr>
            <w:r>
              <w:rPr>
                <w:rFonts w:hint="eastAsia" w:ascii="宋体" w:hAnsi="宋体" w:cs="宋体"/>
                <w:color w:val="000000"/>
              </w:rPr>
              <w:t>（4）为本标段的代建人；</w:t>
            </w:r>
          </w:p>
          <w:p w14:paraId="5B6651B6">
            <w:pPr>
              <w:spacing w:line="400" w:lineRule="exact"/>
              <w:ind w:firstLine="420" w:firstLineChars="200"/>
              <w:rPr>
                <w:rFonts w:hint="eastAsia" w:ascii="宋体" w:hAnsi="宋体" w:cs="宋体"/>
                <w:color w:val="000000"/>
              </w:rPr>
            </w:pPr>
            <w:r>
              <w:rPr>
                <w:rFonts w:hint="eastAsia" w:ascii="宋体" w:hAnsi="宋体" w:cs="宋体"/>
                <w:color w:val="000000"/>
              </w:rPr>
              <w:t>（5）为本标段提供招标代理服务的；</w:t>
            </w:r>
          </w:p>
          <w:p w14:paraId="7F59A2D5">
            <w:pPr>
              <w:spacing w:line="400" w:lineRule="exact"/>
              <w:ind w:firstLine="420" w:firstLineChars="200"/>
              <w:rPr>
                <w:rFonts w:hint="eastAsia" w:ascii="宋体" w:hAnsi="宋体" w:cs="宋体"/>
                <w:color w:val="000000"/>
              </w:rPr>
            </w:pPr>
            <w:r>
              <w:rPr>
                <w:rFonts w:hint="eastAsia" w:ascii="宋体" w:hAnsi="宋体" w:cs="宋体"/>
                <w:color w:val="000000"/>
              </w:rPr>
              <w:t>（6）与本标段的监理人或代建人或招标代理机构同为一个法定代表人的；</w:t>
            </w:r>
          </w:p>
          <w:p w14:paraId="2CC8BEEA">
            <w:pPr>
              <w:spacing w:line="400" w:lineRule="exact"/>
              <w:ind w:firstLine="420" w:firstLineChars="200"/>
              <w:rPr>
                <w:rFonts w:hint="eastAsia" w:ascii="宋体" w:hAnsi="宋体" w:cs="宋体"/>
                <w:color w:val="000000"/>
              </w:rPr>
            </w:pPr>
            <w:r>
              <w:rPr>
                <w:rFonts w:hint="eastAsia" w:ascii="宋体" w:hAnsi="宋体" w:cs="宋体"/>
                <w:color w:val="000000"/>
              </w:rPr>
              <w:t>（7）与本标段的监理人或代建人或招标代理机构相互控股或参股的；</w:t>
            </w:r>
          </w:p>
          <w:p w14:paraId="2C50E276">
            <w:pPr>
              <w:spacing w:line="400" w:lineRule="exact"/>
              <w:ind w:firstLine="420" w:firstLineChars="200"/>
              <w:rPr>
                <w:rFonts w:hint="eastAsia" w:ascii="宋体" w:hAnsi="宋体" w:cs="宋体"/>
                <w:color w:val="000000"/>
              </w:rPr>
            </w:pPr>
            <w:r>
              <w:rPr>
                <w:rFonts w:hint="eastAsia" w:ascii="宋体" w:hAnsi="宋体" w:cs="宋体"/>
                <w:color w:val="000000"/>
              </w:rPr>
              <w:t>（8）与本标段的监理人或代建人或招标代理机构相互任职或工作的；</w:t>
            </w:r>
          </w:p>
          <w:p w14:paraId="360C9F56">
            <w:pPr>
              <w:spacing w:line="400" w:lineRule="exact"/>
              <w:ind w:firstLine="420" w:firstLineChars="200"/>
              <w:rPr>
                <w:rFonts w:hint="eastAsia" w:ascii="宋体" w:hAnsi="宋体" w:cs="宋体"/>
                <w:color w:val="000000"/>
              </w:rPr>
            </w:pPr>
            <w:r>
              <w:rPr>
                <w:rFonts w:hint="eastAsia" w:ascii="宋体" w:hAnsi="宋体" w:cs="宋体"/>
                <w:color w:val="000000"/>
              </w:rPr>
              <w:t>（9）被责令停业的；</w:t>
            </w:r>
          </w:p>
          <w:p w14:paraId="1D49713F">
            <w:pPr>
              <w:spacing w:line="400" w:lineRule="exact"/>
              <w:ind w:firstLine="420" w:firstLineChars="200"/>
              <w:rPr>
                <w:rFonts w:hint="eastAsia" w:ascii="宋体" w:hAnsi="宋体" w:cs="宋体"/>
                <w:color w:val="000000"/>
              </w:rPr>
            </w:pPr>
            <w:r>
              <w:rPr>
                <w:rFonts w:hint="eastAsia" w:ascii="宋体" w:hAnsi="宋体" w:cs="宋体"/>
                <w:color w:val="000000"/>
              </w:rPr>
              <w:t>（10）被暂停或取消投标资格的；</w:t>
            </w:r>
          </w:p>
          <w:p w14:paraId="258A50E9">
            <w:pPr>
              <w:spacing w:line="400" w:lineRule="exact"/>
              <w:ind w:firstLine="420" w:firstLineChars="200"/>
              <w:rPr>
                <w:rFonts w:hint="eastAsia" w:ascii="宋体" w:hAnsi="宋体" w:cs="宋体"/>
                <w:color w:val="000000"/>
              </w:rPr>
            </w:pPr>
            <w:r>
              <w:rPr>
                <w:rFonts w:hint="eastAsia" w:ascii="宋体" w:hAnsi="宋体" w:cs="宋体"/>
                <w:color w:val="000000"/>
              </w:rPr>
              <w:t>（11）财产被接管或冻结的；</w:t>
            </w:r>
          </w:p>
          <w:p w14:paraId="464EB803">
            <w:pPr>
              <w:spacing w:line="400" w:lineRule="exact"/>
              <w:ind w:firstLine="420" w:firstLineChars="200"/>
              <w:rPr>
                <w:rFonts w:hint="eastAsia" w:ascii="宋体" w:hAnsi="宋体" w:cs="宋体"/>
                <w:color w:val="000000"/>
              </w:rPr>
            </w:pPr>
            <w:r>
              <w:rPr>
                <w:rFonts w:hint="eastAsia" w:ascii="宋体" w:hAnsi="宋体" w:cs="宋体"/>
                <w:color w:val="000000"/>
              </w:rPr>
              <w:t>（12）单位负责人为同一人或者存在控股、管理关系的不同单位，不得在同一标段中同时投标。</w:t>
            </w:r>
          </w:p>
          <w:p w14:paraId="54F61BDD">
            <w:pPr>
              <w:spacing w:line="400" w:lineRule="exact"/>
              <w:ind w:firstLine="420" w:firstLineChars="200"/>
              <w:rPr>
                <w:rFonts w:hint="eastAsia" w:ascii="宋体" w:hAnsi="宋体" w:cs="宋体"/>
                <w:color w:val="000000"/>
              </w:rPr>
            </w:pPr>
            <w:r>
              <w:rPr>
                <w:rFonts w:hint="eastAsia" w:ascii="宋体" w:hAnsi="宋体" w:cs="宋体"/>
                <w:color w:val="000000"/>
              </w:rPr>
              <w:t>2.不按评标委员会要求澄清、说明或补正的。</w:t>
            </w:r>
          </w:p>
        </w:tc>
      </w:tr>
      <w:tr w14:paraId="229D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shd w:val="clear" w:color="auto" w:fill="auto"/>
            <w:vAlign w:val="center"/>
          </w:tcPr>
          <w:p w14:paraId="58A534F8">
            <w:pPr>
              <w:spacing w:line="400" w:lineRule="exact"/>
              <w:jc w:val="center"/>
              <w:rPr>
                <w:rFonts w:hint="eastAsia" w:ascii="宋体" w:hAnsi="宋体" w:cs="宋体"/>
                <w:color w:val="000000"/>
              </w:rPr>
            </w:pPr>
            <w:r>
              <w:rPr>
                <w:rFonts w:hint="eastAsia" w:ascii="宋体" w:hAnsi="宋体" w:cs="宋体"/>
                <w:color w:val="000000"/>
              </w:rPr>
              <w:t>其他</w:t>
            </w:r>
          </w:p>
        </w:tc>
        <w:tc>
          <w:tcPr>
            <w:tcW w:w="1002" w:type="pct"/>
            <w:shd w:val="clear" w:color="auto" w:fill="auto"/>
            <w:vAlign w:val="center"/>
          </w:tcPr>
          <w:p w14:paraId="54EDFBB7">
            <w:pPr>
              <w:spacing w:line="400" w:lineRule="exact"/>
              <w:jc w:val="center"/>
              <w:rPr>
                <w:rFonts w:hint="eastAsia" w:ascii="宋体" w:hAnsi="宋体" w:cs="宋体"/>
                <w:color w:val="000000"/>
              </w:rPr>
            </w:pPr>
          </w:p>
        </w:tc>
        <w:tc>
          <w:tcPr>
            <w:tcW w:w="3344" w:type="pct"/>
            <w:shd w:val="clear" w:color="auto" w:fill="auto"/>
          </w:tcPr>
          <w:p w14:paraId="48DE76D1">
            <w:pPr>
              <w:spacing w:line="400" w:lineRule="exact"/>
              <w:ind w:firstLine="420" w:firstLineChars="200"/>
              <w:rPr>
                <w:rFonts w:hint="eastAsia" w:ascii="宋体" w:hAnsi="宋体" w:cs="宋体"/>
                <w:color w:val="000000"/>
              </w:rPr>
            </w:pPr>
            <w:r>
              <w:rPr>
                <w:rFonts w:hint="eastAsia" w:ascii="宋体" w:hAnsi="宋体" w:cs="宋体"/>
                <w:color w:val="000000"/>
              </w:rPr>
              <w:t>1.投标报价需要修正的，以电话通知比选申请人算起，比选申请人应在30分钟内书面确认，否则，其投标由评标委员会作否决投标处理。</w:t>
            </w:r>
          </w:p>
          <w:p w14:paraId="198119E1">
            <w:pPr>
              <w:spacing w:line="400" w:lineRule="exact"/>
              <w:ind w:firstLine="420" w:firstLineChars="200"/>
              <w:rPr>
                <w:rFonts w:hint="eastAsia" w:ascii="宋体" w:hAnsi="宋体" w:cs="宋体"/>
                <w:color w:val="000000"/>
              </w:rPr>
            </w:pPr>
            <w:r>
              <w:rPr>
                <w:rFonts w:hint="eastAsia" w:ascii="宋体" w:hAnsi="宋体" w:cs="宋体"/>
                <w:color w:val="000000"/>
              </w:rPr>
              <w:t>2.投标函及投标函附录中必须填报项目经理姓名、且填报的项目经理必须与资格审查资料中的一致，否则，其投标由评标委员会作否决投标处理。</w:t>
            </w:r>
          </w:p>
          <w:p w14:paraId="08CA7A13">
            <w:pPr>
              <w:spacing w:line="400" w:lineRule="exact"/>
              <w:ind w:firstLine="420" w:firstLineChars="200"/>
              <w:rPr>
                <w:rFonts w:hint="eastAsia" w:ascii="宋体" w:hAnsi="宋体" w:cs="宋体"/>
                <w:color w:val="000000"/>
              </w:rPr>
            </w:pPr>
            <w:r>
              <w:rPr>
                <w:rFonts w:hint="eastAsia" w:ascii="宋体" w:hAnsi="宋体" w:cs="宋体"/>
                <w:color w:val="000000"/>
              </w:rPr>
              <w:t>3.投标函中必须填报法定代表人或委托代理人姓名、且填报的姓名必须与资格审查资料中的一致，否则，其投标由评标委员会作否决投标处理。</w:t>
            </w:r>
          </w:p>
          <w:p w14:paraId="5AB9DA41">
            <w:pPr>
              <w:spacing w:line="400" w:lineRule="exact"/>
              <w:ind w:firstLine="420" w:firstLineChars="200"/>
              <w:rPr>
                <w:rFonts w:hint="eastAsia" w:ascii="宋体" w:hAnsi="宋体" w:cs="宋体"/>
                <w:color w:val="000000"/>
              </w:rPr>
            </w:pPr>
            <w:r>
              <w:rPr>
                <w:rFonts w:hint="eastAsia" w:ascii="宋体" w:hAnsi="宋体" w:cs="宋体"/>
                <w:color w:val="000000"/>
              </w:rPr>
              <w:t>4.投标函中必须填报项目经理和法定代表人（或委托代理人）身份证号码，且填报的身份证号码必须与资格审查资料中的一致，否则，其投标由评标委员会作否决投标处理。</w:t>
            </w:r>
          </w:p>
          <w:p w14:paraId="26F6E806">
            <w:pPr>
              <w:spacing w:line="400" w:lineRule="exact"/>
              <w:ind w:firstLine="420" w:firstLineChars="200"/>
              <w:rPr>
                <w:rFonts w:hint="eastAsia" w:ascii="宋体" w:hAnsi="宋体" w:cs="宋体"/>
                <w:color w:val="000000"/>
              </w:rPr>
            </w:pPr>
            <w:r>
              <w:rPr>
                <w:rFonts w:hint="eastAsia" w:ascii="宋体" w:hAnsi="宋体" w:cs="宋体"/>
                <w:color w:val="000000"/>
              </w:rPr>
              <w:t>5.比选申请文件关键内容字迹模糊、无法辨认的。</w:t>
            </w:r>
          </w:p>
          <w:p w14:paraId="6930040C">
            <w:pPr>
              <w:spacing w:line="400" w:lineRule="exact"/>
              <w:ind w:firstLine="420" w:firstLineChars="200"/>
              <w:rPr>
                <w:rFonts w:hint="eastAsia" w:ascii="宋体" w:hAnsi="宋体" w:cs="宋体"/>
                <w:color w:val="000000"/>
              </w:rPr>
            </w:pPr>
            <w:r>
              <w:rPr>
                <w:rFonts w:hint="eastAsia" w:ascii="宋体" w:hAnsi="宋体" w:cs="宋体"/>
                <w:color w:val="000000"/>
              </w:rPr>
              <w:t>6.补遗、答疑为比选文件的组成部分，未作响应的则其比选申请文件将被否决。</w:t>
            </w:r>
          </w:p>
          <w:p w14:paraId="72182057">
            <w:pPr>
              <w:spacing w:line="400" w:lineRule="exact"/>
              <w:ind w:firstLine="420" w:firstLineChars="200"/>
              <w:rPr>
                <w:rFonts w:hint="eastAsia" w:ascii="宋体" w:hAnsi="宋体" w:cs="宋体"/>
                <w:color w:val="000000"/>
              </w:rPr>
            </w:pPr>
            <w:r>
              <w:rPr>
                <w:rFonts w:hint="eastAsia" w:ascii="宋体" w:hAnsi="宋体" w:cs="宋体"/>
                <w:color w:val="000000"/>
              </w:rPr>
              <w:t>7.比选申请文件中约定的其他废标情形。</w:t>
            </w:r>
          </w:p>
        </w:tc>
      </w:tr>
    </w:tbl>
    <w:p w14:paraId="13B3B0F4">
      <w:pPr>
        <w:rPr>
          <w:rFonts w:hint="eastAsia" w:ascii="宋体" w:hAnsi="宋体" w:cs="宋体"/>
        </w:rPr>
      </w:pPr>
    </w:p>
    <w:p w14:paraId="6F984738">
      <w:pPr>
        <w:rPr>
          <w:rFonts w:hint="eastAsia" w:ascii="宋体" w:hAnsi="宋体" w:cs="宋体"/>
        </w:rPr>
      </w:pPr>
    </w:p>
    <w:p w14:paraId="3FF13398">
      <w:pPr>
        <w:jc w:val="center"/>
        <w:rPr>
          <w:rFonts w:hint="eastAsia" w:ascii="宋体" w:hAnsi="宋体" w:cs="宋体"/>
          <w:sz w:val="44"/>
          <w:szCs w:val="44"/>
        </w:rPr>
      </w:pPr>
      <w:r>
        <w:rPr>
          <w:rFonts w:hint="eastAsia" w:ascii="宋体" w:hAnsi="宋体" w:cs="宋体"/>
        </w:rPr>
        <w:br w:type="page"/>
      </w:r>
      <w:bookmarkStart w:id="451" w:name="_Toc22375629"/>
      <w:bookmarkStart w:id="452" w:name="_Toc813"/>
      <w:bookmarkStart w:id="453" w:name="_Toc22990071"/>
      <w:r>
        <w:rPr>
          <w:rFonts w:hint="eastAsia" w:ascii="宋体" w:hAnsi="宋体" w:cs="宋体"/>
          <w:b/>
          <w:kern w:val="0"/>
          <w:sz w:val="44"/>
          <w:szCs w:val="44"/>
        </w:rPr>
        <w:t>第四章  合同条款及格式</w:t>
      </w:r>
      <w:bookmarkEnd w:id="451"/>
      <w:bookmarkEnd w:id="452"/>
      <w:bookmarkEnd w:id="453"/>
    </w:p>
    <w:p w14:paraId="235518A0">
      <w:pPr>
        <w:jc w:val="left"/>
        <w:rPr>
          <w:rFonts w:hint="eastAsia" w:ascii="宋体" w:hAnsi="宋体" w:cs="宋体"/>
          <w:bCs/>
          <w:sz w:val="32"/>
          <w:szCs w:val="32"/>
        </w:rPr>
      </w:pPr>
      <w:r>
        <w:rPr>
          <w:rFonts w:hint="eastAsia" w:ascii="宋体" w:hAnsi="宋体" w:cs="宋体"/>
        </w:rPr>
        <w:br w:type="page"/>
      </w:r>
      <w:bookmarkStart w:id="454" w:name="招标文件05章工程量清单"/>
      <w:bookmarkEnd w:id="454"/>
      <w:bookmarkStart w:id="455" w:name="_Toc351203480"/>
      <w:bookmarkStart w:id="456" w:name="_Toc296890982"/>
      <w:bookmarkStart w:id="457" w:name="_Toc296503025"/>
      <w:bookmarkStart w:id="458" w:name="_Toc22990072"/>
      <w:bookmarkStart w:id="459" w:name="_Toc22375651"/>
    </w:p>
    <w:bookmarkEnd w:id="455"/>
    <w:bookmarkEnd w:id="456"/>
    <w:bookmarkEnd w:id="457"/>
    <w:p w14:paraId="450F0B63">
      <w:pPr>
        <w:spacing w:line="480" w:lineRule="auto"/>
        <w:jc w:val="center"/>
        <w:rPr>
          <w:rFonts w:hint="eastAsia" w:ascii="方正仿宋_GB18030" w:hAnsi="方正仿宋_GB18030" w:eastAsia="方正仿宋_GB18030" w:cs="方正仿宋_GB18030"/>
          <w:b/>
          <w:kern w:val="44"/>
          <w:sz w:val="72"/>
          <w:szCs w:val="72"/>
          <w:highlight w:val="none"/>
        </w:rPr>
      </w:pPr>
    </w:p>
    <w:p w14:paraId="234DDE0E">
      <w:pPr>
        <w:pageBreakBefore w:val="0"/>
        <w:kinsoku/>
        <w:wordWrap/>
        <w:overflowPunct/>
        <w:topLinePunct w:val="0"/>
        <w:bidi w:val="0"/>
        <w:spacing w:line="440" w:lineRule="exact"/>
        <w:rPr>
          <w:rFonts w:hint="eastAsia" w:ascii="方正仿宋_GB18030" w:hAnsi="方正仿宋_GB18030" w:eastAsia="方正仿宋_GB18030" w:cs="方正仿宋_GB18030"/>
          <w:sz w:val="24"/>
          <w:szCs w:val="24"/>
          <w:highlight w:val="none"/>
          <w:u w:val="none"/>
        </w:rPr>
      </w:pPr>
    </w:p>
    <w:p w14:paraId="770CE40E">
      <w:pPr>
        <w:spacing w:line="440" w:lineRule="exact"/>
        <w:jc w:val="center"/>
        <w:rPr>
          <w:rFonts w:hint="eastAsia" w:ascii="方正仿宋_GB18030" w:hAnsi="方正仿宋_GB18030" w:eastAsia="方正仿宋_GB18030" w:cs="方正仿宋_GB18030"/>
          <w:b/>
          <w:sz w:val="52"/>
          <w:szCs w:val="52"/>
          <w:lang w:val="en-US" w:eastAsia="zh-CN"/>
        </w:rPr>
      </w:pPr>
    </w:p>
    <w:p w14:paraId="7C5F7F98">
      <w:pPr>
        <w:spacing w:line="480" w:lineRule="auto"/>
        <w:jc w:val="center"/>
        <w:rPr>
          <w:rFonts w:hint="eastAsia" w:ascii="方正仿宋_GB18030" w:hAnsi="方正仿宋_GB18030" w:eastAsia="方正仿宋_GB18030" w:cs="方正仿宋_GB18030"/>
          <w:b/>
          <w:kern w:val="44"/>
          <w:sz w:val="72"/>
          <w:szCs w:val="72"/>
        </w:rPr>
      </w:pPr>
      <w:r>
        <w:rPr>
          <w:rFonts w:hint="eastAsia" w:ascii="方正仿宋_GB18030" w:hAnsi="方正仿宋_GB18030" w:eastAsia="方正仿宋_GB18030" w:cs="方正仿宋_GB18030"/>
          <w:b/>
          <w:kern w:val="44"/>
          <w:sz w:val="72"/>
          <w:szCs w:val="72"/>
        </w:rPr>
        <w:t>施</w:t>
      </w:r>
    </w:p>
    <w:p w14:paraId="77FF5682">
      <w:pPr>
        <w:spacing w:line="480" w:lineRule="auto"/>
        <w:jc w:val="center"/>
        <w:rPr>
          <w:rFonts w:hint="eastAsia" w:ascii="方正仿宋_GB18030" w:hAnsi="方正仿宋_GB18030" w:eastAsia="方正仿宋_GB18030" w:cs="方正仿宋_GB18030"/>
          <w:b/>
          <w:kern w:val="44"/>
          <w:sz w:val="72"/>
          <w:szCs w:val="72"/>
        </w:rPr>
      </w:pPr>
    </w:p>
    <w:p w14:paraId="6C64730B">
      <w:pPr>
        <w:spacing w:line="480" w:lineRule="auto"/>
        <w:jc w:val="center"/>
        <w:rPr>
          <w:rFonts w:hint="eastAsia" w:ascii="方正仿宋_GB18030" w:hAnsi="方正仿宋_GB18030" w:eastAsia="方正仿宋_GB18030" w:cs="方正仿宋_GB18030"/>
          <w:b/>
          <w:kern w:val="44"/>
          <w:sz w:val="72"/>
          <w:szCs w:val="72"/>
        </w:rPr>
      </w:pPr>
      <w:r>
        <w:rPr>
          <w:rFonts w:hint="eastAsia" w:ascii="方正仿宋_GB18030" w:hAnsi="方正仿宋_GB18030" w:eastAsia="方正仿宋_GB18030" w:cs="方正仿宋_GB18030"/>
          <w:b/>
          <w:kern w:val="44"/>
          <w:sz w:val="72"/>
          <w:szCs w:val="72"/>
        </w:rPr>
        <w:t>工</w:t>
      </w:r>
    </w:p>
    <w:p w14:paraId="1FCC7440">
      <w:pPr>
        <w:spacing w:line="480" w:lineRule="auto"/>
        <w:jc w:val="center"/>
        <w:rPr>
          <w:rFonts w:hint="eastAsia" w:ascii="方正仿宋_GB18030" w:hAnsi="方正仿宋_GB18030" w:eastAsia="方正仿宋_GB18030" w:cs="方正仿宋_GB18030"/>
          <w:b/>
          <w:kern w:val="44"/>
          <w:sz w:val="72"/>
          <w:szCs w:val="72"/>
        </w:rPr>
      </w:pPr>
    </w:p>
    <w:p w14:paraId="4A4BD0F0">
      <w:pPr>
        <w:spacing w:line="480" w:lineRule="auto"/>
        <w:jc w:val="center"/>
        <w:rPr>
          <w:rFonts w:hint="eastAsia" w:ascii="方正仿宋_GB18030" w:hAnsi="方正仿宋_GB18030" w:eastAsia="方正仿宋_GB18030" w:cs="方正仿宋_GB18030"/>
          <w:b/>
          <w:kern w:val="44"/>
          <w:sz w:val="72"/>
          <w:szCs w:val="72"/>
        </w:rPr>
      </w:pPr>
      <w:r>
        <w:rPr>
          <w:rFonts w:hint="eastAsia" w:ascii="方正仿宋_GB18030" w:hAnsi="方正仿宋_GB18030" w:eastAsia="方正仿宋_GB18030" w:cs="方正仿宋_GB18030"/>
          <w:b/>
          <w:kern w:val="44"/>
          <w:sz w:val="72"/>
          <w:szCs w:val="72"/>
        </w:rPr>
        <w:t>合</w:t>
      </w:r>
    </w:p>
    <w:p w14:paraId="468E234F">
      <w:pPr>
        <w:spacing w:line="480" w:lineRule="auto"/>
        <w:jc w:val="center"/>
        <w:rPr>
          <w:rFonts w:hint="eastAsia" w:ascii="方正仿宋_GB18030" w:hAnsi="方正仿宋_GB18030" w:eastAsia="方正仿宋_GB18030" w:cs="方正仿宋_GB18030"/>
          <w:b/>
          <w:kern w:val="44"/>
          <w:sz w:val="72"/>
          <w:szCs w:val="72"/>
        </w:rPr>
      </w:pPr>
    </w:p>
    <w:p w14:paraId="03E84DA0">
      <w:pPr>
        <w:spacing w:line="480" w:lineRule="auto"/>
        <w:jc w:val="center"/>
        <w:rPr>
          <w:rFonts w:hint="eastAsia" w:ascii="方正仿宋_GB18030" w:hAnsi="方正仿宋_GB18030" w:eastAsia="方正仿宋_GB18030" w:cs="方正仿宋_GB18030"/>
          <w:b/>
          <w:kern w:val="44"/>
          <w:sz w:val="72"/>
          <w:szCs w:val="72"/>
        </w:rPr>
      </w:pPr>
      <w:r>
        <w:rPr>
          <w:rFonts w:hint="eastAsia" w:ascii="方正仿宋_GB18030" w:hAnsi="方正仿宋_GB18030" w:eastAsia="方正仿宋_GB18030" w:cs="方正仿宋_GB18030"/>
          <w:b/>
          <w:kern w:val="44"/>
          <w:sz w:val="72"/>
          <w:szCs w:val="72"/>
        </w:rPr>
        <w:t>同</w:t>
      </w:r>
    </w:p>
    <w:p w14:paraId="2DFF14C8">
      <w:pPr>
        <w:spacing w:line="480" w:lineRule="auto"/>
        <w:jc w:val="center"/>
        <w:rPr>
          <w:rFonts w:hint="eastAsia" w:ascii="方正仿宋_GB18030" w:hAnsi="方正仿宋_GB18030" w:eastAsia="方正仿宋_GB18030" w:cs="方正仿宋_GB18030"/>
          <w:sz w:val="24"/>
        </w:rPr>
      </w:pPr>
      <w:r>
        <w:rPr>
          <w:rFonts w:hint="eastAsia" w:ascii="方正仿宋_GB18030" w:hAnsi="方正仿宋_GB18030" w:eastAsia="方正仿宋_GB18030" w:cs="方正仿宋_GB18030"/>
          <w:b/>
          <w:kern w:val="44"/>
          <w:sz w:val="24"/>
          <w:szCs w:val="24"/>
        </w:rPr>
        <w:t xml:space="preserve">  </w:t>
      </w:r>
      <w:r>
        <w:rPr>
          <w:rFonts w:hint="eastAsia" w:ascii="方正仿宋_GB18030" w:hAnsi="方正仿宋_GB18030" w:eastAsia="方正仿宋_GB18030" w:cs="方正仿宋_GB18030"/>
          <w:b/>
          <w:sz w:val="24"/>
          <w:szCs w:val="24"/>
        </w:rPr>
        <w:t xml:space="preserve">                                                                                                                                                                                                                                </w:t>
      </w:r>
    </w:p>
    <w:p w14:paraId="20CE5DF1">
      <w:pPr>
        <w:spacing w:line="480" w:lineRule="auto"/>
        <w:ind w:firstLine="1760" w:firstLineChars="550"/>
        <w:rPr>
          <w:rFonts w:hint="eastAsia" w:ascii="方正仿宋_GB18030" w:hAnsi="方正仿宋_GB18030" w:eastAsia="方正仿宋_GB18030" w:cs="方正仿宋_GB18030"/>
          <w:bCs/>
          <w:sz w:val="32"/>
          <w:szCs w:val="32"/>
        </w:rPr>
      </w:pPr>
      <w:r>
        <w:rPr>
          <w:rFonts w:hint="eastAsia" w:ascii="方正仿宋_GB18030" w:hAnsi="方正仿宋_GB18030" w:eastAsia="方正仿宋_GB18030" w:cs="方正仿宋_GB18030"/>
          <w:bCs/>
          <w:sz w:val="32"/>
          <w:szCs w:val="32"/>
        </w:rPr>
        <w:t>发包人：</w:t>
      </w:r>
    </w:p>
    <w:p w14:paraId="2FD10DA8">
      <w:pPr>
        <w:spacing w:line="480" w:lineRule="auto"/>
        <w:ind w:firstLine="1760" w:firstLineChars="550"/>
        <w:rPr>
          <w:rFonts w:hint="eastAsia" w:ascii="方正仿宋_GB18030" w:hAnsi="方正仿宋_GB18030" w:eastAsia="方正仿宋_GB18030" w:cs="方正仿宋_GB18030"/>
          <w:bCs/>
          <w:sz w:val="32"/>
          <w:szCs w:val="32"/>
        </w:rPr>
      </w:pPr>
      <w:r>
        <w:rPr>
          <w:rFonts w:hint="eastAsia" w:ascii="方正仿宋_GB18030" w:hAnsi="方正仿宋_GB18030" w:eastAsia="方正仿宋_GB18030" w:cs="方正仿宋_GB18030"/>
          <w:bCs/>
          <w:sz w:val="32"/>
          <w:szCs w:val="32"/>
        </w:rPr>
        <w:t>承包人：</w:t>
      </w:r>
    </w:p>
    <w:p w14:paraId="6D53903D">
      <w:pPr>
        <w:pStyle w:val="2"/>
        <w:spacing w:line="440" w:lineRule="exact"/>
        <w:jc w:val="center"/>
        <w:rPr>
          <w:rFonts w:hint="eastAsia" w:ascii="方正仿宋_GB18030" w:hAnsi="方正仿宋_GB18030" w:eastAsia="方正仿宋_GB18030" w:cs="方正仿宋_GB18030"/>
          <w:sz w:val="24"/>
          <w:szCs w:val="24"/>
        </w:rPr>
      </w:pPr>
    </w:p>
    <w:p w14:paraId="657EBEC9">
      <w:pPr>
        <w:pStyle w:val="2"/>
        <w:spacing w:line="440" w:lineRule="exact"/>
        <w:jc w:val="center"/>
        <w:rPr>
          <w:rFonts w:hint="eastAsia" w:ascii="方正仿宋_GB18030" w:hAnsi="方正仿宋_GB18030" w:eastAsia="方正仿宋_GB18030" w:cs="方正仿宋_GB18030"/>
          <w:sz w:val="24"/>
          <w:szCs w:val="24"/>
        </w:rPr>
      </w:pPr>
    </w:p>
    <w:p w14:paraId="66996749">
      <w:pPr>
        <w:pStyle w:val="2"/>
        <w:spacing w:line="440" w:lineRule="exact"/>
        <w:jc w:val="center"/>
        <w:rPr>
          <w:rFonts w:hint="eastAsia" w:ascii="方正仿宋_GB18030" w:hAnsi="方正仿宋_GB18030" w:eastAsia="方正仿宋_GB18030" w:cs="方正仿宋_GB18030"/>
          <w:b w:val="0"/>
          <w:color w:val="000000"/>
          <w:sz w:val="24"/>
          <w:szCs w:val="24"/>
        </w:rPr>
      </w:pPr>
      <w:r>
        <w:rPr>
          <w:rFonts w:hint="eastAsia" w:ascii="方正仿宋_GB18030" w:hAnsi="方正仿宋_GB18030" w:eastAsia="方正仿宋_GB18030" w:cs="方正仿宋_GB18030"/>
          <w:sz w:val="24"/>
          <w:szCs w:val="24"/>
        </w:rPr>
        <w:t xml:space="preserve"> 合同协议书</w:t>
      </w:r>
    </w:p>
    <w:p w14:paraId="77D4698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lang w:val="en-US" w:eastAsia="zh-CN"/>
        </w:rPr>
      </w:pPr>
      <w:r>
        <w:rPr>
          <w:rFonts w:hint="eastAsia" w:ascii="方正仿宋_GB18030" w:hAnsi="方正仿宋_GB18030" w:eastAsia="方正仿宋_GB18030" w:cs="方正仿宋_GB18030"/>
          <w:color w:val="000000"/>
          <w:kern w:val="0"/>
          <w:sz w:val="24"/>
          <w:szCs w:val="24"/>
        </w:rPr>
        <w:t>发包人（全称）：</w:t>
      </w:r>
      <w:r>
        <w:rPr>
          <w:rFonts w:hint="eastAsia" w:ascii="方正仿宋_GB18030" w:hAnsi="方正仿宋_GB18030" w:eastAsia="方正仿宋_GB18030" w:cs="方正仿宋_GB18030"/>
          <w:color w:val="000000"/>
          <w:kern w:val="0"/>
          <w:sz w:val="24"/>
          <w:szCs w:val="24"/>
          <w:u w:val="single"/>
          <w:lang w:val="en-US" w:eastAsia="zh-CN"/>
        </w:rPr>
        <w:t xml:space="preserve"> </w:t>
      </w:r>
    </w:p>
    <w:p w14:paraId="0C11D20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承包人（全称）：</w:t>
      </w:r>
    </w:p>
    <w:p w14:paraId="5446914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根据《中华人民共和国民法典》、《中华人民共和国建筑法》及有关法律规定，遵循平等、自愿、公平和诚实信用的原则，双方就</w:t>
      </w:r>
      <w:r>
        <w:rPr>
          <w:rFonts w:hint="eastAsia" w:ascii="方正仿宋_GB18030" w:hAnsi="方正仿宋_GB18030" w:eastAsia="方正仿宋_GB18030" w:cs="方正仿宋_GB1803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有关事项协商一致，共同达成如下协议：</w:t>
      </w:r>
    </w:p>
    <w:p w14:paraId="57B8EFA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460" w:name="_Toc351203481"/>
      <w:r>
        <w:rPr>
          <w:rFonts w:hint="eastAsia" w:ascii="方正仿宋_GB18030" w:hAnsi="方正仿宋_GB18030" w:eastAsia="方正仿宋_GB18030" w:cs="方正仿宋_GB18030"/>
          <w:color w:val="000000"/>
          <w:kern w:val="0"/>
          <w:sz w:val="24"/>
          <w:szCs w:val="24"/>
        </w:rPr>
        <w:t>一、工程概况</w:t>
      </w:r>
      <w:bookmarkEnd w:id="460"/>
    </w:p>
    <w:p w14:paraId="2FE5A8B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1.工程名称：</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w:t>
      </w:r>
    </w:p>
    <w:p w14:paraId="325104C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2.工程地点：</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w:t>
      </w:r>
    </w:p>
    <w:p w14:paraId="01034E4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3.工程立项批准文号：</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7750205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4.资金来源：</w:t>
      </w:r>
      <w:r>
        <w:rPr>
          <w:rFonts w:hint="eastAsia" w:ascii="方正仿宋_GB18030" w:hAnsi="方正仿宋_GB18030" w:eastAsia="方正仿宋_GB18030" w:cs="方正仿宋_GB18030"/>
          <w:color w:val="000000"/>
          <w:kern w:val="0"/>
          <w:sz w:val="24"/>
          <w:szCs w:val="24"/>
          <w:u w:val="single"/>
        </w:rPr>
        <w:t>业主自筹</w:t>
      </w:r>
      <w:r>
        <w:rPr>
          <w:rFonts w:hint="eastAsia" w:ascii="方正仿宋_GB18030" w:hAnsi="方正仿宋_GB18030" w:eastAsia="方正仿宋_GB18030" w:cs="方正仿宋_GB18030"/>
          <w:color w:val="000000"/>
          <w:kern w:val="0"/>
          <w:sz w:val="24"/>
          <w:szCs w:val="24"/>
        </w:rPr>
        <w:t>。</w:t>
      </w:r>
    </w:p>
    <w:p w14:paraId="72883621">
      <w:pPr>
        <w:widowControl/>
        <w:spacing w:line="440" w:lineRule="exact"/>
        <w:ind w:firstLine="470" w:firstLineChars="196"/>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5.工程内容：</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w:t>
      </w:r>
    </w:p>
    <w:p w14:paraId="27B2362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rPr>
        <w:t>6.工程承包范围：</w:t>
      </w:r>
      <w:r>
        <w:rPr>
          <w:rFonts w:hint="eastAsia" w:ascii="方正仿宋_GB18030" w:hAnsi="方正仿宋_GB18030" w:eastAsia="方正仿宋_GB18030" w:cs="方正仿宋_GB18030"/>
          <w:color w:val="000000"/>
          <w:kern w:val="0"/>
          <w:sz w:val="24"/>
          <w:szCs w:val="24"/>
          <w:u w:val="single"/>
        </w:rPr>
        <w:t>具体以发包人工程量清单、设计变更为准</w:t>
      </w:r>
      <w:r>
        <w:rPr>
          <w:rFonts w:hint="eastAsia" w:ascii="方正仿宋_GB18030" w:hAnsi="方正仿宋_GB18030" w:eastAsia="方正仿宋_GB18030" w:cs="方正仿宋_GB18030"/>
          <w:color w:val="000000"/>
          <w:kern w:val="0"/>
          <w:sz w:val="24"/>
          <w:szCs w:val="24"/>
        </w:rPr>
        <w:t>。</w:t>
      </w:r>
    </w:p>
    <w:p w14:paraId="382D6F0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461" w:name="_Toc351203482"/>
      <w:r>
        <w:rPr>
          <w:rFonts w:hint="eastAsia" w:ascii="方正仿宋_GB18030" w:hAnsi="方正仿宋_GB18030" w:eastAsia="方正仿宋_GB18030" w:cs="方正仿宋_GB18030"/>
          <w:color w:val="000000"/>
          <w:kern w:val="0"/>
          <w:sz w:val="24"/>
          <w:szCs w:val="24"/>
        </w:rPr>
        <w:t>二、合同工期</w:t>
      </w:r>
      <w:bookmarkEnd w:id="461"/>
    </w:p>
    <w:p w14:paraId="39E8AAE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计划开工日期：</w:t>
      </w:r>
      <w:r>
        <w:rPr>
          <w:rFonts w:hint="eastAsia" w:ascii="方正仿宋_GB18030" w:hAnsi="方正仿宋_GB18030" w:eastAsia="方正仿宋_GB18030" w:cs="方正仿宋_GB18030"/>
          <w:color w:val="000000"/>
          <w:kern w:val="0"/>
          <w:sz w:val="24"/>
          <w:szCs w:val="24"/>
          <w:u w:val="single"/>
          <w:lang w:val="en-US" w:eastAsia="zh-CN"/>
        </w:rPr>
        <w:t xml:space="preserve">202  </w:t>
      </w:r>
      <w:r>
        <w:rPr>
          <w:rFonts w:hint="eastAsia" w:ascii="方正仿宋_GB18030" w:hAnsi="方正仿宋_GB18030" w:eastAsia="方正仿宋_GB18030" w:cs="方正仿宋_GB18030"/>
          <w:color w:val="000000"/>
          <w:kern w:val="0"/>
          <w:sz w:val="24"/>
          <w:szCs w:val="24"/>
        </w:rPr>
        <w:t>年</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月</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日。</w:t>
      </w:r>
    </w:p>
    <w:p w14:paraId="112C9DE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计划竣工日期：</w:t>
      </w:r>
      <w:r>
        <w:rPr>
          <w:rFonts w:hint="eastAsia" w:ascii="方正仿宋_GB18030" w:hAnsi="方正仿宋_GB18030" w:eastAsia="方正仿宋_GB18030" w:cs="方正仿宋_GB18030"/>
          <w:color w:val="000000"/>
          <w:kern w:val="0"/>
          <w:sz w:val="24"/>
          <w:szCs w:val="24"/>
          <w:u w:val="single"/>
          <w:lang w:eastAsia="zh-CN"/>
        </w:rPr>
        <w:t>202</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年</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月</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日。</w:t>
      </w:r>
    </w:p>
    <w:p w14:paraId="25EF009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工期总日历天数：</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天。工期总日历天数与根据前述计划开竣工日期计算的工期天数不一致的，以工期总日历天数为准。</w:t>
      </w:r>
      <w:bookmarkStart w:id="462" w:name="_Toc351203483"/>
      <w:r>
        <w:rPr>
          <w:rFonts w:hint="eastAsia" w:ascii="方正仿宋_GB18030" w:hAnsi="方正仿宋_GB18030" w:eastAsia="方正仿宋_GB18030" w:cs="方正仿宋_GB18030"/>
          <w:color w:val="000000"/>
          <w:kern w:val="0"/>
          <w:sz w:val="24"/>
          <w:szCs w:val="24"/>
        </w:rPr>
        <w:t xml:space="preserve"> </w:t>
      </w:r>
    </w:p>
    <w:p w14:paraId="4E3BB79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三、质量标准</w:t>
      </w:r>
      <w:bookmarkEnd w:id="462"/>
    </w:p>
    <w:p w14:paraId="6651C98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工程质量符合</w:t>
      </w:r>
      <w:r>
        <w:rPr>
          <w:rFonts w:hint="eastAsia" w:ascii="方正仿宋_GB18030" w:hAnsi="方正仿宋_GB18030" w:eastAsia="方正仿宋_GB18030" w:cs="方正仿宋_GB18030"/>
          <w:color w:val="000000"/>
          <w:kern w:val="0"/>
          <w:sz w:val="24"/>
          <w:szCs w:val="24"/>
          <w:u w:val="single"/>
        </w:rPr>
        <w:t>国家和工程相关所属行业等相关施工质量合格验收标准</w:t>
      </w:r>
      <w:r>
        <w:rPr>
          <w:rFonts w:hint="eastAsia" w:ascii="方正仿宋_GB18030" w:hAnsi="方正仿宋_GB18030" w:eastAsia="方正仿宋_GB18030" w:cs="方正仿宋_GB18030"/>
          <w:color w:val="000000"/>
          <w:kern w:val="0"/>
          <w:sz w:val="24"/>
          <w:szCs w:val="24"/>
        </w:rPr>
        <w:t>。</w:t>
      </w:r>
    </w:p>
    <w:p w14:paraId="60441BF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463" w:name="_Toc351203484"/>
      <w:r>
        <w:rPr>
          <w:rFonts w:hint="eastAsia" w:ascii="方正仿宋_GB18030" w:hAnsi="方正仿宋_GB18030" w:eastAsia="方正仿宋_GB18030" w:cs="方正仿宋_GB18030"/>
          <w:color w:val="000000"/>
          <w:kern w:val="0"/>
          <w:sz w:val="24"/>
          <w:szCs w:val="24"/>
        </w:rPr>
        <w:t>四、签约合同价与合同价格形式</w:t>
      </w:r>
      <w:bookmarkEnd w:id="463"/>
      <w:r>
        <w:rPr>
          <w:rFonts w:hint="eastAsia" w:ascii="方正仿宋_GB18030" w:hAnsi="方正仿宋_GB18030" w:eastAsia="方正仿宋_GB18030" w:cs="方正仿宋_GB18030"/>
          <w:color w:val="000000"/>
          <w:kern w:val="0"/>
          <w:sz w:val="24"/>
          <w:szCs w:val="24"/>
        </w:rPr>
        <w:tab/>
      </w:r>
    </w:p>
    <w:p w14:paraId="6261348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1.签约合同价为：</w:t>
      </w:r>
    </w:p>
    <w:p w14:paraId="04B1B88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none"/>
        </w:rPr>
      </w:pPr>
      <w:r>
        <w:rPr>
          <w:rFonts w:hint="eastAsia" w:ascii="方正仿宋_GB18030" w:hAnsi="方正仿宋_GB18030" w:eastAsia="方正仿宋_GB18030" w:cs="方正仿宋_GB18030"/>
          <w:color w:val="000000"/>
          <w:kern w:val="0"/>
          <w:sz w:val="24"/>
          <w:szCs w:val="24"/>
        </w:rPr>
        <w:t>暂定合同价格：</w:t>
      </w:r>
      <w:r>
        <w:rPr>
          <w:rFonts w:hint="eastAsia" w:ascii="方正仿宋_GB18030" w:hAnsi="方正仿宋_GB18030" w:eastAsia="方正仿宋_GB18030" w:cs="方正仿宋_GB18030"/>
          <w:sz w:val="24"/>
          <w:szCs w:val="24"/>
          <w:u w:val="single"/>
        </w:rPr>
        <w:t xml:space="preserve"> </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sz w:val="24"/>
          <w:szCs w:val="24"/>
          <w:u w:val="none"/>
        </w:rPr>
        <w:t>。</w:t>
      </w:r>
    </w:p>
    <w:p w14:paraId="58C7D1B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2.合同价格形式：</w:t>
      </w:r>
      <w:r>
        <w:rPr>
          <w:rFonts w:hint="eastAsia" w:ascii="方正仿宋_GB18030" w:hAnsi="方正仿宋_GB18030" w:eastAsia="方正仿宋_GB18030" w:cs="方正仿宋_GB18030"/>
          <w:color w:val="000000"/>
          <w:kern w:val="0"/>
          <w:sz w:val="24"/>
          <w:szCs w:val="24"/>
          <w:u w:val="single"/>
        </w:rPr>
        <w:t xml:space="preserve">固定综合单价 </w:t>
      </w:r>
      <w:r>
        <w:rPr>
          <w:rFonts w:hint="eastAsia" w:ascii="方正仿宋_GB18030" w:hAnsi="方正仿宋_GB18030" w:eastAsia="方正仿宋_GB18030" w:cs="方正仿宋_GB18030"/>
          <w:color w:val="000000"/>
          <w:kern w:val="0"/>
          <w:sz w:val="24"/>
          <w:szCs w:val="24"/>
        </w:rPr>
        <w:t>。</w:t>
      </w:r>
    </w:p>
    <w:p w14:paraId="6BC4346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464" w:name="_Toc351203485"/>
      <w:r>
        <w:rPr>
          <w:rFonts w:hint="eastAsia" w:ascii="方正仿宋_GB18030" w:hAnsi="方正仿宋_GB18030" w:eastAsia="方正仿宋_GB18030" w:cs="方正仿宋_GB18030"/>
          <w:color w:val="000000"/>
          <w:kern w:val="0"/>
          <w:sz w:val="24"/>
          <w:szCs w:val="24"/>
        </w:rPr>
        <w:t>五、</w:t>
      </w:r>
      <w:bookmarkEnd w:id="464"/>
      <w:r>
        <w:rPr>
          <w:rFonts w:hint="eastAsia" w:ascii="方正仿宋_GB18030" w:hAnsi="方正仿宋_GB18030" w:eastAsia="方正仿宋_GB18030" w:cs="方正仿宋_GB18030"/>
          <w:color w:val="000000"/>
          <w:kern w:val="0"/>
          <w:sz w:val="24"/>
          <w:szCs w:val="24"/>
        </w:rPr>
        <w:t>项目经理</w:t>
      </w:r>
    </w:p>
    <w:p w14:paraId="3C490BB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承包人项目经理</w:t>
      </w:r>
      <w:r>
        <w:rPr>
          <w:rFonts w:hint="eastAsia" w:ascii="方正仿宋_GB18030" w:hAnsi="方正仿宋_GB18030" w:eastAsia="方正仿宋_GB18030" w:cs="方正仿宋_GB18030"/>
          <w:color w:val="000000"/>
          <w:kern w:val="0"/>
          <w:sz w:val="24"/>
          <w:szCs w:val="24"/>
          <w:u w:val="none"/>
        </w:rPr>
        <w:t>：</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u w:val="none"/>
        </w:rPr>
        <w:t xml:space="preserve"> </w:t>
      </w:r>
      <w:r>
        <w:rPr>
          <w:rFonts w:hint="eastAsia" w:ascii="方正仿宋_GB18030" w:hAnsi="方正仿宋_GB18030" w:eastAsia="方正仿宋_GB18030" w:cs="方正仿宋_GB18030"/>
          <w:color w:val="000000"/>
          <w:kern w:val="0"/>
          <w:sz w:val="24"/>
          <w:szCs w:val="24"/>
          <w:u w:val="none"/>
          <w:lang w:eastAsia="zh-CN"/>
        </w:rPr>
        <w:t>，</w:t>
      </w:r>
      <w:r>
        <w:rPr>
          <w:rFonts w:hint="eastAsia" w:ascii="方正仿宋_GB18030" w:hAnsi="方正仿宋_GB18030" w:eastAsia="方正仿宋_GB18030" w:cs="方正仿宋_GB18030"/>
          <w:sz w:val="24"/>
          <w:szCs w:val="24"/>
          <w:highlight w:val="none"/>
          <w:u w:val="none"/>
        </w:rPr>
        <w:t>身份证码：</w:t>
      </w:r>
      <w:r>
        <w:rPr>
          <w:rFonts w:hint="eastAsia" w:ascii="方正仿宋_GB18030" w:hAnsi="方正仿宋_GB18030" w:eastAsia="方正仿宋_GB18030" w:cs="方正仿宋_GB18030"/>
          <w:sz w:val="24"/>
          <w:szCs w:val="24"/>
          <w:highlight w:val="none"/>
          <w:u w:val="single"/>
        </w:rPr>
        <w:t xml:space="preserve">                                </w:t>
      </w:r>
      <w:r>
        <w:rPr>
          <w:rFonts w:hint="eastAsia" w:ascii="方正仿宋_GB18030" w:hAnsi="方正仿宋_GB18030" w:eastAsia="方正仿宋_GB18030" w:cs="方正仿宋_GB18030"/>
          <w:sz w:val="24"/>
          <w:szCs w:val="24"/>
          <w:highlight w:val="none"/>
          <w:u w:val="none"/>
        </w:rPr>
        <w:t>，建造师注册证号：</w:t>
      </w:r>
      <w:r>
        <w:rPr>
          <w:rFonts w:hint="eastAsia" w:ascii="方正仿宋_GB18030" w:hAnsi="方正仿宋_GB18030" w:eastAsia="方正仿宋_GB18030" w:cs="方正仿宋_GB18030"/>
          <w:sz w:val="24"/>
          <w:szCs w:val="24"/>
          <w:highlight w:val="none"/>
          <w:u w:val="single"/>
        </w:rPr>
        <w:t xml:space="preserve">                               </w:t>
      </w:r>
      <w:r>
        <w:rPr>
          <w:rFonts w:hint="eastAsia" w:ascii="方正仿宋_GB18030" w:hAnsi="方正仿宋_GB18030" w:eastAsia="方正仿宋_GB18030" w:cs="方正仿宋_GB18030"/>
          <w:color w:val="000000"/>
          <w:kern w:val="0"/>
          <w:sz w:val="24"/>
          <w:szCs w:val="24"/>
        </w:rPr>
        <w:t>。</w:t>
      </w:r>
    </w:p>
    <w:p w14:paraId="74B0EB1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465" w:name="_Toc351203486"/>
      <w:r>
        <w:rPr>
          <w:rFonts w:hint="eastAsia" w:ascii="方正仿宋_GB18030" w:hAnsi="方正仿宋_GB18030" w:eastAsia="方正仿宋_GB18030" w:cs="方正仿宋_GB18030"/>
          <w:color w:val="000000"/>
          <w:kern w:val="0"/>
          <w:sz w:val="24"/>
          <w:szCs w:val="24"/>
        </w:rPr>
        <w:t>六、合同文件构成</w:t>
      </w:r>
      <w:bookmarkEnd w:id="465"/>
    </w:p>
    <w:p w14:paraId="240D584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本协议书与下列文件一起构成合同文件：</w:t>
      </w:r>
    </w:p>
    <w:p w14:paraId="599782B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（1）专用合同条款及其附件；</w:t>
      </w:r>
    </w:p>
    <w:p w14:paraId="2D5D308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（2）通用合同条款；</w:t>
      </w:r>
    </w:p>
    <w:p w14:paraId="3CC6F85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（3）技术标准和要求；</w:t>
      </w:r>
    </w:p>
    <w:p w14:paraId="02F6E6F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（4）已标价工程量清单或预算书；</w:t>
      </w:r>
    </w:p>
    <w:p w14:paraId="2411C40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（5）其他合同文件。</w:t>
      </w:r>
    </w:p>
    <w:p w14:paraId="5BFE0FF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在合同订立及履行过程中形成的与合同有关的文件均构成合同文件组成部分。</w:t>
      </w:r>
    </w:p>
    <w:p w14:paraId="7657B0D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上述各项合同文件包括合同当事人就该项合同文件所作出的补充和修改，属于同一类内容的文件，应以最新签署的为准。专用合同条款及其附件须经合同当事人签字或盖章。</w:t>
      </w:r>
    </w:p>
    <w:p w14:paraId="78126FF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466" w:name="_Toc351203487"/>
      <w:r>
        <w:rPr>
          <w:rFonts w:hint="eastAsia" w:ascii="方正仿宋_GB18030" w:hAnsi="方正仿宋_GB18030" w:eastAsia="方正仿宋_GB18030" w:cs="方正仿宋_GB18030"/>
          <w:color w:val="000000"/>
          <w:kern w:val="0"/>
          <w:sz w:val="24"/>
          <w:szCs w:val="24"/>
        </w:rPr>
        <w:t>七、承诺</w:t>
      </w:r>
      <w:bookmarkEnd w:id="466"/>
    </w:p>
    <w:p w14:paraId="0FA8EE2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1.发包人承诺按照法律规定履行项目审批手续、筹集工程建设资金并按照合同约定的期限和方式支付合同价款。</w:t>
      </w:r>
    </w:p>
    <w:p w14:paraId="50626F4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2.承包人承诺按照法律规定及合同约定组织完成工程施工，确保工程质量和安全，不进行转包及违法分包，并在缺陷责任期及保修期内承担相应的工程维修责任。</w:t>
      </w:r>
    </w:p>
    <w:p w14:paraId="4445F75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3.发包人和承包人通过招投标形式签订合同的，双方理解并承诺不再就同一工程另行签订与合同实质性内容相背离的协议。</w:t>
      </w:r>
    </w:p>
    <w:p w14:paraId="6465247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467" w:name="_Toc351203488"/>
      <w:r>
        <w:rPr>
          <w:rFonts w:hint="eastAsia" w:ascii="方正仿宋_GB18030" w:hAnsi="方正仿宋_GB18030" w:eastAsia="方正仿宋_GB18030" w:cs="方正仿宋_GB18030"/>
          <w:color w:val="000000"/>
          <w:kern w:val="0"/>
          <w:sz w:val="24"/>
          <w:szCs w:val="24"/>
        </w:rPr>
        <w:t>八、词语含义</w:t>
      </w:r>
      <w:bookmarkEnd w:id="467"/>
    </w:p>
    <w:p w14:paraId="7DA04D0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本协议书中词语含义与第二部分通用合同条款中赋予的含义相同。</w:t>
      </w:r>
    </w:p>
    <w:p w14:paraId="371560A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468" w:name="_Toc351203489"/>
      <w:r>
        <w:rPr>
          <w:rFonts w:hint="eastAsia" w:ascii="方正仿宋_GB18030" w:hAnsi="方正仿宋_GB18030" w:eastAsia="方正仿宋_GB18030" w:cs="方正仿宋_GB18030"/>
          <w:color w:val="000000"/>
          <w:kern w:val="0"/>
          <w:sz w:val="24"/>
          <w:szCs w:val="24"/>
        </w:rPr>
        <w:t>九、签订时间</w:t>
      </w:r>
      <w:bookmarkEnd w:id="468"/>
    </w:p>
    <w:p w14:paraId="511271C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本合同于</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u w:val="single"/>
          <w:lang w:val="en-US" w:eastAsia="zh-CN"/>
        </w:rPr>
        <w:t xml:space="preserve">202 </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年</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月</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日签订。</w:t>
      </w:r>
    </w:p>
    <w:p w14:paraId="39F0492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469" w:name="_Toc351203490"/>
      <w:r>
        <w:rPr>
          <w:rFonts w:hint="eastAsia" w:ascii="方正仿宋_GB18030" w:hAnsi="方正仿宋_GB18030" w:eastAsia="方正仿宋_GB18030" w:cs="方正仿宋_GB18030"/>
          <w:color w:val="000000"/>
          <w:kern w:val="0"/>
          <w:sz w:val="24"/>
          <w:szCs w:val="24"/>
        </w:rPr>
        <w:t>十、签订地点</w:t>
      </w:r>
      <w:bookmarkEnd w:id="469"/>
    </w:p>
    <w:p w14:paraId="4E947A6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rPr>
        <w:t>本合同在</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签订。</w:t>
      </w:r>
    </w:p>
    <w:p w14:paraId="277B3B2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470" w:name="_Toc351203491"/>
      <w:r>
        <w:rPr>
          <w:rFonts w:hint="eastAsia" w:ascii="方正仿宋_GB18030" w:hAnsi="方正仿宋_GB18030" w:eastAsia="方正仿宋_GB18030" w:cs="方正仿宋_GB18030"/>
          <w:color w:val="000000"/>
          <w:kern w:val="0"/>
          <w:sz w:val="24"/>
          <w:szCs w:val="24"/>
        </w:rPr>
        <w:t>十一、补充协议</w:t>
      </w:r>
      <w:bookmarkEnd w:id="470"/>
    </w:p>
    <w:p w14:paraId="26FDC37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合同未尽事宜，合同当事人另行签订补充协议，补充协议是合同的组成部分。</w:t>
      </w:r>
    </w:p>
    <w:p w14:paraId="1BE3AC7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bookmarkStart w:id="471" w:name="_Toc351203492"/>
      <w:r>
        <w:rPr>
          <w:rFonts w:hint="eastAsia" w:ascii="方正仿宋_GB18030" w:hAnsi="方正仿宋_GB18030" w:eastAsia="方正仿宋_GB18030" w:cs="方正仿宋_GB18030"/>
          <w:color w:val="000000"/>
          <w:kern w:val="0"/>
          <w:sz w:val="24"/>
          <w:szCs w:val="24"/>
        </w:rPr>
        <w:t>十二、合同生效</w:t>
      </w:r>
      <w:bookmarkEnd w:id="471"/>
    </w:p>
    <w:p w14:paraId="33FB27F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本合同自</w:t>
      </w:r>
      <w:r>
        <w:rPr>
          <w:rFonts w:hint="eastAsia" w:ascii="方正仿宋_GB18030" w:hAnsi="方正仿宋_GB18030" w:eastAsia="方正仿宋_GB18030" w:cs="方正仿宋_GB18030"/>
          <w:color w:val="000000"/>
          <w:kern w:val="0"/>
          <w:sz w:val="24"/>
          <w:szCs w:val="24"/>
          <w:u w:val="single"/>
        </w:rPr>
        <w:t>发包方和承包方法定代表人在协议书上签字并盖单位公章后</w:t>
      </w:r>
      <w:r>
        <w:rPr>
          <w:rFonts w:hint="eastAsia" w:ascii="方正仿宋_GB18030" w:hAnsi="方正仿宋_GB18030" w:eastAsia="方正仿宋_GB18030" w:cs="方正仿宋_GB18030"/>
          <w:color w:val="000000"/>
          <w:kern w:val="0"/>
          <w:sz w:val="24"/>
          <w:szCs w:val="24"/>
        </w:rPr>
        <w:t>生效。</w:t>
      </w:r>
    </w:p>
    <w:p w14:paraId="014BC94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none"/>
        </w:rPr>
      </w:pPr>
      <w:r>
        <w:rPr>
          <w:rFonts w:hint="eastAsia" w:ascii="方正仿宋_GB18030" w:hAnsi="方正仿宋_GB18030" w:eastAsia="方正仿宋_GB18030" w:cs="方正仿宋_GB18030"/>
          <w:color w:val="000000"/>
          <w:kern w:val="0"/>
          <w:sz w:val="24"/>
          <w:szCs w:val="24"/>
          <w:u w:val="none"/>
        </w:rPr>
        <w:t>十三、送达</w:t>
      </w:r>
    </w:p>
    <w:p w14:paraId="357D410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本协议书尾部填写的联系人、地址、电话即为本合同履行中双方往来的送达地址信息。如果以邮寄方式寄送的，以本合同约定地址交邮后第5日视为有效送达；如以短信/传真/电子邮件寄送的，以发出并取得数据电文接收系统记录传输确认时视为有效送达。如双方发生争议，该地址也即为法院向其发送各类法律文书或相关工作文书的送达地址。任何一方如变更联系人或联系人信息，应当提前7日以书面形式告知对方，如因未提前通知造成的全部损失，均由未履行通知义务一方承担。</w:t>
      </w:r>
    </w:p>
    <w:p w14:paraId="1184647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472" w:name="_Toc351203493"/>
      <w:r>
        <w:rPr>
          <w:rFonts w:hint="eastAsia" w:ascii="方正仿宋_GB18030" w:hAnsi="方正仿宋_GB18030" w:eastAsia="方正仿宋_GB18030" w:cs="方正仿宋_GB18030"/>
          <w:color w:val="000000"/>
          <w:kern w:val="0"/>
          <w:sz w:val="24"/>
          <w:szCs w:val="24"/>
        </w:rPr>
        <w:t>十四、合同份数</w:t>
      </w:r>
      <w:bookmarkEnd w:id="472"/>
    </w:p>
    <w:p w14:paraId="3BA9B2C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本合同一式</w:t>
      </w:r>
      <w:r>
        <w:rPr>
          <w:rFonts w:hint="eastAsia" w:ascii="方正仿宋_GB18030" w:hAnsi="方正仿宋_GB18030" w:eastAsia="方正仿宋_GB18030" w:cs="方正仿宋_GB18030"/>
          <w:color w:val="000000"/>
          <w:kern w:val="0"/>
          <w:sz w:val="24"/>
          <w:szCs w:val="24"/>
          <w:u w:val="single"/>
        </w:rPr>
        <w:t xml:space="preserve"> 六 </w:t>
      </w:r>
      <w:r>
        <w:rPr>
          <w:rFonts w:hint="eastAsia" w:ascii="方正仿宋_GB18030" w:hAnsi="方正仿宋_GB18030" w:eastAsia="方正仿宋_GB18030" w:cs="方正仿宋_GB18030"/>
          <w:color w:val="000000"/>
          <w:kern w:val="0"/>
          <w:sz w:val="24"/>
          <w:szCs w:val="24"/>
        </w:rPr>
        <w:t>份，均具有同等法律效力，发包人执</w:t>
      </w:r>
      <w:r>
        <w:rPr>
          <w:rFonts w:hint="eastAsia" w:ascii="方正仿宋_GB18030" w:hAnsi="方正仿宋_GB18030" w:eastAsia="方正仿宋_GB18030" w:cs="方正仿宋_GB18030"/>
          <w:color w:val="000000"/>
          <w:kern w:val="0"/>
          <w:sz w:val="24"/>
          <w:szCs w:val="24"/>
          <w:u w:val="single"/>
        </w:rPr>
        <w:t xml:space="preserve"> 三 </w:t>
      </w:r>
      <w:r>
        <w:rPr>
          <w:rFonts w:hint="eastAsia" w:ascii="方正仿宋_GB18030" w:hAnsi="方正仿宋_GB18030" w:eastAsia="方正仿宋_GB18030" w:cs="方正仿宋_GB18030"/>
          <w:color w:val="000000"/>
          <w:kern w:val="0"/>
          <w:sz w:val="24"/>
          <w:szCs w:val="24"/>
        </w:rPr>
        <w:t>份，承包人执</w:t>
      </w:r>
      <w:r>
        <w:rPr>
          <w:rFonts w:hint="eastAsia" w:ascii="方正仿宋_GB18030" w:hAnsi="方正仿宋_GB18030" w:eastAsia="方正仿宋_GB18030" w:cs="方正仿宋_GB18030"/>
          <w:color w:val="000000"/>
          <w:kern w:val="0"/>
          <w:sz w:val="24"/>
          <w:szCs w:val="24"/>
          <w:u w:val="single"/>
        </w:rPr>
        <w:t xml:space="preserve"> 三 </w:t>
      </w:r>
      <w:r>
        <w:rPr>
          <w:rFonts w:hint="eastAsia" w:ascii="方正仿宋_GB18030" w:hAnsi="方正仿宋_GB18030" w:eastAsia="方正仿宋_GB18030" w:cs="方正仿宋_GB18030"/>
          <w:color w:val="000000"/>
          <w:kern w:val="0"/>
          <w:sz w:val="24"/>
          <w:szCs w:val="24"/>
        </w:rPr>
        <w:t>份。</w:t>
      </w:r>
    </w:p>
    <w:p w14:paraId="4944D6C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p>
    <w:p w14:paraId="04297A19">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  包  人(公章) ：              承  包  人(公章)：</w:t>
      </w:r>
    </w:p>
    <w:p w14:paraId="2A13F44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5CAF459F">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法定代表人（签字）：             法定代表人（签字）：</w:t>
      </w:r>
    </w:p>
    <w:p w14:paraId="188B900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3A97CEC4">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lang w:val="en-US" w:eastAsia="zh-CN"/>
        </w:rPr>
        <w:t>或</w:t>
      </w:r>
      <w:r>
        <w:rPr>
          <w:rFonts w:hint="eastAsia" w:ascii="方正仿宋_GB18030" w:hAnsi="方正仿宋_GB18030" w:eastAsia="方正仿宋_GB18030" w:cs="方正仿宋_GB18030"/>
          <w:color w:val="000000"/>
          <w:kern w:val="0"/>
          <w:sz w:val="24"/>
          <w:szCs w:val="24"/>
        </w:rPr>
        <w:t xml:space="preserve">委托代理人（签字）：           </w:t>
      </w:r>
      <w:r>
        <w:rPr>
          <w:rFonts w:hint="eastAsia" w:ascii="方正仿宋_GB18030" w:hAnsi="方正仿宋_GB18030" w:eastAsia="方正仿宋_GB18030" w:cs="方正仿宋_GB18030"/>
          <w:color w:val="000000"/>
          <w:kern w:val="0"/>
          <w:sz w:val="24"/>
          <w:szCs w:val="24"/>
          <w:lang w:val="en-US" w:eastAsia="zh-CN"/>
        </w:rPr>
        <w:t>或</w:t>
      </w:r>
      <w:r>
        <w:rPr>
          <w:rFonts w:hint="eastAsia" w:ascii="方正仿宋_GB18030" w:hAnsi="方正仿宋_GB18030" w:eastAsia="方正仿宋_GB18030" w:cs="方正仿宋_GB18030"/>
          <w:color w:val="000000"/>
          <w:kern w:val="0"/>
          <w:sz w:val="24"/>
          <w:szCs w:val="24"/>
        </w:rPr>
        <w:t>委托代理人（签字）：</w:t>
      </w:r>
    </w:p>
    <w:p w14:paraId="391C582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p>
    <w:p w14:paraId="0F694672">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经 办 人：                       经 办 人：</w:t>
      </w:r>
    </w:p>
    <w:p w14:paraId="4BD51887">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77189915">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地  址：                         地  址：</w:t>
      </w:r>
    </w:p>
    <w:p w14:paraId="76E5DDCD">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43B0DACB">
      <w:pPr>
        <w:pStyle w:val="2"/>
        <w:spacing w:line="440" w:lineRule="exact"/>
        <w:rPr>
          <w:rFonts w:hint="eastAsia" w:ascii="方正仿宋_GB18030" w:hAnsi="方正仿宋_GB18030" w:eastAsia="方正仿宋_GB18030" w:cs="方正仿宋_GB18030"/>
          <w:color w:val="000000"/>
          <w:kern w:val="0"/>
          <w:sz w:val="24"/>
          <w:szCs w:val="24"/>
        </w:rPr>
      </w:pPr>
    </w:p>
    <w:p w14:paraId="033B7F9B">
      <w:pPr>
        <w:spacing w:line="440" w:lineRule="exact"/>
        <w:rPr>
          <w:rFonts w:hint="eastAsia" w:ascii="方正仿宋_GB18030" w:hAnsi="方正仿宋_GB18030" w:eastAsia="方正仿宋_GB18030" w:cs="方正仿宋_GB18030"/>
          <w:color w:val="000000"/>
          <w:kern w:val="0"/>
          <w:sz w:val="24"/>
          <w:szCs w:val="24"/>
        </w:rPr>
      </w:pPr>
    </w:p>
    <w:p w14:paraId="33CABD47">
      <w:pPr>
        <w:pStyle w:val="2"/>
        <w:spacing w:line="440" w:lineRule="exact"/>
        <w:rPr>
          <w:rFonts w:hint="eastAsia" w:ascii="方正仿宋_GB18030" w:hAnsi="方正仿宋_GB18030" w:eastAsia="方正仿宋_GB18030" w:cs="方正仿宋_GB18030"/>
          <w:color w:val="000000"/>
          <w:kern w:val="0"/>
          <w:sz w:val="24"/>
          <w:szCs w:val="24"/>
        </w:rPr>
      </w:pPr>
    </w:p>
    <w:p w14:paraId="35627497">
      <w:pPr>
        <w:spacing w:line="440" w:lineRule="exact"/>
        <w:rPr>
          <w:rFonts w:hint="eastAsia" w:ascii="方正仿宋_GB18030" w:hAnsi="方正仿宋_GB18030" w:eastAsia="方正仿宋_GB18030" w:cs="方正仿宋_GB18030"/>
          <w:color w:val="000000"/>
          <w:kern w:val="0"/>
          <w:sz w:val="24"/>
          <w:szCs w:val="24"/>
        </w:rPr>
      </w:pPr>
    </w:p>
    <w:p w14:paraId="4E5D2AAC">
      <w:pPr>
        <w:pStyle w:val="2"/>
        <w:spacing w:line="440" w:lineRule="exact"/>
        <w:rPr>
          <w:rFonts w:hint="eastAsia" w:ascii="方正仿宋_GB18030" w:hAnsi="方正仿宋_GB18030" w:eastAsia="方正仿宋_GB18030" w:cs="方正仿宋_GB18030"/>
          <w:color w:val="000000"/>
          <w:kern w:val="0"/>
          <w:sz w:val="24"/>
          <w:szCs w:val="24"/>
        </w:rPr>
      </w:pPr>
    </w:p>
    <w:p w14:paraId="28E9289A">
      <w:pPr>
        <w:spacing w:line="440" w:lineRule="exact"/>
        <w:rPr>
          <w:rFonts w:hint="eastAsia" w:ascii="方正仿宋_GB18030" w:hAnsi="方正仿宋_GB18030" w:eastAsia="方正仿宋_GB18030" w:cs="方正仿宋_GB18030"/>
          <w:color w:val="000000"/>
          <w:kern w:val="0"/>
          <w:sz w:val="24"/>
          <w:szCs w:val="24"/>
        </w:rPr>
      </w:pPr>
    </w:p>
    <w:p w14:paraId="01AD8C98">
      <w:pPr>
        <w:pStyle w:val="2"/>
        <w:spacing w:line="440" w:lineRule="exact"/>
        <w:rPr>
          <w:rFonts w:hint="eastAsia" w:ascii="方正仿宋_GB18030" w:hAnsi="方正仿宋_GB18030" w:eastAsia="方正仿宋_GB18030" w:cs="方正仿宋_GB18030"/>
          <w:color w:val="auto"/>
          <w:kern w:val="2"/>
          <w:sz w:val="32"/>
          <w:szCs w:val="32"/>
        </w:rPr>
      </w:pPr>
    </w:p>
    <w:p w14:paraId="37EA8ACD">
      <w:pPr>
        <w:rPr>
          <w:rFonts w:hint="eastAsia" w:ascii="方正仿宋_GB18030" w:hAnsi="方正仿宋_GB18030" w:eastAsia="方正仿宋_GB18030" w:cs="方正仿宋_GB18030"/>
        </w:rPr>
      </w:pPr>
    </w:p>
    <w:p w14:paraId="60D69DB0">
      <w:pPr>
        <w:pStyle w:val="2"/>
        <w:rPr>
          <w:rFonts w:hint="eastAsia" w:ascii="方正仿宋_GB18030" w:hAnsi="方正仿宋_GB18030" w:eastAsia="方正仿宋_GB18030" w:cs="方正仿宋_GB18030"/>
        </w:rPr>
      </w:pPr>
    </w:p>
    <w:p w14:paraId="55203519">
      <w:pPr>
        <w:rPr>
          <w:rFonts w:hint="eastAsia" w:ascii="方正仿宋_GB18030" w:hAnsi="方正仿宋_GB18030" w:eastAsia="方正仿宋_GB18030" w:cs="方正仿宋_GB18030"/>
        </w:rPr>
      </w:pPr>
    </w:p>
    <w:p w14:paraId="42800F82">
      <w:pPr>
        <w:pStyle w:val="2"/>
        <w:rPr>
          <w:rFonts w:hint="eastAsia" w:ascii="方正仿宋_GB18030" w:hAnsi="方正仿宋_GB18030" w:eastAsia="方正仿宋_GB18030" w:cs="方正仿宋_GB18030"/>
        </w:rPr>
      </w:pPr>
    </w:p>
    <w:p w14:paraId="21CA1267">
      <w:pPr>
        <w:rPr>
          <w:rFonts w:hint="eastAsia" w:ascii="方正仿宋_GB18030" w:hAnsi="方正仿宋_GB18030" w:eastAsia="方正仿宋_GB18030" w:cs="方正仿宋_GB18030"/>
        </w:rPr>
      </w:pPr>
    </w:p>
    <w:p w14:paraId="64E6FDE2">
      <w:pPr>
        <w:pStyle w:val="2"/>
        <w:rPr>
          <w:rFonts w:hint="eastAsia" w:ascii="方正仿宋_GB18030" w:hAnsi="方正仿宋_GB18030" w:eastAsia="方正仿宋_GB18030" w:cs="方正仿宋_GB18030"/>
        </w:rPr>
      </w:pPr>
    </w:p>
    <w:p w14:paraId="4CDB3C88">
      <w:pPr>
        <w:rPr>
          <w:rFonts w:hint="eastAsia" w:ascii="方正仿宋_GB18030" w:hAnsi="方正仿宋_GB18030" w:eastAsia="方正仿宋_GB18030" w:cs="方正仿宋_GB18030"/>
        </w:rPr>
      </w:pPr>
    </w:p>
    <w:p w14:paraId="5C4584B6">
      <w:pPr>
        <w:pStyle w:val="2"/>
        <w:rPr>
          <w:rFonts w:hint="eastAsia" w:ascii="方正仿宋_GB18030" w:hAnsi="方正仿宋_GB18030" w:eastAsia="方正仿宋_GB18030" w:cs="方正仿宋_GB18030"/>
        </w:rPr>
      </w:pPr>
    </w:p>
    <w:p w14:paraId="56C41EF3">
      <w:pPr>
        <w:rPr>
          <w:rFonts w:hint="eastAsia"/>
        </w:rPr>
      </w:pPr>
    </w:p>
    <w:p w14:paraId="792BD985">
      <w:pPr>
        <w:spacing w:line="440" w:lineRule="exact"/>
        <w:jc w:val="center"/>
        <w:rPr>
          <w:rStyle w:val="218"/>
          <w:rFonts w:hint="eastAsia" w:ascii="方正仿宋_GB18030" w:hAnsi="方正仿宋_GB18030" w:eastAsia="方正仿宋_GB18030" w:cs="方正仿宋_GB18030"/>
          <w:b w:val="0"/>
          <w:bCs/>
          <w:sz w:val="24"/>
          <w:szCs w:val="24"/>
        </w:rPr>
      </w:pPr>
      <w:bookmarkStart w:id="473" w:name="_Toc351203494"/>
    </w:p>
    <w:p w14:paraId="76B7478E">
      <w:pPr>
        <w:spacing w:line="440" w:lineRule="exact"/>
        <w:jc w:val="center"/>
        <w:rPr>
          <w:rStyle w:val="218"/>
          <w:rFonts w:hint="eastAsia" w:ascii="方正仿宋_GB18030" w:hAnsi="方正仿宋_GB18030" w:eastAsia="方正仿宋_GB18030" w:cs="方正仿宋_GB18030"/>
          <w:b w:val="0"/>
          <w:bCs/>
          <w:sz w:val="24"/>
          <w:szCs w:val="24"/>
        </w:rPr>
      </w:pPr>
      <w:r>
        <w:rPr>
          <w:rStyle w:val="218"/>
          <w:rFonts w:hint="eastAsia" w:ascii="方正仿宋_GB18030" w:hAnsi="方正仿宋_GB18030" w:eastAsia="方正仿宋_GB18030" w:cs="方正仿宋_GB18030"/>
          <w:b w:val="0"/>
          <w:bCs/>
          <w:sz w:val="24"/>
          <w:szCs w:val="24"/>
        </w:rPr>
        <w:t>通用合同条款</w:t>
      </w:r>
      <w:bookmarkEnd w:id="473"/>
      <w:bookmarkStart w:id="474" w:name="_Toc337558727"/>
    </w:p>
    <w:p w14:paraId="40D859C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475" w:name="_Toc381870132"/>
      <w:r>
        <w:rPr>
          <w:rFonts w:hint="eastAsia" w:ascii="方正仿宋_GB18030" w:hAnsi="方正仿宋_GB18030" w:eastAsia="方正仿宋_GB18030" w:cs="方正仿宋_GB18030"/>
          <w:color w:val="000000"/>
          <w:kern w:val="0"/>
          <w:sz w:val="24"/>
          <w:szCs w:val="24"/>
        </w:rPr>
        <w:t>通用合同条款直接采用中华人民共和国住房和城乡建设部与国家工商行政管理总局联合制定的《建设工程施工合同》（GF-2017-0201）示范文本第二章《通用合同条款》。</w:t>
      </w:r>
      <w:bookmarkEnd w:id="475"/>
    </w:p>
    <w:p w14:paraId="35EED07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p>
    <w:bookmarkEnd w:id="474"/>
    <w:p w14:paraId="02E86B26">
      <w:pPr>
        <w:spacing w:line="440" w:lineRule="exact"/>
        <w:jc w:val="center"/>
        <w:rPr>
          <w:rStyle w:val="218"/>
          <w:rFonts w:hint="eastAsia" w:ascii="方正仿宋_GB18030" w:hAnsi="方正仿宋_GB18030" w:eastAsia="方正仿宋_GB18030" w:cs="方正仿宋_GB18030"/>
          <w:sz w:val="24"/>
        </w:rPr>
      </w:pPr>
      <w:bookmarkStart w:id="476" w:name="_Toc351203632"/>
      <w:r>
        <w:rPr>
          <w:rFonts w:hint="eastAsia" w:ascii="方正仿宋_GB18030" w:hAnsi="方正仿宋_GB18030" w:eastAsia="方正仿宋_GB18030" w:cs="方正仿宋_GB18030"/>
          <w:color w:val="000000"/>
          <w:kern w:val="0"/>
          <w:sz w:val="24"/>
          <w:szCs w:val="24"/>
        </w:rPr>
        <w:br w:type="page"/>
      </w:r>
      <w:r>
        <w:rPr>
          <w:rStyle w:val="218"/>
          <w:rFonts w:hint="eastAsia" w:ascii="方正仿宋_GB18030" w:hAnsi="方正仿宋_GB18030" w:eastAsia="方正仿宋_GB18030" w:cs="方正仿宋_GB18030"/>
          <w:b w:val="0"/>
          <w:bCs/>
          <w:sz w:val="24"/>
          <w:szCs w:val="24"/>
        </w:rPr>
        <w:t>专用合同条款</w:t>
      </w:r>
      <w:bookmarkEnd w:id="476"/>
    </w:p>
    <w:p w14:paraId="798BC44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477" w:name="_Toc351203633"/>
      <w:r>
        <w:rPr>
          <w:rFonts w:hint="eastAsia" w:ascii="方正仿宋_GB18030" w:hAnsi="方正仿宋_GB18030" w:eastAsia="方正仿宋_GB18030" w:cs="方正仿宋_GB18030"/>
          <w:color w:val="000000"/>
          <w:kern w:val="0"/>
          <w:sz w:val="24"/>
          <w:szCs w:val="24"/>
        </w:rPr>
        <w:t>1</w:t>
      </w:r>
      <w:bookmarkStart w:id="478" w:name="_Toc292559866"/>
      <w:bookmarkStart w:id="479" w:name="_Toc296503156"/>
      <w:bookmarkStart w:id="480" w:name="_Toc296891196"/>
      <w:bookmarkStart w:id="481" w:name="_Toc296890984"/>
      <w:bookmarkStart w:id="482" w:name="_Toc292559361"/>
      <w:bookmarkStart w:id="483" w:name="_Toc296346657"/>
      <w:bookmarkStart w:id="484" w:name="_Toc297048342"/>
      <w:bookmarkStart w:id="485" w:name="_Toc297120456"/>
      <w:bookmarkStart w:id="486" w:name="_Toc296347155"/>
      <w:bookmarkStart w:id="487" w:name="_Toc296944495"/>
      <w:r>
        <w:rPr>
          <w:rFonts w:hint="eastAsia" w:ascii="方正仿宋_GB18030" w:hAnsi="方正仿宋_GB18030" w:eastAsia="方正仿宋_GB18030" w:cs="方正仿宋_GB18030"/>
          <w:color w:val="000000"/>
          <w:kern w:val="0"/>
          <w:sz w:val="24"/>
          <w:szCs w:val="24"/>
        </w:rPr>
        <w:t>. 一般约定</w:t>
      </w:r>
      <w:bookmarkEnd w:id="477"/>
    </w:p>
    <w:bookmarkEnd w:id="478"/>
    <w:bookmarkEnd w:id="479"/>
    <w:bookmarkEnd w:id="480"/>
    <w:bookmarkEnd w:id="481"/>
    <w:bookmarkEnd w:id="482"/>
    <w:bookmarkEnd w:id="483"/>
    <w:bookmarkEnd w:id="484"/>
    <w:bookmarkEnd w:id="485"/>
    <w:bookmarkEnd w:id="486"/>
    <w:bookmarkEnd w:id="487"/>
    <w:p w14:paraId="08269B3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 词语定义</w:t>
      </w:r>
    </w:p>
    <w:p w14:paraId="4565DB3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1.1.1合同</w:t>
      </w:r>
    </w:p>
    <w:p w14:paraId="7B451DE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1.1.1.10其他合同文件包括：</w:t>
      </w:r>
      <w:r>
        <w:rPr>
          <w:rFonts w:hint="eastAsia" w:ascii="方正仿宋_GB18030" w:hAnsi="方正仿宋_GB18030" w:eastAsia="方正仿宋_GB18030" w:cs="方正仿宋_GB18030"/>
          <w:color w:val="000000"/>
          <w:kern w:val="0"/>
          <w:sz w:val="24"/>
          <w:szCs w:val="24"/>
          <w:u w:val="single"/>
        </w:rPr>
        <w:t>（1）合同协议书；（2）合同专用条款；（3）合同通用条款；（4）技术标准和要求；（5）图纸；（6）已标价的工程量清单；（7）其他合同文件—经合同当事人双方确认构成合同的其他文</w:t>
      </w:r>
      <w:r>
        <w:rPr>
          <w:rFonts w:hint="eastAsia" w:ascii="方正仿宋_GB18030" w:hAnsi="方正仿宋_GB18030" w:eastAsia="方正仿宋_GB18030" w:cs="方正仿宋_GB18030"/>
          <w:color w:val="000000"/>
          <w:kern w:val="0"/>
          <w:sz w:val="24"/>
          <w:szCs w:val="24"/>
        </w:rPr>
        <w:t>。</w:t>
      </w:r>
    </w:p>
    <w:p w14:paraId="6299E87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1.1.2 合同当事人及其他相关方</w:t>
      </w:r>
    </w:p>
    <w:p w14:paraId="6976258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1.1.2.4监理人：</w:t>
      </w:r>
    </w:p>
    <w:p w14:paraId="4F5F1B1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名    称：</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5F5E6D4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资质类别和等级：</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17AE776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联系电话：</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66C3BDC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通信地址：</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19E8D51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1.1.2.5 设计人：</w:t>
      </w:r>
    </w:p>
    <w:p w14:paraId="57889E3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名    称：</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 xml:space="preserve"> ；</w:t>
      </w:r>
    </w:p>
    <w:p w14:paraId="293CC89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资质类别和等级： </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536C0C0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联系电话：</w:t>
      </w:r>
      <w:r>
        <w:rPr>
          <w:rFonts w:hint="eastAsia" w:ascii="方正仿宋_GB18030" w:hAnsi="方正仿宋_GB18030" w:eastAsia="方正仿宋_GB18030" w:cs="方正仿宋_GB18030"/>
          <w:color w:val="000000"/>
          <w:kern w:val="0"/>
          <w:sz w:val="24"/>
          <w:szCs w:val="24"/>
          <w:u w:val="single"/>
        </w:rPr>
        <w:t>                         </w:t>
      </w:r>
      <w:r>
        <w:rPr>
          <w:rFonts w:hint="eastAsia" w:ascii="方正仿宋_GB18030" w:hAnsi="方正仿宋_GB18030" w:eastAsia="方正仿宋_GB18030" w:cs="方正仿宋_GB18030"/>
          <w:color w:val="000000"/>
          <w:kern w:val="0"/>
          <w:sz w:val="24"/>
          <w:szCs w:val="24"/>
        </w:rPr>
        <w:t>；</w:t>
      </w:r>
    </w:p>
    <w:p w14:paraId="211FA10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通信地址：</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 xml:space="preserve"> 。</w:t>
      </w:r>
    </w:p>
    <w:p w14:paraId="7059905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1.1.3 工程和设备</w:t>
      </w:r>
    </w:p>
    <w:p w14:paraId="036A796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1.1.3.7 作为施工现场组成部分的其他场所包括：</w:t>
      </w:r>
      <w:r>
        <w:rPr>
          <w:rFonts w:hint="eastAsia" w:ascii="方正仿宋_GB18030" w:hAnsi="方正仿宋_GB18030" w:eastAsia="方正仿宋_GB18030" w:cs="方正仿宋_GB18030"/>
          <w:color w:val="000000"/>
          <w:kern w:val="0"/>
          <w:sz w:val="24"/>
          <w:szCs w:val="24"/>
          <w:u w:val="single"/>
        </w:rPr>
        <w:t xml:space="preserve">符合规定的按通用条款确定 </w:t>
      </w:r>
      <w:r>
        <w:rPr>
          <w:rFonts w:hint="eastAsia" w:ascii="方正仿宋_GB18030" w:hAnsi="方正仿宋_GB18030" w:eastAsia="方正仿宋_GB18030" w:cs="方正仿宋_GB18030"/>
          <w:color w:val="000000"/>
          <w:kern w:val="0"/>
          <w:sz w:val="24"/>
          <w:szCs w:val="24"/>
        </w:rPr>
        <w:t>。</w:t>
      </w:r>
    </w:p>
    <w:p w14:paraId="5719BE3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1.1.3.9 永久占地包括：</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p w14:paraId="5AEEF11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1.1.3.10 临时占地包括：</w:t>
      </w:r>
      <w:r>
        <w:rPr>
          <w:rFonts w:hint="eastAsia" w:ascii="方正仿宋_GB18030" w:hAnsi="方正仿宋_GB18030" w:eastAsia="方正仿宋_GB18030" w:cs="方正仿宋_GB18030"/>
          <w:color w:val="000000"/>
          <w:kern w:val="0"/>
          <w:sz w:val="24"/>
          <w:szCs w:val="24"/>
          <w:u w:val="single"/>
        </w:rPr>
        <w:t>双方在合同履行中确定</w:t>
      </w:r>
      <w:r>
        <w:rPr>
          <w:rFonts w:hint="eastAsia" w:ascii="方正仿宋_GB18030" w:hAnsi="方正仿宋_GB18030" w:eastAsia="方正仿宋_GB18030" w:cs="方正仿宋_GB18030"/>
          <w:color w:val="000000"/>
          <w:kern w:val="0"/>
          <w:sz w:val="24"/>
          <w:szCs w:val="24"/>
        </w:rPr>
        <w:t xml:space="preserve"> 。</w:t>
      </w:r>
    </w:p>
    <w:p w14:paraId="39D79AD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1.3法律 </w:t>
      </w:r>
    </w:p>
    <w:p w14:paraId="6FDAA52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适用于合同的其他规范性文件：</w:t>
      </w:r>
      <w:r>
        <w:rPr>
          <w:rFonts w:hint="eastAsia" w:ascii="方正仿宋_GB18030" w:hAnsi="方正仿宋_GB18030" w:eastAsia="方正仿宋_GB18030" w:cs="方正仿宋_GB18030"/>
          <w:color w:val="000000"/>
          <w:kern w:val="0"/>
          <w:sz w:val="24"/>
          <w:szCs w:val="24"/>
          <w:u w:val="single"/>
        </w:rPr>
        <w:t>执行通用条款</w:t>
      </w:r>
      <w:r>
        <w:rPr>
          <w:rFonts w:hint="eastAsia" w:ascii="方正仿宋_GB18030" w:hAnsi="方正仿宋_GB18030" w:eastAsia="方正仿宋_GB18030" w:cs="方正仿宋_GB18030"/>
          <w:color w:val="000000"/>
          <w:kern w:val="0"/>
          <w:sz w:val="24"/>
          <w:szCs w:val="24"/>
        </w:rPr>
        <w:t xml:space="preserve"> 。</w:t>
      </w:r>
    </w:p>
    <w:p w14:paraId="7D7A46D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1.4 标准和规范</w:t>
      </w:r>
    </w:p>
    <w:p w14:paraId="7301A27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1.4.1适用于工程的标准规范包括：</w:t>
      </w:r>
      <w:r>
        <w:rPr>
          <w:rFonts w:hint="eastAsia" w:ascii="方正仿宋_GB18030" w:hAnsi="方正仿宋_GB18030" w:eastAsia="方正仿宋_GB18030" w:cs="方正仿宋_GB18030"/>
          <w:color w:val="000000"/>
          <w:kern w:val="0"/>
          <w:sz w:val="24"/>
          <w:szCs w:val="24"/>
          <w:u w:val="single"/>
        </w:rPr>
        <w:t>执行通用条款，国家及本工程所在地、行业的有关标准执行</w:t>
      </w:r>
      <w:r>
        <w:rPr>
          <w:rFonts w:hint="eastAsia" w:ascii="方正仿宋_GB18030" w:hAnsi="方正仿宋_GB18030" w:eastAsia="方正仿宋_GB18030" w:cs="方正仿宋_GB18030"/>
          <w:color w:val="000000"/>
          <w:kern w:val="0"/>
          <w:sz w:val="24"/>
          <w:szCs w:val="24"/>
        </w:rPr>
        <w:t>。</w:t>
      </w:r>
    </w:p>
    <w:p w14:paraId="7E3A170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1.4.2 发包人提供国外标准、规范的名称：</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02ED2ED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发包人提供国外标准、规范的份数：</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51E128D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发包人提供国外标准、规范的名称： </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314ED31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1.4.3发包人对工程的技术标准和功能要求的特殊要求：</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17E18D1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1.5 合同文件的优先顺序                             </w:t>
      </w:r>
    </w:p>
    <w:p w14:paraId="0372801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合同文件组成及优先顺序为：</w:t>
      </w:r>
      <w:r>
        <w:rPr>
          <w:rFonts w:hint="eastAsia" w:ascii="方正仿宋_GB18030" w:hAnsi="方正仿宋_GB18030" w:eastAsia="方正仿宋_GB18030" w:cs="方正仿宋_GB18030"/>
          <w:color w:val="000000"/>
          <w:kern w:val="0"/>
          <w:sz w:val="24"/>
          <w:szCs w:val="24"/>
          <w:u w:val="single"/>
        </w:rPr>
        <w:t>（1）本合同协议书（2）本合同通用条款（3）标准、规范及有关技术文件（4）图纸（5）工程量清单（6）</w:t>
      </w:r>
      <w:r>
        <w:rPr>
          <w:rFonts w:hint="eastAsia" w:ascii="方正仿宋_GB18030" w:hAnsi="方正仿宋_GB18030" w:eastAsia="方正仿宋_GB18030" w:cs="方正仿宋_GB18030"/>
          <w:kern w:val="0"/>
          <w:sz w:val="24"/>
          <w:szCs w:val="24"/>
          <w:u w:val="single"/>
        </w:rPr>
        <w:t>投标报价书</w:t>
      </w:r>
      <w:r>
        <w:rPr>
          <w:rFonts w:hint="eastAsia" w:ascii="方正仿宋_GB18030" w:hAnsi="方正仿宋_GB18030" w:eastAsia="方正仿宋_GB18030" w:cs="方正仿宋_GB18030"/>
          <w:color w:val="000000"/>
          <w:kern w:val="0"/>
          <w:sz w:val="24"/>
          <w:szCs w:val="24"/>
          <w:u w:val="single"/>
        </w:rPr>
        <w:t>或预算书（7）双方有关工程的洽商、变更等书面协议或文件</w:t>
      </w:r>
      <w:r>
        <w:rPr>
          <w:rFonts w:hint="eastAsia" w:ascii="方正仿宋_GB18030" w:hAnsi="方正仿宋_GB18030" w:eastAsia="方正仿宋_GB18030" w:cs="方正仿宋_GB18030"/>
          <w:color w:val="000000"/>
          <w:kern w:val="0"/>
          <w:sz w:val="24"/>
          <w:szCs w:val="24"/>
        </w:rPr>
        <w:t>。</w:t>
      </w:r>
    </w:p>
    <w:p w14:paraId="6A9756C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 图纸和承包人文件</w:t>
      </w:r>
      <w:r>
        <w:rPr>
          <w:rFonts w:hint="eastAsia" w:ascii="方正仿宋_GB18030" w:hAnsi="方正仿宋_GB18030" w:eastAsia="方正仿宋_GB18030" w:cs="方正仿宋_GB18030"/>
          <w:color w:val="000000"/>
          <w:kern w:val="0"/>
          <w:sz w:val="24"/>
          <w:szCs w:val="24"/>
        </w:rPr>
        <w:tab/>
      </w:r>
    </w:p>
    <w:p w14:paraId="026BDCB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1.6.1 图纸的提供</w:t>
      </w:r>
    </w:p>
    <w:p w14:paraId="1818FAE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发包人向承包人提供图纸的期限：</w:t>
      </w:r>
      <w:r>
        <w:rPr>
          <w:rFonts w:hint="eastAsia" w:ascii="方正仿宋_GB18030" w:hAnsi="方正仿宋_GB18030" w:eastAsia="方正仿宋_GB18030" w:cs="方正仿宋_GB18030"/>
          <w:color w:val="000000"/>
          <w:kern w:val="0"/>
          <w:sz w:val="24"/>
          <w:szCs w:val="24"/>
          <w:u w:val="single"/>
        </w:rPr>
        <w:t xml:space="preserve"> 无</w:t>
      </w:r>
      <w:r>
        <w:rPr>
          <w:rFonts w:hint="eastAsia" w:ascii="方正仿宋_GB18030" w:hAnsi="方正仿宋_GB18030" w:eastAsia="方正仿宋_GB18030" w:cs="方正仿宋_GB18030"/>
          <w:color w:val="000000"/>
          <w:kern w:val="0"/>
          <w:sz w:val="24"/>
          <w:szCs w:val="24"/>
        </w:rPr>
        <w:t>；</w:t>
      </w:r>
    </w:p>
    <w:p w14:paraId="0216A14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发包人向承包人提供图纸的数量：</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p w14:paraId="14FAD90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发包人向承包人提供图纸的内容：</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p w14:paraId="3EEDEFC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1.6.4 承包人文件</w:t>
      </w:r>
    </w:p>
    <w:p w14:paraId="61A057A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需要由承包人提供的文件，包括：</w:t>
      </w:r>
      <w:r>
        <w:rPr>
          <w:rFonts w:hint="eastAsia" w:ascii="方正仿宋_GB18030" w:hAnsi="方正仿宋_GB18030" w:eastAsia="方正仿宋_GB18030" w:cs="方正仿宋_GB18030"/>
          <w:color w:val="000000"/>
          <w:kern w:val="0"/>
          <w:sz w:val="24"/>
          <w:szCs w:val="24"/>
          <w:u w:val="single"/>
        </w:rPr>
        <w:t>营业执照、企业资质、施工管理人员名单及资质等</w:t>
      </w:r>
      <w:r>
        <w:rPr>
          <w:rFonts w:hint="eastAsia" w:ascii="方正仿宋_GB18030" w:hAnsi="方正仿宋_GB18030" w:eastAsia="方正仿宋_GB18030" w:cs="方正仿宋_GB18030"/>
          <w:color w:val="000000"/>
          <w:kern w:val="0"/>
          <w:sz w:val="24"/>
          <w:szCs w:val="24"/>
        </w:rPr>
        <w:t>；</w:t>
      </w:r>
    </w:p>
    <w:p w14:paraId="43F7CC0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承包人提供的文件的期限为：</w:t>
      </w:r>
      <w:r>
        <w:rPr>
          <w:rFonts w:hint="eastAsia" w:ascii="方正仿宋_GB18030" w:hAnsi="方正仿宋_GB18030" w:eastAsia="方正仿宋_GB18030" w:cs="方正仿宋_GB18030"/>
          <w:color w:val="000000"/>
          <w:kern w:val="0"/>
          <w:sz w:val="24"/>
          <w:szCs w:val="24"/>
          <w:u w:val="single"/>
        </w:rPr>
        <w:t xml:space="preserve">根据设计单位进度提交 </w:t>
      </w:r>
      <w:r>
        <w:rPr>
          <w:rFonts w:hint="eastAsia" w:ascii="方正仿宋_GB18030" w:hAnsi="方正仿宋_GB18030" w:eastAsia="方正仿宋_GB18030" w:cs="方正仿宋_GB18030"/>
          <w:color w:val="000000"/>
          <w:kern w:val="0"/>
          <w:sz w:val="24"/>
          <w:szCs w:val="24"/>
        </w:rPr>
        <w:t>；</w:t>
      </w:r>
    </w:p>
    <w:p w14:paraId="39562ED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承包人提供的文件的数量为：</w:t>
      </w:r>
      <w:r>
        <w:rPr>
          <w:rFonts w:hint="eastAsia" w:ascii="方正仿宋_GB18030" w:hAnsi="方正仿宋_GB18030" w:eastAsia="方正仿宋_GB18030" w:cs="方正仿宋_GB18030"/>
          <w:color w:val="000000"/>
          <w:kern w:val="0"/>
          <w:sz w:val="24"/>
          <w:szCs w:val="24"/>
          <w:u w:val="single"/>
        </w:rPr>
        <w:t xml:space="preserve">贰套  </w:t>
      </w:r>
      <w:r>
        <w:rPr>
          <w:rFonts w:hint="eastAsia" w:ascii="方正仿宋_GB18030" w:hAnsi="方正仿宋_GB18030" w:eastAsia="方正仿宋_GB18030" w:cs="方正仿宋_GB18030"/>
          <w:color w:val="000000"/>
          <w:kern w:val="0"/>
          <w:sz w:val="24"/>
          <w:szCs w:val="24"/>
        </w:rPr>
        <w:t>；</w:t>
      </w:r>
    </w:p>
    <w:p w14:paraId="1066EB9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承包人提供的文件的形式为：</w:t>
      </w:r>
      <w:r>
        <w:rPr>
          <w:rFonts w:hint="eastAsia" w:ascii="方正仿宋_GB18030" w:hAnsi="方正仿宋_GB18030" w:eastAsia="方正仿宋_GB18030" w:cs="方正仿宋_GB18030"/>
          <w:color w:val="000000"/>
          <w:kern w:val="0"/>
          <w:sz w:val="24"/>
          <w:szCs w:val="24"/>
          <w:u w:val="single"/>
        </w:rPr>
        <w:t xml:space="preserve">纸质 </w:t>
      </w:r>
      <w:r>
        <w:rPr>
          <w:rFonts w:hint="eastAsia" w:ascii="方正仿宋_GB18030" w:hAnsi="方正仿宋_GB18030" w:eastAsia="方正仿宋_GB18030" w:cs="方正仿宋_GB18030"/>
          <w:color w:val="000000"/>
          <w:kern w:val="0"/>
          <w:sz w:val="24"/>
          <w:szCs w:val="24"/>
        </w:rPr>
        <w:t xml:space="preserve"> ；</w:t>
      </w:r>
    </w:p>
    <w:p w14:paraId="4C5F84B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发包人审批承包人文件的期限：</w:t>
      </w:r>
      <w:r>
        <w:rPr>
          <w:rFonts w:hint="eastAsia" w:ascii="方正仿宋_GB18030" w:hAnsi="方正仿宋_GB18030" w:eastAsia="方正仿宋_GB18030" w:cs="方正仿宋_GB18030"/>
          <w:color w:val="000000"/>
          <w:kern w:val="0"/>
          <w:sz w:val="24"/>
          <w:szCs w:val="24"/>
          <w:u w:val="single"/>
        </w:rPr>
        <w:t>收到文件后3天内</w:t>
      </w:r>
      <w:r>
        <w:rPr>
          <w:rFonts w:hint="eastAsia" w:ascii="方正仿宋_GB18030" w:hAnsi="方正仿宋_GB18030" w:eastAsia="方正仿宋_GB18030" w:cs="方正仿宋_GB18030"/>
          <w:color w:val="000000"/>
          <w:kern w:val="0"/>
          <w:sz w:val="24"/>
          <w:szCs w:val="24"/>
        </w:rPr>
        <w:t>。</w:t>
      </w:r>
    </w:p>
    <w:p w14:paraId="4B8E184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1.6.5 现场图纸准备</w:t>
      </w:r>
    </w:p>
    <w:p w14:paraId="7E9E5B2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关于现场图纸准备的约定：</w:t>
      </w:r>
      <w:r>
        <w:rPr>
          <w:rFonts w:hint="eastAsia" w:ascii="方正仿宋_GB18030" w:hAnsi="方正仿宋_GB18030" w:eastAsia="方正仿宋_GB18030" w:cs="方正仿宋_GB18030"/>
          <w:color w:val="000000"/>
          <w:kern w:val="0"/>
          <w:sz w:val="24"/>
          <w:szCs w:val="24"/>
          <w:u w:val="single"/>
        </w:rPr>
        <w:t>执行通用条款</w:t>
      </w:r>
      <w:r>
        <w:rPr>
          <w:rFonts w:hint="eastAsia" w:ascii="方正仿宋_GB18030" w:hAnsi="方正仿宋_GB18030" w:eastAsia="方正仿宋_GB18030" w:cs="方正仿宋_GB18030"/>
          <w:color w:val="000000"/>
          <w:kern w:val="0"/>
          <w:sz w:val="24"/>
          <w:szCs w:val="24"/>
        </w:rPr>
        <w:t>。</w:t>
      </w:r>
    </w:p>
    <w:p w14:paraId="49A22A3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1.7 联络</w:t>
      </w:r>
    </w:p>
    <w:p w14:paraId="677B9A8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1.7.1发包人和承包人应当在</w:t>
      </w:r>
      <w:r>
        <w:rPr>
          <w:rFonts w:hint="eastAsia" w:ascii="方正仿宋_GB18030" w:hAnsi="方正仿宋_GB18030" w:eastAsia="方正仿宋_GB18030" w:cs="方正仿宋_GB18030"/>
          <w:color w:val="000000"/>
          <w:kern w:val="0"/>
          <w:sz w:val="24"/>
          <w:szCs w:val="24"/>
          <w:u w:val="single"/>
        </w:rPr>
        <w:t xml:space="preserve"> 2 </w:t>
      </w:r>
      <w:r>
        <w:rPr>
          <w:rFonts w:hint="eastAsia" w:ascii="方正仿宋_GB18030" w:hAnsi="方正仿宋_GB18030" w:eastAsia="方正仿宋_GB18030" w:cs="方正仿宋_GB18030"/>
          <w:color w:val="000000"/>
          <w:kern w:val="0"/>
          <w:sz w:val="24"/>
          <w:szCs w:val="24"/>
        </w:rPr>
        <w:t>天内将与合同有关的通知、批准、证明、证书、指示、指令、要求、请求、同意、意见、确定和决定等书面函件送达对方当事人。</w:t>
      </w:r>
    </w:p>
    <w:p w14:paraId="2CDD559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1.7.2 发包人接收文件的地点：</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w:t>
      </w:r>
    </w:p>
    <w:p w14:paraId="403042D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发包人指定的接收人为：</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05B2C37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承包人接收文件的地点：</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w:t>
      </w:r>
    </w:p>
    <w:p w14:paraId="5C72A8F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承包人指定的接收人为：</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592EAEE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监理人接收文件的地点：</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52D2889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监理人指定的接收人为：</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1E73606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1.10 交通运输</w:t>
      </w:r>
    </w:p>
    <w:p w14:paraId="6B3B83E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w:t>
      </w:r>
      <w:bookmarkStart w:id="488" w:name="_Toc303539100"/>
      <w:bookmarkStart w:id="489" w:name="_Toc304295521"/>
      <w:bookmarkStart w:id="490" w:name="_Toc300934943"/>
      <w:bookmarkStart w:id="491" w:name="_Toc312677986"/>
      <w:bookmarkStart w:id="492" w:name="_Toc318581155"/>
      <w:r>
        <w:rPr>
          <w:rFonts w:hint="eastAsia" w:ascii="方正仿宋_GB18030" w:hAnsi="方正仿宋_GB18030" w:eastAsia="方正仿宋_GB18030" w:cs="方正仿宋_GB18030"/>
          <w:color w:val="000000"/>
          <w:kern w:val="0"/>
          <w:sz w:val="24"/>
          <w:szCs w:val="24"/>
        </w:rPr>
        <w:t>.10.1 出入现场的权利</w:t>
      </w:r>
    </w:p>
    <w:p w14:paraId="063F5A3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关于出入现场的权利的约定：</w:t>
      </w:r>
      <w:r>
        <w:rPr>
          <w:rFonts w:hint="eastAsia" w:ascii="方正仿宋_GB18030" w:hAnsi="方正仿宋_GB18030" w:eastAsia="方正仿宋_GB18030" w:cs="方正仿宋_GB18030"/>
          <w:color w:val="000000"/>
          <w:kern w:val="0"/>
          <w:sz w:val="24"/>
          <w:szCs w:val="24"/>
          <w:u w:val="single"/>
        </w:rPr>
        <w:t>由承包人按发包人要求取得相关出入施工场地所需批准手续和全部权利，并承担相应的措施和手续费用</w:t>
      </w:r>
      <w:r>
        <w:rPr>
          <w:rFonts w:hint="eastAsia" w:ascii="方正仿宋_GB18030" w:hAnsi="方正仿宋_GB18030" w:eastAsia="方正仿宋_GB18030" w:cs="方正仿宋_GB18030"/>
          <w:color w:val="000000"/>
          <w:kern w:val="0"/>
          <w:sz w:val="24"/>
          <w:szCs w:val="24"/>
        </w:rPr>
        <w:t>。</w:t>
      </w:r>
    </w:p>
    <w:bookmarkEnd w:id="488"/>
    <w:bookmarkEnd w:id="489"/>
    <w:bookmarkEnd w:id="490"/>
    <w:bookmarkEnd w:id="491"/>
    <w:bookmarkEnd w:id="492"/>
    <w:p w14:paraId="416AF4A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w:t>
      </w:r>
      <w:bookmarkStart w:id="493" w:name="_Toc318581156"/>
      <w:bookmarkStart w:id="494" w:name="_Toc312677987"/>
      <w:bookmarkStart w:id="495" w:name="_Toc300934944"/>
      <w:bookmarkStart w:id="496" w:name="_Toc304295522"/>
      <w:bookmarkStart w:id="497" w:name="_Toc303539101"/>
      <w:r>
        <w:rPr>
          <w:rFonts w:hint="eastAsia" w:ascii="方正仿宋_GB18030" w:hAnsi="方正仿宋_GB18030" w:eastAsia="方正仿宋_GB18030" w:cs="方正仿宋_GB18030"/>
          <w:color w:val="000000"/>
          <w:kern w:val="0"/>
          <w:sz w:val="24"/>
          <w:szCs w:val="24"/>
        </w:rPr>
        <w:t>.10.3 场内交通</w:t>
      </w:r>
    </w:p>
    <w:p w14:paraId="1672A02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关于场外交通和场内交通的边界的约定：以本项目施工区域线为划分依据。</w:t>
      </w:r>
    </w:p>
    <w:p w14:paraId="1D5656F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关于发包人向承包人免费提供满足工程施工需要的场内道路和交通设施的约定：</w:t>
      </w:r>
      <w:r>
        <w:rPr>
          <w:rFonts w:hint="eastAsia" w:ascii="方正仿宋_GB18030" w:hAnsi="方正仿宋_GB18030" w:eastAsia="方正仿宋_GB18030" w:cs="方正仿宋_GB18030"/>
          <w:color w:val="000000"/>
          <w:kern w:val="0"/>
          <w:sz w:val="24"/>
          <w:szCs w:val="24"/>
          <w:u w:val="single"/>
        </w:rPr>
        <w:t>双方另行确定</w:t>
      </w:r>
      <w:r>
        <w:rPr>
          <w:rFonts w:hint="eastAsia" w:ascii="方正仿宋_GB18030" w:hAnsi="方正仿宋_GB18030" w:eastAsia="方正仿宋_GB18030" w:cs="方正仿宋_GB18030"/>
          <w:color w:val="000000"/>
          <w:kern w:val="0"/>
          <w:sz w:val="24"/>
          <w:szCs w:val="24"/>
        </w:rPr>
        <w:t>。</w:t>
      </w:r>
      <w:bookmarkEnd w:id="493"/>
      <w:bookmarkEnd w:id="494"/>
      <w:bookmarkEnd w:id="495"/>
      <w:bookmarkEnd w:id="496"/>
      <w:bookmarkEnd w:id="497"/>
      <w:r>
        <w:rPr>
          <w:rFonts w:hint="eastAsia" w:ascii="方正仿宋_GB18030" w:hAnsi="方正仿宋_GB18030" w:eastAsia="方正仿宋_GB18030" w:cs="方正仿宋_GB18030"/>
          <w:color w:val="000000"/>
          <w:kern w:val="0"/>
          <w:sz w:val="24"/>
          <w:szCs w:val="24"/>
        </w:rPr>
        <w:t xml:space="preserve">  </w:t>
      </w:r>
      <w:bookmarkStart w:id="498" w:name="_Toc318581157"/>
    </w:p>
    <w:p w14:paraId="7784324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1.10.4超大件和超重件的运输</w:t>
      </w:r>
    </w:p>
    <w:p w14:paraId="7B3D074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运输超大件或超重件所需的道路和桥梁临时加固改造费用和其他有关费用由</w:t>
      </w:r>
      <w:r>
        <w:rPr>
          <w:rFonts w:hint="eastAsia" w:ascii="方正仿宋_GB18030" w:hAnsi="方正仿宋_GB18030" w:eastAsia="方正仿宋_GB18030" w:cs="方正仿宋_GB18030"/>
          <w:color w:val="000000"/>
          <w:kern w:val="0"/>
          <w:sz w:val="24"/>
          <w:szCs w:val="24"/>
          <w:u w:val="single"/>
        </w:rPr>
        <w:t>承包方</w:t>
      </w:r>
      <w:r>
        <w:rPr>
          <w:rFonts w:hint="eastAsia" w:ascii="方正仿宋_GB18030" w:hAnsi="方正仿宋_GB18030" w:eastAsia="方正仿宋_GB18030" w:cs="方正仿宋_GB18030"/>
          <w:color w:val="000000"/>
          <w:kern w:val="0"/>
          <w:sz w:val="24"/>
          <w:szCs w:val="24"/>
        </w:rPr>
        <w:t>承担。</w:t>
      </w:r>
    </w:p>
    <w:bookmarkEnd w:id="498"/>
    <w:p w14:paraId="1C40540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1.11 知识产权</w:t>
      </w:r>
    </w:p>
    <w:p w14:paraId="6D7B621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1.11.1关于发包人提供给承包人的图纸、发包人为实施工程自行编制或委托编制的技术规范以及反映发包人关于合同要求或其他类似性质的文件的著作权的归属：</w:t>
      </w:r>
      <w:r>
        <w:rPr>
          <w:rFonts w:hint="eastAsia" w:ascii="方正仿宋_GB18030" w:hAnsi="方正仿宋_GB18030" w:eastAsia="方正仿宋_GB18030" w:cs="方正仿宋_GB18030"/>
          <w:color w:val="000000"/>
          <w:kern w:val="0"/>
          <w:sz w:val="24"/>
          <w:szCs w:val="24"/>
          <w:u w:val="single"/>
        </w:rPr>
        <w:t>按通用条款</w:t>
      </w:r>
      <w:r>
        <w:rPr>
          <w:rFonts w:hint="eastAsia" w:ascii="方正仿宋_GB18030" w:hAnsi="方正仿宋_GB18030" w:eastAsia="方正仿宋_GB18030" w:cs="方正仿宋_GB18030"/>
          <w:color w:val="000000"/>
          <w:kern w:val="0"/>
          <w:sz w:val="24"/>
          <w:szCs w:val="24"/>
        </w:rPr>
        <w:t>。</w:t>
      </w:r>
    </w:p>
    <w:p w14:paraId="30598EA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关于发包人提供的上述文件的使用限制的要求：</w:t>
      </w:r>
      <w:r>
        <w:rPr>
          <w:rFonts w:hint="eastAsia" w:ascii="方正仿宋_GB18030" w:hAnsi="方正仿宋_GB18030" w:eastAsia="方正仿宋_GB18030" w:cs="方正仿宋_GB18030"/>
          <w:color w:val="000000"/>
          <w:kern w:val="0"/>
          <w:sz w:val="24"/>
          <w:szCs w:val="24"/>
          <w:u w:val="single"/>
        </w:rPr>
        <w:t>按通用条款</w:t>
      </w:r>
      <w:r>
        <w:rPr>
          <w:rFonts w:hint="eastAsia" w:ascii="方正仿宋_GB18030" w:hAnsi="方正仿宋_GB18030" w:eastAsia="方正仿宋_GB18030" w:cs="方正仿宋_GB18030"/>
          <w:color w:val="000000"/>
          <w:kern w:val="0"/>
          <w:sz w:val="24"/>
          <w:szCs w:val="24"/>
        </w:rPr>
        <w:t>。</w:t>
      </w:r>
    </w:p>
    <w:p w14:paraId="4FA8E51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1.11.2 关于承包人为实施工程所编制文件的著作权的归属：</w:t>
      </w:r>
      <w:r>
        <w:rPr>
          <w:rFonts w:hint="eastAsia" w:ascii="方正仿宋_GB18030" w:hAnsi="方正仿宋_GB18030" w:eastAsia="方正仿宋_GB18030" w:cs="方正仿宋_GB18030"/>
          <w:color w:val="000000"/>
          <w:kern w:val="0"/>
          <w:sz w:val="24"/>
          <w:szCs w:val="24"/>
          <w:u w:val="single"/>
        </w:rPr>
        <w:t>承包人</w:t>
      </w:r>
      <w:r>
        <w:rPr>
          <w:rFonts w:hint="eastAsia" w:ascii="方正仿宋_GB18030" w:hAnsi="方正仿宋_GB18030" w:eastAsia="方正仿宋_GB18030" w:cs="方正仿宋_GB18030"/>
          <w:color w:val="000000"/>
          <w:kern w:val="0"/>
          <w:sz w:val="24"/>
          <w:szCs w:val="24"/>
        </w:rPr>
        <w:t>。</w:t>
      </w:r>
    </w:p>
    <w:p w14:paraId="66F237D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关于承包人提供的上述文件的使用限制的要求：</w:t>
      </w:r>
      <w:r>
        <w:rPr>
          <w:rFonts w:hint="eastAsia" w:ascii="方正仿宋_GB18030" w:hAnsi="方正仿宋_GB18030" w:eastAsia="方正仿宋_GB18030" w:cs="方正仿宋_GB18030"/>
          <w:color w:val="000000"/>
          <w:kern w:val="0"/>
          <w:sz w:val="24"/>
          <w:szCs w:val="24"/>
          <w:u w:val="single"/>
        </w:rPr>
        <w:t>承包人所编制的工程管理文件、管理方案、组织设计、施工方案、安全措施等与本工程有关的文件，使用至档案移交至日</w:t>
      </w:r>
      <w:r>
        <w:rPr>
          <w:rFonts w:hint="eastAsia" w:ascii="方正仿宋_GB18030" w:hAnsi="方正仿宋_GB18030" w:eastAsia="方正仿宋_GB18030" w:cs="方正仿宋_GB18030"/>
          <w:color w:val="000000"/>
          <w:kern w:val="0"/>
          <w:sz w:val="24"/>
          <w:szCs w:val="24"/>
        </w:rPr>
        <w:t xml:space="preserve"> 。</w:t>
      </w:r>
    </w:p>
    <w:p w14:paraId="4C75362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1.11.4 承包人在施工过程中所采用的专利、专有技术、技术秘密的使用费的承担方式：</w:t>
      </w:r>
      <w:r>
        <w:rPr>
          <w:rFonts w:hint="eastAsia" w:ascii="方正仿宋_GB18030" w:hAnsi="方正仿宋_GB18030" w:eastAsia="方正仿宋_GB18030" w:cs="方正仿宋_GB18030"/>
          <w:color w:val="000000"/>
          <w:kern w:val="0"/>
          <w:sz w:val="24"/>
          <w:szCs w:val="24"/>
          <w:u w:val="single"/>
        </w:rPr>
        <w:t>按通用条款</w:t>
      </w:r>
      <w:r>
        <w:rPr>
          <w:rFonts w:hint="eastAsia" w:ascii="方正仿宋_GB18030" w:hAnsi="方正仿宋_GB18030" w:eastAsia="方正仿宋_GB18030" w:cs="方正仿宋_GB18030"/>
          <w:color w:val="000000"/>
          <w:kern w:val="0"/>
          <w:sz w:val="24"/>
          <w:szCs w:val="24"/>
        </w:rPr>
        <w:t xml:space="preserve"> 。</w:t>
      </w:r>
    </w:p>
    <w:p w14:paraId="477ED64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1.13工程量清单错误的修正</w:t>
      </w:r>
    </w:p>
    <w:p w14:paraId="393032D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出现工程量清单错误时，是否调整合同价格：</w:t>
      </w:r>
      <w:r>
        <w:rPr>
          <w:rFonts w:hint="eastAsia" w:ascii="方正仿宋_GB18030" w:hAnsi="方正仿宋_GB18030" w:eastAsia="方正仿宋_GB18030" w:cs="方正仿宋_GB18030"/>
          <w:color w:val="000000"/>
          <w:kern w:val="0"/>
          <w:sz w:val="24"/>
          <w:szCs w:val="24"/>
          <w:u w:val="single"/>
        </w:rPr>
        <w:t xml:space="preserve">  否  </w:t>
      </w:r>
      <w:r>
        <w:rPr>
          <w:rFonts w:hint="eastAsia" w:ascii="方正仿宋_GB18030" w:hAnsi="方正仿宋_GB18030" w:eastAsia="方正仿宋_GB18030" w:cs="方正仿宋_GB18030"/>
          <w:color w:val="000000"/>
          <w:kern w:val="0"/>
          <w:sz w:val="24"/>
          <w:szCs w:val="24"/>
        </w:rPr>
        <w:t>。</w:t>
      </w:r>
    </w:p>
    <w:p w14:paraId="53461E6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允许调整合同价格的工程量偏差范围：</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3483F3E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499" w:name="_Toc351203634"/>
      <w:r>
        <w:rPr>
          <w:rFonts w:hint="eastAsia" w:ascii="方正仿宋_GB18030" w:hAnsi="方正仿宋_GB18030" w:eastAsia="方正仿宋_GB18030" w:cs="方正仿宋_GB18030"/>
          <w:color w:val="000000"/>
          <w:kern w:val="0"/>
          <w:sz w:val="24"/>
          <w:szCs w:val="24"/>
        </w:rPr>
        <w:t>2</w:t>
      </w:r>
      <w:bookmarkStart w:id="500" w:name="_Toc296890985"/>
      <w:bookmarkStart w:id="501" w:name="_Toc297120457"/>
      <w:bookmarkStart w:id="502" w:name="_Toc296891197"/>
      <w:bookmarkStart w:id="503" w:name="_Toc296347156"/>
      <w:bookmarkStart w:id="504" w:name="_Toc292559867"/>
      <w:bookmarkStart w:id="505" w:name="_Toc296944496"/>
      <w:bookmarkStart w:id="506" w:name="_Toc296346658"/>
      <w:bookmarkStart w:id="507" w:name="_Toc296503157"/>
      <w:bookmarkStart w:id="508" w:name="_Toc292559362"/>
      <w:bookmarkStart w:id="509" w:name="_Toc297048343"/>
      <w:r>
        <w:rPr>
          <w:rFonts w:hint="eastAsia" w:ascii="方正仿宋_GB18030" w:hAnsi="方正仿宋_GB18030" w:eastAsia="方正仿宋_GB18030" w:cs="方正仿宋_GB18030"/>
          <w:color w:val="000000"/>
          <w:kern w:val="0"/>
          <w:sz w:val="24"/>
          <w:szCs w:val="24"/>
        </w:rPr>
        <w:t>. 发包人</w:t>
      </w:r>
      <w:bookmarkEnd w:id="499"/>
    </w:p>
    <w:bookmarkEnd w:id="500"/>
    <w:bookmarkEnd w:id="501"/>
    <w:bookmarkEnd w:id="502"/>
    <w:bookmarkEnd w:id="503"/>
    <w:bookmarkEnd w:id="504"/>
    <w:bookmarkEnd w:id="505"/>
    <w:bookmarkEnd w:id="506"/>
    <w:bookmarkEnd w:id="507"/>
    <w:bookmarkEnd w:id="508"/>
    <w:bookmarkEnd w:id="509"/>
    <w:p w14:paraId="2A2C992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2.2 发包人代表</w:t>
      </w:r>
    </w:p>
    <w:p w14:paraId="0DCB677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发包人代表：</w:t>
      </w:r>
    </w:p>
    <w:p w14:paraId="51D5810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姓    名：</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588BE96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职    务：</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54202A8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通信地址：</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3791749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发包人对发包人代表的授权范围如下：</w:t>
      </w:r>
      <w:r>
        <w:rPr>
          <w:rFonts w:hint="eastAsia" w:ascii="方正仿宋_GB18030" w:hAnsi="方正仿宋_GB18030" w:eastAsia="方正仿宋_GB18030" w:cs="方正仿宋_GB18030"/>
          <w:color w:val="000000"/>
          <w:kern w:val="0"/>
          <w:sz w:val="24"/>
          <w:szCs w:val="24"/>
          <w:u w:val="single"/>
        </w:rPr>
        <w:t xml:space="preserve">协调施工现场各方面关系，协调工程质量，进度和安全文明施工中存在的问题，解决有关设计和技术签证，办理、签认现场经济技术签证，审核工程进度报表 </w:t>
      </w:r>
      <w:r>
        <w:rPr>
          <w:rFonts w:hint="eastAsia" w:ascii="方正仿宋_GB18030" w:hAnsi="方正仿宋_GB18030" w:eastAsia="方正仿宋_GB18030" w:cs="方正仿宋_GB18030"/>
          <w:color w:val="000000"/>
          <w:kern w:val="0"/>
          <w:sz w:val="24"/>
          <w:szCs w:val="24"/>
        </w:rPr>
        <w:t>。</w:t>
      </w:r>
    </w:p>
    <w:p w14:paraId="5F40118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2.4 施工现场、施工条件和基础资料的提供</w:t>
      </w:r>
    </w:p>
    <w:p w14:paraId="50CBDB0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2.4.1 提供施工现场</w:t>
      </w:r>
    </w:p>
    <w:p w14:paraId="685DE58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关于发包人移交施工现场的期限要求：</w:t>
      </w:r>
      <w:r>
        <w:rPr>
          <w:rFonts w:hint="eastAsia" w:ascii="方正仿宋_GB18030" w:hAnsi="方正仿宋_GB18030" w:eastAsia="方正仿宋_GB18030" w:cs="方正仿宋_GB18030"/>
          <w:color w:val="000000"/>
          <w:kern w:val="0"/>
          <w:sz w:val="24"/>
          <w:szCs w:val="24"/>
          <w:u w:val="single"/>
        </w:rPr>
        <w:t>公示期满后移交</w:t>
      </w:r>
      <w:r>
        <w:rPr>
          <w:rFonts w:hint="eastAsia" w:ascii="方正仿宋_GB18030" w:hAnsi="方正仿宋_GB18030" w:eastAsia="方正仿宋_GB18030" w:cs="方正仿宋_GB18030"/>
          <w:color w:val="000000"/>
          <w:kern w:val="0"/>
          <w:sz w:val="24"/>
          <w:szCs w:val="24"/>
        </w:rPr>
        <w:t>。</w:t>
      </w:r>
    </w:p>
    <w:p w14:paraId="66D7E17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2.4.2 提供施工条件</w:t>
      </w:r>
    </w:p>
    <w:p w14:paraId="254AA93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关于发包人应负责提供施工所需要的条件，包括：</w:t>
      </w:r>
      <w:r>
        <w:rPr>
          <w:rFonts w:hint="eastAsia" w:ascii="方正仿宋_GB18030" w:hAnsi="方正仿宋_GB18030" w:eastAsia="方正仿宋_GB18030" w:cs="方正仿宋_GB18030"/>
          <w:color w:val="000000"/>
          <w:kern w:val="0"/>
          <w:sz w:val="24"/>
          <w:szCs w:val="24"/>
          <w:u w:val="single"/>
        </w:rPr>
        <w:t>执行通用条款</w:t>
      </w:r>
      <w:r>
        <w:rPr>
          <w:rFonts w:hint="eastAsia" w:ascii="方正仿宋_GB18030" w:hAnsi="方正仿宋_GB18030" w:eastAsia="方正仿宋_GB18030" w:cs="方正仿宋_GB18030"/>
          <w:color w:val="000000"/>
          <w:kern w:val="0"/>
          <w:sz w:val="24"/>
          <w:szCs w:val="24"/>
        </w:rPr>
        <w:t>。</w:t>
      </w:r>
    </w:p>
    <w:p w14:paraId="0BA170B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2.5 资金来源证明及支付担保</w:t>
      </w:r>
    </w:p>
    <w:p w14:paraId="671B110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发包人提供资金来源证明的期限要求：</w:t>
      </w:r>
      <w:r>
        <w:rPr>
          <w:rFonts w:hint="eastAsia" w:ascii="方正仿宋_GB18030" w:hAnsi="方正仿宋_GB18030" w:eastAsia="方正仿宋_GB18030" w:cs="方正仿宋_GB18030"/>
          <w:color w:val="000000"/>
          <w:kern w:val="0"/>
          <w:sz w:val="24"/>
          <w:szCs w:val="24"/>
          <w:u w:val="single"/>
        </w:rPr>
        <w:t>不提供</w:t>
      </w:r>
      <w:r>
        <w:rPr>
          <w:rFonts w:hint="eastAsia" w:ascii="方正仿宋_GB18030" w:hAnsi="方正仿宋_GB18030" w:eastAsia="方正仿宋_GB18030" w:cs="方正仿宋_GB18030"/>
          <w:color w:val="000000"/>
          <w:kern w:val="0"/>
          <w:sz w:val="24"/>
          <w:szCs w:val="24"/>
        </w:rPr>
        <w:t xml:space="preserve"> 。</w:t>
      </w:r>
    </w:p>
    <w:p w14:paraId="624C5FD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发包人是否提供支付担保：</w:t>
      </w:r>
      <w:r>
        <w:rPr>
          <w:rFonts w:hint="eastAsia" w:ascii="方正仿宋_GB18030" w:hAnsi="方正仿宋_GB18030" w:eastAsia="方正仿宋_GB18030" w:cs="方正仿宋_GB18030"/>
          <w:color w:val="000000"/>
          <w:kern w:val="0"/>
          <w:sz w:val="24"/>
          <w:szCs w:val="24"/>
          <w:u w:val="single"/>
        </w:rPr>
        <w:t xml:space="preserve">不提供 </w:t>
      </w:r>
      <w:r>
        <w:rPr>
          <w:rFonts w:hint="eastAsia" w:ascii="方正仿宋_GB18030" w:hAnsi="方正仿宋_GB18030" w:eastAsia="方正仿宋_GB18030" w:cs="方正仿宋_GB18030"/>
          <w:color w:val="000000"/>
          <w:kern w:val="0"/>
          <w:sz w:val="24"/>
          <w:szCs w:val="24"/>
        </w:rPr>
        <w:t xml:space="preserve"> 。</w:t>
      </w:r>
    </w:p>
    <w:p w14:paraId="573C4CC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发包人提供支付担保的形式：</w:t>
      </w:r>
      <w:r>
        <w:rPr>
          <w:rFonts w:hint="eastAsia" w:ascii="方正仿宋_GB18030" w:hAnsi="方正仿宋_GB18030" w:eastAsia="方正仿宋_GB18030" w:cs="方正仿宋_GB18030"/>
          <w:color w:val="000000"/>
          <w:kern w:val="0"/>
          <w:sz w:val="24"/>
          <w:szCs w:val="24"/>
          <w:u w:val="single"/>
        </w:rPr>
        <w:t>不提供</w:t>
      </w:r>
      <w:r>
        <w:rPr>
          <w:rFonts w:hint="eastAsia" w:ascii="方正仿宋_GB18030" w:hAnsi="方正仿宋_GB18030" w:eastAsia="方正仿宋_GB18030" w:cs="方正仿宋_GB18030"/>
          <w:color w:val="000000"/>
          <w:kern w:val="0"/>
          <w:sz w:val="24"/>
          <w:szCs w:val="24"/>
        </w:rPr>
        <w:t xml:space="preserve"> 。</w:t>
      </w:r>
    </w:p>
    <w:p w14:paraId="73019C3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510" w:name="_Toc351203635"/>
      <w:r>
        <w:rPr>
          <w:rFonts w:hint="eastAsia" w:ascii="方正仿宋_GB18030" w:hAnsi="方正仿宋_GB18030" w:eastAsia="方正仿宋_GB18030" w:cs="方正仿宋_GB18030"/>
          <w:color w:val="000000"/>
          <w:kern w:val="0"/>
          <w:sz w:val="24"/>
          <w:szCs w:val="24"/>
        </w:rPr>
        <w:t>3</w:t>
      </w:r>
      <w:bookmarkStart w:id="511" w:name="_Toc296503158"/>
      <w:bookmarkStart w:id="512" w:name="_Toc297048344"/>
      <w:bookmarkStart w:id="513" w:name="_Toc297120458"/>
      <w:bookmarkStart w:id="514" w:name="_Toc296346659"/>
      <w:bookmarkStart w:id="515" w:name="_Toc296891198"/>
      <w:bookmarkStart w:id="516" w:name="_Toc296347157"/>
      <w:bookmarkStart w:id="517" w:name="_Toc292559363"/>
      <w:bookmarkStart w:id="518" w:name="_Toc296944497"/>
      <w:bookmarkStart w:id="519" w:name="_Toc296890986"/>
      <w:bookmarkStart w:id="520" w:name="_Toc292559868"/>
      <w:r>
        <w:rPr>
          <w:rFonts w:hint="eastAsia" w:ascii="方正仿宋_GB18030" w:hAnsi="方正仿宋_GB18030" w:eastAsia="方正仿宋_GB18030" w:cs="方正仿宋_GB18030"/>
          <w:color w:val="000000"/>
          <w:kern w:val="0"/>
          <w:sz w:val="24"/>
          <w:szCs w:val="24"/>
        </w:rPr>
        <w:t>. 承包人</w:t>
      </w:r>
      <w:bookmarkEnd w:id="510"/>
    </w:p>
    <w:bookmarkEnd w:id="511"/>
    <w:bookmarkEnd w:id="512"/>
    <w:bookmarkEnd w:id="513"/>
    <w:bookmarkEnd w:id="514"/>
    <w:bookmarkEnd w:id="515"/>
    <w:bookmarkEnd w:id="516"/>
    <w:bookmarkEnd w:id="517"/>
    <w:bookmarkEnd w:id="518"/>
    <w:bookmarkEnd w:id="519"/>
    <w:bookmarkEnd w:id="520"/>
    <w:p w14:paraId="37A66BB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3.1 承包人的一般义务</w:t>
      </w:r>
    </w:p>
    <w:p w14:paraId="5F3DBA8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（9）承包人提交的竣工资料的内容：</w:t>
      </w:r>
      <w:r>
        <w:rPr>
          <w:rFonts w:hint="eastAsia" w:ascii="方正仿宋_GB18030" w:hAnsi="方正仿宋_GB18030" w:eastAsia="方正仿宋_GB18030" w:cs="方正仿宋_GB18030"/>
          <w:color w:val="000000"/>
          <w:kern w:val="0"/>
          <w:sz w:val="24"/>
          <w:szCs w:val="24"/>
          <w:u w:val="single"/>
        </w:rPr>
        <w:t>工程总结、交工文件、合同管理文件、结算书、 竣工图、工程质量管理文件、材料和标准试验、缺陷责任期文件、安全文明管理文件、进度控制文件、合同管理文件、原始工程量签证、现场施工照片等</w:t>
      </w:r>
      <w:r>
        <w:rPr>
          <w:rFonts w:hint="eastAsia" w:ascii="方正仿宋_GB18030" w:hAnsi="方正仿宋_GB18030" w:eastAsia="方正仿宋_GB18030" w:cs="方正仿宋_GB18030"/>
          <w:color w:val="000000"/>
          <w:kern w:val="0"/>
          <w:sz w:val="24"/>
          <w:szCs w:val="24"/>
        </w:rPr>
        <w:t>。</w:t>
      </w:r>
    </w:p>
    <w:p w14:paraId="386E5DD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承包人需要提交的竣工资料套数：</w:t>
      </w:r>
      <w:r>
        <w:rPr>
          <w:rFonts w:hint="eastAsia" w:ascii="方正仿宋_GB18030" w:hAnsi="方正仿宋_GB18030" w:eastAsia="方正仿宋_GB18030" w:cs="方正仿宋_GB18030"/>
          <w:color w:val="000000"/>
          <w:kern w:val="0"/>
          <w:sz w:val="24"/>
          <w:szCs w:val="24"/>
          <w:u w:val="single"/>
        </w:rPr>
        <w:t xml:space="preserve"> 两套 </w:t>
      </w:r>
      <w:r>
        <w:rPr>
          <w:rFonts w:hint="eastAsia" w:ascii="方正仿宋_GB18030" w:hAnsi="方正仿宋_GB18030" w:eastAsia="方正仿宋_GB18030" w:cs="方正仿宋_GB18030"/>
          <w:color w:val="000000"/>
          <w:kern w:val="0"/>
          <w:sz w:val="24"/>
          <w:szCs w:val="24"/>
        </w:rPr>
        <w:t>。</w:t>
      </w:r>
    </w:p>
    <w:p w14:paraId="13C2D82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承包人提交的竣工资料的费用承担：</w:t>
      </w:r>
      <w:r>
        <w:rPr>
          <w:rFonts w:hint="eastAsia" w:ascii="方正仿宋_GB18030" w:hAnsi="方正仿宋_GB18030" w:eastAsia="方正仿宋_GB18030" w:cs="方正仿宋_GB18030"/>
          <w:color w:val="000000"/>
          <w:kern w:val="0"/>
          <w:sz w:val="24"/>
          <w:szCs w:val="24"/>
          <w:u w:val="single"/>
        </w:rPr>
        <w:t xml:space="preserve"> 承包人承担 </w:t>
      </w:r>
      <w:r>
        <w:rPr>
          <w:rFonts w:hint="eastAsia" w:ascii="方正仿宋_GB18030" w:hAnsi="方正仿宋_GB18030" w:eastAsia="方正仿宋_GB18030" w:cs="方正仿宋_GB18030"/>
          <w:color w:val="000000"/>
          <w:kern w:val="0"/>
          <w:sz w:val="24"/>
          <w:szCs w:val="24"/>
        </w:rPr>
        <w:t>。</w:t>
      </w:r>
    </w:p>
    <w:p w14:paraId="13205AE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承包人提交的竣工资料移交时间：</w:t>
      </w:r>
      <w:r>
        <w:rPr>
          <w:rFonts w:hint="eastAsia" w:ascii="方正仿宋_GB18030" w:hAnsi="方正仿宋_GB18030" w:eastAsia="方正仿宋_GB18030" w:cs="方正仿宋_GB18030"/>
          <w:color w:val="000000"/>
          <w:kern w:val="0"/>
          <w:sz w:val="24"/>
          <w:szCs w:val="24"/>
          <w:u w:val="single"/>
        </w:rPr>
        <w:t xml:space="preserve"> 竣工验收之日后7天内 </w:t>
      </w:r>
      <w:r>
        <w:rPr>
          <w:rFonts w:hint="eastAsia" w:ascii="方正仿宋_GB18030" w:hAnsi="方正仿宋_GB18030" w:eastAsia="方正仿宋_GB18030" w:cs="方正仿宋_GB18030"/>
          <w:color w:val="000000"/>
          <w:kern w:val="0"/>
          <w:sz w:val="24"/>
          <w:szCs w:val="24"/>
        </w:rPr>
        <w:t>。</w:t>
      </w:r>
    </w:p>
    <w:p w14:paraId="396AAAE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承包人提交的竣工资料形式要求：</w:t>
      </w:r>
      <w:r>
        <w:rPr>
          <w:rFonts w:hint="eastAsia" w:ascii="方正仿宋_GB18030" w:hAnsi="方正仿宋_GB18030" w:eastAsia="方正仿宋_GB18030" w:cs="方正仿宋_GB18030"/>
          <w:color w:val="000000"/>
          <w:kern w:val="0"/>
          <w:sz w:val="24"/>
          <w:szCs w:val="24"/>
          <w:u w:val="single"/>
        </w:rPr>
        <w:t xml:space="preserve"> 纸质文档和电子文档 </w:t>
      </w:r>
      <w:r>
        <w:rPr>
          <w:rFonts w:hint="eastAsia" w:ascii="方正仿宋_GB18030" w:hAnsi="方正仿宋_GB18030" w:eastAsia="方正仿宋_GB18030" w:cs="方正仿宋_GB18030"/>
          <w:color w:val="000000"/>
          <w:kern w:val="0"/>
          <w:sz w:val="24"/>
          <w:szCs w:val="24"/>
        </w:rPr>
        <w:t>。</w:t>
      </w:r>
    </w:p>
    <w:p w14:paraId="4FE579F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承包人应履行的其他义务：</w:t>
      </w:r>
      <w:r>
        <w:rPr>
          <w:rFonts w:hint="eastAsia" w:ascii="方正仿宋_GB18030" w:hAnsi="方正仿宋_GB18030" w:eastAsia="方正仿宋_GB18030" w:cs="方正仿宋_GB18030"/>
          <w:color w:val="000000"/>
          <w:kern w:val="0"/>
          <w:sz w:val="24"/>
          <w:szCs w:val="24"/>
          <w:u w:val="single"/>
        </w:rPr>
        <w:t>双方另行确定</w:t>
      </w:r>
      <w:r>
        <w:rPr>
          <w:rFonts w:hint="eastAsia" w:ascii="方正仿宋_GB18030" w:hAnsi="方正仿宋_GB18030" w:eastAsia="方正仿宋_GB18030" w:cs="方正仿宋_GB18030"/>
          <w:color w:val="000000"/>
          <w:kern w:val="0"/>
          <w:sz w:val="24"/>
          <w:szCs w:val="24"/>
        </w:rPr>
        <w:t xml:space="preserve"> 。 </w:t>
      </w:r>
    </w:p>
    <w:p w14:paraId="65528BD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3.2 项目经理</w:t>
      </w:r>
    </w:p>
    <w:p w14:paraId="4F0C74D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3.2.1 项目经理：</w:t>
      </w:r>
    </w:p>
    <w:p w14:paraId="5CEE2031">
      <w:pPr>
        <w:pStyle w:val="41"/>
        <w:widowControl/>
        <w:tabs>
          <w:tab w:val="left" w:pos="1620"/>
        </w:tabs>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姓    名：</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sz w:val="24"/>
          <w:szCs w:val="24"/>
          <w:u w:val="single"/>
        </w:rPr>
        <w:t xml:space="preserve">   </w:t>
      </w:r>
      <w:r>
        <w:rPr>
          <w:rFonts w:hint="eastAsia" w:ascii="方正仿宋_GB18030" w:hAnsi="方正仿宋_GB18030" w:eastAsia="方正仿宋_GB18030" w:cs="方正仿宋_GB18030"/>
          <w:color w:val="000000"/>
          <w:kern w:val="0"/>
          <w:sz w:val="24"/>
          <w:szCs w:val="24"/>
          <w:u w:val="single"/>
        </w:rPr>
        <w:t xml:space="preserve">                  </w:t>
      </w:r>
      <w:r>
        <w:rPr>
          <w:rFonts w:hint="eastAsia" w:ascii="方正仿宋_GB18030" w:hAnsi="方正仿宋_GB18030" w:eastAsia="方正仿宋_GB18030" w:cs="方正仿宋_GB18030"/>
          <w:color w:val="000000"/>
          <w:kern w:val="0"/>
          <w:sz w:val="24"/>
          <w:szCs w:val="24"/>
        </w:rPr>
        <w:t>；</w:t>
      </w:r>
    </w:p>
    <w:p w14:paraId="176BC349">
      <w:pPr>
        <w:pStyle w:val="41"/>
        <w:widowControl/>
        <w:tabs>
          <w:tab w:val="left" w:pos="1620"/>
        </w:tabs>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身份证号：</w:t>
      </w:r>
      <w:r>
        <w:rPr>
          <w:rFonts w:hint="eastAsia" w:ascii="方正仿宋_GB18030" w:hAnsi="方正仿宋_GB18030" w:eastAsia="方正仿宋_GB18030" w:cs="方正仿宋_GB18030"/>
          <w:color w:val="000000"/>
          <w:sz w:val="24"/>
          <w:szCs w:val="24"/>
          <w:u w:val="single"/>
        </w:rPr>
        <w:t xml:space="preserve">                </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486A576D">
      <w:pPr>
        <w:pStyle w:val="41"/>
        <w:widowControl/>
        <w:tabs>
          <w:tab w:val="left" w:pos="1620"/>
        </w:tabs>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建造师执业资格等级：</w:t>
      </w:r>
      <w:r>
        <w:rPr>
          <w:rFonts w:hint="eastAsia" w:ascii="方正仿宋_GB18030" w:hAnsi="方正仿宋_GB18030" w:eastAsia="方正仿宋_GB18030" w:cs="方正仿宋_GB18030"/>
          <w:color w:val="000000"/>
          <w:kern w:val="0"/>
          <w:sz w:val="24"/>
          <w:szCs w:val="24"/>
          <w:u w:val="single"/>
        </w:rPr>
        <w:t></w:t>
      </w:r>
      <w:r>
        <w:rPr>
          <w:rFonts w:hint="eastAsia" w:ascii="方正仿宋_GB18030" w:hAnsi="方正仿宋_GB18030" w:eastAsia="方正仿宋_GB18030" w:cs="方正仿宋_GB18030"/>
          <w:color w:val="000000"/>
          <w:sz w:val="24"/>
          <w:szCs w:val="24"/>
          <w:u w:val="single"/>
        </w:rPr>
        <w:t xml:space="preserve">            </w:t>
      </w:r>
      <w:r>
        <w:rPr>
          <w:rFonts w:hint="eastAsia" w:ascii="方正仿宋_GB18030" w:hAnsi="方正仿宋_GB18030" w:eastAsia="方正仿宋_GB18030" w:cs="方正仿宋_GB18030"/>
          <w:color w:val="000000"/>
          <w:kern w:val="0"/>
          <w:sz w:val="24"/>
          <w:szCs w:val="24"/>
          <w:u w:val="single"/>
        </w:rPr>
        <w:t> </w:t>
      </w:r>
      <w:r>
        <w:rPr>
          <w:rFonts w:hint="eastAsia" w:ascii="方正仿宋_GB18030" w:hAnsi="方正仿宋_GB18030" w:eastAsia="方正仿宋_GB18030" w:cs="方正仿宋_GB18030"/>
          <w:color w:val="000000"/>
          <w:kern w:val="0"/>
          <w:sz w:val="24"/>
          <w:szCs w:val="24"/>
        </w:rPr>
        <w:t>；</w:t>
      </w:r>
    </w:p>
    <w:p w14:paraId="535E5A63">
      <w:pPr>
        <w:pStyle w:val="41"/>
        <w:widowControl/>
        <w:tabs>
          <w:tab w:val="left" w:pos="1620"/>
        </w:tabs>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建造师注册证书号：</w:t>
      </w:r>
      <w:r>
        <w:rPr>
          <w:rFonts w:hint="eastAsia" w:ascii="方正仿宋_GB18030" w:hAnsi="方正仿宋_GB18030" w:eastAsia="方正仿宋_GB18030" w:cs="方正仿宋_GB18030"/>
          <w:color w:val="000000"/>
          <w:sz w:val="24"/>
          <w:szCs w:val="24"/>
          <w:u w:val="single"/>
        </w:rPr>
        <w:t xml:space="preserve">                     </w:t>
      </w:r>
      <w:r>
        <w:rPr>
          <w:rFonts w:hint="eastAsia" w:ascii="方正仿宋_GB18030" w:hAnsi="方正仿宋_GB18030" w:eastAsia="方正仿宋_GB18030" w:cs="方正仿宋_GB18030"/>
          <w:color w:val="000000"/>
          <w:kern w:val="0"/>
          <w:sz w:val="24"/>
          <w:szCs w:val="24"/>
        </w:rPr>
        <w:t xml:space="preserve">； </w:t>
      </w:r>
    </w:p>
    <w:p w14:paraId="78133B97">
      <w:pPr>
        <w:pStyle w:val="41"/>
        <w:widowControl/>
        <w:tabs>
          <w:tab w:val="left" w:pos="1620"/>
        </w:tabs>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建造师执业印章号：</w:t>
      </w:r>
      <w:r>
        <w:rPr>
          <w:rFonts w:hint="eastAsia" w:ascii="方正仿宋_GB18030" w:hAnsi="方正仿宋_GB18030" w:eastAsia="方正仿宋_GB18030" w:cs="方正仿宋_GB18030"/>
          <w:color w:val="000000"/>
          <w:sz w:val="24"/>
          <w:szCs w:val="24"/>
          <w:u w:val="single"/>
        </w:rPr>
        <w:t xml:space="preserve">             </w:t>
      </w:r>
      <w:r>
        <w:rPr>
          <w:rFonts w:hint="eastAsia" w:ascii="方正仿宋_GB18030" w:hAnsi="方正仿宋_GB18030" w:eastAsia="方正仿宋_GB18030" w:cs="方正仿宋_GB18030"/>
          <w:color w:val="000000"/>
          <w:kern w:val="0"/>
          <w:sz w:val="24"/>
          <w:szCs w:val="24"/>
          <w:u w:val="single"/>
        </w:rPr>
        <w:t>    </w:t>
      </w:r>
      <w:r>
        <w:rPr>
          <w:rFonts w:hint="eastAsia" w:ascii="方正仿宋_GB18030" w:hAnsi="方正仿宋_GB18030" w:eastAsia="方正仿宋_GB18030" w:cs="方正仿宋_GB18030"/>
          <w:color w:val="000000"/>
          <w:kern w:val="0"/>
          <w:sz w:val="24"/>
          <w:szCs w:val="24"/>
        </w:rPr>
        <w:t>；</w:t>
      </w:r>
    </w:p>
    <w:p w14:paraId="6CA86788">
      <w:pPr>
        <w:pStyle w:val="41"/>
        <w:widowControl/>
        <w:tabs>
          <w:tab w:val="left" w:pos="1620"/>
        </w:tabs>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安全生产考核合格证书号：</w:t>
      </w:r>
      <w:r>
        <w:rPr>
          <w:rFonts w:hint="eastAsia" w:ascii="方正仿宋_GB18030" w:hAnsi="方正仿宋_GB18030" w:eastAsia="方正仿宋_GB18030" w:cs="方正仿宋_GB18030"/>
          <w:color w:val="00000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3DD0FB79">
      <w:pPr>
        <w:pStyle w:val="41"/>
        <w:widowControl/>
        <w:tabs>
          <w:tab w:val="left" w:pos="1620"/>
        </w:tabs>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联系电话：</w:t>
      </w:r>
      <w:r>
        <w:rPr>
          <w:rFonts w:hint="eastAsia" w:ascii="方正仿宋_GB18030" w:hAnsi="方正仿宋_GB18030" w:eastAsia="方正仿宋_GB18030" w:cs="方正仿宋_GB18030"/>
          <w:color w:val="000000"/>
          <w:kern w:val="0"/>
          <w:sz w:val="24"/>
          <w:szCs w:val="24"/>
          <w:u w:val="single"/>
        </w:rPr>
        <w:t>                       </w:t>
      </w:r>
      <w:r>
        <w:rPr>
          <w:rFonts w:hint="eastAsia" w:ascii="方正仿宋_GB18030" w:hAnsi="方正仿宋_GB18030" w:eastAsia="方正仿宋_GB18030" w:cs="方正仿宋_GB18030"/>
          <w:color w:val="000000"/>
          <w:kern w:val="0"/>
          <w:sz w:val="24"/>
          <w:szCs w:val="24"/>
        </w:rPr>
        <w:t>；</w:t>
      </w:r>
    </w:p>
    <w:p w14:paraId="33CBB170">
      <w:pPr>
        <w:pStyle w:val="41"/>
        <w:widowControl/>
        <w:tabs>
          <w:tab w:val="left" w:pos="1620"/>
        </w:tabs>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通信地址：</w:t>
      </w:r>
      <w:r>
        <w:rPr>
          <w:rFonts w:hint="eastAsia" w:ascii="方正仿宋_GB18030" w:hAnsi="方正仿宋_GB18030" w:eastAsia="方正仿宋_GB18030" w:cs="方正仿宋_GB18030"/>
          <w:color w:val="00000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06C87D5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3.2.2 承包人对项目经理的授权范围如下：</w:t>
      </w:r>
      <w:r>
        <w:rPr>
          <w:rFonts w:hint="eastAsia" w:ascii="方正仿宋_GB18030" w:hAnsi="方正仿宋_GB18030" w:eastAsia="方正仿宋_GB18030" w:cs="方正仿宋_GB18030"/>
          <w:color w:val="000000"/>
          <w:kern w:val="0"/>
          <w:sz w:val="24"/>
          <w:szCs w:val="24"/>
          <w:u w:val="single"/>
        </w:rPr>
        <w:t>经承包人授权后代表承包人履行合同</w:t>
      </w:r>
      <w:r>
        <w:rPr>
          <w:rFonts w:hint="eastAsia" w:ascii="方正仿宋_GB18030" w:hAnsi="方正仿宋_GB18030" w:eastAsia="方正仿宋_GB18030" w:cs="方正仿宋_GB18030"/>
          <w:color w:val="000000"/>
          <w:kern w:val="0"/>
          <w:sz w:val="24"/>
          <w:szCs w:val="24"/>
        </w:rPr>
        <w:t xml:space="preserve"> 。</w:t>
      </w:r>
    </w:p>
    <w:p w14:paraId="3C59AF1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关于项目经理每月在施工现场的时间要求：</w:t>
      </w:r>
      <w:r>
        <w:rPr>
          <w:rFonts w:hint="eastAsia" w:ascii="方正仿宋_GB18030" w:hAnsi="方正仿宋_GB18030" w:eastAsia="方正仿宋_GB18030" w:cs="方正仿宋_GB18030"/>
          <w:color w:val="000000"/>
          <w:kern w:val="0"/>
          <w:sz w:val="24"/>
          <w:szCs w:val="24"/>
          <w:u w:val="single"/>
        </w:rPr>
        <w:t>同投标文件承诺时间</w:t>
      </w:r>
      <w:r>
        <w:rPr>
          <w:rFonts w:hint="eastAsia" w:ascii="方正仿宋_GB18030" w:hAnsi="方正仿宋_GB18030" w:eastAsia="方正仿宋_GB18030" w:cs="方正仿宋_GB18030"/>
          <w:color w:val="000000"/>
          <w:kern w:val="0"/>
          <w:sz w:val="24"/>
          <w:szCs w:val="24"/>
        </w:rPr>
        <w:t xml:space="preserve"> 。</w:t>
      </w:r>
    </w:p>
    <w:p w14:paraId="79D9F12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承包人未提交劳动合同，以及没有为项目经理缴纳社会保险证明的违约责任：</w:t>
      </w:r>
      <w:r>
        <w:rPr>
          <w:rFonts w:hint="eastAsia" w:ascii="方正仿宋_GB18030" w:hAnsi="方正仿宋_GB18030" w:eastAsia="方正仿宋_GB18030" w:cs="方正仿宋_GB18030"/>
          <w:color w:val="000000"/>
          <w:kern w:val="0"/>
          <w:sz w:val="24"/>
          <w:szCs w:val="24"/>
          <w:u w:val="single"/>
        </w:rPr>
        <w:t>如未提供社保证明，发包人有权更换项目经理由此增加的费用和工期延误由承包人承担</w:t>
      </w:r>
      <w:r>
        <w:rPr>
          <w:rFonts w:hint="eastAsia" w:ascii="方正仿宋_GB18030" w:hAnsi="方正仿宋_GB18030" w:eastAsia="方正仿宋_GB18030" w:cs="方正仿宋_GB18030"/>
          <w:color w:val="000000"/>
          <w:kern w:val="0"/>
          <w:sz w:val="24"/>
          <w:szCs w:val="24"/>
        </w:rPr>
        <w:t xml:space="preserve"> 。</w:t>
      </w:r>
    </w:p>
    <w:p w14:paraId="740B682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521" w:name="_Hlk105680034"/>
      <w:r>
        <w:rPr>
          <w:rFonts w:hint="eastAsia" w:ascii="方正仿宋_GB18030" w:hAnsi="方正仿宋_GB18030" w:eastAsia="方正仿宋_GB18030" w:cs="方正仿宋_GB18030"/>
          <w:color w:val="000000"/>
          <w:kern w:val="0"/>
          <w:sz w:val="24"/>
          <w:szCs w:val="24"/>
        </w:rPr>
        <w:t>项目经理未经批准，擅自离开施工现场的违约责任：</w:t>
      </w:r>
      <w:r>
        <w:rPr>
          <w:rFonts w:hint="eastAsia" w:ascii="方正仿宋_GB18030" w:hAnsi="方正仿宋_GB18030" w:eastAsia="方正仿宋_GB18030" w:cs="方正仿宋_GB18030"/>
          <w:color w:val="000000"/>
          <w:kern w:val="0"/>
          <w:sz w:val="24"/>
          <w:szCs w:val="24"/>
          <w:u w:val="single"/>
        </w:rPr>
        <w:t>承包人承担上述违约给发包人造成的一切损失，发包人有权要求更换项目经理，且由此导致增加费用或延误工期等损失由承包人全权承担</w:t>
      </w:r>
      <w:bookmarkEnd w:id="521"/>
      <w:r>
        <w:rPr>
          <w:rFonts w:hint="eastAsia" w:ascii="方正仿宋_GB18030" w:hAnsi="方正仿宋_GB18030" w:eastAsia="方正仿宋_GB18030" w:cs="方正仿宋_GB18030"/>
          <w:color w:val="000000"/>
          <w:kern w:val="0"/>
          <w:sz w:val="24"/>
          <w:szCs w:val="24"/>
        </w:rPr>
        <w:t xml:space="preserve"> 。</w:t>
      </w:r>
    </w:p>
    <w:p w14:paraId="07C34B3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3.2.3 承包人擅自更换项目经理的违约责任： </w:t>
      </w:r>
      <w:r>
        <w:rPr>
          <w:rFonts w:hint="eastAsia" w:ascii="方正仿宋_GB18030" w:hAnsi="方正仿宋_GB18030" w:eastAsia="方正仿宋_GB18030" w:cs="方正仿宋_GB18030"/>
          <w:color w:val="000000"/>
          <w:kern w:val="0"/>
          <w:sz w:val="24"/>
          <w:szCs w:val="24"/>
          <w:u w:val="single"/>
        </w:rPr>
        <w:t>承包人应承担上述违约行为给发包人造成的一切损失，发包人有权要求更换项目经理，且由此导致增加费用或延误工期等损失由承包人全权承担</w:t>
      </w:r>
      <w:r>
        <w:rPr>
          <w:rFonts w:hint="eastAsia" w:ascii="方正仿宋_GB18030" w:hAnsi="方正仿宋_GB18030" w:eastAsia="方正仿宋_GB18030" w:cs="方正仿宋_GB18030"/>
          <w:color w:val="000000"/>
          <w:kern w:val="0"/>
          <w:sz w:val="24"/>
          <w:szCs w:val="24"/>
        </w:rPr>
        <w:t>。</w:t>
      </w:r>
    </w:p>
    <w:p w14:paraId="679B09A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522" w:name="_Hlk105679827"/>
      <w:r>
        <w:rPr>
          <w:rFonts w:hint="eastAsia" w:ascii="方正仿宋_GB18030" w:hAnsi="方正仿宋_GB18030" w:eastAsia="方正仿宋_GB18030" w:cs="方正仿宋_GB18030"/>
          <w:color w:val="000000"/>
          <w:kern w:val="0"/>
          <w:sz w:val="24"/>
          <w:szCs w:val="24"/>
        </w:rPr>
        <w:t>3.2.4 承包人无正当理由拒绝更换项目经理的违约责任：  承包人自行</w:t>
      </w:r>
      <w:r>
        <w:rPr>
          <w:rFonts w:hint="eastAsia" w:ascii="方正仿宋_GB18030" w:hAnsi="方正仿宋_GB18030" w:eastAsia="方正仿宋_GB18030" w:cs="方正仿宋_GB18030"/>
          <w:color w:val="000000"/>
          <w:kern w:val="0"/>
          <w:sz w:val="24"/>
          <w:szCs w:val="24"/>
          <w:u w:val="single"/>
        </w:rPr>
        <w:t>承担上述违约造成的一切损失</w:t>
      </w:r>
      <w:r>
        <w:rPr>
          <w:rFonts w:hint="eastAsia" w:ascii="方正仿宋_GB18030" w:hAnsi="方正仿宋_GB18030" w:eastAsia="方正仿宋_GB18030" w:cs="方正仿宋_GB18030"/>
          <w:color w:val="000000"/>
          <w:kern w:val="0"/>
          <w:sz w:val="24"/>
          <w:szCs w:val="24"/>
        </w:rPr>
        <w:t>。</w:t>
      </w:r>
    </w:p>
    <w:bookmarkEnd w:id="522"/>
    <w:p w14:paraId="4A72925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3.3 承包人人员</w:t>
      </w:r>
    </w:p>
    <w:p w14:paraId="3810379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3.3.1 承包人提交项目管理机构及施工现场管理人员安排报告的期限：</w:t>
      </w:r>
      <w:r>
        <w:rPr>
          <w:rFonts w:hint="eastAsia" w:ascii="方正仿宋_GB18030" w:hAnsi="方正仿宋_GB18030" w:eastAsia="方正仿宋_GB18030" w:cs="方正仿宋_GB18030"/>
          <w:color w:val="000000"/>
          <w:kern w:val="0"/>
          <w:sz w:val="24"/>
          <w:szCs w:val="24"/>
          <w:u w:val="single"/>
        </w:rPr>
        <w:t xml:space="preserve">  准备开工同时上报  </w:t>
      </w:r>
      <w:r>
        <w:rPr>
          <w:rFonts w:hint="eastAsia" w:ascii="方正仿宋_GB18030" w:hAnsi="方正仿宋_GB18030" w:eastAsia="方正仿宋_GB18030" w:cs="方正仿宋_GB18030"/>
          <w:color w:val="000000"/>
          <w:kern w:val="0"/>
          <w:sz w:val="24"/>
          <w:szCs w:val="24"/>
        </w:rPr>
        <w:t xml:space="preserve"> 。</w:t>
      </w:r>
    </w:p>
    <w:p w14:paraId="52FFFBD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3.3.3 </w:t>
      </w:r>
      <w:bookmarkStart w:id="523" w:name="_Hlk105679873"/>
      <w:r>
        <w:rPr>
          <w:rFonts w:hint="eastAsia" w:ascii="方正仿宋_GB18030" w:hAnsi="方正仿宋_GB18030" w:eastAsia="方正仿宋_GB18030" w:cs="方正仿宋_GB18030"/>
          <w:color w:val="000000"/>
          <w:kern w:val="0"/>
          <w:sz w:val="24"/>
          <w:szCs w:val="24"/>
        </w:rPr>
        <w:t xml:space="preserve">承包人无正当理由拒绝撤换主要施工管理人员的违约责任： </w:t>
      </w:r>
      <w:bookmarkStart w:id="524" w:name="_Hlk105679955"/>
      <w:r>
        <w:rPr>
          <w:rFonts w:hint="eastAsia" w:ascii="方正仿宋_GB18030" w:hAnsi="方正仿宋_GB18030" w:eastAsia="方正仿宋_GB18030" w:cs="方正仿宋_GB18030"/>
          <w:color w:val="000000"/>
          <w:kern w:val="0"/>
          <w:sz w:val="24"/>
          <w:szCs w:val="24"/>
          <w:u w:val="single"/>
        </w:rPr>
        <w:t>未经发包人书面同意，承包人无正当理由拒绝撤换主要施工管理人员，每拒绝撤换一人需向发包人支付违约金人民币2000元整，并承担上述违约行为造成的一切损失</w:t>
      </w:r>
      <w:r>
        <w:rPr>
          <w:rFonts w:hint="eastAsia" w:ascii="方正仿宋_GB18030" w:hAnsi="方正仿宋_GB18030" w:eastAsia="方正仿宋_GB18030" w:cs="方正仿宋_GB18030"/>
          <w:color w:val="000000"/>
          <w:kern w:val="0"/>
          <w:sz w:val="24"/>
          <w:szCs w:val="24"/>
        </w:rPr>
        <w:t>。</w:t>
      </w:r>
      <w:bookmarkEnd w:id="523"/>
      <w:bookmarkEnd w:id="524"/>
    </w:p>
    <w:p w14:paraId="2D04A3E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525" w:name="_Hlk105680151"/>
      <w:r>
        <w:rPr>
          <w:rFonts w:hint="eastAsia" w:ascii="方正仿宋_GB18030" w:hAnsi="方正仿宋_GB18030" w:eastAsia="方正仿宋_GB18030" w:cs="方正仿宋_GB18030"/>
          <w:color w:val="000000"/>
          <w:kern w:val="0"/>
          <w:sz w:val="24"/>
          <w:szCs w:val="24"/>
        </w:rPr>
        <w:t>3.3.4 承包人主要施工管理人员离开施工现场的批准要求：   承包人方应当</w:t>
      </w:r>
      <w:r>
        <w:rPr>
          <w:rFonts w:hint="eastAsia" w:ascii="方正仿宋_GB18030" w:hAnsi="方正仿宋_GB18030" w:eastAsia="方正仿宋_GB18030" w:cs="方正仿宋_GB18030"/>
          <w:color w:val="000000"/>
          <w:kern w:val="0"/>
          <w:sz w:val="24"/>
          <w:szCs w:val="24"/>
          <w:u w:val="single"/>
        </w:rPr>
        <w:t xml:space="preserve">提前两天书面通知发包人代表，经发包人项目负责人书面同意后方可离开。如遇特殊紧急情况，可由承包人法人代表电话通知发包人项目负责人，承包人有相应的替代管理人员且经发包人项目负责人同意后方可离场，特殊紧急情况消除后，承包人方应当及时补交相关离场管理文件 </w:t>
      </w:r>
      <w:r>
        <w:rPr>
          <w:rFonts w:hint="eastAsia" w:ascii="方正仿宋_GB18030" w:hAnsi="方正仿宋_GB18030" w:eastAsia="方正仿宋_GB18030" w:cs="方正仿宋_GB18030"/>
          <w:color w:val="000000"/>
          <w:kern w:val="0"/>
          <w:sz w:val="24"/>
          <w:szCs w:val="24"/>
        </w:rPr>
        <w:t>。</w:t>
      </w:r>
    </w:p>
    <w:bookmarkEnd w:id="525"/>
    <w:p w14:paraId="0A90A1B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526" w:name="_Hlk105680279"/>
      <w:r>
        <w:rPr>
          <w:rFonts w:hint="eastAsia" w:ascii="方正仿宋_GB18030" w:hAnsi="方正仿宋_GB18030" w:eastAsia="方正仿宋_GB18030" w:cs="方正仿宋_GB18030"/>
          <w:color w:val="000000"/>
          <w:kern w:val="0"/>
          <w:sz w:val="24"/>
          <w:szCs w:val="24"/>
        </w:rPr>
        <w:t>3.3.5承包人擅自更换主要施工管理人员的违约责任：</w:t>
      </w:r>
      <w:r>
        <w:rPr>
          <w:rFonts w:hint="eastAsia" w:ascii="方正仿宋_GB18030" w:hAnsi="方正仿宋_GB18030" w:eastAsia="方正仿宋_GB18030" w:cs="方正仿宋_GB18030"/>
          <w:color w:val="000000"/>
          <w:kern w:val="0"/>
          <w:sz w:val="24"/>
          <w:szCs w:val="24"/>
          <w:u w:val="single"/>
        </w:rPr>
        <w:t>承包人擅自更换主要负责人应当向发包人支付违约金人民币5000元整，</w:t>
      </w:r>
      <w:r>
        <w:rPr>
          <w:rFonts w:hint="eastAsia" w:ascii="方正仿宋_GB18030" w:hAnsi="方正仿宋_GB18030" w:eastAsia="方正仿宋_GB18030" w:cs="方正仿宋_GB18030"/>
          <w:color w:val="000000"/>
          <w:kern w:val="0"/>
          <w:sz w:val="24"/>
          <w:szCs w:val="24"/>
        </w:rPr>
        <w:t>承包人擅自</w:t>
      </w:r>
      <w:r>
        <w:rPr>
          <w:rFonts w:hint="eastAsia" w:ascii="方正仿宋_GB18030" w:hAnsi="方正仿宋_GB18030" w:eastAsia="方正仿宋_GB18030" w:cs="方正仿宋_GB18030"/>
          <w:color w:val="000000"/>
          <w:kern w:val="0"/>
          <w:sz w:val="24"/>
          <w:szCs w:val="24"/>
          <w:u w:val="single"/>
        </w:rPr>
        <w:t xml:space="preserve">更换一般管理人员需向发包人支付违约金人民币2000元整；且承包人应当承担由此导致的工期延误、资金损失等一切责任 </w:t>
      </w:r>
      <w:r>
        <w:rPr>
          <w:rFonts w:hint="eastAsia" w:ascii="方正仿宋_GB18030" w:hAnsi="方正仿宋_GB18030" w:eastAsia="方正仿宋_GB18030" w:cs="方正仿宋_GB18030"/>
          <w:color w:val="000000"/>
          <w:kern w:val="0"/>
          <w:sz w:val="24"/>
          <w:szCs w:val="24"/>
        </w:rPr>
        <w:t xml:space="preserve"> 。</w:t>
      </w:r>
    </w:p>
    <w:p w14:paraId="6EBE7BF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承包人主要施工管理人员擅自离开施工现场的违约责任：承包人</w:t>
      </w:r>
      <w:r>
        <w:rPr>
          <w:rFonts w:hint="eastAsia" w:ascii="方正仿宋_GB18030" w:hAnsi="方正仿宋_GB18030" w:eastAsia="方正仿宋_GB18030" w:cs="方正仿宋_GB18030"/>
          <w:color w:val="000000"/>
          <w:kern w:val="0"/>
          <w:sz w:val="24"/>
          <w:szCs w:val="24"/>
          <w:u w:val="single"/>
        </w:rPr>
        <w:t>需向发包人支付违约金人民币2000元整，并承担上述违约行为造成的一切损失</w:t>
      </w:r>
      <w:r>
        <w:rPr>
          <w:rFonts w:hint="eastAsia" w:ascii="方正仿宋_GB18030" w:hAnsi="方正仿宋_GB18030" w:eastAsia="方正仿宋_GB18030" w:cs="方正仿宋_GB18030"/>
          <w:color w:val="000000"/>
          <w:kern w:val="0"/>
          <w:sz w:val="24"/>
          <w:szCs w:val="24"/>
        </w:rPr>
        <w:t xml:space="preserve"> 。</w:t>
      </w:r>
    </w:p>
    <w:bookmarkEnd w:id="526"/>
    <w:p w14:paraId="14EF515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w:t>
      </w:r>
      <w:bookmarkStart w:id="527" w:name="_Toc300934945"/>
      <w:bookmarkStart w:id="528" w:name="_Toc296503159"/>
      <w:bookmarkStart w:id="529" w:name="_Toc296346660"/>
      <w:bookmarkStart w:id="530" w:name="_Toc296944498"/>
      <w:bookmarkStart w:id="531" w:name="_Toc292559869"/>
      <w:bookmarkStart w:id="532" w:name="_Toc297123492"/>
      <w:bookmarkStart w:id="533" w:name="_Toc297120459"/>
      <w:bookmarkStart w:id="534" w:name="_Toc292559364"/>
      <w:bookmarkStart w:id="535" w:name="_Toc296891199"/>
      <w:bookmarkStart w:id="536" w:name="_Toc312677988"/>
      <w:bookmarkStart w:id="537" w:name="_Toc297048345"/>
      <w:bookmarkStart w:id="538" w:name="_Toc297216151"/>
      <w:bookmarkStart w:id="539" w:name="_Toc303539102"/>
      <w:bookmarkStart w:id="540" w:name="_Toc296347158"/>
      <w:bookmarkStart w:id="541" w:name="_Toc304295523"/>
      <w:bookmarkStart w:id="542" w:name="_Toc296890987"/>
      <w:r>
        <w:rPr>
          <w:rFonts w:hint="eastAsia" w:ascii="方正仿宋_GB18030" w:hAnsi="方正仿宋_GB18030" w:eastAsia="方正仿宋_GB18030" w:cs="方正仿宋_GB18030"/>
          <w:color w:val="000000"/>
          <w:kern w:val="0"/>
          <w:sz w:val="24"/>
          <w:szCs w:val="24"/>
        </w:rPr>
        <w:t>.5 分包</w:t>
      </w:r>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14:paraId="365FAED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w:t>
      </w:r>
      <w:bookmarkStart w:id="543" w:name="_Toc300934946"/>
      <w:bookmarkStart w:id="544" w:name="_Toc297120460"/>
      <w:bookmarkStart w:id="545" w:name="_Toc296503160"/>
      <w:bookmarkStart w:id="546" w:name="_Toc297048346"/>
      <w:bookmarkStart w:id="547" w:name="_Toc297216152"/>
      <w:bookmarkStart w:id="548" w:name="_Toc292559365"/>
      <w:bookmarkStart w:id="549" w:name="_Toc304295524"/>
      <w:bookmarkStart w:id="550" w:name="_Toc292559870"/>
      <w:bookmarkStart w:id="551" w:name="_Toc296890988"/>
      <w:bookmarkStart w:id="552" w:name="_Toc296347159"/>
      <w:bookmarkStart w:id="553" w:name="_Toc297123493"/>
      <w:bookmarkStart w:id="554" w:name="_Toc296891200"/>
      <w:bookmarkStart w:id="555" w:name="_Toc296944499"/>
      <w:bookmarkStart w:id="556" w:name="_Toc296346661"/>
      <w:bookmarkStart w:id="557" w:name="_Toc303539103"/>
      <w:bookmarkStart w:id="558" w:name="_Toc312677989"/>
      <w:bookmarkStart w:id="559" w:name="_Toc318581158"/>
      <w:r>
        <w:rPr>
          <w:rFonts w:hint="eastAsia" w:ascii="方正仿宋_GB18030" w:hAnsi="方正仿宋_GB18030" w:eastAsia="方正仿宋_GB18030" w:cs="方正仿宋_GB18030"/>
          <w:color w:val="000000"/>
          <w:kern w:val="0"/>
          <w:sz w:val="24"/>
          <w:szCs w:val="24"/>
        </w:rPr>
        <w:t>.5.1 分包的一般约定</w:t>
      </w:r>
    </w:p>
    <w:p w14:paraId="029503D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highlight w:val="yellow"/>
        </w:rPr>
      </w:pPr>
      <w:r>
        <w:rPr>
          <w:rFonts w:hint="eastAsia" w:ascii="方正仿宋_GB18030" w:hAnsi="方正仿宋_GB18030" w:eastAsia="方正仿宋_GB18030" w:cs="方正仿宋_GB18030"/>
          <w:color w:val="000000"/>
          <w:kern w:val="0"/>
          <w:sz w:val="24"/>
          <w:szCs w:val="24"/>
        </w:rPr>
        <w:t>禁止分包的工程包括：</w:t>
      </w:r>
      <w:r>
        <w:rPr>
          <w:rFonts w:hint="eastAsia" w:ascii="方正仿宋_GB18030" w:hAnsi="方正仿宋_GB18030" w:eastAsia="方正仿宋_GB18030" w:cs="方正仿宋_GB18030"/>
          <w:color w:val="000000"/>
          <w:kern w:val="0"/>
          <w:sz w:val="24"/>
          <w:szCs w:val="24"/>
          <w:u w:val="single"/>
        </w:rPr>
        <w:t>主体结构、关键性工作等国家法律、法规禁止分包的工程的施工</w:t>
      </w:r>
      <w:r>
        <w:rPr>
          <w:rFonts w:hint="eastAsia" w:ascii="方正仿宋_GB18030" w:hAnsi="方正仿宋_GB18030" w:eastAsia="方正仿宋_GB18030" w:cs="方正仿宋_GB18030"/>
          <w:color w:val="000000"/>
          <w:kern w:val="0"/>
          <w:sz w:val="24"/>
          <w:szCs w:val="24"/>
        </w:rPr>
        <w:t>。</w:t>
      </w:r>
    </w:p>
    <w:p w14:paraId="4CEDC1C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560" w:name="_Hlk105680511"/>
      <w:r>
        <w:rPr>
          <w:rFonts w:hint="eastAsia" w:ascii="方正仿宋_GB18030" w:hAnsi="方正仿宋_GB18030" w:eastAsia="方正仿宋_GB18030" w:cs="方正仿宋_GB18030"/>
          <w:color w:val="000000"/>
          <w:kern w:val="0"/>
          <w:sz w:val="24"/>
          <w:szCs w:val="24"/>
        </w:rPr>
        <w:t>主体结构、关键性工作的范围</w:t>
      </w:r>
      <w:bookmarkEnd w:id="560"/>
      <w:r>
        <w:rPr>
          <w:rFonts w:hint="eastAsia" w:ascii="方正仿宋_GB18030" w:hAnsi="方正仿宋_GB18030" w:eastAsia="方正仿宋_GB18030" w:cs="方正仿宋_GB18030"/>
          <w:color w:val="000000"/>
          <w:kern w:val="0"/>
          <w:sz w:val="24"/>
          <w:szCs w:val="24"/>
        </w:rPr>
        <w:t>：</w:t>
      </w:r>
      <w:r>
        <w:rPr>
          <w:rFonts w:hint="eastAsia" w:ascii="方正仿宋_GB18030" w:hAnsi="方正仿宋_GB18030" w:eastAsia="方正仿宋_GB18030" w:cs="方正仿宋_GB18030"/>
          <w:color w:val="000000"/>
          <w:kern w:val="0"/>
          <w:sz w:val="24"/>
          <w:szCs w:val="24"/>
          <w:u w:val="single"/>
        </w:rPr>
        <w:t xml:space="preserve">禁止分包 </w:t>
      </w:r>
      <w:r>
        <w:rPr>
          <w:rFonts w:hint="eastAsia" w:ascii="方正仿宋_GB18030" w:hAnsi="方正仿宋_GB18030" w:eastAsia="方正仿宋_GB18030" w:cs="方正仿宋_GB18030"/>
          <w:color w:val="000000"/>
          <w:kern w:val="0"/>
          <w:sz w:val="24"/>
          <w:szCs w:val="24"/>
        </w:rPr>
        <w:t>。</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Start w:id="561" w:name="_Toc296890989"/>
      <w:bookmarkStart w:id="562" w:name="_Toc300934947"/>
      <w:bookmarkStart w:id="563" w:name="_Toc296944500"/>
      <w:bookmarkStart w:id="564" w:name="_Toc297120461"/>
      <w:bookmarkStart w:id="565" w:name="_Toc297123494"/>
      <w:bookmarkStart w:id="566" w:name="_Toc303539104"/>
      <w:bookmarkStart w:id="567" w:name="_Toc297216153"/>
      <w:bookmarkStart w:id="568" w:name="_Toc296891201"/>
      <w:bookmarkStart w:id="569" w:name="_Toc297048347"/>
      <w:bookmarkStart w:id="570" w:name="_Toc296503161"/>
      <w:bookmarkStart w:id="571" w:name="_Toc304295525"/>
      <w:bookmarkStart w:id="572" w:name="_Toc296347160"/>
      <w:bookmarkStart w:id="573" w:name="_Toc296346662"/>
    </w:p>
    <w:bookmarkEnd w:id="558"/>
    <w:bookmarkEnd w:id="559"/>
    <w:bookmarkEnd w:id="561"/>
    <w:bookmarkEnd w:id="562"/>
    <w:bookmarkEnd w:id="563"/>
    <w:bookmarkEnd w:id="564"/>
    <w:bookmarkEnd w:id="565"/>
    <w:bookmarkEnd w:id="566"/>
    <w:bookmarkEnd w:id="567"/>
    <w:bookmarkEnd w:id="568"/>
    <w:bookmarkEnd w:id="569"/>
    <w:bookmarkEnd w:id="570"/>
    <w:bookmarkEnd w:id="571"/>
    <w:bookmarkEnd w:id="572"/>
    <w:bookmarkEnd w:id="573"/>
    <w:p w14:paraId="6366158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574" w:name="_Hlk105680711"/>
      <w:r>
        <w:rPr>
          <w:rFonts w:hint="eastAsia" w:ascii="方正仿宋_GB18030" w:hAnsi="方正仿宋_GB18030" w:eastAsia="方正仿宋_GB18030" w:cs="方正仿宋_GB18030"/>
          <w:color w:val="000000"/>
          <w:kern w:val="0"/>
          <w:sz w:val="24"/>
          <w:szCs w:val="24"/>
        </w:rPr>
        <w:t>3.6 工程照管与成品、半成品保护</w:t>
      </w:r>
    </w:p>
    <w:p w14:paraId="6DB720A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承包人负责照管工程及工程相关的材料、工程设备的起始时间：从工程开工后或发包人将工程材料、工程设备移交承包人后至工程竣工且发包人书面确认接收工程及相关材料、工程设备时止</w:t>
      </w:r>
      <w:bookmarkEnd w:id="574"/>
      <w:r>
        <w:rPr>
          <w:rFonts w:hint="eastAsia" w:ascii="方正仿宋_GB18030" w:hAnsi="方正仿宋_GB18030" w:eastAsia="方正仿宋_GB18030" w:cs="方正仿宋_GB18030"/>
          <w:color w:val="000000"/>
          <w:kern w:val="0"/>
          <w:sz w:val="24"/>
          <w:szCs w:val="24"/>
        </w:rPr>
        <w:t>。</w:t>
      </w:r>
    </w:p>
    <w:p w14:paraId="1A0403F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3.7 履约担保</w:t>
      </w:r>
    </w:p>
    <w:p w14:paraId="45F09F2F">
      <w:pPr>
        <w:spacing w:line="440" w:lineRule="exact"/>
        <w:ind w:firstLine="420" w:firstLineChars="200"/>
        <w:jc w:val="left"/>
        <w:rPr>
          <w:rFonts w:hint="eastAsia" w:ascii="方正仿宋_GB18030" w:hAnsi="方正仿宋_GB18030" w:eastAsia="方正仿宋_GB18030" w:cs="方正仿宋_GB18030"/>
          <w:color w:val="000000"/>
          <w:kern w:val="0"/>
          <w:sz w:val="24"/>
          <w:szCs w:val="24"/>
        </w:rPr>
      </w:pPr>
      <w:bookmarkStart w:id="575" w:name="_Toc1142"/>
      <w:bookmarkStart w:id="576" w:name="_Toc15637"/>
      <w:r>
        <w:rPr>
          <w:rFonts w:hint="eastAsia" w:ascii="方正仿宋_GB18030" w:hAnsi="方正仿宋_GB18030" w:eastAsia="方正仿宋_GB18030" w:cs="方正仿宋_GB18030"/>
          <w:color w:val="auto"/>
          <w:kern w:val="2"/>
          <w:sz w:val="21"/>
          <w:szCs w:val="21"/>
          <w:highlight w:val="none"/>
          <w:lang w:val="en-US" w:eastAsia="zh-CN" w:bidi="ar-SA"/>
        </w:rPr>
        <w:t>合同签订前成交承包人向发包人缴纳成交金额的5%作为履约保证金，验收合格之日起30日无息退还履约保证金。</w:t>
      </w:r>
      <w:bookmarkEnd w:id="575"/>
      <w:bookmarkEnd w:id="576"/>
      <w:bookmarkStart w:id="577" w:name="_Toc351203636"/>
    </w:p>
    <w:p w14:paraId="3DEEB7E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4</w:t>
      </w:r>
      <w:bookmarkStart w:id="578" w:name="_Toc292559871"/>
      <w:bookmarkStart w:id="579" w:name="_Toc267251413"/>
      <w:bookmarkStart w:id="580" w:name="_Toc296503162"/>
      <w:bookmarkStart w:id="581" w:name="_Toc292559366"/>
      <w:bookmarkStart w:id="582" w:name="_Toc296890990"/>
      <w:bookmarkStart w:id="583" w:name="_Toc297048348"/>
      <w:bookmarkStart w:id="584" w:name="_Toc296891202"/>
      <w:bookmarkStart w:id="585" w:name="_Toc296944501"/>
      <w:bookmarkStart w:id="586" w:name="_Toc296347161"/>
      <w:bookmarkStart w:id="587" w:name="_Toc297120462"/>
      <w:bookmarkStart w:id="588" w:name="_Toc296346663"/>
      <w:r>
        <w:rPr>
          <w:rFonts w:hint="eastAsia" w:ascii="方正仿宋_GB18030" w:hAnsi="方正仿宋_GB18030" w:eastAsia="方正仿宋_GB18030" w:cs="方正仿宋_GB18030"/>
          <w:color w:val="000000"/>
          <w:kern w:val="0"/>
          <w:sz w:val="24"/>
          <w:szCs w:val="24"/>
        </w:rPr>
        <w:t>. 监</w:t>
      </w:r>
      <w:bookmarkEnd w:id="578"/>
      <w:bookmarkEnd w:id="579"/>
      <w:bookmarkEnd w:id="580"/>
      <w:bookmarkEnd w:id="581"/>
      <w:bookmarkEnd w:id="582"/>
      <w:bookmarkEnd w:id="583"/>
      <w:bookmarkEnd w:id="584"/>
      <w:bookmarkEnd w:id="585"/>
      <w:bookmarkEnd w:id="586"/>
      <w:bookmarkEnd w:id="587"/>
      <w:bookmarkEnd w:id="588"/>
      <w:r>
        <w:rPr>
          <w:rFonts w:hint="eastAsia" w:ascii="方正仿宋_GB18030" w:hAnsi="方正仿宋_GB18030" w:eastAsia="方正仿宋_GB18030" w:cs="方正仿宋_GB18030"/>
          <w:color w:val="000000"/>
          <w:kern w:val="0"/>
          <w:sz w:val="24"/>
          <w:szCs w:val="24"/>
        </w:rPr>
        <w:t>理人</w:t>
      </w:r>
      <w:bookmarkEnd w:id="577"/>
    </w:p>
    <w:p w14:paraId="613608B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4.1监理人的一般规定</w:t>
      </w:r>
    </w:p>
    <w:p w14:paraId="02A0AAC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关于监理人的监理内容：</w:t>
      </w:r>
    </w:p>
    <w:p w14:paraId="7C93753B">
      <w:pPr>
        <w:numPr>
          <w:ilvl w:val="0"/>
          <w:numId w:val="3"/>
        </w:num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u w:val="single"/>
        </w:rPr>
        <w:t>核实进场原材料质量检验报告和施工测量成果报告等原始资料</w:t>
      </w:r>
      <w:r>
        <w:rPr>
          <w:rFonts w:hint="eastAsia" w:ascii="方正仿宋_GB18030" w:hAnsi="方正仿宋_GB18030" w:eastAsia="方正仿宋_GB18030" w:cs="方正仿宋_GB18030"/>
          <w:color w:val="000000"/>
          <w:kern w:val="0"/>
          <w:sz w:val="24"/>
          <w:szCs w:val="24"/>
        </w:rPr>
        <w:t>。</w:t>
      </w:r>
    </w:p>
    <w:p w14:paraId="68728E92">
      <w:pPr>
        <w:numPr>
          <w:ilvl w:val="0"/>
          <w:numId w:val="3"/>
        </w:num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rPr>
        <w:t>　　2、</w:t>
      </w:r>
      <w:r>
        <w:rPr>
          <w:rFonts w:hint="eastAsia" w:ascii="方正仿宋_GB18030" w:hAnsi="方正仿宋_GB18030" w:eastAsia="方正仿宋_GB18030" w:cs="方正仿宋_GB18030"/>
          <w:color w:val="000000"/>
          <w:kern w:val="0"/>
          <w:sz w:val="24"/>
          <w:szCs w:val="24"/>
          <w:u w:val="single"/>
        </w:rPr>
        <w:t>检查承包人用于工程建设的材料、构配件、工程设备使用情况，并做好现场记录</w:t>
      </w:r>
      <w:r>
        <w:rPr>
          <w:rFonts w:hint="eastAsia" w:ascii="方正仿宋_GB18030" w:hAnsi="方正仿宋_GB18030" w:eastAsia="方正仿宋_GB18030" w:cs="方正仿宋_GB18030"/>
          <w:color w:val="000000"/>
          <w:kern w:val="0"/>
          <w:sz w:val="24"/>
          <w:szCs w:val="24"/>
        </w:rPr>
        <w:t>。</w:t>
      </w:r>
    </w:p>
    <w:p w14:paraId="674FB744">
      <w:pPr>
        <w:numPr>
          <w:ilvl w:val="0"/>
          <w:numId w:val="3"/>
        </w:num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rPr>
        <w:t>　　3、</w:t>
      </w:r>
      <w:r>
        <w:rPr>
          <w:rFonts w:hint="eastAsia" w:ascii="方正仿宋_GB18030" w:hAnsi="方正仿宋_GB18030" w:eastAsia="方正仿宋_GB18030" w:cs="方正仿宋_GB18030"/>
          <w:color w:val="000000"/>
          <w:kern w:val="0"/>
          <w:sz w:val="24"/>
          <w:szCs w:val="24"/>
          <w:u w:val="single"/>
        </w:rPr>
        <w:t>检查并记录现场施工程序、施工工法等实施过程情况</w:t>
      </w:r>
      <w:r>
        <w:rPr>
          <w:rFonts w:hint="eastAsia" w:ascii="方正仿宋_GB18030" w:hAnsi="方正仿宋_GB18030" w:eastAsia="方正仿宋_GB18030" w:cs="方正仿宋_GB18030"/>
          <w:color w:val="000000"/>
          <w:kern w:val="0"/>
          <w:sz w:val="24"/>
          <w:szCs w:val="24"/>
        </w:rPr>
        <w:t>。</w:t>
      </w:r>
    </w:p>
    <w:p w14:paraId="37C6F688">
      <w:pPr>
        <w:numPr>
          <w:ilvl w:val="0"/>
          <w:numId w:val="3"/>
        </w:num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rPr>
        <w:t>　　4、</w:t>
      </w:r>
      <w:r>
        <w:rPr>
          <w:rFonts w:hint="eastAsia" w:ascii="方正仿宋_GB18030" w:hAnsi="方正仿宋_GB18030" w:eastAsia="方正仿宋_GB18030" w:cs="方正仿宋_GB18030"/>
          <w:color w:val="000000"/>
          <w:kern w:val="0"/>
          <w:sz w:val="24"/>
          <w:szCs w:val="24"/>
          <w:u w:val="single"/>
        </w:rPr>
        <w:t>检查和统计计日工情况；核实工程计量结果</w:t>
      </w:r>
      <w:r>
        <w:rPr>
          <w:rFonts w:hint="eastAsia" w:ascii="方正仿宋_GB18030" w:hAnsi="方正仿宋_GB18030" w:eastAsia="方正仿宋_GB18030" w:cs="方正仿宋_GB18030"/>
          <w:color w:val="000000"/>
          <w:kern w:val="0"/>
          <w:sz w:val="24"/>
          <w:szCs w:val="24"/>
        </w:rPr>
        <w:t>。</w:t>
      </w:r>
    </w:p>
    <w:p w14:paraId="3ED3109C">
      <w:pPr>
        <w:numPr>
          <w:ilvl w:val="0"/>
          <w:numId w:val="3"/>
        </w:num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rPr>
        <w:t>　　5、</w:t>
      </w:r>
      <w:r>
        <w:rPr>
          <w:rFonts w:hint="eastAsia" w:ascii="方正仿宋_GB18030" w:hAnsi="方正仿宋_GB18030" w:eastAsia="方正仿宋_GB18030" w:cs="方正仿宋_GB18030"/>
          <w:color w:val="000000"/>
          <w:kern w:val="0"/>
          <w:sz w:val="24"/>
          <w:szCs w:val="24"/>
          <w:u w:val="single"/>
        </w:rPr>
        <w:t>核查关键岗位施工人员的上岗资格；检查、监督工程现场的施工安全和环境保护措施的落实情况，发现异常情况及时向监理工程师报告</w:t>
      </w:r>
      <w:r>
        <w:rPr>
          <w:rFonts w:hint="eastAsia" w:ascii="方正仿宋_GB18030" w:hAnsi="方正仿宋_GB18030" w:eastAsia="方正仿宋_GB18030" w:cs="方正仿宋_GB18030"/>
          <w:color w:val="000000"/>
          <w:kern w:val="0"/>
          <w:sz w:val="24"/>
          <w:szCs w:val="24"/>
        </w:rPr>
        <w:t>。</w:t>
      </w:r>
    </w:p>
    <w:p w14:paraId="25CBFD18">
      <w:pPr>
        <w:numPr>
          <w:ilvl w:val="0"/>
          <w:numId w:val="3"/>
        </w:num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rPr>
        <w:t>　　6、</w:t>
      </w:r>
      <w:r>
        <w:rPr>
          <w:rFonts w:hint="eastAsia" w:ascii="方正仿宋_GB18030" w:hAnsi="方正仿宋_GB18030" w:eastAsia="方正仿宋_GB18030" w:cs="方正仿宋_GB18030"/>
          <w:color w:val="000000"/>
          <w:kern w:val="0"/>
          <w:sz w:val="24"/>
          <w:szCs w:val="24"/>
          <w:u w:val="single"/>
        </w:rPr>
        <w:t>检查承包人的施工日志和试验室记录</w:t>
      </w:r>
      <w:r>
        <w:rPr>
          <w:rFonts w:hint="eastAsia" w:ascii="方正仿宋_GB18030" w:hAnsi="方正仿宋_GB18030" w:eastAsia="方正仿宋_GB18030" w:cs="方正仿宋_GB18030"/>
          <w:color w:val="000000"/>
          <w:kern w:val="0"/>
          <w:sz w:val="24"/>
          <w:szCs w:val="24"/>
        </w:rPr>
        <w:t>。</w:t>
      </w:r>
    </w:p>
    <w:p w14:paraId="3A7648DC">
      <w:pPr>
        <w:numPr>
          <w:ilvl w:val="0"/>
          <w:numId w:val="3"/>
        </w:num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rPr>
        <w:t>　　7、</w:t>
      </w:r>
      <w:r>
        <w:rPr>
          <w:rFonts w:hint="eastAsia" w:ascii="方正仿宋_GB18030" w:hAnsi="方正仿宋_GB18030" w:eastAsia="方正仿宋_GB18030" w:cs="方正仿宋_GB18030"/>
          <w:color w:val="000000"/>
          <w:kern w:val="0"/>
          <w:sz w:val="24"/>
          <w:szCs w:val="24"/>
          <w:u w:val="single"/>
        </w:rPr>
        <w:t>核实承包人质量评定的相关原始记录</w:t>
      </w:r>
      <w:r>
        <w:rPr>
          <w:rFonts w:hint="eastAsia" w:ascii="方正仿宋_GB18030" w:hAnsi="方正仿宋_GB18030" w:eastAsia="方正仿宋_GB18030" w:cs="方正仿宋_GB18030"/>
          <w:color w:val="000000"/>
          <w:kern w:val="0"/>
          <w:sz w:val="24"/>
          <w:szCs w:val="24"/>
        </w:rPr>
        <w:t>。</w:t>
      </w:r>
    </w:p>
    <w:p w14:paraId="39526A71">
      <w:pPr>
        <w:numPr>
          <w:ilvl w:val="0"/>
          <w:numId w:val="3"/>
        </w:num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关于监理人的监理权限：</w:t>
      </w:r>
      <w:r>
        <w:rPr>
          <w:rFonts w:hint="eastAsia" w:ascii="方正仿宋_GB18030" w:hAnsi="方正仿宋_GB18030" w:eastAsia="方正仿宋_GB18030" w:cs="方正仿宋_GB18030"/>
          <w:color w:val="000000"/>
          <w:kern w:val="0"/>
          <w:sz w:val="24"/>
          <w:szCs w:val="24"/>
          <w:u w:val="single"/>
        </w:rPr>
        <w:t>从动工之日起至缺陷责任期满止</w:t>
      </w:r>
      <w:r>
        <w:rPr>
          <w:rFonts w:hint="eastAsia" w:ascii="方正仿宋_GB18030" w:hAnsi="方正仿宋_GB18030" w:eastAsia="方正仿宋_GB18030" w:cs="方正仿宋_GB18030"/>
          <w:color w:val="000000"/>
          <w:kern w:val="0"/>
          <w:sz w:val="24"/>
          <w:szCs w:val="24"/>
        </w:rPr>
        <w:t xml:space="preserve"> 。 </w:t>
      </w:r>
    </w:p>
    <w:p w14:paraId="60BA549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关于监理人在施工现场的办公场所、生活场所的提供和费用承担的约定：             。</w:t>
      </w:r>
    </w:p>
    <w:p w14:paraId="50809A1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4.2 监理人员</w:t>
      </w:r>
    </w:p>
    <w:p w14:paraId="40EBEC3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总监理工程师：</w:t>
      </w:r>
    </w:p>
    <w:p w14:paraId="0E5A48B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姓    名：</w:t>
      </w:r>
      <w:r>
        <w:rPr>
          <w:rFonts w:hint="eastAsia" w:ascii="方正仿宋_GB18030" w:hAnsi="方正仿宋_GB18030" w:eastAsia="方正仿宋_GB18030" w:cs="方正仿宋_GB18030"/>
          <w:color w:val="000000"/>
          <w:kern w:val="0"/>
          <w:sz w:val="24"/>
          <w:szCs w:val="24"/>
          <w:u w:val="single"/>
        </w:rPr>
        <w:t>         </w:t>
      </w:r>
      <w:r>
        <w:rPr>
          <w:rFonts w:hint="eastAsia" w:ascii="方正仿宋_GB18030" w:hAnsi="方正仿宋_GB18030" w:eastAsia="方正仿宋_GB18030" w:cs="方正仿宋_GB18030"/>
          <w:color w:val="000000"/>
          <w:kern w:val="0"/>
          <w:sz w:val="24"/>
          <w:szCs w:val="24"/>
        </w:rPr>
        <w:t>；</w:t>
      </w:r>
    </w:p>
    <w:p w14:paraId="0C7E2D5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职    务：</w:t>
      </w:r>
      <w:r>
        <w:rPr>
          <w:rFonts w:hint="eastAsia" w:ascii="方正仿宋_GB18030" w:hAnsi="方正仿宋_GB18030" w:eastAsia="方正仿宋_GB18030" w:cs="方正仿宋_GB18030"/>
          <w:color w:val="000000"/>
          <w:kern w:val="0"/>
          <w:sz w:val="24"/>
          <w:szCs w:val="24"/>
          <w:u w:val="single"/>
        </w:rPr>
        <w:t>         </w:t>
      </w:r>
      <w:r>
        <w:rPr>
          <w:rFonts w:hint="eastAsia" w:ascii="方正仿宋_GB18030" w:hAnsi="方正仿宋_GB18030" w:eastAsia="方正仿宋_GB18030" w:cs="方正仿宋_GB18030"/>
          <w:color w:val="000000"/>
          <w:kern w:val="0"/>
          <w:sz w:val="24"/>
          <w:szCs w:val="24"/>
        </w:rPr>
        <w:t>；</w:t>
      </w:r>
    </w:p>
    <w:p w14:paraId="0355D9E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监理工程师执业资格证书号：</w:t>
      </w:r>
      <w:r>
        <w:rPr>
          <w:rFonts w:hint="eastAsia" w:ascii="方正仿宋_GB18030" w:hAnsi="方正仿宋_GB18030" w:eastAsia="方正仿宋_GB18030" w:cs="方正仿宋_GB18030"/>
          <w:color w:val="000000"/>
          <w:kern w:val="0"/>
          <w:sz w:val="24"/>
          <w:szCs w:val="24"/>
          <w:u w:val="single"/>
        </w:rPr>
        <w:t>              </w:t>
      </w:r>
      <w:r>
        <w:rPr>
          <w:rFonts w:hint="eastAsia" w:ascii="方正仿宋_GB18030" w:hAnsi="方正仿宋_GB18030" w:eastAsia="方正仿宋_GB18030" w:cs="方正仿宋_GB18030"/>
          <w:color w:val="000000"/>
          <w:kern w:val="0"/>
          <w:sz w:val="24"/>
          <w:szCs w:val="24"/>
        </w:rPr>
        <w:t>；</w:t>
      </w:r>
    </w:p>
    <w:p w14:paraId="1E93AE7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联系电话：</w:t>
      </w:r>
      <w:r>
        <w:rPr>
          <w:rFonts w:hint="eastAsia" w:ascii="方正仿宋_GB18030" w:hAnsi="方正仿宋_GB18030" w:eastAsia="方正仿宋_GB18030" w:cs="方正仿宋_GB18030"/>
          <w:color w:val="000000"/>
          <w:kern w:val="0"/>
          <w:sz w:val="24"/>
          <w:szCs w:val="24"/>
          <w:u w:val="single"/>
        </w:rPr>
        <w:t>            </w:t>
      </w:r>
      <w:r>
        <w:rPr>
          <w:rFonts w:hint="eastAsia" w:ascii="方正仿宋_GB18030" w:hAnsi="方正仿宋_GB18030" w:eastAsia="方正仿宋_GB18030" w:cs="方正仿宋_GB18030"/>
          <w:color w:val="000000"/>
          <w:kern w:val="0"/>
          <w:sz w:val="24"/>
          <w:szCs w:val="24"/>
        </w:rPr>
        <w:t>；</w:t>
      </w:r>
    </w:p>
    <w:p w14:paraId="18602DF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通信地址：</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4C5E0C1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4.4 商定或确定</w:t>
      </w:r>
    </w:p>
    <w:p w14:paraId="28EEF95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589" w:name="_Toc267251418"/>
      <w:r>
        <w:rPr>
          <w:rFonts w:hint="eastAsia" w:ascii="方正仿宋_GB18030" w:hAnsi="方正仿宋_GB18030" w:eastAsia="方正仿宋_GB18030" w:cs="方正仿宋_GB18030"/>
          <w:color w:val="000000"/>
          <w:kern w:val="0"/>
          <w:sz w:val="24"/>
          <w:szCs w:val="24"/>
        </w:rPr>
        <w:t>在发包人和承包人不能通过协商达成一致意见时，发包人授权监理人对以下事项进行确定：</w:t>
      </w:r>
    </w:p>
    <w:p w14:paraId="2E35FA3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2772A65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4BB115E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089169D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590" w:name="_Toc351203637"/>
      <w:r>
        <w:rPr>
          <w:rFonts w:hint="eastAsia" w:ascii="方正仿宋_GB18030" w:hAnsi="方正仿宋_GB18030" w:eastAsia="方正仿宋_GB18030" w:cs="方正仿宋_GB18030"/>
          <w:color w:val="000000"/>
          <w:kern w:val="0"/>
          <w:sz w:val="24"/>
          <w:szCs w:val="24"/>
        </w:rPr>
        <w:t>5</w:t>
      </w:r>
      <w:bookmarkEnd w:id="589"/>
      <w:bookmarkStart w:id="591" w:name="_Toc297120463"/>
      <w:bookmarkStart w:id="592" w:name="_Toc296944502"/>
      <w:bookmarkStart w:id="593" w:name="_Toc296347162"/>
      <w:bookmarkStart w:id="594" w:name="_Toc296890991"/>
      <w:bookmarkStart w:id="595" w:name="_Toc292559367"/>
      <w:bookmarkStart w:id="596" w:name="_Toc296503163"/>
      <w:bookmarkStart w:id="597" w:name="_Toc297048349"/>
      <w:bookmarkStart w:id="598" w:name="_Toc292559872"/>
      <w:bookmarkStart w:id="599" w:name="_Toc296891203"/>
      <w:bookmarkStart w:id="600" w:name="_Toc296346664"/>
      <w:r>
        <w:rPr>
          <w:rFonts w:hint="eastAsia" w:ascii="方正仿宋_GB18030" w:hAnsi="方正仿宋_GB18030" w:eastAsia="方正仿宋_GB18030" w:cs="方正仿宋_GB18030"/>
          <w:color w:val="000000"/>
          <w:kern w:val="0"/>
          <w:sz w:val="24"/>
          <w:szCs w:val="24"/>
        </w:rPr>
        <w:t>. 工程质量</w:t>
      </w:r>
      <w:bookmarkEnd w:id="590"/>
    </w:p>
    <w:p w14:paraId="605E1E8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5.1 质量要求</w:t>
      </w:r>
    </w:p>
    <w:p w14:paraId="14175F2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5</w:t>
      </w:r>
      <w:bookmarkStart w:id="601" w:name="_Toc318581164"/>
      <w:bookmarkStart w:id="602" w:name="_Toc312677997"/>
      <w:bookmarkStart w:id="603" w:name="_Toc300934949"/>
      <w:bookmarkStart w:id="604" w:name="_Toc304295527"/>
      <w:bookmarkStart w:id="605" w:name="_Toc297216155"/>
      <w:bookmarkStart w:id="606" w:name="_Toc303539106"/>
      <w:bookmarkStart w:id="607" w:name="_Toc297123496"/>
      <w:r>
        <w:rPr>
          <w:rFonts w:hint="eastAsia" w:ascii="方正仿宋_GB18030" w:hAnsi="方正仿宋_GB18030" w:eastAsia="方正仿宋_GB18030" w:cs="方正仿宋_GB18030"/>
          <w:color w:val="000000"/>
          <w:kern w:val="0"/>
          <w:sz w:val="24"/>
          <w:szCs w:val="24"/>
        </w:rPr>
        <w:t>.1.1 特殊质量标准和要求：</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p w14:paraId="4454980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关于工程奖项的约定：</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p w14:paraId="0131959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5.3 隐蔽工程检查</w:t>
      </w:r>
    </w:p>
    <w:p w14:paraId="4E4F43C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5.3.2承包人提前通知监理人和发包人隐蔽工程检查的期限的约定：</w:t>
      </w:r>
      <w:r>
        <w:rPr>
          <w:rFonts w:hint="eastAsia" w:ascii="方正仿宋_GB18030" w:hAnsi="方正仿宋_GB18030" w:eastAsia="方正仿宋_GB18030" w:cs="方正仿宋_GB18030"/>
          <w:color w:val="000000"/>
          <w:kern w:val="0"/>
          <w:sz w:val="24"/>
          <w:szCs w:val="24"/>
          <w:u w:val="single"/>
        </w:rPr>
        <w:t>隐蔽工程进行前24小时</w:t>
      </w:r>
      <w:r>
        <w:rPr>
          <w:rFonts w:hint="eastAsia" w:ascii="方正仿宋_GB18030" w:hAnsi="方正仿宋_GB18030" w:eastAsia="方正仿宋_GB18030" w:cs="方正仿宋_GB18030"/>
          <w:color w:val="000000"/>
          <w:kern w:val="0"/>
          <w:sz w:val="24"/>
          <w:szCs w:val="24"/>
        </w:rPr>
        <w:t>。</w:t>
      </w:r>
    </w:p>
    <w:p w14:paraId="34C8447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监理人不能按时进行检查时，应提前</w:t>
      </w:r>
      <w:r>
        <w:rPr>
          <w:rFonts w:hint="eastAsia" w:ascii="方正仿宋_GB18030" w:hAnsi="方正仿宋_GB18030" w:eastAsia="方正仿宋_GB18030" w:cs="方正仿宋_GB18030"/>
          <w:color w:val="000000"/>
          <w:kern w:val="0"/>
          <w:sz w:val="24"/>
          <w:szCs w:val="24"/>
          <w:u w:val="single"/>
        </w:rPr>
        <w:t>24</w:t>
      </w:r>
      <w:r>
        <w:rPr>
          <w:rFonts w:hint="eastAsia" w:ascii="方正仿宋_GB18030" w:hAnsi="方正仿宋_GB18030" w:eastAsia="方正仿宋_GB18030" w:cs="方正仿宋_GB18030"/>
          <w:color w:val="000000"/>
          <w:kern w:val="0"/>
          <w:sz w:val="24"/>
          <w:szCs w:val="24"/>
        </w:rPr>
        <w:t>小时提交书面延期要求。</w:t>
      </w:r>
    </w:p>
    <w:p w14:paraId="7173B48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关于延期最长不得超过：</w:t>
      </w:r>
      <w:r>
        <w:rPr>
          <w:rFonts w:hint="eastAsia" w:ascii="方正仿宋_GB18030" w:hAnsi="方正仿宋_GB18030" w:eastAsia="方正仿宋_GB18030" w:cs="方正仿宋_GB18030"/>
          <w:color w:val="000000"/>
          <w:kern w:val="0"/>
          <w:sz w:val="24"/>
          <w:szCs w:val="24"/>
          <w:u w:val="single"/>
        </w:rPr>
        <w:t xml:space="preserve"> 48 </w:t>
      </w:r>
      <w:r>
        <w:rPr>
          <w:rFonts w:hint="eastAsia" w:ascii="方正仿宋_GB18030" w:hAnsi="方正仿宋_GB18030" w:eastAsia="方正仿宋_GB18030" w:cs="方正仿宋_GB18030"/>
          <w:color w:val="000000"/>
          <w:kern w:val="0"/>
          <w:sz w:val="24"/>
          <w:szCs w:val="24"/>
        </w:rPr>
        <w:t>小时。</w:t>
      </w:r>
    </w:p>
    <w:p w14:paraId="0DA08B5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608" w:name="_Toc351203638"/>
      <w:r>
        <w:rPr>
          <w:rFonts w:hint="eastAsia" w:ascii="方正仿宋_GB18030" w:hAnsi="方正仿宋_GB18030" w:eastAsia="方正仿宋_GB18030" w:cs="方正仿宋_GB18030"/>
          <w:color w:val="000000"/>
          <w:kern w:val="0"/>
          <w:sz w:val="24"/>
          <w:szCs w:val="24"/>
        </w:rPr>
        <w:t>6. 安全文明施工与环境保护</w:t>
      </w:r>
      <w:bookmarkEnd w:id="608"/>
    </w:p>
    <w:p w14:paraId="577E717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6.1安全文明施工</w:t>
      </w:r>
    </w:p>
    <w:p w14:paraId="6D1C12B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6.1.1 项目安全生产的达标目标及相应事项的约定：</w:t>
      </w:r>
      <w:r>
        <w:rPr>
          <w:rFonts w:hint="eastAsia" w:ascii="方正仿宋_GB18030" w:hAnsi="方正仿宋_GB18030" w:eastAsia="方正仿宋_GB18030" w:cs="方正仿宋_GB18030"/>
          <w:color w:val="000000"/>
          <w:kern w:val="0"/>
          <w:sz w:val="24"/>
          <w:szCs w:val="24"/>
          <w:u w:val="single"/>
        </w:rPr>
        <w:t>要求达到《建筑施工安全检查标准（JGJ59-2011）标准》。《市政工程施工安全检查标准》(CJJ-2017)</w:t>
      </w:r>
      <w:r>
        <w:rPr>
          <w:rFonts w:hint="eastAsia" w:ascii="方正仿宋_GB18030" w:hAnsi="方正仿宋_GB18030" w:eastAsia="方正仿宋_GB18030" w:cs="方正仿宋_GB18030"/>
          <w:color w:val="000000"/>
          <w:kern w:val="0"/>
          <w:sz w:val="24"/>
          <w:szCs w:val="24"/>
        </w:rPr>
        <w:t>。</w:t>
      </w:r>
    </w:p>
    <w:p w14:paraId="576117B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6.1.4 关于治安保卫的特别约定：</w:t>
      </w:r>
      <w:r>
        <w:rPr>
          <w:rFonts w:hint="eastAsia" w:ascii="方正仿宋_GB18030" w:hAnsi="方正仿宋_GB18030" w:eastAsia="方正仿宋_GB18030" w:cs="方正仿宋_GB18030"/>
          <w:color w:val="000000"/>
          <w:kern w:val="0"/>
          <w:sz w:val="24"/>
          <w:szCs w:val="24"/>
          <w:u w:val="single"/>
        </w:rPr>
        <w:t>按通用条款执行</w:t>
      </w:r>
      <w:r>
        <w:rPr>
          <w:rFonts w:hint="eastAsia" w:ascii="方正仿宋_GB18030" w:hAnsi="方正仿宋_GB18030" w:eastAsia="方正仿宋_GB18030" w:cs="方正仿宋_GB18030"/>
          <w:color w:val="000000"/>
          <w:kern w:val="0"/>
          <w:sz w:val="24"/>
          <w:szCs w:val="24"/>
        </w:rPr>
        <w:t>。</w:t>
      </w:r>
    </w:p>
    <w:p w14:paraId="6557849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609" w:name="_Hlk105681134"/>
      <w:r>
        <w:rPr>
          <w:rFonts w:hint="eastAsia" w:ascii="方正仿宋_GB18030" w:hAnsi="方正仿宋_GB18030" w:eastAsia="方正仿宋_GB18030" w:cs="方正仿宋_GB18030"/>
          <w:color w:val="000000"/>
          <w:kern w:val="0"/>
          <w:sz w:val="24"/>
          <w:szCs w:val="24"/>
        </w:rPr>
        <w:t>关于编制施工场地治安管理计划的约定：承包人应当于</w:t>
      </w:r>
      <w:r>
        <w:rPr>
          <w:rFonts w:hint="eastAsia" w:ascii="方正仿宋_GB18030" w:hAnsi="方正仿宋_GB18030" w:eastAsia="方正仿宋_GB18030" w:cs="方正仿宋_GB18030"/>
          <w:color w:val="000000"/>
          <w:kern w:val="0"/>
          <w:sz w:val="24"/>
          <w:szCs w:val="24"/>
          <w:u w:val="single"/>
        </w:rPr>
        <w:t xml:space="preserve">开工前提供施工场地治安管理计划 </w:t>
      </w:r>
      <w:r>
        <w:rPr>
          <w:rFonts w:hint="eastAsia" w:ascii="方正仿宋_GB18030" w:hAnsi="方正仿宋_GB18030" w:eastAsia="方正仿宋_GB18030" w:cs="方正仿宋_GB18030"/>
          <w:color w:val="000000"/>
          <w:kern w:val="0"/>
          <w:sz w:val="24"/>
          <w:szCs w:val="24"/>
        </w:rPr>
        <w:t>。</w:t>
      </w:r>
    </w:p>
    <w:bookmarkEnd w:id="609"/>
    <w:p w14:paraId="071D0A1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6.1.5 文明施工</w:t>
      </w:r>
    </w:p>
    <w:p w14:paraId="4226016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合同当事人对文明施工的要求： </w:t>
      </w:r>
      <w:r>
        <w:rPr>
          <w:rFonts w:hint="eastAsia" w:ascii="方正仿宋_GB18030" w:hAnsi="方正仿宋_GB18030" w:eastAsia="方正仿宋_GB18030" w:cs="方正仿宋_GB18030"/>
          <w:color w:val="000000"/>
          <w:kern w:val="0"/>
          <w:sz w:val="24"/>
          <w:szCs w:val="24"/>
          <w:u w:val="single"/>
        </w:rPr>
        <w:t>达到《建设工程施工现场环境与卫生标准》（JGJ146-2013）标准</w:t>
      </w:r>
      <w:r>
        <w:rPr>
          <w:rFonts w:hint="eastAsia" w:ascii="方正仿宋_GB18030" w:hAnsi="方正仿宋_GB18030" w:eastAsia="方正仿宋_GB18030" w:cs="方正仿宋_GB18030"/>
          <w:color w:val="000000"/>
          <w:kern w:val="0"/>
          <w:sz w:val="24"/>
          <w:szCs w:val="24"/>
        </w:rPr>
        <w:t>。</w:t>
      </w:r>
    </w:p>
    <w:p w14:paraId="5D20B65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6.1.6 </w:t>
      </w:r>
      <w:bookmarkStart w:id="610" w:name="_Hlk105681210"/>
      <w:r>
        <w:rPr>
          <w:rFonts w:hint="eastAsia" w:ascii="方正仿宋_GB18030" w:hAnsi="方正仿宋_GB18030" w:eastAsia="方正仿宋_GB18030" w:cs="方正仿宋_GB18030"/>
          <w:color w:val="000000"/>
          <w:kern w:val="0"/>
          <w:sz w:val="24"/>
          <w:szCs w:val="24"/>
        </w:rPr>
        <w:t>关于安全文明施工费支付比例和支付期限的约定：本合同总价款中已包含安全文明施工费</w:t>
      </w:r>
      <w:bookmarkEnd w:id="610"/>
      <w:r>
        <w:rPr>
          <w:rFonts w:hint="eastAsia" w:ascii="方正仿宋_GB18030" w:hAnsi="方正仿宋_GB18030" w:eastAsia="方正仿宋_GB18030" w:cs="方正仿宋_GB18030"/>
          <w:color w:val="000000"/>
          <w:kern w:val="0"/>
          <w:sz w:val="24"/>
          <w:szCs w:val="24"/>
        </w:rPr>
        <w:t>。</w:t>
      </w:r>
    </w:p>
    <w:bookmarkEnd w:id="601"/>
    <w:bookmarkEnd w:id="602"/>
    <w:bookmarkEnd w:id="603"/>
    <w:bookmarkEnd w:id="604"/>
    <w:bookmarkEnd w:id="605"/>
    <w:bookmarkEnd w:id="606"/>
    <w:bookmarkEnd w:id="607"/>
    <w:p w14:paraId="6FC1BA1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611" w:name="_Toc351203639"/>
      <w:r>
        <w:rPr>
          <w:rFonts w:hint="eastAsia" w:ascii="方正仿宋_GB18030" w:hAnsi="方正仿宋_GB18030" w:eastAsia="方正仿宋_GB18030" w:cs="方正仿宋_GB18030"/>
          <w:color w:val="000000"/>
          <w:kern w:val="0"/>
          <w:sz w:val="24"/>
          <w:szCs w:val="24"/>
        </w:rPr>
        <w:t>7. 工期和进度</w:t>
      </w:r>
      <w:bookmarkEnd w:id="611"/>
    </w:p>
    <w:p w14:paraId="3E95F75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7.1 施工组织设计</w:t>
      </w:r>
    </w:p>
    <w:p w14:paraId="7667C12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7.1.1 合同当事人约定的施工组织设计应包括的其他内容： 按通用条款执行或双方另行约定。</w:t>
      </w:r>
    </w:p>
    <w:p w14:paraId="29D4E84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7.1.2 施工组织设计的提交和修改</w:t>
      </w:r>
    </w:p>
    <w:p w14:paraId="77F8AC0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承包人提交详细施工组织设计的期限的约定：</w:t>
      </w:r>
      <w:r>
        <w:rPr>
          <w:rFonts w:hint="eastAsia" w:ascii="方正仿宋_GB18030" w:hAnsi="方正仿宋_GB18030" w:eastAsia="方正仿宋_GB18030" w:cs="方正仿宋_GB18030"/>
          <w:color w:val="000000"/>
          <w:kern w:val="0"/>
          <w:sz w:val="24"/>
          <w:szCs w:val="24"/>
          <w:u w:val="single"/>
        </w:rPr>
        <w:t>在施工同时进行编制，开始编制后2天内完成</w:t>
      </w:r>
      <w:r>
        <w:rPr>
          <w:rFonts w:hint="eastAsia" w:ascii="方正仿宋_GB18030" w:hAnsi="方正仿宋_GB18030" w:eastAsia="方正仿宋_GB18030" w:cs="方正仿宋_GB18030"/>
          <w:color w:val="000000"/>
          <w:kern w:val="0"/>
          <w:sz w:val="24"/>
          <w:szCs w:val="24"/>
        </w:rPr>
        <w:t>。</w:t>
      </w:r>
    </w:p>
    <w:p w14:paraId="04375EC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发包人和监理人在收到详细的施工组织设计后确认或提出修改意见的期限：</w:t>
      </w:r>
      <w:r>
        <w:rPr>
          <w:rFonts w:hint="eastAsia" w:ascii="方正仿宋_GB18030" w:hAnsi="方正仿宋_GB18030" w:eastAsia="方正仿宋_GB18030" w:cs="方正仿宋_GB18030"/>
          <w:color w:val="000000"/>
          <w:kern w:val="0"/>
          <w:sz w:val="24"/>
          <w:szCs w:val="24"/>
          <w:u w:val="single"/>
        </w:rPr>
        <w:t>发包人和监理人在收到详细的施工组织设计或提出修改意见后在</w:t>
      </w:r>
      <w:r>
        <w:rPr>
          <w:rFonts w:hint="eastAsia" w:ascii="方正仿宋_GB18030" w:hAnsi="方正仿宋_GB18030" w:eastAsia="方正仿宋_GB18030" w:cs="方正仿宋_GB18030"/>
          <w:color w:val="000000"/>
          <w:kern w:val="0"/>
          <w:sz w:val="24"/>
          <w:szCs w:val="24"/>
          <w:u w:val="single"/>
          <w:lang w:val="en-US" w:eastAsia="zh-CN"/>
        </w:rPr>
        <w:t>24小时内</w:t>
      </w:r>
      <w:r>
        <w:rPr>
          <w:rFonts w:hint="eastAsia" w:ascii="方正仿宋_GB18030" w:hAnsi="方正仿宋_GB18030" w:eastAsia="方正仿宋_GB18030" w:cs="方正仿宋_GB18030"/>
          <w:color w:val="000000"/>
          <w:kern w:val="0"/>
          <w:sz w:val="24"/>
          <w:szCs w:val="24"/>
          <w:u w:val="single"/>
        </w:rPr>
        <w:t>进行审核确认</w:t>
      </w:r>
      <w:r>
        <w:rPr>
          <w:rFonts w:hint="eastAsia" w:ascii="方正仿宋_GB18030" w:hAnsi="方正仿宋_GB18030" w:eastAsia="方正仿宋_GB18030" w:cs="方正仿宋_GB18030"/>
          <w:color w:val="000000"/>
          <w:kern w:val="0"/>
          <w:sz w:val="24"/>
          <w:szCs w:val="24"/>
        </w:rPr>
        <w:t xml:space="preserve"> 。</w:t>
      </w:r>
    </w:p>
    <w:p w14:paraId="3EDEF64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w:t>
      </w:r>
      <w:bookmarkStart w:id="612" w:name="_Toc312678005"/>
      <w:bookmarkStart w:id="613" w:name="_Toc304295541"/>
      <w:bookmarkStart w:id="614" w:name="_Toc300934966"/>
      <w:bookmarkStart w:id="615" w:name="_Toc297216173"/>
      <w:bookmarkStart w:id="616" w:name="_Toc297123514"/>
      <w:bookmarkStart w:id="617" w:name="_Toc312677479"/>
      <w:bookmarkStart w:id="618" w:name="_Toc303539123"/>
      <w:r>
        <w:rPr>
          <w:rFonts w:hint="eastAsia" w:ascii="方正仿宋_GB18030" w:hAnsi="方正仿宋_GB18030" w:eastAsia="方正仿宋_GB18030" w:cs="方正仿宋_GB18030"/>
          <w:color w:val="000000"/>
          <w:kern w:val="0"/>
          <w:sz w:val="24"/>
          <w:szCs w:val="24"/>
        </w:rPr>
        <w:t>.2 施工进度计划</w:t>
      </w:r>
    </w:p>
    <w:p w14:paraId="442973B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619" w:name="_Hlk105681333"/>
      <w:r>
        <w:rPr>
          <w:rFonts w:hint="eastAsia" w:ascii="方正仿宋_GB18030" w:hAnsi="方正仿宋_GB18030" w:eastAsia="方正仿宋_GB18030" w:cs="方正仿宋_GB18030"/>
          <w:color w:val="000000"/>
          <w:kern w:val="0"/>
          <w:sz w:val="24"/>
          <w:szCs w:val="24"/>
        </w:rPr>
        <w:t>7.2.2</w:t>
      </w:r>
      <w:bookmarkEnd w:id="619"/>
      <w:r>
        <w:rPr>
          <w:rFonts w:hint="eastAsia" w:ascii="方正仿宋_GB18030" w:hAnsi="方正仿宋_GB18030" w:eastAsia="方正仿宋_GB18030" w:cs="方正仿宋_GB18030"/>
          <w:color w:val="000000"/>
          <w:kern w:val="0"/>
          <w:sz w:val="24"/>
          <w:szCs w:val="24"/>
        </w:rPr>
        <w:t xml:space="preserve"> 施工进度计划的修订</w:t>
      </w:r>
    </w:p>
    <w:p w14:paraId="07549B0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发包人和监理人在收到修订的施工进度计划后确认或提出修改意见的期限：</w:t>
      </w:r>
      <w:r>
        <w:rPr>
          <w:rFonts w:hint="eastAsia" w:ascii="方正仿宋_GB18030" w:hAnsi="方正仿宋_GB18030" w:eastAsia="方正仿宋_GB18030" w:cs="方正仿宋_GB18030"/>
          <w:color w:val="000000"/>
          <w:kern w:val="0"/>
          <w:sz w:val="24"/>
          <w:szCs w:val="24"/>
          <w:u w:val="single"/>
        </w:rPr>
        <w:t>收到施工进度计划或提出修改意见后</w:t>
      </w:r>
      <w:r>
        <w:rPr>
          <w:rFonts w:hint="eastAsia" w:ascii="方正仿宋_GB18030" w:hAnsi="方正仿宋_GB18030" w:eastAsia="方正仿宋_GB18030" w:cs="方正仿宋_GB18030"/>
          <w:color w:val="000000"/>
          <w:kern w:val="0"/>
          <w:sz w:val="24"/>
          <w:szCs w:val="24"/>
          <w:u w:val="single"/>
          <w:lang w:val="en-US" w:eastAsia="zh-CN"/>
        </w:rPr>
        <w:t>24小时内</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w:t>
      </w:r>
    </w:p>
    <w:p w14:paraId="3167CD5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7.3 开工</w:t>
      </w:r>
    </w:p>
    <w:p w14:paraId="74C0AD6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7.3.1 开工准备</w:t>
      </w:r>
    </w:p>
    <w:p w14:paraId="04E3182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关于承包人提交工程开工报审表的期限：承包人应当于开工</w:t>
      </w:r>
      <w:r>
        <w:rPr>
          <w:rFonts w:hint="eastAsia" w:ascii="方正仿宋_GB18030" w:hAnsi="方正仿宋_GB18030" w:eastAsia="方正仿宋_GB18030" w:cs="方正仿宋_GB18030"/>
          <w:color w:val="000000"/>
          <w:kern w:val="0"/>
          <w:sz w:val="24"/>
          <w:szCs w:val="24"/>
          <w:u w:val="single"/>
        </w:rPr>
        <w:t>同时提交工程开工报审表</w:t>
      </w:r>
      <w:r>
        <w:rPr>
          <w:rFonts w:hint="eastAsia" w:ascii="方正仿宋_GB18030" w:hAnsi="方正仿宋_GB18030" w:eastAsia="方正仿宋_GB18030" w:cs="方正仿宋_GB18030"/>
          <w:color w:val="000000"/>
          <w:kern w:val="0"/>
          <w:sz w:val="24"/>
          <w:szCs w:val="24"/>
        </w:rPr>
        <w:t>。</w:t>
      </w:r>
    </w:p>
    <w:p w14:paraId="5D1F0AC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关于发包人应完成的其他开工准备工作及期限：</w:t>
      </w:r>
      <w:r>
        <w:rPr>
          <w:rFonts w:hint="eastAsia" w:ascii="方正仿宋_GB18030" w:hAnsi="方正仿宋_GB18030" w:eastAsia="方正仿宋_GB18030" w:cs="方正仿宋_GB18030"/>
          <w:color w:val="000000"/>
          <w:kern w:val="0"/>
          <w:sz w:val="24"/>
          <w:szCs w:val="24"/>
          <w:u w:val="single"/>
        </w:rPr>
        <w:t>合同签订后开始</w:t>
      </w:r>
      <w:r>
        <w:rPr>
          <w:rFonts w:hint="eastAsia" w:ascii="方正仿宋_GB18030" w:hAnsi="方正仿宋_GB18030" w:eastAsia="方正仿宋_GB18030" w:cs="方正仿宋_GB18030"/>
          <w:color w:val="000000"/>
          <w:kern w:val="0"/>
          <w:sz w:val="24"/>
          <w:szCs w:val="24"/>
        </w:rPr>
        <w:t>。</w:t>
      </w:r>
    </w:p>
    <w:p w14:paraId="4895CD5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关于承包人应完成的其他开工准备工作及期限：</w:t>
      </w:r>
      <w:r>
        <w:rPr>
          <w:rFonts w:hint="eastAsia" w:ascii="方正仿宋_GB18030" w:hAnsi="方正仿宋_GB18030" w:eastAsia="方正仿宋_GB18030" w:cs="方正仿宋_GB18030"/>
          <w:color w:val="000000"/>
          <w:kern w:val="0"/>
          <w:sz w:val="24"/>
          <w:szCs w:val="24"/>
          <w:u w:val="single"/>
        </w:rPr>
        <w:t>合同签订后2天内</w:t>
      </w:r>
      <w:r>
        <w:rPr>
          <w:rFonts w:hint="eastAsia" w:ascii="方正仿宋_GB18030" w:hAnsi="方正仿宋_GB18030" w:eastAsia="方正仿宋_GB18030" w:cs="方正仿宋_GB18030"/>
          <w:color w:val="000000"/>
          <w:kern w:val="0"/>
          <w:sz w:val="24"/>
          <w:szCs w:val="24"/>
        </w:rPr>
        <w:t>。</w:t>
      </w:r>
    </w:p>
    <w:p w14:paraId="3814F6E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7.3.2开工通知</w:t>
      </w:r>
    </w:p>
    <w:p w14:paraId="5655FC0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因发包人原因造成监理人未能在计划开工日期之日起</w:t>
      </w:r>
      <w:r>
        <w:rPr>
          <w:rFonts w:hint="eastAsia" w:ascii="方正仿宋_GB18030" w:hAnsi="方正仿宋_GB18030" w:eastAsia="方正仿宋_GB18030" w:cs="方正仿宋_GB18030"/>
          <w:color w:val="000000"/>
          <w:kern w:val="0"/>
          <w:sz w:val="24"/>
          <w:szCs w:val="24"/>
          <w:u w:val="single"/>
        </w:rPr>
        <w:t xml:space="preserve"> 45</w:t>
      </w:r>
      <w:r>
        <w:rPr>
          <w:rFonts w:hint="eastAsia" w:ascii="方正仿宋_GB18030" w:hAnsi="方正仿宋_GB18030" w:eastAsia="方正仿宋_GB18030" w:cs="方正仿宋_GB18030"/>
          <w:color w:val="000000"/>
          <w:kern w:val="0"/>
          <w:sz w:val="24"/>
          <w:szCs w:val="24"/>
        </w:rPr>
        <w:t>天内发出开工通知的，承包人有权提出价格调整要求，或者解除合同。</w:t>
      </w:r>
    </w:p>
    <w:bookmarkEnd w:id="612"/>
    <w:bookmarkEnd w:id="613"/>
    <w:bookmarkEnd w:id="614"/>
    <w:bookmarkEnd w:id="615"/>
    <w:bookmarkEnd w:id="616"/>
    <w:bookmarkEnd w:id="617"/>
    <w:bookmarkEnd w:id="618"/>
    <w:p w14:paraId="3B3873E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w:t>
      </w:r>
      <w:bookmarkStart w:id="620" w:name="_Toc312678010"/>
      <w:bookmarkStart w:id="621" w:name="_Toc297123516"/>
      <w:bookmarkStart w:id="622" w:name="_Toc303539125"/>
      <w:bookmarkStart w:id="623" w:name="_Toc300934968"/>
      <w:bookmarkStart w:id="624" w:name="_Toc312677484"/>
      <w:bookmarkStart w:id="625" w:name="_Toc297216175"/>
      <w:bookmarkStart w:id="626" w:name="_Toc304295546"/>
      <w:r>
        <w:rPr>
          <w:rFonts w:hint="eastAsia" w:ascii="方正仿宋_GB18030" w:hAnsi="方正仿宋_GB18030" w:eastAsia="方正仿宋_GB18030" w:cs="方正仿宋_GB18030"/>
          <w:color w:val="000000"/>
          <w:kern w:val="0"/>
          <w:sz w:val="24"/>
          <w:szCs w:val="24"/>
        </w:rPr>
        <w:t>.5 工期延误</w:t>
      </w:r>
    </w:p>
    <w:bookmarkEnd w:id="620"/>
    <w:bookmarkEnd w:id="621"/>
    <w:bookmarkEnd w:id="622"/>
    <w:bookmarkEnd w:id="623"/>
    <w:bookmarkEnd w:id="624"/>
    <w:bookmarkEnd w:id="625"/>
    <w:bookmarkEnd w:id="626"/>
    <w:p w14:paraId="625FE7B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7.5.1 因发包人原因导致工期延误（7）因发包人原因导致工期延误的其他情形：</w:t>
      </w:r>
      <w:r>
        <w:rPr>
          <w:rFonts w:hint="eastAsia" w:ascii="方正仿宋_GB18030" w:hAnsi="方正仿宋_GB18030" w:eastAsia="方正仿宋_GB18030" w:cs="方正仿宋_GB18030"/>
          <w:color w:val="000000"/>
          <w:kern w:val="0"/>
          <w:sz w:val="24"/>
          <w:szCs w:val="24"/>
          <w:u w:val="single"/>
        </w:rPr>
        <w:t>重大设计变更而影响施工进度的、政策</w:t>
      </w:r>
      <w:r>
        <w:rPr>
          <w:rFonts w:hint="eastAsia" w:ascii="方正仿宋_GB18030" w:hAnsi="方正仿宋_GB18030" w:eastAsia="方正仿宋_GB18030" w:cs="方正仿宋_GB18030"/>
          <w:color w:val="000000"/>
          <w:kern w:val="0"/>
          <w:sz w:val="24"/>
          <w:szCs w:val="24"/>
          <w:u w:val="single"/>
          <w:lang w:val="en-US" w:eastAsia="zh-CN"/>
        </w:rPr>
        <w:t>调整</w:t>
      </w:r>
      <w:r>
        <w:rPr>
          <w:rFonts w:hint="eastAsia" w:ascii="方正仿宋_GB18030" w:hAnsi="方正仿宋_GB18030" w:eastAsia="方正仿宋_GB18030" w:cs="方正仿宋_GB18030"/>
          <w:color w:val="000000"/>
          <w:kern w:val="0"/>
          <w:sz w:val="24"/>
          <w:szCs w:val="24"/>
          <w:u w:val="single"/>
        </w:rPr>
        <w:t>影响施工进度、不可抗力</w:t>
      </w:r>
      <w:r>
        <w:rPr>
          <w:rFonts w:hint="eastAsia" w:ascii="方正仿宋_GB18030" w:hAnsi="方正仿宋_GB18030" w:eastAsia="方正仿宋_GB18030" w:cs="方正仿宋_GB18030"/>
          <w:color w:val="000000"/>
          <w:kern w:val="0"/>
          <w:sz w:val="24"/>
          <w:szCs w:val="24"/>
          <w:u w:val="single"/>
          <w:lang w:val="en-US" w:eastAsia="zh-CN"/>
        </w:rPr>
        <w:t>等原因导致</w:t>
      </w:r>
      <w:r>
        <w:rPr>
          <w:rFonts w:hint="eastAsia" w:ascii="方正仿宋_GB18030" w:hAnsi="方正仿宋_GB18030" w:eastAsia="方正仿宋_GB18030" w:cs="方正仿宋_GB18030"/>
          <w:color w:val="000000"/>
          <w:kern w:val="0"/>
          <w:sz w:val="24"/>
          <w:szCs w:val="24"/>
          <w:u w:val="single"/>
        </w:rPr>
        <w:t>延误工期须在发生后</w:t>
      </w:r>
      <w:r>
        <w:rPr>
          <w:rFonts w:hint="eastAsia" w:ascii="方正仿宋_GB18030" w:hAnsi="方正仿宋_GB18030" w:eastAsia="方正仿宋_GB18030" w:cs="方正仿宋_GB18030"/>
          <w:color w:val="000000"/>
          <w:kern w:val="0"/>
          <w:sz w:val="24"/>
          <w:szCs w:val="24"/>
          <w:u w:val="single"/>
          <w:lang w:val="en-US" w:eastAsia="zh-CN"/>
        </w:rPr>
        <w:t>24内</w:t>
      </w:r>
      <w:r>
        <w:rPr>
          <w:rFonts w:hint="eastAsia" w:ascii="方正仿宋_GB18030" w:hAnsi="方正仿宋_GB18030" w:eastAsia="方正仿宋_GB18030" w:cs="方正仿宋_GB18030"/>
          <w:color w:val="000000"/>
          <w:kern w:val="0"/>
          <w:sz w:val="24"/>
          <w:szCs w:val="24"/>
          <w:u w:val="single"/>
        </w:rPr>
        <w:t>办理签证，逾期</w:t>
      </w:r>
      <w:r>
        <w:rPr>
          <w:rFonts w:hint="eastAsia" w:ascii="方正仿宋_GB18030" w:hAnsi="方正仿宋_GB18030" w:eastAsia="方正仿宋_GB18030" w:cs="方正仿宋_GB18030"/>
          <w:color w:val="000000"/>
          <w:kern w:val="0"/>
          <w:sz w:val="24"/>
          <w:szCs w:val="24"/>
          <w:u w:val="single"/>
          <w:lang w:val="en-US" w:eastAsia="zh-CN"/>
        </w:rPr>
        <w:t>的</w:t>
      </w:r>
      <w:r>
        <w:rPr>
          <w:rFonts w:hint="eastAsia" w:ascii="方正仿宋_GB18030" w:hAnsi="方正仿宋_GB18030" w:eastAsia="方正仿宋_GB18030" w:cs="方正仿宋_GB18030"/>
          <w:color w:val="000000"/>
          <w:kern w:val="0"/>
          <w:sz w:val="24"/>
          <w:szCs w:val="24"/>
          <w:u w:val="single"/>
        </w:rPr>
        <w:t>不予认可</w:t>
      </w:r>
      <w:r>
        <w:rPr>
          <w:rFonts w:hint="eastAsia" w:ascii="方正仿宋_GB18030" w:hAnsi="方正仿宋_GB18030" w:eastAsia="方正仿宋_GB18030" w:cs="方正仿宋_GB18030"/>
          <w:color w:val="000000"/>
          <w:kern w:val="0"/>
          <w:sz w:val="24"/>
          <w:szCs w:val="24"/>
        </w:rPr>
        <w:t>。</w:t>
      </w:r>
    </w:p>
    <w:p w14:paraId="5187484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w:t>
      </w:r>
      <w:bookmarkStart w:id="627" w:name="_Toc312678012"/>
      <w:bookmarkStart w:id="628" w:name="_Toc312677486"/>
      <w:bookmarkStart w:id="629" w:name="_Toc318581169"/>
      <w:bookmarkStart w:id="630" w:name="_Toc300934970"/>
      <w:bookmarkStart w:id="631" w:name="_Toc297123518"/>
      <w:bookmarkStart w:id="632" w:name="_Toc304295548"/>
      <w:bookmarkStart w:id="633" w:name="_Toc303539127"/>
      <w:bookmarkStart w:id="634" w:name="_Toc297216177"/>
      <w:r>
        <w:rPr>
          <w:rFonts w:hint="eastAsia" w:ascii="方正仿宋_GB18030" w:hAnsi="方正仿宋_GB18030" w:eastAsia="方正仿宋_GB18030" w:cs="方正仿宋_GB18030"/>
          <w:color w:val="000000"/>
          <w:kern w:val="0"/>
          <w:sz w:val="24"/>
          <w:szCs w:val="24"/>
        </w:rPr>
        <w:t>.5.2 因承包人原因导致工期延误</w:t>
      </w:r>
    </w:p>
    <w:bookmarkEnd w:id="627"/>
    <w:bookmarkEnd w:id="628"/>
    <w:bookmarkEnd w:id="629"/>
    <w:p w14:paraId="317E1D0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因</w:t>
      </w:r>
      <w:bookmarkStart w:id="635" w:name="_Toc312678013"/>
      <w:bookmarkStart w:id="636" w:name="_Toc312677487"/>
      <w:bookmarkStart w:id="637" w:name="_Toc318581170"/>
      <w:r>
        <w:rPr>
          <w:rFonts w:hint="eastAsia" w:ascii="方正仿宋_GB18030" w:hAnsi="方正仿宋_GB18030" w:eastAsia="方正仿宋_GB18030" w:cs="方正仿宋_GB18030"/>
          <w:color w:val="000000"/>
          <w:kern w:val="0"/>
          <w:sz w:val="24"/>
          <w:szCs w:val="24"/>
        </w:rPr>
        <w:t>承包人原因造成工期延误，逾期竣工违约金的计算方法为：</w:t>
      </w:r>
    </w:p>
    <w:p w14:paraId="28E03BA9">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因其他外部原因延期并未对发包人造成使用影响且不超过</w:t>
      </w:r>
      <w:r>
        <w:rPr>
          <w:rFonts w:hint="eastAsia" w:ascii="方正仿宋_GB18030" w:hAnsi="方正仿宋_GB18030" w:eastAsia="方正仿宋_GB18030" w:cs="方正仿宋_GB18030"/>
          <w:color w:val="000000"/>
          <w:kern w:val="0"/>
          <w:sz w:val="24"/>
          <w:szCs w:val="24"/>
          <w:u w:val="single"/>
        </w:rPr>
        <w:t>10</w:t>
      </w:r>
      <w:r>
        <w:rPr>
          <w:rFonts w:hint="eastAsia" w:ascii="方正仿宋_GB18030" w:hAnsi="方正仿宋_GB18030" w:eastAsia="方正仿宋_GB18030" w:cs="方正仿宋_GB18030"/>
          <w:color w:val="000000"/>
          <w:kern w:val="0"/>
          <w:sz w:val="24"/>
          <w:szCs w:val="24"/>
        </w:rPr>
        <w:t>天不记事违约金，逾期竣工超过</w:t>
      </w:r>
      <w:r>
        <w:rPr>
          <w:rFonts w:hint="eastAsia" w:ascii="方正仿宋_GB18030" w:hAnsi="方正仿宋_GB18030" w:eastAsia="方正仿宋_GB18030" w:cs="方正仿宋_GB18030"/>
          <w:color w:val="000000"/>
          <w:kern w:val="0"/>
          <w:sz w:val="24"/>
          <w:szCs w:val="24"/>
          <w:u w:val="single"/>
        </w:rPr>
        <w:t>10</w:t>
      </w:r>
      <w:r>
        <w:rPr>
          <w:rFonts w:hint="eastAsia" w:ascii="方正仿宋_GB18030" w:hAnsi="方正仿宋_GB18030" w:eastAsia="方正仿宋_GB18030" w:cs="方正仿宋_GB18030"/>
          <w:color w:val="000000"/>
          <w:kern w:val="0"/>
          <w:sz w:val="24"/>
          <w:szCs w:val="24"/>
        </w:rPr>
        <w:t>天开始计算违约金，违约金</w:t>
      </w:r>
      <w:r>
        <w:rPr>
          <w:rFonts w:hint="eastAsia" w:ascii="方正仿宋_GB18030" w:hAnsi="方正仿宋_GB18030" w:eastAsia="方正仿宋_GB18030" w:cs="方正仿宋_GB18030"/>
          <w:color w:val="000000"/>
          <w:kern w:val="0"/>
          <w:sz w:val="24"/>
          <w:szCs w:val="24"/>
          <w:u w:val="single"/>
        </w:rPr>
        <w:t>500元/天</w:t>
      </w:r>
      <w:r>
        <w:rPr>
          <w:rFonts w:hint="eastAsia" w:ascii="方正仿宋_GB18030" w:hAnsi="方正仿宋_GB18030" w:eastAsia="方正仿宋_GB18030" w:cs="方正仿宋_GB18030"/>
          <w:color w:val="000000"/>
          <w:kern w:val="0"/>
          <w:sz w:val="24"/>
          <w:szCs w:val="24"/>
        </w:rPr>
        <w:t>。</w:t>
      </w:r>
      <w:bookmarkEnd w:id="630"/>
      <w:bookmarkEnd w:id="631"/>
      <w:bookmarkEnd w:id="632"/>
      <w:bookmarkEnd w:id="633"/>
      <w:bookmarkEnd w:id="634"/>
      <w:bookmarkEnd w:id="635"/>
      <w:bookmarkEnd w:id="636"/>
    </w:p>
    <w:bookmarkEnd w:id="637"/>
    <w:p w14:paraId="7A8CCD7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因承包人原因造成工期延误，</w:t>
      </w:r>
      <w:bookmarkStart w:id="638" w:name="_Toc312678014"/>
      <w:bookmarkStart w:id="639" w:name="_Toc318581171"/>
      <w:r>
        <w:rPr>
          <w:rFonts w:hint="eastAsia" w:ascii="方正仿宋_GB18030" w:hAnsi="方正仿宋_GB18030" w:eastAsia="方正仿宋_GB18030" w:cs="方正仿宋_GB18030"/>
          <w:color w:val="000000"/>
          <w:kern w:val="0"/>
          <w:sz w:val="24"/>
          <w:szCs w:val="24"/>
          <w:u w:val="single"/>
        </w:rPr>
        <w:t>未对发包人造成经济和管理责任损失的，违约金上限为合同总金额的10%；对发包人造成经济和管理责任损失的，承包人应一次性支付合同总金额20%的违约金并赔偿发包人的全部损失</w:t>
      </w:r>
      <w:r>
        <w:rPr>
          <w:rFonts w:hint="eastAsia" w:ascii="方正仿宋_GB18030" w:hAnsi="方正仿宋_GB18030" w:eastAsia="方正仿宋_GB18030" w:cs="方正仿宋_GB18030"/>
          <w:color w:val="000000"/>
          <w:kern w:val="0"/>
          <w:sz w:val="24"/>
          <w:szCs w:val="24"/>
        </w:rPr>
        <w:t>。</w:t>
      </w:r>
    </w:p>
    <w:bookmarkEnd w:id="638"/>
    <w:bookmarkEnd w:id="639"/>
    <w:p w14:paraId="78620BC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w:t>
      </w:r>
      <w:bookmarkStart w:id="640" w:name="_Toc304295549"/>
      <w:bookmarkStart w:id="641" w:name="_Toc297123519"/>
      <w:bookmarkStart w:id="642" w:name="_Toc297216178"/>
      <w:bookmarkStart w:id="643" w:name="_Toc303539128"/>
      <w:bookmarkStart w:id="644" w:name="_Toc312678015"/>
      <w:bookmarkStart w:id="645" w:name="_Toc300934971"/>
      <w:r>
        <w:rPr>
          <w:rFonts w:hint="eastAsia" w:ascii="方正仿宋_GB18030" w:hAnsi="方正仿宋_GB18030" w:eastAsia="方正仿宋_GB18030" w:cs="方正仿宋_GB18030"/>
          <w:color w:val="000000"/>
          <w:kern w:val="0"/>
          <w:sz w:val="24"/>
          <w:szCs w:val="24"/>
        </w:rPr>
        <w:t>.6 不</w:t>
      </w:r>
      <w:bookmarkEnd w:id="640"/>
      <w:bookmarkEnd w:id="641"/>
      <w:bookmarkEnd w:id="642"/>
      <w:bookmarkEnd w:id="643"/>
      <w:bookmarkEnd w:id="644"/>
      <w:bookmarkEnd w:id="645"/>
      <w:r>
        <w:rPr>
          <w:rFonts w:hint="eastAsia" w:ascii="方正仿宋_GB18030" w:hAnsi="方正仿宋_GB18030" w:eastAsia="方正仿宋_GB18030" w:cs="方正仿宋_GB18030"/>
          <w:color w:val="000000"/>
          <w:kern w:val="0"/>
          <w:sz w:val="24"/>
          <w:szCs w:val="24"/>
        </w:rPr>
        <w:t>利物质条件</w:t>
      </w:r>
    </w:p>
    <w:p w14:paraId="2C5F61D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646" w:name="_Toc300934972"/>
      <w:bookmarkStart w:id="647" w:name="_Toc297216179"/>
      <w:bookmarkStart w:id="648" w:name="_Toc297123520"/>
      <w:bookmarkStart w:id="649" w:name="_Toc303539129"/>
      <w:bookmarkStart w:id="650" w:name="_Toc312678016"/>
      <w:bookmarkStart w:id="651" w:name="_Toc304295550"/>
      <w:bookmarkStart w:id="652" w:name="_Toc318581172"/>
      <w:r>
        <w:rPr>
          <w:rFonts w:hint="eastAsia" w:ascii="方正仿宋_GB18030" w:hAnsi="方正仿宋_GB18030" w:eastAsia="方正仿宋_GB18030" w:cs="方正仿宋_GB18030"/>
          <w:color w:val="000000"/>
          <w:kern w:val="0"/>
          <w:sz w:val="24"/>
          <w:szCs w:val="24"/>
        </w:rPr>
        <w:t>不利物质条件的其他情形和有关约定：</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bookmarkEnd w:id="646"/>
    <w:bookmarkEnd w:id="647"/>
    <w:bookmarkEnd w:id="648"/>
    <w:bookmarkEnd w:id="649"/>
    <w:bookmarkEnd w:id="650"/>
    <w:bookmarkEnd w:id="651"/>
    <w:bookmarkEnd w:id="652"/>
    <w:p w14:paraId="6DF3C88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w:t>
      </w:r>
      <w:bookmarkStart w:id="653" w:name="_Toc300934973"/>
      <w:bookmarkStart w:id="654" w:name="_Toc303539130"/>
      <w:bookmarkStart w:id="655" w:name="_Toc297123521"/>
      <w:bookmarkStart w:id="656" w:name="_Toc312678017"/>
      <w:bookmarkStart w:id="657" w:name="_Toc304295551"/>
      <w:bookmarkStart w:id="658" w:name="_Toc297216180"/>
      <w:r>
        <w:rPr>
          <w:rFonts w:hint="eastAsia" w:ascii="方正仿宋_GB18030" w:hAnsi="方正仿宋_GB18030" w:eastAsia="方正仿宋_GB18030" w:cs="方正仿宋_GB18030"/>
          <w:color w:val="000000"/>
          <w:kern w:val="0"/>
          <w:sz w:val="24"/>
          <w:szCs w:val="24"/>
        </w:rPr>
        <w:t>.7异常恶劣的气候条件</w:t>
      </w:r>
    </w:p>
    <w:bookmarkEnd w:id="653"/>
    <w:bookmarkEnd w:id="654"/>
    <w:bookmarkEnd w:id="655"/>
    <w:bookmarkEnd w:id="656"/>
    <w:bookmarkEnd w:id="657"/>
    <w:bookmarkEnd w:id="658"/>
    <w:p w14:paraId="7E6436F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发包人和承包人同意以下情形视为异常恶劣的气候条件：</w:t>
      </w:r>
    </w:p>
    <w:p w14:paraId="7022629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（1） </w:t>
      </w:r>
      <w:r>
        <w:rPr>
          <w:rFonts w:hint="eastAsia" w:ascii="方正仿宋_GB18030" w:hAnsi="方正仿宋_GB18030" w:eastAsia="方正仿宋_GB18030" w:cs="方正仿宋_GB18030"/>
          <w:color w:val="000000"/>
          <w:kern w:val="0"/>
          <w:sz w:val="24"/>
          <w:szCs w:val="24"/>
          <w:u w:val="single"/>
        </w:rPr>
        <w:t>大雨、大雪以上天气超过3天以上（气象局发布的）</w:t>
      </w:r>
      <w:r>
        <w:rPr>
          <w:rFonts w:hint="eastAsia" w:ascii="方正仿宋_GB18030" w:hAnsi="方正仿宋_GB18030" w:eastAsia="方正仿宋_GB18030" w:cs="方正仿宋_GB18030"/>
          <w:color w:val="000000"/>
          <w:kern w:val="0"/>
          <w:sz w:val="24"/>
          <w:szCs w:val="24"/>
        </w:rPr>
        <w:t xml:space="preserve"> ；</w:t>
      </w:r>
    </w:p>
    <w:p w14:paraId="4F05072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w:t>
      </w:r>
      <w:r>
        <w:rPr>
          <w:rFonts w:hint="eastAsia" w:ascii="方正仿宋_GB18030" w:hAnsi="方正仿宋_GB18030" w:eastAsia="方正仿宋_GB18030" w:cs="方正仿宋_GB18030"/>
          <w:color w:val="000000"/>
          <w:kern w:val="0"/>
          <w:sz w:val="24"/>
          <w:szCs w:val="24"/>
          <w:u w:val="single"/>
        </w:rPr>
        <w:t>超过37摄氏度高温预警（气象局发布的）</w:t>
      </w:r>
      <w:r>
        <w:rPr>
          <w:rFonts w:hint="eastAsia" w:ascii="方正仿宋_GB18030" w:hAnsi="方正仿宋_GB18030" w:eastAsia="方正仿宋_GB18030" w:cs="方正仿宋_GB18030"/>
          <w:color w:val="000000"/>
          <w:kern w:val="0"/>
          <w:sz w:val="24"/>
          <w:szCs w:val="24"/>
        </w:rPr>
        <w:t>；</w:t>
      </w:r>
    </w:p>
    <w:p w14:paraId="5D9FB99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w:t>
      </w:r>
      <w:r>
        <w:rPr>
          <w:rFonts w:hint="eastAsia" w:ascii="方正仿宋_GB18030" w:hAnsi="方正仿宋_GB18030" w:eastAsia="方正仿宋_GB18030" w:cs="方正仿宋_GB18030"/>
          <w:color w:val="000000"/>
          <w:kern w:val="0"/>
          <w:sz w:val="24"/>
          <w:szCs w:val="24"/>
          <w:u w:val="single"/>
        </w:rPr>
        <w:t>气象局颁布的黄色预警气候连续3天以上</w:t>
      </w:r>
      <w:r>
        <w:rPr>
          <w:rFonts w:hint="eastAsia" w:ascii="方正仿宋_GB18030" w:hAnsi="方正仿宋_GB18030" w:eastAsia="方正仿宋_GB18030" w:cs="方正仿宋_GB18030"/>
          <w:color w:val="000000"/>
          <w:kern w:val="0"/>
          <w:sz w:val="24"/>
          <w:szCs w:val="24"/>
        </w:rPr>
        <w:t>。</w:t>
      </w:r>
    </w:p>
    <w:p w14:paraId="60F361D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（4）</w:t>
      </w:r>
      <w:r>
        <w:rPr>
          <w:rFonts w:hint="eastAsia" w:ascii="方正仿宋_GB18030" w:hAnsi="方正仿宋_GB18030" w:eastAsia="方正仿宋_GB18030" w:cs="方正仿宋_GB18030"/>
          <w:color w:val="000000"/>
          <w:kern w:val="0"/>
          <w:sz w:val="24"/>
          <w:szCs w:val="24"/>
          <w:u w:val="single"/>
        </w:rPr>
        <w:t xml:space="preserve">气象局颁布的黄色以上预警气候 </w:t>
      </w:r>
      <w:r>
        <w:rPr>
          <w:rFonts w:hint="eastAsia" w:ascii="方正仿宋_GB18030" w:hAnsi="方正仿宋_GB18030" w:eastAsia="方正仿宋_GB18030" w:cs="方正仿宋_GB18030"/>
          <w:color w:val="000000"/>
          <w:kern w:val="0"/>
          <w:sz w:val="24"/>
          <w:szCs w:val="24"/>
        </w:rPr>
        <w:t>。</w:t>
      </w:r>
    </w:p>
    <w:p w14:paraId="52D600A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（5）</w:t>
      </w:r>
      <w:r>
        <w:rPr>
          <w:rFonts w:hint="eastAsia" w:ascii="方正仿宋_GB18030" w:hAnsi="方正仿宋_GB18030" w:eastAsia="方正仿宋_GB18030" w:cs="方正仿宋_GB18030"/>
          <w:color w:val="000000"/>
          <w:kern w:val="0"/>
          <w:sz w:val="24"/>
          <w:szCs w:val="24"/>
          <w:u w:val="single"/>
        </w:rPr>
        <w:t>双方另行确定</w:t>
      </w:r>
      <w:r>
        <w:rPr>
          <w:rFonts w:hint="eastAsia" w:ascii="方正仿宋_GB18030" w:hAnsi="方正仿宋_GB18030" w:eastAsia="方正仿宋_GB18030" w:cs="方正仿宋_GB18030"/>
          <w:color w:val="000000"/>
          <w:kern w:val="0"/>
          <w:sz w:val="24"/>
          <w:szCs w:val="24"/>
        </w:rPr>
        <w:t>。</w:t>
      </w:r>
    </w:p>
    <w:p w14:paraId="3DA772E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7.9 提前竣工的奖励</w:t>
      </w:r>
    </w:p>
    <w:p w14:paraId="4CB84FC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7.9.2提前竣工的奖励：</w:t>
      </w:r>
      <w:r>
        <w:rPr>
          <w:rFonts w:hint="eastAsia" w:ascii="方正仿宋_GB18030" w:hAnsi="方正仿宋_GB18030" w:eastAsia="方正仿宋_GB18030" w:cs="方正仿宋_GB18030"/>
          <w:color w:val="000000"/>
          <w:kern w:val="0"/>
          <w:sz w:val="24"/>
          <w:szCs w:val="24"/>
          <w:u w:val="single"/>
        </w:rPr>
        <w:t xml:space="preserve">无 </w:t>
      </w:r>
      <w:r>
        <w:rPr>
          <w:rFonts w:hint="eastAsia" w:ascii="方正仿宋_GB18030" w:hAnsi="方正仿宋_GB18030" w:eastAsia="方正仿宋_GB18030" w:cs="方正仿宋_GB18030"/>
          <w:color w:val="000000"/>
          <w:kern w:val="0"/>
          <w:sz w:val="24"/>
          <w:szCs w:val="24"/>
        </w:rPr>
        <w:t>。</w:t>
      </w:r>
    </w:p>
    <w:p w14:paraId="7FF5346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659" w:name="_Toc351203640"/>
      <w:r>
        <w:rPr>
          <w:rFonts w:hint="eastAsia" w:ascii="方正仿宋_GB18030" w:hAnsi="方正仿宋_GB18030" w:eastAsia="方正仿宋_GB18030" w:cs="方正仿宋_GB18030"/>
          <w:color w:val="000000"/>
          <w:kern w:val="0"/>
          <w:sz w:val="24"/>
          <w:szCs w:val="24"/>
        </w:rPr>
        <w:t>8. 材料与设备</w:t>
      </w:r>
      <w:bookmarkEnd w:id="659"/>
    </w:p>
    <w:bookmarkEnd w:id="591"/>
    <w:bookmarkEnd w:id="592"/>
    <w:bookmarkEnd w:id="593"/>
    <w:bookmarkEnd w:id="594"/>
    <w:bookmarkEnd w:id="595"/>
    <w:bookmarkEnd w:id="596"/>
    <w:bookmarkEnd w:id="597"/>
    <w:bookmarkEnd w:id="598"/>
    <w:bookmarkEnd w:id="599"/>
    <w:bookmarkEnd w:id="600"/>
    <w:p w14:paraId="0BC854D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8</w:t>
      </w:r>
      <w:bookmarkStart w:id="660" w:name="_Toc312677493"/>
      <w:bookmarkStart w:id="661" w:name="_Toc296347166"/>
      <w:bookmarkStart w:id="662" w:name="_Toc297216186"/>
      <w:bookmarkStart w:id="663" w:name="_Toc304295556"/>
      <w:bookmarkStart w:id="664" w:name="_Toc300934979"/>
      <w:bookmarkStart w:id="665" w:name="_Toc297120467"/>
      <w:bookmarkStart w:id="666" w:name="_Toc297123527"/>
      <w:bookmarkStart w:id="667" w:name="_Toc280868654"/>
      <w:bookmarkStart w:id="668" w:name="_Toc296891207"/>
      <w:bookmarkStart w:id="669" w:name="_Toc292559372"/>
      <w:bookmarkStart w:id="670" w:name="_Toc296346668"/>
      <w:bookmarkStart w:id="671" w:name="_Toc303539136"/>
      <w:bookmarkStart w:id="672" w:name="_Toc296503167"/>
      <w:bookmarkStart w:id="673" w:name="_Toc296944506"/>
      <w:bookmarkStart w:id="674" w:name="_Toc292559877"/>
      <w:bookmarkStart w:id="675" w:name="_Toc312678019"/>
      <w:bookmarkStart w:id="676" w:name="_Toc296890995"/>
      <w:bookmarkStart w:id="677" w:name="_Toc297048353"/>
      <w:bookmarkStart w:id="678" w:name="_Toc280868655"/>
      <w:bookmarkStart w:id="679" w:name="_Toc267251424"/>
      <w:bookmarkStart w:id="680" w:name="_Toc280868656"/>
      <w:r>
        <w:rPr>
          <w:rFonts w:hint="eastAsia" w:ascii="方正仿宋_GB18030" w:hAnsi="方正仿宋_GB18030" w:eastAsia="方正仿宋_GB18030" w:cs="方正仿宋_GB18030"/>
          <w:color w:val="000000"/>
          <w:kern w:val="0"/>
          <w:sz w:val="24"/>
          <w:szCs w:val="24"/>
        </w:rPr>
        <w:t>.4材料与工程设备的保管与使用</w:t>
      </w:r>
    </w:p>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14:paraId="074C4C6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8</w:t>
      </w:r>
      <w:bookmarkStart w:id="681" w:name="_Toc292559878"/>
      <w:bookmarkStart w:id="682" w:name="_Toc292559373"/>
      <w:bookmarkStart w:id="683" w:name="_Toc296891208"/>
      <w:bookmarkStart w:id="684" w:name="_Toc303539137"/>
      <w:bookmarkStart w:id="685" w:name="_Toc296944507"/>
      <w:bookmarkStart w:id="686" w:name="_Toc296346669"/>
      <w:bookmarkStart w:id="687" w:name="_Toc297123528"/>
      <w:bookmarkStart w:id="688" w:name="_Toc312678020"/>
      <w:bookmarkStart w:id="689" w:name="_Toc318581173"/>
      <w:bookmarkStart w:id="690" w:name="_Toc296347167"/>
      <w:bookmarkStart w:id="691" w:name="_Toc296503168"/>
      <w:bookmarkStart w:id="692" w:name="_Toc297048354"/>
      <w:bookmarkStart w:id="693" w:name="_Toc296890996"/>
      <w:bookmarkStart w:id="694" w:name="_Toc304295557"/>
      <w:bookmarkStart w:id="695" w:name="_Toc300934980"/>
      <w:bookmarkStart w:id="696" w:name="_Toc297120468"/>
      <w:bookmarkStart w:id="697" w:name="_Toc312677494"/>
      <w:bookmarkStart w:id="698" w:name="_Toc297216187"/>
      <w:r>
        <w:rPr>
          <w:rFonts w:hint="eastAsia" w:ascii="方正仿宋_GB18030" w:hAnsi="方正仿宋_GB18030" w:eastAsia="方正仿宋_GB18030" w:cs="方正仿宋_GB18030"/>
          <w:color w:val="000000"/>
          <w:kern w:val="0"/>
          <w:sz w:val="24"/>
          <w:szCs w:val="24"/>
        </w:rPr>
        <w:t>.4.1发包人供应的材料设备的保管费用的承担：承包人使用完毕并移交给发包人的材料设备，以及工程竣工后应发包人要求而投入使用的材料设备由发包人承担保管费用；除上述两种情况外，发包人供应给承包人的材料设备由承包人承担保管费用。</w:t>
      </w:r>
      <w:bookmarkEnd w:id="681"/>
      <w:bookmarkEnd w:id="682"/>
    </w:p>
    <w:p w14:paraId="4C146D3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8.6 样品</w:t>
      </w:r>
    </w:p>
    <w:p w14:paraId="331C355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8.6.1样品的报送与封存</w:t>
      </w:r>
    </w:p>
    <w:p w14:paraId="76EE8A4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需要承包人报送样品的材料或工程设备，样品的种类、名称、规格、数量要求：</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p w14:paraId="6ACB622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8.8 施工设备和临时设施</w:t>
      </w:r>
    </w:p>
    <w:p w14:paraId="79E8FCD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8.8.1 承包人提供的施工设备和临时设施</w:t>
      </w:r>
    </w:p>
    <w:p w14:paraId="18CD58C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关于修建临时设施费用承担的约定：</w:t>
      </w:r>
      <w:r>
        <w:rPr>
          <w:rFonts w:hint="eastAsia" w:ascii="方正仿宋_GB18030" w:hAnsi="方正仿宋_GB18030" w:eastAsia="方正仿宋_GB18030" w:cs="方正仿宋_GB18030"/>
          <w:color w:val="000000"/>
          <w:kern w:val="0"/>
          <w:sz w:val="24"/>
          <w:szCs w:val="24"/>
          <w:u w:val="single"/>
        </w:rPr>
        <w:t>由承包人承担</w:t>
      </w:r>
      <w:r>
        <w:rPr>
          <w:rFonts w:hint="eastAsia" w:ascii="方正仿宋_GB18030" w:hAnsi="方正仿宋_GB18030" w:eastAsia="方正仿宋_GB18030" w:cs="方正仿宋_GB18030"/>
          <w:color w:val="000000"/>
          <w:kern w:val="0"/>
          <w:sz w:val="24"/>
          <w:szCs w:val="24"/>
        </w:rPr>
        <w:t>。</w:t>
      </w:r>
    </w:p>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14:paraId="27B6DEE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699" w:name="_Toc351203641"/>
      <w:r>
        <w:rPr>
          <w:rFonts w:hint="eastAsia" w:ascii="方正仿宋_GB18030" w:hAnsi="方正仿宋_GB18030" w:eastAsia="方正仿宋_GB18030" w:cs="方正仿宋_GB18030"/>
          <w:color w:val="000000"/>
          <w:kern w:val="0"/>
          <w:sz w:val="24"/>
          <w:szCs w:val="24"/>
        </w:rPr>
        <w:t>9</w:t>
      </w:r>
      <w:bookmarkEnd w:id="678"/>
      <w:bookmarkEnd w:id="679"/>
      <w:bookmarkEnd w:id="680"/>
      <w:bookmarkStart w:id="700" w:name="_Toc304295559"/>
      <w:bookmarkStart w:id="701" w:name="_Toc303539139"/>
      <w:bookmarkStart w:id="702" w:name="_Toc297123533"/>
      <w:bookmarkStart w:id="703" w:name="_Toc297216192"/>
      <w:bookmarkStart w:id="704" w:name="_Toc312677495"/>
      <w:bookmarkStart w:id="705" w:name="_Toc312678021"/>
      <w:bookmarkStart w:id="706" w:name="_Toc300934982"/>
      <w:bookmarkStart w:id="707" w:name="_Toc296891001"/>
      <w:bookmarkStart w:id="708" w:name="_Toc292559378"/>
      <w:bookmarkStart w:id="709" w:name="_Toc297120473"/>
      <w:bookmarkStart w:id="710" w:name="_Toc267251427"/>
      <w:bookmarkStart w:id="711" w:name="_Toc296347172"/>
      <w:bookmarkStart w:id="712" w:name="_Toc292559883"/>
      <w:bookmarkStart w:id="713" w:name="_Toc297048359"/>
      <w:bookmarkStart w:id="714" w:name="_Toc296891213"/>
      <w:bookmarkStart w:id="715" w:name="_Toc296503173"/>
      <w:bookmarkStart w:id="716" w:name="_Toc296346674"/>
      <w:bookmarkStart w:id="717" w:name="_Toc267251428"/>
      <w:bookmarkStart w:id="718" w:name="_Toc296944512"/>
      <w:r>
        <w:rPr>
          <w:rFonts w:hint="eastAsia" w:ascii="方正仿宋_GB18030" w:hAnsi="方正仿宋_GB18030" w:eastAsia="方正仿宋_GB18030" w:cs="方正仿宋_GB18030"/>
          <w:color w:val="000000"/>
          <w:kern w:val="0"/>
          <w:sz w:val="24"/>
          <w:szCs w:val="24"/>
        </w:rPr>
        <w:t>. 试验与检验</w:t>
      </w:r>
      <w:bookmarkEnd w:id="699"/>
    </w:p>
    <w:bookmarkEnd w:id="700"/>
    <w:bookmarkEnd w:id="701"/>
    <w:bookmarkEnd w:id="702"/>
    <w:bookmarkEnd w:id="703"/>
    <w:bookmarkEnd w:id="704"/>
    <w:bookmarkEnd w:id="705"/>
    <w:bookmarkEnd w:id="706"/>
    <w:p w14:paraId="33586C8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9</w:t>
      </w:r>
      <w:bookmarkStart w:id="719" w:name="_Toc312677496"/>
      <w:bookmarkStart w:id="720" w:name="_Toc303539140"/>
      <w:bookmarkStart w:id="721" w:name="_Toc312678022"/>
      <w:bookmarkStart w:id="722" w:name="_Toc300934983"/>
      <w:bookmarkStart w:id="723" w:name="_Toc304295560"/>
      <w:bookmarkStart w:id="724" w:name="_Toc297123534"/>
      <w:bookmarkStart w:id="725" w:name="_Toc297216193"/>
      <w:r>
        <w:rPr>
          <w:rFonts w:hint="eastAsia" w:ascii="方正仿宋_GB18030" w:hAnsi="方正仿宋_GB18030" w:eastAsia="方正仿宋_GB18030" w:cs="方正仿宋_GB18030"/>
          <w:color w:val="000000"/>
          <w:kern w:val="0"/>
          <w:sz w:val="24"/>
          <w:szCs w:val="24"/>
        </w:rPr>
        <w:t>.1试验设备与试验人员</w:t>
      </w:r>
    </w:p>
    <w:bookmarkEnd w:id="719"/>
    <w:bookmarkEnd w:id="720"/>
    <w:bookmarkEnd w:id="721"/>
    <w:bookmarkEnd w:id="722"/>
    <w:bookmarkEnd w:id="723"/>
    <w:bookmarkEnd w:id="724"/>
    <w:bookmarkEnd w:id="725"/>
    <w:p w14:paraId="37594EB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9</w:t>
      </w:r>
      <w:bookmarkStart w:id="726" w:name="_Toc304295561"/>
      <w:bookmarkStart w:id="727" w:name="_Toc303539141"/>
      <w:bookmarkStart w:id="728" w:name="_Toc297216194"/>
      <w:bookmarkStart w:id="729" w:name="_Toc312678023"/>
      <w:bookmarkStart w:id="730" w:name="_Toc297123535"/>
      <w:bookmarkStart w:id="731" w:name="_Toc300934984"/>
      <w:bookmarkStart w:id="732" w:name="_Toc312677497"/>
      <w:bookmarkStart w:id="733" w:name="_Toc318581174"/>
      <w:r>
        <w:rPr>
          <w:rFonts w:hint="eastAsia" w:ascii="方正仿宋_GB18030" w:hAnsi="方正仿宋_GB18030" w:eastAsia="方正仿宋_GB18030" w:cs="方正仿宋_GB18030"/>
          <w:color w:val="000000"/>
          <w:kern w:val="0"/>
          <w:sz w:val="24"/>
          <w:szCs w:val="24"/>
        </w:rPr>
        <w:t>.1.2 试验设备</w:t>
      </w:r>
    </w:p>
    <w:p w14:paraId="40428DC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施工现场需要配置的试验场所：</w:t>
      </w:r>
      <w:bookmarkEnd w:id="726"/>
      <w:bookmarkEnd w:id="727"/>
      <w:bookmarkEnd w:id="728"/>
      <w:bookmarkEnd w:id="729"/>
      <w:bookmarkEnd w:id="730"/>
      <w:bookmarkEnd w:id="731"/>
      <w:bookmarkEnd w:id="732"/>
      <w:bookmarkStart w:id="734" w:name="_Toc297216195"/>
      <w:bookmarkStart w:id="735" w:name="_Toc312678024"/>
      <w:bookmarkStart w:id="736" w:name="_Toc300934985"/>
      <w:bookmarkStart w:id="737" w:name="_Toc304295562"/>
      <w:bookmarkStart w:id="738" w:name="_Toc303539142"/>
      <w:bookmarkStart w:id="739" w:name="_Toc297123536"/>
      <w:bookmarkStart w:id="740" w:name="_Toc312677498"/>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 xml:space="preserve">。 </w:t>
      </w:r>
    </w:p>
    <w:p w14:paraId="2DB9789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施工现场需要配备的试验设备：</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p w14:paraId="5C1EB7A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施工现场需要具备的其他试验条件：</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p w14:paraId="2C6D815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9.4 现场工艺试验 </w:t>
      </w:r>
    </w:p>
    <w:p w14:paraId="228304C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现场工艺试验的有关约定： </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bookmarkEnd w:id="733"/>
    <w:bookmarkEnd w:id="734"/>
    <w:bookmarkEnd w:id="735"/>
    <w:bookmarkEnd w:id="736"/>
    <w:bookmarkEnd w:id="737"/>
    <w:bookmarkEnd w:id="738"/>
    <w:bookmarkEnd w:id="739"/>
    <w:bookmarkEnd w:id="740"/>
    <w:p w14:paraId="1BBD60F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741" w:name="_Toc351203642"/>
      <w:r>
        <w:rPr>
          <w:rFonts w:hint="eastAsia" w:ascii="方正仿宋_GB18030" w:hAnsi="方正仿宋_GB18030" w:eastAsia="方正仿宋_GB18030" w:cs="方正仿宋_GB18030"/>
          <w:color w:val="000000"/>
          <w:kern w:val="0"/>
          <w:sz w:val="24"/>
          <w:szCs w:val="24"/>
        </w:rPr>
        <w:t>1</w:t>
      </w:r>
      <w:bookmarkEnd w:id="707"/>
      <w:bookmarkEnd w:id="708"/>
      <w:bookmarkEnd w:id="709"/>
      <w:bookmarkEnd w:id="710"/>
      <w:bookmarkEnd w:id="711"/>
      <w:bookmarkEnd w:id="712"/>
      <w:bookmarkEnd w:id="713"/>
      <w:bookmarkEnd w:id="714"/>
      <w:bookmarkEnd w:id="715"/>
      <w:bookmarkEnd w:id="716"/>
      <w:bookmarkEnd w:id="717"/>
      <w:bookmarkEnd w:id="718"/>
      <w:bookmarkStart w:id="742" w:name="_Toc300934989"/>
      <w:bookmarkStart w:id="743" w:name="_Toc296346694"/>
      <w:bookmarkStart w:id="744" w:name="_Toc297120493"/>
      <w:bookmarkStart w:id="745" w:name="_Toc297123540"/>
      <w:bookmarkStart w:id="746" w:name="_Toc296891021"/>
      <w:bookmarkStart w:id="747" w:name="_Toc297048379"/>
      <w:bookmarkStart w:id="748" w:name="_Toc304295566"/>
      <w:bookmarkStart w:id="749" w:name="_Toc296347192"/>
      <w:bookmarkStart w:id="750" w:name="_Toc297216199"/>
      <w:bookmarkStart w:id="751" w:name="_Toc296944532"/>
      <w:bookmarkStart w:id="752" w:name="_Toc303539146"/>
      <w:bookmarkStart w:id="753" w:name="_Toc292559903"/>
      <w:bookmarkStart w:id="754" w:name="_Toc292559398"/>
      <w:bookmarkStart w:id="755" w:name="_Toc296503193"/>
      <w:bookmarkStart w:id="756" w:name="_Toc296891233"/>
      <w:bookmarkStart w:id="757" w:name="_Toc312677499"/>
      <w:bookmarkStart w:id="758" w:name="_Toc312678025"/>
      <w:bookmarkStart w:id="759" w:name="_Toc267251440"/>
      <w:bookmarkStart w:id="760" w:name="_Toc267251439"/>
      <w:bookmarkStart w:id="761" w:name="_Toc267251441"/>
      <w:bookmarkStart w:id="762" w:name="_Toc267251433"/>
      <w:bookmarkStart w:id="763" w:name="_Toc267251435"/>
      <w:bookmarkStart w:id="764" w:name="_Toc267251437"/>
      <w:bookmarkStart w:id="765" w:name="_Toc267251442"/>
      <w:r>
        <w:rPr>
          <w:rFonts w:hint="eastAsia" w:ascii="方正仿宋_GB18030" w:hAnsi="方正仿宋_GB18030" w:eastAsia="方正仿宋_GB18030" w:cs="方正仿宋_GB18030"/>
          <w:color w:val="000000"/>
          <w:kern w:val="0"/>
          <w:sz w:val="24"/>
          <w:szCs w:val="24"/>
        </w:rPr>
        <w:t>0. 变更</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bookmarkEnd w:id="757"/>
    <w:bookmarkEnd w:id="758"/>
    <w:p w14:paraId="432DE2A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w:t>
      </w:r>
      <w:bookmarkStart w:id="766" w:name="_Toc296944533"/>
      <w:bookmarkStart w:id="767" w:name="_Toc303539147"/>
      <w:bookmarkStart w:id="768" w:name="_Toc297216200"/>
      <w:bookmarkStart w:id="769" w:name="_Toc292559399"/>
      <w:bookmarkStart w:id="770" w:name="_Toc292559904"/>
      <w:bookmarkStart w:id="771" w:name="_Toc312677500"/>
      <w:bookmarkStart w:id="772" w:name="_Toc297048380"/>
      <w:bookmarkStart w:id="773" w:name="_Toc312678026"/>
      <w:bookmarkStart w:id="774" w:name="_Toc296503194"/>
      <w:bookmarkStart w:id="775" w:name="_Toc297123541"/>
      <w:bookmarkStart w:id="776" w:name="_Toc296891234"/>
      <w:bookmarkStart w:id="777" w:name="_Toc296346695"/>
      <w:bookmarkStart w:id="778" w:name="_Toc296347193"/>
      <w:bookmarkStart w:id="779" w:name="_Toc300934990"/>
      <w:bookmarkStart w:id="780" w:name="_Toc297120494"/>
      <w:bookmarkStart w:id="781" w:name="_Toc296891022"/>
      <w:bookmarkStart w:id="782" w:name="_Toc304295567"/>
      <w:r>
        <w:rPr>
          <w:rFonts w:hint="eastAsia" w:ascii="方正仿宋_GB18030" w:hAnsi="方正仿宋_GB18030" w:eastAsia="方正仿宋_GB18030" w:cs="方正仿宋_GB18030"/>
          <w:color w:val="000000"/>
          <w:kern w:val="0"/>
          <w:sz w:val="24"/>
          <w:szCs w:val="24"/>
        </w:rPr>
        <w:t>0.1变更的范围</w:t>
      </w:r>
    </w:p>
    <w:p w14:paraId="0288DD6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关于变更的范围的约定：</w:t>
      </w:r>
      <w:r>
        <w:rPr>
          <w:rFonts w:hint="eastAsia" w:ascii="方正仿宋_GB18030" w:hAnsi="方正仿宋_GB18030" w:eastAsia="方正仿宋_GB18030" w:cs="方正仿宋_GB18030"/>
          <w:color w:val="000000"/>
          <w:kern w:val="0"/>
          <w:sz w:val="24"/>
          <w:szCs w:val="24"/>
          <w:u w:val="single"/>
        </w:rPr>
        <w:t>设计变更、施工变更及投标报价清单范围外的增项均属工程变更。工程变更必须按程序先审批后实施。所有工程变更必须征得发包人的书面签字确认同意后，才可以实施。承包人不得直接向设计单位提出设计变更，确需进行设计变更的，由承包人向监理工程师和发包人提出，经监理工程师和发包人书面确认同意后，并由发包人向设计单位提出进行设计变更</w:t>
      </w:r>
      <w:r>
        <w:rPr>
          <w:rFonts w:hint="eastAsia" w:ascii="方正仿宋_GB18030" w:hAnsi="方正仿宋_GB18030" w:eastAsia="方正仿宋_GB18030" w:cs="方正仿宋_GB18030"/>
          <w:color w:val="000000"/>
          <w:kern w:val="0"/>
          <w:sz w:val="24"/>
          <w:szCs w:val="24"/>
        </w:rPr>
        <w:t>。</w:t>
      </w:r>
    </w:p>
    <w:p w14:paraId="05EB488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10.4 变更估价</w:t>
      </w:r>
    </w:p>
    <w:p w14:paraId="43C86B9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10.4.1 变更估价原则</w:t>
      </w:r>
    </w:p>
    <w:p w14:paraId="6ECAC68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关于变更估价的约定:施工过程中发生工程变更（须经发包人认可的变更），以发包人、监理工程师按照《建设工程工程量清单计价规范》共同认可的尺寸、断面计算，并按以下办法计价：</w:t>
      </w:r>
    </w:p>
    <w:p w14:paraId="762B6D3B">
      <w:pPr>
        <w:spacing w:line="44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①</w:t>
      </w:r>
      <w:r>
        <w:rPr>
          <w:rFonts w:hint="eastAsia" w:ascii="方正仿宋_GB18030" w:hAnsi="方正仿宋_GB18030" w:eastAsia="方正仿宋_GB18030" w:cs="方正仿宋_GB18030"/>
          <w:kern w:val="0"/>
          <w:sz w:val="24"/>
          <w:szCs w:val="24"/>
          <w:u w:val="single"/>
        </w:rPr>
        <w:t>投标报价中已有的项目，按该项目投标报价单价计算</w:t>
      </w:r>
      <w:r>
        <w:rPr>
          <w:rFonts w:hint="eastAsia" w:ascii="方正仿宋_GB18030" w:hAnsi="方正仿宋_GB18030" w:eastAsia="方正仿宋_GB18030" w:cs="方正仿宋_GB18030"/>
          <w:kern w:val="0"/>
          <w:sz w:val="24"/>
          <w:szCs w:val="24"/>
        </w:rPr>
        <w:t>；</w:t>
      </w:r>
    </w:p>
    <w:p w14:paraId="5B9180EE">
      <w:pPr>
        <w:spacing w:line="44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②</w:t>
      </w:r>
      <w:r>
        <w:rPr>
          <w:rFonts w:hint="eastAsia" w:ascii="方正仿宋_GB18030" w:hAnsi="方正仿宋_GB18030" w:eastAsia="方正仿宋_GB18030" w:cs="方正仿宋_GB18030"/>
          <w:kern w:val="0"/>
          <w:sz w:val="24"/>
          <w:szCs w:val="24"/>
          <w:u w:val="single"/>
        </w:rPr>
        <w:t>投标报价中已有类似的工程项目，可参考其单价和价格计算</w:t>
      </w:r>
      <w:r>
        <w:rPr>
          <w:rFonts w:hint="eastAsia" w:ascii="方正仿宋_GB18030" w:hAnsi="方正仿宋_GB18030" w:eastAsia="方正仿宋_GB18030" w:cs="方正仿宋_GB18030"/>
          <w:kern w:val="0"/>
          <w:sz w:val="24"/>
          <w:szCs w:val="24"/>
        </w:rPr>
        <w:t>；</w:t>
      </w:r>
    </w:p>
    <w:p w14:paraId="4A997299">
      <w:pPr>
        <w:spacing w:line="44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③</w:t>
      </w:r>
      <w:r>
        <w:rPr>
          <w:rFonts w:hint="eastAsia" w:ascii="方正仿宋_GB18030" w:hAnsi="方正仿宋_GB18030" w:eastAsia="方正仿宋_GB18030" w:cs="方正仿宋_GB18030"/>
          <w:kern w:val="0"/>
          <w:sz w:val="24"/>
          <w:szCs w:val="24"/>
          <w:u w:val="single"/>
        </w:rPr>
        <w:t>投标报价中没有适用或类似的工程项目，则按《建设工程工程量清单计价规范》（GB50500-2013）、《重庆市建设工程工程量清单计价规则》CQJJGZ-2013、《重庆市建设工程工程量计算规则》（CQJLGZ—2013）、2018年《重庆市房屋建筑与装饰工程计价定额》、《重庆市通用安装工程计价定额》和《重庆市建设工程施工机械台班定额》、《重庆市建设工程施工仪器仪表台班定额》、《重庆市建设工程混凝土及砂浆配合比表》（渝建[2018]200号；2018年《重庆市建设工程费用定额》（渝建发〔2018〕29号 ）及相关配套文件，并按照中标价人工、材料、机械数量及价格表中的单价或经发包人核定的材料单价、以及分部分项工程量清单综合单价分析表中的所在分部平均管理费和平均利润率计算单价</w:t>
      </w:r>
      <w:r>
        <w:rPr>
          <w:rFonts w:hint="eastAsia" w:ascii="方正仿宋_GB18030" w:hAnsi="方正仿宋_GB18030" w:eastAsia="方正仿宋_GB18030" w:cs="方正仿宋_GB18030"/>
          <w:kern w:val="0"/>
          <w:sz w:val="24"/>
          <w:szCs w:val="24"/>
        </w:rPr>
        <w:t>。</w:t>
      </w:r>
    </w:p>
    <w:p w14:paraId="3198994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其中的人工工日单价、材料价格和未计价材料价格按以下调整：</w:t>
      </w:r>
    </w:p>
    <w:p w14:paraId="4A0DE5BF">
      <w:pPr>
        <w:spacing w:line="44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A、</w:t>
      </w:r>
      <w:r>
        <w:rPr>
          <w:rFonts w:hint="eastAsia" w:ascii="方正仿宋_GB18030" w:hAnsi="方正仿宋_GB18030" w:eastAsia="方正仿宋_GB18030" w:cs="方正仿宋_GB18030"/>
          <w:kern w:val="0"/>
          <w:sz w:val="24"/>
          <w:szCs w:val="24"/>
          <w:u w:val="single"/>
        </w:rPr>
        <w:t>投标报价中有的材料价格则按该投标报价中的价格进行结算</w:t>
      </w:r>
      <w:r>
        <w:rPr>
          <w:rFonts w:hint="eastAsia" w:ascii="方正仿宋_GB18030" w:hAnsi="方正仿宋_GB18030" w:eastAsia="方正仿宋_GB18030" w:cs="方正仿宋_GB18030"/>
          <w:kern w:val="0"/>
          <w:sz w:val="24"/>
          <w:szCs w:val="24"/>
        </w:rPr>
        <w:t>。</w:t>
      </w:r>
    </w:p>
    <w:p w14:paraId="3D94C94D">
      <w:pPr>
        <w:spacing w:line="44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B、</w:t>
      </w:r>
      <w:r>
        <w:rPr>
          <w:rFonts w:hint="eastAsia" w:ascii="方正仿宋_GB18030" w:hAnsi="方正仿宋_GB18030" w:eastAsia="方正仿宋_GB18030" w:cs="方正仿宋_GB18030"/>
          <w:kern w:val="0"/>
          <w:sz w:val="24"/>
          <w:szCs w:val="24"/>
          <w:u w:val="single"/>
        </w:rPr>
        <w:t>投标报价中没有的材料价格由发包人按照合理的市场价格认质核价</w:t>
      </w:r>
      <w:r>
        <w:rPr>
          <w:rFonts w:hint="eastAsia" w:ascii="方正仿宋_GB18030" w:hAnsi="方正仿宋_GB18030" w:eastAsia="方正仿宋_GB18030" w:cs="方正仿宋_GB18030"/>
          <w:kern w:val="0"/>
          <w:sz w:val="24"/>
          <w:szCs w:val="24"/>
        </w:rPr>
        <w:t>。</w:t>
      </w:r>
    </w:p>
    <w:p w14:paraId="2F23FDB9">
      <w:pPr>
        <w:spacing w:line="44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C、</w:t>
      </w:r>
      <w:r>
        <w:rPr>
          <w:rFonts w:hint="eastAsia" w:ascii="方正仿宋_GB18030" w:hAnsi="方正仿宋_GB18030" w:eastAsia="方正仿宋_GB18030" w:cs="方正仿宋_GB18030"/>
          <w:kern w:val="0"/>
          <w:sz w:val="24"/>
          <w:szCs w:val="24"/>
          <w:u w:val="single"/>
        </w:rPr>
        <w:t>人工单价按定额计取，价差按《重庆工程造价信息》</w:t>
      </w:r>
      <w:r>
        <w:rPr>
          <w:rFonts w:hint="eastAsia" w:ascii="方正仿宋_GB18030" w:hAnsi="方正仿宋_GB18030" w:eastAsia="方正仿宋_GB18030" w:cs="方正仿宋_GB18030"/>
          <w:kern w:val="0"/>
          <w:sz w:val="24"/>
          <w:szCs w:val="24"/>
          <w:u w:val="single"/>
          <w:lang w:val="en-US" w:eastAsia="zh-CN"/>
        </w:rPr>
        <w:t>投标同期</w:t>
      </w:r>
      <w:r>
        <w:rPr>
          <w:rFonts w:hint="eastAsia" w:ascii="方正仿宋_GB18030" w:hAnsi="方正仿宋_GB18030" w:eastAsia="方正仿宋_GB18030" w:cs="方正仿宋_GB18030"/>
          <w:kern w:val="0"/>
          <w:sz w:val="24"/>
          <w:szCs w:val="24"/>
          <w:u w:val="single"/>
        </w:rPr>
        <w:t>进行调整。材料价格按《重庆工程造价信息》投标同期不含税价及市场价进行调整</w:t>
      </w:r>
      <w:r>
        <w:rPr>
          <w:rFonts w:hint="eastAsia" w:ascii="方正仿宋_GB18030" w:hAnsi="方正仿宋_GB18030" w:eastAsia="方正仿宋_GB18030" w:cs="方正仿宋_GB18030"/>
          <w:kern w:val="0"/>
          <w:sz w:val="24"/>
          <w:szCs w:val="24"/>
        </w:rPr>
        <w:t>。</w:t>
      </w:r>
    </w:p>
    <w:p w14:paraId="6444B18C">
      <w:pPr>
        <w:spacing w:line="44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fldChar w:fldCharType="begin"/>
      </w:r>
      <w:r>
        <w:rPr>
          <w:rFonts w:hint="eastAsia" w:ascii="方正仿宋_GB18030" w:hAnsi="方正仿宋_GB18030" w:eastAsia="方正仿宋_GB18030" w:cs="方正仿宋_GB18030"/>
          <w:kern w:val="0"/>
          <w:sz w:val="24"/>
          <w:szCs w:val="24"/>
        </w:rPr>
        <w:instrText xml:space="preserve"> = 4 \* GB3 </w:instrText>
      </w:r>
      <w:r>
        <w:rPr>
          <w:rFonts w:hint="eastAsia" w:ascii="方正仿宋_GB18030" w:hAnsi="方正仿宋_GB18030" w:eastAsia="方正仿宋_GB18030" w:cs="方正仿宋_GB18030"/>
          <w:kern w:val="0"/>
          <w:sz w:val="24"/>
          <w:szCs w:val="24"/>
        </w:rPr>
        <w:fldChar w:fldCharType="separate"/>
      </w:r>
      <w:r>
        <w:rPr>
          <w:rFonts w:hint="eastAsia" w:ascii="方正仿宋_GB18030" w:hAnsi="方正仿宋_GB18030" w:eastAsia="方正仿宋_GB18030" w:cs="方正仿宋_GB18030"/>
          <w:kern w:val="0"/>
          <w:sz w:val="24"/>
          <w:szCs w:val="24"/>
        </w:rPr>
        <w:t>④</w:t>
      </w:r>
      <w:r>
        <w:rPr>
          <w:rFonts w:hint="eastAsia" w:ascii="方正仿宋_GB18030" w:hAnsi="方正仿宋_GB18030" w:eastAsia="方正仿宋_GB18030" w:cs="方正仿宋_GB18030"/>
          <w:kern w:val="0"/>
          <w:sz w:val="24"/>
          <w:szCs w:val="24"/>
        </w:rPr>
        <w:fldChar w:fldCharType="end"/>
      </w:r>
      <w:r>
        <w:rPr>
          <w:rFonts w:hint="eastAsia" w:ascii="方正仿宋_GB18030" w:hAnsi="方正仿宋_GB18030" w:eastAsia="方正仿宋_GB18030" w:cs="方正仿宋_GB18030"/>
          <w:kern w:val="0"/>
          <w:sz w:val="24"/>
          <w:szCs w:val="24"/>
          <w:u w:val="single"/>
        </w:rPr>
        <w:t>工程量按《建设工程工程量清单计价规范》（GB50500-2013）和《重庆市建设工程工程量清单计价规则》（CQQDGZ-2013）的计量规则执行</w:t>
      </w:r>
      <w:r>
        <w:rPr>
          <w:rFonts w:hint="eastAsia" w:ascii="方正仿宋_GB18030" w:hAnsi="方正仿宋_GB18030" w:eastAsia="方正仿宋_GB18030" w:cs="方正仿宋_GB18030"/>
          <w:kern w:val="0"/>
          <w:sz w:val="24"/>
          <w:szCs w:val="24"/>
        </w:rPr>
        <w:t>。</w:t>
      </w:r>
    </w:p>
    <w:p w14:paraId="1B8E53C0">
      <w:pPr>
        <w:spacing w:line="44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⑤</w:t>
      </w:r>
      <w:r>
        <w:rPr>
          <w:rFonts w:hint="eastAsia" w:ascii="方正仿宋_GB18030" w:hAnsi="方正仿宋_GB18030" w:eastAsia="方正仿宋_GB18030" w:cs="方正仿宋_GB18030"/>
          <w:kern w:val="0"/>
          <w:sz w:val="24"/>
          <w:szCs w:val="24"/>
          <w:u w:val="single"/>
        </w:rPr>
        <w:t>本工程的综合单价按投标报价中的综合单价执行，最终结算价以审计单位审核为准</w:t>
      </w:r>
      <w:r>
        <w:rPr>
          <w:rFonts w:hint="eastAsia" w:ascii="方正仿宋_GB18030" w:hAnsi="方正仿宋_GB18030" w:eastAsia="方正仿宋_GB18030" w:cs="方正仿宋_GB18030"/>
          <w:kern w:val="0"/>
          <w:sz w:val="24"/>
          <w:szCs w:val="24"/>
        </w:rPr>
        <w:t>。</w:t>
      </w:r>
    </w:p>
    <w:p w14:paraId="4F0E6B8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Start w:id="783" w:name="_Toc297048383"/>
      <w:bookmarkStart w:id="784" w:name="_Toc292559402"/>
      <w:bookmarkStart w:id="785" w:name="_Toc296891237"/>
      <w:bookmarkStart w:id="786" w:name="_Toc297123544"/>
      <w:bookmarkStart w:id="787" w:name="_Toc296346698"/>
      <w:bookmarkStart w:id="788" w:name="_Toc292559907"/>
      <w:bookmarkStart w:id="789" w:name="_Toc297216203"/>
      <w:bookmarkStart w:id="790" w:name="_Toc296891025"/>
      <w:bookmarkStart w:id="791" w:name="_Toc296503197"/>
      <w:bookmarkStart w:id="792" w:name="_Toc296944536"/>
      <w:bookmarkStart w:id="793" w:name="_Toc303539150"/>
      <w:bookmarkStart w:id="794" w:name="_Toc297120497"/>
      <w:bookmarkStart w:id="795" w:name="_Toc296347196"/>
      <w:bookmarkStart w:id="796" w:name="_Toc300934993"/>
      <w:bookmarkStart w:id="797" w:name="_Toc304295570"/>
      <w:bookmarkStart w:id="798" w:name="_Toc312677503"/>
      <w:bookmarkStart w:id="799" w:name="_Toc312678029"/>
      <w:r>
        <w:rPr>
          <w:rFonts w:hint="eastAsia" w:ascii="方正仿宋_GB18030" w:hAnsi="方正仿宋_GB18030" w:eastAsia="方正仿宋_GB18030" w:cs="方正仿宋_GB18030"/>
          <w:color w:val="000000"/>
          <w:kern w:val="0"/>
          <w:sz w:val="24"/>
          <w:szCs w:val="24"/>
        </w:rPr>
        <w:t>0.5承</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Start w:id="800" w:name="_Toc296346704"/>
      <w:bookmarkStart w:id="801" w:name="_Toc296891031"/>
      <w:bookmarkStart w:id="802" w:name="_Toc297216204"/>
      <w:bookmarkStart w:id="803" w:name="_Toc297120503"/>
      <w:bookmarkStart w:id="804" w:name="_Toc292559913"/>
      <w:bookmarkStart w:id="805" w:name="_Toc297123545"/>
      <w:bookmarkStart w:id="806" w:name="_Toc296891243"/>
      <w:bookmarkStart w:id="807" w:name="_Toc300934994"/>
      <w:bookmarkStart w:id="808" w:name="_Toc303539151"/>
      <w:bookmarkStart w:id="809" w:name="_Toc297048389"/>
      <w:bookmarkStart w:id="810" w:name="_Toc296347202"/>
      <w:bookmarkStart w:id="811" w:name="_Toc296503203"/>
      <w:bookmarkStart w:id="812" w:name="_Toc296944542"/>
      <w:bookmarkStart w:id="813" w:name="_Toc292559408"/>
      <w:r>
        <w:rPr>
          <w:rFonts w:hint="eastAsia" w:ascii="方正仿宋_GB18030" w:hAnsi="方正仿宋_GB18030" w:eastAsia="方正仿宋_GB18030" w:cs="方正仿宋_GB18030"/>
          <w:color w:val="000000"/>
          <w:kern w:val="0"/>
          <w:sz w:val="24"/>
          <w:szCs w:val="24"/>
        </w:rPr>
        <w:t>包人的合理化建议</w:t>
      </w:r>
    </w:p>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14:paraId="17C1C4E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监理人审查承包人合理化建议的期限：</w:t>
      </w:r>
      <w:r>
        <w:rPr>
          <w:rFonts w:hint="eastAsia" w:ascii="方正仿宋_GB18030" w:hAnsi="方正仿宋_GB18030" w:eastAsia="方正仿宋_GB18030" w:cs="方正仿宋_GB18030"/>
          <w:color w:val="000000"/>
          <w:kern w:val="0"/>
          <w:sz w:val="24"/>
          <w:szCs w:val="24"/>
          <w:u w:val="single"/>
        </w:rPr>
        <w:t xml:space="preserve"> 2</w:t>
      </w:r>
      <w:r>
        <w:rPr>
          <w:rFonts w:hint="eastAsia" w:ascii="方正仿宋_GB18030" w:hAnsi="方正仿宋_GB18030" w:eastAsia="方正仿宋_GB18030" w:cs="方正仿宋_GB18030"/>
          <w:color w:val="000000"/>
          <w:kern w:val="0"/>
          <w:sz w:val="24"/>
          <w:szCs w:val="24"/>
        </w:rPr>
        <w:t>天。</w:t>
      </w:r>
    </w:p>
    <w:p w14:paraId="08B76DB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发包人审批承包人合理化建议的期限：</w:t>
      </w:r>
      <w:r>
        <w:rPr>
          <w:rFonts w:hint="eastAsia" w:ascii="方正仿宋_GB18030" w:hAnsi="方正仿宋_GB18030" w:eastAsia="方正仿宋_GB18030" w:cs="方正仿宋_GB18030"/>
          <w:color w:val="000000"/>
          <w:kern w:val="0"/>
          <w:sz w:val="24"/>
          <w:szCs w:val="24"/>
          <w:u w:val="single"/>
        </w:rPr>
        <w:t xml:space="preserve"> 2</w:t>
      </w:r>
      <w:r>
        <w:rPr>
          <w:rFonts w:hint="eastAsia" w:ascii="方正仿宋_GB18030" w:hAnsi="方正仿宋_GB18030" w:eastAsia="方正仿宋_GB18030" w:cs="方正仿宋_GB18030"/>
          <w:color w:val="000000"/>
          <w:kern w:val="0"/>
          <w:sz w:val="24"/>
          <w:szCs w:val="24"/>
        </w:rPr>
        <w:t>天。</w:t>
      </w:r>
    </w:p>
    <w:p w14:paraId="0A99145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w:t>
      </w:r>
      <w:bookmarkStart w:id="814" w:name="_Toc296346705"/>
      <w:bookmarkStart w:id="815" w:name="_Toc292559409"/>
      <w:bookmarkStart w:id="816" w:name="_Toc303539152"/>
      <w:bookmarkStart w:id="817" w:name="_Toc297123546"/>
      <w:bookmarkStart w:id="818" w:name="_Toc292559914"/>
      <w:bookmarkStart w:id="819" w:name="_Toc300934995"/>
      <w:bookmarkStart w:id="820" w:name="_Toc312677504"/>
      <w:bookmarkStart w:id="821" w:name="_Toc296347203"/>
      <w:bookmarkStart w:id="822" w:name="_Toc296891244"/>
      <w:bookmarkStart w:id="823" w:name="_Toc297216205"/>
      <w:bookmarkStart w:id="824" w:name="_Toc312678030"/>
      <w:bookmarkStart w:id="825" w:name="_Toc296503204"/>
      <w:bookmarkStart w:id="826" w:name="_Toc297048390"/>
      <w:bookmarkStart w:id="827" w:name="_Toc304295571"/>
      <w:bookmarkStart w:id="828" w:name="_Toc296891032"/>
      <w:bookmarkStart w:id="829" w:name="_Toc297120504"/>
      <w:bookmarkStart w:id="830" w:name="_Toc296944543"/>
      <w:bookmarkStart w:id="831" w:name="_Toc318581175"/>
      <w:r>
        <w:rPr>
          <w:rFonts w:hint="eastAsia" w:ascii="方正仿宋_GB18030" w:hAnsi="方正仿宋_GB18030" w:eastAsia="方正仿宋_GB18030" w:cs="方正仿宋_GB18030"/>
          <w:color w:val="000000"/>
          <w:kern w:val="0"/>
          <w:sz w:val="24"/>
          <w:szCs w:val="24"/>
        </w:rPr>
        <w:t>包人提出的合理化建议降低了合同价格或者提高了工程经济效益的奖励的方法和金额为：</w:t>
      </w:r>
      <w:r>
        <w:rPr>
          <w:rFonts w:hint="eastAsia" w:ascii="方正仿宋_GB18030" w:hAnsi="方正仿宋_GB18030" w:eastAsia="方正仿宋_GB18030" w:cs="方正仿宋_GB18030"/>
          <w:color w:val="000000"/>
          <w:kern w:val="0"/>
          <w:sz w:val="24"/>
          <w:szCs w:val="24"/>
          <w:u w:val="single"/>
        </w:rPr>
        <w:t xml:space="preserve">无 </w:t>
      </w:r>
      <w:r>
        <w:rPr>
          <w:rFonts w:hint="eastAsia" w:ascii="方正仿宋_GB18030" w:hAnsi="方正仿宋_GB18030" w:eastAsia="方正仿宋_GB18030" w:cs="方正仿宋_GB18030"/>
          <w:color w:val="000000"/>
          <w:kern w:val="0"/>
          <w:sz w:val="24"/>
          <w:szCs w:val="24"/>
        </w:rPr>
        <w:t>。</w:t>
      </w:r>
    </w:p>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14:paraId="24D6D38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w:t>
      </w:r>
      <w:bookmarkStart w:id="832" w:name="_Toc312678033"/>
      <w:bookmarkStart w:id="833" w:name="_Toc300934997"/>
      <w:bookmarkStart w:id="834" w:name="_Toc296944538"/>
      <w:bookmarkStart w:id="835" w:name="_Toc292559404"/>
      <w:bookmarkStart w:id="836" w:name="_Toc297123548"/>
      <w:bookmarkStart w:id="837" w:name="_Toc292559909"/>
      <w:bookmarkStart w:id="838" w:name="_Toc312677507"/>
      <w:bookmarkStart w:id="839" w:name="_Toc297048385"/>
      <w:bookmarkStart w:id="840" w:name="_Toc304295574"/>
      <w:bookmarkStart w:id="841" w:name="_Toc297216207"/>
      <w:bookmarkStart w:id="842" w:name="_Toc296891239"/>
      <w:bookmarkStart w:id="843" w:name="_Toc297120499"/>
      <w:bookmarkStart w:id="844" w:name="_Toc296346700"/>
      <w:bookmarkStart w:id="845" w:name="_Toc296503199"/>
      <w:bookmarkStart w:id="846" w:name="_Toc303539154"/>
      <w:bookmarkStart w:id="847" w:name="_Toc296891027"/>
      <w:bookmarkStart w:id="848" w:name="_Toc296347198"/>
      <w:r>
        <w:rPr>
          <w:rFonts w:hint="eastAsia" w:ascii="方正仿宋_GB18030" w:hAnsi="方正仿宋_GB18030" w:eastAsia="方正仿宋_GB18030" w:cs="方正仿宋_GB18030"/>
          <w:color w:val="000000"/>
          <w:kern w:val="0"/>
          <w:sz w:val="24"/>
          <w:szCs w:val="24"/>
        </w:rPr>
        <w:t>0.7 暂估价</w:t>
      </w:r>
    </w:p>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14:paraId="4FA56F6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暂</w:t>
      </w:r>
      <w:bookmarkStart w:id="849" w:name="_Toc312677508"/>
      <w:bookmarkStart w:id="850" w:name="_Toc312678034"/>
      <w:bookmarkStart w:id="851" w:name="_Toc318581176"/>
      <w:r>
        <w:rPr>
          <w:rFonts w:hint="eastAsia" w:ascii="方正仿宋_GB18030" w:hAnsi="方正仿宋_GB18030" w:eastAsia="方正仿宋_GB18030" w:cs="方正仿宋_GB18030"/>
          <w:color w:val="000000"/>
          <w:kern w:val="0"/>
          <w:sz w:val="24"/>
          <w:szCs w:val="24"/>
        </w:rPr>
        <w:t>估价材料和工程设备的明细详见附件11：《暂估价一览表》。</w:t>
      </w:r>
    </w:p>
    <w:bookmarkEnd w:id="849"/>
    <w:bookmarkEnd w:id="850"/>
    <w:bookmarkEnd w:id="851"/>
    <w:p w14:paraId="0E6BCB7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w:t>
      </w:r>
      <w:bookmarkStart w:id="852" w:name="_Toc312678035"/>
      <w:bookmarkStart w:id="853" w:name="_Toc318581177"/>
      <w:bookmarkStart w:id="854" w:name="_Toc312677509"/>
      <w:r>
        <w:rPr>
          <w:rFonts w:hint="eastAsia" w:ascii="方正仿宋_GB18030" w:hAnsi="方正仿宋_GB18030" w:eastAsia="方正仿宋_GB18030" w:cs="方正仿宋_GB18030"/>
          <w:color w:val="000000"/>
          <w:kern w:val="0"/>
          <w:sz w:val="24"/>
          <w:szCs w:val="24"/>
        </w:rPr>
        <w:t>0.7.1 依法必须招标的暂估价项目</w:t>
      </w:r>
    </w:p>
    <w:bookmarkEnd w:id="852"/>
    <w:bookmarkEnd w:id="853"/>
    <w:bookmarkEnd w:id="854"/>
    <w:p w14:paraId="6C8AF78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对于依法必须招标的暂估价项目的确认和批准采取第</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种方式确定。</w:t>
      </w:r>
    </w:p>
    <w:p w14:paraId="539FA9B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10.7.2 不属于依法必须招标的暂估价项目</w:t>
      </w:r>
    </w:p>
    <w:p w14:paraId="5749FF3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对于不属于依法必须招标的暂估价项目的确认和批准采取第</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种方式确定。</w:t>
      </w:r>
    </w:p>
    <w:p w14:paraId="626CC0D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第3种方式：</w:t>
      </w:r>
      <w:r>
        <w:rPr>
          <w:rFonts w:hint="eastAsia" w:ascii="方正仿宋_GB18030" w:hAnsi="方正仿宋_GB18030" w:eastAsia="方正仿宋_GB18030" w:cs="方正仿宋_GB18030"/>
          <w:color w:val="000000"/>
          <w:kern w:val="0"/>
          <w:sz w:val="24"/>
          <w:szCs w:val="24"/>
          <w:u w:val="single"/>
        </w:rPr>
        <w:t>承包人直接实施的暂估价项目</w:t>
      </w:r>
    </w:p>
    <w:p w14:paraId="5D8693F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承包人直接实施的暂估价项目的约定：</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p w14:paraId="58BBBA1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10.8 暂列金额</w:t>
      </w:r>
    </w:p>
    <w:p w14:paraId="747DE09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合同当事人关于暂列金额使用的约定：</w:t>
      </w:r>
      <w:r>
        <w:rPr>
          <w:rFonts w:hint="eastAsia" w:ascii="方正仿宋_GB18030" w:hAnsi="方正仿宋_GB18030" w:eastAsia="方正仿宋_GB18030" w:cs="方正仿宋_GB18030"/>
          <w:color w:val="000000"/>
          <w:kern w:val="0"/>
          <w:sz w:val="24"/>
          <w:szCs w:val="24"/>
          <w:u w:val="single"/>
        </w:rPr>
        <w:t xml:space="preserve"> 无 </w:t>
      </w:r>
      <w:r>
        <w:rPr>
          <w:rFonts w:hint="eastAsia" w:ascii="方正仿宋_GB18030" w:hAnsi="方正仿宋_GB18030" w:eastAsia="方正仿宋_GB18030" w:cs="方正仿宋_GB18030"/>
          <w:color w:val="000000"/>
          <w:kern w:val="0"/>
          <w:sz w:val="24"/>
          <w:szCs w:val="24"/>
        </w:rPr>
        <w:t>。</w:t>
      </w:r>
    </w:p>
    <w:p w14:paraId="12D52B9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855" w:name="_Toc351203643"/>
      <w:r>
        <w:rPr>
          <w:rFonts w:hint="eastAsia" w:ascii="方正仿宋_GB18030" w:hAnsi="方正仿宋_GB18030" w:eastAsia="方正仿宋_GB18030" w:cs="方正仿宋_GB18030"/>
          <w:color w:val="000000"/>
          <w:kern w:val="0"/>
          <w:sz w:val="24"/>
          <w:szCs w:val="24"/>
        </w:rPr>
        <w:t>11. 价格调整</w:t>
      </w:r>
      <w:bookmarkEnd w:id="855"/>
    </w:p>
    <w:p w14:paraId="3A8749D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856" w:name="_Toc292559406"/>
      <w:bookmarkStart w:id="857" w:name="_Toc304295577"/>
      <w:bookmarkStart w:id="858" w:name="_Toc292559911"/>
      <w:bookmarkStart w:id="859" w:name="_Toc297216209"/>
      <w:bookmarkStart w:id="860" w:name="_Toc297048387"/>
      <w:bookmarkStart w:id="861" w:name="_Toc296891029"/>
      <w:bookmarkStart w:id="862" w:name="_Toc296891241"/>
      <w:bookmarkStart w:id="863" w:name="_Toc296944540"/>
      <w:bookmarkStart w:id="864" w:name="_Toc303539157"/>
      <w:bookmarkStart w:id="865" w:name="_Toc297123550"/>
      <w:bookmarkStart w:id="866" w:name="_Toc312678039"/>
      <w:bookmarkStart w:id="867" w:name="_Toc296346702"/>
      <w:bookmarkStart w:id="868" w:name="_Toc296503201"/>
      <w:bookmarkStart w:id="869" w:name="_Toc296347200"/>
      <w:bookmarkStart w:id="870" w:name="_Toc297120501"/>
      <w:bookmarkStart w:id="871" w:name="_Toc300935000"/>
      <w:r>
        <w:rPr>
          <w:rFonts w:hint="eastAsia" w:ascii="方正仿宋_GB18030" w:hAnsi="方正仿宋_GB18030" w:eastAsia="方正仿宋_GB18030" w:cs="方正仿宋_GB18030"/>
          <w:color w:val="000000"/>
          <w:kern w:val="0"/>
          <w:sz w:val="24"/>
          <w:szCs w:val="24"/>
        </w:rPr>
        <w:t>11.1 市场价格波动引起的调整</w:t>
      </w:r>
    </w:p>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14:paraId="0BC9845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市场价格波动是否调整合同价格的约定：</w:t>
      </w:r>
      <w:r>
        <w:rPr>
          <w:rFonts w:hint="eastAsia" w:ascii="方正仿宋_GB18030" w:hAnsi="方正仿宋_GB18030" w:eastAsia="方正仿宋_GB18030" w:cs="方正仿宋_GB18030"/>
          <w:color w:val="000000"/>
          <w:kern w:val="0"/>
          <w:sz w:val="24"/>
          <w:szCs w:val="24"/>
          <w:u w:val="single"/>
        </w:rPr>
        <w:t>经相关部门确定后调整</w:t>
      </w:r>
      <w:r>
        <w:rPr>
          <w:rFonts w:hint="eastAsia" w:ascii="方正仿宋_GB18030" w:hAnsi="方正仿宋_GB18030" w:eastAsia="方正仿宋_GB18030" w:cs="方正仿宋_GB18030"/>
          <w:color w:val="000000"/>
          <w:kern w:val="0"/>
          <w:sz w:val="24"/>
          <w:szCs w:val="24"/>
        </w:rPr>
        <w:t>。</w:t>
      </w:r>
    </w:p>
    <w:p w14:paraId="6E01AA6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因市场价格波动调整合同价格，采用以下第</w:t>
      </w:r>
      <w:r>
        <w:rPr>
          <w:rFonts w:hint="eastAsia" w:ascii="方正仿宋_GB18030" w:hAnsi="方正仿宋_GB18030" w:eastAsia="方正仿宋_GB18030" w:cs="方正仿宋_GB18030"/>
          <w:color w:val="000000"/>
          <w:kern w:val="0"/>
          <w:sz w:val="24"/>
          <w:szCs w:val="24"/>
          <w:u w:val="single"/>
        </w:rPr>
        <w:t xml:space="preserve">  2  </w:t>
      </w:r>
      <w:r>
        <w:rPr>
          <w:rFonts w:hint="eastAsia" w:ascii="方正仿宋_GB18030" w:hAnsi="方正仿宋_GB18030" w:eastAsia="方正仿宋_GB18030" w:cs="方正仿宋_GB18030"/>
          <w:color w:val="000000"/>
          <w:kern w:val="0"/>
          <w:sz w:val="24"/>
          <w:szCs w:val="24"/>
        </w:rPr>
        <w:t>种方式对合同价格进行调整：</w:t>
      </w:r>
    </w:p>
    <w:p w14:paraId="19561C9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u w:val="single"/>
        </w:rPr>
        <w:t>第1种方式：采用价格指数进行价格调整</w:t>
      </w:r>
      <w:r>
        <w:rPr>
          <w:rFonts w:hint="eastAsia" w:ascii="方正仿宋_GB18030" w:hAnsi="方正仿宋_GB18030" w:eastAsia="方正仿宋_GB18030" w:cs="方正仿宋_GB18030"/>
          <w:color w:val="000000"/>
          <w:kern w:val="0"/>
          <w:sz w:val="24"/>
          <w:szCs w:val="24"/>
        </w:rPr>
        <w:t>。</w:t>
      </w:r>
    </w:p>
    <w:p w14:paraId="2697508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关于各可调因子、定值和变值权重，以及基本价格指数及其来源的约定：</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  </w:t>
      </w:r>
    </w:p>
    <w:p w14:paraId="03D2EA0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第2种方式：</w:t>
      </w:r>
      <w:r>
        <w:rPr>
          <w:rFonts w:hint="eastAsia" w:ascii="方正仿宋_GB18030" w:hAnsi="方正仿宋_GB18030" w:eastAsia="方正仿宋_GB18030" w:cs="方正仿宋_GB18030"/>
          <w:kern w:val="0"/>
          <w:sz w:val="24"/>
          <w:szCs w:val="24"/>
          <w:u w:val="single"/>
        </w:rPr>
        <w:t>按《重庆工程造价信息》</w:t>
      </w:r>
      <w:r>
        <w:rPr>
          <w:rFonts w:hint="eastAsia" w:ascii="方正仿宋_GB18030" w:hAnsi="方正仿宋_GB18030" w:eastAsia="方正仿宋_GB18030" w:cs="方正仿宋_GB18030"/>
          <w:kern w:val="0"/>
          <w:sz w:val="24"/>
          <w:szCs w:val="24"/>
          <w:u w:val="single"/>
          <w:lang w:val="en-US" w:eastAsia="zh-CN"/>
        </w:rPr>
        <w:t>投标同期</w:t>
      </w:r>
      <w:r>
        <w:rPr>
          <w:rFonts w:hint="eastAsia" w:ascii="方正仿宋_GB18030" w:hAnsi="方正仿宋_GB18030" w:eastAsia="方正仿宋_GB18030" w:cs="方正仿宋_GB18030"/>
          <w:kern w:val="0"/>
          <w:sz w:val="24"/>
          <w:szCs w:val="24"/>
          <w:u w:val="single"/>
        </w:rPr>
        <w:t>不含税价及市场价进行调整</w:t>
      </w:r>
    </w:p>
    <w:p w14:paraId="47416FC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（2）关于基准价格的约定：</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3A15ED7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专用合同条款①承包人在已标价工程量清单或预算书中载明的材料单价低于基准价格的：专用合同条款合同履行期间材料单价涨幅以基准价格为基础超过</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%时，或材料单价跌幅以已标价工程量清单或预算书中载明材料单价为基础超过</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%时，其超过部分据实调整。</w:t>
      </w:r>
    </w:p>
    <w:p w14:paraId="7DC6E70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②承包人在已标价工程量清单或预算书中载明的材料单价高于基准价格的：专用合同条款合同履行期间材料单价跌幅以基准价格为基础超过</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%时，材料单价涨幅以已标价工程量清单或预算书中载明材料单价为基础超过</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%时，其超过部分据实调整。</w:t>
      </w:r>
    </w:p>
    <w:p w14:paraId="0DCF506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③承包人在已标价工程量清单或预算书中载明的材料单价等于基准单价的：专用合同条款合同履行期间材料单价涨跌幅以基准单价为基础超过±</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%时，其超过部分据实调整。</w:t>
      </w:r>
    </w:p>
    <w:p w14:paraId="2E953B9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第3种方式：其他价格调整方式：</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bookmarkEnd w:id="759"/>
    <w:bookmarkEnd w:id="760"/>
    <w:bookmarkEnd w:id="761"/>
    <w:bookmarkEnd w:id="762"/>
    <w:bookmarkEnd w:id="763"/>
    <w:bookmarkEnd w:id="764"/>
    <w:p w14:paraId="08A045C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872" w:name="_Toc296891245"/>
      <w:bookmarkStart w:id="873" w:name="_Toc292559915"/>
      <w:bookmarkStart w:id="874" w:name="_Toc297048391"/>
      <w:bookmarkStart w:id="875" w:name="_Toc296346706"/>
      <w:bookmarkStart w:id="876" w:name="_Toc296347204"/>
      <w:bookmarkStart w:id="877" w:name="_Toc296944544"/>
      <w:bookmarkStart w:id="878" w:name="_Toc296503205"/>
      <w:bookmarkStart w:id="879" w:name="_Toc297120505"/>
      <w:bookmarkStart w:id="880" w:name="_Toc292559410"/>
      <w:bookmarkStart w:id="881" w:name="_Toc296891033"/>
      <w:bookmarkStart w:id="882" w:name="_Toc351203644"/>
      <w:bookmarkStart w:id="883" w:name="_Toc297123552"/>
      <w:bookmarkStart w:id="884" w:name="_Toc303539159"/>
      <w:bookmarkStart w:id="885" w:name="_Toc300935002"/>
      <w:bookmarkStart w:id="886" w:name="_Toc312678040"/>
      <w:bookmarkStart w:id="887" w:name="_Toc304295579"/>
      <w:bookmarkStart w:id="888" w:name="_Toc297216211"/>
      <w:r>
        <w:rPr>
          <w:rFonts w:hint="eastAsia" w:ascii="方正仿宋_GB18030" w:hAnsi="方正仿宋_GB18030" w:eastAsia="方正仿宋_GB18030" w:cs="方正仿宋_GB18030"/>
          <w:color w:val="000000"/>
          <w:kern w:val="0"/>
          <w:sz w:val="24"/>
          <w:szCs w:val="24"/>
        </w:rPr>
        <w:t xml:space="preserve">12. </w:t>
      </w:r>
      <w:bookmarkEnd w:id="872"/>
      <w:bookmarkEnd w:id="873"/>
      <w:bookmarkEnd w:id="874"/>
      <w:bookmarkEnd w:id="875"/>
      <w:bookmarkEnd w:id="876"/>
      <w:bookmarkEnd w:id="877"/>
      <w:bookmarkEnd w:id="878"/>
      <w:bookmarkEnd w:id="879"/>
      <w:bookmarkEnd w:id="880"/>
      <w:bookmarkEnd w:id="881"/>
      <w:r>
        <w:rPr>
          <w:rFonts w:hint="eastAsia" w:ascii="方正仿宋_GB18030" w:hAnsi="方正仿宋_GB18030" w:eastAsia="方正仿宋_GB18030" w:cs="方正仿宋_GB18030"/>
          <w:color w:val="000000"/>
          <w:kern w:val="0"/>
          <w:sz w:val="24"/>
          <w:szCs w:val="24"/>
        </w:rPr>
        <w:t>合同价格、计量与支付</w:t>
      </w:r>
      <w:bookmarkEnd w:id="882"/>
    </w:p>
    <w:bookmarkEnd w:id="883"/>
    <w:bookmarkEnd w:id="884"/>
    <w:bookmarkEnd w:id="885"/>
    <w:bookmarkEnd w:id="886"/>
    <w:bookmarkEnd w:id="887"/>
    <w:bookmarkEnd w:id="888"/>
    <w:p w14:paraId="1806FB0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889" w:name="_Toc292559916"/>
      <w:bookmarkStart w:id="890" w:name="_Toc292559411"/>
      <w:bookmarkStart w:id="891" w:name="_Toc267251461"/>
      <w:bookmarkStart w:id="892" w:name="_Toc296891034"/>
      <w:bookmarkStart w:id="893" w:name="_Toc297120506"/>
      <w:bookmarkStart w:id="894" w:name="_Toc296944545"/>
      <w:bookmarkStart w:id="895" w:name="_Toc296503206"/>
      <w:bookmarkStart w:id="896" w:name="_Toc297048392"/>
      <w:bookmarkStart w:id="897" w:name="_Toc296891246"/>
      <w:bookmarkStart w:id="898" w:name="_Toc296347205"/>
      <w:bookmarkStart w:id="899" w:name="_Toc296346707"/>
      <w:bookmarkStart w:id="900" w:name="_Toc297123553"/>
      <w:bookmarkStart w:id="901" w:name="_Toc312678041"/>
      <w:bookmarkStart w:id="902" w:name="_Toc300935003"/>
      <w:bookmarkStart w:id="903" w:name="_Toc304295580"/>
      <w:bookmarkStart w:id="904" w:name="_Toc303539160"/>
      <w:bookmarkStart w:id="905" w:name="_Toc297216212"/>
      <w:r>
        <w:rPr>
          <w:rFonts w:hint="eastAsia" w:ascii="方正仿宋_GB18030" w:hAnsi="方正仿宋_GB18030" w:eastAsia="方正仿宋_GB18030" w:cs="方正仿宋_GB18030"/>
          <w:color w:val="000000"/>
          <w:kern w:val="0"/>
          <w:sz w:val="24"/>
          <w:szCs w:val="24"/>
        </w:rPr>
        <w:t>12.1 合</w:t>
      </w:r>
      <w:bookmarkEnd w:id="889"/>
      <w:bookmarkEnd w:id="890"/>
      <w:bookmarkEnd w:id="891"/>
      <w:r>
        <w:rPr>
          <w:rFonts w:hint="eastAsia" w:ascii="方正仿宋_GB18030" w:hAnsi="方正仿宋_GB18030" w:eastAsia="方正仿宋_GB18030" w:cs="方正仿宋_GB18030"/>
          <w:color w:val="000000"/>
          <w:kern w:val="0"/>
          <w:sz w:val="24"/>
          <w:szCs w:val="24"/>
        </w:rPr>
        <w:t>同价</w:t>
      </w:r>
      <w:bookmarkEnd w:id="892"/>
      <w:bookmarkEnd w:id="893"/>
      <w:bookmarkEnd w:id="894"/>
      <w:bookmarkEnd w:id="895"/>
      <w:bookmarkEnd w:id="896"/>
      <w:bookmarkEnd w:id="897"/>
      <w:bookmarkEnd w:id="898"/>
      <w:bookmarkEnd w:id="899"/>
      <w:r>
        <w:rPr>
          <w:rFonts w:hint="eastAsia" w:ascii="方正仿宋_GB18030" w:hAnsi="方正仿宋_GB18030" w:eastAsia="方正仿宋_GB18030" w:cs="方正仿宋_GB18030"/>
          <w:color w:val="000000"/>
          <w:kern w:val="0"/>
          <w:sz w:val="24"/>
          <w:szCs w:val="24"/>
        </w:rPr>
        <w:t>格形式</w:t>
      </w:r>
    </w:p>
    <w:bookmarkEnd w:id="900"/>
    <w:bookmarkEnd w:id="901"/>
    <w:bookmarkEnd w:id="902"/>
    <w:bookmarkEnd w:id="903"/>
    <w:bookmarkEnd w:id="904"/>
    <w:bookmarkEnd w:id="905"/>
    <w:p w14:paraId="7648D8B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1、单价合同。</w:t>
      </w:r>
    </w:p>
    <w:p w14:paraId="2A28ACC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综合单价包含的风险范围：</w:t>
      </w:r>
      <w:r>
        <w:rPr>
          <w:rFonts w:hint="eastAsia" w:ascii="方正仿宋_GB18030" w:hAnsi="方正仿宋_GB18030" w:eastAsia="方正仿宋_GB18030" w:cs="方正仿宋_GB18030"/>
          <w:color w:val="000000"/>
          <w:kern w:val="0"/>
          <w:sz w:val="24"/>
          <w:szCs w:val="24"/>
          <w:u w:val="single"/>
        </w:rPr>
        <w:t>各种因素引起的材料价格、人工工资、施工机械使用费、管理费、利润等变化及风险因素</w:t>
      </w:r>
      <w:r>
        <w:rPr>
          <w:rFonts w:hint="eastAsia" w:ascii="方正仿宋_GB18030" w:hAnsi="方正仿宋_GB18030" w:eastAsia="方正仿宋_GB18030" w:cs="方正仿宋_GB18030"/>
          <w:color w:val="000000"/>
          <w:kern w:val="0"/>
          <w:sz w:val="24"/>
          <w:szCs w:val="24"/>
        </w:rPr>
        <w:t>。</w:t>
      </w:r>
    </w:p>
    <w:p w14:paraId="0F9B231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风险费用的计算方法：</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76FCEB2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风险范围以外合同价格的调整方法：</w:t>
      </w:r>
      <w:r>
        <w:rPr>
          <w:rFonts w:hint="eastAsia" w:ascii="方正仿宋_GB18030" w:hAnsi="方正仿宋_GB18030" w:eastAsia="方正仿宋_GB18030" w:cs="方正仿宋_GB18030"/>
          <w:color w:val="000000"/>
          <w:kern w:val="0"/>
          <w:sz w:val="24"/>
          <w:szCs w:val="24"/>
          <w:u w:val="single"/>
        </w:rPr>
        <w:t xml:space="preserve"> 经相关政府批准、建设单位、监理单位、施工单位核定工程量、上报财政或审部门审定，计入工程结算 </w:t>
      </w:r>
      <w:r>
        <w:rPr>
          <w:rFonts w:hint="eastAsia" w:ascii="方正仿宋_GB18030" w:hAnsi="方正仿宋_GB18030" w:eastAsia="方正仿宋_GB18030" w:cs="方正仿宋_GB18030"/>
          <w:color w:val="000000"/>
          <w:kern w:val="0"/>
          <w:sz w:val="24"/>
          <w:szCs w:val="24"/>
        </w:rPr>
        <w:t>。</w:t>
      </w:r>
    </w:p>
    <w:p w14:paraId="562D19E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12.3 计量</w:t>
      </w:r>
    </w:p>
    <w:p w14:paraId="42D8905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12.3.1 计量原则</w:t>
      </w:r>
    </w:p>
    <w:p w14:paraId="14CD2B1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rPr>
        <w:t>工程量计算规则：</w:t>
      </w:r>
      <w:r>
        <w:rPr>
          <w:rFonts w:hint="eastAsia" w:ascii="方正仿宋_GB18030" w:hAnsi="方正仿宋_GB18030" w:eastAsia="方正仿宋_GB18030" w:cs="方正仿宋_GB18030"/>
          <w:color w:val="000000"/>
          <w:kern w:val="0"/>
          <w:sz w:val="24"/>
          <w:szCs w:val="24"/>
          <w:u w:val="single"/>
        </w:rPr>
        <w:t>《建设工程工程量清单计价规范》（GB50500</w:t>
      </w:r>
    </w:p>
    <w:p w14:paraId="70B5DC77">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u w:val="single"/>
        </w:rPr>
        <w:t>-2013）和《重庆市建设工程工程量清单计价规则》（CQQDGZ-2013）的计量规则执行</w:t>
      </w:r>
      <w:r>
        <w:rPr>
          <w:rFonts w:hint="eastAsia" w:ascii="方正仿宋_GB18030" w:hAnsi="方正仿宋_GB18030" w:eastAsia="方正仿宋_GB18030" w:cs="方正仿宋_GB18030"/>
          <w:color w:val="000000"/>
          <w:kern w:val="0"/>
          <w:sz w:val="24"/>
          <w:szCs w:val="24"/>
        </w:rPr>
        <w:t>。</w:t>
      </w:r>
    </w:p>
    <w:p w14:paraId="1B6119F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12.3.2 计量周期</w:t>
      </w:r>
    </w:p>
    <w:p w14:paraId="6CC6656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关于计量周期的约定：</w:t>
      </w:r>
      <w:r>
        <w:rPr>
          <w:rFonts w:hint="eastAsia" w:ascii="方正仿宋_GB18030" w:hAnsi="方正仿宋_GB18030" w:eastAsia="方正仿宋_GB18030" w:cs="方正仿宋_GB18030"/>
          <w:color w:val="000000"/>
          <w:kern w:val="0"/>
          <w:sz w:val="24"/>
          <w:szCs w:val="24"/>
          <w:u w:val="single"/>
        </w:rPr>
        <w:t xml:space="preserve">  按月计量  </w:t>
      </w:r>
      <w:r>
        <w:rPr>
          <w:rFonts w:hint="eastAsia" w:ascii="方正仿宋_GB18030" w:hAnsi="方正仿宋_GB18030" w:eastAsia="方正仿宋_GB18030" w:cs="方正仿宋_GB18030"/>
          <w:color w:val="000000"/>
          <w:kern w:val="0"/>
          <w:sz w:val="24"/>
          <w:szCs w:val="24"/>
        </w:rPr>
        <w:t>。</w:t>
      </w:r>
    </w:p>
    <w:p w14:paraId="5350578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12.3.3 单价合同的计量</w:t>
      </w:r>
    </w:p>
    <w:p w14:paraId="74227FF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关于单价合同计量的约定：</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66EE2B5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12.3.4 固定单价/费率合同的计量</w:t>
      </w:r>
    </w:p>
    <w:p w14:paraId="1C59393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rPr>
        <w:t>关于固定单价/费率合同的计量的约定：</w:t>
      </w:r>
      <w:r>
        <w:rPr>
          <w:rFonts w:hint="eastAsia" w:ascii="方正仿宋_GB18030" w:hAnsi="方正仿宋_GB18030" w:eastAsia="方正仿宋_GB18030" w:cs="方正仿宋_GB18030"/>
          <w:color w:val="000000"/>
          <w:kern w:val="0"/>
          <w:sz w:val="24"/>
          <w:szCs w:val="24"/>
          <w:u w:val="single"/>
        </w:rPr>
        <w:t>（1）承包人应于当月 25 日前向监理人报送上月已完成的工程量，并附进度付款申请单、已完成工程量报表和其他有关资料。</w:t>
      </w:r>
    </w:p>
    <w:p w14:paraId="0E56894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u w:val="single"/>
        </w:rPr>
        <w:t>（2）监理人应在收到承包人提交的工程量报表后7天内完成对承包人提交的工程量报表的审核并报送发包人；发包人收到监理人报送资料后7天内完成审批，以确定当月实际完成的工程量。监理人、跟审单位（如有）、发包人任一方对工程量有异议的，均有权要求承包人进行共同复核或抽样复测。承包人应协助监理人、跟审单位（如有）进行复核或抽样复测，并按监理人要求提供补充计量资料。承包人未按监理人要求参加复核或抽样复测的，监理人复核或修正的工程量视为承包人实际完成的工程量。</w:t>
      </w:r>
    </w:p>
    <w:p w14:paraId="1999D2A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u w:val="single"/>
        </w:rPr>
      </w:pPr>
      <w:r>
        <w:rPr>
          <w:rFonts w:hint="eastAsia" w:ascii="方正仿宋_GB18030" w:hAnsi="方正仿宋_GB18030" w:eastAsia="方正仿宋_GB18030" w:cs="方正仿宋_GB18030"/>
          <w:color w:val="000000"/>
          <w:kern w:val="0"/>
          <w:sz w:val="24"/>
          <w:szCs w:val="24"/>
          <w:u w:val="single"/>
        </w:rPr>
        <w:t>（3）工程量的计量仅作为进度付款和工程施工进度控制的依据，不应认为是承包人履行合同义务完成工程的实际和准确的工程量，实际和准确工程量按竣工图和专用合同条件第12.3.1[计量原则]约定确认的工程量为准。</w:t>
      </w:r>
    </w:p>
    <w:p w14:paraId="0DA2FF2A">
      <w:pPr>
        <w:spacing w:line="440" w:lineRule="exact"/>
        <w:ind w:left="638" w:leftChars="304"/>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12.3.5总价合同采用支付分解表计量支付的，是否适用第12.3.4 项〔总价合同的计量〕约定进行计量： </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2112830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12.3.6 其他价格形式合同的计量</w:t>
      </w:r>
    </w:p>
    <w:p w14:paraId="3922FAD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其他价格形式的计量方式和程序：</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759A022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12.4 工程进度款支付</w:t>
      </w:r>
    </w:p>
    <w:p w14:paraId="4FCB560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906" w:name="_Toc297120511"/>
      <w:bookmarkStart w:id="907" w:name="_Toc296944550"/>
      <w:bookmarkStart w:id="908" w:name="_Toc296891039"/>
      <w:bookmarkStart w:id="909" w:name="_Toc303539163"/>
      <w:bookmarkStart w:id="910" w:name="_Toc297123556"/>
      <w:bookmarkStart w:id="911" w:name="_Toc292559416"/>
      <w:bookmarkStart w:id="912" w:name="_Toc297216215"/>
      <w:bookmarkStart w:id="913" w:name="_Toc296891251"/>
      <w:bookmarkStart w:id="914" w:name="_Toc296503211"/>
      <w:bookmarkStart w:id="915" w:name="_Toc300935006"/>
      <w:bookmarkStart w:id="916" w:name="_Toc292559921"/>
      <w:bookmarkStart w:id="917" w:name="_Toc296346712"/>
      <w:bookmarkStart w:id="918" w:name="_Toc297048397"/>
      <w:bookmarkStart w:id="919" w:name="_Toc296347210"/>
      <w:r>
        <w:rPr>
          <w:rFonts w:hint="eastAsia" w:ascii="方正仿宋_GB18030" w:hAnsi="方正仿宋_GB18030" w:eastAsia="方正仿宋_GB18030" w:cs="方正仿宋_GB18030"/>
          <w:color w:val="000000"/>
          <w:kern w:val="0"/>
          <w:sz w:val="24"/>
          <w:szCs w:val="24"/>
        </w:rPr>
        <w:t>12.4.1 付款周期</w:t>
      </w:r>
    </w:p>
    <w:p w14:paraId="65CD667B">
      <w:pPr>
        <w:pStyle w:val="16"/>
        <w:spacing w:line="440" w:lineRule="exact"/>
        <w:ind w:firstLine="480" w:firstLineChars="20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关于付款周期的约定：本合同无预付款、进度款，工程完工并经发包人验收合格后15个工作日内支付至合同暂定金额的70%，工程完工并经工程结算及发包人委托外审完成后   15个工作日内拨付至审定金额的97%，施工完成后且缺陷责任期满后，经发包人检查无质量问题后30日付结算审定工程款的3%(不计利息)。发包人每次付款前，承包人需向发包人开具合格发票，否则发包人有权暂缓付款</w:t>
      </w:r>
      <w:r>
        <w:rPr>
          <w:rFonts w:hint="eastAsia" w:ascii="方正仿宋_GB18030" w:hAnsi="方正仿宋_GB18030" w:eastAsia="方正仿宋_GB18030" w:cs="方正仿宋_GB18030"/>
          <w:color w:val="000000"/>
          <w:sz w:val="24"/>
          <w:szCs w:val="24"/>
          <w:u w:val="none"/>
        </w:rPr>
        <w:t>。</w:t>
      </w:r>
    </w:p>
    <w:p w14:paraId="3BD56C7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12.4.2 进度付款申请单的编制</w:t>
      </w:r>
    </w:p>
    <w:p w14:paraId="7D2A392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关于进度付款申请单编制的约定：</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387AB3F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r>
        <w:rPr>
          <w:rFonts w:hint="eastAsia" w:ascii="方正仿宋_GB18030" w:hAnsi="方正仿宋_GB18030" w:eastAsia="方正仿宋_GB18030" w:cs="方正仿宋_GB18030"/>
          <w:color w:val="000000"/>
          <w:kern w:val="0"/>
          <w:sz w:val="24"/>
          <w:szCs w:val="24"/>
        </w:rPr>
        <w:t>2.4.3 进度付款申请单的提交</w:t>
      </w:r>
    </w:p>
    <w:p w14:paraId="772991A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（1）单价合同进度付款申请单提交的约定：</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65A62D8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（2）总价合同进度付款申请单提交的约定：</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2DC7BDF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（3）其他价格形式合同进度付款申请单提交的约定：</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306BDD8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12.4.4 进度款审核和支付</w:t>
      </w:r>
    </w:p>
    <w:p w14:paraId="13EE7D1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（1）监理人审查并报送发包人的期限：</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16D0BF9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发包人完成审批并签发进度款支付证书的期限：</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51835E1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（2）发包人支付进度款的期限： 提交付款申请1个月内。</w:t>
      </w:r>
    </w:p>
    <w:p w14:paraId="1FE3090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发包人逾期支付进度款的违约金的计算方式：</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5C8E339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12.4.6 支付分解表的编制</w:t>
      </w:r>
    </w:p>
    <w:p w14:paraId="1360051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2、总价合同支付分解表的编制与审批： </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103E27E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3、单价合同的总价项目支付分解表的编制与审批：</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bookmarkEnd w:id="765"/>
    <w:p w14:paraId="5034B6B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920" w:name="_Toc351203645"/>
      <w:bookmarkStart w:id="921" w:name="_Toc296503219"/>
      <w:bookmarkStart w:id="922" w:name="_Toc296944558"/>
      <w:bookmarkStart w:id="923" w:name="_Toc304295593"/>
      <w:bookmarkStart w:id="924" w:name="_Toc292559424"/>
      <w:bookmarkStart w:id="925" w:name="_Toc297123564"/>
      <w:bookmarkStart w:id="926" w:name="_Toc297120519"/>
      <w:bookmarkStart w:id="927" w:name="_Toc296347218"/>
      <w:bookmarkStart w:id="928" w:name="_Toc300935015"/>
      <w:bookmarkStart w:id="929" w:name="_Toc297048405"/>
      <w:bookmarkStart w:id="930" w:name="_Toc296891259"/>
      <w:bookmarkStart w:id="931" w:name="_Toc312678053"/>
      <w:bookmarkStart w:id="932" w:name="_Toc292559929"/>
      <w:bookmarkStart w:id="933" w:name="_Toc303539172"/>
      <w:bookmarkStart w:id="934" w:name="_Toc297216223"/>
      <w:bookmarkStart w:id="935" w:name="_Toc296346720"/>
      <w:bookmarkStart w:id="936" w:name="_Toc296891047"/>
      <w:r>
        <w:rPr>
          <w:rFonts w:hint="eastAsia" w:ascii="方正仿宋_GB18030" w:hAnsi="方正仿宋_GB18030" w:eastAsia="方正仿宋_GB18030" w:cs="方正仿宋_GB18030"/>
          <w:color w:val="000000"/>
          <w:kern w:val="0"/>
          <w:sz w:val="24"/>
          <w:szCs w:val="24"/>
        </w:rPr>
        <w:t>13. 验收和工程试车</w:t>
      </w:r>
      <w:bookmarkEnd w:id="920"/>
    </w:p>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14:paraId="71F7FCF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13.1 分部分项工程验收</w:t>
      </w:r>
    </w:p>
    <w:p w14:paraId="5FD6E31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13.1.2监理人不能按时进行验收时，应提前 </w:t>
      </w:r>
      <w:r>
        <w:rPr>
          <w:rFonts w:hint="eastAsia" w:ascii="方正仿宋_GB18030" w:hAnsi="方正仿宋_GB18030" w:eastAsia="方正仿宋_GB18030" w:cs="方正仿宋_GB18030"/>
          <w:color w:val="000000"/>
          <w:kern w:val="0"/>
          <w:sz w:val="24"/>
          <w:szCs w:val="24"/>
          <w:u w:val="single"/>
        </w:rPr>
        <w:t xml:space="preserve">   24  </w:t>
      </w:r>
      <w:r>
        <w:rPr>
          <w:rFonts w:hint="eastAsia" w:ascii="方正仿宋_GB18030" w:hAnsi="方正仿宋_GB18030" w:eastAsia="方正仿宋_GB18030" w:cs="方正仿宋_GB18030"/>
          <w:color w:val="000000"/>
          <w:kern w:val="0"/>
          <w:sz w:val="24"/>
          <w:szCs w:val="24"/>
        </w:rPr>
        <w:t xml:space="preserve"> 小时提交书面延期要求。</w:t>
      </w:r>
    </w:p>
    <w:p w14:paraId="7C29438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关于延期最长不得超过：</w:t>
      </w:r>
      <w:r>
        <w:rPr>
          <w:rFonts w:hint="eastAsia" w:ascii="方正仿宋_GB18030" w:hAnsi="方正仿宋_GB18030" w:eastAsia="方正仿宋_GB18030" w:cs="方正仿宋_GB18030"/>
          <w:color w:val="000000"/>
          <w:kern w:val="0"/>
          <w:sz w:val="24"/>
          <w:szCs w:val="24"/>
          <w:u w:val="single"/>
        </w:rPr>
        <w:t xml:space="preserve"> 48  </w:t>
      </w:r>
      <w:r>
        <w:rPr>
          <w:rFonts w:hint="eastAsia" w:ascii="方正仿宋_GB18030" w:hAnsi="方正仿宋_GB18030" w:eastAsia="方正仿宋_GB18030" w:cs="方正仿宋_GB18030"/>
          <w:color w:val="000000"/>
          <w:kern w:val="0"/>
          <w:sz w:val="24"/>
          <w:szCs w:val="24"/>
        </w:rPr>
        <w:t>小时。</w:t>
      </w:r>
    </w:p>
    <w:p w14:paraId="213E69F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937" w:name="_Toc296891051"/>
      <w:bookmarkStart w:id="938" w:name="_Toc297216224"/>
      <w:bookmarkStart w:id="939" w:name="_Toc312678056"/>
      <w:bookmarkStart w:id="940" w:name="_Toc297048409"/>
      <w:bookmarkStart w:id="941" w:name="_Toc297120523"/>
      <w:bookmarkStart w:id="942" w:name="_Toc292559933"/>
      <w:bookmarkStart w:id="943" w:name="_Toc296347222"/>
      <w:bookmarkStart w:id="944" w:name="_Toc296944562"/>
      <w:bookmarkStart w:id="945" w:name="_Toc300935016"/>
      <w:bookmarkStart w:id="946" w:name="_Toc297123565"/>
      <w:bookmarkStart w:id="947" w:name="_Toc304295596"/>
      <w:bookmarkStart w:id="948" w:name="_Toc296346724"/>
      <w:bookmarkStart w:id="949" w:name="_Toc292559428"/>
      <w:bookmarkStart w:id="950" w:name="_Toc296891263"/>
      <w:bookmarkStart w:id="951" w:name="_Toc296503223"/>
      <w:bookmarkStart w:id="952" w:name="_Toc303539173"/>
      <w:bookmarkStart w:id="953" w:name="_Toc267251474"/>
      <w:bookmarkStart w:id="954" w:name="_Toc267251471"/>
      <w:bookmarkStart w:id="955" w:name="_Toc267251476"/>
      <w:bookmarkStart w:id="956" w:name="_Toc267251475"/>
      <w:bookmarkStart w:id="957" w:name="_Toc267251470"/>
      <w:bookmarkStart w:id="958" w:name="_Toc267251472"/>
      <w:bookmarkStart w:id="959" w:name="_Toc267251473"/>
      <w:r>
        <w:rPr>
          <w:rFonts w:hint="eastAsia" w:ascii="方正仿宋_GB18030" w:hAnsi="方正仿宋_GB18030" w:eastAsia="方正仿宋_GB18030" w:cs="方正仿宋_GB18030"/>
          <w:color w:val="000000"/>
          <w:kern w:val="0"/>
          <w:sz w:val="24"/>
          <w:szCs w:val="24"/>
        </w:rPr>
        <w:t>13.2 竣工验收</w:t>
      </w:r>
    </w:p>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14:paraId="0EDA96E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960" w:name="_Toc280868704"/>
      <w:bookmarkStart w:id="961" w:name="_Toc280868705"/>
      <w:bookmarkStart w:id="962" w:name="_Toc280868706"/>
      <w:bookmarkStart w:id="963" w:name="_Toc280868707"/>
      <w:bookmarkStart w:id="964" w:name="_Toc280868708"/>
      <w:bookmarkStart w:id="965" w:name="_Toc280868709"/>
      <w:r>
        <w:rPr>
          <w:rFonts w:hint="eastAsia" w:ascii="方正仿宋_GB18030" w:hAnsi="方正仿宋_GB18030" w:eastAsia="方正仿宋_GB18030" w:cs="方正仿宋_GB18030"/>
          <w:color w:val="000000"/>
          <w:kern w:val="0"/>
          <w:sz w:val="24"/>
          <w:szCs w:val="24"/>
        </w:rPr>
        <w:t>13.2.2竣工验收程序</w:t>
      </w:r>
    </w:p>
    <w:bookmarkEnd w:id="960"/>
    <w:p w14:paraId="3DC7865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关于竣工验收程序的约定：</w:t>
      </w:r>
      <w:r>
        <w:rPr>
          <w:rFonts w:hint="eastAsia" w:ascii="方正仿宋_GB18030" w:hAnsi="方正仿宋_GB18030" w:eastAsia="方正仿宋_GB18030" w:cs="方正仿宋_GB18030"/>
          <w:color w:val="000000"/>
          <w:kern w:val="0"/>
          <w:sz w:val="24"/>
          <w:szCs w:val="24"/>
          <w:u w:val="single"/>
        </w:rPr>
        <w:t xml:space="preserve">按通用条款执行 </w:t>
      </w:r>
      <w:r>
        <w:rPr>
          <w:rFonts w:hint="eastAsia" w:ascii="方正仿宋_GB18030" w:hAnsi="方正仿宋_GB18030" w:eastAsia="方正仿宋_GB18030" w:cs="方正仿宋_GB18030"/>
          <w:color w:val="000000"/>
          <w:kern w:val="0"/>
          <w:sz w:val="24"/>
          <w:szCs w:val="24"/>
        </w:rPr>
        <w:t xml:space="preserve">  。</w:t>
      </w:r>
    </w:p>
    <w:p w14:paraId="7C1B9D6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发包人不按照本项约定组织竣工验收、颁发工程接收证书的违约金的计算方法：</w:t>
      </w:r>
      <w:r>
        <w:rPr>
          <w:rFonts w:hint="eastAsia" w:ascii="方正仿宋_GB18030" w:hAnsi="方正仿宋_GB18030" w:eastAsia="方正仿宋_GB18030" w:cs="方正仿宋_GB18030"/>
          <w:color w:val="000000"/>
          <w:kern w:val="0"/>
          <w:sz w:val="24"/>
          <w:szCs w:val="24"/>
          <w:u w:val="single"/>
        </w:rPr>
        <w:t xml:space="preserve"> 按通用条款执行</w:t>
      </w:r>
      <w:r>
        <w:rPr>
          <w:rFonts w:hint="eastAsia" w:ascii="方正仿宋_GB18030" w:hAnsi="方正仿宋_GB18030" w:eastAsia="方正仿宋_GB18030" w:cs="方正仿宋_GB18030"/>
          <w:color w:val="000000"/>
          <w:kern w:val="0"/>
          <w:sz w:val="24"/>
          <w:szCs w:val="24"/>
        </w:rPr>
        <w:t>。</w:t>
      </w:r>
    </w:p>
    <w:bookmarkEnd w:id="961"/>
    <w:p w14:paraId="2E53FD6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13.2.5移交、接收全部与部分工程</w:t>
      </w:r>
    </w:p>
    <w:bookmarkEnd w:id="962"/>
    <w:p w14:paraId="2D3E56B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承包人向发包人移交工程的期限：</w:t>
      </w:r>
      <w:r>
        <w:rPr>
          <w:rFonts w:hint="eastAsia" w:ascii="方正仿宋_GB18030" w:hAnsi="方正仿宋_GB18030" w:eastAsia="方正仿宋_GB18030" w:cs="方正仿宋_GB18030"/>
          <w:color w:val="000000"/>
          <w:kern w:val="0"/>
          <w:sz w:val="24"/>
          <w:szCs w:val="24"/>
          <w:u w:val="single"/>
        </w:rPr>
        <w:t>颁发工程竣工验收7天内</w:t>
      </w:r>
      <w:r>
        <w:rPr>
          <w:rFonts w:hint="eastAsia" w:ascii="方正仿宋_GB18030" w:hAnsi="方正仿宋_GB18030" w:eastAsia="方正仿宋_GB18030" w:cs="方正仿宋_GB18030"/>
          <w:color w:val="000000"/>
          <w:kern w:val="0"/>
          <w:sz w:val="24"/>
          <w:szCs w:val="24"/>
        </w:rPr>
        <w:t>。</w:t>
      </w:r>
    </w:p>
    <w:p w14:paraId="2F37C01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发包人未按本合同约定接收全部或部分工程的，违约金的计算方法为：</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bookmarkEnd w:id="963"/>
    <w:p w14:paraId="4944782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承包人未按时移交工程的，违约金的计算方法为：</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6F4CD85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13.3 工程试车</w:t>
      </w:r>
    </w:p>
    <w:bookmarkEnd w:id="964"/>
    <w:p w14:paraId="778BF81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13.3.1 试车程序</w:t>
      </w:r>
    </w:p>
    <w:p w14:paraId="23DE7FD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工程试车内容：</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378CDE1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13.6 竣工退场</w:t>
      </w:r>
    </w:p>
    <w:p w14:paraId="5D220A3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13.6.1 竣工退场</w:t>
      </w:r>
    </w:p>
    <w:p w14:paraId="2BF31D7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承包人完成竣工退场的期限：</w:t>
      </w:r>
      <w:r>
        <w:rPr>
          <w:rFonts w:hint="eastAsia" w:ascii="方正仿宋_GB18030" w:hAnsi="方正仿宋_GB18030" w:eastAsia="方正仿宋_GB18030" w:cs="方正仿宋_GB18030"/>
          <w:color w:val="000000"/>
          <w:kern w:val="0"/>
          <w:sz w:val="24"/>
          <w:szCs w:val="24"/>
          <w:u w:val="single"/>
        </w:rPr>
        <w:t xml:space="preserve"> 颁发竣工验收后5天内 </w:t>
      </w:r>
      <w:r>
        <w:rPr>
          <w:rFonts w:hint="eastAsia" w:ascii="方正仿宋_GB18030" w:hAnsi="方正仿宋_GB18030" w:eastAsia="方正仿宋_GB18030" w:cs="方正仿宋_GB18030"/>
          <w:color w:val="000000"/>
          <w:kern w:val="0"/>
          <w:sz w:val="24"/>
          <w:szCs w:val="24"/>
        </w:rPr>
        <w:t xml:space="preserve"> 。</w:t>
      </w:r>
    </w:p>
    <w:p w14:paraId="0B71998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966" w:name="_Toc351203646"/>
      <w:r>
        <w:rPr>
          <w:rFonts w:hint="eastAsia" w:ascii="方正仿宋_GB18030" w:hAnsi="方正仿宋_GB18030" w:eastAsia="方正仿宋_GB18030" w:cs="方正仿宋_GB18030"/>
          <w:color w:val="000000"/>
          <w:kern w:val="0"/>
          <w:sz w:val="24"/>
          <w:szCs w:val="24"/>
        </w:rPr>
        <w:t>14. 竣工结算</w:t>
      </w:r>
      <w:bookmarkEnd w:id="966"/>
    </w:p>
    <w:p w14:paraId="401AECE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14.1 竣工结算申请</w:t>
      </w:r>
    </w:p>
    <w:p w14:paraId="0512C30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承包人提交竣工结算申请单的期限：</w:t>
      </w:r>
      <w:r>
        <w:rPr>
          <w:rFonts w:hint="eastAsia" w:ascii="方正仿宋_GB18030" w:hAnsi="方正仿宋_GB18030" w:eastAsia="方正仿宋_GB18030" w:cs="方正仿宋_GB18030"/>
          <w:color w:val="000000"/>
          <w:kern w:val="0"/>
          <w:sz w:val="24"/>
          <w:szCs w:val="24"/>
          <w:u w:val="single"/>
        </w:rPr>
        <w:t>工程竣工验收后15天内</w:t>
      </w:r>
      <w:r>
        <w:rPr>
          <w:rFonts w:hint="eastAsia" w:ascii="方正仿宋_GB18030" w:hAnsi="方正仿宋_GB18030" w:eastAsia="方正仿宋_GB18030" w:cs="方正仿宋_GB18030"/>
          <w:color w:val="000000"/>
          <w:kern w:val="0"/>
          <w:sz w:val="24"/>
          <w:szCs w:val="24"/>
        </w:rPr>
        <w:t>。</w:t>
      </w:r>
    </w:p>
    <w:p w14:paraId="7A5C6A3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竣工结算申请单应包括的内容：</w:t>
      </w:r>
      <w:r>
        <w:rPr>
          <w:rFonts w:hint="eastAsia" w:ascii="方正仿宋_GB18030" w:hAnsi="方正仿宋_GB18030" w:eastAsia="方正仿宋_GB18030" w:cs="方正仿宋_GB18030"/>
          <w:color w:val="000000"/>
          <w:kern w:val="0"/>
          <w:sz w:val="24"/>
          <w:szCs w:val="24"/>
          <w:u w:val="single"/>
        </w:rPr>
        <w:t xml:space="preserve">执行通用条款 </w:t>
      </w:r>
      <w:r>
        <w:rPr>
          <w:rFonts w:hint="eastAsia" w:ascii="方正仿宋_GB18030" w:hAnsi="方正仿宋_GB18030" w:eastAsia="方正仿宋_GB18030" w:cs="方正仿宋_GB18030"/>
          <w:color w:val="000000"/>
          <w:kern w:val="0"/>
          <w:sz w:val="24"/>
          <w:szCs w:val="24"/>
        </w:rPr>
        <w:t xml:space="preserve"> 。</w:t>
      </w:r>
    </w:p>
    <w:p w14:paraId="45D2CAE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14.2 竣工结算审核</w:t>
      </w:r>
    </w:p>
    <w:p w14:paraId="62DEB4A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发包人审批竣工付款申请单的期限：</w:t>
      </w:r>
      <w:r>
        <w:rPr>
          <w:rFonts w:hint="eastAsia" w:ascii="方正仿宋_GB18030" w:hAnsi="方正仿宋_GB18030" w:eastAsia="方正仿宋_GB18030" w:cs="方正仿宋_GB18030"/>
          <w:color w:val="000000"/>
          <w:kern w:val="0"/>
          <w:sz w:val="24"/>
          <w:szCs w:val="24"/>
          <w:u w:val="single"/>
        </w:rPr>
        <w:t>收到竣工验收单28天内</w:t>
      </w:r>
      <w:r>
        <w:rPr>
          <w:rFonts w:hint="eastAsia" w:ascii="方正仿宋_GB18030" w:hAnsi="方正仿宋_GB18030" w:eastAsia="方正仿宋_GB18030" w:cs="方正仿宋_GB18030"/>
          <w:color w:val="000000"/>
          <w:kern w:val="0"/>
          <w:sz w:val="24"/>
          <w:szCs w:val="24"/>
        </w:rPr>
        <w:t>。</w:t>
      </w:r>
    </w:p>
    <w:p w14:paraId="5E6B791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967" w:name="_Hlk105682413"/>
      <w:r>
        <w:rPr>
          <w:rFonts w:hint="eastAsia" w:ascii="方正仿宋_GB18030" w:hAnsi="方正仿宋_GB18030" w:eastAsia="方正仿宋_GB18030" w:cs="方正仿宋_GB18030"/>
          <w:color w:val="000000"/>
          <w:kern w:val="0"/>
          <w:sz w:val="24"/>
          <w:szCs w:val="24"/>
        </w:rPr>
        <w:t>发包人完成竣工付款的期限：</w:t>
      </w:r>
      <w:r>
        <w:rPr>
          <w:rFonts w:hint="eastAsia" w:ascii="方正仿宋_GB18030" w:hAnsi="方正仿宋_GB18030" w:eastAsia="方正仿宋_GB18030" w:cs="方正仿宋_GB18030"/>
          <w:color w:val="000000"/>
          <w:kern w:val="0"/>
          <w:sz w:val="24"/>
          <w:szCs w:val="24"/>
          <w:u w:val="single"/>
        </w:rPr>
        <w:t xml:space="preserve"> 发包人签发审核同意竣工申请28天内 </w:t>
      </w:r>
      <w:r>
        <w:rPr>
          <w:rFonts w:hint="eastAsia" w:ascii="方正仿宋_GB18030" w:hAnsi="方正仿宋_GB18030" w:eastAsia="方正仿宋_GB18030" w:cs="方正仿宋_GB18030"/>
          <w:color w:val="000000"/>
          <w:kern w:val="0"/>
          <w:sz w:val="24"/>
          <w:szCs w:val="24"/>
        </w:rPr>
        <w:t>。</w:t>
      </w:r>
    </w:p>
    <w:bookmarkEnd w:id="967"/>
    <w:p w14:paraId="1E67F6C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关于竣工付款证书异议部分复核的方式和程序：</w:t>
      </w:r>
      <w:r>
        <w:rPr>
          <w:rFonts w:hint="eastAsia" w:ascii="方正仿宋_GB18030" w:hAnsi="方正仿宋_GB18030" w:eastAsia="方正仿宋_GB18030" w:cs="方正仿宋_GB18030"/>
          <w:color w:val="000000"/>
          <w:kern w:val="0"/>
          <w:sz w:val="24"/>
          <w:szCs w:val="24"/>
          <w:u w:val="single"/>
        </w:rPr>
        <w:t>按通用条款执行</w:t>
      </w:r>
      <w:r>
        <w:rPr>
          <w:rFonts w:hint="eastAsia" w:ascii="方正仿宋_GB18030" w:hAnsi="方正仿宋_GB18030" w:eastAsia="方正仿宋_GB18030" w:cs="方正仿宋_GB18030"/>
          <w:color w:val="000000"/>
          <w:kern w:val="0"/>
          <w:sz w:val="24"/>
          <w:szCs w:val="24"/>
        </w:rPr>
        <w:t>。</w:t>
      </w:r>
    </w:p>
    <w:p w14:paraId="2C1A9F5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14.4 最终结清</w:t>
      </w:r>
    </w:p>
    <w:p w14:paraId="7D81203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14.4.1 最终结清申请单</w:t>
      </w:r>
    </w:p>
    <w:p w14:paraId="629E85E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承包人提交最终结清申请单的份数：</w:t>
      </w:r>
      <w:r>
        <w:rPr>
          <w:rFonts w:hint="eastAsia" w:ascii="方正仿宋_GB18030" w:hAnsi="方正仿宋_GB18030" w:eastAsia="方正仿宋_GB18030" w:cs="方正仿宋_GB18030"/>
          <w:color w:val="000000"/>
          <w:kern w:val="0"/>
          <w:sz w:val="24"/>
          <w:szCs w:val="24"/>
          <w:u w:val="single"/>
        </w:rPr>
        <w:t xml:space="preserve">  贰份   </w:t>
      </w:r>
      <w:r>
        <w:rPr>
          <w:rFonts w:hint="eastAsia" w:ascii="方正仿宋_GB18030" w:hAnsi="方正仿宋_GB18030" w:eastAsia="方正仿宋_GB18030" w:cs="方正仿宋_GB18030"/>
          <w:color w:val="000000"/>
          <w:kern w:val="0"/>
          <w:sz w:val="24"/>
          <w:szCs w:val="24"/>
        </w:rPr>
        <w:t>。</w:t>
      </w:r>
    </w:p>
    <w:p w14:paraId="2F22924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承包人提交最终结算申请单的期限：</w:t>
      </w:r>
      <w:r>
        <w:rPr>
          <w:rFonts w:hint="eastAsia" w:ascii="方正仿宋_GB18030" w:hAnsi="方正仿宋_GB18030" w:eastAsia="方正仿宋_GB18030" w:cs="方正仿宋_GB18030"/>
          <w:color w:val="000000"/>
          <w:kern w:val="0"/>
          <w:sz w:val="24"/>
          <w:szCs w:val="24"/>
          <w:u w:val="single"/>
        </w:rPr>
        <w:t>结算审核完成且质保期满</w:t>
      </w:r>
      <w:r>
        <w:rPr>
          <w:rFonts w:hint="eastAsia" w:ascii="方正仿宋_GB18030" w:hAnsi="方正仿宋_GB18030" w:eastAsia="方正仿宋_GB18030" w:cs="方正仿宋_GB18030"/>
          <w:color w:val="000000"/>
          <w:kern w:val="0"/>
          <w:sz w:val="24"/>
          <w:szCs w:val="24"/>
        </w:rPr>
        <w:t xml:space="preserve">。 </w:t>
      </w:r>
    </w:p>
    <w:p w14:paraId="23F2CF0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14.4.2 最终结清证书和支付</w:t>
      </w:r>
    </w:p>
    <w:p w14:paraId="0C3C260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（1）发包人完成最终结清申请单的审批并颁发最终结清证书的期限：</w:t>
      </w:r>
      <w:r>
        <w:rPr>
          <w:rFonts w:hint="eastAsia" w:ascii="方正仿宋_GB18030" w:hAnsi="方正仿宋_GB18030" w:eastAsia="方正仿宋_GB18030" w:cs="方正仿宋_GB18030"/>
          <w:color w:val="000000"/>
          <w:kern w:val="0"/>
          <w:sz w:val="24"/>
          <w:szCs w:val="24"/>
          <w:u w:val="single"/>
        </w:rPr>
        <w:t xml:space="preserve"> 收到最终结算资料，并出具结算报告后7天 </w:t>
      </w:r>
      <w:r>
        <w:rPr>
          <w:rFonts w:hint="eastAsia" w:ascii="方正仿宋_GB18030" w:hAnsi="方正仿宋_GB18030" w:eastAsia="方正仿宋_GB18030" w:cs="方正仿宋_GB18030"/>
          <w:color w:val="000000"/>
          <w:kern w:val="0"/>
          <w:sz w:val="24"/>
          <w:szCs w:val="24"/>
        </w:rPr>
        <w:t>。</w:t>
      </w:r>
    </w:p>
    <w:p w14:paraId="42140B1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（2）发包人完成支付的期限：</w:t>
      </w:r>
      <w:bookmarkStart w:id="968" w:name="_Hlk105682474"/>
      <w:r>
        <w:rPr>
          <w:rFonts w:hint="eastAsia" w:ascii="方正仿宋_GB18030" w:hAnsi="方正仿宋_GB18030" w:eastAsia="方正仿宋_GB18030" w:cs="方正仿宋_GB18030"/>
          <w:color w:val="000000"/>
          <w:kern w:val="0"/>
          <w:sz w:val="24"/>
          <w:szCs w:val="24"/>
        </w:rPr>
        <w:t>发包人签发</w:t>
      </w:r>
      <w:r>
        <w:rPr>
          <w:rFonts w:hint="eastAsia" w:ascii="方正仿宋_GB18030" w:hAnsi="方正仿宋_GB18030" w:eastAsia="方正仿宋_GB18030" w:cs="方正仿宋_GB18030"/>
          <w:color w:val="000000"/>
          <w:kern w:val="0"/>
          <w:sz w:val="24"/>
          <w:szCs w:val="24"/>
          <w:u w:val="single"/>
        </w:rPr>
        <w:t>申请后30天内</w:t>
      </w:r>
      <w:bookmarkEnd w:id="968"/>
      <w:r>
        <w:rPr>
          <w:rFonts w:hint="eastAsia" w:ascii="方正仿宋_GB18030" w:hAnsi="方正仿宋_GB18030" w:eastAsia="方正仿宋_GB18030" w:cs="方正仿宋_GB18030"/>
          <w:color w:val="000000"/>
          <w:kern w:val="0"/>
          <w:sz w:val="24"/>
          <w:szCs w:val="24"/>
        </w:rPr>
        <w:t>。</w:t>
      </w:r>
    </w:p>
    <w:p w14:paraId="3DC22FD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14.5 最终结清</w:t>
      </w:r>
    </w:p>
    <w:p w14:paraId="7114ADD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lang w:eastAsia="zh-CN"/>
        </w:rPr>
      </w:pPr>
      <w:r>
        <w:rPr>
          <w:rFonts w:hint="eastAsia" w:ascii="方正仿宋_GB18030" w:hAnsi="方正仿宋_GB18030" w:eastAsia="方正仿宋_GB18030" w:cs="方正仿宋_GB18030"/>
          <w:color w:val="000000"/>
          <w:kern w:val="0"/>
          <w:sz w:val="24"/>
          <w:szCs w:val="24"/>
          <w:u w:val="single"/>
        </w:rPr>
        <w:t>结算总价=分部分项工程量清单综合单价×实际完成工程量＋措施项目费＋安全文明施工措施费＋规费＋设计变更、招标工程量清单漏项或新增项目价款＋合同约定其它费用＋税金+其他项目费</w:t>
      </w:r>
      <w:r>
        <w:rPr>
          <w:rFonts w:hint="eastAsia" w:ascii="方正仿宋_GB18030" w:hAnsi="方正仿宋_GB18030" w:eastAsia="方正仿宋_GB18030" w:cs="方正仿宋_GB18030"/>
          <w:color w:val="000000"/>
          <w:kern w:val="0"/>
          <w:sz w:val="24"/>
          <w:szCs w:val="24"/>
        </w:rPr>
        <w:t>。</w:t>
      </w:r>
    </w:p>
    <w:p w14:paraId="720C3A5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lang w:eastAsia="zh-CN"/>
        </w:rPr>
      </w:pPr>
      <w:r>
        <w:rPr>
          <w:rFonts w:hint="eastAsia" w:ascii="方正仿宋_GB18030" w:hAnsi="方正仿宋_GB18030" w:eastAsia="方正仿宋_GB18030" w:cs="方正仿宋_GB18030"/>
          <w:color w:val="000000"/>
          <w:kern w:val="0"/>
          <w:sz w:val="24"/>
          <w:szCs w:val="24"/>
        </w:rPr>
        <w:t>（1）规费和税金按实结算；</w:t>
      </w:r>
    </w:p>
    <w:p w14:paraId="310D4A7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lang w:eastAsia="zh-CN"/>
        </w:rPr>
      </w:pPr>
      <w:r>
        <w:rPr>
          <w:rFonts w:hint="eastAsia" w:ascii="方正仿宋_GB18030" w:hAnsi="方正仿宋_GB18030" w:eastAsia="方正仿宋_GB18030" w:cs="方正仿宋_GB18030"/>
          <w:color w:val="000000"/>
          <w:kern w:val="0"/>
          <w:sz w:val="24"/>
          <w:szCs w:val="24"/>
        </w:rPr>
        <w:t>（2）安全文明施工专项费用按《重庆市建设工程费用定额》（CQFYDE-2018）、《重庆市关于调整建设施工现场形象品质提升安全文明施工费计取的通知》渝建管[2020]97号规定进行结算，标准和要求按渝建发【2014】25 号文、《关于适用增值税新税率调整建设工程计价依据的通知》（渝建[2019]143 号）规定执行安全文明综合评定结果为不合格，不予计取；</w:t>
      </w:r>
    </w:p>
    <w:p w14:paraId="18DD1CE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lang w:eastAsia="zh-CN"/>
        </w:rPr>
      </w:pPr>
      <w:r>
        <w:rPr>
          <w:rFonts w:hint="eastAsia" w:ascii="方正仿宋_GB18030" w:hAnsi="方正仿宋_GB18030" w:eastAsia="方正仿宋_GB18030" w:cs="方正仿宋_GB18030"/>
          <w:color w:val="000000"/>
          <w:kern w:val="0"/>
          <w:sz w:val="24"/>
          <w:szCs w:val="24"/>
        </w:rPr>
        <w:t>（3）分部分项工程量清单综合单价包干使用，不因任何原因而调整；</w:t>
      </w:r>
    </w:p>
    <w:p w14:paraId="6937482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lang w:eastAsia="zh-CN"/>
        </w:rPr>
      </w:pPr>
      <w:r>
        <w:rPr>
          <w:rFonts w:hint="eastAsia" w:ascii="方正仿宋_GB18030" w:hAnsi="方正仿宋_GB18030" w:eastAsia="方正仿宋_GB18030" w:cs="方正仿宋_GB18030"/>
          <w:color w:val="000000"/>
          <w:kern w:val="0"/>
          <w:sz w:val="24"/>
          <w:szCs w:val="24"/>
        </w:rPr>
        <w:t>（4）措施费包干使用，按投标报价结算。</w:t>
      </w:r>
    </w:p>
    <w:p w14:paraId="41E1D8C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lang w:eastAsia="zh-CN"/>
        </w:rPr>
      </w:pPr>
      <w:r>
        <w:rPr>
          <w:rFonts w:hint="eastAsia" w:ascii="方正仿宋_GB18030" w:hAnsi="方正仿宋_GB18030" w:eastAsia="方正仿宋_GB18030" w:cs="方正仿宋_GB18030"/>
          <w:color w:val="000000"/>
          <w:kern w:val="0"/>
          <w:sz w:val="24"/>
          <w:szCs w:val="24"/>
        </w:rPr>
        <w:t>（5）施工过程中发生工程变更（须经发包人认可的变更），以发包人、监理工程师按照《建设工程工程量清单计价规范》共同认可的尺寸、断面计算，并按以下办法计价：</w:t>
      </w:r>
    </w:p>
    <w:p w14:paraId="3BFFE393">
      <w:pPr>
        <w:spacing w:line="440" w:lineRule="exact"/>
        <w:ind w:firstLine="480" w:firstLineChars="200"/>
        <w:jc w:val="left"/>
        <w:rPr>
          <w:rFonts w:hint="eastAsia" w:ascii="方正仿宋_GB18030" w:hAnsi="方正仿宋_GB18030" w:eastAsia="方正仿宋_GB18030" w:cs="方正仿宋_GB18030"/>
          <w:kern w:val="0"/>
          <w:sz w:val="24"/>
          <w:szCs w:val="24"/>
          <w:lang w:eastAsia="zh-CN"/>
        </w:rPr>
      </w:pPr>
      <w:r>
        <w:rPr>
          <w:rFonts w:hint="eastAsia" w:ascii="方正仿宋_GB18030" w:hAnsi="方正仿宋_GB18030" w:eastAsia="方正仿宋_GB18030" w:cs="方正仿宋_GB18030"/>
          <w:color w:val="000000"/>
          <w:kern w:val="0"/>
          <w:sz w:val="24"/>
          <w:szCs w:val="24"/>
        </w:rPr>
        <w:t xml:space="preserve">  </w:t>
      </w:r>
      <w:r>
        <w:rPr>
          <w:rFonts w:hint="eastAsia" w:ascii="方正仿宋_GB18030" w:hAnsi="方正仿宋_GB18030" w:eastAsia="方正仿宋_GB18030" w:cs="方正仿宋_GB18030"/>
          <w:kern w:val="0"/>
          <w:sz w:val="24"/>
          <w:szCs w:val="24"/>
        </w:rPr>
        <w:t xml:space="preserve"> ①</w:t>
      </w:r>
      <w:r>
        <w:rPr>
          <w:rFonts w:hint="eastAsia" w:ascii="方正仿宋_GB18030" w:hAnsi="方正仿宋_GB18030" w:eastAsia="方正仿宋_GB18030" w:cs="方正仿宋_GB18030"/>
          <w:kern w:val="0"/>
          <w:sz w:val="24"/>
          <w:szCs w:val="24"/>
          <w:u w:val="single"/>
        </w:rPr>
        <w:t>投标报价中工程量清单中已有的项目，按该项工程量清单单价计算</w:t>
      </w:r>
      <w:r>
        <w:rPr>
          <w:rFonts w:hint="eastAsia" w:ascii="方正仿宋_GB18030" w:hAnsi="方正仿宋_GB18030" w:eastAsia="方正仿宋_GB18030" w:cs="方正仿宋_GB18030"/>
          <w:kern w:val="0"/>
          <w:sz w:val="24"/>
          <w:szCs w:val="24"/>
        </w:rPr>
        <w:t>；</w:t>
      </w:r>
    </w:p>
    <w:p w14:paraId="2E3FC69B">
      <w:pPr>
        <w:spacing w:line="440" w:lineRule="exact"/>
        <w:ind w:firstLine="480" w:firstLineChars="200"/>
        <w:jc w:val="left"/>
        <w:rPr>
          <w:rFonts w:hint="eastAsia" w:ascii="方正仿宋_GB18030" w:hAnsi="方正仿宋_GB18030" w:eastAsia="方正仿宋_GB18030" w:cs="方正仿宋_GB18030"/>
          <w:kern w:val="0"/>
          <w:sz w:val="24"/>
          <w:szCs w:val="24"/>
          <w:lang w:eastAsia="zh-CN"/>
        </w:rPr>
      </w:pPr>
      <w:r>
        <w:rPr>
          <w:rFonts w:hint="eastAsia" w:ascii="方正仿宋_GB18030" w:hAnsi="方正仿宋_GB18030" w:eastAsia="方正仿宋_GB18030" w:cs="方正仿宋_GB18030"/>
          <w:kern w:val="0"/>
          <w:sz w:val="24"/>
          <w:szCs w:val="24"/>
        </w:rPr>
        <w:t xml:space="preserve">   ②</w:t>
      </w:r>
      <w:r>
        <w:rPr>
          <w:rFonts w:hint="eastAsia" w:ascii="方正仿宋_GB18030" w:hAnsi="方正仿宋_GB18030" w:eastAsia="方正仿宋_GB18030" w:cs="方正仿宋_GB18030"/>
          <w:kern w:val="0"/>
          <w:sz w:val="24"/>
          <w:szCs w:val="24"/>
          <w:u w:val="single"/>
        </w:rPr>
        <w:t>投标报价中已有类似的工程项目，可参考其单价和价格计算</w:t>
      </w:r>
      <w:r>
        <w:rPr>
          <w:rFonts w:hint="eastAsia" w:ascii="方正仿宋_GB18030" w:hAnsi="方正仿宋_GB18030" w:eastAsia="方正仿宋_GB18030" w:cs="方正仿宋_GB18030"/>
          <w:kern w:val="0"/>
          <w:sz w:val="24"/>
          <w:szCs w:val="24"/>
        </w:rPr>
        <w:t>；</w:t>
      </w:r>
    </w:p>
    <w:p w14:paraId="4D35E498">
      <w:pPr>
        <w:spacing w:line="44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 xml:space="preserve">   ③</w:t>
      </w:r>
      <w:r>
        <w:rPr>
          <w:rFonts w:hint="eastAsia" w:ascii="方正仿宋_GB18030" w:hAnsi="方正仿宋_GB18030" w:eastAsia="方正仿宋_GB18030" w:cs="方正仿宋_GB18030"/>
          <w:kern w:val="0"/>
          <w:sz w:val="24"/>
          <w:szCs w:val="24"/>
          <w:u w:val="single"/>
        </w:rPr>
        <w:t>投标报价中工程量清单中没有适用或类似的工程项目，则按《建设工程工程量清单计价规范》（GB50500-2013）、《重庆市建设工程工程量清单计价规则》CQJJGZ-2013、《重庆市建设工程工程量计算规则》（CQJLGZ—2013）、2018年《重庆市房屋建筑与装饰工程计价定额》、《重庆市通用安装工程计价定额》和《重庆市建设工程施工机械台班定额》、《重庆市建设工程施工仪器仪表台班定额》、《重庆市建设工程混凝土及砂浆配合比表》（渝建[2018]200号；2018年《重庆市建设工程费用定额》（渝建发〔2018〕29号 ）及相关配套文件。人工单价按</w:t>
      </w:r>
      <w:r>
        <w:rPr>
          <w:rFonts w:hint="eastAsia" w:ascii="方正仿宋_GB18030" w:hAnsi="方正仿宋_GB18030" w:eastAsia="方正仿宋_GB18030" w:cs="方正仿宋_GB18030"/>
          <w:color w:val="auto"/>
          <w:kern w:val="0"/>
          <w:sz w:val="24"/>
          <w:szCs w:val="24"/>
          <w:u w:val="single"/>
        </w:rPr>
        <w:t>定额计取，价差按《重庆工程造价信息》</w:t>
      </w:r>
      <w:r>
        <w:rPr>
          <w:rFonts w:hint="eastAsia" w:ascii="仿宋" w:hAnsi="仿宋" w:eastAsia="仿宋" w:cs="仿宋"/>
          <w:color w:val="auto"/>
          <w:kern w:val="2"/>
          <w:sz w:val="24"/>
          <w:szCs w:val="24"/>
          <w:highlight w:val="none"/>
          <w:u w:val="single"/>
          <w:lang w:val="en-US" w:eastAsia="zh-CN" w:bidi="ar-SA"/>
        </w:rPr>
        <w:t>投标同期</w:t>
      </w:r>
      <w:r>
        <w:rPr>
          <w:rFonts w:hint="eastAsia" w:ascii="方正仿宋_GB18030" w:hAnsi="方正仿宋_GB18030" w:eastAsia="方正仿宋_GB18030" w:cs="方正仿宋_GB18030"/>
          <w:color w:val="auto"/>
          <w:kern w:val="0"/>
          <w:sz w:val="24"/>
          <w:szCs w:val="24"/>
          <w:u w:val="single"/>
        </w:rPr>
        <w:t>进行调整。</w:t>
      </w:r>
      <w:r>
        <w:rPr>
          <w:rFonts w:hint="eastAsia" w:ascii="方正仿宋_GB18030" w:hAnsi="方正仿宋_GB18030" w:eastAsia="方正仿宋_GB18030" w:cs="方正仿宋_GB18030"/>
          <w:kern w:val="0"/>
          <w:sz w:val="24"/>
          <w:szCs w:val="24"/>
          <w:u w:val="single"/>
        </w:rPr>
        <w:t>材料价格按《重庆工程造价信息》投标同期不含税价及市场价进行调整</w:t>
      </w:r>
      <w:r>
        <w:rPr>
          <w:rFonts w:hint="eastAsia" w:ascii="方正仿宋_GB18030" w:hAnsi="方正仿宋_GB18030" w:eastAsia="方正仿宋_GB18030" w:cs="方正仿宋_GB18030"/>
          <w:kern w:val="0"/>
          <w:sz w:val="24"/>
          <w:szCs w:val="24"/>
        </w:rPr>
        <w:t>。</w:t>
      </w:r>
    </w:p>
    <w:p w14:paraId="25F6A19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3、本工程的综合单价按投标文件中的综合单价执行，最终结算价以审计单位审核为准。</w:t>
      </w:r>
    </w:p>
    <w:bookmarkEnd w:id="953"/>
    <w:bookmarkEnd w:id="954"/>
    <w:bookmarkEnd w:id="955"/>
    <w:bookmarkEnd w:id="956"/>
    <w:bookmarkEnd w:id="957"/>
    <w:bookmarkEnd w:id="958"/>
    <w:bookmarkEnd w:id="959"/>
    <w:bookmarkEnd w:id="965"/>
    <w:p w14:paraId="1538880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969" w:name="_Toc351203647"/>
      <w:bookmarkStart w:id="970" w:name="_Toc267251483"/>
      <w:bookmarkStart w:id="971" w:name="_Toc267251484"/>
      <w:bookmarkStart w:id="972" w:name="_Toc267251482"/>
      <w:bookmarkStart w:id="973" w:name="_Toc267251485"/>
      <w:bookmarkStart w:id="974" w:name="_Toc267251489"/>
      <w:bookmarkStart w:id="975" w:name="_Toc267251490"/>
      <w:bookmarkStart w:id="976" w:name="_Toc267251486"/>
      <w:bookmarkStart w:id="977" w:name="_Toc267251488"/>
      <w:bookmarkStart w:id="978" w:name="_Toc267251498"/>
      <w:bookmarkStart w:id="979" w:name="_Toc267251495"/>
      <w:bookmarkStart w:id="980" w:name="_Toc267251496"/>
      <w:bookmarkStart w:id="981" w:name="_Toc267251499"/>
      <w:bookmarkStart w:id="982" w:name="_Toc267251493"/>
      <w:bookmarkStart w:id="983" w:name="_Toc267251492"/>
      <w:bookmarkStart w:id="984" w:name="_Toc267251497"/>
      <w:bookmarkStart w:id="985" w:name="_Toc267251491"/>
      <w:bookmarkStart w:id="986" w:name="_Toc267251501"/>
      <w:bookmarkStart w:id="987" w:name="_Toc267251502"/>
      <w:bookmarkStart w:id="988" w:name="_Toc267251503"/>
      <w:bookmarkStart w:id="989" w:name="_Toc267251494"/>
      <w:bookmarkStart w:id="990" w:name="_Toc267251504"/>
      <w:bookmarkStart w:id="991" w:name="_Toc267251506"/>
      <w:bookmarkStart w:id="992" w:name="_Toc267251507"/>
      <w:bookmarkStart w:id="993" w:name="_Toc267251508"/>
      <w:bookmarkStart w:id="994" w:name="_Toc267251510"/>
      <w:bookmarkStart w:id="995" w:name="_Toc267251514"/>
      <w:bookmarkStart w:id="996" w:name="_Toc267251509"/>
      <w:bookmarkStart w:id="997" w:name="_Toc267251513"/>
      <w:bookmarkStart w:id="998" w:name="_Toc267251511"/>
      <w:bookmarkStart w:id="999" w:name="_Toc267251515"/>
      <w:r>
        <w:rPr>
          <w:rFonts w:hint="eastAsia" w:ascii="方正仿宋_GB18030" w:hAnsi="方正仿宋_GB18030" w:eastAsia="方正仿宋_GB18030" w:cs="方正仿宋_GB18030"/>
          <w:color w:val="000000"/>
          <w:kern w:val="0"/>
          <w:sz w:val="24"/>
          <w:szCs w:val="24"/>
        </w:rPr>
        <w:t>15. 缺陷责任期与保修</w:t>
      </w:r>
      <w:bookmarkEnd w:id="969"/>
    </w:p>
    <w:p w14:paraId="68761BF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15.2缺陷责任期</w:t>
      </w:r>
      <w:bookmarkEnd w:id="970"/>
    </w:p>
    <w:p w14:paraId="1D460A4D">
      <w:pPr>
        <w:spacing w:line="440" w:lineRule="exact"/>
        <w:ind w:firstLine="480" w:firstLineChars="200"/>
        <w:jc w:val="left"/>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缺陷责任期的具体期限：</w:t>
      </w:r>
      <w:r>
        <w:rPr>
          <w:rFonts w:hint="eastAsia" w:ascii="方正仿宋_GB18030" w:hAnsi="方正仿宋_GB18030" w:eastAsia="方正仿宋_GB18030" w:cs="方正仿宋_GB18030"/>
          <w:color w:val="auto"/>
          <w:sz w:val="24"/>
          <w:szCs w:val="24"/>
          <w:u w:val="single"/>
        </w:rPr>
        <w:t xml:space="preserve"> 12个月</w:t>
      </w:r>
      <w:r>
        <w:rPr>
          <w:rFonts w:hint="eastAsia" w:ascii="方正仿宋_GB18030" w:hAnsi="方正仿宋_GB18030" w:eastAsia="方正仿宋_GB18030" w:cs="方正仿宋_GB18030"/>
          <w:color w:val="000000"/>
          <w:sz w:val="24"/>
          <w:szCs w:val="24"/>
        </w:rPr>
        <w:t>。</w:t>
      </w:r>
    </w:p>
    <w:p w14:paraId="3F3B37A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15.3 质量保证金</w:t>
      </w:r>
    </w:p>
    <w:p w14:paraId="5EB57A4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关于是否扣留质量保证金的约定：</w:t>
      </w:r>
      <w:r>
        <w:rPr>
          <w:rFonts w:hint="eastAsia" w:ascii="方正仿宋_GB18030" w:hAnsi="方正仿宋_GB18030" w:eastAsia="方正仿宋_GB18030" w:cs="方正仿宋_GB18030"/>
          <w:color w:val="000000"/>
          <w:kern w:val="0"/>
          <w:sz w:val="24"/>
          <w:szCs w:val="24"/>
          <w:u w:val="single"/>
        </w:rPr>
        <w:t xml:space="preserve">   是  </w:t>
      </w:r>
      <w:r>
        <w:rPr>
          <w:rFonts w:hint="eastAsia" w:ascii="方正仿宋_GB18030" w:hAnsi="方正仿宋_GB18030" w:eastAsia="方正仿宋_GB18030" w:cs="方正仿宋_GB18030"/>
          <w:color w:val="000000"/>
          <w:kern w:val="0"/>
          <w:sz w:val="24"/>
          <w:szCs w:val="24"/>
        </w:rPr>
        <w:t>。在工程项目竣工前，承包人按专用合同条款第3.7条提供履约担保的，发包人不得同时预留工程质量保证金。</w:t>
      </w:r>
    </w:p>
    <w:p w14:paraId="5E2472B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15.3.1 </w:t>
      </w:r>
      <w:bookmarkStart w:id="1000" w:name="_Hlk105682914"/>
      <w:r>
        <w:rPr>
          <w:rFonts w:hint="eastAsia" w:ascii="方正仿宋_GB18030" w:hAnsi="方正仿宋_GB18030" w:eastAsia="方正仿宋_GB18030" w:cs="方正仿宋_GB18030"/>
          <w:color w:val="000000"/>
          <w:kern w:val="0"/>
          <w:sz w:val="24"/>
          <w:szCs w:val="24"/>
        </w:rPr>
        <w:t>承包人提供质量保证金的方式</w:t>
      </w:r>
      <w:bookmarkEnd w:id="1000"/>
    </w:p>
    <w:p w14:paraId="060D2A7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001" w:name="_Hlk105682977"/>
      <w:r>
        <w:rPr>
          <w:rFonts w:hint="eastAsia" w:ascii="方正仿宋_GB18030" w:hAnsi="方正仿宋_GB18030" w:eastAsia="方正仿宋_GB18030" w:cs="方正仿宋_GB18030"/>
          <w:color w:val="000000"/>
          <w:kern w:val="0"/>
          <w:sz w:val="24"/>
          <w:szCs w:val="24"/>
        </w:rPr>
        <w:t>质量保证金</w:t>
      </w:r>
      <w:bookmarkEnd w:id="1001"/>
      <w:bookmarkStart w:id="1002" w:name="_Hlk105682985"/>
      <w:r>
        <w:rPr>
          <w:rFonts w:hint="eastAsia" w:ascii="方正仿宋_GB18030" w:hAnsi="方正仿宋_GB18030" w:eastAsia="方正仿宋_GB18030" w:cs="方正仿宋_GB18030"/>
          <w:color w:val="000000"/>
          <w:kern w:val="0"/>
          <w:sz w:val="24"/>
          <w:szCs w:val="24"/>
        </w:rPr>
        <w:t>采用</w:t>
      </w:r>
      <w:bookmarkEnd w:id="1002"/>
      <w:r>
        <w:rPr>
          <w:rFonts w:hint="eastAsia" w:ascii="方正仿宋_GB18030" w:hAnsi="方正仿宋_GB18030" w:eastAsia="方正仿宋_GB18030" w:cs="方正仿宋_GB18030"/>
          <w:color w:val="000000"/>
          <w:kern w:val="0"/>
          <w:sz w:val="24"/>
          <w:szCs w:val="24"/>
        </w:rPr>
        <w:t xml:space="preserve">以下第 </w:t>
      </w:r>
      <w:r>
        <w:rPr>
          <w:rFonts w:hint="eastAsia" w:ascii="方正仿宋_GB18030" w:hAnsi="方正仿宋_GB18030" w:eastAsia="方正仿宋_GB18030" w:cs="方正仿宋_GB18030"/>
          <w:color w:val="000000"/>
          <w:kern w:val="0"/>
          <w:sz w:val="24"/>
          <w:szCs w:val="24"/>
          <w:u w:val="single"/>
        </w:rPr>
        <w:t xml:space="preserve"> 2  </w:t>
      </w:r>
      <w:r>
        <w:rPr>
          <w:rFonts w:hint="eastAsia" w:ascii="方正仿宋_GB18030" w:hAnsi="方正仿宋_GB18030" w:eastAsia="方正仿宋_GB18030" w:cs="方正仿宋_GB18030"/>
          <w:color w:val="000000"/>
          <w:kern w:val="0"/>
          <w:sz w:val="24"/>
          <w:szCs w:val="24"/>
        </w:rPr>
        <w:t xml:space="preserve"> 种</w:t>
      </w:r>
      <w:bookmarkStart w:id="1003" w:name="_Hlk105682995"/>
      <w:r>
        <w:rPr>
          <w:rFonts w:hint="eastAsia" w:ascii="方正仿宋_GB18030" w:hAnsi="方正仿宋_GB18030" w:eastAsia="方正仿宋_GB18030" w:cs="方正仿宋_GB18030"/>
          <w:color w:val="000000"/>
          <w:kern w:val="0"/>
          <w:sz w:val="24"/>
          <w:szCs w:val="24"/>
        </w:rPr>
        <w:t>方式</w:t>
      </w:r>
      <w:bookmarkEnd w:id="1003"/>
      <w:r>
        <w:rPr>
          <w:rFonts w:hint="eastAsia" w:ascii="方正仿宋_GB18030" w:hAnsi="方正仿宋_GB18030" w:eastAsia="方正仿宋_GB18030" w:cs="方正仿宋_GB18030"/>
          <w:color w:val="000000"/>
          <w:kern w:val="0"/>
          <w:sz w:val="24"/>
          <w:szCs w:val="24"/>
        </w:rPr>
        <w:t>：</w:t>
      </w:r>
    </w:p>
    <w:p w14:paraId="733EE46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（1）质量保证金保函，保证金额为：</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 xml:space="preserve">； </w:t>
      </w:r>
    </w:p>
    <w:p w14:paraId="18FD1AE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w:t>
      </w:r>
      <w:bookmarkStart w:id="1004" w:name="_Hlk105682695"/>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u w:val="single"/>
          <w:lang w:val="en-US" w:eastAsia="zh-CN"/>
        </w:rPr>
        <w:t>3</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%的工程款</w:t>
      </w:r>
      <w:bookmarkEnd w:id="1004"/>
      <w:r>
        <w:rPr>
          <w:rFonts w:hint="eastAsia" w:ascii="方正仿宋_GB18030" w:hAnsi="方正仿宋_GB18030" w:eastAsia="方正仿宋_GB18030" w:cs="方正仿宋_GB18030"/>
          <w:color w:val="000000"/>
          <w:kern w:val="0"/>
          <w:sz w:val="24"/>
          <w:szCs w:val="24"/>
        </w:rPr>
        <w:t>；</w:t>
      </w:r>
    </w:p>
    <w:p w14:paraId="28D842E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（3）其他方式: </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54FA7B4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15.3.2 质量保证金的扣留 </w:t>
      </w:r>
    </w:p>
    <w:p w14:paraId="197BB70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质量保证金的扣留采取以下第 </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auto"/>
          <w:kern w:val="0"/>
          <w:sz w:val="24"/>
          <w:szCs w:val="24"/>
          <w:u w:val="single"/>
        </w:rPr>
        <w:t xml:space="preserve"> 2  </w:t>
      </w:r>
      <w:r>
        <w:rPr>
          <w:rFonts w:hint="eastAsia" w:ascii="方正仿宋_GB18030" w:hAnsi="方正仿宋_GB18030" w:eastAsia="方正仿宋_GB18030" w:cs="方正仿宋_GB18030"/>
          <w:color w:val="000000"/>
          <w:kern w:val="0"/>
          <w:sz w:val="24"/>
          <w:szCs w:val="24"/>
        </w:rPr>
        <w:t>种方式：</w:t>
      </w:r>
    </w:p>
    <w:p w14:paraId="45B3C05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（1）在支付工程进度款时逐次扣留，在此情形下，质量保证金的计算基数不包括预付款的支付、扣回以及价格调整的金额；</w:t>
      </w:r>
    </w:p>
    <w:p w14:paraId="6357E24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（2）工程竣工结算时一次性扣留质量保证金；</w:t>
      </w:r>
    </w:p>
    <w:p w14:paraId="44C49BA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（3）其他扣留方式:</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498DABF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关于质量保证金的补充约定：</w:t>
      </w:r>
      <w:r>
        <w:rPr>
          <w:rFonts w:hint="eastAsia" w:ascii="方正仿宋_GB18030" w:hAnsi="方正仿宋_GB18030" w:eastAsia="方正仿宋_GB18030" w:cs="方正仿宋_GB18030"/>
          <w:color w:val="000000"/>
          <w:kern w:val="0"/>
          <w:sz w:val="24"/>
          <w:szCs w:val="24"/>
          <w:u w:val="single"/>
        </w:rPr>
        <w:t>竣工完成后且缺陷责任期满后，经检查无质量问题，无息返还质量保证金</w:t>
      </w:r>
      <w:r>
        <w:rPr>
          <w:rFonts w:hint="eastAsia" w:ascii="方正仿宋_GB18030" w:hAnsi="方正仿宋_GB18030" w:eastAsia="方正仿宋_GB18030" w:cs="方正仿宋_GB18030"/>
          <w:color w:val="000000"/>
          <w:kern w:val="0"/>
          <w:sz w:val="24"/>
          <w:szCs w:val="24"/>
        </w:rPr>
        <w:t>。</w:t>
      </w:r>
    </w:p>
    <w:bookmarkEnd w:id="971"/>
    <w:bookmarkEnd w:id="972"/>
    <w:p w14:paraId="3E0F79B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15.4保修</w:t>
      </w:r>
    </w:p>
    <w:bookmarkEnd w:id="973"/>
    <w:p w14:paraId="041F8AE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15.4.1 保修责任</w:t>
      </w:r>
    </w:p>
    <w:p w14:paraId="6697758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工程保修期为：详见《</w:t>
      </w:r>
      <w:r>
        <w:rPr>
          <w:rFonts w:hint="eastAsia" w:ascii="方正仿宋_GB18030" w:hAnsi="方正仿宋_GB18030" w:eastAsia="方正仿宋_GB18030" w:cs="方正仿宋_GB18030"/>
          <w:color w:val="000000"/>
          <w:kern w:val="0"/>
          <w:sz w:val="24"/>
          <w:szCs w:val="24"/>
          <w:u w:val="single"/>
        </w:rPr>
        <w:t>工程质量保修书》</w:t>
      </w:r>
      <w:r>
        <w:rPr>
          <w:rFonts w:hint="eastAsia" w:ascii="方正仿宋_GB18030" w:hAnsi="方正仿宋_GB18030" w:eastAsia="方正仿宋_GB18030" w:cs="方正仿宋_GB18030"/>
          <w:color w:val="000000"/>
          <w:kern w:val="0"/>
          <w:sz w:val="24"/>
          <w:szCs w:val="24"/>
        </w:rPr>
        <w:t>。</w:t>
      </w:r>
    </w:p>
    <w:p w14:paraId="5465A6C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15.4.3 修复通知</w:t>
      </w:r>
    </w:p>
    <w:p w14:paraId="6877151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承包人收到保修通知并到达工程现场的合理时间：</w:t>
      </w:r>
      <w:r>
        <w:rPr>
          <w:rFonts w:hint="eastAsia" w:ascii="方正仿宋_GB18030" w:hAnsi="方正仿宋_GB18030" w:eastAsia="方正仿宋_GB18030" w:cs="方正仿宋_GB18030"/>
          <w:color w:val="000000"/>
          <w:kern w:val="0"/>
          <w:sz w:val="24"/>
          <w:szCs w:val="24"/>
          <w:u w:val="single"/>
        </w:rPr>
        <w:t>24小时内</w:t>
      </w:r>
      <w:r>
        <w:rPr>
          <w:rFonts w:hint="eastAsia" w:ascii="方正仿宋_GB18030" w:hAnsi="方正仿宋_GB18030" w:eastAsia="方正仿宋_GB18030" w:cs="方正仿宋_GB18030"/>
          <w:color w:val="000000"/>
          <w:kern w:val="0"/>
          <w:sz w:val="24"/>
          <w:szCs w:val="24"/>
        </w:rPr>
        <w:t>。</w:t>
      </w:r>
    </w:p>
    <w:bookmarkEnd w:id="974"/>
    <w:bookmarkEnd w:id="975"/>
    <w:bookmarkEnd w:id="976"/>
    <w:bookmarkEnd w:id="977"/>
    <w:p w14:paraId="3144573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005" w:name="_Toc351203648"/>
      <w:bookmarkStart w:id="1006" w:name="_Toc280868717"/>
      <w:bookmarkStart w:id="1007" w:name="_Toc280868718"/>
      <w:r>
        <w:rPr>
          <w:rFonts w:hint="eastAsia" w:ascii="方正仿宋_GB18030" w:hAnsi="方正仿宋_GB18030" w:eastAsia="方正仿宋_GB18030" w:cs="方正仿宋_GB18030"/>
          <w:color w:val="000000"/>
          <w:kern w:val="0"/>
          <w:sz w:val="24"/>
          <w:szCs w:val="24"/>
        </w:rPr>
        <w:t>16. 违约</w:t>
      </w:r>
      <w:bookmarkEnd w:id="1005"/>
    </w:p>
    <w:p w14:paraId="474590F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16.1 发包人违约</w:t>
      </w:r>
    </w:p>
    <w:p w14:paraId="2E51C6A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16.1.1发包人违约的情形</w:t>
      </w:r>
    </w:p>
    <w:p w14:paraId="26223BF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发包人违约的其他情形：</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4BB29DC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16.1.2 发包人违约的责任</w:t>
      </w:r>
    </w:p>
    <w:p w14:paraId="7B3D350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发包人违约责任的承担方式和计算方法：</w:t>
      </w:r>
    </w:p>
    <w:p w14:paraId="2D1F708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（1）因发包人原因未能在计划开工日期前7天内下达开工通知的违约责任：</w:t>
      </w:r>
      <w:r>
        <w:rPr>
          <w:rFonts w:hint="eastAsia" w:ascii="方正仿宋_GB18030" w:hAnsi="方正仿宋_GB18030" w:eastAsia="方正仿宋_GB18030" w:cs="方正仿宋_GB18030"/>
          <w:color w:val="000000"/>
          <w:kern w:val="0"/>
          <w:sz w:val="24"/>
          <w:szCs w:val="24"/>
          <w:u w:val="single"/>
        </w:rPr>
        <w:t xml:space="preserve"> 工期顺延 </w:t>
      </w:r>
      <w:r>
        <w:rPr>
          <w:rFonts w:hint="eastAsia" w:ascii="方正仿宋_GB18030" w:hAnsi="方正仿宋_GB18030" w:eastAsia="方正仿宋_GB18030" w:cs="方正仿宋_GB18030"/>
          <w:color w:val="000000"/>
          <w:kern w:val="0"/>
          <w:sz w:val="24"/>
          <w:szCs w:val="24"/>
        </w:rPr>
        <w:t>。</w:t>
      </w:r>
    </w:p>
    <w:p w14:paraId="61ED0A9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（2）因发包人原因未能按合同约定支付合同价款的违约责任：</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53DB8F2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（3）发包人违反第10.1款〔变更的范围〕第（2）项约定，自行实施被取消的工作或转由他人实施的违约责任：</w:t>
      </w:r>
      <w:r>
        <w:rPr>
          <w:rFonts w:hint="eastAsia" w:ascii="方正仿宋_GB18030" w:hAnsi="方正仿宋_GB18030" w:eastAsia="方正仿宋_GB18030" w:cs="方正仿宋_GB18030"/>
          <w:color w:val="000000"/>
          <w:kern w:val="0"/>
          <w:sz w:val="24"/>
          <w:szCs w:val="24"/>
          <w:u w:val="single"/>
        </w:rPr>
        <w:t>双方另行确定</w:t>
      </w:r>
      <w:r>
        <w:rPr>
          <w:rFonts w:hint="eastAsia" w:ascii="方正仿宋_GB18030" w:hAnsi="方正仿宋_GB18030" w:eastAsia="方正仿宋_GB18030" w:cs="方正仿宋_GB18030"/>
          <w:color w:val="000000"/>
          <w:kern w:val="0"/>
          <w:sz w:val="24"/>
          <w:szCs w:val="24"/>
        </w:rPr>
        <w:t>。</w:t>
      </w:r>
    </w:p>
    <w:p w14:paraId="6727A12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（4）发包人提供的材料、工程设备的规格、数量或质量不符合合同约定，或因发包人原因导致交货日期延误或交货地点变更等情况的违约责任：</w:t>
      </w:r>
      <w:r>
        <w:rPr>
          <w:rFonts w:hint="eastAsia" w:ascii="方正仿宋_GB18030" w:hAnsi="方正仿宋_GB18030" w:eastAsia="方正仿宋_GB18030" w:cs="方正仿宋_GB18030"/>
          <w:color w:val="000000"/>
          <w:kern w:val="0"/>
          <w:sz w:val="24"/>
          <w:szCs w:val="24"/>
          <w:u w:val="single"/>
        </w:rPr>
        <w:t>双方另行确定</w:t>
      </w:r>
      <w:r>
        <w:rPr>
          <w:rFonts w:hint="eastAsia" w:ascii="方正仿宋_GB18030" w:hAnsi="方正仿宋_GB18030" w:eastAsia="方正仿宋_GB18030" w:cs="方正仿宋_GB18030"/>
          <w:color w:val="000000"/>
          <w:kern w:val="0"/>
          <w:sz w:val="24"/>
          <w:szCs w:val="24"/>
        </w:rPr>
        <w:t>。</w:t>
      </w:r>
    </w:p>
    <w:p w14:paraId="2F42331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（5）因发包人违反合同约定造成暂停施工的违约责任：</w:t>
      </w:r>
      <w:r>
        <w:rPr>
          <w:rFonts w:hint="eastAsia" w:ascii="方正仿宋_GB18030" w:hAnsi="方正仿宋_GB18030" w:eastAsia="方正仿宋_GB18030" w:cs="方正仿宋_GB18030"/>
          <w:color w:val="000000"/>
          <w:kern w:val="0"/>
          <w:sz w:val="24"/>
          <w:szCs w:val="24"/>
          <w:u w:val="single"/>
        </w:rPr>
        <w:t xml:space="preserve">双方另行确定 </w:t>
      </w:r>
      <w:r>
        <w:rPr>
          <w:rFonts w:hint="eastAsia" w:ascii="方正仿宋_GB18030" w:hAnsi="方正仿宋_GB18030" w:eastAsia="方正仿宋_GB18030" w:cs="方正仿宋_GB18030"/>
          <w:color w:val="000000"/>
          <w:kern w:val="0"/>
          <w:sz w:val="24"/>
          <w:szCs w:val="24"/>
        </w:rPr>
        <w:t>。</w:t>
      </w:r>
    </w:p>
    <w:p w14:paraId="50F2F2C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（6）发包人无正当理由没有在约定期限内发出复工指示，导致承包人无法复工的违约责任：</w:t>
      </w:r>
      <w:r>
        <w:rPr>
          <w:rFonts w:hint="eastAsia" w:ascii="方正仿宋_GB18030" w:hAnsi="方正仿宋_GB18030" w:eastAsia="方正仿宋_GB18030" w:cs="方正仿宋_GB18030"/>
          <w:color w:val="000000"/>
          <w:kern w:val="0"/>
          <w:sz w:val="24"/>
          <w:szCs w:val="24"/>
          <w:u w:val="single"/>
        </w:rPr>
        <w:t>双方另行确定</w:t>
      </w:r>
      <w:r>
        <w:rPr>
          <w:rFonts w:hint="eastAsia" w:ascii="方正仿宋_GB18030" w:hAnsi="方正仿宋_GB18030" w:eastAsia="方正仿宋_GB18030" w:cs="方正仿宋_GB18030"/>
          <w:color w:val="000000"/>
          <w:kern w:val="0"/>
          <w:sz w:val="24"/>
          <w:szCs w:val="24"/>
        </w:rPr>
        <w:t>。</w:t>
      </w:r>
    </w:p>
    <w:p w14:paraId="20A40A0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（7）其他： </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3FA53BB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16.1.3 因发包人违约解除合同</w:t>
      </w:r>
    </w:p>
    <w:p w14:paraId="669731E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承包人按16.1.1项〔发包人违约的情形〕约定暂停施工满  </w:t>
      </w:r>
      <w:r>
        <w:rPr>
          <w:rFonts w:hint="eastAsia" w:ascii="方正仿宋_GB18030" w:hAnsi="方正仿宋_GB18030" w:eastAsia="方正仿宋_GB18030" w:cs="方正仿宋_GB18030"/>
          <w:color w:val="000000"/>
          <w:kern w:val="0"/>
          <w:sz w:val="24"/>
          <w:szCs w:val="24"/>
          <w:u w:val="single"/>
        </w:rPr>
        <w:t xml:space="preserve">45 </w:t>
      </w:r>
      <w:r>
        <w:rPr>
          <w:rFonts w:hint="eastAsia" w:ascii="方正仿宋_GB18030" w:hAnsi="方正仿宋_GB18030" w:eastAsia="方正仿宋_GB18030" w:cs="方正仿宋_GB18030"/>
          <w:color w:val="000000"/>
          <w:kern w:val="0"/>
          <w:sz w:val="24"/>
          <w:szCs w:val="24"/>
        </w:rPr>
        <w:t>天后发包人仍不纠正其违约行为并致使合同目的不能实现的，承包人有权解除合同。</w:t>
      </w:r>
    </w:p>
    <w:p w14:paraId="5285387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16.2 承包人违约</w:t>
      </w:r>
    </w:p>
    <w:p w14:paraId="676BCDD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16.2.1 承包人违约的情形</w:t>
      </w:r>
    </w:p>
    <w:p w14:paraId="05AA2ED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承包人违约的其他情形：</w:t>
      </w:r>
      <w:r>
        <w:rPr>
          <w:rFonts w:hint="eastAsia" w:ascii="方正仿宋_GB18030" w:hAnsi="方正仿宋_GB18030" w:eastAsia="方正仿宋_GB18030" w:cs="方正仿宋_GB18030"/>
          <w:color w:val="000000"/>
          <w:kern w:val="0"/>
          <w:sz w:val="24"/>
          <w:szCs w:val="24"/>
          <w:u w:val="single"/>
        </w:rPr>
        <w:t>双方另行确定</w:t>
      </w:r>
      <w:r>
        <w:rPr>
          <w:rFonts w:hint="eastAsia" w:ascii="方正仿宋_GB18030" w:hAnsi="方正仿宋_GB18030" w:eastAsia="方正仿宋_GB18030" w:cs="方正仿宋_GB18030"/>
          <w:color w:val="000000"/>
          <w:kern w:val="0"/>
          <w:sz w:val="24"/>
          <w:szCs w:val="24"/>
        </w:rPr>
        <w:t>。</w:t>
      </w:r>
    </w:p>
    <w:p w14:paraId="0C8999E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16.2.2承包人违约的责任</w:t>
      </w:r>
    </w:p>
    <w:p w14:paraId="466EAE4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承包人违约责任的承担方式和计算方法： 由承包人自行承担全部费用并承担相应的法律责任 。    </w:t>
      </w:r>
    </w:p>
    <w:p w14:paraId="4AC4EB6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16.2.3 因承包人违约解除合同</w:t>
      </w:r>
    </w:p>
    <w:p w14:paraId="17F3771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关于承包人违约解除合同的特别约定：</w:t>
      </w:r>
      <w:r>
        <w:rPr>
          <w:rFonts w:hint="eastAsia" w:ascii="方正仿宋_GB18030" w:hAnsi="方正仿宋_GB18030" w:eastAsia="方正仿宋_GB18030" w:cs="方正仿宋_GB18030"/>
          <w:color w:val="000000"/>
          <w:kern w:val="0"/>
          <w:sz w:val="24"/>
          <w:szCs w:val="24"/>
          <w:u w:val="single"/>
        </w:rPr>
        <w:t xml:space="preserve"> 按通用条款执行</w:t>
      </w:r>
      <w:r>
        <w:rPr>
          <w:rFonts w:hint="eastAsia" w:ascii="方正仿宋_GB18030" w:hAnsi="方正仿宋_GB18030" w:eastAsia="方正仿宋_GB18030" w:cs="方正仿宋_GB18030"/>
          <w:color w:val="000000"/>
          <w:kern w:val="0"/>
          <w:sz w:val="24"/>
          <w:szCs w:val="24"/>
        </w:rPr>
        <w:t xml:space="preserve"> 。</w:t>
      </w:r>
    </w:p>
    <w:p w14:paraId="4064785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发包人继续使用承包人在施工现场的材料、设备、临时工程、承包人文件和由承包人或以其名义编制的其他文件的费用承担方式：</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5E29C3F1">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008" w:name="_Toc351203649"/>
      <w:r>
        <w:rPr>
          <w:rFonts w:hint="eastAsia" w:ascii="方正仿宋_GB18030" w:hAnsi="方正仿宋_GB18030" w:eastAsia="方正仿宋_GB18030" w:cs="方正仿宋_GB18030"/>
          <w:color w:val="000000"/>
          <w:kern w:val="0"/>
          <w:sz w:val="24"/>
          <w:szCs w:val="24"/>
        </w:rPr>
        <w:t>17. 不可抗力</w:t>
      </w:r>
      <w:bookmarkEnd w:id="1008"/>
      <w:r>
        <w:rPr>
          <w:rFonts w:hint="eastAsia" w:ascii="方正仿宋_GB18030" w:hAnsi="方正仿宋_GB18030" w:eastAsia="方正仿宋_GB18030" w:cs="方正仿宋_GB18030"/>
          <w:color w:val="000000"/>
          <w:kern w:val="0"/>
          <w:sz w:val="24"/>
          <w:szCs w:val="24"/>
        </w:rPr>
        <w:t xml:space="preserve"> </w:t>
      </w:r>
      <w:bookmarkEnd w:id="1006"/>
    </w:p>
    <w:p w14:paraId="09EA418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17.1 不可抗力的确认</w:t>
      </w:r>
    </w:p>
    <w:p w14:paraId="30C2391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除通用合同条款约定的不可抗力事件之外，视为不可抗力的其他情形：</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3BF49D1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17.4 因不可抗力解除合同</w:t>
      </w:r>
    </w:p>
    <w:p w14:paraId="3F6E9482">
      <w:pPr>
        <w:spacing w:line="440" w:lineRule="exact"/>
        <w:ind w:left="319" w:leftChars="152" w:firstLine="240" w:firstLineChars="1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合同解除后，发包人应在商定或确定发包人应支付款项后</w:t>
      </w:r>
      <w:r>
        <w:rPr>
          <w:rFonts w:hint="eastAsia" w:ascii="方正仿宋_GB18030" w:hAnsi="方正仿宋_GB18030" w:eastAsia="方正仿宋_GB18030" w:cs="方正仿宋_GB18030"/>
          <w:color w:val="000000"/>
          <w:kern w:val="0"/>
          <w:sz w:val="24"/>
          <w:szCs w:val="24"/>
          <w:u w:val="single"/>
        </w:rPr>
        <w:t>60</w:t>
      </w:r>
      <w:r>
        <w:rPr>
          <w:rFonts w:hint="eastAsia" w:ascii="方正仿宋_GB18030" w:hAnsi="方正仿宋_GB18030" w:eastAsia="方正仿宋_GB18030" w:cs="方正仿宋_GB18030"/>
          <w:color w:val="000000"/>
          <w:kern w:val="0"/>
          <w:sz w:val="24"/>
          <w:szCs w:val="24"/>
        </w:rPr>
        <w:t xml:space="preserve"> 天内完成款项的支付。</w:t>
      </w:r>
    </w:p>
    <w:p w14:paraId="30A9D44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009" w:name="_Toc351203650"/>
      <w:r>
        <w:rPr>
          <w:rFonts w:hint="eastAsia" w:ascii="方正仿宋_GB18030" w:hAnsi="方正仿宋_GB18030" w:eastAsia="方正仿宋_GB18030" w:cs="方正仿宋_GB18030"/>
          <w:color w:val="000000"/>
          <w:kern w:val="0"/>
          <w:sz w:val="24"/>
          <w:szCs w:val="24"/>
        </w:rPr>
        <w:t>18. 保险</w:t>
      </w:r>
      <w:bookmarkEnd w:id="1009"/>
    </w:p>
    <w:bookmarkEnd w:id="1007"/>
    <w:p w14:paraId="6626F2D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18.1 工程保险</w:t>
      </w:r>
    </w:p>
    <w:p w14:paraId="7DD8603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关于工程保险的特别约定：</w:t>
      </w:r>
      <w:r>
        <w:rPr>
          <w:rFonts w:hint="eastAsia" w:ascii="方正仿宋_GB18030" w:hAnsi="方正仿宋_GB18030" w:eastAsia="方正仿宋_GB18030" w:cs="方正仿宋_GB18030"/>
          <w:color w:val="000000"/>
          <w:kern w:val="0"/>
          <w:sz w:val="24"/>
          <w:szCs w:val="24"/>
          <w:u w:val="single"/>
        </w:rPr>
        <w:t xml:space="preserve"> 按通用条款执行 </w:t>
      </w:r>
      <w:r>
        <w:rPr>
          <w:rFonts w:hint="eastAsia" w:ascii="方正仿宋_GB18030" w:hAnsi="方正仿宋_GB18030" w:eastAsia="方正仿宋_GB18030" w:cs="方正仿宋_GB18030"/>
          <w:color w:val="000000"/>
          <w:kern w:val="0"/>
          <w:sz w:val="24"/>
          <w:szCs w:val="24"/>
        </w:rPr>
        <w:t>。</w:t>
      </w:r>
    </w:p>
    <w:p w14:paraId="563DE0C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18.3 其他保险</w:t>
      </w:r>
    </w:p>
    <w:p w14:paraId="52BF488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关于其他保险的约定： </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3F855D9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承包人是否应为其施工设备等办理财产保险：</w:t>
      </w:r>
      <w:r>
        <w:rPr>
          <w:rFonts w:hint="eastAsia" w:ascii="方正仿宋_GB18030" w:hAnsi="方正仿宋_GB18030" w:eastAsia="方正仿宋_GB18030" w:cs="方正仿宋_GB18030"/>
          <w:color w:val="000000"/>
          <w:kern w:val="0"/>
          <w:sz w:val="24"/>
          <w:szCs w:val="24"/>
          <w:u w:val="single"/>
        </w:rPr>
        <w:t>按通用条款执行</w:t>
      </w:r>
      <w:r>
        <w:rPr>
          <w:rFonts w:hint="eastAsia" w:ascii="方正仿宋_GB18030" w:hAnsi="方正仿宋_GB18030" w:eastAsia="方正仿宋_GB18030" w:cs="方正仿宋_GB18030"/>
          <w:color w:val="000000"/>
          <w:kern w:val="0"/>
          <w:sz w:val="24"/>
          <w:szCs w:val="24"/>
        </w:rPr>
        <w:t>。</w:t>
      </w:r>
    </w:p>
    <w:p w14:paraId="5A62D58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18.7 通知义务</w:t>
      </w:r>
    </w:p>
    <w:p w14:paraId="25BFD96C">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关于变更保险合同时的通知义务的约定：</w:t>
      </w:r>
      <w:r>
        <w:rPr>
          <w:rFonts w:hint="eastAsia" w:ascii="方正仿宋_GB18030" w:hAnsi="方正仿宋_GB18030" w:eastAsia="方正仿宋_GB18030" w:cs="方正仿宋_GB18030"/>
          <w:color w:val="000000"/>
          <w:kern w:val="0"/>
          <w:sz w:val="24"/>
          <w:szCs w:val="24"/>
          <w:u w:val="single"/>
        </w:rPr>
        <w:t>按通用条款执行</w:t>
      </w:r>
      <w:r>
        <w:rPr>
          <w:rFonts w:hint="eastAsia" w:ascii="方正仿宋_GB18030" w:hAnsi="方正仿宋_GB18030" w:eastAsia="方正仿宋_GB18030" w:cs="方正仿宋_GB18030"/>
          <w:color w:val="000000"/>
          <w:kern w:val="0"/>
          <w:sz w:val="24"/>
          <w:szCs w:val="24"/>
        </w:rPr>
        <w:t>。</w:t>
      </w:r>
    </w:p>
    <w:bookmarkEnd w:id="978"/>
    <w:bookmarkEnd w:id="979"/>
    <w:bookmarkEnd w:id="980"/>
    <w:bookmarkEnd w:id="981"/>
    <w:bookmarkEnd w:id="982"/>
    <w:bookmarkEnd w:id="983"/>
    <w:bookmarkEnd w:id="984"/>
    <w:bookmarkEnd w:id="985"/>
    <w:bookmarkEnd w:id="986"/>
    <w:bookmarkEnd w:id="987"/>
    <w:bookmarkEnd w:id="988"/>
    <w:bookmarkEnd w:id="989"/>
    <w:p w14:paraId="1E48313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010" w:name="_Toc351203651"/>
      <w:r>
        <w:rPr>
          <w:rFonts w:hint="eastAsia" w:ascii="方正仿宋_GB18030" w:hAnsi="方正仿宋_GB18030" w:eastAsia="方正仿宋_GB18030" w:cs="方正仿宋_GB18030"/>
          <w:color w:val="000000"/>
          <w:kern w:val="0"/>
          <w:sz w:val="24"/>
          <w:szCs w:val="24"/>
        </w:rPr>
        <w:t>19.争议解决</w:t>
      </w:r>
      <w:bookmarkEnd w:id="1010"/>
    </w:p>
    <w:bookmarkEnd w:id="990"/>
    <w:bookmarkEnd w:id="991"/>
    <w:p w14:paraId="2DCFF7E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19.1 争</w:t>
      </w:r>
      <w:bookmarkEnd w:id="992"/>
      <w:r>
        <w:rPr>
          <w:rFonts w:hint="eastAsia" w:ascii="方正仿宋_GB18030" w:hAnsi="方正仿宋_GB18030" w:eastAsia="方正仿宋_GB18030" w:cs="方正仿宋_GB18030"/>
          <w:color w:val="000000"/>
          <w:kern w:val="0"/>
          <w:sz w:val="24"/>
          <w:szCs w:val="24"/>
        </w:rPr>
        <w:t>议评审</w:t>
      </w:r>
    </w:p>
    <w:p w14:paraId="5757B09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合同当事人是否同意将工程争议提交争议评审小组决定：</w:t>
      </w:r>
      <w:r>
        <w:rPr>
          <w:rFonts w:hint="eastAsia" w:ascii="方正仿宋_GB18030" w:hAnsi="方正仿宋_GB18030" w:eastAsia="方正仿宋_GB18030" w:cs="方正仿宋_GB18030"/>
          <w:color w:val="000000"/>
          <w:kern w:val="0"/>
          <w:sz w:val="24"/>
          <w:szCs w:val="24"/>
          <w:u w:val="single"/>
        </w:rPr>
        <w:t>/</w:t>
      </w:r>
      <w:r>
        <w:rPr>
          <w:rFonts w:hint="eastAsia" w:ascii="方正仿宋_GB18030" w:hAnsi="方正仿宋_GB18030" w:eastAsia="方正仿宋_GB18030" w:cs="方正仿宋_GB18030"/>
          <w:color w:val="000000"/>
          <w:kern w:val="0"/>
          <w:sz w:val="24"/>
          <w:szCs w:val="24"/>
        </w:rPr>
        <w:t xml:space="preserve">。  </w:t>
      </w:r>
    </w:p>
    <w:p w14:paraId="19C1A2A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19.1.1 争议评审小组的确定</w:t>
      </w:r>
    </w:p>
    <w:p w14:paraId="53242603">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争议评审小组成员的确定：</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750FF77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选定争议评审员的期限： </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6ADDE710">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争议评审小组成员的报酬承担方式：</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30129C7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其他事项的约定：</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 xml:space="preserve"> 。</w:t>
      </w:r>
    </w:p>
    <w:p w14:paraId="5EAFF71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19.1.2 争议评审小组的决定</w:t>
      </w:r>
    </w:p>
    <w:p w14:paraId="6238D83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合同当事人关于本项的约定：</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w:t>
      </w:r>
    </w:p>
    <w:p w14:paraId="794C03DB">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19.2仲裁或诉讼</w:t>
      </w:r>
      <w:bookmarkEnd w:id="993"/>
    </w:p>
    <w:p w14:paraId="2DF91CF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因合同及合同有关事项发生的争议，按下列第</w:t>
      </w:r>
      <w:r>
        <w:rPr>
          <w:rFonts w:hint="eastAsia" w:ascii="方正仿宋_GB18030" w:hAnsi="方正仿宋_GB18030" w:eastAsia="方正仿宋_GB18030" w:cs="方正仿宋_GB18030"/>
          <w:color w:val="000000"/>
          <w:kern w:val="0"/>
          <w:sz w:val="24"/>
          <w:szCs w:val="24"/>
          <w:u w:val="single"/>
        </w:rPr>
        <w:t>2</w:t>
      </w:r>
      <w:r>
        <w:rPr>
          <w:rFonts w:hint="eastAsia" w:ascii="方正仿宋_GB18030" w:hAnsi="方正仿宋_GB18030" w:eastAsia="方正仿宋_GB18030" w:cs="方正仿宋_GB18030"/>
          <w:color w:val="000000"/>
          <w:kern w:val="0"/>
          <w:sz w:val="24"/>
          <w:szCs w:val="24"/>
        </w:rPr>
        <w:t>种方式解决：</w:t>
      </w:r>
    </w:p>
    <w:p w14:paraId="153B298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（1）向</w:t>
      </w:r>
      <w:r>
        <w:rPr>
          <w:rFonts w:hint="eastAsia" w:ascii="方正仿宋_GB18030" w:hAnsi="方正仿宋_GB18030" w:eastAsia="方正仿宋_GB18030" w:cs="方正仿宋_GB18030"/>
          <w:color w:val="000000"/>
          <w:kern w:val="0"/>
          <w:sz w:val="24"/>
          <w:szCs w:val="24"/>
          <w:u w:val="single"/>
        </w:rPr>
        <w:t xml:space="preserve">      /     </w:t>
      </w:r>
      <w:r>
        <w:rPr>
          <w:rFonts w:hint="eastAsia" w:ascii="方正仿宋_GB18030" w:hAnsi="方正仿宋_GB18030" w:eastAsia="方正仿宋_GB18030" w:cs="方正仿宋_GB18030"/>
          <w:color w:val="000000"/>
          <w:kern w:val="0"/>
          <w:sz w:val="24"/>
          <w:szCs w:val="24"/>
        </w:rPr>
        <w:t>仲裁委员会申请仲裁；</w:t>
      </w:r>
    </w:p>
    <w:p w14:paraId="71A39046">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（2）</w:t>
      </w:r>
      <w:bookmarkStart w:id="1011" w:name="_Hlk105683155"/>
      <w:r>
        <w:rPr>
          <w:rFonts w:hint="eastAsia" w:ascii="方正仿宋_GB18030" w:hAnsi="方正仿宋_GB18030" w:eastAsia="方正仿宋_GB18030" w:cs="方正仿宋_GB18030"/>
          <w:color w:val="000000"/>
          <w:kern w:val="0"/>
          <w:sz w:val="24"/>
          <w:szCs w:val="24"/>
        </w:rPr>
        <w:t>向</w:t>
      </w:r>
      <w:r>
        <w:rPr>
          <w:rFonts w:hint="eastAsia" w:ascii="方正仿宋_GB18030" w:hAnsi="方正仿宋_GB18030" w:eastAsia="方正仿宋_GB18030" w:cs="方正仿宋_GB18030"/>
          <w:color w:val="000000"/>
          <w:kern w:val="0"/>
          <w:sz w:val="24"/>
          <w:szCs w:val="24"/>
          <w:u w:val="single"/>
        </w:rPr>
        <w:t xml:space="preserve"> 项目所在地有管辖权的  </w:t>
      </w:r>
      <w:r>
        <w:rPr>
          <w:rFonts w:hint="eastAsia" w:ascii="方正仿宋_GB18030" w:hAnsi="方正仿宋_GB18030" w:eastAsia="方正仿宋_GB18030" w:cs="方正仿宋_GB18030"/>
          <w:color w:val="000000"/>
          <w:kern w:val="0"/>
          <w:sz w:val="24"/>
          <w:szCs w:val="24"/>
        </w:rPr>
        <w:t>人民法院起诉</w:t>
      </w:r>
      <w:bookmarkEnd w:id="1011"/>
      <w:r>
        <w:rPr>
          <w:rFonts w:hint="eastAsia" w:ascii="方正仿宋_GB18030" w:hAnsi="方正仿宋_GB18030" w:eastAsia="方正仿宋_GB18030" w:cs="方正仿宋_GB18030"/>
          <w:color w:val="000000"/>
          <w:kern w:val="0"/>
          <w:sz w:val="24"/>
          <w:szCs w:val="24"/>
        </w:rPr>
        <w:t>。</w:t>
      </w:r>
      <w:bookmarkEnd w:id="994"/>
      <w:bookmarkEnd w:id="995"/>
      <w:bookmarkEnd w:id="996"/>
      <w:bookmarkEnd w:id="997"/>
      <w:bookmarkEnd w:id="998"/>
      <w:bookmarkEnd w:id="999"/>
    </w:p>
    <w:p w14:paraId="0920522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bookmarkStart w:id="1012" w:name="_Toc351203652"/>
      <w:r>
        <w:rPr>
          <w:rFonts w:hint="eastAsia" w:ascii="方正仿宋_GB18030" w:hAnsi="方正仿宋_GB18030" w:eastAsia="方正仿宋_GB18030" w:cs="方正仿宋_GB18030"/>
          <w:color w:val="000000"/>
          <w:kern w:val="0"/>
          <w:sz w:val="24"/>
          <w:szCs w:val="24"/>
        </w:rPr>
        <w:t>附件</w:t>
      </w:r>
      <w:bookmarkEnd w:id="1012"/>
    </w:p>
    <w:p w14:paraId="1C834B79">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协议书附件：</w:t>
      </w:r>
    </w:p>
    <w:p w14:paraId="2EA9C124">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附件1：工程质量保修书</w:t>
      </w:r>
    </w:p>
    <w:p w14:paraId="3D5FC79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附件2：工程廉政协议</w:t>
      </w:r>
    </w:p>
    <w:p w14:paraId="00C21F8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附件3：安全管理协议</w:t>
      </w:r>
    </w:p>
    <w:p w14:paraId="5FF43335">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lang w:val="en-US" w:eastAsia="zh-CN"/>
        </w:rPr>
      </w:pPr>
      <w:r>
        <w:rPr>
          <w:rFonts w:hint="eastAsia" w:ascii="方正仿宋_GB18030" w:hAnsi="方正仿宋_GB18030" w:eastAsia="方正仿宋_GB18030" w:cs="方正仿宋_GB18030"/>
          <w:color w:val="000000"/>
          <w:kern w:val="0"/>
          <w:sz w:val="24"/>
          <w:szCs w:val="24"/>
          <w:lang w:val="en-US" w:eastAsia="zh-CN"/>
        </w:rPr>
        <w:t>附件4：保障农民工工资支付协议</w:t>
      </w:r>
    </w:p>
    <w:p w14:paraId="67844737">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p>
    <w:p w14:paraId="641175C7">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39E7AE6A">
      <w:pPr>
        <w:spacing w:before="156" w:beforeLines="50" w:after="156" w:afterLines="50" w:line="440" w:lineRule="exact"/>
        <w:jc w:val="center"/>
        <w:rPr>
          <w:rFonts w:hint="eastAsia" w:ascii="方正仿宋_GB18030" w:hAnsi="方正仿宋_GB18030" w:eastAsia="方正仿宋_GB18030" w:cs="方正仿宋_GB18030"/>
          <w:sz w:val="24"/>
          <w:szCs w:val="24"/>
        </w:rPr>
      </w:pPr>
      <w:bookmarkStart w:id="1013" w:name="_Hlk105664403"/>
    </w:p>
    <w:p w14:paraId="522E27F6">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6403BA54">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0D7F58A4">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7A9FF8B4">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0369906F">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45E512C9">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44E41E7E">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2A060181">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35587498">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4CA0ED90">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27A6ABC7">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2E1B558C">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424C0D78">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42CD8DDE">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02814AEC">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521D7BD9">
      <w:pPr>
        <w:pStyle w:val="2"/>
        <w:rPr>
          <w:rFonts w:hint="eastAsia"/>
        </w:rPr>
      </w:pPr>
    </w:p>
    <w:p w14:paraId="7916CFCF">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5606C010">
      <w:pPr>
        <w:spacing w:before="156" w:beforeLines="50" w:after="156" w:afterLines="50" w:line="440" w:lineRule="exact"/>
        <w:jc w:val="center"/>
        <w:rPr>
          <w:rFonts w:hint="eastAsia" w:ascii="方正仿宋_GB18030" w:hAnsi="方正仿宋_GB18030" w:eastAsia="方正仿宋_GB18030" w:cs="方正仿宋_GB18030"/>
          <w:sz w:val="24"/>
          <w:szCs w:val="24"/>
        </w:rPr>
      </w:pPr>
    </w:p>
    <w:p w14:paraId="7893B50E">
      <w:pPr>
        <w:spacing w:before="156" w:beforeLines="50" w:after="156" w:afterLines="50" w:line="440" w:lineRule="exact"/>
        <w:jc w:val="cente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工程质量保修书</w:t>
      </w:r>
    </w:p>
    <w:bookmarkEnd w:id="1013"/>
    <w:p w14:paraId="604C7D6F">
      <w:pPr>
        <w:spacing w:line="440" w:lineRule="exact"/>
        <w:ind w:firstLine="480" w:firstLineChars="20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发包人（全称）：</w:t>
      </w:r>
      <w:r>
        <w:rPr>
          <w:rFonts w:hint="eastAsia" w:ascii="方正仿宋_GB18030" w:hAnsi="方正仿宋_GB18030" w:eastAsia="方正仿宋_GB18030" w:cs="方正仿宋_GB18030"/>
          <w:bCs/>
          <w:color w:val="000000"/>
          <w:sz w:val="24"/>
          <w:szCs w:val="24"/>
          <w:u w:val="single"/>
          <w:lang w:val="en-US" w:eastAsia="zh-CN"/>
        </w:rPr>
        <w:t xml:space="preserve">                              </w:t>
      </w:r>
      <w:r>
        <w:rPr>
          <w:rFonts w:hint="eastAsia" w:ascii="方正仿宋_GB18030" w:hAnsi="方正仿宋_GB18030" w:eastAsia="方正仿宋_GB18030" w:cs="方正仿宋_GB18030"/>
          <w:color w:val="000000"/>
          <w:sz w:val="24"/>
          <w:szCs w:val="24"/>
          <w:u w:val="single"/>
        </w:rPr>
        <w:t xml:space="preserve"> </w:t>
      </w:r>
      <w:r>
        <w:rPr>
          <w:rFonts w:hint="eastAsia" w:ascii="方正仿宋_GB18030" w:hAnsi="方正仿宋_GB18030" w:eastAsia="方正仿宋_GB18030" w:cs="方正仿宋_GB18030"/>
          <w:color w:val="000000"/>
          <w:sz w:val="24"/>
          <w:szCs w:val="24"/>
        </w:rPr>
        <w:t xml:space="preserve">  </w:t>
      </w:r>
    </w:p>
    <w:p w14:paraId="71B5A59A">
      <w:pPr>
        <w:spacing w:line="440" w:lineRule="exact"/>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　　承包人（全称）：</w:t>
      </w:r>
      <w:r>
        <w:rPr>
          <w:rFonts w:hint="eastAsia" w:ascii="方正仿宋_GB18030" w:hAnsi="方正仿宋_GB18030" w:eastAsia="方正仿宋_GB18030" w:cs="方正仿宋_GB18030"/>
          <w:color w:val="000000"/>
          <w:sz w:val="24"/>
          <w:szCs w:val="24"/>
          <w:lang w:val="en-US" w:eastAsia="zh-CN"/>
        </w:rPr>
        <w:t xml:space="preserve">                              </w:t>
      </w:r>
      <w:r>
        <w:rPr>
          <w:rFonts w:hint="eastAsia" w:ascii="方正仿宋_GB18030" w:hAnsi="方正仿宋_GB18030" w:eastAsia="方正仿宋_GB18030" w:cs="方正仿宋_GB18030"/>
          <w:bCs/>
          <w:color w:val="000000"/>
          <w:sz w:val="24"/>
          <w:szCs w:val="24"/>
          <w:u w:val="single"/>
        </w:rPr>
        <w:t xml:space="preserve"> </w:t>
      </w:r>
    </w:p>
    <w:p w14:paraId="4C8AE9BB">
      <w:pPr>
        <w:spacing w:line="440" w:lineRule="exact"/>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　　发包人和承包人根据《中华人民共和国建筑法》和《建设工程质量管理条例》，经协商一致就</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sz w:val="24"/>
          <w:szCs w:val="24"/>
        </w:rPr>
        <w:t>（工程全称）签订工程质量保修书。</w:t>
      </w:r>
    </w:p>
    <w:p w14:paraId="4C295D12">
      <w:pPr>
        <w:spacing w:line="440" w:lineRule="exact"/>
        <w:outlineLvl w:val="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　　一、工程质量保修范围和内容</w:t>
      </w:r>
    </w:p>
    <w:p w14:paraId="3C92A1C8">
      <w:pPr>
        <w:spacing w:line="440" w:lineRule="exact"/>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　　承包人在质量保修期内，按照有关法律规定和合同约定，承担工程质量保修责任。</w:t>
      </w:r>
    </w:p>
    <w:p w14:paraId="5251DBED">
      <w:pPr>
        <w:spacing w:line="440" w:lineRule="exact"/>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方正仿宋_GB18030" w:hAnsi="方正仿宋_GB18030" w:eastAsia="方正仿宋_GB18030" w:cs="方正仿宋_GB18030"/>
          <w:color w:val="000000"/>
          <w:sz w:val="24"/>
          <w:szCs w:val="24"/>
          <w:u w:val="single"/>
        </w:rPr>
        <w:t>工程合理保修年限保修1年</w:t>
      </w:r>
      <w:r>
        <w:rPr>
          <w:rFonts w:hint="eastAsia" w:ascii="方正仿宋_GB18030" w:hAnsi="方正仿宋_GB18030" w:eastAsia="方正仿宋_GB18030" w:cs="方正仿宋_GB18030"/>
          <w:color w:val="000000"/>
          <w:sz w:val="24"/>
          <w:szCs w:val="24"/>
        </w:rPr>
        <w:t>。</w:t>
      </w:r>
    </w:p>
    <w:p w14:paraId="703951CF">
      <w:pPr>
        <w:spacing w:line="440" w:lineRule="exact"/>
        <w:outlineLvl w:val="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b/>
          <w:color w:val="000000"/>
          <w:sz w:val="24"/>
          <w:szCs w:val="24"/>
        </w:rPr>
        <w:t>　</w:t>
      </w:r>
      <w:r>
        <w:rPr>
          <w:rFonts w:hint="eastAsia" w:ascii="方正仿宋_GB18030" w:hAnsi="方正仿宋_GB18030" w:eastAsia="方正仿宋_GB18030" w:cs="方正仿宋_GB18030"/>
          <w:color w:val="000000"/>
          <w:sz w:val="24"/>
          <w:szCs w:val="24"/>
        </w:rPr>
        <w:t>　二、质量保修期</w:t>
      </w:r>
    </w:p>
    <w:p w14:paraId="3A2004DF">
      <w:pPr>
        <w:spacing w:line="440" w:lineRule="exact"/>
        <w:ind w:firstLine="480" w:firstLineChars="20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根据《建设工程质量管理条例》及有关规定，工程的质量保修期如下：</w:t>
      </w:r>
    </w:p>
    <w:p w14:paraId="0E78D414">
      <w:pPr>
        <w:spacing w:line="440" w:lineRule="exact"/>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w:t>
      </w:r>
      <w:r>
        <w:rPr>
          <w:rFonts w:hint="eastAsia" w:ascii="方正仿宋_GB18030" w:hAnsi="方正仿宋_GB18030" w:eastAsia="方正仿宋_GB18030" w:cs="方正仿宋_GB18030"/>
          <w:color w:val="000000"/>
          <w:sz w:val="24"/>
          <w:szCs w:val="24"/>
        </w:rPr>
        <w:t>．</w:t>
      </w:r>
      <w:r>
        <w:rPr>
          <w:rFonts w:hint="eastAsia" w:ascii="方正仿宋_GB18030" w:hAnsi="方正仿宋_GB18030" w:eastAsia="方正仿宋_GB18030" w:cs="方正仿宋_GB18030"/>
          <w:sz w:val="24"/>
          <w:szCs w:val="24"/>
        </w:rPr>
        <w:t>地基基础工程和主体结构工程为设计文件规定的工程合理使用年限；</w:t>
      </w:r>
    </w:p>
    <w:p w14:paraId="4282A1FF">
      <w:pPr>
        <w:spacing w:line="440" w:lineRule="exact"/>
        <w:ind w:firstLine="480" w:firstLineChars="20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2</w:t>
      </w:r>
      <w:r>
        <w:rPr>
          <w:rFonts w:hint="eastAsia" w:ascii="方正仿宋_GB18030" w:hAnsi="方正仿宋_GB18030" w:eastAsia="方正仿宋_GB18030" w:cs="方正仿宋_GB18030"/>
          <w:sz w:val="24"/>
          <w:szCs w:val="24"/>
        </w:rPr>
        <w:t>．</w:t>
      </w:r>
      <w:r>
        <w:rPr>
          <w:rFonts w:hint="eastAsia" w:ascii="方正仿宋_GB18030" w:hAnsi="方正仿宋_GB18030" w:eastAsia="方正仿宋_GB18030" w:cs="方正仿宋_GB18030"/>
          <w:color w:val="000000"/>
          <w:sz w:val="24"/>
          <w:szCs w:val="24"/>
        </w:rPr>
        <w:t>屋面防水工程、有防水要求的卫生间、房间和外墙面的防渗为</w:t>
      </w:r>
      <w:r>
        <w:rPr>
          <w:rFonts w:hint="eastAsia" w:ascii="方正仿宋_GB18030" w:hAnsi="方正仿宋_GB18030" w:eastAsia="方正仿宋_GB18030" w:cs="方正仿宋_GB18030"/>
          <w:color w:val="000000"/>
          <w:sz w:val="24"/>
          <w:szCs w:val="24"/>
          <w:u w:val="single"/>
        </w:rPr>
        <w:t xml:space="preserve">  5 </w:t>
      </w:r>
      <w:r>
        <w:rPr>
          <w:rFonts w:hint="eastAsia" w:ascii="方正仿宋_GB18030" w:hAnsi="方正仿宋_GB18030" w:eastAsia="方正仿宋_GB18030" w:cs="方正仿宋_GB18030"/>
          <w:color w:val="000000"/>
          <w:sz w:val="24"/>
          <w:szCs w:val="24"/>
        </w:rPr>
        <w:t>年；</w:t>
      </w:r>
    </w:p>
    <w:p w14:paraId="77E31797">
      <w:pPr>
        <w:spacing w:line="440" w:lineRule="exact"/>
        <w:ind w:left="420" w:leftChars="200" w:firstLine="120" w:firstLineChars="5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3</w:t>
      </w:r>
      <w:r>
        <w:rPr>
          <w:rFonts w:hint="eastAsia" w:ascii="方正仿宋_GB18030" w:hAnsi="方正仿宋_GB18030" w:eastAsia="方正仿宋_GB18030" w:cs="方正仿宋_GB18030"/>
          <w:sz w:val="24"/>
          <w:szCs w:val="24"/>
        </w:rPr>
        <w:t>．</w:t>
      </w:r>
      <w:r>
        <w:rPr>
          <w:rFonts w:hint="eastAsia" w:ascii="方正仿宋_GB18030" w:hAnsi="方正仿宋_GB18030" w:eastAsia="方正仿宋_GB18030" w:cs="方正仿宋_GB18030"/>
          <w:color w:val="000000"/>
          <w:sz w:val="24"/>
          <w:szCs w:val="24"/>
        </w:rPr>
        <w:t>装修工程为</w:t>
      </w:r>
      <w:r>
        <w:rPr>
          <w:rFonts w:hint="eastAsia" w:ascii="方正仿宋_GB18030" w:hAnsi="方正仿宋_GB18030" w:eastAsia="方正仿宋_GB18030" w:cs="方正仿宋_GB18030"/>
          <w:color w:val="000000"/>
          <w:sz w:val="24"/>
          <w:szCs w:val="24"/>
          <w:u w:val="single"/>
        </w:rPr>
        <w:t xml:space="preserve">   2   </w:t>
      </w:r>
      <w:r>
        <w:rPr>
          <w:rFonts w:hint="eastAsia" w:ascii="方正仿宋_GB18030" w:hAnsi="方正仿宋_GB18030" w:eastAsia="方正仿宋_GB18030" w:cs="方正仿宋_GB18030"/>
          <w:color w:val="000000"/>
          <w:sz w:val="24"/>
          <w:szCs w:val="24"/>
        </w:rPr>
        <w:t>年；</w:t>
      </w:r>
    </w:p>
    <w:p w14:paraId="4B2C4FB5">
      <w:pPr>
        <w:spacing w:line="440" w:lineRule="exact"/>
        <w:ind w:left="420" w:leftChars="200" w:firstLine="120" w:firstLineChars="5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4</w:t>
      </w:r>
      <w:r>
        <w:rPr>
          <w:rFonts w:hint="eastAsia" w:ascii="方正仿宋_GB18030" w:hAnsi="方正仿宋_GB18030" w:eastAsia="方正仿宋_GB18030" w:cs="方正仿宋_GB18030"/>
          <w:sz w:val="24"/>
          <w:szCs w:val="24"/>
        </w:rPr>
        <w:t>．</w:t>
      </w:r>
      <w:r>
        <w:rPr>
          <w:rFonts w:hint="eastAsia" w:ascii="方正仿宋_GB18030" w:hAnsi="方正仿宋_GB18030" w:eastAsia="方正仿宋_GB18030" w:cs="方正仿宋_GB18030"/>
          <w:color w:val="000000"/>
          <w:sz w:val="24"/>
          <w:szCs w:val="24"/>
        </w:rPr>
        <w:t>电气管线、给排水管道、设备安装工程为</w:t>
      </w:r>
      <w:r>
        <w:rPr>
          <w:rFonts w:hint="eastAsia" w:ascii="方正仿宋_GB18030" w:hAnsi="方正仿宋_GB18030" w:eastAsia="方正仿宋_GB18030" w:cs="方正仿宋_GB18030"/>
          <w:color w:val="000000"/>
          <w:sz w:val="24"/>
          <w:szCs w:val="24"/>
          <w:u w:val="single"/>
        </w:rPr>
        <w:t xml:space="preserve"> 2  </w:t>
      </w:r>
      <w:r>
        <w:rPr>
          <w:rFonts w:hint="eastAsia" w:ascii="方正仿宋_GB18030" w:hAnsi="方正仿宋_GB18030" w:eastAsia="方正仿宋_GB18030" w:cs="方正仿宋_GB18030"/>
          <w:color w:val="000000"/>
          <w:sz w:val="24"/>
          <w:szCs w:val="24"/>
        </w:rPr>
        <w:t>年；</w:t>
      </w:r>
    </w:p>
    <w:p w14:paraId="1121B804">
      <w:pPr>
        <w:spacing w:line="440" w:lineRule="exact"/>
        <w:ind w:left="420" w:leftChars="200" w:firstLine="120" w:firstLineChars="5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5</w:t>
      </w:r>
      <w:r>
        <w:rPr>
          <w:rFonts w:hint="eastAsia" w:ascii="方正仿宋_GB18030" w:hAnsi="方正仿宋_GB18030" w:eastAsia="方正仿宋_GB18030" w:cs="方正仿宋_GB18030"/>
          <w:sz w:val="24"/>
          <w:szCs w:val="24"/>
        </w:rPr>
        <w:t>．</w:t>
      </w:r>
      <w:r>
        <w:rPr>
          <w:rFonts w:hint="eastAsia" w:ascii="方正仿宋_GB18030" w:hAnsi="方正仿宋_GB18030" w:eastAsia="方正仿宋_GB18030" w:cs="方正仿宋_GB18030"/>
          <w:color w:val="000000"/>
          <w:sz w:val="24"/>
          <w:szCs w:val="24"/>
        </w:rPr>
        <w:t>供热与供冷系统为</w:t>
      </w:r>
      <w:r>
        <w:rPr>
          <w:rFonts w:hint="eastAsia" w:ascii="方正仿宋_GB18030" w:hAnsi="方正仿宋_GB18030" w:eastAsia="方正仿宋_GB18030" w:cs="方正仿宋_GB18030"/>
          <w:color w:val="000000"/>
          <w:sz w:val="24"/>
          <w:szCs w:val="24"/>
          <w:u w:val="single"/>
        </w:rPr>
        <w:t xml:space="preserve">  2  </w:t>
      </w:r>
      <w:r>
        <w:rPr>
          <w:rFonts w:hint="eastAsia" w:ascii="方正仿宋_GB18030" w:hAnsi="方正仿宋_GB18030" w:eastAsia="方正仿宋_GB18030" w:cs="方正仿宋_GB18030"/>
          <w:color w:val="000000"/>
          <w:sz w:val="24"/>
          <w:szCs w:val="24"/>
        </w:rPr>
        <w:t>个采暖期、供冷期；</w:t>
      </w:r>
    </w:p>
    <w:p w14:paraId="5BD246ED">
      <w:pPr>
        <w:spacing w:line="440" w:lineRule="exact"/>
        <w:ind w:left="420" w:leftChars="200" w:firstLine="120" w:firstLineChars="50"/>
        <w:jc w:val="left"/>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6</w:t>
      </w:r>
      <w:r>
        <w:rPr>
          <w:rFonts w:hint="eastAsia" w:ascii="方正仿宋_GB18030" w:hAnsi="方正仿宋_GB18030" w:eastAsia="方正仿宋_GB18030" w:cs="方正仿宋_GB18030"/>
          <w:sz w:val="24"/>
          <w:szCs w:val="24"/>
        </w:rPr>
        <w:t>．</w:t>
      </w:r>
      <w:r>
        <w:rPr>
          <w:rFonts w:hint="eastAsia" w:ascii="方正仿宋_GB18030" w:hAnsi="方正仿宋_GB18030" w:eastAsia="方正仿宋_GB18030" w:cs="方正仿宋_GB18030"/>
          <w:color w:val="000000"/>
          <w:sz w:val="24"/>
          <w:szCs w:val="24"/>
        </w:rPr>
        <w:t>住宅小区内的给排水设施、道路等配套工程为</w:t>
      </w:r>
      <w:r>
        <w:rPr>
          <w:rFonts w:hint="eastAsia" w:ascii="方正仿宋_GB18030" w:hAnsi="方正仿宋_GB18030" w:eastAsia="方正仿宋_GB18030" w:cs="方正仿宋_GB18030"/>
          <w:color w:val="000000"/>
          <w:sz w:val="24"/>
          <w:szCs w:val="24"/>
          <w:u w:val="single"/>
        </w:rPr>
        <w:t xml:space="preserve">2 </w:t>
      </w:r>
      <w:r>
        <w:rPr>
          <w:rFonts w:hint="eastAsia" w:ascii="方正仿宋_GB18030" w:hAnsi="方正仿宋_GB18030" w:eastAsia="方正仿宋_GB18030" w:cs="方正仿宋_GB18030"/>
          <w:color w:val="000000"/>
          <w:sz w:val="24"/>
          <w:szCs w:val="24"/>
        </w:rPr>
        <w:t>年；</w:t>
      </w:r>
    </w:p>
    <w:p w14:paraId="6D4E9788">
      <w:pPr>
        <w:spacing w:line="440" w:lineRule="exact"/>
        <w:ind w:left="420" w:leftChars="200" w:firstLine="120" w:firstLineChars="5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7</w:t>
      </w:r>
      <w:r>
        <w:rPr>
          <w:rFonts w:hint="eastAsia" w:ascii="方正仿宋_GB18030" w:hAnsi="方正仿宋_GB18030" w:eastAsia="方正仿宋_GB18030" w:cs="方正仿宋_GB18030"/>
          <w:sz w:val="24"/>
          <w:szCs w:val="24"/>
        </w:rPr>
        <w:t>．</w:t>
      </w:r>
      <w:r>
        <w:rPr>
          <w:rFonts w:hint="eastAsia" w:ascii="方正仿宋_GB18030" w:hAnsi="方正仿宋_GB18030" w:eastAsia="方正仿宋_GB18030" w:cs="方正仿宋_GB18030"/>
          <w:color w:val="000000"/>
          <w:sz w:val="24"/>
          <w:szCs w:val="24"/>
        </w:rPr>
        <w:t>其他项目保修期限约定如下：</w:t>
      </w:r>
      <w:r>
        <w:rPr>
          <w:rFonts w:hint="eastAsia" w:ascii="方正仿宋_GB18030" w:hAnsi="方正仿宋_GB18030" w:eastAsia="方正仿宋_GB18030" w:cs="方正仿宋_GB18030"/>
          <w:color w:val="000000"/>
          <w:sz w:val="24"/>
          <w:szCs w:val="24"/>
          <w:u w:val="single"/>
        </w:rPr>
        <w:t xml:space="preserve">                   </w:t>
      </w:r>
      <w:r>
        <w:rPr>
          <w:rFonts w:hint="eastAsia" w:ascii="方正仿宋_GB18030" w:hAnsi="方正仿宋_GB18030" w:eastAsia="方正仿宋_GB18030" w:cs="方正仿宋_GB18030"/>
          <w:color w:val="000000"/>
          <w:sz w:val="24"/>
          <w:szCs w:val="24"/>
        </w:rPr>
        <w:t>。</w:t>
      </w:r>
    </w:p>
    <w:p w14:paraId="37728486">
      <w:pPr>
        <w:spacing w:line="440" w:lineRule="exact"/>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　　质量保修期自工程竣工验收合格之日起计算。</w:t>
      </w:r>
    </w:p>
    <w:p w14:paraId="2DF7F138">
      <w:pPr>
        <w:spacing w:line="440" w:lineRule="exact"/>
        <w:ind w:firstLine="480" w:firstLineChars="200"/>
        <w:outlineLvl w:val="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三、缺陷责任期</w:t>
      </w:r>
    </w:p>
    <w:p w14:paraId="074C0CDB">
      <w:pPr>
        <w:spacing w:line="440" w:lineRule="exact"/>
        <w:ind w:firstLine="480" w:firstLineChars="20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工程缺陷责任期为</w:t>
      </w:r>
      <w:r>
        <w:rPr>
          <w:rFonts w:hint="eastAsia" w:ascii="方正仿宋_GB18030" w:hAnsi="方正仿宋_GB18030" w:eastAsia="方正仿宋_GB18030" w:cs="方正仿宋_GB18030"/>
          <w:color w:val="000000"/>
          <w:sz w:val="24"/>
          <w:szCs w:val="24"/>
          <w:u w:val="single"/>
        </w:rPr>
        <w:t xml:space="preserve">  12  </w:t>
      </w:r>
      <w:r>
        <w:rPr>
          <w:rFonts w:hint="eastAsia" w:ascii="方正仿宋_GB18030" w:hAnsi="方正仿宋_GB18030" w:eastAsia="方正仿宋_GB18030" w:cs="方正仿宋_GB18030"/>
          <w:color w:val="000000"/>
          <w:sz w:val="24"/>
          <w:szCs w:val="24"/>
        </w:rPr>
        <w:t>个月，缺陷责任期自工程通过竣工验收之日起计算。单位工程先于全部工程进行验收，单位工程缺陷责任期自单位工程验收合格之日起算。</w:t>
      </w:r>
    </w:p>
    <w:p w14:paraId="30178F4F">
      <w:pPr>
        <w:spacing w:line="440" w:lineRule="exact"/>
        <w:ind w:firstLine="480" w:firstLineChars="20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缺陷责任期终止后，发包人应退还剩余的质量保证金。</w:t>
      </w:r>
    </w:p>
    <w:p w14:paraId="39A32B87">
      <w:pPr>
        <w:spacing w:line="440" w:lineRule="exact"/>
        <w:outlineLvl w:val="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 xml:space="preserve">    四、质量保修责任</w:t>
      </w:r>
    </w:p>
    <w:p w14:paraId="5237E0F5">
      <w:pPr>
        <w:spacing w:line="440" w:lineRule="exact"/>
        <w:ind w:left="105" w:leftChars="50" w:firstLine="491" w:firstLineChars="205"/>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1</w:t>
      </w:r>
      <w:r>
        <w:rPr>
          <w:rFonts w:hint="eastAsia" w:ascii="方正仿宋_GB18030" w:hAnsi="方正仿宋_GB18030" w:eastAsia="方正仿宋_GB18030" w:cs="方正仿宋_GB18030"/>
          <w:sz w:val="24"/>
          <w:szCs w:val="24"/>
        </w:rPr>
        <w:t>．</w:t>
      </w:r>
      <w:r>
        <w:rPr>
          <w:rFonts w:hint="eastAsia" w:ascii="方正仿宋_GB18030" w:hAnsi="方正仿宋_GB18030" w:eastAsia="方正仿宋_GB18030" w:cs="方正仿宋_GB18030"/>
          <w:color w:val="000000"/>
          <w:sz w:val="24"/>
          <w:szCs w:val="24"/>
        </w:rPr>
        <w:t>属于保修范围、内容的项目，承包人应当在接到保修通知之日起7天内派人保修。承包人不在约定期限内派人保修的，发包人可以委托他人修理，</w:t>
      </w:r>
      <w:bookmarkStart w:id="1014" w:name="_Hlk105683443"/>
      <w:r>
        <w:rPr>
          <w:rFonts w:hint="eastAsia" w:ascii="方正仿宋_GB18030" w:hAnsi="方正仿宋_GB18030" w:eastAsia="方正仿宋_GB18030" w:cs="方正仿宋_GB18030"/>
          <w:color w:val="000000"/>
          <w:sz w:val="24"/>
          <w:szCs w:val="24"/>
        </w:rPr>
        <w:t>属于施工造成的质量问题，承包人应承担发包人支出的全部费用</w:t>
      </w:r>
      <w:bookmarkEnd w:id="1014"/>
      <w:r>
        <w:rPr>
          <w:rFonts w:hint="eastAsia" w:ascii="方正仿宋_GB18030" w:hAnsi="方正仿宋_GB18030" w:eastAsia="方正仿宋_GB18030" w:cs="方正仿宋_GB18030"/>
          <w:color w:val="000000"/>
          <w:sz w:val="24"/>
          <w:szCs w:val="24"/>
        </w:rPr>
        <w:t>。</w:t>
      </w:r>
    </w:p>
    <w:p w14:paraId="05DD1652">
      <w:pPr>
        <w:spacing w:line="440" w:lineRule="exact"/>
        <w:ind w:left="105" w:leftChars="50" w:firstLine="491" w:firstLineChars="205"/>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2</w:t>
      </w:r>
      <w:r>
        <w:rPr>
          <w:rFonts w:hint="eastAsia" w:ascii="方正仿宋_GB18030" w:hAnsi="方正仿宋_GB18030" w:eastAsia="方正仿宋_GB18030" w:cs="方正仿宋_GB18030"/>
          <w:sz w:val="24"/>
          <w:szCs w:val="24"/>
        </w:rPr>
        <w:t>．</w:t>
      </w:r>
      <w:r>
        <w:rPr>
          <w:rFonts w:hint="eastAsia" w:ascii="方正仿宋_GB18030" w:hAnsi="方正仿宋_GB18030" w:eastAsia="方正仿宋_GB18030" w:cs="方正仿宋_GB18030"/>
          <w:color w:val="000000"/>
          <w:sz w:val="24"/>
          <w:szCs w:val="24"/>
        </w:rPr>
        <w:t>发生紧急事故需抢修的，承包人在接到事故通知后，应当立即到达事故现场抢修。</w:t>
      </w:r>
      <w:bookmarkStart w:id="1015" w:name="_Hlk105683493"/>
      <w:r>
        <w:rPr>
          <w:rFonts w:hint="eastAsia" w:ascii="方正仿宋_GB18030" w:hAnsi="方正仿宋_GB18030" w:eastAsia="方正仿宋_GB18030" w:cs="方正仿宋_GB18030"/>
          <w:color w:val="000000"/>
          <w:sz w:val="24"/>
          <w:szCs w:val="24"/>
        </w:rPr>
        <w:t>发包人为紧急情况之必要，在承包人无法立即到达时可以自行抢修或委托他人抢修，属于施工造成的质量问题，承包人应承担发包人支出的全部费用。</w:t>
      </w:r>
    </w:p>
    <w:bookmarkEnd w:id="1015"/>
    <w:p w14:paraId="55C86F97">
      <w:pPr>
        <w:spacing w:line="440" w:lineRule="exact"/>
        <w:ind w:left="105" w:leftChars="50" w:firstLine="491" w:firstLineChars="205"/>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3</w:t>
      </w:r>
      <w:r>
        <w:rPr>
          <w:rFonts w:hint="eastAsia" w:ascii="方正仿宋_GB18030" w:hAnsi="方正仿宋_GB18030" w:eastAsia="方正仿宋_GB18030" w:cs="方正仿宋_GB18030"/>
          <w:sz w:val="24"/>
          <w:szCs w:val="24"/>
        </w:rPr>
        <w:t>．</w:t>
      </w:r>
      <w:r>
        <w:rPr>
          <w:rFonts w:hint="eastAsia" w:ascii="方正仿宋_GB18030" w:hAnsi="方正仿宋_GB18030" w:eastAsia="方正仿宋_GB18030" w:cs="方正仿宋_GB18030"/>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5D20541">
      <w:pPr>
        <w:spacing w:line="440" w:lineRule="exact"/>
        <w:ind w:firstLine="480" w:firstLineChars="20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4</w:t>
      </w:r>
      <w:r>
        <w:rPr>
          <w:rFonts w:hint="eastAsia" w:ascii="方正仿宋_GB18030" w:hAnsi="方正仿宋_GB18030" w:eastAsia="方正仿宋_GB18030" w:cs="方正仿宋_GB18030"/>
          <w:sz w:val="24"/>
          <w:szCs w:val="24"/>
        </w:rPr>
        <w:t>．</w:t>
      </w:r>
      <w:bookmarkStart w:id="1016" w:name="_Hlk105683583"/>
      <w:r>
        <w:rPr>
          <w:rFonts w:hint="eastAsia" w:ascii="方正仿宋_GB18030" w:hAnsi="方正仿宋_GB18030" w:eastAsia="方正仿宋_GB18030" w:cs="方正仿宋_GB18030"/>
          <w:color w:val="000000"/>
          <w:sz w:val="24"/>
          <w:szCs w:val="24"/>
        </w:rPr>
        <w:t>质量保修完成后，承包人应当立即通知发包人，并由发包人组织验收。如验收不合格的，承包人应当在发包人要求的合理期限内进行修改完善，如给发包人造成损失的，承包人应予赔偿。</w:t>
      </w:r>
    </w:p>
    <w:bookmarkEnd w:id="1016"/>
    <w:p w14:paraId="3E2F4A19">
      <w:pPr>
        <w:spacing w:line="440" w:lineRule="exact"/>
        <w:outlineLvl w:val="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　　五、保修费用</w:t>
      </w:r>
    </w:p>
    <w:p w14:paraId="63981B0A">
      <w:pPr>
        <w:spacing w:line="440" w:lineRule="exact"/>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　　保修费用由造成质量缺陷的责任方承担。</w:t>
      </w:r>
    </w:p>
    <w:p w14:paraId="5A3E55C7">
      <w:pPr>
        <w:spacing w:line="440" w:lineRule="exact"/>
        <w:ind w:firstLine="480" w:firstLineChars="200"/>
        <w:outlineLvl w:val="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六、双方约定的其他工程质量保修事项：</w:t>
      </w:r>
      <w:r>
        <w:rPr>
          <w:rFonts w:hint="eastAsia" w:ascii="方正仿宋_GB18030" w:hAnsi="方正仿宋_GB18030" w:eastAsia="方正仿宋_GB18030" w:cs="方正仿宋_GB18030"/>
          <w:i/>
          <w:iCs/>
          <w:color w:val="000000"/>
          <w:sz w:val="24"/>
          <w:szCs w:val="24"/>
          <w:u w:val="single"/>
        </w:rPr>
        <w:t xml:space="preserve">   </w:t>
      </w:r>
      <w:r>
        <w:rPr>
          <w:rFonts w:hint="eastAsia" w:ascii="方正仿宋_GB18030" w:hAnsi="方正仿宋_GB18030" w:eastAsia="方正仿宋_GB18030" w:cs="方正仿宋_GB18030"/>
          <w:color w:val="000000"/>
          <w:sz w:val="24"/>
          <w:szCs w:val="24"/>
          <w:u w:val="single"/>
        </w:rPr>
        <w:t>/</w:t>
      </w:r>
      <w:r>
        <w:rPr>
          <w:rFonts w:hint="eastAsia" w:ascii="方正仿宋_GB18030" w:hAnsi="方正仿宋_GB18030" w:eastAsia="方正仿宋_GB18030" w:cs="方正仿宋_GB18030"/>
          <w:i/>
          <w:iCs/>
          <w:color w:val="000000"/>
          <w:sz w:val="24"/>
          <w:szCs w:val="24"/>
          <w:u w:val="single"/>
        </w:rPr>
        <w:t xml:space="preserve">   </w:t>
      </w:r>
      <w:r>
        <w:rPr>
          <w:rFonts w:hint="eastAsia" w:ascii="方正仿宋_GB18030" w:hAnsi="方正仿宋_GB18030" w:eastAsia="方正仿宋_GB18030" w:cs="方正仿宋_GB18030"/>
          <w:color w:val="000000"/>
          <w:sz w:val="24"/>
          <w:szCs w:val="24"/>
        </w:rPr>
        <w:t>。</w:t>
      </w:r>
    </w:p>
    <w:p w14:paraId="66811080">
      <w:pPr>
        <w:spacing w:line="440" w:lineRule="exact"/>
        <w:ind w:firstLine="456" w:firstLineChars="19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工程质量保修书由发包人、承包人在工程竣工验收前共同签署，作为施工合同附件，其有效期限至保修期满。</w:t>
      </w:r>
    </w:p>
    <w:p w14:paraId="689821F8">
      <w:pPr>
        <w:spacing w:line="440" w:lineRule="exact"/>
        <w:ind w:firstLine="420"/>
        <w:rPr>
          <w:rFonts w:hint="eastAsia" w:ascii="方正仿宋_GB18030" w:hAnsi="方正仿宋_GB18030" w:eastAsia="方正仿宋_GB18030" w:cs="方正仿宋_GB18030"/>
          <w:color w:val="000000"/>
          <w:sz w:val="24"/>
          <w:szCs w:val="24"/>
        </w:rPr>
      </w:pPr>
    </w:p>
    <w:p w14:paraId="327FDF04">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发   包  人 (公章) ：            承   包   人(公章)：  </w:t>
      </w:r>
    </w:p>
    <w:p w14:paraId="05E26E0E">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16FF537A">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法定代表人（签字）：            法定代表人（签字）：</w:t>
      </w:r>
    </w:p>
    <w:p w14:paraId="5CCBE23D">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4E4F2A20">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lang w:val="en-US" w:eastAsia="zh-CN"/>
        </w:rPr>
        <w:t>或</w:t>
      </w:r>
      <w:r>
        <w:rPr>
          <w:rFonts w:hint="eastAsia" w:ascii="方正仿宋_GB18030" w:hAnsi="方正仿宋_GB18030" w:eastAsia="方正仿宋_GB18030" w:cs="方正仿宋_GB18030"/>
          <w:color w:val="000000"/>
          <w:kern w:val="0"/>
          <w:sz w:val="24"/>
          <w:szCs w:val="24"/>
        </w:rPr>
        <w:t xml:space="preserve">委托代理人（签字）：          </w:t>
      </w:r>
      <w:r>
        <w:rPr>
          <w:rFonts w:hint="eastAsia" w:ascii="方正仿宋_GB18030" w:hAnsi="方正仿宋_GB18030" w:eastAsia="方正仿宋_GB18030" w:cs="方正仿宋_GB18030"/>
          <w:color w:val="000000"/>
          <w:kern w:val="0"/>
          <w:sz w:val="24"/>
          <w:szCs w:val="24"/>
          <w:lang w:val="en-US" w:eastAsia="zh-CN"/>
        </w:rPr>
        <w:t>或</w:t>
      </w:r>
      <w:r>
        <w:rPr>
          <w:rFonts w:hint="eastAsia" w:ascii="方正仿宋_GB18030" w:hAnsi="方正仿宋_GB18030" w:eastAsia="方正仿宋_GB18030" w:cs="方正仿宋_GB18030"/>
          <w:color w:val="000000"/>
          <w:kern w:val="0"/>
          <w:sz w:val="24"/>
          <w:szCs w:val="24"/>
        </w:rPr>
        <w:t>委托代理人（签字）：</w:t>
      </w:r>
    </w:p>
    <w:p w14:paraId="34460512">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p>
    <w:p w14:paraId="3C8E4035">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经 办 人：                      经 办 人：</w:t>
      </w:r>
    </w:p>
    <w:p w14:paraId="5214EA1E">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5173A6F0">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地  址：                        地  址：</w:t>
      </w:r>
    </w:p>
    <w:p w14:paraId="6CF152CF">
      <w:pPr>
        <w:pStyle w:val="16"/>
        <w:spacing w:line="440" w:lineRule="exact"/>
        <w:rPr>
          <w:rFonts w:hint="eastAsia" w:ascii="方正仿宋_GB18030" w:hAnsi="方正仿宋_GB18030" w:eastAsia="方正仿宋_GB18030" w:cs="方正仿宋_GB18030"/>
          <w:sz w:val="24"/>
        </w:rPr>
      </w:pPr>
    </w:p>
    <w:p w14:paraId="4F81578D">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0C7475B3">
      <w:pPr>
        <w:spacing w:line="440" w:lineRule="exact"/>
        <w:rPr>
          <w:rFonts w:hint="eastAsia" w:ascii="方正仿宋_GB18030" w:hAnsi="方正仿宋_GB18030" w:eastAsia="方正仿宋_GB18030" w:cs="方正仿宋_GB18030"/>
          <w:color w:val="000000"/>
          <w:sz w:val="24"/>
          <w:szCs w:val="24"/>
        </w:rPr>
      </w:pPr>
    </w:p>
    <w:p w14:paraId="199D9DAB">
      <w:pPr>
        <w:spacing w:line="440" w:lineRule="exact"/>
        <w:jc w:val="center"/>
        <w:rPr>
          <w:rFonts w:hint="eastAsia" w:ascii="方正仿宋_GB18030" w:hAnsi="方正仿宋_GB18030" w:eastAsia="方正仿宋_GB18030" w:cs="方正仿宋_GB18030"/>
          <w:b/>
          <w:sz w:val="24"/>
          <w:szCs w:val="24"/>
        </w:rPr>
      </w:pPr>
    </w:p>
    <w:p w14:paraId="1BB36306">
      <w:pPr>
        <w:spacing w:line="440" w:lineRule="exact"/>
        <w:jc w:val="center"/>
        <w:rPr>
          <w:rFonts w:hint="eastAsia" w:ascii="方正仿宋_GB18030" w:hAnsi="方正仿宋_GB18030" w:eastAsia="方正仿宋_GB18030" w:cs="方正仿宋_GB18030"/>
          <w:bCs/>
          <w:sz w:val="24"/>
          <w:szCs w:val="24"/>
        </w:rPr>
      </w:pPr>
      <w:bookmarkStart w:id="1017" w:name="_Hlk105683683"/>
    </w:p>
    <w:p w14:paraId="53D3518C">
      <w:pPr>
        <w:pStyle w:val="2"/>
        <w:rPr>
          <w:rFonts w:hint="eastAsia" w:ascii="方正仿宋_GB18030" w:hAnsi="方正仿宋_GB18030" w:eastAsia="方正仿宋_GB18030" w:cs="方正仿宋_GB18030"/>
          <w:bCs/>
          <w:sz w:val="24"/>
          <w:szCs w:val="24"/>
        </w:rPr>
      </w:pPr>
    </w:p>
    <w:p w14:paraId="6A5C13C8">
      <w:pPr>
        <w:rPr>
          <w:rFonts w:hint="eastAsia" w:ascii="方正仿宋_GB18030" w:hAnsi="方正仿宋_GB18030" w:eastAsia="方正仿宋_GB18030" w:cs="方正仿宋_GB18030"/>
          <w:bCs/>
          <w:sz w:val="24"/>
          <w:szCs w:val="24"/>
        </w:rPr>
      </w:pPr>
    </w:p>
    <w:p w14:paraId="4DDC52C6">
      <w:pPr>
        <w:pStyle w:val="2"/>
        <w:rPr>
          <w:rFonts w:hint="eastAsia" w:ascii="方正仿宋_GB18030" w:hAnsi="方正仿宋_GB18030" w:eastAsia="方正仿宋_GB18030" w:cs="方正仿宋_GB18030"/>
          <w:bCs/>
          <w:sz w:val="24"/>
          <w:szCs w:val="24"/>
        </w:rPr>
      </w:pPr>
    </w:p>
    <w:p w14:paraId="59C078D0">
      <w:pPr>
        <w:rPr>
          <w:rFonts w:hint="eastAsia"/>
        </w:rPr>
      </w:pPr>
    </w:p>
    <w:p w14:paraId="4AED8B30">
      <w:pPr>
        <w:spacing w:line="440" w:lineRule="exact"/>
        <w:jc w:val="center"/>
        <w:rPr>
          <w:rFonts w:hint="eastAsia" w:ascii="方正仿宋_GB18030" w:hAnsi="方正仿宋_GB18030" w:eastAsia="方正仿宋_GB18030" w:cs="方正仿宋_GB18030"/>
          <w:bCs/>
          <w:sz w:val="24"/>
          <w:szCs w:val="24"/>
        </w:rPr>
      </w:pPr>
    </w:p>
    <w:p w14:paraId="4914753A">
      <w:pPr>
        <w:spacing w:line="440" w:lineRule="exact"/>
        <w:jc w:val="center"/>
        <w:rPr>
          <w:rFonts w:hint="eastAsia" w:ascii="方正仿宋_GB18030" w:hAnsi="方正仿宋_GB18030" w:eastAsia="方正仿宋_GB18030" w:cs="方正仿宋_GB18030"/>
          <w:bCs/>
          <w:sz w:val="24"/>
          <w:szCs w:val="24"/>
        </w:rPr>
      </w:pPr>
      <w:r>
        <w:rPr>
          <w:rFonts w:hint="eastAsia" w:ascii="方正仿宋_GB18030" w:hAnsi="方正仿宋_GB18030" w:eastAsia="方正仿宋_GB18030" w:cs="方正仿宋_GB18030"/>
          <w:bCs/>
          <w:sz w:val="24"/>
          <w:szCs w:val="24"/>
        </w:rPr>
        <w:t>建设工程廉政责任书</w:t>
      </w:r>
      <w:bookmarkEnd w:id="1017"/>
    </w:p>
    <w:p w14:paraId="617E8482">
      <w:pPr>
        <w:spacing w:line="440" w:lineRule="exact"/>
        <w:ind w:firstLine="480" w:firstLineChars="200"/>
        <w:rPr>
          <w:rFonts w:hint="eastAsia" w:ascii="方正仿宋_GB18030" w:hAnsi="方正仿宋_GB18030" w:eastAsia="方正仿宋_GB18030" w:cs="方正仿宋_GB18030"/>
          <w:color w:val="000000"/>
          <w:sz w:val="24"/>
          <w:szCs w:val="24"/>
        </w:rPr>
      </w:pPr>
      <w:r>
        <w:rPr>
          <w:rFonts w:hint="eastAsia" w:ascii="方正仿宋_GB18030" w:hAnsi="方正仿宋_GB18030" w:eastAsia="方正仿宋_GB18030" w:cs="方正仿宋_GB18030"/>
          <w:color w:val="000000"/>
          <w:sz w:val="24"/>
          <w:szCs w:val="24"/>
        </w:rPr>
        <w:t>发包人（全称）：</w:t>
      </w:r>
      <w:r>
        <w:rPr>
          <w:rFonts w:hint="eastAsia" w:ascii="方正仿宋_GB18030" w:hAnsi="方正仿宋_GB18030" w:eastAsia="方正仿宋_GB18030" w:cs="方正仿宋_GB18030"/>
          <w:bCs/>
          <w:color w:val="000000"/>
          <w:sz w:val="24"/>
          <w:szCs w:val="24"/>
          <w:u w:val="single"/>
          <w:lang w:val="en-US" w:eastAsia="zh-CN"/>
        </w:rPr>
        <w:t xml:space="preserve">                           </w:t>
      </w:r>
      <w:r>
        <w:rPr>
          <w:rFonts w:hint="eastAsia" w:ascii="方正仿宋_GB18030" w:hAnsi="方正仿宋_GB18030" w:eastAsia="方正仿宋_GB18030" w:cs="方正仿宋_GB18030"/>
          <w:color w:val="000000"/>
          <w:sz w:val="24"/>
          <w:szCs w:val="24"/>
          <w:u w:val="single"/>
        </w:rPr>
        <w:t xml:space="preserve"> </w:t>
      </w:r>
      <w:r>
        <w:rPr>
          <w:rFonts w:hint="eastAsia" w:ascii="方正仿宋_GB18030" w:hAnsi="方正仿宋_GB18030" w:eastAsia="方正仿宋_GB18030" w:cs="方正仿宋_GB18030"/>
          <w:color w:val="000000"/>
          <w:sz w:val="24"/>
          <w:szCs w:val="24"/>
        </w:rPr>
        <w:t xml:space="preserve">  </w:t>
      </w:r>
    </w:p>
    <w:p w14:paraId="772E6F34">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color w:val="000000"/>
          <w:sz w:val="24"/>
          <w:szCs w:val="24"/>
        </w:rPr>
        <w:t>　　承包人（全称）：</w:t>
      </w:r>
      <w:r>
        <w:rPr>
          <w:rFonts w:hint="eastAsia" w:ascii="方正仿宋_GB18030" w:hAnsi="方正仿宋_GB18030" w:eastAsia="方正仿宋_GB18030" w:cs="方正仿宋_GB18030"/>
          <w:bCs/>
          <w:color w:val="000000"/>
          <w:sz w:val="24"/>
          <w:szCs w:val="24"/>
          <w:u w:val="single"/>
          <w:lang w:val="en-US" w:eastAsia="zh-CN"/>
        </w:rPr>
        <w:t xml:space="preserve">                              </w:t>
      </w:r>
      <w:r>
        <w:rPr>
          <w:rFonts w:hint="eastAsia" w:ascii="方正仿宋_GB18030" w:hAnsi="方正仿宋_GB18030" w:eastAsia="方正仿宋_GB18030" w:cs="方正仿宋_GB18030"/>
          <w:sz w:val="24"/>
          <w:szCs w:val="24"/>
        </w:rPr>
        <w:t>　　　　　　　　　　　　　　　</w:t>
      </w:r>
    </w:p>
    <w:p w14:paraId="654FD98F">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1142B504">
      <w:pPr>
        <w:spacing w:line="440" w:lineRule="exact"/>
        <w:ind w:firstLine="480" w:firstLineChars="200"/>
        <w:rPr>
          <w:rFonts w:hint="eastAsia" w:ascii="方正仿宋_GB18030" w:hAnsi="方正仿宋_GB18030" w:eastAsia="方正仿宋_GB18030" w:cs="方正仿宋_GB18030"/>
          <w:bCs/>
          <w:sz w:val="24"/>
          <w:szCs w:val="24"/>
        </w:rPr>
      </w:pPr>
      <w:r>
        <w:rPr>
          <w:rFonts w:hint="eastAsia" w:ascii="方正仿宋_GB18030" w:hAnsi="方正仿宋_GB18030" w:eastAsia="方正仿宋_GB18030" w:cs="方正仿宋_GB18030"/>
          <w:bCs/>
          <w:sz w:val="24"/>
          <w:szCs w:val="24"/>
        </w:rPr>
        <w:t>一、双方的责任</w:t>
      </w:r>
    </w:p>
    <w:p w14:paraId="2E40FAF1">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1.1应严格遵守国家关于建设工程的有关法律、法规，相关政策，以及廉政建设的各项规定。</w:t>
      </w:r>
    </w:p>
    <w:p w14:paraId="5203321E">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1.2严格执行建设工程合同文件，自觉按合同办事。</w:t>
      </w:r>
    </w:p>
    <w:p w14:paraId="53624078">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1.3各项活动必须坚持公开、公平、公正、诚信、透明的原则(除法律法规另有规定者外)，不得为获取不正当的利益，损害国家、集体和对方利益，不得违反建设工程管理的规章制度。</w:t>
      </w:r>
    </w:p>
    <w:p w14:paraId="4968F712">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1.4发现对方在业务活动中有违规、违纪、违法行为的，应及时提醒对方，情节严重的，应向其上级主管部门或纪检监察、司法等有关机关举报。</w:t>
      </w:r>
    </w:p>
    <w:p w14:paraId="735AEEE3">
      <w:pPr>
        <w:spacing w:line="440" w:lineRule="exact"/>
        <w:ind w:firstLine="480" w:firstLineChars="200"/>
        <w:rPr>
          <w:rFonts w:hint="eastAsia" w:ascii="方正仿宋_GB18030" w:hAnsi="方正仿宋_GB18030" w:eastAsia="方正仿宋_GB18030" w:cs="方正仿宋_GB18030"/>
          <w:bCs/>
          <w:sz w:val="24"/>
          <w:szCs w:val="24"/>
        </w:rPr>
      </w:pPr>
      <w:r>
        <w:rPr>
          <w:rFonts w:hint="eastAsia" w:ascii="方正仿宋_GB18030" w:hAnsi="方正仿宋_GB18030" w:eastAsia="方正仿宋_GB18030" w:cs="方正仿宋_GB18030"/>
          <w:bCs/>
          <w:sz w:val="24"/>
          <w:szCs w:val="24"/>
        </w:rPr>
        <w:t>二、发包人责任</w:t>
      </w:r>
    </w:p>
    <w:p w14:paraId="685C23CE">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发包人的领导和从事该建设工程项目的工作人员，在工程建设的事前、事中、事后应遵守以下规定：</w:t>
      </w:r>
    </w:p>
    <w:p w14:paraId="4ED25809">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2.1不得向承包人和相关单位索要或接受回扣、礼金、有价证券、贵重物品和好处费、感谢费等。</w:t>
      </w:r>
    </w:p>
    <w:p w14:paraId="4B15DC89">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2.2不得在承包人和相关单位报销任何应由发包人或个人支付的费用。</w:t>
      </w:r>
    </w:p>
    <w:p w14:paraId="062B051F">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2.3不得要求、暗示或接受承包人和相关单位为个人装修住房、婚丧嫁娶、配偶子女的工作安排以及出国(境)、旅游等提供方便。</w:t>
      </w:r>
    </w:p>
    <w:p w14:paraId="1B82985E">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2.4不得参加有可能影响公正执行公务的承包人和相关单位的宴请、健身、娱乐等活动。</w:t>
      </w:r>
    </w:p>
    <w:p w14:paraId="11A0DA26">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2.5不得向承包人和相关单位介绍或为配偶、子女、亲属参与同发包人工程建设管理合同有关的业务活动；不得以任何理由要求承包人和相关单位使用某种产品、材料和设备。</w:t>
      </w:r>
    </w:p>
    <w:p w14:paraId="4B1F3202">
      <w:pPr>
        <w:spacing w:line="440" w:lineRule="exact"/>
        <w:ind w:firstLine="480" w:firstLineChars="200"/>
        <w:rPr>
          <w:rFonts w:hint="eastAsia" w:ascii="方正仿宋_GB18030" w:hAnsi="方正仿宋_GB18030" w:eastAsia="方正仿宋_GB18030" w:cs="方正仿宋_GB18030"/>
          <w:bCs/>
          <w:sz w:val="24"/>
          <w:szCs w:val="24"/>
        </w:rPr>
      </w:pPr>
      <w:r>
        <w:rPr>
          <w:rFonts w:hint="eastAsia" w:ascii="方正仿宋_GB18030" w:hAnsi="方正仿宋_GB18030" w:eastAsia="方正仿宋_GB18030" w:cs="方正仿宋_GB18030"/>
          <w:bCs/>
          <w:sz w:val="24"/>
          <w:szCs w:val="24"/>
        </w:rPr>
        <w:t>三、承包人责任</w:t>
      </w:r>
    </w:p>
    <w:p w14:paraId="0259AC9A">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应与发包人保持正常的业务交往，按照有关法律法规和程序开展业务工作，严格执行工程建设的有关方针、政策，执行工程建设强制性标准，并遵守以下规定：</w:t>
      </w:r>
    </w:p>
    <w:p w14:paraId="03D69F6A">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3.1不得以任何理由向发包人及其工作人员索要、接受或赠送礼金、有价证券、贵重物品及回扣、好处费、感谢费等。</w:t>
      </w:r>
    </w:p>
    <w:p w14:paraId="5D7EAB5C">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3.2不得以任何理由为发包人和相关单位报销应由对方或个人支付的费用。</w:t>
      </w:r>
    </w:p>
    <w:p w14:paraId="54E83EDA">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3.3不得接受或暗示为发包人、相关单位或个人装修住房、婚丧嫁娶、配偶子女的工作安排以及出国(境)、旅游等提供方便。</w:t>
      </w:r>
    </w:p>
    <w:p w14:paraId="36C517CA">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3.4不得以任何理由为发包人、相关单位或个人组织有可能影响公正执行公务的宴请、健身、娱乐等活动。</w:t>
      </w:r>
    </w:p>
    <w:p w14:paraId="4CD7381B">
      <w:pPr>
        <w:spacing w:line="440" w:lineRule="exact"/>
        <w:ind w:firstLine="480" w:firstLineChars="200"/>
        <w:rPr>
          <w:rFonts w:hint="eastAsia" w:ascii="方正仿宋_GB18030" w:hAnsi="方正仿宋_GB18030" w:eastAsia="方正仿宋_GB18030" w:cs="方正仿宋_GB18030"/>
          <w:bCs/>
          <w:sz w:val="24"/>
          <w:szCs w:val="24"/>
        </w:rPr>
      </w:pPr>
      <w:r>
        <w:rPr>
          <w:rFonts w:hint="eastAsia" w:ascii="方正仿宋_GB18030" w:hAnsi="方正仿宋_GB18030" w:eastAsia="方正仿宋_GB18030" w:cs="方正仿宋_GB18030"/>
          <w:bCs/>
          <w:sz w:val="24"/>
          <w:szCs w:val="24"/>
        </w:rPr>
        <w:t>四、违约责任</w:t>
      </w:r>
    </w:p>
    <w:p w14:paraId="445DD2D5">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4.1发包人工作人员有违反本责任书第一、二条责任行为的，依据有关法律、法规给予处理；涉嫌犯罪的，移交司法机关追究刑事责任；给承包人单位造成经济损失的，应予以赔偿。</w:t>
      </w:r>
    </w:p>
    <w:p w14:paraId="2E65B125">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4.2承包人工作人员有违反本责任书第一、三条责任行为的，依据有关法律法规处理；涉嫌犯罪的，移交司法机关追究刑事责任；给发包人单位造成经济损失的，应予以赔偿。</w:t>
      </w:r>
    </w:p>
    <w:p w14:paraId="648430B0">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4.3本责任书作为建设工程合同的组成部分，与建设工程合同具有同等法律效力。经双方签署后立即生效。</w:t>
      </w:r>
    </w:p>
    <w:p w14:paraId="7064F7FE">
      <w:pPr>
        <w:spacing w:line="440" w:lineRule="exact"/>
        <w:ind w:firstLine="480" w:firstLineChars="200"/>
        <w:rPr>
          <w:rFonts w:hint="eastAsia" w:ascii="方正仿宋_GB18030" w:hAnsi="方正仿宋_GB18030" w:eastAsia="方正仿宋_GB18030" w:cs="方正仿宋_GB18030"/>
          <w:bCs/>
          <w:sz w:val="24"/>
          <w:szCs w:val="24"/>
        </w:rPr>
      </w:pPr>
      <w:r>
        <w:rPr>
          <w:rFonts w:hint="eastAsia" w:ascii="方正仿宋_GB18030" w:hAnsi="方正仿宋_GB18030" w:eastAsia="方正仿宋_GB18030" w:cs="方正仿宋_GB18030"/>
          <w:bCs/>
          <w:sz w:val="24"/>
          <w:szCs w:val="24"/>
        </w:rPr>
        <w:t>五、责任书有效期</w:t>
      </w:r>
    </w:p>
    <w:p w14:paraId="1453B7AC">
      <w:pPr>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本责任书的有效期为双方签署之日起至该工程项目竣工验收合格时止。</w:t>
      </w:r>
    </w:p>
    <w:p w14:paraId="04CAD3BB">
      <w:pPr>
        <w:spacing w:line="440" w:lineRule="exact"/>
        <w:ind w:firstLine="480" w:firstLineChars="200"/>
        <w:rPr>
          <w:rFonts w:hint="eastAsia" w:ascii="方正仿宋_GB18030" w:hAnsi="方正仿宋_GB18030" w:eastAsia="方正仿宋_GB18030" w:cs="方正仿宋_GB18030"/>
          <w:bCs/>
          <w:sz w:val="24"/>
          <w:szCs w:val="24"/>
        </w:rPr>
      </w:pPr>
      <w:r>
        <w:rPr>
          <w:rFonts w:hint="eastAsia" w:ascii="方正仿宋_GB18030" w:hAnsi="方正仿宋_GB18030" w:eastAsia="方正仿宋_GB18030" w:cs="方正仿宋_GB18030"/>
          <w:bCs/>
          <w:sz w:val="24"/>
          <w:szCs w:val="24"/>
        </w:rPr>
        <w:t>六、责任书份数</w:t>
      </w:r>
    </w:p>
    <w:p w14:paraId="267DEB23">
      <w:pPr>
        <w:spacing w:line="440" w:lineRule="exact"/>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本责任书一式六份，发包人承包人各执三份，具有同等效力。</w:t>
      </w:r>
    </w:p>
    <w:p w14:paraId="777EB8CC">
      <w:pPr>
        <w:spacing w:line="440" w:lineRule="exact"/>
        <w:jc w:val="left"/>
        <w:rPr>
          <w:rFonts w:hint="eastAsia" w:ascii="方正仿宋_GB18030" w:hAnsi="方正仿宋_GB18030" w:eastAsia="方正仿宋_GB18030" w:cs="方正仿宋_GB18030"/>
          <w:color w:val="000000"/>
          <w:kern w:val="0"/>
          <w:sz w:val="24"/>
          <w:szCs w:val="24"/>
        </w:rPr>
      </w:pPr>
    </w:p>
    <w:p w14:paraId="0ABFEE91">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发 包 人：  (公章)              承 包 人：  (公章)</w:t>
      </w:r>
    </w:p>
    <w:p w14:paraId="77587C6A">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1A55A61D">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法定代表人（签字）：            法定代表人（签字）：</w:t>
      </w:r>
    </w:p>
    <w:p w14:paraId="0EF1B01F">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444124DF">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lang w:val="en-US" w:eastAsia="zh-CN"/>
        </w:rPr>
        <w:t>或</w:t>
      </w:r>
      <w:r>
        <w:rPr>
          <w:rFonts w:hint="eastAsia" w:ascii="方正仿宋_GB18030" w:hAnsi="方正仿宋_GB18030" w:eastAsia="方正仿宋_GB18030" w:cs="方正仿宋_GB18030"/>
          <w:color w:val="000000"/>
          <w:kern w:val="0"/>
          <w:sz w:val="24"/>
          <w:szCs w:val="24"/>
        </w:rPr>
        <w:t xml:space="preserve">委托代理人（签字）：         </w:t>
      </w:r>
      <w:r>
        <w:rPr>
          <w:rFonts w:hint="eastAsia" w:ascii="方正仿宋_GB18030" w:hAnsi="方正仿宋_GB18030" w:eastAsia="方正仿宋_GB18030" w:cs="方正仿宋_GB18030"/>
          <w:color w:val="000000"/>
          <w:kern w:val="0"/>
          <w:sz w:val="24"/>
          <w:szCs w:val="24"/>
          <w:lang w:val="en-US" w:eastAsia="zh-CN"/>
        </w:rPr>
        <w:t>或</w:t>
      </w:r>
      <w:r>
        <w:rPr>
          <w:rFonts w:hint="eastAsia" w:ascii="方正仿宋_GB18030" w:hAnsi="方正仿宋_GB18030" w:eastAsia="方正仿宋_GB18030" w:cs="方正仿宋_GB18030"/>
          <w:color w:val="000000"/>
          <w:kern w:val="0"/>
          <w:sz w:val="24"/>
          <w:szCs w:val="24"/>
        </w:rPr>
        <w:t>委托代理人（签字）：</w:t>
      </w:r>
    </w:p>
    <w:p w14:paraId="5E24A7B8">
      <w:pPr>
        <w:spacing w:line="440" w:lineRule="exact"/>
        <w:ind w:firstLine="480" w:firstLineChars="200"/>
        <w:jc w:val="left"/>
        <w:rPr>
          <w:rFonts w:hint="eastAsia" w:ascii="方正仿宋_GB18030" w:hAnsi="方正仿宋_GB18030" w:eastAsia="方正仿宋_GB18030" w:cs="方正仿宋_GB18030"/>
          <w:color w:val="000000"/>
          <w:kern w:val="0"/>
          <w:sz w:val="24"/>
          <w:szCs w:val="24"/>
        </w:rPr>
      </w:pPr>
    </w:p>
    <w:p w14:paraId="2F2742BF">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经 办 人：                     经 办 人：</w:t>
      </w:r>
    </w:p>
    <w:p w14:paraId="0BC94CBD">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0A88003E">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地  址：                         地  址：                        </w:t>
      </w:r>
    </w:p>
    <w:p w14:paraId="214D7FB2">
      <w:pPr>
        <w:spacing w:line="440" w:lineRule="exact"/>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p>
    <w:p w14:paraId="2B0E9F52">
      <w:pPr>
        <w:pStyle w:val="2"/>
        <w:rPr>
          <w:rFonts w:hint="eastAsia" w:ascii="方正仿宋_GB18030" w:hAnsi="方正仿宋_GB18030" w:eastAsia="方正仿宋_GB18030" w:cs="方正仿宋_GB18030"/>
          <w:color w:val="000000"/>
          <w:kern w:val="0"/>
          <w:sz w:val="24"/>
          <w:szCs w:val="24"/>
        </w:rPr>
      </w:pPr>
    </w:p>
    <w:p w14:paraId="38BDBA06">
      <w:pPr>
        <w:rPr>
          <w:rFonts w:hint="eastAsia" w:ascii="方正仿宋_GB18030" w:hAnsi="方正仿宋_GB18030" w:eastAsia="方正仿宋_GB18030" w:cs="方正仿宋_GB18030"/>
          <w:color w:val="000000"/>
          <w:kern w:val="0"/>
          <w:sz w:val="24"/>
          <w:szCs w:val="24"/>
        </w:rPr>
      </w:pPr>
    </w:p>
    <w:p w14:paraId="4BD56BC7">
      <w:pPr>
        <w:pStyle w:val="2"/>
        <w:rPr>
          <w:rFonts w:hint="eastAsia" w:ascii="方正仿宋_GB18030" w:hAnsi="方正仿宋_GB18030" w:eastAsia="方正仿宋_GB18030" w:cs="方正仿宋_GB18030"/>
          <w:color w:val="000000"/>
          <w:kern w:val="0"/>
          <w:sz w:val="24"/>
          <w:szCs w:val="24"/>
        </w:rPr>
      </w:pPr>
    </w:p>
    <w:p w14:paraId="1DE909C3">
      <w:pPr>
        <w:rPr>
          <w:rFonts w:hint="eastAsia"/>
        </w:rPr>
      </w:pPr>
    </w:p>
    <w:p w14:paraId="5B8CDA85">
      <w:pPr>
        <w:pageBreakBefore w:val="0"/>
        <w:kinsoku/>
        <w:wordWrap/>
        <w:overflowPunct/>
        <w:topLinePunct w:val="0"/>
        <w:bidi w:val="0"/>
        <w:spacing w:line="440" w:lineRule="exact"/>
        <w:ind w:firstLine="480" w:firstLineChars="200"/>
        <w:jc w:val="center"/>
        <w:rPr>
          <w:rFonts w:hint="eastAsia" w:ascii="方正仿宋_GB18030" w:hAnsi="方正仿宋_GB18030" w:eastAsia="方正仿宋_GB18030" w:cs="方正仿宋_GB18030"/>
          <w:sz w:val="24"/>
          <w:szCs w:val="24"/>
        </w:rPr>
      </w:pPr>
      <w:bookmarkStart w:id="1018" w:name="_Toc435690184"/>
      <w:bookmarkStart w:id="1019" w:name="_Toc336680145"/>
      <w:bookmarkStart w:id="1020" w:name="_Toc448406299"/>
      <w:bookmarkStart w:id="1021" w:name="_Toc435689499"/>
      <w:bookmarkStart w:id="1022" w:name="_Toc247431422"/>
      <w:bookmarkStart w:id="1023" w:name="_Toc239510288"/>
      <w:r>
        <w:rPr>
          <w:rFonts w:hint="eastAsia" w:ascii="方正仿宋_GB18030" w:hAnsi="方正仿宋_GB18030" w:eastAsia="方正仿宋_GB18030" w:cs="方正仿宋_GB18030"/>
          <w:sz w:val="24"/>
          <w:szCs w:val="24"/>
        </w:rPr>
        <w:t>安全管理协议</w:t>
      </w:r>
      <w:bookmarkEnd w:id="1018"/>
      <w:bookmarkEnd w:id="1019"/>
      <w:bookmarkEnd w:id="1020"/>
      <w:bookmarkEnd w:id="1021"/>
      <w:bookmarkEnd w:id="1022"/>
      <w:bookmarkEnd w:id="1023"/>
    </w:p>
    <w:p w14:paraId="1FA5F093">
      <w:pPr>
        <w:pStyle w:val="16"/>
        <w:pageBreakBefore w:val="0"/>
        <w:kinsoku/>
        <w:wordWrap/>
        <w:overflowPunct/>
        <w:topLinePunct w:val="0"/>
        <w:bidi w:val="0"/>
        <w:spacing w:line="440" w:lineRule="exact"/>
        <w:rPr>
          <w:rFonts w:hint="eastAsia" w:ascii="方正仿宋_GB18030" w:hAnsi="方正仿宋_GB18030" w:eastAsia="方正仿宋_GB18030" w:cs="方正仿宋_GB18030"/>
          <w:sz w:val="24"/>
        </w:rPr>
      </w:pPr>
    </w:p>
    <w:p w14:paraId="43813B0C">
      <w:pPr>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为了确保实现</w:t>
      </w:r>
      <w:r>
        <w:rPr>
          <w:rFonts w:hint="eastAsia" w:ascii="方正仿宋_GB18030" w:hAnsi="方正仿宋_GB18030" w:eastAsia="方正仿宋_GB18030" w:cs="方正仿宋_GB18030"/>
          <w:sz w:val="24"/>
          <w:szCs w:val="24"/>
          <w:u w:val="single"/>
          <w:lang w:val="en-US" w:eastAsia="zh-CN"/>
        </w:rPr>
        <w:t xml:space="preserve">                           </w:t>
      </w:r>
      <w:r>
        <w:rPr>
          <w:rFonts w:hint="eastAsia" w:ascii="方正仿宋_GB18030" w:hAnsi="方正仿宋_GB18030" w:eastAsia="方正仿宋_GB18030" w:cs="方正仿宋_GB18030"/>
          <w:sz w:val="24"/>
          <w:szCs w:val="24"/>
        </w:rPr>
        <w:t>工程安全生产目标，进一步明确双方的安全管理责任，加强安全生产管理工作的协调、管理力度，</w:t>
      </w:r>
      <w:r>
        <w:rPr>
          <w:rFonts w:hint="eastAsia" w:ascii="方正仿宋_GB18030" w:hAnsi="方正仿宋_GB18030" w:eastAsia="方正仿宋_GB18030" w:cs="方正仿宋_GB18030"/>
          <w:sz w:val="24"/>
          <w:szCs w:val="24"/>
          <w:u w:val="single"/>
          <w:lang w:val="en-US" w:eastAsia="zh-CN"/>
        </w:rPr>
        <w:t xml:space="preserve">                          </w:t>
      </w:r>
      <w:r>
        <w:rPr>
          <w:rFonts w:hint="eastAsia" w:ascii="方正仿宋_GB18030" w:hAnsi="方正仿宋_GB18030" w:eastAsia="方正仿宋_GB18030" w:cs="方正仿宋_GB18030"/>
          <w:sz w:val="24"/>
          <w:szCs w:val="24"/>
        </w:rPr>
        <w:t>（以下简称“发包人”）与</w:t>
      </w:r>
      <w:r>
        <w:rPr>
          <w:rFonts w:hint="eastAsia" w:ascii="方正仿宋_GB18030" w:hAnsi="方正仿宋_GB18030" w:eastAsia="方正仿宋_GB18030" w:cs="方正仿宋_GB18030"/>
          <w:sz w:val="24"/>
          <w:szCs w:val="24"/>
          <w:u w:val="single"/>
          <w:lang w:val="en-US" w:eastAsia="zh-CN"/>
        </w:rPr>
        <w:t xml:space="preserve">                        </w:t>
      </w:r>
      <w:r>
        <w:rPr>
          <w:rFonts w:hint="eastAsia" w:ascii="方正仿宋_GB18030" w:hAnsi="方正仿宋_GB18030" w:eastAsia="方正仿宋_GB18030" w:cs="方正仿宋_GB18030"/>
          <w:sz w:val="24"/>
          <w:szCs w:val="24"/>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47907422">
      <w:pPr>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rPr>
      </w:pPr>
      <w:bookmarkStart w:id="1024" w:name="_Toc532375700"/>
      <w:bookmarkStart w:id="1025" w:name="_Toc239510289"/>
      <w:bookmarkStart w:id="1026" w:name="_Toc247431423"/>
      <w:bookmarkStart w:id="1027" w:name="_Toc247418263"/>
      <w:r>
        <w:rPr>
          <w:rFonts w:hint="eastAsia" w:ascii="方正仿宋_GB18030" w:hAnsi="方正仿宋_GB18030" w:eastAsia="方正仿宋_GB18030" w:cs="方正仿宋_GB18030"/>
          <w:sz w:val="24"/>
          <w:szCs w:val="24"/>
        </w:rPr>
        <w:t>一、协议有效期限</w:t>
      </w:r>
      <w:bookmarkEnd w:id="1024"/>
      <w:bookmarkEnd w:id="1025"/>
      <w:bookmarkEnd w:id="1026"/>
      <w:bookmarkEnd w:id="1027"/>
    </w:p>
    <w:p w14:paraId="660EACD2">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本协议中所涉及的安全管理责任自合同签订之日起开始生效，至合同工程全部完工验收且经发包人与承包人签订移交协议生效后之日终止。</w:t>
      </w:r>
    </w:p>
    <w:p w14:paraId="11C2806E">
      <w:pPr>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rPr>
      </w:pPr>
      <w:bookmarkStart w:id="1028" w:name="_Toc532375701"/>
      <w:bookmarkStart w:id="1029" w:name="_Toc247418264"/>
      <w:bookmarkStart w:id="1030" w:name="_Toc247431424"/>
      <w:bookmarkStart w:id="1031" w:name="_Toc239510290"/>
      <w:r>
        <w:rPr>
          <w:rFonts w:hint="eastAsia" w:ascii="方正仿宋_GB18030" w:hAnsi="方正仿宋_GB18030" w:eastAsia="方正仿宋_GB18030" w:cs="方正仿宋_GB18030"/>
          <w:sz w:val="24"/>
          <w:szCs w:val="24"/>
        </w:rPr>
        <w:t>二、责任目标</w:t>
      </w:r>
      <w:bookmarkEnd w:id="1028"/>
      <w:bookmarkEnd w:id="1029"/>
      <w:bookmarkEnd w:id="1030"/>
      <w:bookmarkEnd w:id="1031"/>
    </w:p>
    <w:p w14:paraId="577380CC">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（一）承包人承诺承担和履行合同和发包人所规定的安全责任，且满足要求。</w:t>
      </w:r>
    </w:p>
    <w:p w14:paraId="514878BD">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（二）承包人的安全控制目标是确保本工程在实施过程中：</w:t>
      </w:r>
    </w:p>
    <w:p w14:paraId="025004C2">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1．不发生人身重伤事故；</w:t>
      </w:r>
    </w:p>
    <w:p w14:paraId="2BB776DC">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2．不发生火灾事故；</w:t>
      </w:r>
    </w:p>
    <w:p w14:paraId="7903C900">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3．不发生负有同等及以上事故责任的造成人身重伤的一般交通事故；</w:t>
      </w:r>
    </w:p>
    <w:p w14:paraId="0E9E32FC">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4．不发生集体食物中毒事件（同时5人及以上的食物中毒）；</w:t>
      </w:r>
    </w:p>
    <w:p w14:paraId="6EF85E1C">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5．不发生流行性传染病 （无甲型传染病、其他常见传染病未形成多人同时患病）；</w:t>
      </w:r>
    </w:p>
    <w:p w14:paraId="0ABE6111">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6．不发生重大环境污染事件（生活、工业垃圾及其他污染物造成环境污染和大面积水土流失）；</w:t>
      </w:r>
    </w:p>
    <w:p w14:paraId="44F5CE5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7．不发生对施工区附近生产、生活造成重大影响的事件（如造成重大设备损坏、重大财产损失、人员伤害等）；</w:t>
      </w:r>
    </w:p>
    <w:p w14:paraId="755B9F6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8．不发生治安保卫事件（构成刑事拘留及以上的事件、盗窃直接损失超过1万元人民币的事件）。</w:t>
      </w:r>
    </w:p>
    <w:p w14:paraId="68BF8F74">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bookmarkStart w:id="1032" w:name="_Toc247418265"/>
      <w:bookmarkStart w:id="1033" w:name="_Toc247431425"/>
      <w:bookmarkStart w:id="1034" w:name="_Toc239510291"/>
      <w:r>
        <w:rPr>
          <w:rFonts w:hint="eastAsia" w:ascii="方正仿宋_GB18030" w:hAnsi="方正仿宋_GB18030" w:eastAsia="方正仿宋_GB18030" w:cs="方正仿宋_GB18030"/>
          <w:sz w:val="24"/>
          <w:szCs w:val="24"/>
        </w:rPr>
        <w:t>（三）承包人承诺在施工中控制以下安全事故的发生：</w:t>
      </w:r>
      <w:bookmarkEnd w:id="1032"/>
      <w:bookmarkEnd w:id="1033"/>
      <w:bookmarkEnd w:id="1034"/>
    </w:p>
    <w:p w14:paraId="55F6125C">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1．人员轻伤事故。</w:t>
      </w:r>
    </w:p>
    <w:p w14:paraId="12754835">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2．负有同等及以上事故责任的人身轻伤交通事故。</w:t>
      </w:r>
    </w:p>
    <w:p w14:paraId="7C274510">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3．其他安全未遂事故和异常事件。</w:t>
      </w:r>
    </w:p>
    <w:p w14:paraId="0870EC71">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1035" w:name="_Toc239510292"/>
      <w:bookmarkStart w:id="1036" w:name="_Toc247431426"/>
      <w:bookmarkStart w:id="1037" w:name="_Toc247418266"/>
      <w:bookmarkStart w:id="1038" w:name="_Toc532375702"/>
      <w:r>
        <w:rPr>
          <w:rFonts w:hint="eastAsia" w:ascii="方正仿宋_GB18030" w:hAnsi="方正仿宋_GB18030" w:eastAsia="方正仿宋_GB18030" w:cs="方正仿宋_GB18030"/>
          <w:sz w:val="24"/>
          <w:szCs w:val="24"/>
        </w:rPr>
        <w:t>三、安全责任</w:t>
      </w:r>
      <w:bookmarkEnd w:id="1035"/>
      <w:bookmarkEnd w:id="1036"/>
      <w:bookmarkEnd w:id="1037"/>
      <w:bookmarkEnd w:id="1038"/>
    </w:p>
    <w:p w14:paraId="0721B811">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1．承包人负有安全生产的管理责任和直接责任。</w:t>
      </w:r>
    </w:p>
    <w:p w14:paraId="0B724D4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2．承包人的法人或签署合同的公司总经理或受委托的代理人对合同安全负有全面的领导责任。</w:t>
      </w:r>
    </w:p>
    <w:p w14:paraId="7172C48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3．承包人项目经理对施工现场的安全工作负有全面的直接领导责任。</w:t>
      </w:r>
    </w:p>
    <w:p w14:paraId="2DF3B0A8">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4．承包人保证执行“谁施工、谁负责”的施工安全原则。</w:t>
      </w:r>
    </w:p>
    <w:p w14:paraId="2F87817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5．承包人保证服从发包人对安全工作的统一协调和管理。</w:t>
      </w:r>
    </w:p>
    <w:p w14:paraId="0E7B66F9">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6．承包人保证对本工程项目安全生产条件及其管理资源自行投入，保证安全资金的专款专用。</w:t>
      </w:r>
    </w:p>
    <w:p w14:paraId="7F95CA97">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7．承包人保证建立本工程项目的安全管理体系及安全保证体系（注：项目安全管理大纲/手册、管理性的程序文件等）。</w:t>
      </w:r>
    </w:p>
    <w:p w14:paraId="24DF121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8．承包人保证现场的安全管理专职人员必须持有建设主管部门安全生产培训考核合格证书。</w:t>
      </w:r>
    </w:p>
    <w:p w14:paraId="39F2CCA1">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9．承包人保证为现场所有工作人员（含分包商员工及劳务人员）配备符合国家标准的有承包人和/或其下属分包商标志的个人基本劳动保护用品。</w:t>
      </w:r>
    </w:p>
    <w:p w14:paraId="5817BB75">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10．承包人保证按照国家法律规定为现场所有工作人员（含分包商员工及劳务人员）购买意外伤害保险。</w:t>
      </w:r>
    </w:p>
    <w:p w14:paraId="2B6ED910">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11．承包人保证施工生活营地（包括自建的和租用的营地）满足消防、安全用电、卫生防疫、防暴雨、防雷击等方面的安全要求。</w:t>
      </w:r>
    </w:p>
    <w:p w14:paraId="4E61DB9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12．承包人保证对带入现场的设备、工具、材料按照国家法规和标准进行检测、试验，并持有法定部门出具的检验证书。</w:t>
      </w:r>
    </w:p>
    <w:p w14:paraId="206998A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13．承包人保证制订施工现场的文明施工措施，保护环境、树木和植被，保持施工现场的良好秩序和整洁的作业环境。</w:t>
      </w:r>
    </w:p>
    <w:p w14:paraId="7E0C44AB">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14．承包人负责在施工过程中与当地政府、周边群众及其他承包商保持良好的沟通和交流。承包人遇到与周边群众发生纠纷时，应负责协调工作，确保工程能够顺利进行。</w:t>
      </w:r>
    </w:p>
    <w:p w14:paraId="1E189197">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1039" w:name="_Toc239510293"/>
      <w:bookmarkStart w:id="1040" w:name="_Toc247418267"/>
      <w:bookmarkStart w:id="1041" w:name="_Toc532375703"/>
      <w:bookmarkStart w:id="1042" w:name="_Toc247431427"/>
      <w:r>
        <w:rPr>
          <w:rFonts w:hint="eastAsia" w:ascii="方正仿宋_GB18030" w:hAnsi="方正仿宋_GB18030" w:eastAsia="方正仿宋_GB18030" w:cs="方正仿宋_GB18030"/>
          <w:sz w:val="24"/>
          <w:szCs w:val="24"/>
        </w:rPr>
        <w:t>四、接口及协调</w:t>
      </w:r>
      <w:bookmarkEnd w:id="1039"/>
      <w:bookmarkEnd w:id="1040"/>
      <w:bookmarkEnd w:id="1041"/>
      <w:bookmarkEnd w:id="1042"/>
    </w:p>
    <w:p w14:paraId="31B538FC">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1．发包人委托监理公司对该工程实施监理，监理公司在安全管理方面代表发包人行使监督检查职能，承包人必须给予配合和支持。</w:t>
      </w:r>
    </w:p>
    <w:p w14:paraId="5C723FF1">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2．承包人人员、车辆的出入，带入现场的设备、机具、材料，在现场使用的或直接管理的办公、生活、生产性设施的安全管理须满足发包人现场管理的基本要求。</w:t>
      </w:r>
    </w:p>
    <w:p w14:paraId="577C56EA">
      <w:pPr>
        <w:pageBreakBefore w:val="0"/>
        <w:kinsoku/>
        <w:wordWrap/>
        <w:overflowPunct/>
        <w:topLinePunct w:val="0"/>
        <w:bidi w:val="0"/>
        <w:spacing w:line="440" w:lineRule="exact"/>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3．承包人应指定专职安全管理人员与发包人委托的监理公司接口，参与安全协调和管理。安全协调和管理的内容包括职业健康、工业安全、消防安全、卫生防疫、交通安全、环境保护、治安保卫等各方面。</w:t>
      </w:r>
    </w:p>
    <w:p w14:paraId="30A45B1A">
      <w:pPr>
        <w:pageBreakBefore w:val="0"/>
        <w:kinsoku/>
        <w:wordWrap/>
        <w:overflowPunct/>
        <w:topLinePunct w:val="0"/>
        <w:bidi w:val="0"/>
        <w:spacing w:line="440" w:lineRule="exact"/>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7358EB0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5．承包人指定的专职安全管理人员应与发包人委托的监理公司建立联系，在业务上接受发包人委托的监理公司的协调和指导。</w:t>
      </w:r>
    </w:p>
    <w:p w14:paraId="249AA6C2">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6．开工后承包人的专职安全管理人员应按照发包人委托的监理公司的规定，定期报送安全月度快报、季报、年报和各种专项事故报告等。</w:t>
      </w:r>
    </w:p>
    <w:p w14:paraId="2B29C93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7．在工程实体未全部正式移交发包人施工管理部门之前，承包人依旧对施工范围内的安全管理负责。</w:t>
      </w:r>
    </w:p>
    <w:p w14:paraId="36586FE5">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1043" w:name="_Toc532375704"/>
      <w:bookmarkStart w:id="1044" w:name="_Toc247418268"/>
      <w:bookmarkStart w:id="1045" w:name="_Toc239510294"/>
      <w:bookmarkStart w:id="1046" w:name="_Toc247431428"/>
      <w:r>
        <w:rPr>
          <w:rFonts w:hint="eastAsia" w:ascii="方正仿宋_GB18030" w:hAnsi="方正仿宋_GB18030" w:eastAsia="方正仿宋_GB18030" w:cs="方正仿宋_GB18030"/>
          <w:sz w:val="24"/>
          <w:szCs w:val="24"/>
        </w:rPr>
        <w:t>五、安全资质审查</w:t>
      </w:r>
      <w:bookmarkEnd w:id="1043"/>
      <w:bookmarkEnd w:id="1044"/>
      <w:bookmarkEnd w:id="1045"/>
      <w:bookmarkEnd w:id="1046"/>
    </w:p>
    <w:p w14:paraId="6D34D514">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承包人在项目开工前5个工作天内向发包人委托的监理公司提供以下安全资质供审查和存档：</w:t>
      </w:r>
    </w:p>
    <w:p w14:paraId="23E7FC14">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1．企业安全生产许可证书复印件。</w:t>
      </w:r>
    </w:p>
    <w:p w14:paraId="688FC460">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2．企业近三年的施工简历及安全施工业绩证明文件。</w:t>
      </w:r>
    </w:p>
    <w:p w14:paraId="30145F91">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3．企业主要安全管理人员（包括项目经理、专职安全管理人员）经建设主管部门安全生产知识考核合格证书。</w:t>
      </w:r>
    </w:p>
    <w:p w14:paraId="0EC22218">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4．特种作业人员资格证书。</w:t>
      </w:r>
    </w:p>
    <w:p w14:paraId="57B36DA1">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5．项目安全管理机构及其人员配备（承包人必须配有专职的安全员）。</w:t>
      </w:r>
    </w:p>
    <w:p w14:paraId="1F606FF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6．适用于项目的安全管理体系及保证体系文件（安全管理大纲及管理程序文件）。</w:t>
      </w:r>
    </w:p>
    <w:p w14:paraId="752E1932">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1047" w:name="_Toc247431429"/>
      <w:bookmarkStart w:id="1048" w:name="_Toc247418269"/>
      <w:bookmarkStart w:id="1049" w:name="_Toc239510295"/>
      <w:bookmarkStart w:id="1050" w:name="_Toc532375705"/>
      <w:r>
        <w:rPr>
          <w:rFonts w:hint="eastAsia" w:ascii="方正仿宋_GB18030" w:hAnsi="方正仿宋_GB18030" w:eastAsia="方正仿宋_GB18030" w:cs="方正仿宋_GB18030"/>
          <w:sz w:val="24"/>
          <w:szCs w:val="24"/>
        </w:rPr>
        <w:t>六、人员基本素质</w:t>
      </w:r>
      <w:bookmarkEnd w:id="1047"/>
      <w:bookmarkEnd w:id="1048"/>
      <w:bookmarkEnd w:id="1049"/>
      <w:bookmarkEnd w:id="1050"/>
    </w:p>
    <w:p w14:paraId="24F8D73C">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承包人提供的人员必须满足下列要求:</w:t>
      </w:r>
    </w:p>
    <w:p w14:paraId="4AFFDC04">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0255A762">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2．无刑事案件牵连。</w:t>
      </w:r>
    </w:p>
    <w:p w14:paraId="1CFEFA90">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3．无吸毒、酗酒、赌博、嫖娼等恶习及违法行为。</w:t>
      </w:r>
    </w:p>
    <w:p w14:paraId="55488F24">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1051" w:name="_Toc532375706"/>
      <w:bookmarkStart w:id="1052" w:name="_Toc239510296"/>
      <w:bookmarkStart w:id="1053" w:name="_Toc247418270"/>
      <w:bookmarkStart w:id="1054" w:name="_Toc247431430"/>
      <w:r>
        <w:rPr>
          <w:rFonts w:hint="eastAsia" w:ascii="方正仿宋_GB18030" w:hAnsi="方正仿宋_GB18030" w:eastAsia="方正仿宋_GB18030" w:cs="方正仿宋_GB18030"/>
          <w:sz w:val="24"/>
          <w:szCs w:val="24"/>
        </w:rPr>
        <w:t>七、劳动保护</w:t>
      </w:r>
      <w:bookmarkEnd w:id="1051"/>
      <w:bookmarkEnd w:id="1052"/>
      <w:bookmarkEnd w:id="1053"/>
      <w:bookmarkEnd w:id="1054"/>
    </w:p>
    <w:p w14:paraId="3FC797A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1．承包人负责为本单位任何用工形式的员工提供个人劳动保护用品（包括工作服、安全帽、安全鞋等）。</w:t>
      </w:r>
    </w:p>
    <w:p w14:paraId="6138AA9B">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2．承包人负责向特殊工种的员工提供特殊劳动保护，否则不得从事特殊工种作业。</w:t>
      </w:r>
    </w:p>
    <w:p w14:paraId="0CAC4BA1">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3．发包人委托的监理公司有权检查承包人的个人劳动保护用品是否符合国家的相应标准。</w:t>
      </w:r>
    </w:p>
    <w:p w14:paraId="7A27A3C5">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 承包人在特殊风险场所作业而需要特殊防护用品或安全仪表时，必须在上述防护用品全部到位后才能开工。</w:t>
      </w:r>
    </w:p>
    <w:p w14:paraId="047B97DA">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5．承包人应配备临时安全围栏、警示带、警告标志、防火布等集体防护用品。</w:t>
      </w:r>
    </w:p>
    <w:p w14:paraId="2675187F">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1055" w:name="_Toc239510297"/>
      <w:bookmarkStart w:id="1056" w:name="_Toc247431431"/>
      <w:bookmarkStart w:id="1057" w:name="_Toc247418271"/>
      <w:bookmarkStart w:id="1058" w:name="_Toc532375707"/>
      <w:r>
        <w:rPr>
          <w:rFonts w:hint="eastAsia" w:ascii="方正仿宋_GB18030" w:hAnsi="方正仿宋_GB18030" w:eastAsia="方正仿宋_GB18030" w:cs="方正仿宋_GB18030"/>
          <w:sz w:val="24"/>
          <w:szCs w:val="24"/>
        </w:rPr>
        <w:t>八、施工机具与材料</w:t>
      </w:r>
      <w:bookmarkEnd w:id="1055"/>
      <w:bookmarkEnd w:id="1056"/>
      <w:bookmarkEnd w:id="1057"/>
      <w:bookmarkEnd w:id="1058"/>
    </w:p>
    <w:p w14:paraId="6BB6DACD">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1．承包人对带入现场的施工机械和工器具的安全负责。</w:t>
      </w:r>
    </w:p>
    <w:p w14:paraId="31E5DA74">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2．对于承包人带入现场的特殊工器具，如起重设备、索具、机动车辆、压缩气瓶等，承包人必须按国家法规和标准进行检测、试验，并持有法定部门出具的检验证书。</w:t>
      </w:r>
    </w:p>
    <w:p w14:paraId="3A57AE6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3．对于不属于法定检测的工器具，承包人也必须建立相应的管理、检测制度，这些工器具包括登高工具、脚手架材料、电动工具、安全防护设备及用具等。</w:t>
      </w:r>
    </w:p>
    <w:p w14:paraId="6711A09A">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1059" w:name="_Toc247431432"/>
      <w:bookmarkStart w:id="1060" w:name="_Toc239510298"/>
      <w:bookmarkStart w:id="1061" w:name="_Toc247418272"/>
      <w:bookmarkStart w:id="1062" w:name="_Toc532375708"/>
      <w:r>
        <w:rPr>
          <w:rFonts w:hint="eastAsia" w:ascii="方正仿宋_GB18030" w:hAnsi="方正仿宋_GB18030" w:eastAsia="方正仿宋_GB18030" w:cs="方正仿宋_GB18030"/>
          <w:sz w:val="24"/>
          <w:szCs w:val="24"/>
        </w:rPr>
        <w:t>九、开工前安全条件检查</w:t>
      </w:r>
      <w:bookmarkEnd w:id="1059"/>
      <w:bookmarkEnd w:id="1060"/>
      <w:bookmarkEnd w:id="1061"/>
      <w:bookmarkEnd w:id="1062"/>
    </w:p>
    <w:p w14:paraId="0B5482C2">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79165503">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1451F680">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3．发包人委托的监理公司检查发现的缺陷，承包人应在规定期限内完成整改。对于重大缺陷，发包人委托的监理公司有权要求承包人推迟开工，由此对工期产生的影响或经济损失，由承包人承担。</w:t>
      </w:r>
    </w:p>
    <w:p w14:paraId="5C2A9864">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1063" w:name="_Toc247418273"/>
      <w:bookmarkStart w:id="1064" w:name="_Toc532375709"/>
      <w:bookmarkStart w:id="1065" w:name="_Toc247431433"/>
      <w:bookmarkStart w:id="1066" w:name="_Toc239510299"/>
      <w:r>
        <w:rPr>
          <w:rFonts w:hint="eastAsia" w:ascii="方正仿宋_GB18030" w:hAnsi="方正仿宋_GB18030" w:eastAsia="方正仿宋_GB18030" w:cs="方正仿宋_GB18030"/>
          <w:sz w:val="24"/>
          <w:szCs w:val="24"/>
        </w:rPr>
        <w:t>十、安全监督</w:t>
      </w:r>
      <w:bookmarkEnd w:id="1063"/>
      <w:bookmarkEnd w:id="1064"/>
      <w:bookmarkEnd w:id="1065"/>
      <w:bookmarkEnd w:id="1066"/>
    </w:p>
    <w:p w14:paraId="36469B02">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1．承包人应配备有满足项目安全管理需要的专职安全管理人员。</w:t>
      </w:r>
    </w:p>
    <w:p w14:paraId="760F0664">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2．承包人的专职安全管理人员必须持建设主管部门颁发的安全生产知识考核合格证书。</w:t>
      </w:r>
    </w:p>
    <w:p w14:paraId="02DF050F">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3．承包人的专职安全管理人员在业务上接受发包人委托的监理公司和发包人安全管理部门的协调和指导。</w:t>
      </w:r>
    </w:p>
    <w:p w14:paraId="102AC0AB">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4．承包人应建立班前安全交底制度；施工期间坚持开展安全检查和日常安全监督并形成相应的记录。</w:t>
      </w:r>
    </w:p>
    <w:p w14:paraId="3D248FA2">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5．承包人应在每个作业区任命兼职安全员，赋予兼职安全员相应的授权和义务，并对兼职安全员进行定期考核。</w:t>
      </w:r>
    </w:p>
    <w:p w14:paraId="7B106418">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6．承包人应接受和配合发包人专业部门及委托的监理公司的监督与安全评价。</w:t>
      </w:r>
    </w:p>
    <w:p w14:paraId="5B5A6059">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7．发包人和委托的监理公司有权对承包人履行安全管理协议的情况进行监督，并有权对违章行为实行停工和处罚，处罚情况将通知承包人。涉及经济处罚时将直接通知合同管理部门从合同结算中扣除。</w:t>
      </w:r>
    </w:p>
    <w:p w14:paraId="1F58B01C">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1067" w:name="_Toc532375710"/>
      <w:bookmarkStart w:id="1068" w:name="_Toc247431434"/>
      <w:bookmarkStart w:id="1069" w:name="_Toc247418274"/>
      <w:bookmarkStart w:id="1070" w:name="_Toc239510300"/>
      <w:r>
        <w:rPr>
          <w:rFonts w:hint="eastAsia" w:ascii="方正仿宋_GB18030" w:hAnsi="方正仿宋_GB18030" w:eastAsia="方正仿宋_GB18030" w:cs="方正仿宋_GB18030"/>
          <w:sz w:val="24"/>
          <w:szCs w:val="24"/>
        </w:rPr>
        <w:t>十一、安全培训与授权</w:t>
      </w:r>
      <w:bookmarkEnd w:id="1067"/>
      <w:bookmarkEnd w:id="1068"/>
      <w:bookmarkEnd w:id="1069"/>
      <w:bookmarkEnd w:id="1070"/>
    </w:p>
    <w:p w14:paraId="00C0960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1．承包人所有特殊工种人员必须持证上岗，发包人和发包人委托的监理公司有权对其进行抽查。承包人要建立特殊工种定期培训和检查计划，这些工种包括但不限于：机动车驾驶员、焊工、起重工、电工等。</w:t>
      </w:r>
    </w:p>
    <w:p w14:paraId="5C2A012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2．承包人应在特殊工种之外的其他工种中，筛选出高风险工种，并对其开展针对性的专题安全培训。</w:t>
      </w:r>
    </w:p>
    <w:p w14:paraId="58E8DBCD">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3．承包人应组织 “入场培训”和考核。发包人委托的监理公司有权监督培训、考核情况或组织抽查考核。</w:t>
      </w:r>
    </w:p>
    <w:p w14:paraId="7DA3083F">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4．承包人应建立安全培训和考核机制，编制培训教材和培训滚动计划。承包人应组织安全考试/考核，建立培训考核记录，发包人委托的监理公司有权查看这些记录。</w:t>
      </w:r>
    </w:p>
    <w:p w14:paraId="5CE733E3">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1071" w:name="_Toc532375711"/>
      <w:bookmarkStart w:id="1072" w:name="_Toc239510301"/>
      <w:bookmarkStart w:id="1073" w:name="_Toc247431435"/>
      <w:bookmarkStart w:id="1074" w:name="_Toc247418275"/>
      <w:r>
        <w:rPr>
          <w:rFonts w:hint="eastAsia" w:ascii="方正仿宋_GB18030" w:hAnsi="方正仿宋_GB18030" w:eastAsia="方正仿宋_GB18030" w:cs="方正仿宋_GB18030"/>
          <w:sz w:val="24"/>
          <w:szCs w:val="24"/>
        </w:rPr>
        <w:t>十二、职业健康与卫生防疫</w:t>
      </w:r>
      <w:bookmarkEnd w:id="1071"/>
      <w:bookmarkEnd w:id="1072"/>
      <w:bookmarkEnd w:id="1073"/>
      <w:bookmarkEnd w:id="1074"/>
    </w:p>
    <w:p w14:paraId="20F9A6EB">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1．承包人应有特殊健康检查制度，预防有禁忌症患者从事有关职业，如恐高症患者不得从事高空作业，患有心血管疾病的人员不得从事繁重的体力劳动，特殊工种人员的体检应符合国家的规定。</w:t>
      </w:r>
    </w:p>
    <w:p w14:paraId="1C882B5B">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2．承包人应保证卫生防疫基本设施的投入，以满足医疗、急救的要求，建立外部医疗支持渠道。</w:t>
      </w:r>
    </w:p>
    <w:p w14:paraId="4310912F">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2BA241A2">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1075" w:name="_Toc239510302"/>
      <w:bookmarkStart w:id="1076" w:name="_Toc247418276"/>
      <w:bookmarkStart w:id="1077" w:name="_Toc247431436"/>
      <w:bookmarkStart w:id="1078" w:name="_Toc532375712"/>
      <w:r>
        <w:rPr>
          <w:rFonts w:hint="eastAsia" w:ascii="方正仿宋_GB18030" w:hAnsi="方正仿宋_GB18030" w:eastAsia="方正仿宋_GB18030" w:cs="方正仿宋_GB18030"/>
          <w:sz w:val="24"/>
          <w:szCs w:val="24"/>
        </w:rPr>
        <w:t>十三、文明施工与环保要求</w:t>
      </w:r>
      <w:bookmarkEnd w:id="1075"/>
      <w:bookmarkEnd w:id="1076"/>
      <w:bookmarkEnd w:id="1077"/>
      <w:bookmarkEnd w:id="1078"/>
    </w:p>
    <w:p w14:paraId="76DEFD4B">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1．承包人需制订施工现场的文明施工措施，保持良好的施工现场秩序。施工现场的物料堆放要摆放整齐，安全标志和宣传标志要清楚醒目，废料、废物要分类收集，安全通道要畅通。</w:t>
      </w:r>
    </w:p>
    <w:p w14:paraId="112810A9">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2．承包人作业时应避免建筑材料抛洒、飞扬、流淌；应尽可能降低噪音、震动。</w:t>
      </w:r>
    </w:p>
    <w:p w14:paraId="02214DC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3．承包人应根据实际需要，在施工现场布置临时卫生设施（洗手间、卫生间等），施工作业不破坏环境卫生，不污染现场环境。</w:t>
      </w:r>
    </w:p>
    <w:p w14:paraId="54DD8B8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4．承包人在施工中应充分重视对环境的保护，保护绿色植被，保护古树。施工如需伤害古树，必须报告发包人委托的监理公司，在未得到指令前，禁止擅自伤害古树。</w:t>
      </w:r>
    </w:p>
    <w:p w14:paraId="269955DA">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27787A33">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6．承包人在施工中应禁止向环境，排放工业污水、生活污水、废油或其他有害物质。</w:t>
      </w:r>
    </w:p>
    <w:p w14:paraId="51EEC07F">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5BB9BFD9">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1079" w:name="_Toc247431437"/>
      <w:bookmarkStart w:id="1080" w:name="_Toc247418277"/>
      <w:bookmarkStart w:id="1081" w:name="_Toc239510303"/>
      <w:bookmarkStart w:id="1082" w:name="_Toc532375713"/>
      <w:r>
        <w:rPr>
          <w:rFonts w:hint="eastAsia" w:ascii="方正仿宋_GB18030" w:hAnsi="方正仿宋_GB18030" w:eastAsia="方正仿宋_GB18030" w:cs="方正仿宋_GB18030"/>
          <w:sz w:val="24"/>
          <w:szCs w:val="24"/>
        </w:rPr>
        <w:t>十四、工程风险管理与事故预防</w:t>
      </w:r>
      <w:bookmarkEnd w:id="1079"/>
      <w:bookmarkEnd w:id="1080"/>
      <w:bookmarkEnd w:id="1081"/>
      <w:bookmarkEnd w:id="1082"/>
    </w:p>
    <w:p w14:paraId="39B2EC4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bookmarkStart w:id="1083" w:name="_Toc247418278"/>
      <w:bookmarkStart w:id="1084" w:name="_Toc247431438"/>
      <w:bookmarkStart w:id="1085" w:name="_Toc239510304"/>
      <w:r>
        <w:rPr>
          <w:rFonts w:hint="eastAsia" w:ascii="方正仿宋_GB18030" w:hAnsi="方正仿宋_GB18030" w:eastAsia="方正仿宋_GB18030" w:cs="方正仿宋_GB18030"/>
          <w:sz w:val="24"/>
          <w:szCs w:val="24"/>
        </w:rPr>
        <w:t>（一）基本要求</w:t>
      </w:r>
      <w:bookmarkEnd w:id="1083"/>
      <w:bookmarkEnd w:id="1084"/>
      <w:bookmarkEnd w:id="1085"/>
    </w:p>
    <w:p w14:paraId="647079B2">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bookmarkStart w:id="1086" w:name="_Toc532375714"/>
      <w:r>
        <w:rPr>
          <w:rFonts w:hint="eastAsia" w:ascii="方正仿宋_GB18030" w:hAnsi="方正仿宋_GB18030" w:eastAsia="方正仿宋_GB18030" w:cs="方正仿宋_GB18030"/>
          <w:sz w:val="24"/>
          <w:szCs w:val="24"/>
        </w:rPr>
        <w:t>1．承包人应对施工过程进行全面、深入的危险源识别和风险分析。在施工安全组织设计中提供危险源及重要危险源清单、作业风险分析报告，该报告应包括（但不限于）如下信息：</w:t>
      </w:r>
      <w:bookmarkEnd w:id="1086"/>
    </w:p>
    <w:p w14:paraId="05D4384F">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（1）高风险作业和工种清单：作业名称、类别和数量、主要事故风险。</w:t>
      </w:r>
    </w:p>
    <w:p w14:paraId="79338FBC">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（2）施工能源和机械的种类、数量和主要事故风险。</w:t>
      </w:r>
    </w:p>
    <w:p w14:paraId="09216CA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（3）施工作业条件的类型和主要事故风险。</w:t>
      </w:r>
    </w:p>
    <w:p w14:paraId="764986A4">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（4）主要工艺过程（或施工活动）的类别及其相关的事故风险。</w:t>
      </w:r>
    </w:p>
    <w:p w14:paraId="6908EB61">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（5）主要火灾危险（可燃物、点火源）。</w:t>
      </w:r>
    </w:p>
    <w:p w14:paraId="7D5BFC43">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（6）主要自然灾害（洪水、大风、雷暴、暴雨、地质灾害等）。</w:t>
      </w:r>
    </w:p>
    <w:p w14:paraId="7550007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（7）主要环境保护事件（有害垃圾、机械的跑冒滴漏、原材料流失、水土流失等）。</w:t>
      </w:r>
    </w:p>
    <w:p w14:paraId="305DF47B">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（8）其他。</w:t>
      </w:r>
    </w:p>
    <w:p w14:paraId="0B3C85F1">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2．承包人应针对识别出的危险源制定有针对性的事故预防措施并确保在施工中得到有效落实。</w:t>
      </w:r>
    </w:p>
    <w:p w14:paraId="350FC745">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3．承包人应建立日常施工活动的动态作业风险分析和安全交底制度。该制度应明确规定风险分析的方法、责任和交底的内容、时间及记录。</w:t>
      </w:r>
    </w:p>
    <w:p w14:paraId="7FA5AB1F">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bookmarkStart w:id="1087" w:name="_Toc247418279"/>
      <w:bookmarkStart w:id="1088" w:name="_Toc247431439"/>
      <w:bookmarkStart w:id="1089" w:name="_Toc239510305"/>
      <w:r>
        <w:rPr>
          <w:rFonts w:hint="eastAsia" w:ascii="方正仿宋_GB18030" w:hAnsi="方正仿宋_GB18030" w:eastAsia="方正仿宋_GB18030" w:cs="方正仿宋_GB18030"/>
          <w:sz w:val="24"/>
          <w:szCs w:val="24"/>
        </w:rPr>
        <w:t>（二）现场作业基本安全条件</w:t>
      </w:r>
      <w:bookmarkEnd w:id="1087"/>
      <w:bookmarkEnd w:id="1088"/>
      <w:bookmarkEnd w:id="1089"/>
    </w:p>
    <w:p w14:paraId="3089920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350286D8">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1090" w:name="_Toc532375715"/>
      <w:bookmarkStart w:id="1091" w:name="_Toc239510306"/>
      <w:bookmarkStart w:id="1092" w:name="_Toc247418280"/>
      <w:bookmarkStart w:id="1093" w:name="_Toc247431440"/>
      <w:r>
        <w:rPr>
          <w:rFonts w:hint="eastAsia" w:ascii="方正仿宋_GB18030" w:hAnsi="方正仿宋_GB18030" w:eastAsia="方正仿宋_GB18030" w:cs="方正仿宋_GB18030"/>
          <w:sz w:val="24"/>
          <w:szCs w:val="24"/>
        </w:rPr>
        <w:t>十五、事故报告与应急救援</w:t>
      </w:r>
      <w:bookmarkEnd w:id="1090"/>
      <w:bookmarkEnd w:id="1091"/>
      <w:bookmarkEnd w:id="1092"/>
      <w:bookmarkEnd w:id="1093"/>
    </w:p>
    <w:p w14:paraId="41203CF9">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1．承包人应制定对于未遂事故及以上级别的安全事件和事故，定期报送安全月度快报、季报、年报和各种专项事故报告等。</w:t>
      </w:r>
    </w:p>
    <w:p w14:paraId="2EBB3E0D">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2．承包人应建立安全事故统计记录、未遂事故统计记录、违章统计记录，并根据统计情况进行分析，并就分析结果制定相应的预防措施。</w:t>
      </w:r>
    </w:p>
    <w:p w14:paraId="1D294AB3">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3．承包人应建立事故应急救援机制，明确事故处置的基本原则，即现场发生事故时，首先抢救生命，向救援组织报警，并采取措施限制事故扩大。</w:t>
      </w:r>
    </w:p>
    <w:p w14:paraId="43F92281">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4．承包人应建立相应的应急响应组织，以便能迅速处理突发意外。</w:t>
      </w:r>
    </w:p>
    <w:p w14:paraId="4A3B8D89">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5．承包人应建立专项应急响应预案，包括重大人身伤亡事故的救护预案、火灾响应预案、“四防”预案（防风、防冻、防雷、防暴雨）、重大疫病防护预案、环境污染防护预案、地质灾害防护预案等。</w:t>
      </w:r>
    </w:p>
    <w:p w14:paraId="747E4EE9">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6．承包人应对应急预案进行适当演练，保证应急预案的可操作性。</w:t>
      </w:r>
    </w:p>
    <w:p w14:paraId="530ECDC9">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7．在工地的其他施工单位发生重大事故时，承包人应无条件立即配合、支持事故抢险。</w:t>
      </w:r>
    </w:p>
    <w:p w14:paraId="1A3F5FE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8．承包人必须为事故处置支付各项费用，包括受伤者的抚恤、补偿等费用，并按合同要求赔偿对发包人造成的损失。</w:t>
      </w:r>
    </w:p>
    <w:p w14:paraId="33900A37">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9．由于发包人原因而造成的事故，发包人应负责按事故的具体损失情况给予承包人经济赔偿。</w:t>
      </w:r>
    </w:p>
    <w:p w14:paraId="6B6DC622">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10．涉及承包人员工的伤害事故，承包人除要报告发包人委托的监理公司外，还应负责按照国家、行业和本单位上级公司的要求，上报事故。</w:t>
      </w:r>
    </w:p>
    <w:p w14:paraId="7822489C">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1094" w:name="_Toc239510307"/>
      <w:bookmarkStart w:id="1095" w:name="_Toc247418281"/>
      <w:bookmarkStart w:id="1096" w:name="_Toc247431441"/>
      <w:bookmarkStart w:id="1097" w:name="_Toc532375716"/>
      <w:r>
        <w:rPr>
          <w:rFonts w:hint="eastAsia" w:ascii="方正仿宋_GB18030" w:hAnsi="方正仿宋_GB18030" w:eastAsia="方正仿宋_GB18030" w:cs="方正仿宋_GB18030"/>
          <w:sz w:val="24"/>
          <w:szCs w:val="24"/>
        </w:rPr>
        <w:t>十六、安全业绩考核</w:t>
      </w:r>
      <w:bookmarkEnd w:id="1094"/>
      <w:bookmarkEnd w:id="1095"/>
      <w:bookmarkEnd w:id="1096"/>
      <w:bookmarkEnd w:id="1097"/>
    </w:p>
    <w:p w14:paraId="5130FC8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为了落实安全管理的责任，承包人在施工过程中发生安全事故时，承包人除应按国家有关规定承担责任和处罚外，发包人还将按照以下标准进行考核：</w:t>
      </w:r>
    </w:p>
    <w:tbl>
      <w:tblPr>
        <w:tblStyle w:val="46"/>
        <w:tblW w:w="0" w:type="auto"/>
        <w:jc w:val="center"/>
        <w:tblLayout w:type="fixed"/>
        <w:tblCellMar>
          <w:top w:w="0" w:type="dxa"/>
          <w:left w:w="0" w:type="dxa"/>
          <w:bottom w:w="0" w:type="dxa"/>
          <w:right w:w="0" w:type="dxa"/>
        </w:tblCellMar>
      </w:tblPr>
      <w:tblGrid>
        <w:gridCol w:w="3240"/>
        <w:gridCol w:w="3765"/>
      </w:tblGrid>
      <w:tr w14:paraId="6FF4B02C">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6BAC170">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C7EA5E5">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违约金额</w:t>
            </w:r>
          </w:p>
        </w:tc>
      </w:tr>
      <w:tr w14:paraId="6EB35A04">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A86C6B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较大事故</w:t>
            </w:r>
          </w:p>
        </w:tc>
        <w:tc>
          <w:tcPr>
            <w:tcW w:w="3765" w:type="dxa"/>
            <w:tcBorders>
              <w:top w:val="single" w:color="auto" w:sz="8" w:space="0"/>
              <w:left w:val="nil"/>
              <w:bottom w:val="single" w:color="auto" w:sz="8" w:space="0"/>
              <w:right w:val="single" w:color="auto" w:sz="8" w:space="0"/>
            </w:tcBorders>
            <w:noWrap w:val="0"/>
            <w:vAlign w:val="center"/>
          </w:tcPr>
          <w:p w14:paraId="08188E1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kern w:val="2"/>
                <w:sz w:val="24"/>
                <w:szCs w:val="24"/>
              </w:rPr>
              <w:t>签约合同价</w:t>
            </w:r>
            <w:r>
              <w:rPr>
                <w:rFonts w:hint="eastAsia" w:ascii="方正仿宋_GB18030" w:hAnsi="方正仿宋_GB18030" w:eastAsia="方正仿宋_GB18030" w:cs="方正仿宋_GB18030"/>
                <w:sz w:val="24"/>
                <w:szCs w:val="24"/>
              </w:rPr>
              <w:t>的0.5‰</w:t>
            </w:r>
          </w:p>
        </w:tc>
      </w:tr>
      <w:tr w14:paraId="147710B8">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29F15C4">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重大事故</w:t>
            </w:r>
          </w:p>
        </w:tc>
        <w:tc>
          <w:tcPr>
            <w:tcW w:w="3765" w:type="dxa"/>
            <w:tcBorders>
              <w:top w:val="single" w:color="auto" w:sz="8" w:space="0"/>
              <w:left w:val="nil"/>
              <w:bottom w:val="single" w:color="auto" w:sz="8" w:space="0"/>
              <w:right w:val="single" w:color="auto" w:sz="8" w:space="0"/>
            </w:tcBorders>
            <w:noWrap w:val="0"/>
            <w:vAlign w:val="center"/>
          </w:tcPr>
          <w:p w14:paraId="14A7E2B7">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签约合同价的2‰</w:t>
            </w:r>
          </w:p>
        </w:tc>
      </w:tr>
      <w:tr w14:paraId="718A8AAA">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AF16037">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特别重大事故</w:t>
            </w:r>
          </w:p>
        </w:tc>
        <w:tc>
          <w:tcPr>
            <w:tcW w:w="3765" w:type="dxa"/>
            <w:tcBorders>
              <w:top w:val="single" w:color="auto" w:sz="8" w:space="0"/>
              <w:left w:val="nil"/>
              <w:bottom w:val="single" w:color="auto" w:sz="8" w:space="0"/>
              <w:right w:val="single" w:color="auto" w:sz="8" w:space="0"/>
            </w:tcBorders>
            <w:noWrap w:val="0"/>
            <w:vAlign w:val="center"/>
          </w:tcPr>
          <w:p w14:paraId="0DE81153">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签约合同价的4‰</w:t>
            </w:r>
          </w:p>
        </w:tc>
      </w:tr>
    </w:tbl>
    <w:p w14:paraId="49CD183D">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（1）较大事故，是指造成3人以上10人以下死亡，或者10人以上50人以下重伤，或者1000万元以上5000万元以下直接经济损失的事故；</w:t>
      </w:r>
    </w:p>
    <w:p w14:paraId="4550D34F">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（2）重大事故，是指造成10人以上30人以下死亡，或者50人以上100人以下重伤，或者5000万元以上1亿元以下直接经济损失的事故；</w:t>
      </w:r>
    </w:p>
    <w:p w14:paraId="20907539">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（3）特别重大事故，是指造成30人以上死亡，或者100人以上重伤（包括急性工业中毒，下同），或者1亿元以上直接经济损失的事故；</w:t>
      </w:r>
    </w:p>
    <w:p w14:paraId="70D4D9BB">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（4）所称的“以上”包括本数，所称的“以下”不包括本数。</w:t>
      </w:r>
    </w:p>
    <w:p w14:paraId="329E64EF">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（5）如整个施工过程未发生以上安全事故，则给予承包人建安费总额的1‰的安全奖励。</w:t>
      </w:r>
    </w:p>
    <w:p w14:paraId="2BE3C372">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0953CC6C">
      <w:pPr>
        <w:pageBreakBefore w:val="0"/>
        <w:kinsoku/>
        <w:wordWrap/>
        <w:overflowPunct/>
        <w:topLinePunct w:val="0"/>
        <w:bidi w:val="0"/>
        <w:spacing w:line="440" w:lineRule="exact"/>
        <w:ind w:firstLine="0" w:firstLineChars="0"/>
        <w:rPr>
          <w:rFonts w:hint="eastAsia" w:ascii="方正仿宋_GB18030" w:hAnsi="方正仿宋_GB18030" w:eastAsia="方正仿宋_GB18030" w:cs="方正仿宋_GB18030"/>
          <w:sz w:val="24"/>
          <w:szCs w:val="24"/>
        </w:rPr>
      </w:pPr>
      <w:bookmarkStart w:id="1098" w:name="_Toc247418282"/>
      <w:bookmarkStart w:id="1099" w:name="_Toc247431442"/>
      <w:bookmarkStart w:id="1100" w:name="_Toc532375717"/>
      <w:bookmarkStart w:id="1101" w:name="_Toc239510308"/>
      <w:r>
        <w:rPr>
          <w:rFonts w:hint="eastAsia" w:ascii="方正仿宋_GB18030" w:hAnsi="方正仿宋_GB18030" w:eastAsia="方正仿宋_GB18030" w:cs="方正仿宋_GB18030"/>
          <w:sz w:val="24"/>
          <w:szCs w:val="24"/>
        </w:rPr>
        <w:t>十七、协议条款的修订</w:t>
      </w:r>
      <w:bookmarkEnd w:id="1098"/>
      <w:bookmarkEnd w:id="1099"/>
      <w:bookmarkEnd w:id="1100"/>
      <w:bookmarkEnd w:id="1101"/>
    </w:p>
    <w:p w14:paraId="149F4AC2">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在项目实施过程中，经双方友好协商，本协议的有关条款也可做出相应的修改。</w:t>
      </w:r>
    </w:p>
    <w:p w14:paraId="318BC0E9">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本工程安全管理协议，由发包人、承包人双方在施工承包合同签订后7天内共同签署，作为施工合同附件。</w:t>
      </w:r>
    </w:p>
    <w:p w14:paraId="5163BC8E">
      <w:pPr>
        <w:pageBreakBefore w:val="0"/>
        <w:kinsoku/>
        <w:wordWrap/>
        <w:overflowPunct/>
        <w:topLinePunct w:val="0"/>
        <w:bidi w:val="0"/>
        <w:spacing w:line="440" w:lineRule="exact"/>
        <w:rPr>
          <w:rFonts w:hint="eastAsia" w:ascii="方正仿宋_GB18030" w:hAnsi="方正仿宋_GB18030" w:eastAsia="方正仿宋_GB18030" w:cs="方正仿宋_GB18030"/>
          <w:sz w:val="24"/>
          <w:szCs w:val="24"/>
          <w:lang w:val="en-US" w:eastAsia="zh-CN"/>
        </w:rPr>
      </w:pPr>
      <w:r>
        <w:rPr>
          <w:rFonts w:hint="eastAsia" w:ascii="方正仿宋_GB18030" w:hAnsi="方正仿宋_GB18030" w:eastAsia="方正仿宋_GB18030" w:cs="方正仿宋_GB18030"/>
          <w:sz w:val="24"/>
          <w:szCs w:val="24"/>
          <w:lang w:val="en-US" w:eastAsia="zh-CN"/>
        </w:rPr>
        <w:t>（此页无正文）</w:t>
      </w:r>
    </w:p>
    <w:p w14:paraId="74616EC4">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p>
    <w:p w14:paraId="35CF82B4">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发 包 人：  (公章)            </w:t>
      </w:r>
      <w:r>
        <w:rPr>
          <w:rFonts w:hint="eastAsia" w:ascii="方正仿宋_GB18030" w:hAnsi="方正仿宋_GB18030" w:eastAsia="方正仿宋_GB18030" w:cs="方正仿宋_GB18030"/>
          <w:sz w:val="24"/>
          <w:szCs w:val="24"/>
          <w:lang w:val="en-US" w:eastAsia="zh-CN"/>
        </w:rPr>
        <w:t xml:space="preserve">             </w:t>
      </w:r>
      <w:r>
        <w:rPr>
          <w:rFonts w:hint="eastAsia" w:ascii="方正仿宋_GB18030" w:hAnsi="方正仿宋_GB18030" w:eastAsia="方正仿宋_GB18030" w:cs="方正仿宋_GB18030"/>
          <w:sz w:val="24"/>
          <w:szCs w:val="24"/>
        </w:rPr>
        <w:t>承 包 人：  (公章)</w:t>
      </w:r>
    </w:p>
    <w:p w14:paraId="3A02466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w:t>
      </w:r>
    </w:p>
    <w:p w14:paraId="2D7624F6">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法定代表人（签字）：        </w:t>
      </w:r>
      <w:r>
        <w:rPr>
          <w:rFonts w:hint="eastAsia" w:ascii="方正仿宋_GB18030" w:hAnsi="方正仿宋_GB18030" w:eastAsia="方正仿宋_GB18030" w:cs="方正仿宋_GB18030"/>
          <w:sz w:val="24"/>
          <w:szCs w:val="24"/>
          <w:lang w:val="en-US" w:eastAsia="zh-CN"/>
        </w:rPr>
        <w:t xml:space="preserve">               </w:t>
      </w:r>
      <w:r>
        <w:rPr>
          <w:rFonts w:hint="eastAsia" w:ascii="方正仿宋_GB18030" w:hAnsi="方正仿宋_GB18030" w:eastAsia="方正仿宋_GB18030" w:cs="方正仿宋_GB18030"/>
          <w:sz w:val="24"/>
          <w:szCs w:val="24"/>
        </w:rPr>
        <w:t>法定代表人（签字）：</w:t>
      </w:r>
    </w:p>
    <w:p w14:paraId="21DE26B2">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w:t>
      </w:r>
    </w:p>
    <w:p w14:paraId="0FF5507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lang w:val="en-US" w:eastAsia="zh-CN"/>
        </w:rPr>
        <w:t>或</w:t>
      </w:r>
      <w:r>
        <w:rPr>
          <w:rFonts w:hint="eastAsia" w:ascii="方正仿宋_GB18030" w:hAnsi="方正仿宋_GB18030" w:eastAsia="方正仿宋_GB18030" w:cs="方正仿宋_GB18030"/>
          <w:sz w:val="24"/>
          <w:szCs w:val="24"/>
        </w:rPr>
        <w:t xml:space="preserve">委托代理人（签字）：        </w:t>
      </w:r>
      <w:r>
        <w:rPr>
          <w:rFonts w:hint="eastAsia" w:ascii="方正仿宋_GB18030" w:hAnsi="方正仿宋_GB18030" w:eastAsia="方正仿宋_GB18030" w:cs="方正仿宋_GB18030"/>
          <w:sz w:val="24"/>
          <w:szCs w:val="24"/>
          <w:lang w:val="en-US" w:eastAsia="zh-CN"/>
        </w:rPr>
        <w:t xml:space="preserve">             或</w:t>
      </w:r>
      <w:r>
        <w:rPr>
          <w:rFonts w:hint="eastAsia" w:ascii="方正仿宋_GB18030" w:hAnsi="方正仿宋_GB18030" w:eastAsia="方正仿宋_GB18030" w:cs="方正仿宋_GB18030"/>
          <w:sz w:val="24"/>
          <w:szCs w:val="24"/>
        </w:rPr>
        <w:t>委托代理人（签字）：</w:t>
      </w:r>
    </w:p>
    <w:p w14:paraId="2DEA2F55">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p>
    <w:p w14:paraId="7E15682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经 办 人：                 </w:t>
      </w:r>
      <w:r>
        <w:rPr>
          <w:rFonts w:hint="eastAsia" w:ascii="方正仿宋_GB18030" w:hAnsi="方正仿宋_GB18030" w:eastAsia="方正仿宋_GB18030" w:cs="方正仿宋_GB18030"/>
          <w:sz w:val="24"/>
          <w:szCs w:val="24"/>
          <w:lang w:val="en-US" w:eastAsia="zh-CN"/>
        </w:rPr>
        <w:t xml:space="preserve">                </w:t>
      </w:r>
      <w:r>
        <w:rPr>
          <w:rFonts w:hint="eastAsia" w:ascii="方正仿宋_GB18030" w:hAnsi="方正仿宋_GB18030" w:eastAsia="方正仿宋_GB18030" w:cs="方正仿宋_GB18030"/>
          <w:sz w:val="24"/>
          <w:szCs w:val="24"/>
        </w:rPr>
        <w:t>经 办 人：</w:t>
      </w:r>
    </w:p>
    <w:p w14:paraId="7CDE848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w:t>
      </w:r>
    </w:p>
    <w:p w14:paraId="08E7C2EE">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lang w:val="en-US" w:eastAsia="zh-CN"/>
        </w:rPr>
      </w:pPr>
      <w:r>
        <w:rPr>
          <w:rFonts w:hint="eastAsia" w:ascii="方正仿宋_GB18030" w:hAnsi="方正仿宋_GB18030" w:eastAsia="方正仿宋_GB18030" w:cs="方正仿宋_GB18030"/>
          <w:sz w:val="24"/>
          <w:szCs w:val="24"/>
        </w:rPr>
        <w:t xml:space="preserve">地  址： </w:t>
      </w:r>
      <w:r>
        <w:rPr>
          <w:rFonts w:hint="eastAsia" w:ascii="方正仿宋_GB18030" w:hAnsi="方正仿宋_GB18030" w:eastAsia="方正仿宋_GB18030" w:cs="方正仿宋_GB18030"/>
          <w:sz w:val="24"/>
          <w:szCs w:val="24"/>
          <w:lang w:val="en-US" w:eastAsia="zh-CN"/>
        </w:rPr>
        <w:t xml:space="preserve">                                  </w:t>
      </w:r>
      <w:r>
        <w:rPr>
          <w:rFonts w:hint="eastAsia" w:ascii="方正仿宋_GB18030" w:hAnsi="方正仿宋_GB18030" w:eastAsia="方正仿宋_GB18030" w:cs="方正仿宋_GB18030"/>
          <w:sz w:val="24"/>
          <w:szCs w:val="24"/>
        </w:rPr>
        <w:t>地  址：</w:t>
      </w:r>
    </w:p>
    <w:p w14:paraId="3B0FC5F1">
      <w:pPr>
        <w:pageBreakBefore w:val="0"/>
        <w:kinsoku/>
        <w:wordWrap/>
        <w:overflowPunct/>
        <w:topLinePunct w:val="0"/>
        <w:bidi w:val="0"/>
        <w:spacing w:line="440" w:lineRule="exact"/>
        <w:ind w:firstLine="0" w:firstLineChars="0"/>
        <w:jc w:val="left"/>
        <w:rPr>
          <w:rFonts w:hint="eastAsia" w:ascii="方正仿宋_GB18030" w:hAnsi="方正仿宋_GB18030" w:eastAsia="方正仿宋_GB18030" w:cs="方正仿宋_GB18030"/>
          <w:sz w:val="24"/>
          <w:szCs w:val="24"/>
        </w:rPr>
      </w:pPr>
    </w:p>
    <w:p w14:paraId="125BA85B">
      <w:pPr>
        <w:pStyle w:val="2"/>
        <w:rPr>
          <w:rFonts w:hint="eastAsia" w:ascii="方正仿宋_GB18030" w:hAnsi="方正仿宋_GB18030" w:eastAsia="方正仿宋_GB18030" w:cs="方正仿宋_GB18030"/>
          <w:sz w:val="24"/>
          <w:szCs w:val="24"/>
        </w:rPr>
      </w:pPr>
    </w:p>
    <w:p w14:paraId="4B072CEE">
      <w:pPr>
        <w:rPr>
          <w:rFonts w:hint="eastAsia" w:ascii="方正仿宋_GB18030" w:hAnsi="方正仿宋_GB18030" w:eastAsia="方正仿宋_GB18030" w:cs="方正仿宋_GB18030"/>
          <w:sz w:val="24"/>
          <w:szCs w:val="24"/>
        </w:rPr>
      </w:pPr>
    </w:p>
    <w:p w14:paraId="5AAC5872">
      <w:pPr>
        <w:pStyle w:val="2"/>
        <w:rPr>
          <w:rFonts w:hint="eastAsia" w:ascii="方正仿宋_GB18030" w:hAnsi="方正仿宋_GB18030" w:eastAsia="方正仿宋_GB18030" w:cs="方正仿宋_GB18030"/>
          <w:sz w:val="24"/>
          <w:szCs w:val="24"/>
        </w:rPr>
      </w:pPr>
    </w:p>
    <w:p w14:paraId="18C23B78">
      <w:pPr>
        <w:rPr>
          <w:rFonts w:hint="eastAsia" w:ascii="方正仿宋_GB18030" w:hAnsi="方正仿宋_GB18030" w:eastAsia="方正仿宋_GB18030" w:cs="方正仿宋_GB18030"/>
          <w:sz w:val="24"/>
          <w:szCs w:val="24"/>
        </w:rPr>
      </w:pPr>
    </w:p>
    <w:p w14:paraId="40BB3EE1">
      <w:pPr>
        <w:pStyle w:val="2"/>
        <w:rPr>
          <w:rFonts w:hint="eastAsia" w:ascii="方正仿宋_GB18030" w:hAnsi="方正仿宋_GB18030" w:eastAsia="方正仿宋_GB18030" w:cs="方正仿宋_GB18030"/>
          <w:sz w:val="24"/>
          <w:szCs w:val="24"/>
        </w:rPr>
      </w:pPr>
    </w:p>
    <w:p w14:paraId="2919D825">
      <w:pPr>
        <w:rPr>
          <w:rFonts w:hint="eastAsia" w:ascii="方正仿宋_GB18030" w:hAnsi="方正仿宋_GB18030" w:eastAsia="方正仿宋_GB18030" w:cs="方正仿宋_GB18030"/>
          <w:sz w:val="24"/>
          <w:szCs w:val="24"/>
        </w:rPr>
      </w:pPr>
    </w:p>
    <w:p w14:paraId="124A0A3A">
      <w:pPr>
        <w:pStyle w:val="2"/>
        <w:rPr>
          <w:rFonts w:hint="eastAsia" w:ascii="方正仿宋_GB18030" w:hAnsi="方正仿宋_GB18030" w:eastAsia="方正仿宋_GB18030" w:cs="方正仿宋_GB18030"/>
          <w:sz w:val="24"/>
          <w:szCs w:val="24"/>
        </w:rPr>
      </w:pPr>
    </w:p>
    <w:p w14:paraId="50B68568">
      <w:pPr>
        <w:rPr>
          <w:rFonts w:hint="eastAsia" w:ascii="方正仿宋_GB18030" w:hAnsi="方正仿宋_GB18030" w:eastAsia="方正仿宋_GB18030" w:cs="方正仿宋_GB18030"/>
          <w:sz w:val="24"/>
          <w:szCs w:val="24"/>
        </w:rPr>
      </w:pPr>
    </w:p>
    <w:p w14:paraId="0B4BD985">
      <w:pPr>
        <w:pStyle w:val="2"/>
        <w:rPr>
          <w:rFonts w:hint="eastAsia" w:ascii="方正仿宋_GB18030" w:hAnsi="方正仿宋_GB18030" w:eastAsia="方正仿宋_GB18030" w:cs="方正仿宋_GB18030"/>
          <w:sz w:val="24"/>
          <w:szCs w:val="24"/>
        </w:rPr>
      </w:pPr>
    </w:p>
    <w:p w14:paraId="4E437B8F">
      <w:pPr>
        <w:rPr>
          <w:rFonts w:hint="eastAsia" w:ascii="方正仿宋_GB18030" w:hAnsi="方正仿宋_GB18030" w:eastAsia="方正仿宋_GB18030" w:cs="方正仿宋_GB18030"/>
          <w:sz w:val="24"/>
          <w:szCs w:val="24"/>
        </w:rPr>
      </w:pPr>
    </w:p>
    <w:p w14:paraId="2722D3F4">
      <w:pPr>
        <w:pStyle w:val="2"/>
        <w:rPr>
          <w:rFonts w:hint="eastAsia" w:ascii="方正仿宋_GB18030" w:hAnsi="方正仿宋_GB18030" w:eastAsia="方正仿宋_GB18030" w:cs="方正仿宋_GB18030"/>
          <w:sz w:val="24"/>
          <w:szCs w:val="24"/>
        </w:rPr>
      </w:pPr>
    </w:p>
    <w:p w14:paraId="5B0D59E2">
      <w:pPr>
        <w:rPr>
          <w:rFonts w:hint="eastAsia" w:ascii="方正仿宋_GB18030" w:hAnsi="方正仿宋_GB18030" w:eastAsia="方正仿宋_GB18030" w:cs="方正仿宋_GB18030"/>
          <w:sz w:val="24"/>
          <w:szCs w:val="24"/>
        </w:rPr>
      </w:pPr>
    </w:p>
    <w:p w14:paraId="021803AF">
      <w:pPr>
        <w:pStyle w:val="2"/>
        <w:rPr>
          <w:rFonts w:hint="eastAsia" w:ascii="方正仿宋_GB18030" w:hAnsi="方正仿宋_GB18030" w:eastAsia="方正仿宋_GB18030" w:cs="方正仿宋_GB18030"/>
          <w:sz w:val="24"/>
          <w:szCs w:val="24"/>
        </w:rPr>
      </w:pPr>
    </w:p>
    <w:p w14:paraId="457C8844">
      <w:pPr>
        <w:rPr>
          <w:rFonts w:hint="eastAsia" w:ascii="方正仿宋_GB18030" w:hAnsi="方正仿宋_GB18030" w:eastAsia="方正仿宋_GB18030" w:cs="方正仿宋_GB18030"/>
          <w:sz w:val="24"/>
          <w:szCs w:val="24"/>
        </w:rPr>
      </w:pPr>
    </w:p>
    <w:p w14:paraId="1EBED652">
      <w:pPr>
        <w:pStyle w:val="2"/>
        <w:rPr>
          <w:rFonts w:hint="eastAsia" w:ascii="方正仿宋_GB18030" w:hAnsi="方正仿宋_GB18030" w:eastAsia="方正仿宋_GB18030" w:cs="方正仿宋_GB18030"/>
          <w:sz w:val="24"/>
          <w:szCs w:val="24"/>
        </w:rPr>
      </w:pPr>
    </w:p>
    <w:p w14:paraId="006DD1EF">
      <w:pPr>
        <w:pageBreakBefore w:val="0"/>
        <w:kinsoku/>
        <w:wordWrap/>
        <w:overflowPunct/>
        <w:topLinePunct w:val="0"/>
        <w:bidi w:val="0"/>
        <w:spacing w:line="440" w:lineRule="exact"/>
        <w:ind w:firstLine="480" w:firstLineChars="200"/>
        <w:jc w:val="center"/>
        <w:rPr>
          <w:rFonts w:hint="eastAsia" w:ascii="方正仿宋_GB18030" w:hAnsi="方正仿宋_GB18030" w:eastAsia="方正仿宋_GB18030" w:cs="方正仿宋_GB18030"/>
          <w:sz w:val="24"/>
          <w:szCs w:val="24"/>
        </w:rPr>
      </w:pPr>
    </w:p>
    <w:p w14:paraId="6857779D">
      <w:pPr>
        <w:pageBreakBefore w:val="0"/>
        <w:kinsoku/>
        <w:wordWrap/>
        <w:overflowPunct/>
        <w:topLinePunct w:val="0"/>
        <w:bidi w:val="0"/>
        <w:spacing w:line="440" w:lineRule="exact"/>
        <w:ind w:firstLine="480" w:firstLineChars="200"/>
        <w:jc w:val="cente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保障农民工工资支付协议</w:t>
      </w:r>
    </w:p>
    <w:p w14:paraId="7348F29C">
      <w:pPr>
        <w:pStyle w:val="16"/>
        <w:pageBreakBefore w:val="0"/>
        <w:kinsoku/>
        <w:wordWrap/>
        <w:overflowPunct/>
        <w:topLinePunct w:val="0"/>
        <w:bidi w:val="0"/>
        <w:spacing w:line="440" w:lineRule="exact"/>
        <w:rPr>
          <w:rFonts w:hint="eastAsia" w:ascii="方正仿宋_GB18030" w:hAnsi="方正仿宋_GB18030" w:eastAsia="方正仿宋_GB18030" w:cs="方正仿宋_GB18030"/>
          <w:sz w:val="24"/>
        </w:rPr>
      </w:pPr>
    </w:p>
    <w:p w14:paraId="735B3291">
      <w:pPr>
        <w:pageBreakBefore w:val="0"/>
        <w:kinsoku/>
        <w:wordWrap/>
        <w:overflowPunct/>
        <w:topLinePunct w:val="0"/>
        <w:bidi w:val="0"/>
        <w:snapToGrid w:val="0"/>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发包人：</w:t>
      </w:r>
      <w:r>
        <w:rPr>
          <w:rFonts w:hint="eastAsia" w:ascii="方正仿宋_GB18030" w:hAnsi="方正仿宋_GB18030" w:eastAsia="方正仿宋_GB18030" w:cs="方正仿宋_GB18030"/>
          <w:sz w:val="24"/>
          <w:szCs w:val="24"/>
          <w:u w:val="single"/>
          <w:lang w:val="en-US" w:eastAsia="zh-CN"/>
        </w:rPr>
        <w:t xml:space="preserve">                         </w:t>
      </w:r>
      <w:r>
        <w:rPr>
          <w:rFonts w:hint="eastAsia" w:ascii="方正仿宋_GB18030" w:hAnsi="方正仿宋_GB18030" w:eastAsia="方正仿宋_GB18030" w:cs="方正仿宋_GB18030"/>
          <w:sz w:val="24"/>
          <w:szCs w:val="24"/>
          <w:u w:val="single"/>
        </w:rPr>
        <w:t xml:space="preserve"> </w:t>
      </w:r>
      <w:r>
        <w:rPr>
          <w:rFonts w:hint="eastAsia" w:ascii="方正仿宋_GB18030" w:hAnsi="方正仿宋_GB18030" w:eastAsia="方正仿宋_GB18030" w:cs="方正仿宋_GB18030"/>
          <w:sz w:val="24"/>
          <w:szCs w:val="24"/>
        </w:rPr>
        <w:t>（发包人）</w:t>
      </w:r>
    </w:p>
    <w:p w14:paraId="2694D708">
      <w:pPr>
        <w:pageBreakBefore w:val="0"/>
        <w:kinsoku/>
        <w:wordWrap/>
        <w:overflowPunct/>
        <w:topLinePunct w:val="0"/>
        <w:bidi w:val="0"/>
        <w:snapToGrid w:val="0"/>
        <w:spacing w:line="44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承包人：</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sz w:val="24"/>
          <w:szCs w:val="24"/>
        </w:rPr>
        <w:t>（承包人）</w:t>
      </w:r>
    </w:p>
    <w:p w14:paraId="41395277">
      <w:pPr>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503B1FB5">
      <w:pPr>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14:paraId="12EE0FB1">
      <w:pPr>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2C4E6B08">
      <w:pPr>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70CA056B">
      <w:pPr>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lang w:eastAsia="zh-CN"/>
        </w:rPr>
      </w:pPr>
      <w:r>
        <w:rPr>
          <w:rFonts w:hint="eastAsia" w:ascii="方正仿宋_GB18030" w:hAnsi="方正仿宋_GB18030" w:eastAsia="方正仿宋_GB18030" w:cs="方正仿宋_GB18030"/>
          <w:sz w:val="24"/>
          <w:szCs w:val="24"/>
        </w:rPr>
        <w:t>四、若发现承包人有下列事项的，发包人在支付当期进度款时暂扣当期应支付进度款5%比例的款项。</w:t>
      </w:r>
    </w:p>
    <w:p w14:paraId="1879924F">
      <w:pPr>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（一）现场检查发现项目存在拖欠农民工工资情况并经核查属实的；</w:t>
      </w:r>
    </w:p>
    <w:p w14:paraId="407A139A">
      <w:pPr>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lang w:eastAsia="zh-CN"/>
        </w:rPr>
      </w:pPr>
      <w:r>
        <w:rPr>
          <w:rFonts w:hint="eastAsia" w:ascii="方正仿宋_GB18030" w:hAnsi="方正仿宋_GB18030" w:eastAsia="方正仿宋_GB18030" w:cs="方正仿宋_GB18030"/>
          <w:sz w:val="24"/>
          <w:szCs w:val="24"/>
        </w:rPr>
        <w:t>（二）相关行政管理部门检查发现存在拖欠农民工工资情况并经核查属实的；</w:t>
      </w:r>
    </w:p>
    <w:p w14:paraId="30DC0069">
      <w:pPr>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lang w:eastAsia="zh-CN"/>
        </w:rPr>
      </w:pPr>
      <w:r>
        <w:rPr>
          <w:rFonts w:hint="eastAsia" w:ascii="方正仿宋_GB18030" w:hAnsi="方正仿宋_GB18030" w:eastAsia="方正仿宋_GB18030" w:cs="方正仿宋_GB18030"/>
          <w:sz w:val="24"/>
          <w:szCs w:val="24"/>
        </w:rPr>
        <w:t xml:space="preserve">    （三）有拖欠农民工工资投诉事项并经核查属实的。</w:t>
      </w:r>
    </w:p>
    <w:p w14:paraId="7529DEA2">
      <w:pPr>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798B2BEC">
      <w:pPr>
        <w:pageBreakBefore w:val="0"/>
        <w:tabs>
          <w:tab w:val="left" w:pos="1080"/>
          <w:tab w:val="left" w:pos="1260"/>
          <w:tab w:val="left" w:pos="1440"/>
        </w:tabs>
        <w:kinsoku/>
        <w:wordWrap/>
        <w:overflowPunct/>
        <w:topLinePunct w:val="0"/>
        <w:bidi w:val="0"/>
        <w:spacing w:line="440" w:lineRule="exact"/>
        <w:ind w:firstLine="480" w:firstLineChars="200"/>
        <w:rPr>
          <w:rFonts w:hint="eastAsia" w:ascii="方正仿宋_GB18030" w:hAnsi="方正仿宋_GB18030" w:eastAsia="方正仿宋_GB18030" w:cs="方正仿宋_GB18030"/>
          <w:snapToGrid w:val="0"/>
          <w:spacing w:val="-4"/>
          <w:kern w:val="0"/>
          <w:sz w:val="24"/>
          <w:szCs w:val="24"/>
        </w:rPr>
      </w:pPr>
      <w:r>
        <w:rPr>
          <w:rFonts w:hint="eastAsia" w:ascii="方正仿宋_GB18030" w:hAnsi="方正仿宋_GB18030" w:eastAsia="方正仿宋_GB18030" w:cs="方正仿宋_GB18030"/>
          <w:sz w:val="24"/>
          <w:szCs w:val="24"/>
        </w:rPr>
        <w:t>六、本协议经双方法定代表人或委托代理人签字并加盖公章后生效，履行完毕后自然失效。</w:t>
      </w:r>
    </w:p>
    <w:p w14:paraId="424C9029">
      <w:pPr>
        <w:pStyle w:val="17"/>
        <w:rPr>
          <w:rFonts w:hint="eastAsia" w:ascii="方正仿宋_GB18030" w:hAnsi="方正仿宋_GB18030" w:eastAsia="方正仿宋_GB18030" w:cs="方正仿宋_GB18030"/>
          <w:lang w:val="en-US" w:eastAsia="zh-CN"/>
        </w:rPr>
      </w:pPr>
    </w:p>
    <w:p w14:paraId="4DEEBEF6">
      <w:pPr>
        <w:pStyle w:val="16"/>
        <w:pageBreakBefore w:val="0"/>
        <w:kinsoku/>
        <w:wordWrap/>
        <w:overflowPunct/>
        <w:topLinePunct w:val="0"/>
        <w:bidi w:val="0"/>
        <w:spacing w:line="440" w:lineRule="exact"/>
        <w:rPr>
          <w:rFonts w:hint="eastAsia" w:ascii="方正仿宋_GB18030" w:hAnsi="方正仿宋_GB18030" w:eastAsia="方正仿宋_GB18030" w:cs="方正仿宋_GB18030"/>
          <w:sz w:val="24"/>
          <w:szCs w:val="24"/>
          <w:lang w:val="en-US" w:eastAsia="zh-CN"/>
        </w:rPr>
      </w:pPr>
      <w:r>
        <w:rPr>
          <w:rFonts w:hint="eastAsia" w:ascii="方正仿宋_GB18030" w:hAnsi="方正仿宋_GB18030" w:eastAsia="方正仿宋_GB18030" w:cs="方正仿宋_GB18030"/>
          <w:sz w:val="24"/>
          <w:szCs w:val="24"/>
          <w:lang w:val="en-US" w:eastAsia="zh-CN"/>
        </w:rPr>
        <w:t>（此页无正文）</w:t>
      </w:r>
    </w:p>
    <w:p w14:paraId="02289BCB">
      <w:pPr>
        <w:pStyle w:val="16"/>
        <w:pageBreakBefore w:val="0"/>
        <w:kinsoku/>
        <w:wordWrap/>
        <w:overflowPunct/>
        <w:topLinePunct w:val="0"/>
        <w:bidi w:val="0"/>
        <w:spacing w:line="440" w:lineRule="exact"/>
        <w:ind w:firstLine="480" w:firstLineChars="200"/>
        <w:rPr>
          <w:rFonts w:hint="eastAsia" w:ascii="方正仿宋_GB18030" w:hAnsi="方正仿宋_GB18030" w:eastAsia="方正仿宋_GB18030" w:cs="方正仿宋_GB18030"/>
          <w:sz w:val="24"/>
          <w:szCs w:val="24"/>
        </w:rPr>
      </w:pPr>
    </w:p>
    <w:p w14:paraId="23B55DBA">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发 包 人：  (公章)            </w:t>
      </w:r>
      <w:r>
        <w:rPr>
          <w:rFonts w:hint="eastAsia" w:ascii="方正仿宋_GB18030" w:hAnsi="方正仿宋_GB18030" w:eastAsia="方正仿宋_GB18030" w:cs="方正仿宋_GB18030"/>
          <w:sz w:val="24"/>
          <w:szCs w:val="24"/>
          <w:lang w:val="en-US" w:eastAsia="zh-CN"/>
        </w:rPr>
        <w:t xml:space="preserve">             </w:t>
      </w:r>
      <w:r>
        <w:rPr>
          <w:rFonts w:hint="eastAsia" w:ascii="方正仿宋_GB18030" w:hAnsi="方正仿宋_GB18030" w:eastAsia="方正仿宋_GB18030" w:cs="方正仿宋_GB18030"/>
          <w:sz w:val="24"/>
          <w:szCs w:val="24"/>
        </w:rPr>
        <w:t>承 包 人：  (公章)</w:t>
      </w:r>
    </w:p>
    <w:p w14:paraId="2C95E325">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w:t>
      </w:r>
    </w:p>
    <w:p w14:paraId="26A27A86">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法定代表人（签字）：        </w:t>
      </w:r>
      <w:r>
        <w:rPr>
          <w:rFonts w:hint="eastAsia" w:ascii="方正仿宋_GB18030" w:hAnsi="方正仿宋_GB18030" w:eastAsia="方正仿宋_GB18030" w:cs="方正仿宋_GB18030"/>
          <w:sz w:val="24"/>
          <w:szCs w:val="24"/>
          <w:lang w:val="en-US" w:eastAsia="zh-CN"/>
        </w:rPr>
        <w:t xml:space="preserve">               </w:t>
      </w:r>
      <w:r>
        <w:rPr>
          <w:rFonts w:hint="eastAsia" w:ascii="方正仿宋_GB18030" w:hAnsi="方正仿宋_GB18030" w:eastAsia="方正仿宋_GB18030" w:cs="方正仿宋_GB18030"/>
          <w:sz w:val="24"/>
          <w:szCs w:val="24"/>
        </w:rPr>
        <w:t>法定代表人（签字）：</w:t>
      </w:r>
    </w:p>
    <w:p w14:paraId="3C8B6CF7">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w:t>
      </w:r>
    </w:p>
    <w:p w14:paraId="0E498091">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委托代理人（签字）：        </w:t>
      </w:r>
      <w:r>
        <w:rPr>
          <w:rFonts w:hint="eastAsia" w:ascii="方正仿宋_GB18030" w:hAnsi="方正仿宋_GB18030" w:eastAsia="方正仿宋_GB18030" w:cs="方正仿宋_GB18030"/>
          <w:sz w:val="24"/>
          <w:szCs w:val="24"/>
          <w:lang w:val="en-US" w:eastAsia="zh-CN"/>
        </w:rPr>
        <w:t xml:space="preserve">                </w:t>
      </w:r>
      <w:r>
        <w:rPr>
          <w:rFonts w:hint="eastAsia" w:ascii="方正仿宋_GB18030" w:hAnsi="方正仿宋_GB18030" w:eastAsia="方正仿宋_GB18030" w:cs="方正仿宋_GB18030"/>
          <w:sz w:val="24"/>
          <w:szCs w:val="24"/>
        </w:rPr>
        <w:t>委托代理人（签字）：</w:t>
      </w:r>
    </w:p>
    <w:p w14:paraId="07A5D405">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p>
    <w:p w14:paraId="3F1261D3">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经 办 人：                 </w:t>
      </w:r>
      <w:r>
        <w:rPr>
          <w:rFonts w:hint="eastAsia" w:ascii="方正仿宋_GB18030" w:hAnsi="方正仿宋_GB18030" w:eastAsia="方正仿宋_GB18030" w:cs="方正仿宋_GB18030"/>
          <w:sz w:val="24"/>
          <w:szCs w:val="24"/>
          <w:lang w:val="en-US" w:eastAsia="zh-CN"/>
        </w:rPr>
        <w:t xml:space="preserve">                </w:t>
      </w:r>
      <w:r>
        <w:rPr>
          <w:rFonts w:hint="eastAsia" w:ascii="方正仿宋_GB18030" w:hAnsi="方正仿宋_GB18030" w:eastAsia="方正仿宋_GB18030" w:cs="方正仿宋_GB18030"/>
          <w:sz w:val="24"/>
          <w:szCs w:val="24"/>
        </w:rPr>
        <w:t>经 办 人：</w:t>
      </w:r>
    </w:p>
    <w:p w14:paraId="5369816A">
      <w:pPr>
        <w:pageBreakBefore w:val="0"/>
        <w:kinsoku/>
        <w:wordWrap/>
        <w:overflowPunct/>
        <w:topLinePunct w:val="0"/>
        <w:bidi w:val="0"/>
        <w:spacing w:line="440" w:lineRule="exact"/>
        <w:ind w:firstLine="480" w:firstLineChars="200"/>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w:t>
      </w:r>
    </w:p>
    <w:p w14:paraId="0E7C4871">
      <w:pPr>
        <w:ind w:firstLine="480" w:firstLineChars="200"/>
        <w:jc w:val="both"/>
      </w:pPr>
      <w:r>
        <w:rPr>
          <w:rFonts w:hint="eastAsia" w:ascii="方正仿宋_GB18030" w:hAnsi="方正仿宋_GB18030" w:eastAsia="方正仿宋_GB18030" w:cs="方正仿宋_GB18030"/>
          <w:sz w:val="24"/>
          <w:szCs w:val="24"/>
        </w:rPr>
        <w:t xml:space="preserve">地  址： </w:t>
      </w:r>
      <w:r>
        <w:rPr>
          <w:rFonts w:hint="eastAsia" w:ascii="方正仿宋_GB18030" w:hAnsi="方正仿宋_GB18030" w:eastAsia="方正仿宋_GB18030" w:cs="方正仿宋_GB18030"/>
          <w:sz w:val="24"/>
          <w:szCs w:val="24"/>
          <w:lang w:eastAsia="zh-CN"/>
        </w:rPr>
        <w:t xml:space="preserve"> </w:t>
      </w:r>
      <w:r>
        <w:rPr>
          <w:rFonts w:hint="eastAsia" w:ascii="方正仿宋_GB18030" w:hAnsi="方正仿宋_GB18030" w:eastAsia="方正仿宋_GB18030" w:cs="方正仿宋_GB18030"/>
          <w:sz w:val="24"/>
          <w:szCs w:val="24"/>
          <w:lang w:val="en-US" w:eastAsia="zh-CN"/>
        </w:rPr>
        <w:t xml:space="preserve">                                 </w:t>
      </w:r>
      <w:r>
        <w:rPr>
          <w:rFonts w:hint="eastAsia" w:ascii="方正仿宋_GB18030" w:hAnsi="方正仿宋_GB18030" w:eastAsia="方正仿宋_GB18030" w:cs="方正仿宋_GB18030"/>
          <w:sz w:val="24"/>
          <w:szCs w:val="24"/>
        </w:rPr>
        <w:t>地  址：</w:t>
      </w:r>
    </w:p>
    <w:p w14:paraId="2C9D15BB">
      <w:pPr>
        <w:spacing w:line="480" w:lineRule="auto"/>
        <w:jc w:val="center"/>
        <w:rPr>
          <w:rFonts w:hint="eastAsia" w:ascii="方正小标宋_GBK" w:hAnsi="方正小标宋_GBK" w:eastAsia="方正小标宋_GBK" w:cs="方正小标宋_GBK"/>
          <w:b/>
          <w:kern w:val="44"/>
          <w:sz w:val="72"/>
          <w:szCs w:val="72"/>
        </w:rPr>
      </w:pPr>
    </w:p>
    <w:p w14:paraId="2B85069C">
      <w:pPr>
        <w:tabs>
          <w:tab w:val="left" w:pos="5883"/>
        </w:tabs>
        <w:spacing w:line="440" w:lineRule="exact"/>
        <w:rPr>
          <w:rFonts w:hint="eastAsia" w:ascii="宋体" w:hAnsi="宋体" w:cs="宋体"/>
          <w:sz w:val="24"/>
        </w:rPr>
      </w:pPr>
      <w:r>
        <w:rPr>
          <w:rFonts w:hint="eastAsia" w:ascii="宋体" w:hAnsi="宋体" w:cs="宋体"/>
          <w:sz w:val="24"/>
        </w:rPr>
        <w:tab/>
      </w:r>
    </w:p>
    <w:p w14:paraId="295B5A93">
      <w:pPr>
        <w:rPr>
          <w:rFonts w:hint="eastAsia" w:ascii="宋体" w:hAnsi="宋体" w:cs="宋体"/>
          <w:sz w:val="44"/>
          <w:szCs w:val="44"/>
        </w:rPr>
      </w:pPr>
      <w:bookmarkStart w:id="1102" w:name="_Toc5116"/>
      <w:r>
        <w:rPr>
          <w:rFonts w:hint="eastAsia" w:ascii="宋体" w:hAnsi="宋体" w:cs="宋体"/>
          <w:sz w:val="44"/>
          <w:szCs w:val="44"/>
        </w:rPr>
        <w:br w:type="page"/>
      </w:r>
    </w:p>
    <w:p w14:paraId="30AE9351">
      <w:pPr>
        <w:pStyle w:val="4"/>
        <w:jc w:val="center"/>
        <w:rPr>
          <w:rFonts w:hint="eastAsia" w:ascii="宋体" w:hAnsi="宋体" w:eastAsia="宋体" w:cs="宋体"/>
          <w:spacing w:val="0"/>
          <w:w w:val="100"/>
          <w:sz w:val="44"/>
          <w:szCs w:val="44"/>
        </w:rPr>
      </w:pPr>
      <w:r>
        <w:rPr>
          <w:rFonts w:hint="eastAsia" w:ascii="宋体" w:hAnsi="宋体" w:eastAsia="宋体" w:cs="宋体"/>
          <w:spacing w:val="0"/>
          <w:w w:val="100"/>
          <w:sz w:val="44"/>
          <w:szCs w:val="44"/>
        </w:rPr>
        <w:t>第五章  工程量清单</w:t>
      </w:r>
      <w:bookmarkEnd w:id="458"/>
      <w:bookmarkEnd w:id="459"/>
      <w:bookmarkEnd w:id="1102"/>
    </w:p>
    <w:p w14:paraId="34566311">
      <w:pPr>
        <w:spacing w:line="440" w:lineRule="exact"/>
        <w:rPr>
          <w:rFonts w:hint="eastAsia" w:ascii="宋体" w:hAnsi="宋体" w:cs="宋体"/>
          <w:b/>
          <w:kern w:val="0"/>
        </w:rPr>
      </w:pPr>
      <w:bookmarkStart w:id="1103" w:name="_Toc27566"/>
      <w:bookmarkStart w:id="1104" w:name="_Toc18276"/>
      <w:bookmarkStart w:id="1105" w:name="_Toc22990073"/>
      <w:bookmarkStart w:id="1106" w:name="_Toc22375652"/>
      <w:bookmarkStart w:id="1107" w:name="_Toc10697"/>
    </w:p>
    <w:p w14:paraId="71235871">
      <w:pPr>
        <w:spacing w:line="440" w:lineRule="exact"/>
        <w:jc w:val="center"/>
        <w:rPr>
          <w:rFonts w:hint="eastAsia" w:ascii="宋体" w:hAnsi="宋体" w:cs="宋体"/>
          <w:b/>
          <w:kern w:val="0"/>
        </w:rPr>
      </w:pPr>
      <w:r>
        <w:rPr>
          <w:rFonts w:hint="eastAsia" w:ascii="宋体" w:hAnsi="宋体" w:cs="宋体"/>
          <w:b/>
          <w:kern w:val="0"/>
        </w:rPr>
        <w:t>同本比选文件同时发布。</w:t>
      </w:r>
      <w:bookmarkEnd w:id="1103"/>
      <w:bookmarkEnd w:id="1104"/>
      <w:bookmarkEnd w:id="1105"/>
      <w:bookmarkEnd w:id="1106"/>
      <w:bookmarkEnd w:id="1107"/>
    </w:p>
    <w:p w14:paraId="7404DC03">
      <w:pPr>
        <w:spacing w:line="440" w:lineRule="exact"/>
        <w:rPr>
          <w:rFonts w:hint="eastAsia" w:ascii="宋体" w:hAnsi="宋体" w:cs="宋体"/>
          <w:b/>
          <w:kern w:val="0"/>
        </w:rPr>
      </w:pPr>
      <w:r>
        <w:rPr>
          <w:rFonts w:hint="eastAsia" w:ascii="宋体" w:hAnsi="宋体" w:cs="宋体"/>
          <w:b/>
          <w:kern w:val="0"/>
        </w:rPr>
        <w:br w:type="page"/>
      </w:r>
    </w:p>
    <w:p w14:paraId="79794DC1">
      <w:pPr>
        <w:autoSpaceDE w:val="0"/>
        <w:autoSpaceDN w:val="0"/>
        <w:adjustRightInd w:val="0"/>
        <w:snapToGrid w:val="0"/>
        <w:spacing w:line="360" w:lineRule="auto"/>
        <w:rPr>
          <w:rFonts w:hint="eastAsia" w:ascii="宋体" w:hAnsi="宋体" w:cs="宋体"/>
          <w:kern w:val="0"/>
          <w:sz w:val="32"/>
          <w:szCs w:val="32"/>
        </w:rPr>
      </w:pPr>
      <w:bookmarkStart w:id="1108" w:name="_Toc492994393"/>
      <w:r>
        <w:rPr>
          <w:rFonts w:hint="eastAsia" w:ascii="宋体" w:hAnsi="宋体" w:cs="宋体"/>
          <w:b/>
          <w:kern w:val="0"/>
        </w:rPr>
        <w:t xml:space="preserve">  </w:t>
      </w:r>
      <w:bookmarkEnd w:id="1108"/>
    </w:p>
    <w:p w14:paraId="3DA8F041">
      <w:pPr>
        <w:pStyle w:val="4"/>
        <w:jc w:val="center"/>
        <w:rPr>
          <w:rFonts w:hint="eastAsia" w:ascii="宋体" w:hAnsi="宋体" w:eastAsia="宋体" w:cs="宋体"/>
          <w:spacing w:val="0"/>
          <w:w w:val="100"/>
          <w:sz w:val="44"/>
          <w:szCs w:val="44"/>
        </w:rPr>
      </w:pPr>
      <w:bookmarkStart w:id="1109" w:name="_Toc22375653"/>
      <w:bookmarkStart w:id="1110" w:name="_Toc22990074"/>
      <w:bookmarkStart w:id="1111" w:name="_Toc31973"/>
      <w:r>
        <w:rPr>
          <w:rFonts w:hint="eastAsia" w:ascii="宋体" w:hAnsi="宋体" w:eastAsia="宋体" w:cs="宋体"/>
          <w:spacing w:val="0"/>
          <w:w w:val="100"/>
          <w:sz w:val="44"/>
          <w:szCs w:val="44"/>
        </w:rPr>
        <w:t>第六章 比选申请文件格式</w:t>
      </w:r>
      <w:bookmarkEnd w:id="1109"/>
      <w:bookmarkEnd w:id="1110"/>
      <w:bookmarkEnd w:id="1111"/>
    </w:p>
    <w:p w14:paraId="1515D34B">
      <w:pPr>
        <w:tabs>
          <w:tab w:val="left" w:pos="2580"/>
          <w:tab w:val="left" w:pos="5940"/>
        </w:tabs>
        <w:autoSpaceDE w:val="0"/>
        <w:autoSpaceDN w:val="0"/>
        <w:adjustRightInd w:val="0"/>
        <w:snapToGrid w:val="0"/>
        <w:spacing w:line="360" w:lineRule="auto"/>
        <w:ind w:firstLine="2940"/>
        <w:jc w:val="left"/>
        <w:rPr>
          <w:rFonts w:hint="eastAsia" w:ascii="宋体" w:hAnsi="宋体" w:cs="宋体"/>
          <w:kern w:val="0"/>
          <w:sz w:val="28"/>
          <w:szCs w:val="28"/>
        </w:rPr>
      </w:pPr>
    </w:p>
    <w:p w14:paraId="0157AA62">
      <w:pPr>
        <w:tabs>
          <w:tab w:val="left" w:pos="2580"/>
          <w:tab w:val="left" w:pos="5940"/>
        </w:tabs>
        <w:autoSpaceDE w:val="0"/>
        <w:autoSpaceDN w:val="0"/>
        <w:adjustRightInd w:val="0"/>
        <w:snapToGrid w:val="0"/>
        <w:spacing w:line="360" w:lineRule="auto"/>
        <w:ind w:firstLine="2940"/>
        <w:jc w:val="left"/>
        <w:rPr>
          <w:rFonts w:hint="eastAsia" w:ascii="宋体" w:hAnsi="宋体" w:cs="宋体"/>
          <w:kern w:val="0"/>
          <w:sz w:val="28"/>
          <w:szCs w:val="28"/>
        </w:rPr>
      </w:pPr>
    </w:p>
    <w:p w14:paraId="1B3025AE">
      <w:pPr>
        <w:tabs>
          <w:tab w:val="left" w:pos="2580"/>
          <w:tab w:val="left" w:pos="5940"/>
        </w:tabs>
        <w:autoSpaceDE w:val="0"/>
        <w:autoSpaceDN w:val="0"/>
        <w:adjustRightInd w:val="0"/>
        <w:snapToGrid w:val="0"/>
        <w:spacing w:line="360" w:lineRule="auto"/>
        <w:ind w:firstLine="2940"/>
        <w:jc w:val="left"/>
        <w:rPr>
          <w:rFonts w:hint="eastAsia" w:ascii="宋体" w:hAnsi="宋体" w:cs="宋体"/>
          <w:kern w:val="0"/>
          <w:sz w:val="28"/>
          <w:szCs w:val="28"/>
        </w:rPr>
      </w:pPr>
      <w:r>
        <w:rPr>
          <w:rFonts w:hint="eastAsia" w:ascii="宋体" w:hAnsi="宋体" w:cs="宋体"/>
          <w:kern w:val="0"/>
          <w:sz w:val="28"/>
          <w:szCs w:val="28"/>
        </w:rPr>
        <w:br w:type="page"/>
      </w:r>
    </w:p>
    <w:p w14:paraId="212240E8">
      <w:pPr>
        <w:tabs>
          <w:tab w:val="left" w:pos="2980"/>
          <w:tab w:val="left" w:pos="5940"/>
        </w:tabs>
        <w:autoSpaceDE w:val="0"/>
        <w:autoSpaceDN w:val="0"/>
        <w:adjustRightInd w:val="0"/>
        <w:snapToGrid w:val="0"/>
        <w:spacing w:line="360" w:lineRule="auto"/>
        <w:jc w:val="center"/>
        <w:rPr>
          <w:rFonts w:hint="eastAsia" w:ascii="宋体" w:hAnsi="宋体" w:cs="宋体"/>
          <w:b/>
          <w:kern w:val="0"/>
          <w:sz w:val="28"/>
          <w:szCs w:val="28"/>
        </w:rPr>
      </w:pPr>
      <w:r>
        <w:rPr>
          <w:rFonts w:hint="eastAsia" w:ascii="宋体" w:hAnsi="宋体" w:cs="宋体"/>
          <w:b/>
          <w:w w:val="99"/>
          <w:kern w:val="0"/>
          <w:sz w:val="28"/>
          <w:szCs w:val="28"/>
        </w:rPr>
        <w:t>（项目名称</w:t>
      </w:r>
      <w:r>
        <w:rPr>
          <w:rFonts w:hint="eastAsia" w:ascii="宋体" w:hAnsi="宋体" w:cs="宋体"/>
          <w:b/>
          <w:spacing w:val="1"/>
          <w:w w:val="99"/>
          <w:kern w:val="0"/>
          <w:sz w:val="28"/>
          <w:szCs w:val="28"/>
        </w:rPr>
        <w:t>）</w:t>
      </w:r>
      <w:r>
        <w:rPr>
          <w:rFonts w:hint="eastAsia" w:ascii="宋体" w:hAnsi="宋体" w:cs="宋体"/>
          <w:b/>
          <w:w w:val="99"/>
          <w:kern w:val="0"/>
          <w:sz w:val="28"/>
          <w:szCs w:val="28"/>
        </w:rPr>
        <w:t>竞争性比选</w:t>
      </w:r>
    </w:p>
    <w:p w14:paraId="3A20C834">
      <w:pPr>
        <w:tabs>
          <w:tab w:val="left" w:pos="3600"/>
          <w:tab w:val="left" w:pos="4480"/>
          <w:tab w:val="left" w:pos="5360"/>
        </w:tabs>
        <w:autoSpaceDE w:val="0"/>
        <w:autoSpaceDN w:val="0"/>
        <w:adjustRightInd w:val="0"/>
        <w:snapToGrid w:val="0"/>
        <w:spacing w:line="360" w:lineRule="auto"/>
        <w:jc w:val="left"/>
        <w:rPr>
          <w:rFonts w:hint="eastAsia" w:ascii="宋体" w:hAnsi="宋体" w:cs="宋体"/>
          <w:kern w:val="0"/>
          <w:sz w:val="44"/>
          <w:szCs w:val="44"/>
        </w:rPr>
      </w:pPr>
      <w:r>
        <w:rPr>
          <w:rFonts w:hint="eastAsia" w:ascii="宋体" w:hAnsi="宋体" w:cs="宋体"/>
          <w:kern w:val="0"/>
          <w:sz w:val="44"/>
          <w:szCs w:val="44"/>
        </w:rPr>
        <w:t xml:space="preserve">          </w:t>
      </w:r>
    </w:p>
    <w:p w14:paraId="16AD52C4">
      <w:pPr>
        <w:tabs>
          <w:tab w:val="left" w:pos="3600"/>
          <w:tab w:val="left" w:pos="4480"/>
          <w:tab w:val="left" w:pos="5360"/>
        </w:tabs>
        <w:autoSpaceDE w:val="0"/>
        <w:autoSpaceDN w:val="0"/>
        <w:adjustRightInd w:val="0"/>
        <w:snapToGrid w:val="0"/>
        <w:spacing w:line="360" w:lineRule="auto"/>
        <w:jc w:val="left"/>
        <w:rPr>
          <w:rFonts w:hint="eastAsia" w:ascii="宋体" w:hAnsi="宋体" w:cs="宋体"/>
          <w:kern w:val="0"/>
          <w:sz w:val="44"/>
          <w:szCs w:val="44"/>
        </w:rPr>
      </w:pPr>
    </w:p>
    <w:p w14:paraId="124CD929">
      <w:pPr>
        <w:tabs>
          <w:tab w:val="left" w:pos="3600"/>
          <w:tab w:val="left" w:pos="4480"/>
          <w:tab w:val="left" w:pos="5360"/>
        </w:tabs>
        <w:autoSpaceDE w:val="0"/>
        <w:autoSpaceDN w:val="0"/>
        <w:adjustRightInd w:val="0"/>
        <w:snapToGrid w:val="0"/>
        <w:spacing w:line="360" w:lineRule="auto"/>
        <w:jc w:val="left"/>
        <w:rPr>
          <w:rFonts w:hint="eastAsia" w:ascii="宋体" w:hAnsi="宋体" w:cs="宋体"/>
          <w:kern w:val="0"/>
          <w:sz w:val="44"/>
          <w:szCs w:val="44"/>
        </w:rPr>
      </w:pPr>
    </w:p>
    <w:p w14:paraId="2933B6F6">
      <w:pPr>
        <w:tabs>
          <w:tab w:val="left" w:pos="3600"/>
          <w:tab w:val="left" w:pos="4480"/>
          <w:tab w:val="left" w:pos="5360"/>
        </w:tabs>
        <w:autoSpaceDE w:val="0"/>
        <w:autoSpaceDN w:val="0"/>
        <w:adjustRightInd w:val="0"/>
        <w:snapToGrid w:val="0"/>
        <w:spacing w:line="360" w:lineRule="auto"/>
        <w:jc w:val="left"/>
        <w:rPr>
          <w:rFonts w:hint="eastAsia" w:ascii="宋体" w:hAnsi="宋体" w:cs="宋体"/>
          <w:kern w:val="0"/>
          <w:sz w:val="44"/>
          <w:szCs w:val="44"/>
        </w:rPr>
      </w:pPr>
    </w:p>
    <w:p w14:paraId="3FFED6A1">
      <w:pPr>
        <w:tabs>
          <w:tab w:val="left" w:pos="3600"/>
          <w:tab w:val="left" w:pos="4480"/>
          <w:tab w:val="left" w:pos="5360"/>
        </w:tabs>
        <w:autoSpaceDE w:val="0"/>
        <w:autoSpaceDN w:val="0"/>
        <w:adjustRightInd w:val="0"/>
        <w:snapToGrid w:val="0"/>
        <w:spacing w:line="360" w:lineRule="auto"/>
        <w:jc w:val="center"/>
        <w:rPr>
          <w:rFonts w:hint="eastAsia" w:ascii="宋体" w:hAnsi="宋体" w:cs="宋体"/>
          <w:b/>
          <w:kern w:val="0"/>
          <w:sz w:val="84"/>
          <w:szCs w:val="84"/>
        </w:rPr>
      </w:pPr>
      <w:r>
        <w:rPr>
          <w:rFonts w:hint="eastAsia" w:ascii="宋体" w:hAnsi="宋体" w:cs="宋体"/>
          <w:b/>
          <w:kern w:val="0"/>
          <w:sz w:val="84"/>
          <w:szCs w:val="84"/>
        </w:rPr>
        <w:t>比 选 申 请 文 件</w:t>
      </w:r>
    </w:p>
    <w:p w14:paraId="2E7CC178">
      <w:pPr>
        <w:autoSpaceDE w:val="0"/>
        <w:autoSpaceDN w:val="0"/>
        <w:adjustRightInd w:val="0"/>
        <w:snapToGrid w:val="0"/>
        <w:spacing w:line="360" w:lineRule="auto"/>
        <w:jc w:val="left"/>
        <w:rPr>
          <w:rFonts w:hint="eastAsia" w:ascii="宋体" w:hAnsi="宋体" w:cs="宋体"/>
          <w:kern w:val="0"/>
          <w:sz w:val="16"/>
          <w:szCs w:val="16"/>
        </w:rPr>
      </w:pPr>
    </w:p>
    <w:p w14:paraId="0316F06A">
      <w:pPr>
        <w:autoSpaceDE w:val="0"/>
        <w:autoSpaceDN w:val="0"/>
        <w:adjustRightInd w:val="0"/>
        <w:snapToGrid w:val="0"/>
        <w:spacing w:line="360" w:lineRule="auto"/>
        <w:jc w:val="center"/>
        <w:rPr>
          <w:rFonts w:hint="eastAsia" w:ascii="宋体" w:hAnsi="宋体" w:cs="宋体"/>
          <w:b/>
          <w:kern w:val="0"/>
          <w:sz w:val="36"/>
          <w:szCs w:val="36"/>
        </w:rPr>
      </w:pPr>
      <w:r>
        <w:rPr>
          <w:rFonts w:hint="eastAsia" w:ascii="宋体" w:hAnsi="宋体" w:cs="宋体"/>
          <w:b/>
          <w:kern w:val="0"/>
          <w:sz w:val="36"/>
          <w:szCs w:val="36"/>
        </w:rPr>
        <w:t>比选申请文件部分</w:t>
      </w:r>
    </w:p>
    <w:p w14:paraId="2211C17D">
      <w:pPr>
        <w:autoSpaceDE w:val="0"/>
        <w:autoSpaceDN w:val="0"/>
        <w:adjustRightInd w:val="0"/>
        <w:snapToGrid w:val="0"/>
        <w:spacing w:line="360" w:lineRule="auto"/>
        <w:jc w:val="left"/>
        <w:rPr>
          <w:rFonts w:hint="eastAsia" w:ascii="宋体" w:hAnsi="宋体" w:cs="宋体"/>
          <w:b/>
          <w:kern w:val="0"/>
          <w:sz w:val="20"/>
          <w:szCs w:val="20"/>
        </w:rPr>
      </w:pPr>
    </w:p>
    <w:p w14:paraId="1E38ADFC">
      <w:pPr>
        <w:autoSpaceDE w:val="0"/>
        <w:autoSpaceDN w:val="0"/>
        <w:adjustRightInd w:val="0"/>
        <w:snapToGrid w:val="0"/>
        <w:spacing w:line="360" w:lineRule="auto"/>
        <w:jc w:val="left"/>
        <w:rPr>
          <w:rFonts w:hint="eastAsia" w:ascii="宋体" w:hAnsi="宋体" w:cs="宋体"/>
          <w:b/>
          <w:kern w:val="0"/>
          <w:sz w:val="20"/>
          <w:szCs w:val="20"/>
        </w:rPr>
      </w:pPr>
    </w:p>
    <w:p w14:paraId="7F77514B">
      <w:pPr>
        <w:autoSpaceDE w:val="0"/>
        <w:autoSpaceDN w:val="0"/>
        <w:adjustRightInd w:val="0"/>
        <w:snapToGrid w:val="0"/>
        <w:spacing w:line="360" w:lineRule="auto"/>
        <w:jc w:val="left"/>
        <w:rPr>
          <w:rFonts w:hint="eastAsia" w:ascii="宋体" w:hAnsi="宋体" w:cs="宋体"/>
          <w:b/>
          <w:kern w:val="0"/>
          <w:sz w:val="20"/>
          <w:szCs w:val="20"/>
        </w:rPr>
      </w:pPr>
    </w:p>
    <w:p w14:paraId="1F76A5A8">
      <w:pPr>
        <w:autoSpaceDE w:val="0"/>
        <w:autoSpaceDN w:val="0"/>
        <w:adjustRightInd w:val="0"/>
        <w:snapToGrid w:val="0"/>
        <w:spacing w:line="360" w:lineRule="auto"/>
        <w:jc w:val="left"/>
        <w:rPr>
          <w:rFonts w:hint="eastAsia" w:ascii="宋体" w:hAnsi="宋体" w:cs="宋体"/>
          <w:b/>
          <w:kern w:val="0"/>
          <w:sz w:val="20"/>
          <w:szCs w:val="20"/>
        </w:rPr>
      </w:pPr>
    </w:p>
    <w:p w14:paraId="25BDD7CE">
      <w:pPr>
        <w:autoSpaceDE w:val="0"/>
        <w:autoSpaceDN w:val="0"/>
        <w:adjustRightInd w:val="0"/>
        <w:snapToGrid w:val="0"/>
        <w:spacing w:line="360" w:lineRule="auto"/>
        <w:jc w:val="left"/>
        <w:rPr>
          <w:rFonts w:hint="eastAsia" w:ascii="宋体" w:hAnsi="宋体" w:cs="宋体"/>
          <w:b/>
          <w:kern w:val="0"/>
          <w:sz w:val="20"/>
          <w:szCs w:val="20"/>
        </w:rPr>
      </w:pPr>
    </w:p>
    <w:p w14:paraId="7F0CAF08">
      <w:pPr>
        <w:autoSpaceDE w:val="0"/>
        <w:autoSpaceDN w:val="0"/>
        <w:adjustRightInd w:val="0"/>
        <w:snapToGrid w:val="0"/>
        <w:spacing w:line="360" w:lineRule="auto"/>
        <w:jc w:val="left"/>
        <w:rPr>
          <w:rFonts w:hint="eastAsia" w:ascii="宋体" w:hAnsi="宋体" w:cs="宋体"/>
          <w:b/>
          <w:kern w:val="0"/>
          <w:sz w:val="20"/>
          <w:szCs w:val="20"/>
        </w:rPr>
      </w:pPr>
    </w:p>
    <w:p w14:paraId="24A3C4C3">
      <w:pPr>
        <w:autoSpaceDE w:val="0"/>
        <w:autoSpaceDN w:val="0"/>
        <w:adjustRightInd w:val="0"/>
        <w:snapToGrid w:val="0"/>
        <w:spacing w:line="360" w:lineRule="auto"/>
        <w:jc w:val="left"/>
        <w:rPr>
          <w:rFonts w:hint="eastAsia" w:ascii="宋体" w:hAnsi="宋体" w:cs="宋体"/>
          <w:b/>
          <w:kern w:val="0"/>
          <w:sz w:val="20"/>
          <w:szCs w:val="20"/>
        </w:rPr>
      </w:pPr>
    </w:p>
    <w:p w14:paraId="39C0343F">
      <w:pPr>
        <w:autoSpaceDE w:val="0"/>
        <w:autoSpaceDN w:val="0"/>
        <w:adjustRightInd w:val="0"/>
        <w:snapToGrid w:val="0"/>
        <w:spacing w:line="360" w:lineRule="auto"/>
        <w:jc w:val="left"/>
        <w:rPr>
          <w:rFonts w:hint="eastAsia" w:ascii="宋体" w:hAnsi="宋体" w:cs="宋体"/>
          <w:b/>
          <w:kern w:val="0"/>
          <w:sz w:val="20"/>
          <w:szCs w:val="20"/>
        </w:rPr>
      </w:pPr>
    </w:p>
    <w:p w14:paraId="1DA132B3">
      <w:pPr>
        <w:autoSpaceDE w:val="0"/>
        <w:autoSpaceDN w:val="0"/>
        <w:adjustRightInd w:val="0"/>
        <w:snapToGrid w:val="0"/>
        <w:spacing w:line="360" w:lineRule="auto"/>
        <w:jc w:val="left"/>
        <w:rPr>
          <w:rFonts w:hint="eastAsia" w:ascii="宋体" w:hAnsi="宋体" w:cs="宋体"/>
          <w:b/>
          <w:kern w:val="0"/>
          <w:sz w:val="20"/>
          <w:szCs w:val="20"/>
        </w:rPr>
      </w:pPr>
    </w:p>
    <w:p w14:paraId="4C22C063">
      <w:pPr>
        <w:autoSpaceDE w:val="0"/>
        <w:autoSpaceDN w:val="0"/>
        <w:adjustRightInd w:val="0"/>
        <w:snapToGrid w:val="0"/>
        <w:spacing w:line="360" w:lineRule="auto"/>
        <w:jc w:val="left"/>
        <w:rPr>
          <w:rFonts w:hint="eastAsia" w:ascii="宋体" w:hAnsi="宋体" w:cs="宋体"/>
          <w:b/>
          <w:kern w:val="0"/>
          <w:sz w:val="20"/>
          <w:szCs w:val="20"/>
        </w:rPr>
      </w:pPr>
    </w:p>
    <w:p w14:paraId="6C3B7B1E">
      <w:pPr>
        <w:autoSpaceDE w:val="0"/>
        <w:autoSpaceDN w:val="0"/>
        <w:adjustRightInd w:val="0"/>
        <w:snapToGrid w:val="0"/>
        <w:spacing w:line="360" w:lineRule="auto"/>
        <w:jc w:val="left"/>
        <w:rPr>
          <w:rFonts w:hint="eastAsia" w:ascii="宋体" w:hAnsi="宋体" w:cs="宋体"/>
          <w:b/>
          <w:kern w:val="0"/>
          <w:sz w:val="20"/>
          <w:szCs w:val="20"/>
        </w:rPr>
      </w:pPr>
    </w:p>
    <w:p w14:paraId="40EF0FFB">
      <w:pPr>
        <w:autoSpaceDE w:val="0"/>
        <w:autoSpaceDN w:val="0"/>
        <w:adjustRightInd w:val="0"/>
        <w:snapToGrid w:val="0"/>
        <w:spacing w:line="360" w:lineRule="auto"/>
        <w:jc w:val="left"/>
        <w:rPr>
          <w:rFonts w:hint="eastAsia" w:ascii="宋体" w:hAnsi="宋体" w:cs="宋体"/>
          <w:b/>
          <w:kern w:val="0"/>
          <w:sz w:val="20"/>
          <w:szCs w:val="20"/>
        </w:rPr>
      </w:pPr>
    </w:p>
    <w:p w14:paraId="2E44E12F">
      <w:pPr>
        <w:tabs>
          <w:tab w:val="left" w:pos="6080"/>
          <w:tab w:val="left" w:pos="6640"/>
        </w:tabs>
        <w:autoSpaceDE w:val="0"/>
        <w:autoSpaceDN w:val="0"/>
        <w:adjustRightInd w:val="0"/>
        <w:snapToGrid w:val="0"/>
        <w:spacing w:line="360" w:lineRule="auto"/>
        <w:jc w:val="center"/>
        <w:rPr>
          <w:rFonts w:hint="eastAsia" w:ascii="宋体" w:hAnsi="宋体" w:cs="宋体"/>
          <w:b/>
          <w:w w:val="99"/>
          <w:kern w:val="0"/>
          <w:sz w:val="28"/>
          <w:szCs w:val="28"/>
        </w:rPr>
      </w:pPr>
      <w:r>
        <w:rPr>
          <w:rFonts w:hint="eastAsia" w:ascii="宋体" w:hAnsi="宋体" w:cs="宋体"/>
          <w:b/>
          <w:w w:val="99"/>
          <w:kern w:val="0"/>
          <w:sz w:val="28"/>
          <w:szCs w:val="28"/>
        </w:rPr>
        <w:t>比选申请人</w:t>
      </w:r>
      <w:r>
        <w:rPr>
          <w:rFonts w:hint="eastAsia" w:ascii="宋体" w:hAnsi="宋体" w:cs="宋体"/>
          <w:b/>
          <w:spacing w:val="1"/>
          <w:w w:val="99"/>
          <w:kern w:val="0"/>
          <w:sz w:val="28"/>
          <w:szCs w:val="28"/>
        </w:rPr>
        <w:t>：</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（盖单位公章）</w:t>
      </w:r>
    </w:p>
    <w:p w14:paraId="237F891D">
      <w:pPr>
        <w:tabs>
          <w:tab w:val="left" w:pos="6080"/>
          <w:tab w:val="left" w:pos="6640"/>
        </w:tabs>
        <w:autoSpaceDE w:val="0"/>
        <w:autoSpaceDN w:val="0"/>
        <w:adjustRightInd w:val="0"/>
        <w:snapToGrid w:val="0"/>
        <w:spacing w:line="360" w:lineRule="auto"/>
        <w:ind w:firstLine="1062" w:firstLineChars="382"/>
        <w:rPr>
          <w:rFonts w:hint="eastAsia" w:ascii="宋体" w:hAnsi="宋体" w:cs="宋体"/>
          <w:b/>
          <w:kern w:val="0"/>
          <w:sz w:val="28"/>
          <w:szCs w:val="28"/>
        </w:rPr>
      </w:pPr>
      <w:r>
        <w:rPr>
          <w:rFonts w:hint="eastAsia" w:ascii="宋体" w:hAnsi="宋体" w:cs="宋体"/>
          <w:b/>
          <w:w w:val="99"/>
          <w:kern w:val="0"/>
          <w:sz w:val="28"/>
          <w:szCs w:val="28"/>
        </w:rPr>
        <w:t>法定代表人或其委托代理人：</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（签字）</w:t>
      </w:r>
    </w:p>
    <w:p w14:paraId="6EBBEA7C">
      <w:pPr>
        <w:tabs>
          <w:tab w:val="left" w:pos="3280"/>
          <w:tab w:val="left" w:pos="4680"/>
          <w:tab w:val="left" w:pos="6080"/>
        </w:tabs>
        <w:autoSpaceDE w:val="0"/>
        <w:autoSpaceDN w:val="0"/>
        <w:adjustRightInd w:val="0"/>
        <w:snapToGrid w:val="0"/>
        <w:spacing w:line="360" w:lineRule="auto"/>
        <w:jc w:val="center"/>
        <w:rPr>
          <w:rFonts w:hint="eastAsia" w:ascii="宋体" w:hAnsi="宋体" w:cs="宋体"/>
          <w:b/>
          <w:kern w:val="0"/>
          <w:sz w:val="28"/>
          <w:szCs w:val="28"/>
        </w:rPr>
      </w:pPr>
      <w:r>
        <w:rPr>
          <w:rFonts w:hint="eastAsia" w:ascii="宋体" w:hAnsi="宋体" w:cs="宋体"/>
          <w:b/>
          <w:w w:val="99"/>
          <w:kern w:val="0"/>
          <w:sz w:val="28"/>
          <w:szCs w:val="28"/>
          <w:u w:val="single"/>
        </w:rPr>
        <w:t xml:space="preserve">     　</w:t>
      </w:r>
      <w:r>
        <w:rPr>
          <w:rFonts w:hint="eastAsia" w:ascii="宋体" w:hAnsi="宋体" w:cs="宋体"/>
          <w:b/>
          <w:w w:val="99"/>
          <w:kern w:val="0"/>
          <w:sz w:val="28"/>
          <w:szCs w:val="28"/>
        </w:rPr>
        <w:t>年</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月</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日</w:t>
      </w:r>
    </w:p>
    <w:p w14:paraId="3A1F85CB">
      <w:pPr>
        <w:autoSpaceDE w:val="0"/>
        <w:autoSpaceDN w:val="0"/>
        <w:adjustRightInd w:val="0"/>
        <w:snapToGrid w:val="0"/>
        <w:spacing w:line="360" w:lineRule="auto"/>
        <w:jc w:val="left"/>
        <w:rPr>
          <w:rFonts w:hint="eastAsia" w:ascii="宋体" w:hAnsi="宋体" w:cs="宋体"/>
          <w:kern w:val="0"/>
        </w:rPr>
      </w:pPr>
      <w:r>
        <w:rPr>
          <w:rFonts w:hint="eastAsia" w:ascii="宋体" w:hAnsi="宋体" w:cs="宋体"/>
          <w:kern w:val="0"/>
          <w:sz w:val="24"/>
        </w:rPr>
        <w:br w:type="page"/>
      </w:r>
    </w:p>
    <w:p w14:paraId="665C8234">
      <w:pPr>
        <w:autoSpaceDE w:val="0"/>
        <w:autoSpaceDN w:val="0"/>
        <w:adjustRightInd w:val="0"/>
        <w:snapToGrid w:val="0"/>
        <w:spacing w:line="360" w:lineRule="auto"/>
        <w:jc w:val="center"/>
        <w:rPr>
          <w:rFonts w:hint="eastAsia" w:ascii="宋体" w:hAnsi="宋体" w:cs="宋体"/>
          <w:b/>
          <w:kern w:val="0"/>
        </w:rPr>
      </w:pPr>
      <w:r>
        <w:rPr>
          <w:rFonts w:hint="eastAsia" w:ascii="宋体" w:hAnsi="宋体" w:cs="宋体"/>
          <w:b/>
          <w:kern w:val="0"/>
        </w:rPr>
        <w:t>目     录</w:t>
      </w:r>
    </w:p>
    <w:p w14:paraId="05FBED58">
      <w:pPr>
        <w:autoSpaceDE w:val="0"/>
        <w:autoSpaceDN w:val="0"/>
        <w:adjustRightInd w:val="0"/>
        <w:snapToGrid w:val="0"/>
        <w:spacing w:line="360" w:lineRule="auto"/>
        <w:jc w:val="left"/>
        <w:rPr>
          <w:rFonts w:hint="eastAsia" w:ascii="宋体" w:hAnsi="宋体" w:cs="宋体"/>
          <w:kern w:val="0"/>
        </w:rPr>
      </w:pPr>
    </w:p>
    <w:p w14:paraId="2CCD0463">
      <w:pPr>
        <w:numPr>
          <w:ilvl w:val="0"/>
          <w:numId w:val="4"/>
        </w:numPr>
        <w:rPr>
          <w:rFonts w:hint="eastAsia" w:ascii="宋体" w:hAnsi="宋体" w:cs="宋体"/>
        </w:rPr>
      </w:pPr>
      <w:r>
        <w:rPr>
          <w:rFonts w:hint="eastAsia" w:ascii="宋体" w:hAnsi="宋体" w:cs="宋体"/>
        </w:rPr>
        <w:t>比选申请人承诺函（投标函）</w:t>
      </w:r>
    </w:p>
    <w:p w14:paraId="502E2560">
      <w:pPr>
        <w:numPr>
          <w:ilvl w:val="0"/>
          <w:numId w:val="4"/>
        </w:numPr>
        <w:rPr>
          <w:rFonts w:hint="eastAsia" w:ascii="宋体" w:hAnsi="宋体" w:cs="宋体"/>
        </w:rPr>
      </w:pPr>
      <w:r>
        <w:rPr>
          <w:rFonts w:hint="eastAsia" w:ascii="宋体" w:hAnsi="宋体" w:cs="宋体"/>
        </w:rPr>
        <w:t>法定代表人身份证复印件（盖鲜章）或法定代表人授权委托书</w:t>
      </w:r>
    </w:p>
    <w:p w14:paraId="155CC4CB">
      <w:pPr>
        <w:numPr>
          <w:ilvl w:val="0"/>
          <w:numId w:val="4"/>
        </w:numPr>
        <w:rPr>
          <w:rFonts w:hint="eastAsia" w:ascii="宋体" w:hAnsi="宋体" w:cs="宋体"/>
        </w:rPr>
      </w:pPr>
      <w:r>
        <w:rPr>
          <w:rFonts w:hint="eastAsia" w:ascii="宋体" w:hAnsi="宋体" w:cs="宋体"/>
        </w:rPr>
        <w:t>比选申请人基本情况表</w:t>
      </w:r>
    </w:p>
    <w:p w14:paraId="22F66F52">
      <w:pPr>
        <w:numPr>
          <w:ilvl w:val="0"/>
          <w:numId w:val="4"/>
        </w:numPr>
        <w:rPr>
          <w:rFonts w:hint="eastAsia" w:ascii="宋体" w:hAnsi="宋体" w:cs="宋体"/>
        </w:rPr>
      </w:pPr>
      <w:r>
        <w:rPr>
          <w:rFonts w:hint="eastAsia" w:ascii="宋体" w:hAnsi="宋体" w:cs="宋体"/>
        </w:rPr>
        <w:t>项目管理机构</w:t>
      </w:r>
    </w:p>
    <w:p w14:paraId="631972E1">
      <w:pPr>
        <w:numPr>
          <w:ilvl w:val="0"/>
          <w:numId w:val="4"/>
        </w:numPr>
        <w:rPr>
          <w:rFonts w:hint="eastAsia" w:ascii="宋体" w:hAnsi="宋体" w:cs="宋体"/>
        </w:rPr>
      </w:pPr>
      <w:r>
        <w:rPr>
          <w:rFonts w:hint="eastAsia" w:ascii="宋体" w:hAnsi="宋体" w:cs="宋体"/>
        </w:rPr>
        <w:t>主要人员简历表</w:t>
      </w:r>
    </w:p>
    <w:p w14:paraId="625916A0">
      <w:pPr>
        <w:numPr>
          <w:ilvl w:val="0"/>
          <w:numId w:val="4"/>
        </w:numPr>
        <w:rPr>
          <w:rFonts w:hint="eastAsia" w:ascii="宋体" w:hAnsi="宋体" w:cs="宋体"/>
        </w:rPr>
      </w:pPr>
      <w:r>
        <w:rPr>
          <w:rFonts w:hint="eastAsia" w:ascii="宋体" w:hAnsi="宋体" w:cs="宋体"/>
        </w:rPr>
        <w:t>信誉承诺</w:t>
      </w:r>
    </w:p>
    <w:p w14:paraId="0EC5DFC1">
      <w:pPr>
        <w:numPr>
          <w:ilvl w:val="0"/>
          <w:numId w:val="4"/>
        </w:numPr>
        <w:rPr>
          <w:rFonts w:hint="eastAsia" w:ascii="宋体" w:hAnsi="宋体" w:cs="宋体"/>
        </w:rPr>
      </w:pPr>
      <w:r>
        <w:rPr>
          <w:rFonts w:hint="eastAsia" w:ascii="宋体" w:hAnsi="宋体" w:cs="宋体"/>
        </w:rPr>
        <w:t>经济部分</w:t>
      </w:r>
    </w:p>
    <w:p w14:paraId="5825AA9B">
      <w:pPr>
        <w:numPr>
          <w:ilvl w:val="0"/>
          <w:numId w:val="4"/>
        </w:numPr>
        <w:rPr>
          <w:rFonts w:hint="eastAsia" w:ascii="宋体" w:hAnsi="宋体" w:cs="宋体"/>
        </w:rPr>
      </w:pPr>
      <w:r>
        <w:rPr>
          <w:rFonts w:hint="eastAsia" w:ascii="宋体" w:hAnsi="宋体" w:cs="宋体"/>
        </w:rPr>
        <w:t>技术部分</w:t>
      </w:r>
    </w:p>
    <w:p w14:paraId="380EDEB1">
      <w:pPr>
        <w:rPr>
          <w:rFonts w:hint="eastAsia" w:ascii="宋体" w:hAnsi="宋体" w:cs="宋体"/>
          <w:sz w:val="28"/>
        </w:rPr>
      </w:pPr>
      <w:bookmarkStart w:id="1112" w:name="_Toc492994396"/>
      <w:bookmarkStart w:id="1113" w:name="_Toc304992630"/>
      <w:bookmarkStart w:id="1114" w:name="_Toc22375655"/>
      <w:bookmarkStart w:id="1115" w:name="_Toc492644444"/>
      <w:bookmarkStart w:id="1116" w:name="_Toc15991"/>
      <w:bookmarkStart w:id="1117" w:name="_Toc22990076"/>
      <w:r>
        <w:rPr>
          <w:rFonts w:hint="eastAsia" w:ascii="宋体" w:hAnsi="宋体" w:cs="宋体"/>
          <w:sz w:val="28"/>
        </w:rPr>
        <w:br w:type="page"/>
      </w:r>
    </w:p>
    <w:p w14:paraId="2D81F2BC">
      <w:pPr>
        <w:pStyle w:val="2"/>
        <w:jc w:val="center"/>
        <w:rPr>
          <w:rFonts w:hint="eastAsia" w:ascii="宋体" w:hAnsi="宋体" w:eastAsia="宋体" w:cs="宋体"/>
          <w:sz w:val="28"/>
        </w:rPr>
      </w:pPr>
      <w:r>
        <w:rPr>
          <w:rFonts w:hint="eastAsia" w:ascii="宋体" w:hAnsi="宋体" w:eastAsia="宋体" w:cs="宋体"/>
          <w:sz w:val="28"/>
        </w:rPr>
        <w:t>（一）</w:t>
      </w:r>
      <w:r>
        <w:rPr>
          <w:rFonts w:hint="eastAsia" w:ascii="宋体" w:hAnsi="宋体" w:eastAsia="宋体" w:cs="宋体"/>
        </w:rPr>
        <w:t>比选申请人承诺函</w:t>
      </w:r>
      <w:bookmarkEnd w:id="1112"/>
      <w:bookmarkEnd w:id="1113"/>
      <w:bookmarkEnd w:id="1114"/>
      <w:bookmarkEnd w:id="1115"/>
      <w:bookmarkEnd w:id="1116"/>
      <w:bookmarkEnd w:id="1117"/>
      <w:r>
        <w:rPr>
          <w:rFonts w:hint="eastAsia" w:ascii="宋体" w:hAnsi="宋体" w:eastAsia="宋体" w:cs="宋体"/>
        </w:rPr>
        <w:t>（投标函）</w:t>
      </w:r>
    </w:p>
    <w:p w14:paraId="6D49E63E">
      <w:pPr>
        <w:autoSpaceDE w:val="0"/>
        <w:autoSpaceDN w:val="0"/>
        <w:adjustRightInd w:val="0"/>
        <w:spacing w:line="200" w:lineRule="exact"/>
        <w:jc w:val="left"/>
        <w:rPr>
          <w:rFonts w:hint="eastAsia" w:ascii="宋体" w:hAnsi="宋体" w:cs="宋体"/>
          <w:kern w:val="0"/>
          <w:sz w:val="20"/>
          <w:szCs w:val="20"/>
        </w:rPr>
      </w:pPr>
    </w:p>
    <w:p w14:paraId="4712D175">
      <w:pPr>
        <w:autoSpaceDE w:val="0"/>
        <w:autoSpaceDN w:val="0"/>
        <w:adjustRightInd w:val="0"/>
        <w:spacing w:line="200" w:lineRule="exact"/>
        <w:jc w:val="left"/>
        <w:rPr>
          <w:rFonts w:hint="eastAsia" w:ascii="宋体" w:hAnsi="宋体" w:cs="宋体"/>
          <w:kern w:val="0"/>
          <w:sz w:val="20"/>
          <w:szCs w:val="20"/>
        </w:rPr>
      </w:pPr>
    </w:p>
    <w:p w14:paraId="37FA55F0">
      <w:pPr>
        <w:autoSpaceDE w:val="0"/>
        <w:autoSpaceDN w:val="0"/>
        <w:adjustRightInd w:val="0"/>
        <w:spacing w:before="19" w:line="220" w:lineRule="exact"/>
        <w:jc w:val="left"/>
        <w:rPr>
          <w:rFonts w:hint="eastAsia" w:ascii="宋体" w:hAnsi="宋体" w:cs="宋体"/>
          <w:snapToGrid w:val="0"/>
          <w:kern w:val="0"/>
          <w:sz w:val="22"/>
          <w:szCs w:val="22"/>
        </w:rPr>
      </w:pPr>
    </w:p>
    <w:p w14:paraId="19BFA943">
      <w:pPr>
        <w:tabs>
          <w:tab w:val="left" w:pos="2640"/>
        </w:tabs>
        <w:autoSpaceDE w:val="0"/>
        <w:autoSpaceDN w:val="0"/>
        <w:adjustRightInd w:val="0"/>
        <w:spacing w:line="220" w:lineRule="exact"/>
        <w:ind w:left="120" w:right="-20"/>
        <w:jc w:val="left"/>
        <w:rPr>
          <w:rFonts w:hint="eastAsia" w:ascii="宋体" w:hAnsi="宋体" w:cs="宋体"/>
          <w:snapToGrid w:val="0"/>
          <w:kern w:val="0"/>
        </w:rPr>
      </w:pPr>
      <w:r>
        <w:rPr>
          <w:rFonts w:hint="eastAsia" w:ascii="宋体" w:hAnsi="宋体" w:cs="宋体"/>
          <w:snapToGrid w:val="0"/>
          <w:w w:val="200"/>
          <w:kern w:val="0"/>
          <w:u w:val="single"/>
        </w:rPr>
        <w:t xml:space="preserve"> </w:t>
      </w:r>
      <w:r>
        <w:rPr>
          <w:rFonts w:hint="eastAsia" w:ascii="宋体" w:hAnsi="宋体" w:cs="宋体"/>
          <w:snapToGrid w:val="0"/>
          <w:kern w:val="0"/>
          <w:u w:val="single"/>
        </w:rPr>
        <w:tab/>
      </w:r>
      <w:r>
        <w:rPr>
          <w:rFonts w:hint="eastAsia" w:ascii="宋体" w:hAnsi="宋体" w:cs="宋体"/>
          <w:snapToGrid w:val="0"/>
          <w:kern w:val="0"/>
        </w:rPr>
        <w:t>（比选人名称）：</w:t>
      </w:r>
    </w:p>
    <w:p w14:paraId="68CD3758">
      <w:pPr>
        <w:autoSpaceDE w:val="0"/>
        <w:autoSpaceDN w:val="0"/>
        <w:adjustRightInd w:val="0"/>
        <w:spacing w:before="15" w:line="140" w:lineRule="exact"/>
        <w:jc w:val="left"/>
        <w:rPr>
          <w:rFonts w:hint="eastAsia" w:ascii="宋体" w:hAnsi="宋体" w:cs="宋体"/>
          <w:snapToGrid w:val="0"/>
          <w:kern w:val="0"/>
          <w:sz w:val="14"/>
          <w:szCs w:val="14"/>
        </w:rPr>
      </w:pPr>
    </w:p>
    <w:p w14:paraId="23D11A2A">
      <w:pPr>
        <w:autoSpaceDE w:val="0"/>
        <w:autoSpaceDN w:val="0"/>
        <w:adjustRightInd w:val="0"/>
        <w:spacing w:line="200" w:lineRule="exact"/>
        <w:jc w:val="left"/>
        <w:rPr>
          <w:rFonts w:hint="eastAsia" w:ascii="宋体" w:hAnsi="宋体" w:cs="宋体"/>
          <w:snapToGrid w:val="0"/>
          <w:kern w:val="0"/>
          <w:sz w:val="20"/>
          <w:szCs w:val="20"/>
        </w:rPr>
      </w:pPr>
    </w:p>
    <w:p w14:paraId="27E58604">
      <w:pPr>
        <w:autoSpaceDE w:val="0"/>
        <w:autoSpaceDN w:val="0"/>
        <w:adjustRightInd w:val="0"/>
        <w:spacing w:line="200" w:lineRule="exact"/>
        <w:jc w:val="left"/>
        <w:rPr>
          <w:rFonts w:hint="eastAsia" w:ascii="宋体" w:hAnsi="宋体" w:cs="宋体"/>
          <w:snapToGrid w:val="0"/>
          <w:kern w:val="0"/>
          <w:sz w:val="20"/>
          <w:szCs w:val="20"/>
        </w:rPr>
      </w:pPr>
    </w:p>
    <w:p w14:paraId="2B53093E">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420" w:firstLineChars="200"/>
        <w:rPr>
          <w:rFonts w:hint="eastAsia" w:ascii="宋体" w:hAnsi="宋体" w:cs="宋体"/>
          <w:snapToGrid w:val="0"/>
          <w:kern w:val="0"/>
        </w:rPr>
      </w:pPr>
      <w:r>
        <w:rPr>
          <w:rFonts w:hint="eastAsia" w:ascii="宋体" w:hAnsi="宋体" w:cs="宋体"/>
          <w:snapToGrid w:val="0"/>
          <w:kern w:val="0"/>
        </w:rPr>
        <w:t>1．我方已仔细研究了</w:t>
      </w:r>
      <w:r>
        <w:rPr>
          <w:rFonts w:hint="eastAsia" w:ascii="宋体" w:hAnsi="宋体" w:cs="宋体"/>
          <w:snapToGrid w:val="0"/>
          <w:w w:val="200"/>
          <w:kern w:val="0"/>
          <w:u w:val="single"/>
        </w:rPr>
        <w:t xml:space="preserve"> </w:t>
      </w:r>
      <w:r>
        <w:rPr>
          <w:rFonts w:hint="eastAsia" w:ascii="宋体" w:hAnsi="宋体" w:cs="宋体"/>
          <w:snapToGrid w:val="0"/>
          <w:kern w:val="0"/>
          <w:u w:val="single"/>
        </w:rPr>
        <w:tab/>
      </w:r>
      <w:r>
        <w:rPr>
          <w:rFonts w:hint="eastAsia" w:ascii="宋体" w:hAnsi="宋体" w:cs="宋体"/>
          <w:snapToGrid w:val="0"/>
          <w:kern w:val="0"/>
          <w:u w:val="single"/>
        </w:rPr>
        <w:tab/>
      </w:r>
      <w:r>
        <w:rPr>
          <w:rFonts w:hint="eastAsia" w:ascii="宋体" w:hAnsi="宋体" w:cs="宋体"/>
          <w:snapToGrid w:val="0"/>
          <w:kern w:val="0"/>
        </w:rPr>
        <w:t>（项目名称）施工比选文件的全部内容，愿意以人民币（大写）</w:t>
      </w:r>
      <w:r>
        <w:rPr>
          <w:rFonts w:hint="eastAsia" w:ascii="宋体" w:hAnsi="宋体" w:cs="宋体"/>
          <w:snapToGrid w:val="0"/>
          <w:w w:val="200"/>
          <w:kern w:val="0"/>
          <w:u w:val="single"/>
        </w:rPr>
        <w:t xml:space="preserve">          </w:t>
      </w:r>
      <w:r>
        <w:rPr>
          <w:rFonts w:hint="eastAsia" w:ascii="宋体" w:hAnsi="宋体" w:cs="宋体"/>
          <w:snapToGrid w:val="0"/>
          <w:kern w:val="0"/>
          <w:u w:val="single"/>
        </w:rPr>
        <w:tab/>
      </w:r>
      <w:r>
        <w:rPr>
          <w:rFonts w:hint="eastAsia" w:ascii="宋体" w:hAnsi="宋体" w:cs="宋体"/>
          <w:snapToGrid w:val="0"/>
          <w:kern w:val="0"/>
        </w:rPr>
        <w:t>元（¥</w:t>
      </w:r>
      <w:r>
        <w:rPr>
          <w:rFonts w:hint="eastAsia" w:ascii="宋体" w:hAnsi="宋体" w:cs="宋体"/>
          <w:snapToGrid w:val="0"/>
          <w:w w:val="200"/>
          <w:kern w:val="0"/>
          <w:u w:val="single"/>
        </w:rPr>
        <w:t xml:space="preserve">   </w:t>
      </w:r>
      <w:r>
        <w:rPr>
          <w:rFonts w:hint="eastAsia" w:ascii="宋体" w:hAnsi="宋体" w:cs="宋体"/>
          <w:snapToGrid w:val="0"/>
          <w:kern w:val="0"/>
        </w:rPr>
        <w:t>）其中</w:t>
      </w:r>
      <w:r>
        <w:rPr>
          <w:rFonts w:hint="eastAsia" w:ascii="宋体" w:hAnsi="宋体" w:cs="宋体"/>
          <w:snapToGrid w:val="0"/>
          <w:kern w:val="0"/>
          <w:lang w:eastAsia="zh-CN"/>
        </w:rPr>
        <w:t>安全文明施工费</w:t>
      </w:r>
      <w:r>
        <w:rPr>
          <w:rFonts w:hint="eastAsia" w:ascii="宋体" w:hAnsi="宋体" w:cs="宋体"/>
          <w:snapToGrid w:val="0"/>
          <w:kern w:val="0"/>
        </w:rPr>
        <w:t>为：</w:t>
      </w:r>
      <w:r>
        <w:rPr>
          <w:rFonts w:hint="eastAsia" w:ascii="宋体" w:hAnsi="宋体" w:cs="宋体"/>
          <w:snapToGrid w:val="0"/>
          <w:kern w:val="0"/>
          <w:u w:val="single"/>
        </w:rPr>
        <w:t xml:space="preserve">     </w:t>
      </w:r>
      <w:r>
        <w:rPr>
          <w:rFonts w:hint="eastAsia" w:ascii="宋体" w:hAnsi="宋体" w:cs="宋体"/>
          <w:sz w:val="24"/>
        </w:rPr>
        <w:t>，</w:t>
      </w:r>
      <w:r>
        <w:rPr>
          <w:rFonts w:hint="eastAsia" w:ascii="宋体" w:hAnsi="宋体" w:cs="宋体"/>
          <w:snapToGrid w:val="0"/>
          <w:kern w:val="0"/>
        </w:rPr>
        <w:t xml:space="preserve">授权委托人为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napToGrid w:val="0"/>
          <w:kern w:val="0"/>
        </w:rPr>
        <w:t>项目经理为</w:t>
      </w:r>
      <w:r>
        <w:rPr>
          <w:rFonts w:hint="eastAsia" w:ascii="宋体" w:hAnsi="宋体" w:cs="宋体"/>
          <w:snapToGrid w:val="0"/>
          <w:kern w:val="0"/>
          <w:u w:val="single"/>
        </w:rPr>
        <w:t xml:space="preserve">             </w:t>
      </w:r>
      <w:r>
        <w:rPr>
          <w:rFonts w:hint="eastAsia" w:ascii="宋体" w:hAnsi="宋体" w:cs="宋体"/>
          <w:snapToGrid w:val="0"/>
          <w:kern w:val="0"/>
        </w:rPr>
        <w:t>，工期</w:t>
      </w:r>
      <w:r>
        <w:rPr>
          <w:rFonts w:hint="eastAsia" w:ascii="宋体" w:hAnsi="宋体" w:cs="宋体"/>
          <w:snapToGrid w:val="0"/>
          <w:kern w:val="0"/>
          <w:u w:val="single"/>
        </w:rPr>
        <w:t xml:space="preserve">                  </w:t>
      </w:r>
      <w:r>
        <w:rPr>
          <w:rFonts w:hint="eastAsia" w:ascii="宋体" w:hAnsi="宋体" w:cs="宋体"/>
          <w:snapToGrid w:val="0"/>
          <w:kern w:val="0"/>
        </w:rPr>
        <w:t>日历天，质量要求</w:t>
      </w:r>
      <w:r>
        <w:rPr>
          <w:rFonts w:hint="eastAsia" w:ascii="宋体" w:hAnsi="宋体" w:cs="宋体"/>
          <w:snapToGrid w:val="0"/>
          <w:kern w:val="0"/>
          <w:u w:val="single"/>
        </w:rPr>
        <w:tab/>
      </w:r>
      <w:r>
        <w:rPr>
          <w:rFonts w:hint="eastAsia" w:ascii="宋体" w:hAnsi="宋体" w:cs="宋体"/>
          <w:snapToGrid w:val="0"/>
          <w:kern w:val="0"/>
          <w:u w:val="single"/>
        </w:rPr>
        <w:tab/>
      </w:r>
      <w:r>
        <w:rPr>
          <w:rFonts w:hint="eastAsia" w:ascii="宋体" w:hAnsi="宋体" w:cs="宋体"/>
          <w:snapToGrid w:val="0"/>
          <w:kern w:val="0"/>
        </w:rPr>
        <w:t xml:space="preserve"> 。</w:t>
      </w:r>
    </w:p>
    <w:p w14:paraId="2B96556F">
      <w:pPr>
        <w:autoSpaceDE w:val="0"/>
        <w:autoSpaceDN w:val="0"/>
        <w:adjustRightInd w:val="0"/>
        <w:spacing w:before="15"/>
        <w:ind w:left="540" w:right="-20"/>
        <w:jc w:val="left"/>
        <w:rPr>
          <w:rFonts w:hint="eastAsia" w:ascii="宋体" w:hAnsi="宋体" w:cs="宋体"/>
          <w:snapToGrid w:val="0"/>
          <w:kern w:val="0"/>
        </w:rPr>
      </w:pPr>
      <w:r>
        <w:rPr>
          <w:rFonts w:hint="eastAsia" w:ascii="宋体" w:hAnsi="宋体" w:cs="宋体"/>
          <w:snapToGrid w:val="0"/>
          <w:kern w:val="0"/>
        </w:rPr>
        <w:t>2．我方承诺在比选投标有效期内不修改、撤销比选申请文件。</w:t>
      </w:r>
    </w:p>
    <w:p w14:paraId="415848DC">
      <w:pPr>
        <w:autoSpaceDE w:val="0"/>
        <w:autoSpaceDN w:val="0"/>
        <w:adjustRightInd w:val="0"/>
        <w:spacing w:before="10" w:line="100" w:lineRule="exact"/>
        <w:jc w:val="left"/>
        <w:rPr>
          <w:rFonts w:hint="eastAsia" w:ascii="宋体" w:hAnsi="宋体" w:cs="宋体"/>
          <w:snapToGrid w:val="0"/>
          <w:kern w:val="0"/>
          <w:sz w:val="10"/>
          <w:szCs w:val="10"/>
        </w:rPr>
      </w:pPr>
    </w:p>
    <w:p w14:paraId="72EFE8F9">
      <w:pPr>
        <w:tabs>
          <w:tab w:val="left" w:pos="2730"/>
          <w:tab w:val="left" w:pos="8190"/>
        </w:tabs>
        <w:autoSpaceDE w:val="0"/>
        <w:autoSpaceDN w:val="0"/>
        <w:adjustRightInd w:val="0"/>
        <w:ind w:right="-119" w:firstLine="539" w:firstLineChars="257"/>
        <w:jc w:val="left"/>
        <w:rPr>
          <w:rFonts w:hint="eastAsia" w:ascii="宋体" w:hAnsi="宋体" w:cs="宋体"/>
          <w:snapToGrid w:val="0"/>
          <w:kern w:val="0"/>
        </w:rPr>
      </w:pPr>
      <w:r>
        <w:rPr>
          <w:rFonts w:hint="eastAsia" w:ascii="宋体" w:hAnsi="宋体" w:cs="宋体"/>
          <w:snapToGrid w:val="0"/>
          <w:kern w:val="0"/>
        </w:rPr>
        <w:t>3．随同本比选申请人承诺函提交比选保证金一份，金额为人民币（大写）</w:t>
      </w:r>
      <w:r>
        <w:rPr>
          <w:rFonts w:hint="eastAsia" w:ascii="宋体" w:hAnsi="宋体" w:cs="宋体"/>
          <w:snapToGrid w:val="0"/>
          <w:w w:val="200"/>
          <w:kern w:val="0"/>
          <w:u w:val="single"/>
        </w:rPr>
        <w:t xml:space="preserve"> </w:t>
      </w:r>
      <w:r>
        <w:rPr>
          <w:rFonts w:hint="eastAsia" w:ascii="宋体" w:hAnsi="宋体" w:cs="宋体"/>
          <w:snapToGrid w:val="0"/>
          <w:kern w:val="0"/>
          <w:u w:val="single"/>
        </w:rPr>
        <w:tab/>
      </w:r>
      <w:r>
        <w:rPr>
          <w:rFonts w:hint="eastAsia" w:ascii="宋体" w:hAnsi="宋体" w:cs="宋体"/>
          <w:snapToGrid w:val="0"/>
          <w:kern w:val="0"/>
        </w:rPr>
        <w:t>元（¥</w:t>
      </w:r>
      <w:r>
        <w:rPr>
          <w:rFonts w:hint="eastAsia" w:ascii="宋体" w:hAnsi="宋体" w:cs="宋体"/>
          <w:snapToGrid w:val="0"/>
          <w:w w:val="200"/>
          <w:kern w:val="0"/>
          <w:u w:val="single"/>
        </w:rPr>
        <w:t xml:space="preserve"> </w:t>
      </w:r>
      <w:r>
        <w:rPr>
          <w:rFonts w:hint="eastAsia" w:ascii="宋体" w:hAnsi="宋体" w:cs="宋体"/>
          <w:snapToGrid w:val="0"/>
          <w:kern w:val="0"/>
          <w:u w:val="single"/>
        </w:rPr>
        <w:tab/>
      </w:r>
      <w:r>
        <w:rPr>
          <w:rFonts w:hint="eastAsia" w:ascii="宋体" w:hAnsi="宋体" w:cs="宋体"/>
          <w:snapToGrid w:val="0"/>
          <w:kern w:val="0"/>
        </w:rPr>
        <w:t xml:space="preserve"> ）。</w:t>
      </w:r>
    </w:p>
    <w:p w14:paraId="78C99C7A">
      <w:pPr>
        <w:autoSpaceDE w:val="0"/>
        <w:autoSpaceDN w:val="0"/>
        <w:adjustRightInd w:val="0"/>
        <w:spacing w:before="11" w:line="100" w:lineRule="exact"/>
        <w:jc w:val="left"/>
        <w:rPr>
          <w:rFonts w:hint="eastAsia" w:ascii="宋体" w:hAnsi="宋体" w:cs="宋体"/>
          <w:snapToGrid w:val="0"/>
          <w:kern w:val="0"/>
          <w:sz w:val="10"/>
          <w:szCs w:val="10"/>
        </w:rPr>
      </w:pPr>
    </w:p>
    <w:p w14:paraId="6984F69E">
      <w:pPr>
        <w:autoSpaceDE w:val="0"/>
        <w:autoSpaceDN w:val="0"/>
        <w:adjustRightInd w:val="0"/>
        <w:ind w:left="540" w:right="-20"/>
        <w:jc w:val="left"/>
        <w:rPr>
          <w:rFonts w:hint="eastAsia" w:ascii="宋体" w:hAnsi="宋体" w:cs="宋体"/>
          <w:snapToGrid w:val="0"/>
          <w:kern w:val="0"/>
        </w:rPr>
      </w:pPr>
      <w:r>
        <w:rPr>
          <w:rFonts w:hint="eastAsia" w:ascii="宋体" w:hAnsi="宋体" w:cs="宋体"/>
          <w:snapToGrid w:val="0"/>
          <w:kern w:val="0"/>
        </w:rPr>
        <w:t>4．如我方中选：</w:t>
      </w:r>
    </w:p>
    <w:p w14:paraId="2CF606CF">
      <w:pPr>
        <w:autoSpaceDE w:val="0"/>
        <w:autoSpaceDN w:val="0"/>
        <w:adjustRightInd w:val="0"/>
        <w:spacing w:before="11" w:line="100" w:lineRule="exact"/>
        <w:jc w:val="left"/>
        <w:rPr>
          <w:rFonts w:hint="eastAsia" w:ascii="宋体" w:hAnsi="宋体" w:cs="宋体"/>
          <w:snapToGrid w:val="0"/>
          <w:kern w:val="0"/>
          <w:sz w:val="10"/>
          <w:szCs w:val="10"/>
        </w:rPr>
      </w:pPr>
    </w:p>
    <w:p w14:paraId="756FECE4">
      <w:pPr>
        <w:autoSpaceDE w:val="0"/>
        <w:autoSpaceDN w:val="0"/>
        <w:adjustRightInd w:val="0"/>
        <w:ind w:left="838" w:right="-80"/>
        <w:jc w:val="left"/>
        <w:rPr>
          <w:rFonts w:hint="eastAsia" w:ascii="宋体" w:hAnsi="宋体" w:cs="宋体"/>
          <w:snapToGrid w:val="0"/>
          <w:kern w:val="0"/>
        </w:rPr>
      </w:pPr>
      <w:r>
        <w:rPr>
          <w:rFonts w:hint="eastAsia" w:ascii="宋体" w:hAnsi="宋体" w:cs="宋体"/>
          <w:snapToGrid w:val="0"/>
          <w:kern w:val="0"/>
        </w:rPr>
        <w:t>（1）我方承诺在收到中选通知书后，在中选通知书规定的期限内与你方签订合同。</w:t>
      </w:r>
    </w:p>
    <w:p w14:paraId="61DFE1C9">
      <w:pPr>
        <w:autoSpaceDE w:val="0"/>
        <w:autoSpaceDN w:val="0"/>
        <w:adjustRightInd w:val="0"/>
        <w:spacing w:before="10" w:line="100" w:lineRule="exact"/>
        <w:jc w:val="left"/>
        <w:rPr>
          <w:rFonts w:hint="eastAsia" w:ascii="宋体" w:hAnsi="宋体" w:cs="宋体"/>
          <w:snapToGrid w:val="0"/>
          <w:kern w:val="0"/>
          <w:sz w:val="10"/>
          <w:szCs w:val="10"/>
        </w:rPr>
      </w:pPr>
    </w:p>
    <w:p w14:paraId="64E5B8B4">
      <w:pPr>
        <w:autoSpaceDE w:val="0"/>
        <w:autoSpaceDN w:val="0"/>
        <w:adjustRightInd w:val="0"/>
        <w:ind w:left="838" w:right="-20"/>
        <w:jc w:val="left"/>
        <w:rPr>
          <w:rFonts w:hint="eastAsia" w:ascii="宋体" w:hAnsi="宋体" w:cs="宋体"/>
          <w:snapToGrid w:val="0"/>
          <w:kern w:val="0"/>
        </w:rPr>
      </w:pPr>
      <w:r>
        <w:rPr>
          <w:rFonts w:hint="eastAsia" w:ascii="宋体" w:hAnsi="宋体" w:cs="宋体"/>
          <w:snapToGrid w:val="0"/>
          <w:kern w:val="0"/>
        </w:rPr>
        <w:t>（2）随同本比选申请人承诺函递交的比选申请人承诺函附录属于合同文件的组成部分。</w:t>
      </w:r>
    </w:p>
    <w:p w14:paraId="5BEBC5AE">
      <w:pPr>
        <w:autoSpaceDE w:val="0"/>
        <w:autoSpaceDN w:val="0"/>
        <w:adjustRightInd w:val="0"/>
        <w:spacing w:before="11" w:line="100" w:lineRule="exact"/>
        <w:jc w:val="left"/>
        <w:rPr>
          <w:rFonts w:hint="eastAsia" w:ascii="宋体" w:hAnsi="宋体" w:cs="宋体"/>
          <w:snapToGrid w:val="0"/>
          <w:kern w:val="0"/>
          <w:sz w:val="10"/>
          <w:szCs w:val="10"/>
        </w:rPr>
      </w:pPr>
    </w:p>
    <w:p w14:paraId="7F0B7A73">
      <w:pPr>
        <w:autoSpaceDE w:val="0"/>
        <w:autoSpaceDN w:val="0"/>
        <w:adjustRightInd w:val="0"/>
        <w:ind w:left="838" w:right="-20"/>
        <w:jc w:val="left"/>
        <w:rPr>
          <w:rFonts w:hint="eastAsia" w:ascii="宋体" w:hAnsi="宋体" w:cs="宋体"/>
          <w:snapToGrid w:val="0"/>
          <w:kern w:val="0"/>
        </w:rPr>
      </w:pPr>
      <w:r>
        <w:rPr>
          <w:rFonts w:hint="eastAsia" w:ascii="宋体" w:hAnsi="宋体" w:cs="宋体"/>
          <w:snapToGrid w:val="0"/>
          <w:kern w:val="0"/>
        </w:rPr>
        <w:t>（3）我方承诺按照比选文件规定向你方递交履约担保。</w:t>
      </w:r>
    </w:p>
    <w:p w14:paraId="76659099">
      <w:pPr>
        <w:autoSpaceDE w:val="0"/>
        <w:autoSpaceDN w:val="0"/>
        <w:adjustRightInd w:val="0"/>
        <w:spacing w:before="11" w:line="100" w:lineRule="exact"/>
        <w:jc w:val="left"/>
        <w:rPr>
          <w:rFonts w:hint="eastAsia" w:ascii="宋体" w:hAnsi="宋体" w:cs="宋体"/>
          <w:snapToGrid w:val="0"/>
          <w:kern w:val="0"/>
          <w:sz w:val="10"/>
          <w:szCs w:val="10"/>
        </w:rPr>
      </w:pPr>
    </w:p>
    <w:p w14:paraId="3169437B">
      <w:pPr>
        <w:autoSpaceDE w:val="0"/>
        <w:autoSpaceDN w:val="0"/>
        <w:adjustRightInd w:val="0"/>
        <w:ind w:left="838" w:right="-20"/>
        <w:jc w:val="left"/>
        <w:rPr>
          <w:rFonts w:hint="eastAsia" w:ascii="宋体" w:hAnsi="宋体" w:cs="宋体"/>
          <w:snapToGrid w:val="0"/>
          <w:kern w:val="0"/>
        </w:rPr>
      </w:pPr>
      <w:r>
        <w:rPr>
          <w:rFonts w:hint="eastAsia" w:ascii="宋体" w:hAnsi="宋体" w:cs="宋体"/>
          <w:snapToGrid w:val="0"/>
          <w:kern w:val="0"/>
        </w:rPr>
        <w:t>（4）我方承诺在合同约定的期限内完成并移交全部合同工程。</w:t>
      </w:r>
    </w:p>
    <w:p w14:paraId="2E4E8FF0">
      <w:pPr>
        <w:autoSpaceDE w:val="0"/>
        <w:autoSpaceDN w:val="0"/>
        <w:adjustRightInd w:val="0"/>
        <w:spacing w:before="10" w:line="100" w:lineRule="exact"/>
        <w:jc w:val="left"/>
        <w:rPr>
          <w:rFonts w:hint="eastAsia" w:ascii="宋体" w:hAnsi="宋体" w:cs="宋体"/>
          <w:snapToGrid w:val="0"/>
          <w:kern w:val="0"/>
          <w:sz w:val="10"/>
          <w:szCs w:val="10"/>
        </w:rPr>
      </w:pPr>
    </w:p>
    <w:p w14:paraId="16F4C441">
      <w:pPr>
        <w:autoSpaceDE w:val="0"/>
        <w:autoSpaceDN w:val="0"/>
        <w:adjustRightInd w:val="0"/>
        <w:spacing w:line="354" w:lineRule="auto"/>
        <w:ind w:left="120" w:right="-9" w:firstLine="420"/>
        <w:jc w:val="left"/>
        <w:rPr>
          <w:rFonts w:hint="eastAsia" w:ascii="宋体" w:hAnsi="宋体" w:cs="宋体"/>
          <w:snapToGrid w:val="0"/>
          <w:kern w:val="0"/>
        </w:rPr>
      </w:pPr>
      <w:r>
        <w:rPr>
          <w:rFonts w:hint="eastAsia" w:ascii="宋体" w:hAnsi="宋体" w:cs="宋体"/>
          <w:snapToGrid w:val="0"/>
          <w:kern w:val="0"/>
        </w:rPr>
        <w:t>5．我方在此声明，所递交的比选申请文件及有关资料内容完整、真实和准确。</w:t>
      </w:r>
    </w:p>
    <w:p w14:paraId="4719B1D4">
      <w:pPr>
        <w:tabs>
          <w:tab w:val="left" w:pos="4940"/>
        </w:tabs>
        <w:autoSpaceDE w:val="0"/>
        <w:autoSpaceDN w:val="0"/>
        <w:adjustRightInd w:val="0"/>
        <w:ind w:left="540" w:right="-20"/>
        <w:jc w:val="left"/>
        <w:rPr>
          <w:rFonts w:hint="eastAsia" w:ascii="宋体" w:hAnsi="宋体" w:cs="宋体"/>
          <w:snapToGrid w:val="0"/>
          <w:kern w:val="0"/>
        </w:rPr>
      </w:pPr>
      <w:r>
        <w:rPr>
          <w:rFonts w:hint="eastAsia" w:ascii="宋体" w:hAnsi="宋体" w:cs="宋体"/>
          <w:snapToGrid w:val="0"/>
          <w:kern w:val="0"/>
        </w:rPr>
        <w:t>6．</w:t>
      </w:r>
      <w:r>
        <w:rPr>
          <w:rFonts w:hint="eastAsia" w:ascii="宋体" w:hAnsi="宋体" w:cs="宋体"/>
          <w:snapToGrid w:val="0"/>
          <w:w w:val="200"/>
          <w:kern w:val="0"/>
          <w:u w:val="single"/>
        </w:rPr>
        <w:t xml:space="preserve"> </w:t>
      </w:r>
      <w:r>
        <w:rPr>
          <w:rFonts w:hint="eastAsia" w:ascii="宋体" w:hAnsi="宋体" w:cs="宋体"/>
          <w:snapToGrid w:val="0"/>
          <w:kern w:val="0"/>
          <w:u w:val="single"/>
        </w:rPr>
        <w:tab/>
      </w:r>
      <w:r>
        <w:rPr>
          <w:rFonts w:hint="eastAsia" w:ascii="宋体" w:hAnsi="宋体" w:cs="宋体"/>
          <w:snapToGrid w:val="0"/>
          <w:kern w:val="0"/>
        </w:rPr>
        <w:t>（其他补充说明）。</w:t>
      </w:r>
    </w:p>
    <w:p w14:paraId="3FC7DF0B">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cs="宋体"/>
          <w:snapToGrid w:val="0"/>
          <w:kern w:val="0"/>
        </w:rPr>
      </w:pPr>
    </w:p>
    <w:p w14:paraId="71C47858">
      <w:pPr>
        <w:tabs>
          <w:tab w:val="left" w:pos="7140"/>
          <w:tab w:val="left" w:pos="7560"/>
          <w:tab w:val="left" w:pos="8300"/>
        </w:tabs>
        <w:autoSpaceDE w:val="0"/>
        <w:autoSpaceDN w:val="0"/>
        <w:adjustRightInd w:val="0"/>
        <w:spacing w:line="370" w:lineRule="auto"/>
        <w:ind w:right="210" w:firstLine="2835" w:firstLineChars="1350"/>
        <w:rPr>
          <w:rFonts w:hint="eastAsia" w:ascii="宋体" w:hAnsi="宋体" w:cs="宋体"/>
          <w:snapToGrid w:val="0"/>
          <w:kern w:val="0"/>
        </w:rPr>
      </w:pPr>
    </w:p>
    <w:p w14:paraId="1949AF86">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cs="宋体"/>
          <w:snapToGrid w:val="0"/>
          <w:kern w:val="0"/>
        </w:rPr>
      </w:pPr>
      <w:r>
        <w:rPr>
          <w:rFonts w:hint="eastAsia" w:ascii="宋体" w:hAnsi="宋体" w:cs="宋体"/>
          <w:snapToGrid w:val="0"/>
          <w:kern w:val="0"/>
        </w:rPr>
        <w:t>比选申请人：</w:t>
      </w:r>
      <w:r>
        <w:rPr>
          <w:rFonts w:hint="eastAsia" w:ascii="宋体" w:hAnsi="宋体" w:cs="宋体"/>
          <w:snapToGrid w:val="0"/>
          <w:kern w:val="0"/>
          <w:u w:val="single"/>
        </w:rPr>
        <w:t xml:space="preserve">                　　　　　     </w:t>
      </w:r>
      <w:r>
        <w:rPr>
          <w:rFonts w:hint="eastAsia" w:ascii="宋体" w:hAnsi="宋体" w:cs="宋体"/>
          <w:snapToGrid w:val="0"/>
          <w:kern w:val="0"/>
        </w:rPr>
        <w:t xml:space="preserve">（盖单位公章） </w:t>
      </w:r>
    </w:p>
    <w:p w14:paraId="3ADF5C5B">
      <w:pPr>
        <w:tabs>
          <w:tab w:val="left" w:pos="7140"/>
          <w:tab w:val="left" w:pos="7560"/>
          <w:tab w:val="left" w:pos="8300"/>
        </w:tabs>
        <w:autoSpaceDE w:val="0"/>
        <w:autoSpaceDN w:val="0"/>
        <w:adjustRightInd w:val="0"/>
        <w:spacing w:line="370" w:lineRule="auto"/>
        <w:ind w:right="210" w:firstLine="1995" w:firstLineChars="950"/>
        <w:rPr>
          <w:rFonts w:hint="eastAsia" w:ascii="宋体" w:hAnsi="宋体" w:cs="宋体"/>
          <w:snapToGrid w:val="0"/>
          <w:kern w:val="0"/>
        </w:rPr>
      </w:pPr>
      <w:r>
        <w:rPr>
          <w:rFonts w:hint="eastAsia" w:ascii="宋体" w:hAnsi="宋体" w:cs="宋体"/>
          <w:snapToGrid w:val="0"/>
          <w:kern w:val="0"/>
        </w:rPr>
        <w:t>法定代表人和其委托代理人：</w:t>
      </w:r>
      <w:r>
        <w:rPr>
          <w:rFonts w:hint="eastAsia" w:ascii="宋体" w:hAnsi="宋体" w:cs="宋体"/>
          <w:snapToGrid w:val="0"/>
          <w:kern w:val="0"/>
          <w:u w:val="single"/>
        </w:rPr>
        <w:t xml:space="preserve">   </w:t>
      </w:r>
      <w:r>
        <w:rPr>
          <w:rFonts w:hint="eastAsia" w:ascii="宋体" w:hAnsi="宋体" w:cs="宋体"/>
          <w:snapToGrid w:val="0"/>
          <w:kern w:val="0"/>
          <w:u w:val="single"/>
        </w:rPr>
        <w:tab/>
      </w:r>
      <w:r>
        <w:rPr>
          <w:rFonts w:hint="eastAsia" w:ascii="宋体" w:hAnsi="宋体" w:cs="宋体"/>
          <w:snapToGrid w:val="0"/>
          <w:kern w:val="0"/>
        </w:rPr>
        <w:t xml:space="preserve">（签字） </w:t>
      </w:r>
    </w:p>
    <w:p w14:paraId="25E6DD23">
      <w:pPr>
        <w:tabs>
          <w:tab w:val="left" w:pos="7035"/>
          <w:tab w:val="left" w:pos="7560"/>
          <w:tab w:val="left" w:pos="8300"/>
        </w:tabs>
        <w:autoSpaceDE w:val="0"/>
        <w:autoSpaceDN w:val="0"/>
        <w:adjustRightInd w:val="0"/>
        <w:spacing w:line="370" w:lineRule="auto"/>
        <w:ind w:right="210" w:firstLine="1984" w:firstLineChars="945"/>
        <w:rPr>
          <w:rFonts w:hint="eastAsia" w:ascii="宋体" w:hAnsi="宋体" w:cs="宋体"/>
          <w:snapToGrid w:val="0"/>
          <w:kern w:val="0"/>
        </w:rPr>
      </w:pPr>
      <w:r>
        <w:rPr>
          <w:rFonts w:hint="eastAsia" w:ascii="宋体" w:hAnsi="宋体" w:cs="宋体"/>
          <w:snapToGrid w:val="0"/>
          <w:kern w:val="0"/>
        </w:rPr>
        <w:t>地址：</w:t>
      </w:r>
      <w:r>
        <w:rPr>
          <w:rFonts w:hint="eastAsia" w:ascii="宋体" w:hAnsi="宋体" w:cs="宋体"/>
          <w:snapToGrid w:val="0"/>
          <w:w w:val="200"/>
          <w:kern w:val="0"/>
          <w:u w:val="single"/>
        </w:rPr>
        <w:t xml:space="preserve"> </w:t>
      </w:r>
      <w:r>
        <w:rPr>
          <w:rFonts w:hint="eastAsia" w:ascii="宋体" w:hAnsi="宋体" w:cs="宋体"/>
          <w:snapToGrid w:val="0"/>
          <w:kern w:val="0"/>
          <w:u w:val="single"/>
        </w:rPr>
        <w:tab/>
      </w:r>
    </w:p>
    <w:p w14:paraId="24BE4588">
      <w:pPr>
        <w:tabs>
          <w:tab w:val="left" w:pos="8300"/>
        </w:tabs>
        <w:autoSpaceDE w:val="0"/>
        <w:autoSpaceDN w:val="0"/>
        <w:adjustRightInd w:val="0"/>
        <w:spacing w:before="1"/>
        <w:ind w:left="1985" w:right="-20"/>
        <w:jc w:val="left"/>
        <w:rPr>
          <w:rFonts w:hint="eastAsia" w:ascii="宋体" w:hAnsi="宋体" w:cs="宋体"/>
          <w:snapToGrid w:val="0"/>
          <w:kern w:val="0"/>
        </w:rPr>
      </w:pPr>
      <w:r>
        <w:rPr>
          <w:rFonts w:hint="eastAsia" w:ascii="宋体" w:hAnsi="宋体" w:cs="宋体"/>
          <w:snapToGrid w:val="0"/>
          <w:kern w:val="0"/>
        </w:rPr>
        <w:t>网址：</w:t>
      </w:r>
      <w:r>
        <w:rPr>
          <w:rFonts w:hint="eastAsia" w:ascii="宋体" w:hAnsi="宋体" w:cs="宋体"/>
          <w:snapToGrid w:val="0"/>
          <w:w w:val="200"/>
          <w:kern w:val="0"/>
          <w:u w:val="single"/>
        </w:rPr>
        <w:t xml:space="preserve"> </w:t>
      </w:r>
      <w:r>
        <w:rPr>
          <w:rFonts w:hint="eastAsia" w:ascii="宋体" w:hAnsi="宋体" w:cs="宋体"/>
          <w:snapToGrid w:val="0"/>
          <w:kern w:val="0"/>
          <w:u w:val="single"/>
        </w:rPr>
        <w:t>　　　　　　　　　　　　　　　　　　　　</w:t>
      </w:r>
    </w:p>
    <w:p w14:paraId="327E46A0">
      <w:pPr>
        <w:autoSpaceDE w:val="0"/>
        <w:autoSpaceDN w:val="0"/>
        <w:adjustRightInd w:val="0"/>
        <w:spacing w:before="14" w:line="200" w:lineRule="exact"/>
        <w:jc w:val="left"/>
        <w:rPr>
          <w:rFonts w:hint="eastAsia" w:ascii="宋体" w:hAnsi="宋体" w:cs="宋体"/>
          <w:snapToGrid w:val="0"/>
          <w:kern w:val="0"/>
          <w:sz w:val="20"/>
          <w:szCs w:val="20"/>
        </w:rPr>
      </w:pPr>
    </w:p>
    <w:p w14:paraId="31684842">
      <w:pPr>
        <w:tabs>
          <w:tab w:val="left" w:pos="8300"/>
        </w:tabs>
        <w:autoSpaceDE w:val="0"/>
        <w:autoSpaceDN w:val="0"/>
        <w:adjustRightInd w:val="0"/>
        <w:spacing w:line="220" w:lineRule="exact"/>
        <w:ind w:left="1985" w:right="-20"/>
        <w:jc w:val="left"/>
        <w:rPr>
          <w:rFonts w:hint="eastAsia" w:ascii="宋体" w:hAnsi="宋体" w:cs="宋体"/>
          <w:snapToGrid w:val="0"/>
          <w:kern w:val="0"/>
        </w:rPr>
      </w:pPr>
      <w:r>
        <w:rPr>
          <w:rFonts w:hint="eastAsia" w:ascii="宋体" w:hAnsi="宋体" w:cs="宋体"/>
          <w:snapToGrid w:val="0"/>
          <w:kern w:val="0"/>
        </w:rPr>
        <w:t>电话：</w:t>
      </w:r>
      <w:r>
        <w:rPr>
          <w:rFonts w:hint="eastAsia" w:ascii="宋体" w:hAnsi="宋体" w:cs="宋体"/>
          <w:snapToGrid w:val="0"/>
          <w:w w:val="200"/>
          <w:kern w:val="0"/>
          <w:u w:val="single"/>
        </w:rPr>
        <w:t xml:space="preserve"> </w:t>
      </w:r>
      <w:r>
        <w:rPr>
          <w:rFonts w:hint="eastAsia" w:ascii="宋体" w:hAnsi="宋体" w:cs="宋体"/>
          <w:snapToGrid w:val="0"/>
          <w:kern w:val="0"/>
          <w:u w:val="single"/>
        </w:rPr>
        <w:t>　　　　　　　　　　　　　　　　　　　　</w:t>
      </w:r>
    </w:p>
    <w:p w14:paraId="08A8E78B">
      <w:pPr>
        <w:autoSpaceDE w:val="0"/>
        <w:autoSpaceDN w:val="0"/>
        <w:adjustRightInd w:val="0"/>
        <w:spacing w:before="13" w:line="200" w:lineRule="exact"/>
        <w:jc w:val="left"/>
        <w:rPr>
          <w:rFonts w:hint="eastAsia" w:ascii="宋体" w:hAnsi="宋体" w:cs="宋体"/>
          <w:snapToGrid w:val="0"/>
          <w:kern w:val="0"/>
          <w:sz w:val="20"/>
          <w:szCs w:val="20"/>
        </w:rPr>
      </w:pPr>
    </w:p>
    <w:p w14:paraId="52C7719F">
      <w:pPr>
        <w:tabs>
          <w:tab w:val="left" w:pos="8300"/>
        </w:tabs>
        <w:autoSpaceDE w:val="0"/>
        <w:autoSpaceDN w:val="0"/>
        <w:adjustRightInd w:val="0"/>
        <w:spacing w:line="220" w:lineRule="exact"/>
        <w:ind w:left="1985" w:right="-20"/>
        <w:jc w:val="left"/>
        <w:rPr>
          <w:rFonts w:hint="eastAsia" w:ascii="宋体" w:hAnsi="宋体" w:cs="宋体"/>
          <w:snapToGrid w:val="0"/>
          <w:kern w:val="0"/>
        </w:rPr>
      </w:pPr>
      <w:r>
        <w:rPr>
          <w:rFonts w:hint="eastAsia" w:ascii="宋体" w:hAnsi="宋体" w:cs="宋体"/>
          <w:snapToGrid w:val="0"/>
          <w:kern w:val="0"/>
        </w:rPr>
        <w:t>传真：</w:t>
      </w:r>
      <w:r>
        <w:rPr>
          <w:rFonts w:hint="eastAsia" w:ascii="宋体" w:hAnsi="宋体" w:cs="宋体"/>
          <w:snapToGrid w:val="0"/>
          <w:w w:val="200"/>
          <w:kern w:val="0"/>
          <w:u w:val="single"/>
        </w:rPr>
        <w:t xml:space="preserve"> </w:t>
      </w:r>
      <w:r>
        <w:rPr>
          <w:rFonts w:hint="eastAsia" w:ascii="宋体" w:hAnsi="宋体" w:cs="宋体"/>
          <w:snapToGrid w:val="0"/>
          <w:kern w:val="0"/>
          <w:u w:val="single"/>
        </w:rPr>
        <w:t>　　　　　　　　　　　　　　　　　　　　</w:t>
      </w:r>
    </w:p>
    <w:p w14:paraId="485ECE75">
      <w:pPr>
        <w:tabs>
          <w:tab w:val="left" w:pos="8300"/>
        </w:tabs>
        <w:autoSpaceDE w:val="0"/>
        <w:autoSpaceDN w:val="0"/>
        <w:adjustRightInd w:val="0"/>
        <w:spacing w:line="220" w:lineRule="exact"/>
        <w:ind w:left="3796" w:right="-20"/>
        <w:jc w:val="left"/>
        <w:rPr>
          <w:rFonts w:hint="eastAsia" w:ascii="宋体" w:hAnsi="宋体" w:cs="宋体"/>
          <w:snapToGrid w:val="0"/>
          <w:kern w:val="0"/>
        </w:rPr>
      </w:pPr>
    </w:p>
    <w:p w14:paraId="78233558">
      <w:pPr>
        <w:tabs>
          <w:tab w:val="left" w:pos="8300"/>
        </w:tabs>
        <w:autoSpaceDE w:val="0"/>
        <w:autoSpaceDN w:val="0"/>
        <w:adjustRightInd w:val="0"/>
        <w:spacing w:line="220" w:lineRule="exact"/>
        <w:ind w:left="1985" w:right="-20"/>
        <w:jc w:val="left"/>
        <w:rPr>
          <w:rFonts w:hint="eastAsia" w:ascii="宋体" w:hAnsi="宋体" w:cs="宋体"/>
          <w:snapToGrid w:val="0"/>
          <w:kern w:val="0"/>
          <w:sz w:val="20"/>
          <w:szCs w:val="20"/>
        </w:rPr>
      </w:pPr>
      <w:r>
        <w:rPr>
          <w:rFonts w:hint="eastAsia" w:ascii="宋体" w:hAnsi="宋体" w:cs="宋体"/>
          <w:snapToGrid w:val="0"/>
          <w:kern w:val="0"/>
        </w:rPr>
        <w:t>邮政编码：</w:t>
      </w:r>
      <w:r>
        <w:rPr>
          <w:rFonts w:hint="eastAsia" w:ascii="宋体" w:hAnsi="宋体" w:cs="宋体"/>
          <w:snapToGrid w:val="0"/>
          <w:w w:val="200"/>
          <w:kern w:val="0"/>
          <w:u w:val="single"/>
        </w:rPr>
        <w:t xml:space="preserve"> 　　　　　　　　　</w:t>
      </w:r>
    </w:p>
    <w:p w14:paraId="79C25ECF">
      <w:pPr>
        <w:autoSpaceDE w:val="0"/>
        <w:autoSpaceDN w:val="0"/>
        <w:adjustRightInd w:val="0"/>
        <w:spacing w:line="200" w:lineRule="exact"/>
        <w:jc w:val="left"/>
        <w:rPr>
          <w:rFonts w:hint="eastAsia" w:ascii="宋体" w:hAnsi="宋体" w:cs="宋体"/>
          <w:snapToGrid w:val="0"/>
          <w:kern w:val="0"/>
          <w:sz w:val="20"/>
          <w:szCs w:val="20"/>
        </w:rPr>
      </w:pPr>
    </w:p>
    <w:p w14:paraId="30BC367E">
      <w:pPr>
        <w:autoSpaceDE w:val="0"/>
        <w:autoSpaceDN w:val="0"/>
        <w:adjustRightInd w:val="0"/>
        <w:spacing w:before="14" w:line="240" w:lineRule="exact"/>
        <w:jc w:val="left"/>
        <w:rPr>
          <w:rFonts w:hint="eastAsia" w:ascii="宋体" w:hAnsi="宋体" w:cs="宋体"/>
          <w:snapToGrid w:val="0"/>
          <w:kern w:val="0"/>
          <w:sz w:val="24"/>
        </w:rPr>
      </w:pPr>
    </w:p>
    <w:p w14:paraId="3F834D06">
      <w:pPr>
        <w:tabs>
          <w:tab w:val="left" w:pos="6000"/>
          <w:tab w:val="left" w:pos="7040"/>
          <w:tab w:val="left" w:pos="8100"/>
        </w:tabs>
        <w:autoSpaceDE w:val="0"/>
        <w:autoSpaceDN w:val="0"/>
        <w:adjustRightInd w:val="0"/>
        <w:spacing w:line="220" w:lineRule="exact"/>
        <w:ind w:right="-20" w:firstLine="4924" w:firstLineChars="2345"/>
        <w:jc w:val="left"/>
        <w:rPr>
          <w:rFonts w:hint="eastAsia" w:ascii="宋体" w:hAnsi="宋体" w:cs="宋体"/>
          <w:snapToGrid w:val="0"/>
          <w:kern w:val="0"/>
        </w:rPr>
      </w:pPr>
      <w:r>
        <w:rPr>
          <w:rFonts w:hint="eastAsia" w:ascii="宋体" w:hAnsi="宋体" w:cs="宋体"/>
          <w:snapToGrid w:val="0"/>
          <w:kern w:val="0"/>
          <w:u w:val="single"/>
        </w:rPr>
        <w:t xml:space="preserve">        </w:t>
      </w:r>
      <w:r>
        <w:rPr>
          <w:rFonts w:hint="eastAsia" w:ascii="宋体" w:hAnsi="宋体" w:cs="宋体"/>
          <w:snapToGrid w:val="0"/>
          <w:kern w:val="0"/>
        </w:rPr>
        <w:t>年</w:t>
      </w:r>
      <w:r>
        <w:rPr>
          <w:rFonts w:hint="eastAsia" w:ascii="宋体" w:hAnsi="宋体" w:cs="宋体"/>
          <w:snapToGrid w:val="0"/>
          <w:w w:val="200"/>
          <w:kern w:val="0"/>
          <w:u w:val="single"/>
        </w:rPr>
        <w:t xml:space="preserve">  </w:t>
      </w:r>
      <w:r>
        <w:rPr>
          <w:rFonts w:hint="eastAsia" w:ascii="宋体" w:hAnsi="宋体" w:cs="宋体"/>
          <w:snapToGrid w:val="0"/>
          <w:kern w:val="0"/>
        </w:rPr>
        <w:t>月</w:t>
      </w:r>
      <w:r>
        <w:rPr>
          <w:rFonts w:hint="eastAsia" w:ascii="宋体" w:hAnsi="宋体" w:cs="宋体"/>
          <w:snapToGrid w:val="0"/>
          <w:w w:val="200"/>
          <w:kern w:val="0"/>
          <w:u w:val="single"/>
        </w:rPr>
        <w:t xml:space="preserve">  </w:t>
      </w:r>
      <w:r>
        <w:rPr>
          <w:rFonts w:hint="eastAsia" w:ascii="宋体" w:hAnsi="宋体" w:cs="宋体"/>
          <w:snapToGrid w:val="0"/>
          <w:kern w:val="0"/>
        </w:rPr>
        <w:t>日</w:t>
      </w:r>
    </w:p>
    <w:p w14:paraId="2B2EC36F">
      <w:pPr>
        <w:rPr>
          <w:rFonts w:hint="eastAsia" w:ascii="宋体" w:hAnsi="宋体" w:cs="宋体"/>
          <w:snapToGrid w:val="0"/>
          <w:w w:val="99"/>
        </w:rPr>
      </w:pPr>
    </w:p>
    <w:p w14:paraId="3C0C5483">
      <w:pPr>
        <w:rPr>
          <w:rFonts w:hint="eastAsia" w:ascii="宋体" w:hAnsi="宋体" w:cs="宋体"/>
        </w:rPr>
      </w:pPr>
      <w:bookmarkStart w:id="1118" w:name="_Toc57820649"/>
      <w:bookmarkStart w:id="1119" w:name="_Toc509218855"/>
      <w:bookmarkStart w:id="1120" w:name="_Toc534185832"/>
      <w:r>
        <w:rPr>
          <w:rFonts w:hint="eastAsia" w:ascii="宋体" w:hAnsi="宋体" w:cs="宋体"/>
        </w:rPr>
        <w:br w:type="page"/>
      </w:r>
    </w:p>
    <w:p w14:paraId="4013019A">
      <w:pPr>
        <w:pStyle w:val="5"/>
        <w:rPr>
          <w:rFonts w:hint="eastAsia" w:ascii="宋体" w:hAnsi="宋体" w:eastAsia="宋体" w:cs="宋体"/>
          <w:b w:val="0"/>
        </w:rPr>
      </w:pPr>
      <w:r>
        <w:rPr>
          <w:rFonts w:hint="eastAsia" w:ascii="宋体" w:hAnsi="宋体" w:eastAsia="宋体" w:cs="宋体"/>
          <w:b w:val="0"/>
        </w:rPr>
        <w:t>投标函附录</w:t>
      </w:r>
      <w:bookmarkEnd w:id="1118"/>
      <w:bookmarkEnd w:id="1119"/>
      <w:bookmarkEnd w:id="1120"/>
    </w:p>
    <w:p w14:paraId="34314CE2">
      <w:pPr>
        <w:rPr>
          <w:rFonts w:hint="eastAsia" w:ascii="宋体" w:hAnsi="宋体" w:cs="宋体"/>
        </w:rPr>
      </w:pPr>
    </w:p>
    <w:tbl>
      <w:tblPr>
        <w:tblStyle w:val="46"/>
        <w:tblW w:w="829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987"/>
        <w:gridCol w:w="2010"/>
      </w:tblGrid>
      <w:tr w14:paraId="2AB71E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720" w:type="dxa"/>
            <w:vAlign w:val="center"/>
          </w:tcPr>
          <w:p w14:paraId="625F4F12">
            <w:pPr>
              <w:autoSpaceDE w:val="0"/>
              <w:autoSpaceDN w:val="0"/>
              <w:adjustRightInd w:val="0"/>
              <w:jc w:val="center"/>
              <w:rPr>
                <w:rFonts w:hint="eastAsia" w:ascii="宋体" w:hAnsi="宋体" w:cs="宋体"/>
                <w:snapToGrid w:val="0"/>
                <w:kern w:val="0"/>
              </w:rPr>
            </w:pPr>
            <w:r>
              <w:rPr>
                <w:rFonts w:hint="eastAsia" w:ascii="宋体" w:hAnsi="宋体" w:cs="宋体"/>
                <w:snapToGrid w:val="0"/>
                <w:kern w:val="0"/>
              </w:rPr>
              <w:t>序号</w:t>
            </w:r>
          </w:p>
        </w:tc>
        <w:tc>
          <w:tcPr>
            <w:tcW w:w="2582" w:type="dxa"/>
            <w:vAlign w:val="center"/>
          </w:tcPr>
          <w:p w14:paraId="7D693EA0">
            <w:pPr>
              <w:autoSpaceDE w:val="0"/>
              <w:autoSpaceDN w:val="0"/>
              <w:adjustRightInd w:val="0"/>
              <w:jc w:val="center"/>
              <w:rPr>
                <w:rFonts w:hint="eastAsia" w:ascii="宋体" w:hAnsi="宋体" w:cs="宋体"/>
                <w:snapToGrid w:val="0"/>
                <w:kern w:val="0"/>
              </w:rPr>
            </w:pPr>
            <w:r>
              <w:rPr>
                <w:rFonts w:hint="eastAsia" w:ascii="宋体" w:hAnsi="宋体" w:cs="宋体"/>
                <w:snapToGrid w:val="0"/>
                <w:kern w:val="0"/>
              </w:rPr>
              <w:t>条款名称</w:t>
            </w:r>
          </w:p>
        </w:tc>
        <w:tc>
          <w:tcPr>
            <w:tcW w:w="2987" w:type="dxa"/>
            <w:vAlign w:val="center"/>
          </w:tcPr>
          <w:p w14:paraId="49947F34">
            <w:pPr>
              <w:autoSpaceDE w:val="0"/>
              <w:autoSpaceDN w:val="0"/>
              <w:adjustRightInd w:val="0"/>
              <w:jc w:val="center"/>
              <w:rPr>
                <w:rFonts w:hint="eastAsia" w:ascii="宋体" w:hAnsi="宋体" w:cs="宋体"/>
                <w:snapToGrid w:val="0"/>
                <w:kern w:val="0"/>
              </w:rPr>
            </w:pPr>
            <w:r>
              <w:rPr>
                <w:rFonts w:hint="eastAsia" w:ascii="宋体" w:hAnsi="宋体" w:cs="宋体"/>
                <w:snapToGrid w:val="0"/>
                <w:kern w:val="0"/>
              </w:rPr>
              <w:t>约定内容</w:t>
            </w:r>
          </w:p>
        </w:tc>
        <w:tc>
          <w:tcPr>
            <w:tcW w:w="2010" w:type="dxa"/>
            <w:vAlign w:val="center"/>
          </w:tcPr>
          <w:p w14:paraId="60E0CA20">
            <w:pPr>
              <w:autoSpaceDE w:val="0"/>
              <w:autoSpaceDN w:val="0"/>
              <w:adjustRightInd w:val="0"/>
              <w:jc w:val="center"/>
              <w:rPr>
                <w:rFonts w:hint="eastAsia" w:ascii="宋体" w:hAnsi="宋体" w:cs="宋体"/>
                <w:snapToGrid w:val="0"/>
                <w:kern w:val="0"/>
              </w:rPr>
            </w:pPr>
            <w:r>
              <w:rPr>
                <w:rFonts w:hint="eastAsia" w:ascii="宋体" w:hAnsi="宋体" w:cs="宋体"/>
                <w:snapToGrid w:val="0"/>
                <w:kern w:val="0"/>
              </w:rPr>
              <w:t>备注</w:t>
            </w:r>
          </w:p>
        </w:tc>
      </w:tr>
      <w:tr w14:paraId="6ECD7E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720" w:type="dxa"/>
            <w:vAlign w:val="center"/>
          </w:tcPr>
          <w:p w14:paraId="4E18AA33">
            <w:pPr>
              <w:autoSpaceDE w:val="0"/>
              <w:autoSpaceDN w:val="0"/>
              <w:adjustRightInd w:val="0"/>
              <w:jc w:val="center"/>
              <w:rPr>
                <w:rFonts w:hint="eastAsia" w:ascii="宋体" w:hAnsi="宋体" w:cs="宋体"/>
                <w:snapToGrid w:val="0"/>
                <w:kern w:val="0"/>
              </w:rPr>
            </w:pPr>
            <w:r>
              <w:rPr>
                <w:rFonts w:hint="eastAsia" w:ascii="宋体" w:hAnsi="宋体" w:cs="宋体"/>
                <w:snapToGrid w:val="0"/>
                <w:kern w:val="0"/>
              </w:rPr>
              <w:t>1</w:t>
            </w:r>
          </w:p>
        </w:tc>
        <w:tc>
          <w:tcPr>
            <w:tcW w:w="2582" w:type="dxa"/>
            <w:vAlign w:val="center"/>
          </w:tcPr>
          <w:p w14:paraId="234640BE">
            <w:pPr>
              <w:autoSpaceDE w:val="0"/>
              <w:autoSpaceDN w:val="0"/>
              <w:adjustRightInd w:val="0"/>
              <w:jc w:val="center"/>
              <w:rPr>
                <w:rFonts w:hint="eastAsia" w:ascii="宋体" w:hAnsi="宋体" w:cs="宋体"/>
                <w:snapToGrid w:val="0"/>
                <w:kern w:val="0"/>
              </w:rPr>
            </w:pPr>
            <w:r>
              <w:rPr>
                <w:rFonts w:hint="eastAsia" w:ascii="宋体" w:hAnsi="宋体" w:cs="宋体"/>
                <w:snapToGrid w:val="0"/>
                <w:kern w:val="0"/>
              </w:rPr>
              <w:t>工期</w:t>
            </w:r>
          </w:p>
        </w:tc>
        <w:tc>
          <w:tcPr>
            <w:tcW w:w="2987" w:type="dxa"/>
            <w:vAlign w:val="center"/>
          </w:tcPr>
          <w:p w14:paraId="592E872C">
            <w:pPr>
              <w:tabs>
                <w:tab w:val="left" w:pos="1560"/>
              </w:tabs>
              <w:autoSpaceDE w:val="0"/>
              <w:autoSpaceDN w:val="0"/>
              <w:adjustRightInd w:val="0"/>
              <w:jc w:val="center"/>
              <w:rPr>
                <w:rFonts w:hint="eastAsia" w:ascii="宋体" w:hAnsi="宋体" w:cs="宋体"/>
                <w:snapToGrid w:val="0"/>
                <w:kern w:val="0"/>
              </w:rPr>
            </w:pPr>
          </w:p>
        </w:tc>
        <w:tc>
          <w:tcPr>
            <w:tcW w:w="2010" w:type="dxa"/>
            <w:vAlign w:val="center"/>
          </w:tcPr>
          <w:p w14:paraId="69048E21">
            <w:pPr>
              <w:autoSpaceDE w:val="0"/>
              <w:autoSpaceDN w:val="0"/>
              <w:adjustRightInd w:val="0"/>
              <w:jc w:val="center"/>
              <w:rPr>
                <w:rFonts w:hint="eastAsia" w:ascii="宋体" w:hAnsi="宋体" w:cs="宋体"/>
                <w:snapToGrid w:val="0"/>
                <w:kern w:val="0"/>
              </w:rPr>
            </w:pPr>
          </w:p>
        </w:tc>
      </w:tr>
      <w:tr w14:paraId="2BA1BA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720" w:type="dxa"/>
            <w:vAlign w:val="center"/>
          </w:tcPr>
          <w:p w14:paraId="497B70D2">
            <w:pPr>
              <w:autoSpaceDE w:val="0"/>
              <w:autoSpaceDN w:val="0"/>
              <w:adjustRightInd w:val="0"/>
              <w:jc w:val="center"/>
              <w:rPr>
                <w:rFonts w:hint="eastAsia" w:ascii="宋体" w:hAnsi="宋体" w:eastAsia="宋体" w:cs="宋体"/>
                <w:snapToGrid w:val="0"/>
                <w:kern w:val="0"/>
                <w:lang w:eastAsia="zh-CN"/>
              </w:rPr>
            </w:pPr>
            <w:r>
              <w:rPr>
                <w:rFonts w:hint="eastAsia" w:ascii="宋体" w:hAnsi="宋体" w:cs="宋体"/>
                <w:snapToGrid w:val="0"/>
                <w:kern w:val="0"/>
                <w:lang w:val="en-US" w:eastAsia="zh-CN"/>
              </w:rPr>
              <w:t>2</w:t>
            </w:r>
          </w:p>
        </w:tc>
        <w:tc>
          <w:tcPr>
            <w:tcW w:w="2582" w:type="dxa"/>
            <w:vAlign w:val="center"/>
          </w:tcPr>
          <w:p w14:paraId="1FA41251">
            <w:pPr>
              <w:autoSpaceDE w:val="0"/>
              <w:autoSpaceDN w:val="0"/>
              <w:adjustRightInd w:val="0"/>
              <w:jc w:val="center"/>
              <w:rPr>
                <w:rFonts w:hint="eastAsia" w:ascii="宋体" w:hAnsi="宋体" w:cs="宋体"/>
                <w:snapToGrid w:val="0"/>
                <w:kern w:val="0"/>
              </w:rPr>
            </w:pPr>
            <w:r>
              <w:rPr>
                <w:rFonts w:hint="eastAsia" w:ascii="宋体" w:hAnsi="宋体" w:cs="宋体"/>
                <w:snapToGrid w:val="0"/>
                <w:kern w:val="0"/>
              </w:rPr>
              <w:t>工程质量</w:t>
            </w:r>
          </w:p>
        </w:tc>
        <w:tc>
          <w:tcPr>
            <w:tcW w:w="2987" w:type="dxa"/>
            <w:vAlign w:val="center"/>
          </w:tcPr>
          <w:p w14:paraId="745F61B9">
            <w:pPr>
              <w:autoSpaceDE w:val="0"/>
              <w:autoSpaceDN w:val="0"/>
              <w:adjustRightInd w:val="0"/>
              <w:jc w:val="center"/>
              <w:rPr>
                <w:rFonts w:hint="eastAsia" w:ascii="宋体" w:hAnsi="宋体" w:cs="宋体"/>
                <w:snapToGrid w:val="0"/>
                <w:kern w:val="0"/>
              </w:rPr>
            </w:pPr>
          </w:p>
        </w:tc>
        <w:tc>
          <w:tcPr>
            <w:tcW w:w="2010" w:type="dxa"/>
            <w:vAlign w:val="center"/>
          </w:tcPr>
          <w:p w14:paraId="0A34EE2C">
            <w:pPr>
              <w:autoSpaceDE w:val="0"/>
              <w:autoSpaceDN w:val="0"/>
              <w:adjustRightInd w:val="0"/>
              <w:jc w:val="center"/>
              <w:rPr>
                <w:rFonts w:hint="eastAsia" w:ascii="宋体" w:hAnsi="宋体" w:cs="宋体"/>
                <w:snapToGrid w:val="0"/>
                <w:kern w:val="0"/>
              </w:rPr>
            </w:pPr>
          </w:p>
        </w:tc>
      </w:tr>
      <w:tr w14:paraId="378664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720" w:type="dxa"/>
            <w:vAlign w:val="center"/>
          </w:tcPr>
          <w:p w14:paraId="766DEA36">
            <w:pPr>
              <w:tabs>
                <w:tab w:val="left" w:pos="2051"/>
              </w:tabs>
              <w:autoSpaceDE w:val="0"/>
              <w:autoSpaceDN w:val="0"/>
              <w:adjustRightInd w:val="0"/>
              <w:jc w:val="center"/>
              <w:rPr>
                <w:rFonts w:hint="eastAsia" w:ascii="宋体" w:hAnsi="宋体" w:eastAsia="宋体" w:cs="宋体"/>
                <w:snapToGrid w:val="0"/>
                <w:kern w:val="0"/>
                <w:lang w:eastAsia="zh-CN"/>
              </w:rPr>
            </w:pPr>
            <w:r>
              <w:rPr>
                <w:rFonts w:hint="eastAsia" w:ascii="宋体" w:hAnsi="宋体" w:cs="宋体"/>
                <w:snapToGrid w:val="0"/>
                <w:kern w:val="0"/>
                <w:lang w:val="en-US" w:eastAsia="zh-CN"/>
              </w:rPr>
              <w:t>3</w:t>
            </w:r>
          </w:p>
        </w:tc>
        <w:tc>
          <w:tcPr>
            <w:tcW w:w="2582" w:type="dxa"/>
            <w:vAlign w:val="center"/>
          </w:tcPr>
          <w:p w14:paraId="71BF073C">
            <w:pPr>
              <w:tabs>
                <w:tab w:val="left" w:pos="2051"/>
              </w:tabs>
              <w:autoSpaceDE w:val="0"/>
              <w:autoSpaceDN w:val="0"/>
              <w:adjustRightInd w:val="0"/>
              <w:jc w:val="center"/>
              <w:rPr>
                <w:rFonts w:hint="eastAsia" w:ascii="宋体" w:hAnsi="宋体" w:cs="宋体"/>
                <w:snapToGrid w:val="0"/>
                <w:kern w:val="0"/>
              </w:rPr>
            </w:pPr>
            <w:r>
              <w:rPr>
                <w:rFonts w:hint="eastAsia" w:ascii="宋体" w:hAnsi="宋体" w:cs="宋体"/>
                <w:snapToGrid w:val="0"/>
                <w:kern w:val="0"/>
              </w:rPr>
              <w:t>项目经理</w:t>
            </w:r>
          </w:p>
        </w:tc>
        <w:tc>
          <w:tcPr>
            <w:tcW w:w="2987" w:type="dxa"/>
            <w:vAlign w:val="center"/>
          </w:tcPr>
          <w:p w14:paraId="48857F1C">
            <w:pPr>
              <w:tabs>
                <w:tab w:val="left" w:pos="2051"/>
              </w:tabs>
              <w:autoSpaceDE w:val="0"/>
              <w:autoSpaceDN w:val="0"/>
              <w:adjustRightInd w:val="0"/>
              <w:jc w:val="center"/>
              <w:rPr>
                <w:rFonts w:hint="eastAsia" w:ascii="宋体" w:hAnsi="宋体" w:cs="宋体"/>
                <w:snapToGrid w:val="0"/>
                <w:kern w:val="0"/>
              </w:rPr>
            </w:pPr>
          </w:p>
        </w:tc>
        <w:tc>
          <w:tcPr>
            <w:tcW w:w="2010" w:type="dxa"/>
            <w:vAlign w:val="center"/>
          </w:tcPr>
          <w:p w14:paraId="446A27D1">
            <w:pPr>
              <w:autoSpaceDE w:val="0"/>
              <w:autoSpaceDN w:val="0"/>
              <w:adjustRightInd w:val="0"/>
              <w:jc w:val="center"/>
              <w:rPr>
                <w:rFonts w:hint="eastAsia" w:ascii="宋体" w:hAnsi="宋体" w:cs="宋体"/>
                <w:snapToGrid w:val="0"/>
                <w:kern w:val="0"/>
              </w:rPr>
            </w:pPr>
          </w:p>
        </w:tc>
      </w:tr>
    </w:tbl>
    <w:p w14:paraId="11C71D0A">
      <w:pPr>
        <w:spacing w:line="360" w:lineRule="auto"/>
        <w:rPr>
          <w:rFonts w:hint="eastAsia" w:ascii="宋体" w:hAnsi="宋体" w:cs="宋体"/>
          <w:snapToGrid w:val="0"/>
          <w:w w:val="99"/>
        </w:rPr>
      </w:pPr>
    </w:p>
    <w:p w14:paraId="1EB1B0B9">
      <w:pPr>
        <w:spacing w:line="360" w:lineRule="auto"/>
        <w:rPr>
          <w:rFonts w:hint="eastAsia" w:ascii="宋体" w:hAnsi="宋体" w:cs="宋体"/>
          <w:snapToGrid w:val="0"/>
          <w:kern w:val="0"/>
          <w:sz w:val="32"/>
          <w:szCs w:val="32"/>
        </w:rPr>
      </w:pPr>
    </w:p>
    <w:p w14:paraId="21D56381">
      <w:pPr>
        <w:spacing w:line="360" w:lineRule="auto"/>
        <w:rPr>
          <w:rFonts w:hint="eastAsia" w:ascii="宋体" w:hAnsi="宋体" w:cs="宋体"/>
          <w:snapToGrid w:val="0"/>
        </w:rPr>
      </w:pPr>
    </w:p>
    <w:p w14:paraId="12570B7B">
      <w:pPr>
        <w:tabs>
          <w:tab w:val="left" w:pos="7140"/>
          <w:tab w:val="left" w:pos="7560"/>
          <w:tab w:val="left" w:pos="8300"/>
        </w:tabs>
        <w:autoSpaceDE w:val="0"/>
        <w:autoSpaceDN w:val="0"/>
        <w:adjustRightInd w:val="0"/>
        <w:spacing w:line="360" w:lineRule="auto"/>
        <w:ind w:right="210" w:firstLine="2396" w:firstLineChars="1141"/>
        <w:rPr>
          <w:rFonts w:hint="eastAsia" w:ascii="宋体" w:hAnsi="宋体" w:cs="宋体"/>
          <w:snapToGrid w:val="0"/>
          <w:kern w:val="0"/>
        </w:rPr>
      </w:pPr>
      <w:r>
        <w:rPr>
          <w:rFonts w:hint="eastAsia" w:ascii="宋体" w:hAnsi="宋体" w:cs="宋体"/>
          <w:snapToGrid w:val="0"/>
          <w:kern w:val="0"/>
        </w:rPr>
        <w:t>比 选 申 请  人：</w:t>
      </w:r>
      <w:r>
        <w:rPr>
          <w:rFonts w:hint="eastAsia" w:ascii="宋体" w:hAnsi="宋体" w:cs="宋体"/>
          <w:snapToGrid w:val="0"/>
          <w:kern w:val="0"/>
          <w:u w:val="single"/>
        </w:rPr>
        <w:t xml:space="preserve">                        </w:t>
      </w:r>
      <w:r>
        <w:rPr>
          <w:rFonts w:hint="eastAsia" w:ascii="宋体" w:hAnsi="宋体" w:cs="宋体"/>
          <w:snapToGrid w:val="0"/>
          <w:kern w:val="0"/>
        </w:rPr>
        <w:t xml:space="preserve">（盖单位法人章） </w:t>
      </w:r>
    </w:p>
    <w:p w14:paraId="30602954">
      <w:pPr>
        <w:tabs>
          <w:tab w:val="left" w:pos="7140"/>
          <w:tab w:val="left" w:pos="7560"/>
          <w:tab w:val="left" w:pos="8300"/>
        </w:tabs>
        <w:autoSpaceDE w:val="0"/>
        <w:autoSpaceDN w:val="0"/>
        <w:adjustRightInd w:val="0"/>
        <w:spacing w:line="360" w:lineRule="auto"/>
        <w:ind w:right="210" w:firstLine="1984" w:firstLineChars="945"/>
        <w:rPr>
          <w:rFonts w:hint="eastAsia" w:ascii="宋体" w:hAnsi="宋体" w:cs="宋体"/>
          <w:snapToGrid w:val="0"/>
          <w:kern w:val="0"/>
        </w:rPr>
      </w:pPr>
      <w:r>
        <w:rPr>
          <w:rFonts w:hint="eastAsia" w:ascii="宋体" w:hAnsi="宋体" w:cs="宋体"/>
          <w:snapToGrid w:val="0"/>
          <w:kern w:val="0"/>
        </w:rPr>
        <w:t xml:space="preserve">   </w:t>
      </w:r>
    </w:p>
    <w:p w14:paraId="741E4578">
      <w:pPr>
        <w:tabs>
          <w:tab w:val="left" w:pos="7140"/>
          <w:tab w:val="left" w:pos="7560"/>
          <w:tab w:val="left" w:pos="8300"/>
        </w:tabs>
        <w:autoSpaceDE w:val="0"/>
        <w:autoSpaceDN w:val="0"/>
        <w:adjustRightInd w:val="0"/>
        <w:spacing w:line="360" w:lineRule="auto"/>
        <w:ind w:right="210" w:firstLine="2415" w:firstLineChars="1150"/>
        <w:rPr>
          <w:rFonts w:hint="eastAsia" w:ascii="宋体" w:hAnsi="宋体" w:cs="宋体"/>
          <w:snapToGrid w:val="0"/>
          <w:kern w:val="0"/>
        </w:rPr>
      </w:pPr>
      <w:r>
        <w:rPr>
          <w:rFonts w:hint="eastAsia" w:ascii="宋体" w:hAnsi="宋体" w:cs="宋体"/>
          <w:snapToGrid w:val="0"/>
          <w:kern w:val="0"/>
        </w:rPr>
        <w:t>法定代表人或其委托代理人：</w:t>
      </w:r>
      <w:r>
        <w:rPr>
          <w:rFonts w:hint="eastAsia" w:ascii="宋体" w:hAnsi="宋体" w:cs="宋体"/>
          <w:snapToGrid w:val="0"/>
          <w:kern w:val="0"/>
          <w:u w:val="single"/>
        </w:rPr>
        <w:t xml:space="preserve">               </w:t>
      </w:r>
      <w:r>
        <w:rPr>
          <w:rFonts w:hint="eastAsia" w:ascii="宋体" w:hAnsi="宋体" w:cs="宋体"/>
          <w:snapToGrid w:val="0"/>
          <w:kern w:val="0"/>
        </w:rPr>
        <w:t xml:space="preserve">（签名或盖章） </w:t>
      </w:r>
    </w:p>
    <w:p w14:paraId="485BF126">
      <w:pPr>
        <w:tabs>
          <w:tab w:val="left" w:pos="7140"/>
          <w:tab w:val="left" w:pos="7560"/>
          <w:tab w:val="left" w:pos="8300"/>
        </w:tabs>
        <w:autoSpaceDE w:val="0"/>
        <w:autoSpaceDN w:val="0"/>
        <w:adjustRightInd w:val="0"/>
        <w:spacing w:line="360" w:lineRule="auto"/>
        <w:ind w:right="210" w:firstLine="1995" w:firstLineChars="950"/>
        <w:rPr>
          <w:rFonts w:hint="eastAsia" w:ascii="宋体" w:hAnsi="宋体" w:cs="宋体"/>
          <w:snapToGrid w:val="0"/>
          <w:kern w:val="0"/>
        </w:rPr>
      </w:pPr>
    </w:p>
    <w:p w14:paraId="0A3F0FA8">
      <w:pPr>
        <w:pStyle w:val="63"/>
        <w:rPr>
          <w:rFonts w:hint="eastAsia" w:ascii="宋体" w:hAnsi="宋体" w:cs="宋体"/>
        </w:rPr>
      </w:pPr>
      <w:r>
        <w:rPr>
          <w:rFonts w:hint="eastAsia" w:ascii="宋体" w:hAnsi="宋体" w:cs="宋体"/>
          <w:snapToGrid w:val="0"/>
        </w:rPr>
        <w:br w:type="page"/>
      </w:r>
    </w:p>
    <w:p w14:paraId="30485322">
      <w:pPr>
        <w:rPr>
          <w:rFonts w:hint="eastAsia" w:ascii="宋体" w:hAnsi="宋体" w:cs="宋体"/>
        </w:rPr>
      </w:pPr>
    </w:p>
    <w:p w14:paraId="61AA148B">
      <w:pPr>
        <w:rPr>
          <w:rFonts w:hint="eastAsia" w:ascii="宋体" w:hAnsi="宋体" w:cs="宋体"/>
        </w:rPr>
      </w:pPr>
    </w:p>
    <w:p w14:paraId="54E3067D">
      <w:pPr>
        <w:rPr>
          <w:rFonts w:hint="eastAsia" w:ascii="宋体" w:hAnsi="宋体" w:cs="宋体"/>
        </w:rPr>
      </w:pPr>
    </w:p>
    <w:p w14:paraId="247CDC21">
      <w:pPr>
        <w:pStyle w:val="2"/>
        <w:jc w:val="center"/>
        <w:rPr>
          <w:rFonts w:hint="eastAsia" w:ascii="宋体" w:hAnsi="宋体" w:eastAsia="宋体" w:cs="宋体"/>
        </w:rPr>
      </w:pPr>
      <w:bookmarkStart w:id="1121" w:name="_Toc304992633"/>
      <w:bookmarkStart w:id="1122" w:name="_Toc8126"/>
      <w:bookmarkStart w:id="1123" w:name="_Toc492644447"/>
      <w:bookmarkStart w:id="1124" w:name="_Toc22990077"/>
      <w:bookmarkStart w:id="1125" w:name="_Toc22375656"/>
      <w:bookmarkStart w:id="1126" w:name="_Toc492994399"/>
      <w:r>
        <w:rPr>
          <w:rFonts w:hint="eastAsia" w:ascii="宋体" w:hAnsi="宋体" w:eastAsia="宋体" w:cs="宋体"/>
          <w:sz w:val="28"/>
        </w:rPr>
        <w:t>（二） 法定代表人身份证明及法定代表人授权委托书</w:t>
      </w:r>
      <w:bookmarkEnd w:id="1121"/>
      <w:bookmarkEnd w:id="1122"/>
      <w:bookmarkEnd w:id="1123"/>
      <w:bookmarkEnd w:id="1124"/>
      <w:bookmarkEnd w:id="1125"/>
      <w:bookmarkEnd w:id="1126"/>
    </w:p>
    <w:p w14:paraId="651594FC">
      <w:pPr>
        <w:jc w:val="center"/>
        <w:rPr>
          <w:rFonts w:hint="eastAsia" w:ascii="宋体" w:hAnsi="宋体" w:cs="宋体"/>
          <w:b/>
          <w:sz w:val="28"/>
        </w:rPr>
      </w:pPr>
    </w:p>
    <w:p w14:paraId="08016DD4">
      <w:pPr>
        <w:jc w:val="center"/>
        <w:rPr>
          <w:rFonts w:hint="eastAsia" w:ascii="宋体" w:hAnsi="宋体" w:cs="宋体"/>
          <w:b/>
          <w:kern w:val="0"/>
          <w:sz w:val="28"/>
          <w:szCs w:val="28"/>
        </w:rPr>
      </w:pPr>
      <w:r>
        <w:rPr>
          <w:rFonts w:hint="eastAsia" w:ascii="宋体" w:hAnsi="宋体" w:cs="宋体"/>
          <w:b/>
          <w:kern w:val="0"/>
          <w:sz w:val="28"/>
          <w:szCs w:val="28"/>
        </w:rPr>
        <w:t>法定代表人身份证明</w:t>
      </w:r>
    </w:p>
    <w:p w14:paraId="39DF0F2B">
      <w:pPr>
        <w:ind w:left="765"/>
        <w:rPr>
          <w:rFonts w:hint="eastAsia" w:ascii="宋体" w:hAnsi="宋体" w:cs="宋体"/>
          <w:b/>
          <w:kern w:val="0"/>
          <w:sz w:val="28"/>
          <w:szCs w:val="28"/>
        </w:rPr>
      </w:pPr>
    </w:p>
    <w:p w14:paraId="3D55C474">
      <w:pPr>
        <w:ind w:left="765"/>
        <w:rPr>
          <w:rFonts w:hint="eastAsia" w:ascii="宋体" w:hAnsi="宋体" w:cs="宋体"/>
        </w:rPr>
      </w:pPr>
    </w:p>
    <w:p w14:paraId="1E5E7C32">
      <w:pPr>
        <w:ind w:left="765"/>
        <w:rPr>
          <w:rFonts w:hint="eastAsia" w:ascii="宋体" w:hAnsi="宋体" w:cs="宋体"/>
        </w:rPr>
      </w:pPr>
    </w:p>
    <w:p w14:paraId="29CF4CC7">
      <w:pPr>
        <w:tabs>
          <w:tab w:val="left" w:pos="5565"/>
        </w:tabs>
        <w:autoSpaceDE w:val="0"/>
        <w:autoSpaceDN w:val="0"/>
        <w:adjustRightInd w:val="0"/>
        <w:snapToGrid w:val="0"/>
        <w:spacing w:line="360" w:lineRule="auto"/>
        <w:ind w:firstLine="390" w:firstLineChars="186"/>
        <w:jc w:val="left"/>
        <w:rPr>
          <w:rFonts w:hint="eastAsia" w:ascii="宋体" w:hAnsi="宋体" w:cs="宋体"/>
          <w:kern w:val="0"/>
        </w:rPr>
      </w:pPr>
      <w:r>
        <w:rPr>
          <w:rFonts w:hint="eastAsia" w:ascii="宋体" w:hAnsi="宋体" w:cs="宋体"/>
          <w:kern w:val="0"/>
        </w:rPr>
        <w:t>比选申请人名称：</w:t>
      </w:r>
      <w:r>
        <w:rPr>
          <w:rFonts w:hint="eastAsia" w:ascii="宋体" w:hAnsi="宋体" w:cs="宋体"/>
          <w:w w:val="200"/>
          <w:kern w:val="0"/>
          <w:u w:val="single"/>
        </w:rPr>
        <w:t xml:space="preserve"> </w:t>
      </w:r>
      <w:r>
        <w:rPr>
          <w:rFonts w:hint="eastAsia" w:ascii="宋体" w:hAnsi="宋体" w:cs="宋体"/>
          <w:kern w:val="0"/>
          <w:u w:val="single"/>
        </w:rPr>
        <w:tab/>
      </w:r>
    </w:p>
    <w:p w14:paraId="10C13421">
      <w:pPr>
        <w:autoSpaceDE w:val="0"/>
        <w:autoSpaceDN w:val="0"/>
        <w:adjustRightInd w:val="0"/>
        <w:snapToGrid w:val="0"/>
        <w:spacing w:line="360" w:lineRule="auto"/>
        <w:ind w:firstLine="372" w:firstLineChars="186"/>
        <w:jc w:val="left"/>
        <w:rPr>
          <w:rFonts w:hint="eastAsia" w:ascii="宋体" w:hAnsi="宋体" w:cs="宋体"/>
          <w:kern w:val="0"/>
          <w:sz w:val="20"/>
          <w:szCs w:val="20"/>
        </w:rPr>
      </w:pPr>
    </w:p>
    <w:p w14:paraId="5EF9948D">
      <w:pPr>
        <w:tabs>
          <w:tab w:val="left" w:pos="5475"/>
        </w:tabs>
        <w:autoSpaceDE w:val="0"/>
        <w:autoSpaceDN w:val="0"/>
        <w:adjustRightInd w:val="0"/>
        <w:snapToGrid w:val="0"/>
        <w:spacing w:line="360" w:lineRule="auto"/>
        <w:ind w:firstLine="390" w:firstLineChars="186"/>
        <w:jc w:val="left"/>
        <w:rPr>
          <w:rFonts w:hint="eastAsia" w:ascii="宋体" w:hAnsi="宋体" w:cs="宋体"/>
          <w:kern w:val="0"/>
        </w:rPr>
      </w:pPr>
      <w:r>
        <w:rPr>
          <w:rFonts w:hint="eastAsia" w:ascii="宋体" w:hAnsi="宋体" w:cs="宋体"/>
          <w:kern w:val="0"/>
        </w:rPr>
        <w:t>单位性质：</w:t>
      </w:r>
      <w:r>
        <w:rPr>
          <w:rFonts w:hint="eastAsia" w:ascii="宋体" w:hAnsi="宋体" w:cs="宋体"/>
          <w:w w:val="200"/>
          <w:kern w:val="0"/>
          <w:u w:val="single"/>
        </w:rPr>
        <w:t xml:space="preserve"> </w:t>
      </w:r>
      <w:r>
        <w:rPr>
          <w:rFonts w:hint="eastAsia" w:ascii="宋体" w:hAnsi="宋体" w:cs="宋体"/>
          <w:kern w:val="0"/>
          <w:u w:val="single"/>
        </w:rPr>
        <w:tab/>
      </w:r>
    </w:p>
    <w:p w14:paraId="27C4D8C4">
      <w:pPr>
        <w:autoSpaceDE w:val="0"/>
        <w:autoSpaceDN w:val="0"/>
        <w:adjustRightInd w:val="0"/>
        <w:snapToGrid w:val="0"/>
        <w:spacing w:line="360" w:lineRule="auto"/>
        <w:ind w:firstLine="372" w:firstLineChars="186"/>
        <w:jc w:val="left"/>
        <w:rPr>
          <w:rFonts w:hint="eastAsia" w:ascii="宋体" w:hAnsi="宋体" w:cs="宋体"/>
          <w:kern w:val="0"/>
          <w:sz w:val="20"/>
          <w:szCs w:val="20"/>
        </w:rPr>
      </w:pPr>
    </w:p>
    <w:p w14:paraId="45BC8E20">
      <w:pPr>
        <w:tabs>
          <w:tab w:val="left" w:pos="5475"/>
        </w:tabs>
        <w:autoSpaceDE w:val="0"/>
        <w:autoSpaceDN w:val="0"/>
        <w:adjustRightInd w:val="0"/>
        <w:snapToGrid w:val="0"/>
        <w:spacing w:line="360" w:lineRule="auto"/>
        <w:ind w:firstLine="390" w:firstLineChars="186"/>
        <w:jc w:val="left"/>
        <w:rPr>
          <w:rFonts w:hint="eastAsia" w:ascii="宋体" w:hAnsi="宋体" w:cs="宋体"/>
          <w:kern w:val="0"/>
        </w:rPr>
      </w:pPr>
      <w:r>
        <w:rPr>
          <w:rFonts w:hint="eastAsia" w:ascii="宋体" w:hAnsi="宋体" w:cs="宋体"/>
          <w:kern w:val="0"/>
        </w:rPr>
        <w:t>地址：</w:t>
      </w:r>
      <w:r>
        <w:rPr>
          <w:rFonts w:hint="eastAsia" w:ascii="宋体" w:hAnsi="宋体" w:cs="宋体"/>
          <w:w w:val="200"/>
          <w:kern w:val="0"/>
          <w:u w:val="single"/>
        </w:rPr>
        <w:t xml:space="preserve"> </w:t>
      </w:r>
      <w:r>
        <w:rPr>
          <w:rFonts w:hint="eastAsia" w:ascii="宋体" w:hAnsi="宋体" w:cs="宋体"/>
          <w:kern w:val="0"/>
          <w:u w:val="single"/>
        </w:rPr>
        <w:tab/>
      </w:r>
    </w:p>
    <w:p w14:paraId="6DA540EE">
      <w:pPr>
        <w:autoSpaceDE w:val="0"/>
        <w:autoSpaceDN w:val="0"/>
        <w:adjustRightInd w:val="0"/>
        <w:snapToGrid w:val="0"/>
        <w:spacing w:line="360" w:lineRule="auto"/>
        <w:ind w:firstLine="372" w:firstLineChars="186"/>
        <w:jc w:val="left"/>
        <w:rPr>
          <w:rFonts w:hint="eastAsia" w:ascii="宋体" w:hAnsi="宋体" w:cs="宋体"/>
          <w:kern w:val="0"/>
          <w:sz w:val="20"/>
          <w:szCs w:val="20"/>
        </w:rPr>
      </w:pPr>
    </w:p>
    <w:p w14:paraId="77B8EC75">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宋体"/>
          <w:kern w:val="0"/>
        </w:rPr>
      </w:pPr>
      <w:r>
        <w:rPr>
          <w:rFonts w:hint="eastAsia" w:ascii="宋体" w:hAnsi="宋体" w:cs="宋体"/>
          <w:kern w:val="0"/>
        </w:rPr>
        <w:t>成立时间：</w:t>
      </w:r>
      <w:r>
        <w:rPr>
          <w:rFonts w:hint="eastAsia" w:ascii="宋体" w:hAnsi="宋体" w:cs="宋体"/>
          <w:w w:val="200"/>
          <w:kern w:val="0"/>
          <w:u w:val="single"/>
        </w:rPr>
        <w:t xml:space="preserve"> </w:t>
      </w:r>
      <w:r>
        <w:rPr>
          <w:rFonts w:hint="eastAsia" w:ascii="宋体" w:hAnsi="宋体" w:cs="宋体"/>
          <w:kern w:val="0"/>
          <w:u w:val="single"/>
        </w:rPr>
        <w:tab/>
      </w:r>
      <w:r>
        <w:rPr>
          <w:rFonts w:hint="eastAsia" w:ascii="宋体" w:hAnsi="宋体" w:cs="宋体"/>
          <w:kern w:val="0"/>
        </w:rPr>
        <w:t xml:space="preserve"> </w:t>
      </w:r>
      <w:r>
        <w:rPr>
          <w:rFonts w:hint="eastAsia" w:ascii="宋体" w:hAnsi="宋体" w:cs="宋体"/>
          <w:spacing w:val="-1"/>
          <w:kern w:val="0"/>
        </w:rPr>
        <w:t>年</w:t>
      </w:r>
      <w:r>
        <w:rPr>
          <w:rFonts w:hint="eastAsia" w:ascii="宋体" w:hAnsi="宋体" w:cs="宋体"/>
          <w:w w:val="200"/>
          <w:kern w:val="0"/>
          <w:u w:val="single"/>
        </w:rPr>
        <w:t xml:space="preserve"> </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 xml:space="preserve"> </w:t>
      </w:r>
      <w:r>
        <w:rPr>
          <w:rFonts w:hint="eastAsia" w:ascii="宋体" w:hAnsi="宋体" w:cs="宋体"/>
          <w:spacing w:val="-1"/>
          <w:kern w:val="0"/>
        </w:rPr>
        <w:t>月</w:t>
      </w:r>
      <w:r>
        <w:rPr>
          <w:rFonts w:hint="eastAsia" w:ascii="宋体" w:hAnsi="宋体" w:cs="宋体"/>
          <w:w w:val="200"/>
          <w:kern w:val="0"/>
          <w:u w:val="single"/>
        </w:rPr>
        <w:t xml:space="preserve"> </w:t>
      </w:r>
      <w:r>
        <w:rPr>
          <w:rFonts w:hint="eastAsia" w:ascii="宋体" w:hAnsi="宋体" w:cs="宋体"/>
          <w:kern w:val="0"/>
          <w:u w:val="single"/>
        </w:rPr>
        <w:t xml:space="preserve">         </w:t>
      </w:r>
      <w:r>
        <w:rPr>
          <w:rFonts w:hint="eastAsia" w:ascii="宋体" w:hAnsi="宋体" w:cs="宋体"/>
          <w:kern w:val="0"/>
        </w:rPr>
        <w:t>日</w:t>
      </w:r>
    </w:p>
    <w:p w14:paraId="0C544A67">
      <w:pPr>
        <w:autoSpaceDE w:val="0"/>
        <w:autoSpaceDN w:val="0"/>
        <w:adjustRightInd w:val="0"/>
        <w:snapToGrid w:val="0"/>
        <w:spacing w:line="360" w:lineRule="auto"/>
        <w:ind w:firstLine="186" w:firstLineChars="186"/>
        <w:jc w:val="left"/>
        <w:rPr>
          <w:rFonts w:hint="eastAsia" w:ascii="宋体" w:hAnsi="宋体" w:cs="宋体"/>
          <w:kern w:val="0"/>
          <w:sz w:val="10"/>
          <w:szCs w:val="10"/>
        </w:rPr>
      </w:pPr>
    </w:p>
    <w:p w14:paraId="18B71BAD">
      <w:pPr>
        <w:tabs>
          <w:tab w:val="left" w:pos="5475"/>
        </w:tabs>
        <w:autoSpaceDE w:val="0"/>
        <w:autoSpaceDN w:val="0"/>
        <w:adjustRightInd w:val="0"/>
        <w:snapToGrid w:val="0"/>
        <w:spacing w:line="360" w:lineRule="auto"/>
        <w:ind w:firstLine="390" w:firstLineChars="186"/>
        <w:jc w:val="left"/>
        <w:rPr>
          <w:rFonts w:hint="eastAsia" w:ascii="宋体" w:hAnsi="宋体" w:cs="宋体"/>
          <w:kern w:val="0"/>
        </w:rPr>
      </w:pPr>
      <w:r>
        <w:rPr>
          <w:rFonts w:hint="eastAsia" w:ascii="宋体" w:hAnsi="宋体" w:cs="宋体"/>
          <w:kern w:val="0"/>
        </w:rPr>
        <w:t>经营期限：</w:t>
      </w:r>
      <w:r>
        <w:rPr>
          <w:rFonts w:hint="eastAsia" w:ascii="宋体" w:hAnsi="宋体" w:cs="宋体"/>
          <w:w w:val="200"/>
          <w:kern w:val="0"/>
          <w:u w:val="single"/>
        </w:rPr>
        <w:t xml:space="preserve"> </w:t>
      </w:r>
      <w:r>
        <w:rPr>
          <w:rFonts w:hint="eastAsia" w:ascii="宋体" w:hAnsi="宋体" w:cs="宋体"/>
          <w:kern w:val="0"/>
          <w:u w:val="single"/>
        </w:rPr>
        <w:tab/>
      </w:r>
    </w:p>
    <w:p w14:paraId="43AD6F8C">
      <w:pPr>
        <w:autoSpaceDE w:val="0"/>
        <w:autoSpaceDN w:val="0"/>
        <w:adjustRightInd w:val="0"/>
        <w:snapToGrid w:val="0"/>
        <w:spacing w:line="360" w:lineRule="auto"/>
        <w:ind w:firstLine="372" w:firstLineChars="186"/>
        <w:jc w:val="left"/>
        <w:rPr>
          <w:rFonts w:hint="eastAsia" w:ascii="宋体" w:hAnsi="宋体" w:cs="宋体"/>
          <w:kern w:val="0"/>
          <w:sz w:val="20"/>
          <w:szCs w:val="20"/>
        </w:rPr>
      </w:pPr>
    </w:p>
    <w:p w14:paraId="6F9D346F">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宋体"/>
          <w:kern w:val="0"/>
        </w:rPr>
      </w:pPr>
      <w:r>
        <w:rPr>
          <w:rFonts w:hint="eastAsia" w:ascii="宋体" w:hAnsi="宋体" w:cs="宋体"/>
          <w:kern w:val="0"/>
        </w:rPr>
        <w:t>姓名：</w:t>
      </w:r>
      <w:r>
        <w:rPr>
          <w:rFonts w:hint="eastAsia" w:ascii="宋体" w:hAnsi="宋体" w:cs="宋体"/>
          <w:w w:val="200"/>
          <w:kern w:val="0"/>
          <w:u w:val="single"/>
        </w:rPr>
        <w:t xml:space="preserve"> </w:t>
      </w:r>
      <w:r>
        <w:rPr>
          <w:rFonts w:hint="eastAsia" w:ascii="宋体" w:hAnsi="宋体" w:cs="宋体"/>
          <w:kern w:val="0"/>
          <w:u w:val="single"/>
        </w:rPr>
        <w:tab/>
      </w:r>
      <w:r>
        <w:rPr>
          <w:rFonts w:hint="eastAsia" w:ascii="宋体" w:hAnsi="宋体" w:cs="宋体"/>
          <w:kern w:val="0"/>
        </w:rPr>
        <w:t xml:space="preserve"> 性别</w:t>
      </w:r>
      <w:r>
        <w:rPr>
          <w:rFonts w:hint="eastAsia" w:ascii="宋体" w:hAnsi="宋体" w:cs="宋体"/>
          <w:spacing w:val="-1"/>
          <w:kern w:val="0"/>
        </w:rPr>
        <w:t>：</w:t>
      </w:r>
      <w:r>
        <w:rPr>
          <w:rFonts w:hint="eastAsia" w:ascii="宋体" w:hAnsi="宋体" w:cs="宋体"/>
          <w:w w:val="200"/>
          <w:kern w:val="0"/>
          <w:u w:val="single"/>
        </w:rPr>
        <w:t xml:space="preserve"> </w:t>
      </w:r>
      <w:r>
        <w:rPr>
          <w:rFonts w:hint="eastAsia" w:ascii="宋体" w:hAnsi="宋体" w:cs="宋体"/>
          <w:kern w:val="0"/>
          <w:u w:val="single"/>
        </w:rPr>
        <w:tab/>
      </w:r>
      <w:r>
        <w:rPr>
          <w:rFonts w:hint="eastAsia" w:ascii="宋体" w:hAnsi="宋体" w:cs="宋体"/>
          <w:kern w:val="0"/>
        </w:rPr>
        <w:t xml:space="preserve"> </w:t>
      </w:r>
      <w:r>
        <w:rPr>
          <w:rFonts w:hint="eastAsia" w:ascii="宋体" w:hAnsi="宋体" w:cs="宋体"/>
          <w:spacing w:val="-1"/>
          <w:kern w:val="0"/>
        </w:rPr>
        <w:t>年</w:t>
      </w:r>
      <w:r>
        <w:rPr>
          <w:rFonts w:hint="eastAsia" w:ascii="宋体" w:hAnsi="宋体" w:cs="宋体"/>
          <w:kern w:val="0"/>
        </w:rPr>
        <w:t>龄：</w:t>
      </w:r>
      <w:r>
        <w:rPr>
          <w:rFonts w:hint="eastAsia" w:ascii="宋体" w:hAnsi="宋体" w:cs="宋体"/>
          <w:w w:val="200"/>
          <w:kern w:val="0"/>
          <w:u w:val="single"/>
        </w:rPr>
        <w:t xml:space="preserve"> </w:t>
      </w:r>
      <w:r>
        <w:rPr>
          <w:rFonts w:hint="eastAsia" w:ascii="宋体" w:hAnsi="宋体" w:cs="宋体"/>
          <w:kern w:val="0"/>
          <w:u w:val="single"/>
        </w:rPr>
        <w:tab/>
      </w:r>
      <w:r>
        <w:rPr>
          <w:rFonts w:hint="eastAsia" w:ascii="宋体" w:hAnsi="宋体" w:cs="宋体"/>
          <w:kern w:val="0"/>
        </w:rPr>
        <w:t>职务：</w:t>
      </w:r>
      <w:r>
        <w:rPr>
          <w:rFonts w:hint="eastAsia" w:ascii="宋体" w:hAnsi="宋体" w:cs="宋体"/>
          <w:w w:val="200"/>
          <w:kern w:val="0"/>
          <w:u w:val="single"/>
        </w:rPr>
        <w:t xml:space="preserve"> </w:t>
      </w:r>
      <w:r>
        <w:rPr>
          <w:rFonts w:hint="eastAsia" w:ascii="宋体" w:hAnsi="宋体" w:cs="宋体"/>
          <w:kern w:val="0"/>
          <w:u w:val="single"/>
        </w:rPr>
        <w:tab/>
      </w:r>
    </w:p>
    <w:p w14:paraId="7CF179B6">
      <w:pPr>
        <w:autoSpaceDE w:val="0"/>
        <w:autoSpaceDN w:val="0"/>
        <w:adjustRightInd w:val="0"/>
        <w:snapToGrid w:val="0"/>
        <w:spacing w:line="360" w:lineRule="auto"/>
        <w:ind w:firstLine="372" w:firstLineChars="186"/>
        <w:jc w:val="left"/>
        <w:rPr>
          <w:rFonts w:hint="eastAsia" w:ascii="宋体" w:hAnsi="宋体" w:cs="宋体"/>
          <w:kern w:val="0"/>
          <w:sz w:val="20"/>
          <w:szCs w:val="20"/>
        </w:rPr>
      </w:pPr>
    </w:p>
    <w:p w14:paraId="56D730D4">
      <w:pPr>
        <w:tabs>
          <w:tab w:val="left" w:pos="3360"/>
        </w:tabs>
        <w:autoSpaceDE w:val="0"/>
        <w:autoSpaceDN w:val="0"/>
        <w:adjustRightInd w:val="0"/>
        <w:snapToGrid w:val="0"/>
        <w:spacing w:line="360" w:lineRule="auto"/>
        <w:ind w:firstLine="390" w:firstLineChars="186"/>
        <w:jc w:val="left"/>
        <w:rPr>
          <w:rFonts w:hint="eastAsia" w:ascii="宋体" w:hAnsi="宋体" w:cs="宋体"/>
          <w:kern w:val="0"/>
        </w:rPr>
      </w:pPr>
      <w:r>
        <w:rPr>
          <w:rFonts w:hint="eastAsia" w:ascii="宋体" w:hAnsi="宋体" w:cs="宋体"/>
          <w:kern w:val="0"/>
        </w:rPr>
        <w:t>系</w:t>
      </w:r>
      <w:r>
        <w:rPr>
          <w:rFonts w:hint="eastAsia" w:ascii="宋体" w:hAnsi="宋体" w:cs="宋体"/>
          <w:w w:val="200"/>
          <w:kern w:val="0"/>
          <w:u w:val="single"/>
        </w:rPr>
        <w:t xml:space="preserve"> </w:t>
      </w:r>
      <w:r>
        <w:rPr>
          <w:rFonts w:hint="eastAsia" w:ascii="宋体" w:hAnsi="宋体" w:cs="宋体"/>
          <w:kern w:val="0"/>
          <w:u w:val="single"/>
        </w:rPr>
        <w:tab/>
      </w:r>
      <w:r>
        <w:rPr>
          <w:rFonts w:hint="eastAsia" w:ascii="宋体" w:hAnsi="宋体" w:cs="宋体"/>
          <w:kern w:val="0"/>
        </w:rPr>
        <w:t xml:space="preserve"> （比选申请人名称）的法定代表人。</w:t>
      </w:r>
    </w:p>
    <w:p w14:paraId="18791CA5">
      <w:pPr>
        <w:autoSpaceDE w:val="0"/>
        <w:autoSpaceDN w:val="0"/>
        <w:adjustRightInd w:val="0"/>
        <w:snapToGrid w:val="0"/>
        <w:spacing w:line="360" w:lineRule="auto"/>
        <w:ind w:firstLine="186" w:firstLineChars="186"/>
        <w:jc w:val="left"/>
        <w:rPr>
          <w:rFonts w:hint="eastAsia" w:ascii="宋体" w:hAnsi="宋体" w:cs="宋体"/>
          <w:kern w:val="0"/>
          <w:sz w:val="10"/>
          <w:szCs w:val="10"/>
        </w:rPr>
      </w:pPr>
    </w:p>
    <w:p w14:paraId="794CA16E">
      <w:pPr>
        <w:autoSpaceDE w:val="0"/>
        <w:autoSpaceDN w:val="0"/>
        <w:adjustRightInd w:val="0"/>
        <w:snapToGrid w:val="0"/>
        <w:spacing w:line="360" w:lineRule="auto"/>
        <w:ind w:firstLine="810" w:firstLineChars="386"/>
        <w:jc w:val="left"/>
        <w:rPr>
          <w:rFonts w:hint="eastAsia" w:ascii="宋体" w:hAnsi="宋体" w:cs="宋体"/>
          <w:kern w:val="0"/>
        </w:rPr>
      </w:pPr>
      <w:r>
        <w:rPr>
          <w:rFonts w:hint="eastAsia" w:ascii="宋体" w:hAnsi="宋体" w:cs="宋体"/>
          <w:kern w:val="0"/>
        </w:rPr>
        <w:t>特此证明。</w:t>
      </w:r>
    </w:p>
    <w:p w14:paraId="0BDA01B5">
      <w:pPr>
        <w:autoSpaceDE w:val="0"/>
        <w:autoSpaceDN w:val="0"/>
        <w:adjustRightInd w:val="0"/>
        <w:snapToGrid w:val="0"/>
        <w:spacing w:line="360" w:lineRule="auto"/>
        <w:jc w:val="left"/>
        <w:rPr>
          <w:rFonts w:hint="eastAsia" w:ascii="宋体" w:hAnsi="宋体" w:cs="宋体"/>
          <w:kern w:val="0"/>
          <w:sz w:val="18"/>
          <w:szCs w:val="18"/>
        </w:rPr>
      </w:pPr>
    </w:p>
    <w:p w14:paraId="45804343">
      <w:pPr>
        <w:autoSpaceDE w:val="0"/>
        <w:autoSpaceDN w:val="0"/>
        <w:adjustRightInd w:val="0"/>
        <w:snapToGrid w:val="0"/>
        <w:spacing w:line="360" w:lineRule="auto"/>
        <w:jc w:val="left"/>
        <w:rPr>
          <w:rFonts w:hint="eastAsia" w:ascii="宋体" w:hAnsi="宋体" w:cs="宋体"/>
          <w:kern w:val="0"/>
          <w:sz w:val="20"/>
          <w:szCs w:val="20"/>
        </w:rPr>
      </w:pPr>
    </w:p>
    <w:p w14:paraId="64A13841">
      <w:pPr>
        <w:autoSpaceDE w:val="0"/>
        <w:autoSpaceDN w:val="0"/>
        <w:adjustRightInd w:val="0"/>
        <w:snapToGrid w:val="0"/>
        <w:spacing w:line="360" w:lineRule="auto"/>
        <w:jc w:val="left"/>
        <w:rPr>
          <w:rFonts w:hint="eastAsia" w:ascii="宋体" w:hAnsi="宋体" w:cs="宋体"/>
          <w:kern w:val="0"/>
          <w:sz w:val="20"/>
          <w:szCs w:val="20"/>
        </w:rPr>
      </w:pPr>
    </w:p>
    <w:p w14:paraId="17F80A6E">
      <w:pPr>
        <w:autoSpaceDE w:val="0"/>
        <w:autoSpaceDN w:val="0"/>
        <w:adjustRightInd w:val="0"/>
        <w:snapToGrid w:val="0"/>
        <w:spacing w:line="360" w:lineRule="auto"/>
        <w:jc w:val="left"/>
        <w:rPr>
          <w:rFonts w:hint="eastAsia" w:ascii="宋体" w:hAnsi="宋体" w:cs="宋体"/>
          <w:kern w:val="0"/>
          <w:sz w:val="20"/>
          <w:szCs w:val="20"/>
        </w:rPr>
      </w:pPr>
    </w:p>
    <w:p w14:paraId="21B4D842">
      <w:pPr>
        <w:autoSpaceDE w:val="0"/>
        <w:autoSpaceDN w:val="0"/>
        <w:adjustRightInd w:val="0"/>
        <w:snapToGrid w:val="0"/>
        <w:spacing w:line="360" w:lineRule="auto"/>
        <w:jc w:val="left"/>
        <w:rPr>
          <w:rFonts w:hint="eastAsia" w:ascii="宋体" w:hAnsi="宋体" w:cs="宋体"/>
          <w:kern w:val="0"/>
          <w:sz w:val="20"/>
          <w:szCs w:val="20"/>
        </w:rPr>
      </w:pPr>
    </w:p>
    <w:p w14:paraId="31D91B98">
      <w:pPr>
        <w:tabs>
          <w:tab w:val="left" w:pos="5460"/>
        </w:tabs>
        <w:autoSpaceDE w:val="0"/>
        <w:autoSpaceDN w:val="0"/>
        <w:adjustRightInd w:val="0"/>
        <w:snapToGrid w:val="0"/>
        <w:spacing w:line="360" w:lineRule="auto"/>
        <w:ind w:firstLine="2100"/>
        <w:jc w:val="left"/>
        <w:rPr>
          <w:rFonts w:hint="eastAsia" w:ascii="宋体" w:hAnsi="宋体" w:cs="宋体"/>
          <w:kern w:val="0"/>
        </w:rPr>
      </w:pPr>
      <w:r>
        <w:rPr>
          <w:rFonts w:hint="eastAsia" w:ascii="宋体" w:hAnsi="宋体" w:cs="宋体"/>
          <w:kern w:val="0"/>
        </w:rPr>
        <w:t>比选申请人：</w:t>
      </w:r>
      <w:r>
        <w:rPr>
          <w:rFonts w:hint="eastAsia" w:ascii="宋体" w:hAnsi="宋体" w:cs="宋体"/>
          <w:w w:val="200"/>
          <w:kern w:val="0"/>
          <w:u w:val="single"/>
        </w:rPr>
        <w:t xml:space="preserve"> </w:t>
      </w:r>
      <w:r>
        <w:rPr>
          <w:rFonts w:hint="eastAsia" w:ascii="宋体" w:hAnsi="宋体" w:cs="宋体"/>
          <w:kern w:val="0"/>
          <w:u w:val="single"/>
        </w:rPr>
        <w:tab/>
      </w:r>
      <w:r>
        <w:rPr>
          <w:rFonts w:hint="eastAsia" w:ascii="宋体" w:hAnsi="宋体" w:cs="宋体"/>
          <w:spacing w:val="-1"/>
          <w:kern w:val="0"/>
        </w:rPr>
        <w:t>（</w:t>
      </w:r>
      <w:r>
        <w:rPr>
          <w:rFonts w:hint="eastAsia" w:ascii="宋体" w:hAnsi="宋体" w:cs="宋体"/>
          <w:kern w:val="0"/>
        </w:rPr>
        <w:t>盖单位章）</w:t>
      </w:r>
    </w:p>
    <w:p w14:paraId="710451DC">
      <w:pPr>
        <w:autoSpaceDE w:val="0"/>
        <w:autoSpaceDN w:val="0"/>
        <w:adjustRightInd w:val="0"/>
        <w:snapToGrid w:val="0"/>
        <w:spacing w:line="360" w:lineRule="auto"/>
        <w:jc w:val="left"/>
        <w:rPr>
          <w:rFonts w:hint="eastAsia" w:ascii="宋体" w:hAnsi="宋体" w:cs="宋体"/>
          <w:kern w:val="0"/>
          <w:sz w:val="20"/>
          <w:szCs w:val="20"/>
        </w:rPr>
      </w:pPr>
    </w:p>
    <w:p w14:paraId="4DC5553D">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宋体"/>
          <w:kern w:val="0"/>
        </w:rPr>
      </w:pPr>
      <w:r>
        <w:rPr>
          <w:rFonts w:hint="eastAsia" w:ascii="宋体" w:hAnsi="宋体" w:cs="宋体"/>
          <w:w w:val="200"/>
          <w:kern w:val="0"/>
          <w:u w:val="single"/>
        </w:rPr>
        <w:t xml:space="preserve"> </w:t>
      </w:r>
      <w:r>
        <w:rPr>
          <w:rFonts w:hint="eastAsia" w:ascii="宋体" w:hAnsi="宋体" w:cs="宋体"/>
          <w:kern w:val="0"/>
          <w:u w:val="single"/>
        </w:rPr>
        <w:tab/>
      </w:r>
      <w:r>
        <w:rPr>
          <w:rFonts w:hint="eastAsia" w:ascii="宋体" w:hAnsi="宋体" w:cs="宋体"/>
          <w:spacing w:val="-1"/>
          <w:kern w:val="0"/>
        </w:rPr>
        <w:t>年</w:t>
      </w:r>
      <w:r>
        <w:rPr>
          <w:rFonts w:hint="eastAsia" w:ascii="宋体" w:hAnsi="宋体" w:cs="宋体"/>
          <w:w w:val="200"/>
          <w:kern w:val="0"/>
          <w:u w:val="single"/>
        </w:rPr>
        <w:t xml:space="preserve">   </w:t>
      </w:r>
      <w:r>
        <w:rPr>
          <w:rFonts w:hint="eastAsia" w:ascii="宋体" w:hAnsi="宋体" w:cs="宋体"/>
          <w:kern w:val="0"/>
        </w:rPr>
        <w:t>月</w:t>
      </w:r>
      <w:r>
        <w:rPr>
          <w:rFonts w:hint="eastAsia" w:ascii="宋体" w:hAnsi="宋体" w:cs="宋体"/>
          <w:w w:val="200"/>
          <w:kern w:val="0"/>
          <w:u w:val="single"/>
        </w:rPr>
        <w:t xml:space="preserve">   </w:t>
      </w:r>
      <w:r>
        <w:rPr>
          <w:rFonts w:hint="eastAsia" w:ascii="宋体" w:hAnsi="宋体" w:cs="宋体"/>
          <w:kern w:val="0"/>
        </w:rPr>
        <w:t>日</w:t>
      </w:r>
    </w:p>
    <w:p w14:paraId="2663E9CA">
      <w:pPr>
        <w:tabs>
          <w:tab w:val="left" w:pos="5760"/>
        </w:tabs>
        <w:autoSpaceDE w:val="0"/>
        <w:autoSpaceDN w:val="0"/>
        <w:adjustRightInd w:val="0"/>
        <w:spacing w:line="300" w:lineRule="exact"/>
        <w:ind w:right="3341"/>
        <w:rPr>
          <w:rFonts w:hint="eastAsia" w:ascii="宋体" w:hAnsi="宋体" w:cs="宋体"/>
          <w:kern w:val="0"/>
        </w:rPr>
      </w:pPr>
    </w:p>
    <w:p w14:paraId="620CC20C">
      <w:pPr>
        <w:tabs>
          <w:tab w:val="left" w:pos="1680"/>
          <w:tab w:val="left" w:pos="4215"/>
          <w:tab w:val="left" w:pos="4305"/>
          <w:tab w:val="left" w:pos="8000"/>
        </w:tabs>
        <w:autoSpaceDE w:val="0"/>
        <w:autoSpaceDN w:val="0"/>
        <w:adjustRightInd w:val="0"/>
        <w:snapToGrid w:val="0"/>
        <w:spacing w:line="360" w:lineRule="auto"/>
        <w:ind w:firstLine="420"/>
        <w:jc w:val="center"/>
        <w:rPr>
          <w:rFonts w:hint="eastAsia" w:ascii="宋体" w:hAnsi="宋体" w:cs="宋体"/>
          <w:b/>
          <w:kern w:val="0"/>
          <w:sz w:val="28"/>
          <w:szCs w:val="28"/>
        </w:rPr>
      </w:pPr>
      <w:r>
        <w:rPr>
          <w:rFonts w:hint="eastAsia" w:ascii="宋体" w:hAnsi="宋体" w:cs="宋体"/>
          <w:b/>
          <w:kern w:val="0"/>
          <w:sz w:val="28"/>
          <w:szCs w:val="28"/>
        </w:rPr>
        <w:br w:type="page"/>
      </w:r>
      <w:r>
        <w:rPr>
          <w:rFonts w:hint="eastAsia" w:ascii="宋体" w:hAnsi="宋体" w:cs="宋体"/>
          <w:b/>
          <w:kern w:val="0"/>
          <w:sz w:val="28"/>
          <w:szCs w:val="28"/>
        </w:rPr>
        <w:t>法定代表人授权委托书</w:t>
      </w:r>
    </w:p>
    <w:p w14:paraId="1E7D3422">
      <w:pPr>
        <w:autoSpaceDE w:val="0"/>
        <w:autoSpaceDN w:val="0"/>
        <w:adjustRightInd w:val="0"/>
        <w:snapToGrid w:val="0"/>
        <w:spacing w:line="360" w:lineRule="auto"/>
        <w:jc w:val="left"/>
        <w:rPr>
          <w:rFonts w:hint="eastAsia" w:ascii="宋体" w:hAnsi="宋体" w:cs="宋体"/>
          <w:kern w:val="0"/>
          <w:sz w:val="12"/>
          <w:szCs w:val="12"/>
        </w:rPr>
      </w:pPr>
    </w:p>
    <w:p w14:paraId="4445B3CC">
      <w:pPr>
        <w:autoSpaceDE w:val="0"/>
        <w:autoSpaceDN w:val="0"/>
        <w:adjustRightInd w:val="0"/>
        <w:snapToGrid w:val="0"/>
        <w:spacing w:line="360" w:lineRule="auto"/>
        <w:jc w:val="left"/>
        <w:rPr>
          <w:rFonts w:hint="eastAsia" w:ascii="宋体" w:hAnsi="宋体" w:cs="宋体"/>
          <w:kern w:val="0"/>
          <w:sz w:val="20"/>
          <w:szCs w:val="20"/>
        </w:rPr>
      </w:pPr>
    </w:p>
    <w:p w14:paraId="410F82D5">
      <w:pPr>
        <w:autoSpaceDE w:val="0"/>
        <w:autoSpaceDN w:val="0"/>
        <w:adjustRightInd w:val="0"/>
        <w:snapToGrid w:val="0"/>
        <w:spacing w:line="360" w:lineRule="auto"/>
        <w:jc w:val="left"/>
        <w:rPr>
          <w:rFonts w:hint="eastAsia" w:ascii="宋体" w:hAnsi="宋体" w:cs="宋体"/>
          <w:kern w:val="0"/>
          <w:sz w:val="20"/>
          <w:szCs w:val="20"/>
        </w:rPr>
      </w:pPr>
    </w:p>
    <w:p w14:paraId="0B1B0A89">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rPr>
      </w:pPr>
      <w:r>
        <w:rPr>
          <w:rFonts w:hint="eastAsia" w:ascii="宋体" w:hAnsi="宋体" w:cs="宋体"/>
          <w:kern w:val="0"/>
        </w:rPr>
        <w:t>本人</w:t>
      </w:r>
      <w:r>
        <w:rPr>
          <w:rFonts w:hint="eastAsia" w:ascii="宋体" w:hAnsi="宋体" w:cs="宋体"/>
          <w:w w:val="200"/>
          <w:kern w:val="0"/>
          <w:u w:val="single"/>
        </w:rPr>
        <w:t xml:space="preserve"> </w:t>
      </w:r>
      <w:r>
        <w:rPr>
          <w:rFonts w:hint="eastAsia" w:ascii="宋体" w:hAnsi="宋体" w:cs="宋体"/>
          <w:kern w:val="0"/>
          <w:u w:val="single"/>
        </w:rPr>
        <w:tab/>
      </w:r>
      <w:r>
        <w:rPr>
          <w:rFonts w:hint="eastAsia" w:ascii="宋体" w:hAnsi="宋体" w:cs="宋体"/>
          <w:kern w:val="0"/>
        </w:rPr>
        <w:t>（姓名）系</w:t>
      </w:r>
      <w:r>
        <w:rPr>
          <w:rFonts w:hint="eastAsia" w:ascii="宋体" w:hAnsi="宋体" w:cs="宋体"/>
          <w:w w:val="200"/>
          <w:kern w:val="0"/>
          <w:u w:val="single"/>
        </w:rPr>
        <w:t xml:space="preserve"> </w:t>
      </w:r>
      <w:r>
        <w:rPr>
          <w:rFonts w:hint="eastAsia" w:ascii="宋体" w:hAnsi="宋体" w:cs="宋体"/>
          <w:kern w:val="0"/>
          <w:u w:val="single"/>
        </w:rPr>
        <w:tab/>
      </w:r>
      <w:r>
        <w:rPr>
          <w:rFonts w:hint="eastAsia" w:ascii="宋体" w:hAnsi="宋体" w:cs="宋体"/>
          <w:kern w:val="0"/>
        </w:rPr>
        <w:t>（</w:t>
      </w:r>
      <w:r>
        <w:rPr>
          <w:rFonts w:hint="eastAsia" w:ascii="宋体" w:hAnsi="宋体" w:cs="宋体"/>
          <w:spacing w:val="-1"/>
          <w:kern w:val="0"/>
        </w:rPr>
        <w:t>比选申请人</w:t>
      </w:r>
      <w:r>
        <w:rPr>
          <w:rFonts w:hint="eastAsia" w:ascii="宋体" w:hAnsi="宋体" w:cs="宋体"/>
          <w:kern w:val="0"/>
        </w:rPr>
        <w:t>名称</w:t>
      </w:r>
      <w:r>
        <w:rPr>
          <w:rFonts w:hint="eastAsia" w:ascii="宋体" w:hAnsi="宋体" w:cs="宋体"/>
          <w:spacing w:val="1"/>
          <w:kern w:val="0"/>
        </w:rPr>
        <w:t>）</w:t>
      </w:r>
      <w:r>
        <w:rPr>
          <w:rFonts w:hint="eastAsia" w:ascii="宋体" w:hAnsi="宋体" w:cs="宋体"/>
          <w:kern w:val="0"/>
        </w:rPr>
        <w:t>的法定代</w:t>
      </w:r>
      <w:r>
        <w:rPr>
          <w:rFonts w:hint="eastAsia" w:ascii="宋体" w:hAnsi="宋体" w:cs="宋体"/>
          <w:spacing w:val="1"/>
          <w:kern w:val="0"/>
        </w:rPr>
        <w:t>表</w:t>
      </w:r>
      <w:r>
        <w:rPr>
          <w:rFonts w:hint="eastAsia" w:ascii="宋体" w:hAnsi="宋体" w:cs="宋体"/>
          <w:kern w:val="0"/>
        </w:rPr>
        <w:t>人，现委托</w:t>
      </w:r>
      <w:r>
        <w:rPr>
          <w:rFonts w:hint="eastAsia" w:ascii="宋体" w:hAnsi="宋体" w:cs="宋体"/>
          <w:w w:val="200"/>
          <w:kern w:val="0"/>
          <w:u w:val="single"/>
        </w:rPr>
        <w:t xml:space="preserve"> </w:t>
      </w:r>
      <w:r>
        <w:rPr>
          <w:rFonts w:hint="eastAsia" w:ascii="宋体" w:hAnsi="宋体" w:cs="宋体"/>
          <w:kern w:val="0"/>
          <w:u w:val="single"/>
        </w:rPr>
        <w:tab/>
      </w:r>
      <w:r>
        <w:rPr>
          <w:rFonts w:hint="eastAsia" w:ascii="宋体" w:hAnsi="宋体" w:cs="宋体"/>
          <w:kern w:val="0"/>
        </w:rPr>
        <w:t>（姓 名）为我方代理人。代理人根据授权，以我方名义签署、澄清、说明、补正、递交、撤回、 修改</w:t>
      </w:r>
      <w:r>
        <w:rPr>
          <w:rFonts w:hint="eastAsia" w:ascii="宋体" w:hAnsi="宋体" w:cs="宋体"/>
          <w:w w:val="200"/>
          <w:kern w:val="0"/>
          <w:u w:val="single"/>
        </w:rPr>
        <w:t xml:space="preserve"> </w:t>
      </w:r>
      <w:r>
        <w:rPr>
          <w:rFonts w:hint="eastAsia" w:ascii="宋体" w:hAnsi="宋体" w:cs="宋体"/>
          <w:kern w:val="0"/>
          <w:u w:val="single"/>
        </w:rPr>
        <w:tab/>
      </w:r>
      <w:r>
        <w:rPr>
          <w:rFonts w:hint="eastAsia" w:ascii="宋体" w:hAnsi="宋体" w:cs="宋体"/>
          <w:kern w:val="0"/>
        </w:rPr>
        <w:t>（项</w:t>
      </w:r>
      <w:r>
        <w:rPr>
          <w:rFonts w:hint="eastAsia" w:ascii="宋体" w:hAnsi="宋体" w:cs="宋体"/>
          <w:spacing w:val="-1"/>
          <w:kern w:val="0"/>
        </w:rPr>
        <w:t>目</w:t>
      </w:r>
      <w:r>
        <w:rPr>
          <w:rFonts w:hint="eastAsia" w:ascii="宋体" w:hAnsi="宋体" w:cs="宋体"/>
          <w:kern w:val="0"/>
        </w:rPr>
        <w:t>名称）施工比选申请文件、签订合同和处理有关事宜， 其法律后果由我方承担。委托</w:t>
      </w:r>
      <w:r>
        <w:rPr>
          <w:rFonts w:hint="eastAsia" w:ascii="宋体" w:hAnsi="宋体" w:cs="宋体"/>
          <w:spacing w:val="-1"/>
          <w:kern w:val="0"/>
        </w:rPr>
        <w:t>期</w:t>
      </w:r>
      <w:r>
        <w:rPr>
          <w:rFonts w:hint="eastAsia" w:ascii="宋体" w:hAnsi="宋体" w:cs="宋体"/>
          <w:kern w:val="0"/>
        </w:rPr>
        <w:t>限：</w:t>
      </w:r>
      <w:r>
        <w:rPr>
          <w:rFonts w:hint="eastAsia" w:ascii="宋体" w:hAnsi="宋体" w:cs="宋体"/>
          <w:w w:val="200"/>
          <w:kern w:val="0"/>
          <w:u w:val="single"/>
        </w:rPr>
        <w:t xml:space="preserve"> </w:t>
      </w:r>
      <w:r>
        <w:rPr>
          <w:rFonts w:hint="eastAsia" w:ascii="宋体" w:hAnsi="宋体" w:cs="宋体"/>
          <w:kern w:val="0"/>
          <w:u w:val="single"/>
        </w:rPr>
        <w:tab/>
      </w:r>
      <w:r>
        <w:rPr>
          <w:rFonts w:hint="eastAsia" w:ascii="宋体" w:hAnsi="宋体" w:cs="宋体"/>
          <w:kern w:val="0"/>
        </w:rPr>
        <w:t>。 代理人无转委托权。 附：法定代表人身份证明。</w:t>
      </w:r>
    </w:p>
    <w:p w14:paraId="276FE57D">
      <w:pPr>
        <w:autoSpaceDE w:val="0"/>
        <w:autoSpaceDN w:val="0"/>
        <w:adjustRightInd w:val="0"/>
        <w:snapToGrid w:val="0"/>
        <w:spacing w:line="360" w:lineRule="auto"/>
        <w:jc w:val="left"/>
        <w:rPr>
          <w:rFonts w:hint="eastAsia" w:ascii="宋体" w:hAnsi="宋体" w:cs="宋体"/>
          <w:kern w:val="0"/>
          <w:sz w:val="12"/>
          <w:szCs w:val="12"/>
        </w:rPr>
      </w:pPr>
    </w:p>
    <w:p w14:paraId="0AC3BD56">
      <w:pPr>
        <w:autoSpaceDE w:val="0"/>
        <w:autoSpaceDN w:val="0"/>
        <w:adjustRightInd w:val="0"/>
        <w:snapToGrid w:val="0"/>
        <w:spacing w:line="360" w:lineRule="auto"/>
        <w:jc w:val="left"/>
        <w:rPr>
          <w:rFonts w:hint="eastAsia" w:ascii="宋体" w:hAnsi="宋体" w:cs="宋体"/>
          <w:kern w:val="0"/>
          <w:sz w:val="20"/>
          <w:szCs w:val="20"/>
        </w:rPr>
      </w:pPr>
    </w:p>
    <w:p w14:paraId="12434651">
      <w:pPr>
        <w:tabs>
          <w:tab w:val="left" w:pos="4200"/>
          <w:tab w:val="left" w:pos="4620"/>
        </w:tabs>
        <w:autoSpaceDE w:val="0"/>
        <w:autoSpaceDN w:val="0"/>
        <w:adjustRightInd w:val="0"/>
        <w:snapToGrid w:val="0"/>
        <w:spacing w:line="360" w:lineRule="auto"/>
        <w:ind w:firstLine="1694"/>
        <w:jc w:val="left"/>
        <w:rPr>
          <w:rFonts w:hint="eastAsia" w:ascii="宋体" w:hAnsi="宋体" w:cs="宋体"/>
          <w:kern w:val="0"/>
        </w:rPr>
      </w:pPr>
      <w:r>
        <w:rPr>
          <w:rFonts w:hint="eastAsia" w:ascii="宋体" w:hAnsi="宋体" w:cs="宋体"/>
          <w:spacing w:val="-1"/>
          <w:kern w:val="0"/>
        </w:rPr>
        <w:t>比选申请人</w:t>
      </w:r>
      <w:r>
        <w:rPr>
          <w:rFonts w:hint="eastAsia" w:ascii="宋体" w:hAnsi="宋体" w:cs="宋体"/>
          <w:kern w:val="0"/>
        </w:rPr>
        <w:t>：</w:t>
      </w:r>
      <w:r>
        <w:rPr>
          <w:rFonts w:hint="eastAsia" w:ascii="宋体" w:hAnsi="宋体" w:cs="宋体"/>
          <w:w w:val="200"/>
          <w:kern w:val="0"/>
          <w:u w:val="single"/>
        </w:rPr>
        <w:t xml:space="preserve">              </w:t>
      </w:r>
      <w:r>
        <w:rPr>
          <w:rFonts w:hint="eastAsia" w:ascii="宋体" w:hAnsi="宋体" w:cs="宋体"/>
          <w:kern w:val="0"/>
          <w:u w:val="single"/>
        </w:rPr>
        <w:tab/>
      </w:r>
      <w:r>
        <w:rPr>
          <w:rFonts w:hint="eastAsia" w:ascii="宋体" w:hAnsi="宋体" w:cs="宋体"/>
          <w:kern w:val="0"/>
        </w:rPr>
        <w:t>（</w:t>
      </w:r>
      <w:r>
        <w:rPr>
          <w:rFonts w:hint="eastAsia" w:ascii="宋体" w:hAnsi="宋体" w:cs="宋体"/>
          <w:spacing w:val="-1"/>
          <w:kern w:val="0"/>
        </w:rPr>
        <w:t>盖</w:t>
      </w:r>
      <w:r>
        <w:rPr>
          <w:rFonts w:hint="eastAsia" w:ascii="宋体" w:hAnsi="宋体" w:cs="宋体"/>
          <w:kern w:val="0"/>
        </w:rPr>
        <w:t xml:space="preserve">单位公章） </w:t>
      </w:r>
    </w:p>
    <w:p w14:paraId="39ED3C23">
      <w:pPr>
        <w:tabs>
          <w:tab w:val="left" w:pos="6300"/>
        </w:tabs>
        <w:autoSpaceDE w:val="0"/>
        <w:autoSpaceDN w:val="0"/>
        <w:adjustRightInd w:val="0"/>
        <w:snapToGrid w:val="0"/>
        <w:spacing w:line="360" w:lineRule="auto"/>
        <w:ind w:firstLine="1680"/>
        <w:jc w:val="left"/>
        <w:rPr>
          <w:rFonts w:hint="eastAsia" w:ascii="宋体" w:hAnsi="宋体" w:cs="宋体"/>
          <w:kern w:val="0"/>
        </w:rPr>
      </w:pPr>
      <w:r>
        <w:rPr>
          <w:rFonts w:hint="eastAsia" w:ascii="宋体" w:hAnsi="宋体" w:cs="宋体"/>
          <w:kern w:val="0"/>
        </w:rPr>
        <w:t>法定代表人：</w:t>
      </w:r>
      <w:r>
        <w:rPr>
          <w:rFonts w:hint="eastAsia" w:ascii="宋体" w:hAnsi="宋体" w:cs="宋体"/>
          <w:w w:val="200"/>
          <w:kern w:val="0"/>
          <w:u w:val="single"/>
        </w:rPr>
        <w:t xml:space="preserve"> </w:t>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rPr>
        <w:t>（签字）</w:t>
      </w:r>
    </w:p>
    <w:p w14:paraId="5D28D2B8">
      <w:pPr>
        <w:tabs>
          <w:tab w:val="left" w:pos="5260"/>
        </w:tabs>
        <w:autoSpaceDE w:val="0"/>
        <w:autoSpaceDN w:val="0"/>
        <w:adjustRightInd w:val="0"/>
        <w:snapToGrid w:val="0"/>
        <w:spacing w:line="360" w:lineRule="auto"/>
        <w:ind w:firstLine="1680"/>
        <w:jc w:val="left"/>
        <w:rPr>
          <w:rFonts w:hint="eastAsia" w:ascii="宋体" w:hAnsi="宋体" w:cs="宋体"/>
          <w:kern w:val="0"/>
        </w:rPr>
      </w:pPr>
      <w:r>
        <w:rPr>
          <w:rFonts w:hint="eastAsia" w:ascii="宋体" w:hAnsi="宋体" w:cs="宋体"/>
          <w:kern w:val="0"/>
        </w:rPr>
        <w:t>身份证号码：</w:t>
      </w:r>
      <w:r>
        <w:rPr>
          <w:rFonts w:hint="eastAsia" w:ascii="宋体" w:hAnsi="宋体" w:cs="宋体"/>
          <w:w w:val="200"/>
          <w:kern w:val="0"/>
          <w:u w:val="single"/>
        </w:rPr>
        <w:t xml:space="preserve">                 </w:t>
      </w:r>
      <w:r>
        <w:rPr>
          <w:rFonts w:hint="eastAsia" w:ascii="宋体" w:hAnsi="宋体" w:cs="宋体"/>
          <w:kern w:val="0"/>
          <w:u w:val="single"/>
        </w:rPr>
        <w:tab/>
      </w:r>
    </w:p>
    <w:p w14:paraId="0228CC0B">
      <w:pPr>
        <w:tabs>
          <w:tab w:val="left" w:pos="6720"/>
        </w:tabs>
        <w:autoSpaceDE w:val="0"/>
        <w:autoSpaceDN w:val="0"/>
        <w:adjustRightInd w:val="0"/>
        <w:snapToGrid w:val="0"/>
        <w:spacing w:line="360" w:lineRule="auto"/>
        <w:ind w:firstLine="1680"/>
        <w:jc w:val="left"/>
        <w:rPr>
          <w:rFonts w:hint="eastAsia" w:ascii="宋体" w:hAnsi="宋体" w:cs="宋体"/>
          <w:kern w:val="0"/>
        </w:rPr>
      </w:pPr>
      <w:r>
        <w:rPr>
          <w:rFonts w:hint="eastAsia" w:ascii="宋体" w:hAnsi="宋体" w:cs="宋体"/>
          <w:kern w:val="0"/>
        </w:rPr>
        <w:t>委托代理人：</w:t>
      </w:r>
      <w:r>
        <w:rPr>
          <w:rFonts w:hint="eastAsia" w:ascii="宋体" w:hAnsi="宋体" w:cs="宋体"/>
          <w:w w:val="200"/>
          <w:kern w:val="0"/>
          <w:u w:val="single"/>
        </w:rPr>
        <w:t xml:space="preserve"> </w:t>
      </w:r>
      <w:r>
        <w:rPr>
          <w:rFonts w:hint="eastAsia" w:ascii="宋体" w:hAnsi="宋体" w:cs="宋体"/>
          <w:kern w:val="0"/>
          <w:u w:val="single"/>
        </w:rPr>
        <w:tab/>
      </w:r>
      <w:r>
        <w:rPr>
          <w:rFonts w:hint="eastAsia" w:ascii="宋体" w:hAnsi="宋体" w:cs="宋体"/>
          <w:kern w:val="0"/>
        </w:rPr>
        <w:t>（签</w:t>
      </w:r>
      <w:r>
        <w:rPr>
          <w:rFonts w:hint="eastAsia" w:ascii="宋体" w:hAnsi="宋体" w:cs="宋体"/>
          <w:spacing w:val="-1"/>
          <w:kern w:val="0"/>
        </w:rPr>
        <w:t>字</w:t>
      </w:r>
      <w:r>
        <w:rPr>
          <w:rFonts w:hint="eastAsia" w:ascii="宋体" w:hAnsi="宋体" w:cs="宋体"/>
          <w:kern w:val="0"/>
        </w:rPr>
        <w:t>）</w:t>
      </w:r>
    </w:p>
    <w:p w14:paraId="72286463">
      <w:pPr>
        <w:tabs>
          <w:tab w:val="left" w:pos="6825"/>
        </w:tabs>
        <w:autoSpaceDE w:val="0"/>
        <w:autoSpaceDN w:val="0"/>
        <w:adjustRightInd w:val="0"/>
        <w:snapToGrid w:val="0"/>
        <w:spacing w:line="360" w:lineRule="auto"/>
        <w:ind w:firstLine="1680"/>
        <w:jc w:val="left"/>
        <w:rPr>
          <w:rFonts w:hint="eastAsia" w:ascii="宋体" w:hAnsi="宋体" w:cs="宋体"/>
          <w:kern w:val="0"/>
        </w:rPr>
      </w:pPr>
      <w:r>
        <w:rPr>
          <w:rFonts w:hint="eastAsia" w:ascii="宋体" w:hAnsi="宋体" w:cs="宋体"/>
          <w:kern w:val="0"/>
        </w:rPr>
        <w:t>身份证号码：</w:t>
      </w:r>
      <w:r>
        <w:rPr>
          <w:rFonts w:hint="eastAsia" w:ascii="宋体" w:hAnsi="宋体" w:cs="宋体"/>
          <w:w w:val="200"/>
          <w:kern w:val="0"/>
          <w:u w:val="single"/>
        </w:rPr>
        <w:t xml:space="preserve"> </w:t>
      </w:r>
      <w:r>
        <w:rPr>
          <w:rFonts w:hint="eastAsia" w:ascii="宋体" w:hAnsi="宋体" w:cs="宋体"/>
          <w:kern w:val="0"/>
          <w:u w:val="single"/>
        </w:rPr>
        <w:tab/>
      </w:r>
    </w:p>
    <w:p w14:paraId="12A0121F">
      <w:pPr>
        <w:autoSpaceDE w:val="0"/>
        <w:autoSpaceDN w:val="0"/>
        <w:adjustRightInd w:val="0"/>
        <w:snapToGrid w:val="0"/>
        <w:spacing w:line="360" w:lineRule="auto"/>
        <w:jc w:val="left"/>
        <w:rPr>
          <w:rFonts w:hint="eastAsia" w:ascii="宋体" w:hAnsi="宋体" w:cs="宋体"/>
          <w:kern w:val="0"/>
          <w:sz w:val="20"/>
          <w:szCs w:val="20"/>
        </w:rPr>
      </w:pPr>
    </w:p>
    <w:p w14:paraId="21E3E5E3">
      <w:pPr>
        <w:autoSpaceDE w:val="0"/>
        <w:autoSpaceDN w:val="0"/>
        <w:adjustRightInd w:val="0"/>
        <w:snapToGrid w:val="0"/>
        <w:spacing w:line="360" w:lineRule="auto"/>
        <w:jc w:val="left"/>
        <w:rPr>
          <w:rFonts w:hint="eastAsia" w:ascii="宋体" w:hAnsi="宋体" w:cs="宋体"/>
          <w:kern w:val="0"/>
          <w:sz w:val="20"/>
          <w:szCs w:val="20"/>
        </w:rPr>
      </w:pPr>
      <w:r>
        <w:rPr>
          <w:rFonts w:hint="eastAsia" w:ascii="宋体" w:hAnsi="宋体" w:cs="宋体"/>
          <w:kern w:val="0"/>
          <w:u w:val="single"/>
        </w:rPr>
        <mc:AlternateContent>
          <mc:Choice Requires="wps">
            <w:drawing>
              <wp:anchor distT="0" distB="0" distL="0" distR="0" simplePos="0" relativeHeight="251659264" behindDoc="0" locked="0" layoutInCell="1" allowOverlap="1">
                <wp:simplePos x="0" y="0"/>
                <wp:positionH relativeFrom="column">
                  <wp:posOffset>2565400</wp:posOffset>
                </wp:positionH>
                <wp:positionV relativeFrom="paragraph">
                  <wp:posOffset>133985</wp:posOffset>
                </wp:positionV>
                <wp:extent cx="1976755" cy="1188720"/>
                <wp:effectExtent l="4445" t="5080" r="15240" b="10160"/>
                <wp:wrapNone/>
                <wp:docPr id="1027" name="文本框 21"/>
                <wp:cNvGraphicFramePr/>
                <a:graphic xmlns:a="http://schemas.openxmlformats.org/drawingml/2006/main">
                  <a:graphicData uri="http://schemas.microsoft.com/office/word/2010/wordprocessingShape">
                    <wps:wsp>
                      <wps:cNvSpPr/>
                      <wps:spPr>
                        <a:xfrm>
                          <a:off x="0" y="0"/>
                          <a:ext cx="1976755" cy="1188720"/>
                        </a:xfrm>
                        <a:prstGeom prst="rect">
                          <a:avLst/>
                        </a:prstGeom>
                        <a:solidFill>
                          <a:srgbClr val="FFFFFF"/>
                        </a:solidFill>
                        <a:ln w="6350" cap="flat" cmpd="sng">
                          <a:solidFill>
                            <a:srgbClr val="000000"/>
                          </a:solidFill>
                          <a:prstDash val="dash"/>
                          <a:miter/>
                          <a:headEnd type="none" w="med" len="med"/>
                          <a:tailEnd type="none" w="med" len="med"/>
                        </a:ln>
                      </wps:spPr>
                      <wps:txbx>
                        <w:txbxContent>
                          <w:p w14:paraId="467A5F51">
                            <w:r>
                              <w:rPr>
                                <w:rFonts w:hint="eastAsia"/>
                              </w:rPr>
                              <w:t xml:space="preserve"> </w:t>
                            </w:r>
                          </w:p>
                          <w:p w14:paraId="5FA78821">
                            <w:pPr>
                              <w:jc w:val="center"/>
                            </w:pPr>
                            <w:r>
                              <w:rPr>
                                <w:rFonts w:hint="eastAsia"/>
                              </w:rPr>
                              <w:t>委托代理人身份证正面复印件</w:t>
                            </w:r>
                          </w:p>
                          <w:p w14:paraId="391E54CC">
                            <w:pPr>
                              <w:jc w:val="center"/>
                            </w:pPr>
                          </w:p>
                          <w:p w14:paraId="5BA7E4C8"/>
                          <w:p w14:paraId="5300C238"/>
                          <w:p w14:paraId="5F27B7F5"/>
                        </w:txbxContent>
                      </wps:txbx>
                      <wps:bodyPr vert="horz" wrap="square" anchor="t" upright="1"/>
                    </wps:wsp>
                  </a:graphicData>
                </a:graphic>
              </wp:anchor>
            </w:drawing>
          </mc:Choice>
          <mc:Fallback>
            <w:pict>
              <v:rect id="文本框 21" o:spid="_x0000_s1026" o:spt="1" style="position:absolute;left:0pt;margin-left:202pt;margin-top:10.55pt;height:93.6pt;width:155.65pt;z-index:251659264;mso-width-relative:page;mso-height-relative:page;" fillcolor="#FFFFFF" filled="t" stroked="t" coordsize="21600,21600" o:gfxdata="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kq&#10;6afXAAAACgEAAA8AAAAAAAAAAQAgAAAAIgAAAGRycy9kb3ducmV2LnhtbFBLAQIUABQAAAAIAIdO&#10;4kARCOT4JAIAAFUEAAAOAAAAAAAAAAEAIAAAACYBAABkcnMvZTJvRG9jLnhtbFBLBQYAAAAABgAG&#10;AFkBAAC8BQAAAAA=&#10;">
                <v:fill on="t" focussize="0,0"/>
                <v:stroke weight="0.5pt" color="#000000" joinstyle="miter" dashstyle="dash"/>
                <v:imagedata o:title=""/>
                <o:lock v:ext="edit" aspectratio="f"/>
                <v:textbox>
                  <w:txbxContent>
                    <w:p w14:paraId="467A5F51">
                      <w:r>
                        <w:rPr>
                          <w:rFonts w:hint="eastAsia"/>
                        </w:rPr>
                        <w:t xml:space="preserve"> </w:t>
                      </w:r>
                    </w:p>
                    <w:p w14:paraId="5FA78821">
                      <w:pPr>
                        <w:jc w:val="center"/>
                      </w:pPr>
                      <w:r>
                        <w:rPr>
                          <w:rFonts w:hint="eastAsia"/>
                        </w:rPr>
                        <w:t>委托代理人身份证正面复印件</w:t>
                      </w:r>
                    </w:p>
                    <w:p w14:paraId="391E54CC">
                      <w:pPr>
                        <w:jc w:val="center"/>
                      </w:pPr>
                    </w:p>
                    <w:p w14:paraId="5BA7E4C8"/>
                    <w:p w14:paraId="5300C238"/>
                    <w:p w14:paraId="5F27B7F5"/>
                  </w:txbxContent>
                </v:textbox>
              </v:rect>
            </w:pict>
          </mc:Fallback>
        </mc:AlternateContent>
      </w:r>
      <w:r>
        <w:rPr>
          <w:rFonts w:hint="eastAsia" w:ascii="宋体" w:hAnsi="宋体" w:cs="宋体"/>
          <w:kern w:val="0"/>
          <w:sz w:val="20"/>
          <w:szCs w:val="20"/>
        </w:rPr>
        <mc:AlternateContent>
          <mc:Choice Requires="wps">
            <w:drawing>
              <wp:anchor distT="0" distB="0" distL="0" distR="0" simplePos="0" relativeHeight="251660288" behindDoc="0" locked="0" layoutInCell="1" allowOverlap="1">
                <wp:simplePos x="0" y="0"/>
                <wp:positionH relativeFrom="column">
                  <wp:posOffset>342900</wp:posOffset>
                </wp:positionH>
                <wp:positionV relativeFrom="paragraph">
                  <wp:posOffset>133985</wp:posOffset>
                </wp:positionV>
                <wp:extent cx="1943100" cy="1188720"/>
                <wp:effectExtent l="4445" t="5080" r="18415" b="10160"/>
                <wp:wrapNone/>
                <wp:docPr id="1028" name="文本框 18"/>
                <wp:cNvGraphicFramePr/>
                <a:graphic xmlns:a="http://schemas.openxmlformats.org/drawingml/2006/main">
                  <a:graphicData uri="http://schemas.microsoft.com/office/word/2010/wordprocessingShape">
                    <wps:wsp>
                      <wps:cNvSpPr/>
                      <wps:spPr>
                        <a:xfrm>
                          <a:off x="0" y="0"/>
                          <a:ext cx="1943100" cy="1188720"/>
                        </a:xfrm>
                        <a:prstGeom prst="rect">
                          <a:avLst/>
                        </a:prstGeom>
                        <a:solidFill>
                          <a:srgbClr val="FFFFFF"/>
                        </a:solidFill>
                        <a:ln w="6350" cap="flat" cmpd="sng">
                          <a:solidFill>
                            <a:srgbClr val="000000"/>
                          </a:solidFill>
                          <a:prstDash val="dash"/>
                          <a:miter/>
                          <a:headEnd type="none" w="med" len="med"/>
                          <a:tailEnd type="none" w="med" len="med"/>
                        </a:ln>
                      </wps:spPr>
                      <wps:txbx>
                        <w:txbxContent>
                          <w:p w14:paraId="6A3C9F1A"/>
                          <w:p w14:paraId="32B09BE9">
                            <w:pPr>
                              <w:jc w:val="center"/>
                            </w:pPr>
                            <w:r>
                              <w:rPr>
                                <w:rFonts w:hint="eastAsia"/>
                              </w:rPr>
                              <w:t>法定代表人身份证正面复印件</w:t>
                            </w:r>
                          </w:p>
                          <w:p w14:paraId="3C5A0FF6"/>
                          <w:p w14:paraId="662333CC"/>
                          <w:p w14:paraId="6F86F45F"/>
                          <w:p w14:paraId="2759C37E"/>
                        </w:txbxContent>
                      </wps:txbx>
                      <wps:bodyPr wrap="square" upright="1"/>
                    </wps:wsp>
                  </a:graphicData>
                </a:graphic>
              </wp:anchor>
            </w:drawing>
          </mc:Choice>
          <mc:Fallback>
            <w:pict>
              <v:rect id="文本框 18" o:spid="_x0000_s1026" o:spt="1" style="position:absolute;left:0pt;margin-left:27pt;margin-top:10.55pt;height:93.6pt;width:153pt;z-index:251660288;mso-width-relative:page;mso-height-relative:page;" fillcolor="#FFFFFF" filled="t" stroked="t" coordsize="21600,21600" o:gfxdata="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PpCL/WAAAACQEAAA8AAAAAAAAA&#10;AQAgAAAAIgAAAGRycy9kb3ducmV2LnhtbFBLAQIUABQAAAAIAIdO4kCsTAKWEwIAAD4EAAAOAAAA&#10;AAAAAAEAIAAAACUBAABkcnMvZTJvRG9jLnhtbFBLBQYAAAAABgAGAFkBAACqBQAAAAA=&#10;">
                <v:fill on="t" focussize="0,0"/>
                <v:stroke weight="0.5pt" color="#000000" joinstyle="miter" dashstyle="dash"/>
                <v:imagedata o:title=""/>
                <o:lock v:ext="edit" aspectratio="f"/>
                <v:textbox>
                  <w:txbxContent>
                    <w:p w14:paraId="6A3C9F1A"/>
                    <w:p w14:paraId="32B09BE9">
                      <w:pPr>
                        <w:jc w:val="center"/>
                      </w:pPr>
                      <w:r>
                        <w:rPr>
                          <w:rFonts w:hint="eastAsia"/>
                        </w:rPr>
                        <w:t>法定代表人身份证正面复印件</w:t>
                      </w:r>
                    </w:p>
                    <w:p w14:paraId="3C5A0FF6"/>
                    <w:p w14:paraId="662333CC"/>
                    <w:p w14:paraId="6F86F45F"/>
                    <w:p w14:paraId="2759C37E"/>
                  </w:txbxContent>
                </v:textbox>
              </v:rect>
            </w:pict>
          </mc:Fallback>
        </mc:AlternateContent>
      </w:r>
    </w:p>
    <w:p w14:paraId="3EF6F8E7">
      <w:pPr>
        <w:autoSpaceDE w:val="0"/>
        <w:autoSpaceDN w:val="0"/>
        <w:adjustRightInd w:val="0"/>
        <w:snapToGrid w:val="0"/>
        <w:spacing w:line="360" w:lineRule="auto"/>
        <w:jc w:val="left"/>
        <w:rPr>
          <w:rFonts w:hint="eastAsia" w:ascii="宋体" w:hAnsi="宋体" w:cs="宋体"/>
          <w:kern w:val="0"/>
          <w:sz w:val="20"/>
          <w:szCs w:val="20"/>
        </w:rPr>
      </w:pPr>
    </w:p>
    <w:p w14:paraId="23B77BAE">
      <w:pPr>
        <w:autoSpaceDE w:val="0"/>
        <w:autoSpaceDN w:val="0"/>
        <w:adjustRightInd w:val="0"/>
        <w:snapToGrid w:val="0"/>
        <w:spacing w:line="360" w:lineRule="auto"/>
        <w:jc w:val="left"/>
        <w:rPr>
          <w:rFonts w:hint="eastAsia" w:ascii="宋体" w:hAnsi="宋体" w:cs="宋体"/>
          <w:kern w:val="0"/>
          <w:sz w:val="28"/>
          <w:szCs w:val="28"/>
        </w:rPr>
      </w:pPr>
    </w:p>
    <w:p w14:paraId="511079CF">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w w:val="200"/>
          <w:kern w:val="0"/>
          <w:u w:val="single"/>
        </w:rPr>
      </w:pPr>
    </w:p>
    <w:p w14:paraId="001DCB80">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w w:val="200"/>
          <w:kern w:val="0"/>
          <w:u w:val="single"/>
        </w:rPr>
      </w:pPr>
    </w:p>
    <w:p w14:paraId="1214A40D">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w w:val="200"/>
          <w:kern w:val="0"/>
          <w:u w:val="single"/>
        </w:rPr>
      </w:pPr>
      <w:r>
        <w:rPr>
          <w:rFonts w:hint="eastAsia" w:ascii="宋体" w:hAnsi="宋体" w:cs="宋体"/>
          <w:kern w:val="0"/>
          <w:sz w:val="20"/>
          <w:szCs w:val="20"/>
        </w:rPr>
        <mc:AlternateContent>
          <mc:Choice Requires="wps">
            <w:drawing>
              <wp:anchor distT="0" distB="0" distL="0" distR="0" simplePos="0" relativeHeight="251660288" behindDoc="0" locked="0" layoutInCell="1" allowOverlap="1">
                <wp:simplePos x="0" y="0"/>
                <wp:positionH relativeFrom="column">
                  <wp:posOffset>389890</wp:posOffset>
                </wp:positionH>
                <wp:positionV relativeFrom="paragraph">
                  <wp:posOffset>250825</wp:posOffset>
                </wp:positionV>
                <wp:extent cx="1943100" cy="1188720"/>
                <wp:effectExtent l="4445" t="5080" r="18415" b="10160"/>
                <wp:wrapNone/>
                <wp:docPr id="1029" name="文本框 18"/>
                <wp:cNvGraphicFramePr/>
                <a:graphic xmlns:a="http://schemas.openxmlformats.org/drawingml/2006/main">
                  <a:graphicData uri="http://schemas.microsoft.com/office/word/2010/wordprocessingShape">
                    <wps:wsp>
                      <wps:cNvSpPr/>
                      <wps:spPr>
                        <a:xfrm>
                          <a:off x="0" y="0"/>
                          <a:ext cx="1943100" cy="1188720"/>
                        </a:xfrm>
                        <a:prstGeom prst="rect">
                          <a:avLst/>
                        </a:prstGeom>
                        <a:solidFill>
                          <a:srgbClr val="FFFFFF"/>
                        </a:solidFill>
                        <a:ln w="6350" cap="flat" cmpd="sng">
                          <a:solidFill>
                            <a:srgbClr val="000000"/>
                          </a:solidFill>
                          <a:prstDash val="dash"/>
                          <a:miter/>
                          <a:headEnd type="none" w="med" len="med"/>
                          <a:tailEnd type="none" w="med" len="med"/>
                        </a:ln>
                      </wps:spPr>
                      <wps:txbx>
                        <w:txbxContent>
                          <w:p w14:paraId="5293A612"/>
                          <w:p w14:paraId="0556D1FD">
                            <w:pPr>
                              <w:jc w:val="center"/>
                            </w:pPr>
                            <w:r>
                              <w:rPr>
                                <w:rFonts w:hint="eastAsia"/>
                              </w:rPr>
                              <w:t>法定代表人身份证背面复印件</w:t>
                            </w:r>
                          </w:p>
                          <w:p w14:paraId="6EC29B64"/>
                          <w:p w14:paraId="3AD04C48"/>
                          <w:p w14:paraId="640B30DC"/>
                          <w:p w14:paraId="1C5E456F"/>
                        </w:txbxContent>
                      </wps:txbx>
                      <wps:bodyPr wrap="square" upright="1"/>
                    </wps:wsp>
                  </a:graphicData>
                </a:graphic>
              </wp:anchor>
            </w:drawing>
          </mc:Choice>
          <mc:Fallback>
            <w:pict>
              <v:rect id="文本框 18" o:spid="_x0000_s1026" o:spt="1" style="position:absolute;left:0pt;margin-left:30.7pt;margin-top:19.75pt;height:93.6pt;width:153pt;z-index:251660288;mso-width-relative:page;mso-height-relative:page;" fillcolor="#FFFFFF" filled="t" stroked="t" coordsize="21600,21600" o:gfxdata="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LGIy9cAAAAJAQAADwAAAAAA&#10;AAABACAAAAAiAAAAZHJzL2Rvd25yZXYueG1sUEsBAhQAFAAAAAgAh07iQGBLIuEUAgAAPgQAAA4A&#10;AAAAAAAAAQAgAAAAJgEAAGRycy9lMm9Eb2MueG1sUEsFBgAAAAAGAAYAWQEAAKwFAAAAAA==&#10;">
                <v:fill on="t" focussize="0,0"/>
                <v:stroke weight="0.5pt" color="#000000" joinstyle="miter" dashstyle="dash"/>
                <v:imagedata o:title=""/>
                <o:lock v:ext="edit" aspectratio="f"/>
                <v:textbox>
                  <w:txbxContent>
                    <w:p w14:paraId="5293A612"/>
                    <w:p w14:paraId="0556D1FD">
                      <w:pPr>
                        <w:jc w:val="center"/>
                      </w:pPr>
                      <w:r>
                        <w:rPr>
                          <w:rFonts w:hint="eastAsia"/>
                        </w:rPr>
                        <w:t>法定代表人身份证背面复印件</w:t>
                      </w:r>
                    </w:p>
                    <w:p w14:paraId="6EC29B64"/>
                    <w:p w14:paraId="3AD04C48"/>
                    <w:p w14:paraId="640B30DC"/>
                    <w:p w14:paraId="1C5E456F"/>
                  </w:txbxContent>
                </v:textbox>
              </v:rect>
            </w:pict>
          </mc:Fallback>
        </mc:AlternateContent>
      </w:r>
    </w:p>
    <w:p w14:paraId="3CE64331">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w w:val="200"/>
          <w:kern w:val="0"/>
          <w:u w:val="single"/>
        </w:rPr>
      </w:pPr>
      <w:r>
        <w:rPr>
          <w:rFonts w:hint="eastAsia" w:ascii="宋体" w:hAnsi="宋体" w:cs="宋体"/>
          <w:kern w:val="0"/>
          <w:sz w:val="20"/>
          <w:szCs w:val="20"/>
        </w:rPr>
        <mc:AlternateContent>
          <mc:Choice Requires="wps">
            <w:drawing>
              <wp:anchor distT="0" distB="0" distL="0" distR="0" simplePos="0" relativeHeight="251661312" behindDoc="0" locked="0" layoutInCell="1" allowOverlap="1">
                <wp:simplePos x="0" y="0"/>
                <wp:positionH relativeFrom="column">
                  <wp:posOffset>2527300</wp:posOffset>
                </wp:positionH>
                <wp:positionV relativeFrom="paragraph">
                  <wp:posOffset>1270</wp:posOffset>
                </wp:positionV>
                <wp:extent cx="1995805" cy="1188720"/>
                <wp:effectExtent l="5080" t="5080" r="10795" b="10160"/>
                <wp:wrapNone/>
                <wp:docPr id="1030" name="文本框 18"/>
                <wp:cNvGraphicFramePr/>
                <a:graphic xmlns:a="http://schemas.openxmlformats.org/drawingml/2006/main">
                  <a:graphicData uri="http://schemas.microsoft.com/office/word/2010/wordprocessingShape">
                    <wps:wsp>
                      <wps:cNvSpPr/>
                      <wps:spPr>
                        <a:xfrm>
                          <a:off x="0" y="0"/>
                          <a:ext cx="1995805" cy="1188720"/>
                        </a:xfrm>
                        <a:prstGeom prst="rect">
                          <a:avLst/>
                        </a:prstGeom>
                        <a:solidFill>
                          <a:srgbClr val="FFFFFF"/>
                        </a:solidFill>
                        <a:ln w="6350" cap="flat" cmpd="sng">
                          <a:solidFill>
                            <a:srgbClr val="000000"/>
                          </a:solidFill>
                          <a:prstDash val="dash"/>
                          <a:miter/>
                          <a:headEnd type="none" w="med" len="med"/>
                          <a:tailEnd type="none" w="med" len="med"/>
                        </a:ln>
                      </wps:spPr>
                      <wps:txbx>
                        <w:txbxContent>
                          <w:p w14:paraId="2D5A6AA0"/>
                          <w:p w14:paraId="00B93659">
                            <w:pPr>
                              <w:jc w:val="center"/>
                            </w:pPr>
                            <w:r>
                              <w:rPr>
                                <w:rFonts w:hint="eastAsia"/>
                              </w:rPr>
                              <w:t>委托代理人身份证背面复印件</w:t>
                            </w:r>
                          </w:p>
                          <w:p w14:paraId="5C66ACFA"/>
                          <w:p w14:paraId="6A06D8F2"/>
                          <w:p w14:paraId="23BDB753"/>
                          <w:p w14:paraId="402EA4D9"/>
                        </w:txbxContent>
                      </wps:txbx>
                      <wps:bodyPr vert="horz" wrap="square" anchor="t" upright="1"/>
                    </wps:wsp>
                  </a:graphicData>
                </a:graphic>
              </wp:anchor>
            </w:drawing>
          </mc:Choice>
          <mc:Fallback>
            <w:pict>
              <v:rect id="文本框 18" o:spid="_x0000_s1026" o:spt="1" style="position:absolute;left:0pt;margin-left:199pt;margin-top:0.1pt;height:93.6pt;width:157.15pt;z-index:251661312;mso-width-relative:page;mso-height-relative:page;" fillcolor="#FFFFFF" filled="t" stroked="t" coordsize="21600,21600" o:gfxdata="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wN&#10;X0fWAAAACAEAAA8AAAAAAAAAAQAgAAAAIgAAAGRycy9kb3ducmV2LnhtbFBLAQIUABQAAAAIAIdO&#10;4kDWTv0sJQIAAFUEAAAOAAAAAAAAAAEAIAAAACUBAABkcnMvZTJvRG9jLnhtbFBLBQYAAAAABgAG&#10;AFkBAAC8BQAAAAA=&#10;">
                <v:fill on="t" focussize="0,0"/>
                <v:stroke weight="0.5pt" color="#000000" joinstyle="miter" dashstyle="dash"/>
                <v:imagedata o:title=""/>
                <o:lock v:ext="edit" aspectratio="f"/>
                <v:textbox>
                  <w:txbxContent>
                    <w:p w14:paraId="2D5A6AA0"/>
                    <w:p w14:paraId="00B93659">
                      <w:pPr>
                        <w:jc w:val="center"/>
                      </w:pPr>
                      <w:r>
                        <w:rPr>
                          <w:rFonts w:hint="eastAsia"/>
                        </w:rPr>
                        <w:t>委托代理人身份证背面复印件</w:t>
                      </w:r>
                    </w:p>
                    <w:p w14:paraId="5C66ACFA"/>
                    <w:p w14:paraId="6A06D8F2"/>
                    <w:p w14:paraId="23BDB753"/>
                    <w:p w14:paraId="402EA4D9"/>
                  </w:txbxContent>
                </v:textbox>
              </v:rect>
            </w:pict>
          </mc:Fallback>
        </mc:AlternateContent>
      </w:r>
    </w:p>
    <w:p w14:paraId="68AC870C">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w w:val="200"/>
          <w:kern w:val="0"/>
          <w:u w:val="single"/>
        </w:rPr>
      </w:pPr>
    </w:p>
    <w:p w14:paraId="3DC5B804">
      <w:pPr>
        <w:pStyle w:val="16"/>
        <w:rPr>
          <w:rFonts w:hint="eastAsia" w:ascii="宋体" w:hAnsi="宋体" w:cs="宋体"/>
          <w:w w:val="200"/>
          <w:u w:val="single"/>
        </w:rPr>
      </w:pPr>
    </w:p>
    <w:p w14:paraId="6531576E">
      <w:pPr>
        <w:pStyle w:val="94"/>
        <w:rPr>
          <w:rFonts w:hint="eastAsia" w:ascii="宋体" w:hAnsi="宋体" w:cs="宋体"/>
          <w:w w:val="200"/>
          <w:u w:val="single"/>
        </w:rPr>
      </w:pPr>
    </w:p>
    <w:p w14:paraId="30F3F8F8">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rPr>
      </w:pPr>
      <w:r>
        <w:rPr>
          <w:rFonts w:hint="eastAsia" w:ascii="宋体" w:hAnsi="宋体" w:cs="宋体"/>
          <w:w w:val="200"/>
          <w:kern w:val="0"/>
          <w:u w:val="single"/>
        </w:rPr>
        <w:t xml:space="preserve">     </w:t>
      </w:r>
      <w:r>
        <w:rPr>
          <w:rFonts w:hint="eastAsia" w:ascii="宋体" w:hAnsi="宋体" w:cs="宋体"/>
          <w:kern w:val="0"/>
          <w:u w:val="single"/>
        </w:rPr>
        <w:tab/>
      </w:r>
      <w:r>
        <w:rPr>
          <w:rFonts w:hint="eastAsia" w:ascii="宋体" w:hAnsi="宋体" w:cs="宋体"/>
          <w:kern w:val="0"/>
        </w:rPr>
        <w:t>年</w:t>
      </w:r>
      <w:r>
        <w:rPr>
          <w:rFonts w:hint="eastAsia" w:ascii="宋体" w:hAnsi="宋体" w:cs="宋体"/>
          <w:w w:val="200"/>
          <w:kern w:val="0"/>
          <w:u w:val="single"/>
        </w:rPr>
        <w:t xml:space="preserve">  </w:t>
      </w:r>
      <w:r>
        <w:rPr>
          <w:rFonts w:hint="eastAsia" w:ascii="宋体" w:hAnsi="宋体" w:cs="宋体"/>
          <w:kern w:val="0"/>
          <w:u w:val="single"/>
        </w:rPr>
        <w:tab/>
      </w:r>
      <w:r>
        <w:rPr>
          <w:rFonts w:hint="eastAsia" w:ascii="宋体" w:hAnsi="宋体" w:cs="宋体"/>
          <w:kern w:val="0"/>
        </w:rPr>
        <w:t>月</w:t>
      </w:r>
      <w:r>
        <w:rPr>
          <w:rFonts w:hint="eastAsia" w:ascii="宋体" w:hAnsi="宋体" w:cs="宋体"/>
          <w:w w:val="200"/>
          <w:kern w:val="0"/>
          <w:u w:val="single"/>
        </w:rPr>
        <w:t xml:space="preserve"> </w:t>
      </w:r>
      <w:r>
        <w:rPr>
          <w:rFonts w:hint="eastAsia" w:ascii="宋体" w:hAnsi="宋体" w:cs="宋体"/>
          <w:kern w:val="0"/>
          <w:u w:val="single"/>
        </w:rPr>
        <w:tab/>
      </w:r>
      <w:r>
        <w:rPr>
          <w:rFonts w:hint="eastAsia" w:ascii="宋体" w:hAnsi="宋体" w:cs="宋体"/>
          <w:kern w:val="0"/>
        </w:rPr>
        <w:t>日</w:t>
      </w:r>
    </w:p>
    <w:p w14:paraId="1AA30C0D">
      <w:pPr>
        <w:autoSpaceDE w:val="0"/>
        <w:autoSpaceDN w:val="0"/>
        <w:adjustRightInd w:val="0"/>
        <w:snapToGrid w:val="0"/>
        <w:spacing w:line="360" w:lineRule="auto"/>
        <w:jc w:val="left"/>
        <w:rPr>
          <w:rFonts w:hint="eastAsia" w:ascii="宋体" w:hAnsi="宋体" w:cs="宋体"/>
          <w:kern w:val="0"/>
        </w:rPr>
      </w:pPr>
    </w:p>
    <w:p w14:paraId="7C120CE9">
      <w:pPr>
        <w:autoSpaceDE w:val="0"/>
        <w:autoSpaceDN w:val="0"/>
        <w:adjustRightInd w:val="0"/>
        <w:snapToGrid w:val="0"/>
        <w:spacing w:line="360" w:lineRule="auto"/>
        <w:jc w:val="left"/>
        <w:rPr>
          <w:rFonts w:hint="eastAsia" w:ascii="宋体" w:hAnsi="宋体" w:cs="宋体"/>
          <w:kern w:val="0"/>
        </w:rPr>
      </w:pPr>
      <w:r>
        <w:rPr>
          <w:rFonts w:hint="eastAsia" w:ascii="宋体" w:hAnsi="宋体" w:cs="宋体"/>
          <w:kern w:val="0"/>
        </w:rPr>
        <w:t>注：1、法定代表人参加比选投标活动并签署文件的不需要授权委托书，只需提供法定代表人身份复印件；非法定代表人参加比选投标活动及签署文件的除提供法定代表人身份证明外还须提供授权委托书。</w:t>
      </w:r>
    </w:p>
    <w:p w14:paraId="5B863DB4">
      <w:pPr>
        <w:tabs>
          <w:tab w:val="left" w:pos="5760"/>
        </w:tabs>
        <w:autoSpaceDE w:val="0"/>
        <w:autoSpaceDN w:val="0"/>
        <w:adjustRightInd w:val="0"/>
        <w:spacing w:line="300" w:lineRule="exact"/>
        <w:ind w:left="820" w:leftChars="253" w:right="11" w:hanging="289" w:hangingChars="138"/>
        <w:rPr>
          <w:rFonts w:hint="eastAsia" w:ascii="宋体" w:hAnsi="宋体" w:cs="宋体"/>
          <w:kern w:val="0"/>
        </w:rPr>
      </w:pPr>
      <w:r>
        <w:rPr>
          <w:rFonts w:hint="eastAsia" w:ascii="宋体" w:hAnsi="宋体" w:cs="宋体"/>
          <w:kern w:val="0"/>
        </w:rPr>
        <w:t>2、法定代表人身份证复印件及授权委托书原件装入比选申请文件一并递交。另外须准备一份在比选开标现场出具。</w:t>
      </w:r>
    </w:p>
    <w:p w14:paraId="47FA145B">
      <w:pPr>
        <w:pStyle w:val="2"/>
        <w:jc w:val="center"/>
        <w:rPr>
          <w:rFonts w:hint="eastAsia" w:ascii="宋体" w:hAnsi="宋体" w:eastAsia="宋体" w:cs="宋体"/>
          <w:sz w:val="28"/>
        </w:rPr>
      </w:pPr>
      <w:r>
        <w:rPr>
          <w:rFonts w:hint="eastAsia" w:ascii="宋体" w:hAnsi="宋体" w:eastAsia="宋体" w:cs="宋体"/>
          <w:szCs w:val="21"/>
        </w:rPr>
        <w:br w:type="page"/>
      </w:r>
      <w:bookmarkStart w:id="1127" w:name="_Toc22990078"/>
      <w:bookmarkStart w:id="1128" w:name="_Toc17888"/>
      <w:bookmarkStart w:id="1129" w:name="_Toc464654572"/>
      <w:bookmarkStart w:id="1130" w:name="_Toc20229"/>
      <w:bookmarkStart w:id="1131" w:name="_Toc20876"/>
      <w:bookmarkStart w:id="1132" w:name="_Toc433285262"/>
      <w:r>
        <w:rPr>
          <w:rFonts w:hint="eastAsia" w:ascii="宋体" w:hAnsi="宋体" w:eastAsia="宋体" w:cs="宋体"/>
          <w:sz w:val="28"/>
        </w:rPr>
        <w:t>（三）比选申请人基本情况表</w:t>
      </w:r>
      <w:bookmarkEnd w:id="1127"/>
      <w:bookmarkEnd w:id="1128"/>
      <w:bookmarkEnd w:id="1129"/>
      <w:bookmarkEnd w:id="1130"/>
      <w:bookmarkEnd w:id="1131"/>
      <w:bookmarkEnd w:id="1132"/>
    </w:p>
    <w:tbl>
      <w:tblPr>
        <w:tblStyle w:val="46"/>
        <w:tblpPr w:leftFromText="180" w:rightFromText="180" w:vertAnchor="page" w:horzAnchor="page" w:tblpX="1322" w:tblpY="2306"/>
        <w:tblW w:w="0" w:type="auto"/>
        <w:tblInd w:w="0"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1774"/>
      </w:tblGrid>
      <w:tr w14:paraId="59BB220B">
        <w:tblPrEx>
          <w:tblCellMar>
            <w:top w:w="0" w:type="dxa"/>
            <w:left w:w="0" w:type="dxa"/>
            <w:bottom w:w="0" w:type="dxa"/>
            <w:right w:w="0" w:type="dxa"/>
          </w:tblCellMar>
        </w:tblPrEx>
        <w:trPr>
          <w:trHeight w:val="789"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5FEBCB76">
            <w:pPr>
              <w:autoSpaceDE w:val="0"/>
              <w:autoSpaceDN w:val="0"/>
              <w:adjustRightInd w:val="0"/>
              <w:spacing w:line="360" w:lineRule="auto"/>
              <w:jc w:val="center"/>
              <w:rPr>
                <w:rFonts w:hint="eastAsia" w:ascii="宋体" w:hAnsi="宋体" w:cs="宋体"/>
              </w:rPr>
            </w:pPr>
            <w:r>
              <w:rPr>
                <w:rFonts w:hint="eastAsia" w:ascii="宋体" w:hAnsi="宋体" w:cs="宋体"/>
              </w:rPr>
              <w:t>比选申请人名称</w:t>
            </w:r>
          </w:p>
        </w:tc>
        <w:tc>
          <w:tcPr>
            <w:tcW w:w="7622" w:type="dxa"/>
            <w:gridSpan w:val="9"/>
            <w:tcBorders>
              <w:top w:val="single" w:color="000000" w:sz="4" w:space="0"/>
              <w:left w:val="single" w:color="000000" w:sz="4" w:space="0"/>
              <w:bottom w:val="single" w:color="000000" w:sz="4" w:space="0"/>
              <w:right w:val="single" w:color="000000" w:sz="4" w:space="0"/>
            </w:tcBorders>
            <w:vAlign w:val="center"/>
          </w:tcPr>
          <w:p w14:paraId="73E956FD">
            <w:pPr>
              <w:autoSpaceDE w:val="0"/>
              <w:autoSpaceDN w:val="0"/>
              <w:adjustRightInd w:val="0"/>
              <w:spacing w:line="360" w:lineRule="auto"/>
              <w:jc w:val="center"/>
              <w:rPr>
                <w:rFonts w:hint="eastAsia" w:ascii="宋体" w:hAnsi="宋体" w:cs="宋体"/>
              </w:rPr>
            </w:pPr>
          </w:p>
        </w:tc>
      </w:tr>
      <w:tr w14:paraId="033EBAF4">
        <w:tblPrEx>
          <w:tblCellMar>
            <w:top w:w="0" w:type="dxa"/>
            <w:left w:w="0" w:type="dxa"/>
            <w:bottom w:w="0" w:type="dxa"/>
            <w:right w:w="0" w:type="dxa"/>
          </w:tblCellMar>
        </w:tblPrEx>
        <w:trPr>
          <w:trHeight w:val="644"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7B15DCD4">
            <w:pPr>
              <w:autoSpaceDE w:val="0"/>
              <w:autoSpaceDN w:val="0"/>
              <w:adjustRightInd w:val="0"/>
              <w:spacing w:line="360" w:lineRule="auto"/>
              <w:jc w:val="center"/>
              <w:rPr>
                <w:rFonts w:hint="eastAsia" w:ascii="宋体" w:hAnsi="宋体" w:cs="宋体"/>
              </w:rPr>
            </w:pPr>
            <w:r>
              <w:rPr>
                <w:rFonts w:hint="eastAsia" w:ascii="宋体" w:hAnsi="宋体" w:cs="宋体"/>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14:paraId="10C5B33F">
            <w:pPr>
              <w:autoSpaceDE w:val="0"/>
              <w:autoSpaceDN w:val="0"/>
              <w:adjustRightInd w:val="0"/>
              <w:spacing w:line="360" w:lineRule="auto"/>
              <w:jc w:val="center"/>
              <w:rPr>
                <w:rFonts w:hint="eastAsia" w:ascii="宋体" w:hAnsi="宋体" w:cs="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0B7A1FAD">
            <w:pPr>
              <w:autoSpaceDE w:val="0"/>
              <w:autoSpaceDN w:val="0"/>
              <w:adjustRightInd w:val="0"/>
              <w:spacing w:line="360" w:lineRule="auto"/>
              <w:jc w:val="center"/>
              <w:rPr>
                <w:rFonts w:hint="eastAsia" w:ascii="宋体" w:hAnsi="宋体" w:cs="宋体"/>
              </w:rPr>
            </w:pPr>
            <w:r>
              <w:rPr>
                <w:rFonts w:hint="eastAsia" w:ascii="宋体" w:hAnsi="宋体" w:cs="宋体"/>
              </w:rPr>
              <w:t>邮政编码</w:t>
            </w:r>
          </w:p>
        </w:tc>
        <w:tc>
          <w:tcPr>
            <w:tcW w:w="3124" w:type="dxa"/>
            <w:gridSpan w:val="3"/>
            <w:tcBorders>
              <w:top w:val="single" w:color="000000" w:sz="4" w:space="0"/>
              <w:left w:val="single" w:color="000000" w:sz="4" w:space="0"/>
              <w:bottom w:val="single" w:color="000000" w:sz="4" w:space="0"/>
              <w:right w:val="single" w:color="000000" w:sz="4" w:space="0"/>
            </w:tcBorders>
            <w:vAlign w:val="center"/>
          </w:tcPr>
          <w:p w14:paraId="671DF4A1">
            <w:pPr>
              <w:autoSpaceDE w:val="0"/>
              <w:autoSpaceDN w:val="0"/>
              <w:adjustRightInd w:val="0"/>
              <w:spacing w:line="360" w:lineRule="auto"/>
              <w:jc w:val="center"/>
              <w:rPr>
                <w:rFonts w:hint="eastAsia" w:ascii="宋体" w:hAnsi="宋体" w:cs="宋体"/>
              </w:rPr>
            </w:pPr>
          </w:p>
        </w:tc>
      </w:tr>
      <w:tr w14:paraId="1AFA1198">
        <w:tblPrEx>
          <w:tblCellMar>
            <w:top w:w="0" w:type="dxa"/>
            <w:left w:w="0" w:type="dxa"/>
            <w:bottom w:w="0" w:type="dxa"/>
            <w:right w:w="0" w:type="dxa"/>
          </w:tblCellMar>
        </w:tblPrEx>
        <w:trPr>
          <w:cantSplit/>
          <w:trHeight w:val="625" w:hRule="exac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14:paraId="1896DCCA">
            <w:pPr>
              <w:autoSpaceDE w:val="0"/>
              <w:autoSpaceDN w:val="0"/>
              <w:adjustRightInd w:val="0"/>
              <w:spacing w:line="360" w:lineRule="auto"/>
              <w:jc w:val="center"/>
              <w:rPr>
                <w:rFonts w:hint="eastAsia" w:ascii="宋体" w:hAnsi="宋体" w:cs="宋体"/>
              </w:rPr>
            </w:pPr>
            <w:r>
              <w:rPr>
                <w:rFonts w:hint="eastAsia" w:ascii="宋体" w:hAnsi="宋体" w:cs="宋体"/>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14:paraId="6EA0E30F">
            <w:pPr>
              <w:autoSpaceDE w:val="0"/>
              <w:autoSpaceDN w:val="0"/>
              <w:adjustRightInd w:val="0"/>
              <w:spacing w:line="360" w:lineRule="auto"/>
              <w:jc w:val="center"/>
              <w:rPr>
                <w:rFonts w:hint="eastAsia" w:ascii="宋体" w:hAnsi="宋体" w:cs="宋体"/>
              </w:rPr>
            </w:pPr>
            <w:r>
              <w:rPr>
                <w:rFonts w:hint="eastAsia" w:ascii="宋体" w:hAnsi="宋体" w:cs="宋体"/>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14:paraId="2D33B7B4">
            <w:pPr>
              <w:autoSpaceDE w:val="0"/>
              <w:autoSpaceDN w:val="0"/>
              <w:adjustRightInd w:val="0"/>
              <w:spacing w:line="360" w:lineRule="auto"/>
              <w:jc w:val="center"/>
              <w:rPr>
                <w:rFonts w:hint="eastAsia" w:ascii="宋体" w:hAnsi="宋体" w:cs="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341B349B">
            <w:pPr>
              <w:autoSpaceDE w:val="0"/>
              <w:autoSpaceDN w:val="0"/>
              <w:adjustRightInd w:val="0"/>
              <w:spacing w:line="360" w:lineRule="auto"/>
              <w:jc w:val="center"/>
              <w:rPr>
                <w:rFonts w:hint="eastAsia" w:ascii="宋体" w:hAnsi="宋体" w:cs="宋体"/>
              </w:rPr>
            </w:pPr>
            <w:r>
              <w:rPr>
                <w:rFonts w:hint="eastAsia" w:ascii="宋体" w:hAnsi="宋体" w:cs="宋体"/>
              </w:rPr>
              <w:t xml:space="preserve">电 </w:t>
            </w:r>
            <w:r>
              <w:rPr>
                <w:rFonts w:hint="eastAsia" w:ascii="宋体" w:hAnsi="宋体" w:cs="宋体"/>
                <w:spacing w:val="1"/>
              </w:rPr>
              <w:t xml:space="preserve"> </w:t>
            </w:r>
            <w:r>
              <w:rPr>
                <w:rFonts w:hint="eastAsia" w:ascii="宋体" w:hAnsi="宋体" w:cs="宋体"/>
              </w:rPr>
              <w:t>话</w:t>
            </w:r>
          </w:p>
        </w:tc>
        <w:tc>
          <w:tcPr>
            <w:tcW w:w="3124" w:type="dxa"/>
            <w:gridSpan w:val="3"/>
            <w:tcBorders>
              <w:top w:val="single" w:color="000000" w:sz="4" w:space="0"/>
              <w:left w:val="single" w:color="000000" w:sz="4" w:space="0"/>
              <w:bottom w:val="single" w:color="000000" w:sz="4" w:space="0"/>
              <w:right w:val="single" w:color="000000" w:sz="4" w:space="0"/>
            </w:tcBorders>
            <w:vAlign w:val="center"/>
          </w:tcPr>
          <w:p w14:paraId="12BDEB57">
            <w:pPr>
              <w:autoSpaceDE w:val="0"/>
              <w:autoSpaceDN w:val="0"/>
              <w:adjustRightInd w:val="0"/>
              <w:spacing w:line="360" w:lineRule="auto"/>
              <w:jc w:val="center"/>
              <w:rPr>
                <w:rFonts w:hint="eastAsia" w:ascii="宋体" w:hAnsi="宋体" w:cs="宋体"/>
              </w:rPr>
            </w:pPr>
          </w:p>
        </w:tc>
      </w:tr>
      <w:tr w14:paraId="08A0C0AD">
        <w:tblPrEx>
          <w:tblCellMar>
            <w:top w:w="0" w:type="dxa"/>
            <w:left w:w="0" w:type="dxa"/>
            <w:bottom w:w="0" w:type="dxa"/>
            <w:right w:w="0" w:type="dxa"/>
          </w:tblCellMar>
        </w:tblPrEx>
        <w:trPr>
          <w:cantSplit/>
          <w:trHeight w:val="618" w:hRule="exac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14:paraId="0681B569">
            <w:pPr>
              <w:autoSpaceDE w:val="0"/>
              <w:autoSpaceDN w:val="0"/>
              <w:adjustRightInd w:val="0"/>
              <w:spacing w:line="360" w:lineRule="auto"/>
              <w:jc w:val="center"/>
              <w:rPr>
                <w:rFonts w:hint="eastAsia" w:ascii="宋体" w:hAnsi="宋体" w:cs="宋体"/>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391931AC">
            <w:pPr>
              <w:tabs>
                <w:tab w:val="left" w:pos="540"/>
              </w:tabs>
              <w:autoSpaceDE w:val="0"/>
              <w:autoSpaceDN w:val="0"/>
              <w:adjustRightInd w:val="0"/>
              <w:spacing w:line="360" w:lineRule="auto"/>
              <w:jc w:val="center"/>
              <w:rPr>
                <w:rFonts w:hint="eastAsia" w:ascii="宋体" w:hAnsi="宋体" w:cs="宋体"/>
              </w:rPr>
            </w:pPr>
            <w:r>
              <w:rPr>
                <w:rFonts w:hint="eastAsia" w:ascii="宋体" w:hAnsi="宋体" w:cs="宋体"/>
              </w:rPr>
              <w:t>传</w:t>
            </w:r>
            <w:r>
              <w:rPr>
                <w:rFonts w:hint="eastAsia" w:ascii="宋体" w:hAnsi="宋体" w:cs="宋体"/>
              </w:rPr>
              <w:tab/>
            </w:r>
            <w:r>
              <w:rPr>
                <w:rFonts w:hint="eastAsia" w:ascii="宋体" w:hAnsi="宋体" w:cs="宋体"/>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14:paraId="169353A0">
            <w:pPr>
              <w:autoSpaceDE w:val="0"/>
              <w:autoSpaceDN w:val="0"/>
              <w:adjustRightInd w:val="0"/>
              <w:spacing w:line="360" w:lineRule="auto"/>
              <w:jc w:val="center"/>
              <w:rPr>
                <w:rFonts w:hint="eastAsia" w:ascii="宋体" w:hAnsi="宋体" w:cs="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2CFBE72F">
            <w:pPr>
              <w:autoSpaceDE w:val="0"/>
              <w:autoSpaceDN w:val="0"/>
              <w:adjustRightInd w:val="0"/>
              <w:spacing w:line="360" w:lineRule="auto"/>
              <w:jc w:val="center"/>
              <w:rPr>
                <w:rFonts w:hint="eastAsia" w:ascii="宋体" w:hAnsi="宋体" w:cs="宋体"/>
              </w:rPr>
            </w:pPr>
            <w:r>
              <w:rPr>
                <w:rFonts w:hint="eastAsia" w:ascii="宋体" w:hAnsi="宋体" w:cs="宋体"/>
              </w:rPr>
              <w:t xml:space="preserve">网 </w:t>
            </w:r>
            <w:r>
              <w:rPr>
                <w:rFonts w:hint="eastAsia" w:ascii="宋体" w:hAnsi="宋体" w:cs="宋体"/>
                <w:spacing w:val="1"/>
              </w:rPr>
              <w:t xml:space="preserve"> </w:t>
            </w:r>
            <w:r>
              <w:rPr>
                <w:rFonts w:hint="eastAsia" w:ascii="宋体" w:hAnsi="宋体" w:cs="宋体"/>
              </w:rPr>
              <w:t>址</w:t>
            </w:r>
          </w:p>
        </w:tc>
        <w:tc>
          <w:tcPr>
            <w:tcW w:w="3124" w:type="dxa"/>
            <w:gridSpan w:val="3"/>
            <w:tcBorders>
              <w:top w:val="single" w:color="000000" w:sz="4" w:space="0"/>
              <w:left w:val="single" w:color="000000" w:sz="4" w:space="0"/>
              <w:bottom w:val="single" w:color="000000" w:sz="4" w:space="0"/>
              <w:right w:val="single" w:color="000000" w:sz="4" w:space="0"/>
            </w:tcBorders>
            <w:vAlign w:val="center"/>
          </w:tcPr>
          <w:p w14:paraId="56E0C98B">
            <w:pPr>
              <w:autoSpaceDE w:val="0"/>
              <w:autoSpaceDN w:val="0"/>
              <w:adjustRightInd w:val="0"/>
              <w:spacing w:line="360" w:lineRule="auto"/>
              <w:jc w:val="center"/>
              <w:rPr>
                <w:rFonts w:hint="eastAsia" w:ascii="宋体" w:hAnsi="宋体" w:cs="宋体"/>
              </w:rPr>
            </w:pPr>
          </w:p>
        </w:tc>
      </w:tr>
      <w:tr w14:paraId="305DB060">
        <w:tblPrEx>
          <w:tblCellMar>
            <w:top w:w="0" w:type="dxa"/>
            <w:left w:w="0" w:type="dxa"/>
            <w:bottom w:w="0" w:type="dxa"/>
            <w:right w:w="0" w:type="dxa"/>
          </w:tblCellMar>
        </w:tblPrEx>
        <w:trPr>
          <w:trHeight w:val="471"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1A0C64E6">
            <w:pPr>
              <w:autoSpaceDE w:val="0"/>
              <w:autoSpaceDN w:val="0"/>
              <w:adjustRightInd w:val="0"/>
              <w:spacing w:line="360" w:lineRule="auto"/>
              <w:jc w:val="center"/>
              <w:rPr>
                <w:rFonts w:hint="eastAsia" w:ascii="宋体" w:hAnsi="宋体" w:cs="宋体"/>
              </w:rPr>
            </w:pPr>
            <w:r>
              <w:rPr>
                <w:rFonts w:hint="eastAsia" w:ascii="宋体" w:hAnsi="宋体" w:cs="宋体"/>
              </w:rPr>
              <w:t>企业性质</w:t>
            </w:r>
          </w:p>
        </w:tc>
        <w:tc>
          <w:tcPr>
            <w:tcW w:w="7622" w:type="dxa"/>
            <w:gridSpan w:val="9"/>
            <w:tcBorders>
              <w:top w:val="single" w:color="000000" w:sz="4" w:space="0"/>
              <w:left w:val="single" w:color="000000" w:sz="4" w:space="0"/>
              <w:bottom w:val="single" w:color="000000" w:sz="4" w:space="0"/>
              <w:right w:val="single" w:color="000000" w:sz="4" w:space="0"/>
            </w:tcBorders>
            <w:vAlign w:val="center"/>
          </w:tcPr>
          <w:p w14:paraId="688779EF">
            <w:pPr>
              <w:autoSpaceDE w:val="0"/>
              <w:autoSpaceDN w:val="0"/>
              <w:adjustRightInd w:val="0"/>
              <w:spacing w:line="360" w:lineRule="auto"/>
              <w:jc w:val="center"/>
              <w:rPr>
                <w:rFonts w:hint="eastAsia" w:ascii="宋体" w:hAnsi="宋体" w:cs="宋体"/>
              </w:rPr>
            </w:pPr>
          </w:p>
        </w:tc>
      </w:tr>
      <w:tr w14:paraId="2F4AA2A0">
        <w:tblPrEx>
          <w:tblCellMar>
            <w:top w:w="0" w:type="dxa"/>
            <w:left w:w="0" w:type="dxa"/>
            <w:bottom w:w="0" w:type="dxa"/>
            <w:right w:w="0" w:type="dxa"/>
          </w:tblCellMar>
        </w:tblPrEx>
        <w:trPr>
          <w:trHeight w:val="633"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15441198">
            <w:pPr>
              <w:autoSpaceDE w:val="0"/>
              <w:autoSpaceDN w:val="0"/>
              <w:adjustRightInd w:val="0"/>
              <w:spacing w:line="360" w:lineRule="auto"/>
              <w:jc w:val="center"/>
              <w:rPr>
                <w:rFonts w:hint="eastAsia" w:ascii="宋体" w:hAnsi="宋体" w:cs="宋体"/>
              </w:rPr>
            </w:pPr>
            <w:r>
              <w:rPr>
                <w:rFonts w:hint="eastAsia" w:ascii="宋体" w:hAnsi="宋体" w:cs="宋体"/>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14:paraId="6F63A8F7">
            <w:pPr>
              <w:autoSpaceDE w:val="0"/>
              <w:autoSpaceDN w:val="0"/>
              <w:adjustRightInd w:val="0"/>
              <w:spacing w:line="360" w:lineRule="auto"/>
              <w:jc w:val="center"/>
              <w:rPr>
                <w:rFonts w:hint="eastAsia" w:ascii="宋体" w:hAnsi="宋体" w:cs="宋体"/>
              </w:rPr>
            </w:pPr>
            <w:r>
              <w:rPr>
                <w:rFonts w:hint="eastAsia" w:ascii="宋体" w:hAnsi="宋体" w:cs="宋体"/>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14:paraId="5D560723">
            <w:pPr>
              <w:autoSpaceDE w:val="0"/>
              <w:autoSpaceDN w:val="0"/>
              <w:adjustRightInd w:val="0"/>
              <w:spacing w:line="360" w:lineRule="auto"/>
              <w:jc w:val="center"/>
              <w:rPr>
                <w:rFonts w:hint="eastAsia" w:ascii="宋体" w:hAnsi="宋体" w:cs="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485CA9D9">
            <w:pPr>
              <w:autoSpaceDE w:val="0"/>
              <w:autoSpaceDN w:val="0"/>
              <w:adjustRightInd w:val="0"/>
              <w:spacing w:line="360" w:lineRule="auto"/>
              <w:jc w:val="center"/>
              <w:rPr>
                <w:rFonts w:hint="eastAsia" w:ascii="宋体" w:hAnsi="宋体" w:cs="宋体"/>
              </w:rPr>
            </w:pPr>
            <w:r>
              <w:rPr>
                <w:rFonts w:hint="eastAsia" w:ascii="宋体" w:hAnsi="宋体" w:cs="宋体"/>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14:paraId="25ECC565">
            <w:pPr>
              <w:autoSpaceDE w:val="0"/>
              <w:autoSpaceDN w:val="0"/>
              <w:adjustRightInd w:val="0"/>
              <w:spacing w:line="360" w:lineRule="auto"/>
              <w:jc w:val="center"/>
              <w:rPr>
                <w:rFonts w:hint="eastAsia" w:ascii="宋体" w:hAnsi="宋体" w:cs="宋体"/>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075D8C2F">
            <w:pPr>
              <w:autoSpaceDE w:val="0"/>
              <w:autoSpaceDN w:val="0"/>
              <w:adjustRightInd w:val="0"/>
              <w:spacing w:line="360" w:lineRule="auto"/>
              <w:jc w:val="center"/>
              <w:rPr>
                <w:rFonts w:hint="eastAsia" w:ascii="宋体" w:hAnsi="宋体" w:cs="宋体"/>
              </w:rPr>
            </w:pPr>
            <w:r>
              <w:rPr>
                <w:rFonts w:hint="eastAsia" w:ascii="宋体" w:hAnsi="宋体" w:cs="宋体"/>
              </w:rPr>
              <w:t>电话</w:t>
            </w:r>
          </w:p>
        </w:tc>
        <w:tc>
          <w:tcPr>
            <w:tcW w:w="1774" w:type="dxa"/>
            <w:tcBorders>
              <w:top w:val="single" w:color="000000" w:sz="4" w:space="0"/>
              <w:left w:val="single" w:color="000000" w:sz="4" w:space="0"/>
              <w:bottom w:val="single" w:color="000000" w:sz="4" w:space="0"/>
              <w:right w:val="single" w:color="000000" w:sz="4" w:space="0"/>
            </w:tcBorders>
            <w:vAlign w:val="center"/>
          </w:tcPr>
          <w:p w14:paraId="2AD7AE68">
            <w:pPr>
              <w:autoSpaceDE w:val="0"/>
              <w:autoSpaceDN w:val="0"/>
              <w:adjustRightInd w:val="0"/>
              <w:spacing w:line="360" w:lineRule="auto"/>
              <w:jc w:val="center"/>
              <w:rPr>
                <w:rFonts w:hint="eastAsia" w:ascii="宋体" w:hAnsi="宋体" w:cs="宋体"/>
              </w:rPr>
            </w:pPr>
          </w:p>
        </w:tc>
      </w:tr>
      <w:tr w14:paraId="2E7E2D82">
        <w:tblPrEx>
          <w:tblCellMar>
            <w:top w:w="0" w:type="dxa"/>
            <w:left w:w="0" w:type="dxa"/>
            <w:bottom w:w="0" w:type="dxa"/>
            <w:right w:w="0" w:type="dxa"/>
          </w:tblCellMar>
        </w:tblPrEx>
        <w:trPr>
          <w:trHeight w:val="782"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5D4D9B9B">
            <w:pPr>
              <w:autoSpaceDE w:val="0"/>
              <w:autoSpaceDN w:val="0"/>
              <w:adjustRightInd w:val="0"/>
              <w:spacing w:line="360" w:lineRule="auto"/>
              <w:jc w:val="center"/>
              <w:rPr>
                <w:rFonts w:hint="eastAsia" w:ascii="宋体" w:hAnsi="宋体" w:cs="宋体"/>
              </w:rPr>
            </w:pPr>
            <w:r>
              <w:rPr>
                <w:rFonts w:hint="eastAsia" w:ascii="宋体" w:hAnsi="宋体" w:cs="宋体"/>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14:paraId="05576E17">
            <w:pPr>
              <w:autoSpaceDE w:val="0"/>
              <w:autoSpaceDN w:val="0"/>
              <w:adjustRightInd w:val="0"/>
              <w:spacing w:line="360" w:lineRule="auto"/>
              <w:jc w:val="center"/>
              <w:rPr>
                <w:rFonts w:hint="eastAsia" w:ascii="宋体" w:hAnsi="宋体" w:cs="宋体"/>
              </w:rPr>
            </w:pPr>
            <w:r>
              <w:rPr>
                <w:rFonts w:hint="eastAsia" w:ascii="宋体" w:hAnsi="宋体" w:cs="宋体"/>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14:paraId="06272799">
            <w:pPr>
              <w:autoSpaceDE w:val="0"/>
              <w:autoSpaceDN w:val="0"/>
              <w:adjustRightInd w:val="0"/>
              <w:spacing w:line="360" w:lineRule="auto"/>
              <w:jc w:val="center"/>
              <w:rPr>
                <w:rFonts w:hint="eastAsia" w:ascii="宋体" w:hAnsi="宋体" w:cs="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2726D7C0">
            <w:pPr>
              <w:autoSpaceDE w:val="0"/>
              <w:autoSpaceDN w:val="0"/>
              <w:adjustRightInd w:val="0"/>
              <w:spacing w:line="360" w:lineRule="auto"/>
              <w:jc w:val="center"/>
              <w:rPr>
                <w:rFonts w:hint="eastAsia" w:ascii="宋体" w:hAnsi="宋体" w:cs="宋体"/>
              </w:rPr>
            </w:pPr>
            <w:r>
              <w:rPr>
                <w:rFonts w:hint="eastAsia" w:ascii="宋体" w:hAnsi="宋体" w:cs="宋体"/>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14:paraId="182F98F3">
            <w:pPr>
              <w:autoSpaceDE w:val="0"/>
              <w:autoSpaceDN w:val="0"/>
              <w:adjustRightInd w:val="0"/>
              <w:spacing w:line="360" w:lineRule="auto"/>
              <w:jc w:val="center"/>
              <w:rPr>
                <w:rFonts w:hint="eastAsia" w:ascii="宋体" w:hAnsi="宋体" w:cs="宋体"/>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750B5E97">
            <w:pPr>
              <w:autoSpaceDE w:val="0"/>
              <w:autoSpaceDN w:val="0"/>
              <w:adjustRightInd w:val="0"/>
              <w:spacing w:line="360" w:lineRule="auto"/>
              <w:jc w:val="center"/>
              <w:rPr>
                <w:rFonts w:hint="eastAsia" w:ascii="宋体" w:hAnsi="宋体" w:cs="宋体"/>
              </w:rPr>
            </w:pPr>
            <w:r>
              <w:rPr>
                <w:rFonts w:hint="eastAsia" w:ascii="宋体" w:hAnsi="宋体" w:cs="宋体"/>
              </w:rPr>
              <w:t>电话</w:t>
            </w:r>
          </w:p>
        </w:tc>
        <w:tc>
          <w:tcPr>
            <w:tcW w:w="1774" w:type="dxa"/>
            <w:tcBorders>
              <w:top w:val="single" w:color="000000" w:sz="4" w:space="0"/>
              <w:left w:val="single" w:color="000000" w:sz="4" w:space="0"/>
              <w:bottom w:val="single" w:color="000000" w:sz="4" w:space="0"/>
              <w:right w:val="single" w:color="000000" w:sz="4" w:space="0"/>
            </w:tcBorders>
            <w:vAlign w:val="center"/>
          </w:tcPr>
          <w:p w14:paraId="5038CF86">
            <w:pPr>
              <w:autoSpaceDE w:val="0"/>
              <w:autoSpaceDN w:val="0"/>
              <w:adjustRightInd w:val="0"/>
              <w:spacing w:line="360" w:lineRule="auto"/>
              <w:jc w:val="center"/>
              <w:rPr>
                <w:rFonts w:hint="eastAsia" w:ascii="宋体" w:hAnsi="宋体" w:cs="宋体"/>
              </w:rPr>
            </w:pPr>
          </w:p>
        </w:tc>
      </w:tr>
      <w:tr w14:paraId="6470CA51">
        <w:tblPrEx>
          <w:tblCellMar>
            <w:top w:w="0" w:type="dxa"/>
            <w:left w:w="0" w:type="dxa"/>
            <w:bottom w:w="0" w:type="dxa"/>
            <w:right w:w="0" w:type="dxa"/>
          </w:tblCellMar>
        </w:tblPrEx>
        <w:trPr>
          <w:trHeight w:val="608"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39A4A84C">
            <w:pPr>
              <w:autoSpaceDE w:val="0"/>
              <w:autoSpaceDN w:val="0"/>
              <w:adjustRightInd w:val="0"/>
              <w:spacing w:line="360" w:lineRule="auto"/>
              <w:jc w:val="center"/>
              <w:rPr>
                <w:rFonts w:hint="eastAsia" w:ascii="宋体" w:hAnsi="宋体" w:cs="宋体"/>
              </w:rPr>
            </w:pPr>
            <w:r>
              <w:rPr>
                <w:rFonts w:hint="eastAsia" w:ascii="宋体" w:hAnsi="宋体" w:cs="宋体"/>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7CD93DCD">
            <w:pPr>
              <w:autoSpaceDE w:val="0"/>
              <w:autoSpaceDN w:val="0"/>
              <w:adjustRightInd w:val="0"/>
              <w:spacing w:line="360" w:lineRule="auto"/>
              <w:jc w:val="center"/>
              <w:rPr>
                <w:rFonts w:hint="eastAsia" w:ascii="宋体" w:hAnsi="宋体" w:cs="宋体"/>
              </w:rPr>
            </w:pPr>
          </w:p>
        </w:tc>
        <w:tc>
          <w:tcPr>
            <w:tcW w:w="5773" w:type="dxa"/>
            <w:gridSpan w:val="7"/>
            <w:tcBorders>
              <w:top w:val="single" w:color="000000" w:sz="4" w:space="0"/>
              <w:left w:val="single" w:color="000000" w:sz="4" w:space="0"/>
              <w:bottom w:val="single" w:color="000000" w:sz="4" w:space="0"/>
              <w:right w:val="single" w:color="000000" w:sz="4" w:space="0"/>
            </w:tcBorders>
            <w:vAlign w:val="center"/>
          </w:tcPr>
          <w:p w14:paraId="3524EBA4">
            <w:pPr>
              <w:autoSpaceDE w:val="0"/>
              <w:autoSpaceDN w:val="0"/>
              <w:adjustRightInd w:val="0"/>
              <w:spacing w:line="360" w:lineRule="auto"/>
              <w:jc w:val="center"/>
              <w:rPr>
                <w:rFonts w:hint="eastAsia" w:ascii="宋体" w:hAnsi="宋体" w:cs="宋体"/>
              </w:rPr>
            </w:pPr>
            <w:r>
              <w:rPr>
                <w:rFonts w:hint="eastAsia" w:ascii="宋体" w:hAnsi="宋体" w:cs="宋体"/>
              </w:rPr>
              <w:t>员工总人数：</w:t>
            </w:r>
          </w:p>
        </w:tc>
      </w:tr>
      <w:tr w14:paraId="223FEA5F">
        <w:tblPrEx>
          <w:tblCellMar>
            <w:top w:w="0" w:type="dxa"/>
            <w:left w:w="0" w:type="dxa"/>
            <w:bottom w:w="0" w:type="dxa"/>
            <w:right w:w="0" w:type="dxa"/>
          </w:tblCellMar>
        </w:tblPrEx>
        <w:trPr>
          <w:cantSplit/>
          <w:trHeight w:val="772"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560E7A2A">
            <w:pPr>
              <w:autoSpaceDE w:val="0"/>
              <w:autoSpaceDN w:val="0"/>
              <w:adjustRightInd w:val="0"/>
              <w:spacing w:line="360" w:lineRule="auto"/>
              <w:jc w:val="center"/>
              <w:rPr>
                <w:rFonts w:hint="eastAsia" w:ascii="宋体" w:hAnsi="宋体" w:cs="宋体"/>
              </w:rPr>
            </w:pPr>
            <w:r>
              <w:rPr>
                <w:rFonts w:hint="eastAsia" w:ascii="宋体" w:hAnsi="宋体" w:cs="宋体"/>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047176F3">
            <w:pPr>
              <w:autoSpaceDE w:val="0"/>
              <w:autoSpaceDN w:val="0"/>
              <w:adjustRightInd w:val="0"/>
              <w:spacing w:line="360" w:lineRule="auto"/>
              <w:jc w:val="center"/>
              <w:rPr>
                <w:rFonts w:hint="eastAsia" w:ascii="宋体" w:hAnsi="宋体" w:cs="宋体"/>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14:paraId="0FED0C04">
            <w:pPr>
              <w:autoSpaceDE w:val="0"/>
              <w:autoSpaceDN w:val="0"/>
              <w:adjustRightInd w:val="0"/>
              <w:spacing w:line="360" w:lineRule="auto"/>
              <w:jc w:val="center"/>
              <w:rPr>
                <w:rFonts w:hint="eastAsia" w:ascii="宋体" w:hAnsi="宋体" w:cs="宋体"/>
              </w:rPr>
            </w:pPr>
            <w:r>
              <w:rPr>
                <w:rFonts w:hint="eastAsia" w:ascii="宋体" w:hAnsi="宋体" w:cs="宋体"/>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13F2B0B9">
            <w:pPr>
              <w:autoSpaceDE w:val="0"/>
              <w:autoSpaceDN w:val="0"/>
              <w:adjustRightInd w:val="0"/>
              <w:spacing w:line="360" w:lineRule="auto"/>
              <w:jc w:val="center"/>
              <w:rPr>
                <w:rFonts w:hint="eastAsia" w:ascii="宋体" w:hAnsi="宋体" w:cs="宋体"/>
              </w:rPr>
            </w:pPr>
            <w:r>
              <w:rPr>
                <w:rFonts w:hint="eastAsia" w:ascii="宋体" w:hAnsi="宋体" w:cs="宋体"/>
              </w:rPr>
              <w:t>项目经理</w:t>
            </w: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14:paraId="607276AE">
            <w:pPr>
              <w:autoSpaceDE w:val="0"/>
              <w:autoSpaceDN w:val="0"/>
              <w:adjustRightInd w:val="0"/>
              <w:spacing w:line="360" w:lineRule="auto"/>
              <w:jc w:val="center"/>
              <w:rPr>
                <w:rFonts w:hint="eastAsia" w:ascii="宋体" w:hAnsi="宋体" w:cs="宋体"/>
              </w:rPr>
            </w:pPr>
          </w:p>
        </w:tc>
      </w:tr>
      <w:tr w14:paraId="2AAB2D14">
        <w:tblPrEx>
          <w:tblCellMar>
            <w:top w:w="0" w:type="dxa"/>
            <w:left w:w="0" w:type="dxa"/>
            <w:bottom w:w="0" w:type="dxa"/>
            <w:right w:w="0" w:type="dxa"/>
          </w:tblCellMar>
        </w:tblPrEx>
        <w:trPr>
          <w:cantSplit/>
          <w:trHeight w:val="768"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090F0D57">
            <w:pPr>
              <w:autoSpaceDE w:val="0"/>
              <w:autoSpaceDN w:val="0"/>
              <w:adjustRightInd w:val="0"/>
              <w:spacing w:line="360" w:lineRule="auto"/>
              <w:jc w:val="center"/>
              <w:rPr>
                <w:rFonts w:hint="eastAsia" w:ascii="宋体" w:hAnsi="宋体" w:cs="宋体"/>
              </w:rPr>
            </w:pPr>
            <w:r>
              <w:rPr>
                <w:rFonts w:hint="eastAsia" w:ascii="宋体" w:hAnsi="宋体" w:cs="宋体"/>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217F7961">
            <w:pPr>
              <w:autoSpaceDE w:val="0"/>
              <w:autoSpaceDN w:val="0"/>
              <w:adjustRightInd w:val="0"/>
              <w:spacing w:line="360" w:lineRule="auto"/>
              <w:jc w:val="center"/>
              <w:rPr>
                <w:rFonts w:hint="eastAsia" w:ascii="宋体" w:hAnsi="宋体" w:cs="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32604F9D">
            <w:pPr>
              <w:autoSpaceDE w:val="0"/>
              <w:autoSpaceDN w:val="0"/>
              <w:adjustRightInd w:val="0"/>
              <w:spacing w:line="360" w:lineRule="auto"/>
              <w:jc w:val="center"/>
              <w:rPr>
                <w:rFonts w:hint="eastAsia" w:ascii="宋体" w:hAnsi="宋体" w:cs="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33DAF78D">
            <w:pPr>
              <w:autoSpaceDE w:val="0"/>
              <w:autoSpaceDN w:val="0"/>
              <w:adjustRightInd w:val="0"/>
              <w:spacing w:line="360" w:lineRule="auto"/>
              <w:jc w:val="center"/>
              <w:rPr>
                <w:rFonts w:hint="eastAsia" w:ascii="宋体" w:hAnsi="宋体" w:cs="宋体"/>
              </w:rPr>
            </w:pPr>
            <w:r>
              <w:rPr>
                <w:rFonts w:hint="eastAsia" w:ascii="宋体" w:hAnsi="宋体" w:cs="宋体"/>
              </w:rPr>
              <w:t>高级职称人员</w:t>
            </w: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14:paraId="7257BAEE">
            <w:pPr>
              <w:autoSpaceDE w:val="0"/>
              <w:autoSpaceDN w:val="0"/>
              <w:adjustRightInd w:val="0"/>
              <w:spacing w:line="360" w:lineRule="auto"/>
              <w:jc w:val="center"/>
              <w:rPr>
                <w:rFonts w:hint="eastAsia" w:ascii="宋体" w:hAnsi="宋体" w:cs="宋体"/>
              </w:rPr>
            </w:pPr>
          </w:p>
        </w:tc>
      </w:tr>
      <w:tr w14:paraId="3BB237A1">
        <w:tblPrEx>
          <w:tblCellMar>
            <w:top w:w="0" w:type="dxa"/>
            <w:left w:w="0" w:type="dxa"/>
            <w:bottom w:w="0" w:type="dxa"/>
            <w:right w:w="0" w:type="dxa"/>
          </w:tblCellMar>
        </w:tblPrEx>
        <w:trPr>
          <w:cantSplit/>
          <w:trHeight w:val="792"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03ED3269">
            <w:pPr>
              <w:autoSpaceDE w:val="0"/>
              <w:autoSpaceDN w:val="0"/>
              <w:adjustRightInd w:val="0"/>
              <w:spacing w:line="360" w:lineRule="auto"/>
              <w:jc w:val="center"/>
              <w:rPr>
                <w:rFonts w:hint="eastAsia" w:ascii="宋体" w:hAnsi="宋体" w:cs="宋体"/>
              </w:rPr>
            </w:pPr>
            <w:r>
              <w:rPr>
                <w:rFonts w:hint="eastAsia" w:ascii="宋体" w:hAnsi="宋体" w:cs="宋体"/>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3DB386F7">
            <w:pPr>
              <w:autoSpaceDE w:val="0"/>
              <w:autoSpaceDN w:val="0"/>
              <w:adjustRightInd w:val="0"/>
              <w:spacing w:line="360" w:lineRule="auto"/>
              <w:jc w:val="center"/>
              <w:rPr>
                <w:rFonts w:hint="eastAsia" w:ascii="宋体" w:hAnsi="宋体" w:cs="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2B4D7AA3">
            <w:pPr>
              <w:autoSpaceDE w:val="0"/>
              <w:autoSpaceDN w:val="0"/>
              <w:adjustRightInd w:val="0"/>
              <w:spacing w:line="360" w:lineRule="auto"/>
              <w:jc w:val="center"/>
              <w:rPr>
                <w:rFonts w:hint="eastAsia" w:ascii="宋体" w:hAnsi="宋体" w:cs="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56668EF0">
            <w:pPr>
              <w:autoSpaceDE w:val="0"/>
              <w:autoSpaceDN w:val="0"/>
              <w:adjustRightInd w:val="0"/>
              <w:spacing w:line="360" w:lineRule="auto"/>
              <w:jc w:val="center"/>
              <w:rPr>
                <w:rFonts w:hint="eastAsia" w:ascii="宋体" w:hAnsi="宋体" w:cs="宋体"/>
              </w:rPr>
            </w:pPr>
            <w:r>
              <w:rPr>
                <w:rFonts w:hint="eastAsia" w:ascii="宋体" w:hAnsi="宋体" w:cs="宋体"/>
              </w:rPr>
              <w:t>中级职称人员</w:t>
            </w: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14:paraId="37867138">
            <w:pPr>
              <w:autoSpaceDE w:val="0"/>
              <w:autoSpaceDN w:val="0"/>
              <w:adjustRightInd w:val="0"/>
              <w:spacing w:line="360" w:lineRule="auto"/>
              <w:jc w:val="center"/>
              <w:rPr>
                <w:rFonts w:hint="eastAsia" w:ascii="宋体" w:hAnsi="宋体" w:cs="宋体"/>
              </w:rPr>
            </w:pPr>
          </w:p>
        </w:tc>
      </w:tr>
      <w:tr w14:paraId="52DC1169">
        <w:tblPrEx>
          <w:tblCellMar>
            <w:top w:w="0" w:type="dxa"/>
            <w:left w:w="0" w:type="dxa"/>
            <w:bottom w:w="0" w:type="dxa"/>
            <w:right w:w="0" w:type="dxa"/>
          </w:tblCellMar>
        </w:tblPrEx>
        <w:trPr>
          <w:cantSplit/>
          <w:trHeight w:val="774"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3F0CDD80">
            <w:pPr>
              <w:autoSpaceDE w:val="0"/>
              <w:autoSpaceDN w:val="0"/>
              <w:adjustRightInd w:val="0"/>
              <w:spacing w:line="360" w:lineRule="auto"/>
              <w:jc w:val="center"/>
              <w:rPr>
                <w:rFonts w:hint="eastAsia" w:ascii="宋体" w:hAnsi="宋体" w:cs="宋体"/>
              </w:rPr>
            </w:pPr>
            <w:r>
              <w:rPr>
                <w:rFonts w:hint="eastAsia" w:ascii="宋体" w:hAnsi="宋体" w:cs="宋体"/>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6B9A5250">
            <w:pPr>
              <w:autoSpaceDE w:val="0"/>
              <w:autoSpaceDN w:val="0"/>
              <w:adjustRightInd w:val="0"/>
              <w:spacing w:line="360" w:lineRule="auto"/>
              <w:jc w:val="center"/>
              <w:rPr>
                <w:rFonts w:hint="eastAsia" w:ascii="宋体" w:hAnsi="宋体" w:cs="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1A54A699">
            <w:pPr>
              <w:autoSpaceDE w:val="0"/>
              <w:autoSpaceDN w:val="0"/>
              <w:adjustRightInd w:val="0"/>
              <w:spacing w:line="360" w:lineRule="auto"/>
              <w:jc w:val="center"/>
              <w:rPr>
                <w:rFonts w:hint="eastAsia" w:ascii="宋体" w:hAnsi="宋体" w:cs="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3C8805D6">
            <w:pPr>
              <w:autoSpaceDE w:val="0"/>
              <w:autoSpaceDN w:val="0"/>
              <w:adjustRightInd w:val="0"/>
              <w:spacing w:line="360" w:lineRule="auto"/>
              <w:jc w:val="center"/>
              <w:rPr>
                <w:rFonts w:hint="eastAsia" w:ascii="宋体" w:hAnsi="宋体" w:cs="宋体"/>
              </w:rPr>
            </w:pPr>
            <w:r>
              <w:rPr>
                <w:rFonts w:hint="eastAsia" w:ascii="宋体" w:hAnsi="宋体" w:cs="宋体"/>
              </w:rPr>
              <w:t>初级职称人员</w:t>
            </w: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14:paraId="4954BCCE">
            <w:pPr>
              <w:autoSpaceDE w:val="0"/>
              <w:autoSpaceDN w:val="0"/>
              <w:adjustRightInd w:val="0"/>
              <w:spacing w:line="360" w:lineRule="auto"/>
              <w:jc w:val="center"/>
              <w:rPr>
                <w:rFonts w:hint="eastAsia" w:ascii="宋体" w:hAnsi="宋体" w:cs="宋体"/>
              </w:rPr>
            </w:pPr>
          </w:p>
        </w:tc>
      </w:tr>
      <w:tr w14:paraId="69545B0C">
        <w:tblPrEx>
          <w:tblCellMar>
            <w:top w:w="0" w:type="dxa"/>
            <w:left w:w="0" w:type="dxa"/>
            <w:bottom w:w="0" w:type="dxa"/>
            <w:right w:w="0" w:type="dxa"/>
          </w:tblCellMar>
        </w:tblPrEx>
        <w:trPr>
          <w:cantSplit/>
          <w:trHeight w:val="615"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5F94DC88">
            <w:pPr>
              <w:autoSpaceDE w:val="0"/>
              <w:autoSpaceDN w:val="0"/>
              <w:adjustRightInd w:val="0"/>
              <w:spacing w:line="360" w:lineRule="auto"/>
              <w:jc w:val="center"/>
              <w:rPr>
                <w:rFonts w:hint="eastAsia" w:ascii="宋体" w:hAnsi="宋体" w:cs="宋体"/>
              </w:rPr>
            </w:pPr>
            <w:r>
              <w:rPr>
                <w:rFonts w:hint="eastAsia" w:ascii="宋体" w:hAnsi="宋体" w:cs="宋体"/>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6CDD431E">
            <w:pPr>
              <w:autoSpaceDE w:val="0"/>
              <w:autoSpaceDN w:val="0"/>
              <w:adjustRightInd w:val="0"/>
              <w:spacing w:line="360" w:lineRule="auto"/>
              <w:jc w:val="center"/>
              <w:rPr>
                <w:rFonts w:hint="eastAsia" w:ascii="宋体" w:hAnsi="宋体" w:cs="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7F64BD72">
            <w:pPr>
              <w:autoSpaceDE w:val="0"/>
              <w:autoSpaceDN w:val="0"/>
              <w:adjustRightInd w:val="0"/>
              <w:spacing w:line="360" w:lineRule="auto"/>
              <w:jc w:val="center"/>
              <w:rPr>
                <w:rFonts w:hint="eastAsia" w:ascii="宋体" w:hAnsi="宋体" w:cs="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56C4BFD0">
            <w:pPr>
              <w:tabs>
                <w:tab w:val="left" w:pos="1240"/>
              </w:tabs>
              <w:autoSpaceDE w:val="0"/>
              <w:autoSpaceDN w:val="0"/>
              <w:adjustRightInd w:val="0"/>
              <w:spacing w:line="360" w:lineRule="auto"/>
              <w:jc w:val="center"/>
              <w:rPr>
                <w:rFonts w:hint="eastAsia" w:ascii="宋体" w:hAnsi="宋体" w:cs="宋体"/>
              </w:rPr>
            </w:pPr>
            <w:r>
              <w:rPr>
                <w:rFonts w:hint="eastAsia" w:ascii="宋体" w:hAnsi="宋体" w:cs="宋体"/>
              </w:rPr>
              <w:t>技</w:t>
            </w:r>
            <w:r>
              <w:rPr>
                <w:rFonts w:hint="eastAsia" w:ascii="宋体" w:hAnsi="宋体" w:cs="宋体"/>
              </w:rPr>
              <w:tab/>
            </w:r>
            <w:r>
              <w:rPr>
                <w:rFonts w:hint="eastAsia" w:ascii="宋体" w:hAnsi="宋体" w:cs="宋体"/>
              </w:rPr>
              <w:t>工</w:t>
            </w: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14:paraId="54FF8313">
            <w:pPr>
              <w:autoSpaceDE w:val="0"/>
              <w:autoSpaceDN w:val="0"/>
              <w:adjustRightInd w:val="0"/>
              <w:spacing w:line="360" w:lineRule="auto"/>
              <w:jc w:val="center"/>
              <w:rPr>
                <w:rFonts w:hint="eastAsia" w:ascii="宋体" w:hAnsi="宋体" w:cs="宋体"/>
              </w:rPr>
            </w:pPr>
          </w:p>
        </w:tc>
      </w:tr>
      <w:tr w14:paraId="67E57B26">
        <w:tblPrEx>
          <w:tblCellMar>
            <w:top w:w="0" w:type="dxa"/>
            <w:left w:w="0" w:type="dxa"/>
            <w:bottom w:w="0" w:type="dxa"/>
            <w:right w:w="0" w:type="dxa"/>
          </w:tblCellMar>
        </w:tblPrEx>
        <w:trPr>
          <w:trHeight w:val="750" w:hRule="exact"/>
        </w:trPr>
        <w:tc>
          <w:tcPr>
            <w:tcW w:w="1728" w:type="dxa"/>
            <w:tcBorders>
              <w:top w:val="single" w:color="000000" w:sz="4" w:space="0"/>
              <w:left w:val="single" w:color="000000" w:sz="4" w:space="0"/>
              <w:bottom w:val="single" w:color="auto" w:sz="4" w:space="0"/>
              <w:right w:val="single" w:color="000000" w:sz="4" w:space="0"/>
            </w:tcBorders>
            <w:vAlign w:val="center"/>
          </w:tcPr>
          <w:p w14:paraId="6435D1D2">
            <w:pPr>
              <w:autoSpaceDE w:val="0"/>
              <w:autoSpaceDN w:val="0"/>
              <w:adjustRightInd w:val="0"/>
              <w:spacing w:line="360" w:lineRule="auto"/>
              <w:jc w:val="center"/>
              <w:rPr>
                <w:rFonts w:hint="eastAsia" w:ascii="宋体" w:hAnsi="宋体" w:cs="宋体"/>
              </w:rPr>
            </w:pPr>
            <w:r>
              <w:rPr>
                <w:rFonts w:hint="eastAsia" w:ascii="宋体" w:hAnsi="宋体" w:cs="宋体"/>
              </w:rPr>
              <w:t>经营范围</w:t>
            </w:r>
          </w:p>
        </w:tc>
        <w:tc>
          <w:tcPr>
            <w:tcW w:w="7622" w:type="dxa"/>
            <w:gridSpan w:val="9"/>
            <w:tcBorders>
              <w:top w:val="single" w:color="000000" w:sz="4" w:space="0"/>
              <w:left w:val="single" w:color="000000" w:sz="4" w:space="0"/>
              <w:bottom w:val="single" w:color="auto" w:sz="4" w:space="0"/>
              <w:right w:val="single" w:color="000000" w:sz="4" w:space="0"/>
            </w:tcBorders>
            <w:vAlign w:val="center"/>
          </w:tcPr>
          <w:p w14:paraId="7FBF45CB">
            <w:pPr>
              <w:autoSpaceDE w:val="0"/>
              <w:autoSpaceDN w:val="0"/>
              <w:adjustRightInd w:val="0"/>
              <w:spacing w:line="360" w:lineRule="auto"/>
              <w:jc w:val="center"/>
              <w:rPr>
                <w:rFonts w:hint="eastAsia" w:ascii="宋体" w:hAnsi="宋体" w:cs="宋体"/>
              </w:rPr>
            </w:pPr>
          </w:p>
        </w:tc>
      </w:tr>
      <w:tr w14:paraId="26AE695F">
        <w:tblPrEx>
          <w:tblCellMar>
            <w:top w:w="0" w:type="dxa"/>
            <w:left w:w="0" w:type="dxa"/>
            <w:bottom w:w="0" w:type="dxa"/>
            <w:right w:w="0" w:type="dxa"/>
          </w:tblCellMar>
        </w:tblPrEx>
        <w:trPr>
          <w:trHeight w:val="966" w:hRule="exact"/>
        </w:trPr>
        <w:tc>
          <w:tcPr>
            <w:tcW w:w="1728" w:type="dxa"/>
            <w:tcBorders>
              <w:top w:val="single" w:color="auto" w:sz="4" w:space="0"/>
              <w:left w:val="single" w:color="000000" w:sz="4" w:space="0"/>
              <w:bottom w:val="single" w:color="000000" w:sz="4" w:space="0"/>
              <w:right w:val="single" w:color="000000" w:sz="4" w:space="0"/>
            </w:tcBorders>
            <w:vAlign w:val="center"/>
          </w:tcPr>
          <w:p w14:paraId="69B24B20">
            <w:pPr>
              <w:autoSpaceDE w:val="0"/>
              <w:autoSpaceDN w:val="0"/>
              <w:adjustRightInd w:val="0"/>
              <w:spacing w:line="360" w:lineRule="auto"/>
              <w:jc w:val="center"/>
              <w:rPr>
                <w:rFonts w:hint="eastAsia" w:ascii="宋体" w:hAnsi="宋体" w:cs="宋体"/>
              </w:rPr>
            </w:pPr>
            <w:r>
              <w:rPr>
                <w:rFonts w:hint="eastAsia" w:ascii="宋体" w:hAnsi="宋体" w:cs="宋体"/>
              </w:rPr>
              <w:t>备注</w:t>
            </w:r>
          </w:p>
        </w:tc>
        <w:tc>
          <w:tcPr>
            <w:tcW w:w="7622" w:type="dxa"/>
            <w:gridSpan w:val="9"/>
            <w:tcBorders>
              <w:top w:val="single" w:color="auto" w:sz="4" w:space="0"/>
              <w:left w:val="single" w:color="000000" w:sz="4" w:space="0"/>
              <w:bottom w:val="single" w:color="000000" w:sz="4" w:space="0"/>
              <w:right w:val="single" w:color="000000" w:sz="4" w:space="0"/>
            </w:tcBorders>
            <w:vAlign w:val="center"/>
          </w:tcPr>
          <w:p w14:paraId="77F90129">
            <w:pPr>
              <w:autoSpaceDE w:val="0"/>
              <w:autoSpaceDN w:val="0"/>
              <w:adjustRightInd w:val="0"/>
              <w:spacing w:line="360" w:lineRule="auto"/>
              <w:jc w:val="center"/>
              <w:rPr>
                <w:rFonts w:hint="eastAsia" w:ascii="宋体" w:hAnsi="宋体" w:cs="宋体"/>
              </w:rPr>
            </w:pPr>
          </w:p>
        </w:tc>
      </w:tr>
    </w:tbl>
    <w:p w14:paraId="0C0D3583">
      <w:pPr>
        <w:adjustRightInd w:val="0"/>
        <w:spacing w:line="360" w:lineRule="auto"/>
        <w:ind w:firstLine="420" w:firstLineChars="200"/>
        <w:rPr>
          <w:rFonts w:hint="eastAsia" w:ascii="宋体" w:hAnsi="宋体" w:cs="宋体"/>
        </w:rPr>
      </w:pPr>
      <w:r>
        <w:rPr>
          <w:rFonts w:hint="eastAsia" w:ascii="宋体" w:hAnsi="宋体" w:cs="宋体"/>
        </w:rPr>
        <w:t>注：应附比选申请人安全生产许可证、“三类人员”相应的安全生产考核合格证书、营业执照、组织机构代码、税务登记证（若单位已办理了三证合一或一证一码的，则只需提供有效的三证合一或一证一码证书副本复印件，无需提供相关的三证）副本复印件。</w:t>
      </w:r>
    </w:p>
    <w:p w14:paraId="71CA8774">
      <w:pPr>
        <w:jc w:val="center"/>
        <w:rPr>
          <w:rFonts w:hint="eastAsia" w:ascii="宋体" w:hAnsi="宋体" w:cs="宋体"/>
          <w:sz w:val="28"/>
        </w:rPr>
      </w:pPr>
      <w:bookmarkStart w:id="1133" w:name="_Toc433285263"/>
      <w:bookmarkStart w:id="1134" w:name="_Toc224103514"/>
      <w:bookmarkStart w:id="1135" w:name="_Toc464654573"/>
      <w:bookmarkStart w:id="1136" w:name="_Toc399504626"/>
      <w:bookmarkStart w:id="1137" w:name="_Toc287620833"/>
      <w:bookmarkStart w:id="1138" w:name="_Toc1267"/>
      <w:bookmarkStart w:id="1139" w:name="_Toc287607886"/>
      <w:bookmarkStart w:id="1140" w:name="_Toc22990079"/>
      <w:bookmarkStart w:id="1141" w:name="_Toc949"/>
    </w:p>
    <w:p w14:paraId="01BB5512">
      <w:pPr>
        <w:pStyle w:val="2"/>
        <w:jc w:val="center"/>
        <w:rPr>
          <w:rFonts w:hint="eastAsia" w:ascii="宋体" w:hAnsi="宋体" w:eastAsia="宋体" w:cs="宋体"/>
          <w:sz w:val="28"/>
        </w:rPr>
      </w:pPr>
      <w:bookmarkStart w:id="1142" w:name="_Toc459"/>
      <w:r>
        <w:rPr>
          <w:rFonts w:hint="eastAsia" w:ascii="宋体" w:hAnsi="宋体" w:eastAsia="宋体" w:cs="宋体"/>
          <w:sz w:val="28"/>
        </w:rPr>
        <w:t>（四）项目管理机构</w:t>
      </w:r>
      <w:bookmarkEnd w:id="1133"/>
      <w:bookmarkEnd w:id="1134"/>
      <w:bookmarkEnd w:id="1135"/>
      <w:bookmarkEnd w:id="1136"/>
      <w:bookmarkEnd w:id="1137"/>
      <w:bookmarkEnd w:id="1138"/>
      <w:bookmarkEnd w:id="1139"/>
      <w:bookmarkEnd w:id="1140"/>
      <w:bookmarkEnd w:id="1141"/>
      <w:bookmarkEnd w:id="1142"/>
    </w:p>
    <w:p w14:paraId="0ABB449F">
      <w:pPr>
        <w:autoSpaceDE w:val="0"/>
        <w:autoSpaceDN w:val="0"/>
        <w:adjustRightInd w:val="0"/>
        <w:spacing w:line="360" w:lineRule="auto"/>
        <w:jc w:val="center"/>
        <w:rPr>
          <w:rFonts w:hint="eastAsia" w:ascii="宋体" w:hAnsi="宋体" w:cs="宋体"/>
          <w:b/>
          <w:sz w:val="28"/>
          <w:szCs w:val="28"/>
        </w:rPr>
      </w:pPr>
      <w:r>
        <w:rPr>
          <w:rFonts w:hint="eastAsia" w:ascii="宋体" w:hAnsi="宋体" w:cs="宋体"/>
          <w:b/>
          <w:sz w:val="28"/>
          <w:szCs w:val="28"/>
        </w:rPr>
        <w:t>项目管理机构组成表</w:t>
      </w:r>
    </w:p>
    <w:tbl>
      <w:tblPr>
        <w:tblStyle w:val="46"/>
        <w:tblW w:w="9249" w:type="dxa"/>
        <w:tblInd w:w="107" w:type="dxa"/>
        <w:tblLayout w:type="fixed"/>
        <w:tblCellMar>
          <w:top w:w="0" w:type="dxa"/>
          <w:left w:w="0" w:type="dxa"/>
          <w:bottom w:w="0" w:type="dxa"/>
          <w:right w:w="0" w:type="dxa"/>
        </w:tblCellMar>
      </w:tblPr>
      <w:tblGrid>
        <w:gridCol w:w="647"/>
        <w:gridCol w:w="721"/>
        <w:gridCol w:w="719"/>
        <w:gridCol w:w="1081"/>
        <w:gridCol w:w="719"/>
        <w:gridCol w:w="721"/>
        <w:gridCol w:w="719"/>
        <w:gridCol w:w="2524"/>
        <w:gridCol w:w="1398"/>
      </w:tblGrid>
      <w:tr w14:paraId="351DBFFB">
        <w:tblPrEx>
          <w:tblCellMar>
            <w:top w:w="0" w:type="dxa"/>
            <w:left w:w="0" w:type="dxa"/>
            <w:bottom w:w="0" w:type="dxa"/>
            <w:right w:w="0" w:type="dxa"/>
          </w:tblCellMar>
        </w:tblPrEx>
        <w:trPr>
          <w:cantSplit/>
          <w:trHeight w:val="450" w:hRule="exact"/>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14:paraId="4D443A44">
            <w:pPr>
              <w:autoSpaceDE w:val="0"/>
              <w:autoSpaceDN w:val="0"/>
              <w:adjustRightInd w:val="0"/>
              <w:spacing w:line="360" w:lineRule="auto"/>
              <w:jc w:val="center"/>
              <w:rPr>
                <w:rFonts w:hint="eastAsia" w:ascii="宋体" w:hAnsi="宋体" w:cs="宋体"/>
              </w:rPr>
            </w:pPr>
            <w:r>
              <w:rPr>
                <w:rFonts w:hint="eastAsia" w:ascii="宋体" w:hAnsi="宋体" w:cs="宋体"/>
              </w:rPr>
              <w:t>职务</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14:paraId="4D7C1D82">
            <w:pPr>
              <w:autoSpaceDE w:val="0"/>
              <w:autoSpaceDN w:val="0"/>
              <w:adjustRightInd w:val="0"/>
              <w:spacing w:line="360" w:lineRule="auto"/>
              <w:jc w:val="center"/>
              <w:rPr>
                <w:rFonts w:hint="eastAsia" w:ascii="宋体" w:hAnsi="宋体" w:cs="宋体"/>
              </w:rPr>
            </w:pPr>
            <w:r>
              <w:rPr>
                <w:rFonts w:hint="eastAsia" w:ascii="宋体" w:hAnsi="宋体" w:cs="宋体"/>
              </w:rPr>
              <w:t>姓名</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14:paraId="2D84D47A">
            <w:pPr>
              <w:autoSpaceDE w:val="0"/>
              <w:autoSpaceDN w:val="0"/>
              <w:adjustRightInd w:val="0"/>
              <w:spacing w:line="360" w:lineRule="auto"/>
              <w:jc w:val="center"/>
              <w:rPr>
                <w:rFonts w:hint="eastAsia" w:ascii="宋体" w:hAnsi="宋体" w:cs="宋体"/>
              </w:rPr>
            </w:pPr>
            <w:r>
              <w:rPr>
                <w:rFonts w:hint="eastAsia" w:ascii="宋体" w:hAnsi="宋体" w:cs="宋体"/>
              </w:rPr>
              <w:t>职称</w:t>
            </w:r>
          </w:p>
        </w:tc>
        <w:tc>
          <w:tcPr>
            <w:tcW w:w="5764" w:type="dxa"/>
            <w:gridSpan w:val="5"/>
            <w:tcBorders>
              <w:top w:val="single" w:color="000000" w:sz="4" w:space="0"/>
              <w:left w:val="single" w:color="000000" w:sz="4" w:space="0"/>
              <w:bottom w:val="single" w:color="000000" w:sz="4" w:space="0"/>
              <w:right w:val="single" w:color="000000" w:sz="4" w:space="0"/>
            </w:tcBorders>
            <w:vAlign w:val="center"/>
          </w:tcPr>
          <w:p w14:paraId="5BD81466">
            <w:pPr>
              <w:autoSpaceDE w:val="0"/>
              <w:autoSpaceDN w:val="0"/>
              <w:adjustRightInd w:val="0"/>
              <w:spacing w:line="360" w:lineRule="auto"/>
              <w:jc w:val="center"/>
              <w:rPr>
                <w:rFonts w:hint="eastAsia" w:ascii="宋体" w:hAnsi="宋体" w:cs="宋体"/>
              </w:rPr>
            </w:pPr>
            <w:r>
              <w:rPr>
                <w:rFonts w:hint="eastAsia" w:ascii="宋体" w:hAnsi="宋体" w:cs="宋体"/>
              </w:rPr>
              <w:t>执业或职业资格证明</w:t>
            </w:r>
          </w:p>
        </w:tc>
        <w:tc>
          <w:tcPr>
            <w:tcW w:w="1398" w:type="dxa"/>
            <w:vMerge w:val="restart"/>
            <w:tcBorders>
              <w:top w:val="single" w:color="000000" w:sz="4" w:space="0"/>
              <w:left w:val="single" w:color="000000" w:sz="4" w:space="0"/>
              <w:right w:val="single" w:color="000000" w:sz="4" w:space="0"/>
            </w:tcBorders>
            <w:vAlign w:val="center"/>
          </w:tcPr>
          <w:p w14:paraId="0B938338">
            <w:pPr>
              <w:autoSpaceDE w:val="0"/>
              <w:autoSpaceDN w:val="0"/>
              <w:adjustRightInd w:val="0"/>
              <w:spacing w:line="360" w:lineRule="auto"/>
              <w:jc w:val="center"/>
              <w:rPr>
                <w:rFonts w:hint="eastAsia" w:ascii="宋体" w:hAnsi="宋体" w:cs="宋体"/>
              </w:rPr>
            </w:pPr>
            <w:r>
              <w:rPr>
                <w:rFonts w:hint="eastAsia" w:ascii="宋体" w:hAnsi="宋体" w:cs="宋体"/>
              </w:rPr>
              <w:t>备注</w:t>
            </w:r>
          </w:p>
        </w:tc>
      </w:tr>
      <w:tr w14:paraId="4E5FF360">
        <w:tblPrEx>
          <w:tblCellMar>
            <w:top w:w="0" w:type="dxa"/>
            <w:left w:w="0" w:type="dxa"/>
            <w:bottom w:w="0" w:type="dxa"/>
            <w:right w:w="0" w:type="dxa"/>
          </w:tblCellMar>
        </w:tblPrEx>
        <w:trPr>
          <w:cantSplit/>
          <w:trHeight w:val="957" w:hRule="exact"/>
        </w:trPr>
        <w:tc>
          <w:tcPr>
            <w:tcW w:w="647" w:type="dxa"/>
            <w:vMerge w:val="continue"/>
            <w:tcBorders>
              <w:top w:val="single" w:color="000000" w:sz="4" w:space="0"/>
              <w:left w:val="single" w:color="000000" w:sz="4" w:space="0"/>
              <w:bottom w:val="single" w:color="000000" w:sz="4" w:space="0"/>
              <w:right w:val="single" w:color="000000" w:sz="4" w:space="0"/>
            </w:tcBorders>
          </w:tcPr>
          <w:p w14:paraId="515AC258">
            <w:pPr>
              <w:autoSpaceDE w:val="0"/>
              <w:autoSpaceDN w:val="0"/>
              <w:adjustRightInd w:val="0"/>
              <w:spacing w:line="360" w:lineRule="auto"/>
              <w:rPr>
                <w:rFonts w:hint="eastAsia" w:ascii="宋体" w:hAnsi="宋体" w:cs="宋体"/>
              </w:rPr>
            </w:pPr>
          </w:p>
        </w:tc>
        <w:tc>
          <w:tcPr>
            <w:tcW w:w="721" w:type="dxa"/>
            <w:vMerge w:val="continue"/>
            <w:tcBorders>
              <w:top w:val="single" w:color="000000" w:sz="4" w:space="0"/>
              <w:left w:val="single" w:color="000000" w:sz="4" w:space="0"/>
              <w:bottom w:val="single" w:color="000000" w:sz="4" w:space="0"/>
              <w:right w:val="single" w:color="000000" w:sz="4" w:space="0"/>
            </w:tcBorders>
          </w:tcPr>
          <w:p w14:paraId="21DE92B8">
            <w:pPr>
              <w:autoSpaceDE w:val="0"/>
              <w:autoSpaceDN w:val="0"/>
              <w:adjustRightInd w:val="0"/>
              <w:spacing w:line="360" w:lineRule="auto"/>
              <w:rPr>
                <w:rFonts w:hint="eastAsia" w:ascii="宋体" w:hAnsi="宋体" w:cs="宋体"/>
              </w:rPr>
            </w:pPr>
          </w:p>
        </w:tc>
        <w:tc>
          <w:tcPr>
            <w:tcW w:w="719" w:type="dxa"/>
            <w:vMerge w:val="continue"/>
            <w:tcBorders>
              <w:top w:val="single" w:color="000000" w:sz="4" w:space="0"/>
              <w:left w:val="single" w:color="000000" w:sz="4" w:space="0"/>
              <w:bottom w:val="single" w:color="000000" w:sz="4" w:space="0"/>
              <w:right w:val="single" w:color="000000" w:sz="4" w:space="0"/>
            </w:tcBorders>
          </w:tcPr>
          <w:p w14:paraId="72AF7422">
            <w:pPr>
              <w:autoSpaceDE w:val="0"/>
              <w:autoSpaceDN w:val="0"/>
              <w:adjustRightInd w:val="0"/>
              <w:spacing w:line="360" w:lineRule="auto"/>
              <w:rPr>
                <w:rFonts w:hint="eastAsia" w:ascii="宋体" w:hAnsi="宋体" w:cs="宋体"/>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50072DA4">
            <w:pPr>
              <w:autoSpaceDE w:val="0"/>
              <w:autoSpaceDN w:val="0"/>
              <w:adjustRightInd w:val="0"/>
              <w:spacing w:line="360" w:lineRule="auto"/>
              <w:jc w:val="center"/>
              <w:rPr>
                <w:rFonts w:hint="eastAsia" w:ascii="宋体" w:hAnsi="宋体" w:cs="宋体"/>
              </w:rPr>
            </w:pPr>
            <w:r>
              <w:rPr>
                <w:rFonts w:hint="eastAsia" w:ascii="宋体" w:hAnsi="宋体" w:cs="宋体"/>
              </w:rPr>
              <w:t>证书名称</w:t>
            </w:r>
          </w:p>
        </w:tc>
        <w:tc>
          <w:tcPr>
            <w:tcW w:w="719" w:type="dxa"/>
            <w:tcBorders>
              <w:top w:val="single" w:color="000000" w:sz="4" w:space="0"/>
              <w:left w:val="single" w:color="000000" w:sz="4" w:space="0"/>
              <w:bottom w:val="single" w:color="000000" w:sz="4" w:space="0"/>
              <w:right w:val="single" w:color="000000" w:sz="4" w:space="0"/>
            </w:tcBorders>
            <w:vAlign w:val="center"/>
          </w:tcPr>
          <w:p w14:paraId="3E6EDEFE">
            <w:pPr>
              <w:autoSpaceDE w:val="0"/>
              <w:autoSpaceDN w:val="0"/>
              <w:adjustRightInd w:val="0"/>
              <w:spacing w:line="360" w:lineRule="auto"/>
              <w:jc w:val="center"/>
              <w:rPr>
                <w:rFonts w:hint="eastAsia" w:ascii="宋体" w:hAnsi="宋体" w:cs="宋体"/>
              </w:rPr>
            </w:pPr>
            <w:r>
              <w:rPr>
                <w:rFonts w:hint="eastAsia" w:ascii="宋体" w:hAnsi="宋体" w:cs="宋体"/>
              </w:rPr>
              <w:t>级别</w:t>
            </w:r>
          </w:p>
        </w:tc>
        <w:tc>
          <w:tcPr>
            <w:tcW w:w="721" w:type="dxa"/>
            <w:tcBorders>
              <w:top w:val="single" w:color="000000" w:sz="4" w:space="0"/>
              <w:left w:val="single" w:color="000000" w:sz="4" w:space="0"/>
              <w:bottom w:val="single" w:color="000000" w:sz="4" w:space="0"/>
              <w:right w:val="single" w:color="000000" w:sz="4" w:space="0"/>
            </w:tcBorders>
            <w:vAlign w:val="center"/>
          </w:tcPr>
          <w:p w14:paraId="3E6D9E20">
            <w:pPr>
              <w:autoSpaceDE w:val="0"/>
              <w:autoSpaceDN w:val="0"/>
              <w:adjustRightInd w:val="0"/>
              <w:spacing w:line="360" w:lineRule="auto"/>
              <w:jc w:val="center"/>
              <w:rPr>
                <w:rFonts w:hint="eastAsia" w:ascii="宋体" w:hAnsi="宋体" w:cs="宋体"/>
              </w:rPr>
            </w:pPr>
            <w:r>
              <w:rPr>
                <w:rFonts w:hint="eastAsia" w:ascii="宋体" w:hAnsi="宋体" w:cs="宋体"/>
              </w:rPr>
              <w:t>证号</w:t>
            </w:r>
          </w:p>
        </w:tc>
        <w:tc>
          <w:tcPr>
            <w:tcW w:w="719" w:type="dxa"/>
            <w:tcBorders>
              <w:top w:val="single" w:color="000000" w:sz="4" w:space="0"/>
              <w:left w:val="single" w:color="000000" w:sz="4" w:space="0"/>
              <w:bottom w:val="single" w:color="000000" w:sz="4" w:space="0"/>
              <w:right w:val="single" w:color="000000" w:sz="4" w:space="0"/>
            </w:tcBorders>
            <w:vAlign w:val="center"/>
          </w:tcPr>
          <w:p w14:paraId="0E580207">
            <w:pPr>
              <w:autoSpaceDE w:val="0"/>
              <w:autoSpaceDN w:val="0"/>
              <w:adjustRightInd w:val="0"/>
              <w:spacing w:line="360" w:lineRule="auto"/>
              <w:jc w:val="center"/>
              <w:rPr>
                <w:rFonts w:hint="eastAsia" w:ascii="宋体" w:hAnsi="宋体" w:cs="宋体"/>
              </w:rPr>
            </w:pPr>
            <w:r>
              <w:rPr>
                <w:rFonts w:hint="eastAsia" w:ascii="宋体" w:hAnsi="宋体" w:cs="宋体"/>
              </w:rPr>
              <w:t>专业</w:t>
            </w:r>
          </w:p>
        </w:tc>
        <w:tc>
          <w:tcPr>
            <w:tcW w:w="2524" w:type="dxa"/>
            <w:tcBorders>
              <w:top w:val="single" w:color="000000" w:sz="4" w:space="0"/>
              <w:left w:val="single" w:color="000000" w:sz="4" w:space="0"/>
              <w:bottom w:val="single" w:color="000000" w:sz="4" w:space="0"/>
              <w:right w:val="single" w:color="000000" w:sz="4" w:space="0"/>
            </w:tcBorders>
            <w:vAlign w:val="center"/>
          </w:tcPr>
          <w:p w14:paraId="61527632">
            <w:pPr>
              <w:autoSpaceDE w:val="0"/>
              <w:autoSpaceDN w:val="0"/>
              <w:adjustRightInd w:val="0"/>
              <w:spacing w:line="360" w:lineRule="auto"/>
              <w:jc w:val="center"/>
              <w:rPr>
                <w:rFonts w:hint="eastAsia" w:ascii="宋体" w:hAnsi="宋体" w:cs="宋体"/>
              </w:rPr>
            </w:pPr>
            <w:r>
              <w:rPr>
                <w:rFonts w:hint="eastAsia" w:ascii="宋体" w:hAnsi="宋体" w:cs="宋体"/>
              </w:rPr>
              <w:t>学历</w:t>
            </w:r>
          </w:p>
        </w:tc>
        <w:tc>
          <w:tcPr>
            <w:tcW w:w="1398" w:type="dxa"/>
            <w:vMerge w:val="continue"/>
            <w:tcBorders>
              <w:left w:val="single" w:color="000000" w:sz="4" w:space="0"/>
              <w:bottom w:val="single" w:color="000000" w:sz="4" w:space="0"/>
              <w:right w:val="single" w:color="000000" w:sz="4" w:space="0"/>
            </w:tcBorders>
          </w:tcPr>
          <w:p w14:paraId="338D4A16">
            <w:pPr>
              <w:autoSpaceDE w:val="0"/>
              <w:autoSpaceDN w:val="0"/>
              <w:adjustRightInd w:val="0"/>
              <w:spacing w:line="360" w:lineRule="auto"/>
              <w:rPr>
                <w:rFonts w:hint="eastAsia" w:ascii="宋体" w:hAnsi="宋体" w:cs="宋体"/>
              </w:rPr>
            </w:pPr>
          </w:p>
        </w:tc>
      </w:tr>
      <w:tr w14:paraId="452BC586">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52088B5B">
            <w:pPr>
              <w:autoSpaceDE w:val="0"/>
              <w:autoSpaceDN w:val="0"/>
              <w:adjustRightInd w:val="0"/>
              <w:spacing w:line="360" w:lineRule="auto"/>
              <w:rPr>
                <w:rFonts w:hint="eastAsia" w:ascii="宋体" w:hAnsi="宋体" w:cs="宋体"/>
              </w:rPr>
            </w:pPr>
          </w:p>
        </w:tc>
        <w:tc>
          <w:tcPr>
            <w:tcW w:w="721" w:type="dxa"/>
            <w:tcBorders>
              <w:top w:val="single" w:color="000000" w:sz="4" w:space="0"/>
              <w:left w:val="single" w:color="000000" w:sz="4" w:space="0"/>
              <w:bottom w:val="single" w:color="000000" w:sz="4" w:space="0"/>
              <w:right w:val="single" w:color="000000" w:sz="4" w:space="0"/>
            </w:tcBorders>
          </w:tcPr>
          <w:p w14:paraId="2CD707F6">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50594368">
            <w:pPr>
              <w:autoSpaceDE w:val="0"/>
              <w:autoSpaceDN w:val="0"/>
              <w:adjustRightInd w:val="0"/>
              <w:spacing w:line="360" w:lineRule="auto"/>
              <w:rPr>
                <w:rFonts w:hint="eastAsia" w:ascii="宋体" w:hAnsi="宋体" w:cs="宋体"/>
              </w:rPr>
            </w:pPr>
          </w:p>
        </w:tc>
        <w:tc>
          <w:tcPr>
            <w:tcW w:w="1081" w:type="dxa"/>
            <w:tcBorders>
              <w:top w:val="single" w:color="000000" w:sz="4" w:space="0"/>
              <w:left w:val="single" w:color="000000" w:sz="4" w:space="0"/>
              <w:bottom w:val="single" w:color="000000" w:sz="4" w:space="0"/>
              <w:right w:val="single" w:color="000000" w:sz="4" w:space="0"/>
            </w:tcBorders>
          </w:tcPr>
          <w:p w14:paraId="0B7BBADC">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24BC47BD">
            <w:pPr>
              <w:autoSpaceDE w:val="0"/>
              <w:autoSpaceDN w:val="0"/>
              <w:adjustRightInd w:val="0"/>
              <w:spacing w:line="360" w:lineRule="auto"/>
              <w:rPr>
                <w:rFonts w:hint="eastAsia" w:ascii="宋体" w:hAnsi="宋体" w:cs="宋体"/>
              </w:rPr>
            </w:pPr>
          </w:p>
        </w:tc>
        <w:tc>
          <w:tcPr>
            <w:tcW w:w="721" w:type="dxa"/>
            <w:tcBorders>
              <w:top w:val="single" w:color="000000" w:sz="4" w:space="0"/>
              <w:left w:val="single" w:color="000000" w:sz="4" w:space="0"/>
              <w:bottom w:val="single" w:color="000000" w:sz="4" w:space="0"/>
              <w:right w:val="single" w:color="000000" w:sz="4" w:space="0"/>
            </w:tcBorders>
          </w:tcPr>
          <w:p w14:paraId="6618F1E1">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660424DF">
            <w:pPr>
              <w:autoSpaceDE w:val="0"/>
              <w:autoSpaceDN w:val="0"/>
              <w:adjustRightInd w:val="0"/>
              <w:spacing w:line="360" w:lineRule="auto"/>
              <w:rPr>
                <w:rFonts w:hint="eastAsia" w:ascii="宋体" w:hAnsi="宋体" w:cs="宋体"/>
              </w:rPr>
            </w:pPr>
          </w:p>
        </w:tc>
        <w:tc>
          <w:tcPr>
            <w:tcW w:w="2524" w:type="dxa"/>
            <w:tcBorders>
              <w:top w:val="single" w:color="000000" w:sz="4" w:space="0"/>
              <w:left w:val="single" w:color="000000" w:sz="4" w:space="0"/>
              <w:bottom w:val="single" w:color="000000" w:sz="4" w:space="0"/>
              <w:right w:val="single" w:color="000000" w:sz="4" w:space="0"/>
            </w:tcBorders>
          </w:tcPr>
          <w:p w14:paraId="48075A93">
            <w:pPr>
              <w:autoSpaceDE w:val="0"/>
              <w:autoSpaceDN w:val="0"/>
              <w:adjustRightInd w:val="0"/>
              <w:spacing w:line="360" w:lineRule="auto"/>
              <w:rPr>
                <w:rFonts w:hint="eastAsia" w:ascii="宋体" w:hAnsi="宋体" w:cs="宋体"/>
              </w:rPr>
            </w:pPr>
          </w:p>
        </w:tc>
        <w:tc>
          <w:tcPr>
            <w:tcW w:w="1398" w:type="dxa"/>
            <w:tcBorders>
              <w:top w:val="single" w:color="000000" w:sz="4" w:space="0"/>
              <w:left w:val="single" w:color="000000" w:sz="4" w:space="0"/>
              <w:bottom w:val="single" w:color="000000" w:sz="4" w:space="0"/>
              <w:right w:val="single" w:color="000000" w:sz="4" w:space="0"/>
            </w:tcBorders>
          </w:tcPr>
          <w:p w14:paraId="5D2A91E4">
            <w:pPr>
              <w:autoSpaceDE w:val="0"/>
              <w:autoSpaceDN w:val="0"/>
              <w:adjustRightInd w:val="0"/>
              <w:spacing w:line="360" w:lineRule="auto"/>
              <w:rPr>
                <w:rFonts w:hint="eastAsia" w:ascii="宋体" w:hAnsi="宋体" w:cs="宋体"/>
              </w:rPr>
            </w:pPr>
          </w:p>
        </w:tc>
      </w:tr>
      <w:tr w14:paraId="7EFB3D9F">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3B457C86">
            <w:pPr>
              <w:autoSpaceDE w:val="0"/>
              <w:autoSpaceDN w:val="0"/>
              <w:adjustRightInd w:val="0"/>
              <w:spacing w:line="360" w:lineRule="auto"/>
              <w:rPr>
                <w:rFonts w:hint="eastAsia" w:ascii="宋体" w:hAnsi="宋体" w:cs="宋体"/>
              </w:rPr>
            </w:pPr>
          </w:p>
        </w:tc>
        <w:tc>
          <w:tcPr>
            <w:tcW w:w="721" w:type="dxa"/>
            <w:tcBorders>
              <w:top w:val="single" w:color="000000" w:sz="4" w:space="0"/>
              <w:left w:val="single" w:color="000000" w:sz="4" w:space="0"/>
              <w:bottom w:val="single" w:color="000000" w:sz="4" w:space="0"/>
              <w:right w:val="single" w:color="000000" w:sz="4" w:space="0"/>
            </w:tcBorders>
          </w:tcPr>
          <w:p w14:paraId="73C6E829">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30C551AD">
            <w:pPr>
              <w:autoSpaceDE w:val="0"/>
              <w:autoSpaceDN w:val="0"/>
              <w:adjustRightInd w:val="0"/>
              <w:spacing w:line="360" w:lineRule="auto"/>
              <w:rPr>
                <w:rFonts w:hint="eastAsia" w:ascii="宋体" w:hAnsi="宋体" w:cs="宋体"/>
              </w:rPr>
            </w:pPr>
          </w:p>
        </w:tc>
        <w:tc>
          <w:tcPr>
            <w:tcW w:w="1081" w:type="dxa"/>
            <w:tcBorders>
              <w:top w:val="single" w:color="000000" w:sz="4" w:space="0"/>
              <w:left w:val="single" w:color="000000" w:sz="4" w:space="0"/>
              <w:bottom w:val="single" w:color="000000" w:sz="4" w:space="0"/>
              <w:right w:val="single" w:color="000000" w:sz="4" w:space="0"/>
            </w:tcBorders>
          </w:tcPr>
          <w:p w14:paraId="1CDB192A">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1C612665">
            <w:pPr>
              <w:autoSpaceDE w:val="0"/>
              <w:autoSpaceDN w:val="0"/>
              <w:adjustRightInd w:val="0"/>
              <w:spacing w:line="360" w:lineRule="auto"/>
              <w:rPr>
                <w:rFonts w:hint="eastAsia" w:ascii="宋体" w:hAnsi="宋体" w:cs="宋体"/>
              </w:rPr>
            </w:pPr>
          </w:p>
        </w:tc>
        <w:tc>
          <w:tcPr>
            <w:tcW w:w="721" w:type="dxa"/>
            <w:tcBorders>
              <w:top w:val="single" w:color="000000" w:sz="4" w:space="0"/>
              <w:left w:val="single" w:color="000000" w:sz="4" w:space="0"/>
              <w:bottom w:val="single" w:color="000000" w:sz="4" w:space="0"/>
              <w:right w:val="single" w:color="000000" w:sz="4" w:space="0"/>
            </w:tcBorders>
          </w:tcPr>
          <w:p w14:paraId="560AA4C4">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715FD641">
            <w:pPr>
              <w:autoSpaceDE w:val="0"/>
              <w:autoSpaceDN w:val="0"/>
              <w:adjustRightInd w:val="0"/>
              <w:spacing w:line="360" w:lineRule="auto"/>
              <w:rPr>
                <w:rFonts w:hint="eastAsia" w:ascii="宋体" w:hAnsi="宋体" w:cs="宋体"/>
              </w:rPr>
            </w:pPr>
          </w:p>
        </w:tc>
        <w:tc>
          <w:tcPr>
            <w:tcW w:w="2524" w:type="dxa"/>
            <w:tcBorders>
              <w:top w:val="single" w:color="000000" w:sz="4" w:space="0"/>
              <w:left w:val="single" w:color="000000" w:sz="4" w:space="0"/>
              <w:bottom w:val="single" w:color="000000" w:sz="4" w:space="0"/>
              <w:right w:val="single" w:color="000000" w:sz="4" w:space="0"/>
            </w:tcBorders>
          </w:tcPr>
          <w:p w14:paraId="04AB80C4">
            <w:pPr>
              <w:autoSpaceDE w:val="0"/>
              <w:autoSpaceDN w:val="0"/>
              <w:adjustRightInd w:val="0"/>
              <w:spacing w:line="360" w:lineRule="auto"/>
              <w:rPr>
                <w:rFonts w:hint="eastAsia" w:ascii="宋体" w:hAnsi="宋体" w:cs="宋体"/>
              </w:rPr>
            </w:pPr>
          </w:p>
        </w:tc>
        <w:tc>
          <w:tcPr>
            <w:tcW w:w="1398" w:type="dxa"/>
            <w:tcBorders>
              <w:top w:val="single" w:color="000000" w:sz="4" w:space="0"/>
              <w:left w:val="single" w:color="000000" w:sz="4" w:space="0"/>
              <w:bottom w:val="single" w:color="000000" w:sz="4" w:space="0"/>
              <w:right w:val="single" w:color="000000" w:sz="4" w:space="0"/>
            </w:tcBorders>
          </w:tcPr>
          <w:p w14:paraId="42778A23">
            <w:pPr>
              <w:autoSpaceDE w:val="0"/>
              <w:autoSpaceDN w:val="0"/>
              <w:adjustRightInd w:val="0"/>
              <w:spacing w:line="360" w:lineRule="auto"/>
              <w:rPr>
                <w:rFonts w:hint="eastAsia" w:ascii="宋体" w:hAnsi="宋体" w:cs="宋体"/>
              </w:rPr>
            </w:pPr>
          </w:p>
        </w:tc>
      </w:tr>
      <w:tr w14:paraId="139BB86E">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077805F6">
            <w:pPr>
              <w:autoSpaceDE w:val="0"/>
              <w:autoSpaceDN w:val="0"/>
              <w:adjustRightInd w:val="0"/>
              <w:spacing w:line="360" w:lineRule="auto"/>
              <w:rPr>
                <w:rFonts w:hint="eastAsia" w:ascii="宋体" w:hAnsi="宋体" w:cs="宋体"/>
              </w:rPr>
            </w:pPr>
          </w:p>
        </w:tc>
        <w:tc>
          <w:tcPr>
            <w:tcW w:w="721" w:type="dxa"/>
            <w:tcBorders>
              <w:top w:val="single" w:color="000000" w:sz="4" w:space="0"/>
              <w:left w:val="single" w:color="000000" w:sz="4" w:space="0"/>
              <w:bottom w:val="single" w:color="000000" w:sz="4" w:space="0"/>
              <w:right w:val="single" w:color="000000" w:sz="4" w:space="0"/>
            </w:tcBorders>
          </w:tcPr>
          <w:p w14:paraId="228951F6">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091A0890">
            <w:pPr>
              <w:autoSpaceDE w:val="0"/>
              <w:autoSpaceDN w:val="0"/>
              <w:adjustRightInd w:val="0"/>
              <w:spacing w:line="360" w:lineRule="auto"/>
              <w:rPr>
                <w:rFonts w:hint="eastAsia" w:ascii="宋体" w:hAnsi="宋体" w:cs="宋体"/>
              </w:rPr>
            </w:pPr>
          </w:p>
        </w:tc>
        <w:tc>
          <w:tcPr>
            <w:tcW w:w="1081" w:type="dxa"/>
            <w:tcBorders>
              <w:top w:val="single" w:color="000000" w:sz="4" w:space="0"/>
              <w:left w:val="single" w:color="000000" w:sz="4" w:space="0"/>
              <w:bottom w:val="single" w:color="000000" w:sz="4" w:space="0"/>
              <w:right w:val="single" w:color="000000" w:sz="4" w:space="0"/>
            </w:tcBorders>
          </w:tcPr>
          <w:p w14:paraId="46C726A6">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612279D5">
            <w:pPr>
              <w:autoSpaceDE w:val="0"/>
              <w:autoSpaceDN w:val="0"/>
              <w:adjustRightInd w:val="0"/>
              <w:spacing w:line="360" w:lineRule="auto"/>
              <w:rPr>
                <w:rFonts w:hint="eastAsia" w:ascii="宋体" w:hAnsi="宋体" w:cs="宋体"/>
              </w:rPr>
            </w:pPr>
          </w:p>
        </w:tc>
        <w:tc>
          <w:tcPr>
            <w:tcW w:w="721" w:type="dxa"/>
            <w:tcBorders>
              <w:top w:val="single" w:color="000000" w:sz="4" w:space="0"/>
              <w:left w:val="single" w:color="000000" w:sz="4" w:space="0"/>
              <w:bottom w:val="single" w:color="000000" w:sz="4" w:space="0"/>
              <w:right w:val="single" w:color="000000" w:sz="4" w:space="0"/>
            </w:tcBorders>
          </w:tcPr>
          <w:p w14:paraId="02A8BDD2">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1E86C1CF">
            <w:pPr>
              <w:autoSpaceDE w:val="0"/>
              <w:autoSpaceDN w:val="0"/>
              <w:adjustRightInd w:val="0"/>
              <w:spacing w:line="360" w:lineRule="auto"/>
              <w:rPr>
                <w:rFonts w:hint="eastAsia" w:ascii="宋体" w:hAnsi="宋体" w:cs="宋体"/>
              </w:rPr>
            </w:pPr>
          </w:p>
        </w:tc>
        <w:tc>
          <w:tcPr>
            <w:tcW w:w="2524" w:type="dxa"/>
            <w:tcBorders>
              <w:top w:val="single" w:color="000000" w:sz="4" w:space="0"/>
              <w:left w:val="single" w:color="000000" w:sz="4" w:space="0"/>
              <w:bottom w:val="single" w:color="000000" w:sz="4" w:space="0"/>
              <w:right w:val="single" w:color="000000" w:sz="4" w:space="0"/>
            </w:tcBorders>
          </w:tcPr>
          <w:p w14:paraId="32C5F599">
            <w:pPr>
              <w:autoSpaceDE w:val="0"/>
              <w:autoSpaceDN w:val="0"/>
              <w:adjustRightInd w:val="0"/>
              <w:spacing w:line="360" w:lineRule="auto"/>
              <w:rPr>
                <w:rFonts w:hint="eastAsia" w:ascii="宋体" w:hAnsi="宋体" w:cs="宋体"/>
              </w:rPr>
            </w:pPr>
          </w:p>
        </w:tc>
        <w:tc>
          <w:tcPr>
            <w:tcW w:w="1398" w:type="dxa"/>
            <w:tcBorders>
              <w:top w:val="single" w:color="000000" w:sz="4" w:space="0"/>
              <w:left w:val="single" w:color="000000" w:sz="4" w:space="0"/>
              <w:bottom w:val="single" w:color="000000" w:sz="4" w:space="0"/>
              <w:right w:val="single" w:color="000000" w:sz="4" w:space="0"/>
            </w:tcBorders>
          </w:tcPr>
          <w:p w14:paraId="6F6BBF6D">
            <w:pPr>
              <w:autoSpaceDE w:val="0"/>
              <w:autoSpaceDN w:val="0"/>
              <w:adjustRightInd w:val="0"/>
              <w:spacing w:line="360" w:lineRule="auto"/>
              <w:rPr>
                <w:rFonts w:hint="eastAsia" w:ascii="宋体" w:hAnsi="宋体" w:cs="宋体"/>
              </w:rPr>
            </w:pPr>
          </w:p>
        </w:tc>
      </w:tr>
      <w:tr w14:paraId="7B7049FD">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57FF02F1">
            <w:pPr>
              <w:autoSpaceDE w:val="0"/>
              <w:autoSpaceDN w:val="0"/>
              <w:adjustRightInd w:val="0"/>
              <w:spacing w:line="360" w:lineRule="auto"/>
              <w:rPr>
                <w:rFonts w:hint="eastAsia" w:ascii="宋体" w:hAnsi="宋体" w:cs="宋体"/>
              </w:rPr>
            </w:pPr>
          </w:p>
        </w:tc>
        <w:tc>
          <w:tcPr>
            <w:tcW w:w="721" w:type="dxa"/>
            <w:tcBorders>
              <w:top w:val="single" w:color="000000" w:sz="4" w:space="0"/>
              <w:left w:val="single" w:color="000000" w:sz="4" w:space="0"/>
              <w:bottom w:val="single" w:color="000000" w:sz="4" w:space="0"/>
              <w:right w:val="single" w:color="000000" w:sz="4" w:space="0"/>
            </w:tcBorders>
          </w:tcPr>
          <w:p w14:paraId="6D20AD1E">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199E4260">
            <w:pPr>
              <w:autoSpaceDE w:val="0"/>
              <w:autoSpaceDN w:val="0"/>
              <w:adjustRightInd w:val="0"/>
              <w:spacing w:line="360" w:lineRule="auto"/>
              <w:rPr>
                <w:rFonts w:hint="eastAsia" w:ascii="宋体" w:hAnsi="宋体" w:cs="宋体"/>
              </w:rPr>
            </w:pPr>
          </w:p>
        </w:tc>
        <w:tc>
          <w:tcPr>
            <w:tcW w:w="1081" w:type="dxa"/>
            <w:tcBorders>
              <w:top w:val="single" w:color="000000" w:sz="4" w:space="0"/>
              <w:left w:val="single" w:color="000000" w:sz="4" w:space="0"/>
              <w:bottom w:val="single" w:color="000000" w:sz="4" w:space="0"/>
              <w:right w:val="single" w:color="000000" w:sz="4" w:space="0"/>
            </w:tcBorders>
          </w:tcPr>
          <w:p w14:paraId="676514B2">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2BD7D6DE">
            <w:pPr>
              <w:autoSpaceDE w:val="0"/>
              <w:autoSpaceDN w:val="0"/>
              <w:adjustRightInd w:val="0"/>
              <w:spacing w:line="360" w:lineRule="auto"/>
              <w:rPr>
                <w:rFonts w:hint="eastAsia" w:ascii="宋体" w:hAnsi="宋体" w:cs="宋体"/>
              </w:rPr>
            </w:pPr>
          </w:p>
        </w:tc>
        <w:tc>
          <w:tcPr>
            <w:tcW w:w="721" w:type="dxa"/>
            <w:tcBorders>
              <w:top w:val="single" w:color="000000" w:sz="4" w:space="0"/>
              <w:left w:val="single" w:color="000000" w:sz="4" w:space="0"/>
              <w:bottom w:val="single" w:color="000000" w:sz="4" w:space="0"/>
              <w:right w:val="single" w:color="000000" w:sz="4" w:space="0"/>
            </w:tcBorders>
          </w:tcPr>
          <w:p w14:paraId="125AD333">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4165091E">
            <w:pPr>
              <w:autoSpaceDE w:val="0"/>
              <w:autoSpaceDN w:val="0"/>
              <w:adjustRightInd w:val="0"/>
              <w:spacing w:line="360" w:lineRule="auto"/>
              <w:rPr>
                <w:rFonts w:hint="eastAsia" w:ascii="宋体" w:hAnsi="宋体" w:cs="宋体"/>
              </w:rPr>
            </w:pPr>
          </w:p>
        </w:tc>
        <w:tc>
          <w:tcPr>
            <w:tcW w:w="2524" w:type="dxa"/>
            <w:tcBorders>
              <w:top w:val="single" w:color="000000" w:sz="4" w:space="0"/>
              <w:left w:val="single" w:color="000000" w:sz="4" w:space="0"/>
              <w:bottom w:val="single" w:color="000000" w:sz="4" w:space="0"/>
              <w:right w:val="single" w:color="000000" w:sz="4" w:space="0"/>
            </w:tcBorders>
          </w:tcPr>
          <w:p w14:paraId="5C1BA993">
            <w:pPr>
              <w:autoSpaceDE w:val="0"/>
              <w:autoSpaceDN w:val="0"/>
              <w:adjustRightInd w:val="0"/>
              <w:spacing w:line="360" w:lineRule="auto"/>
              <w:rPr>
                <w:rFonts w:hint="eastAsia" w:ascii="宋体" w:hAnsi="宋体" w:cs="宋体"/>
              </w:rPr>
            </w:pPr>
          </w:p>
        </w:tc>
        <w:tc>
          <w:tcPr>
            <w:tcW w:w="1398" w:type="dxa"/>
            <w:tcBorders>
              <w:top w:val="single" w:color="000000" w:sz="4" w:space="0"/>
              <w:left w:val="single" w:color="000000" w:sz="4" w:space="0"/>
              <w:bottom w:val="single" w:color="000000" w:sz="4" w:space="0"/>
              <w:right w:val="single" w:color="000000" w:sz="4" w:space="0"/>
            </w:tcBorders>
          </w:tcPr>
          <w:p w14:paraId="2C4558E6">
            <w:pPr>
              <w:autoSpaceDE w:val="0"/>
              <w:autoSpaceDN w:val="0"/>
              <w:adjustRightInd w:val="0"/>
              <w:spacing w:line="360" w:lineRule="auto"/>
              <w:rPr>
                <w:rFonts w:hint="eastAsia" w:ascii="宋体" w:hAnsi="宋体" w:cs="宋体"/>
              </w:rPr>
            </w:pPr>
          </w:p>
        </w:tc>
      </w:tr>
      <w:tr w14:paraId="363B9200">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1DD37855">
            <w:pPr>
              <w:autoSpaceDE w:val="0"/>
              <w:autoSpaceDN w:val="0"/>
              <w:adjustRightInd w:val="0"/>
              <w:spacing w:line="360" w:lineRule="auto"/>
              <w:rPr>
                <w:rFonts w:hint="eastAsia" w:ascii="宋体" w:hAnsi="宋体" w:cs="宋体"/>
              </w:rPr>
            </w:pPr>
          </w:p>
        </w:tc>
        <w:tc>
          <w:tcPr>
            <w:tcW w:w="721" w:type="dxa"/>
            <w:tcBorders>
              <w:top w:val="single" w:color="000000" w:sz="4" w:space="0"/>
              <w:left w:val="single" w:color="000000" w:sz="4" w:space="0"/>
              <w:bottom w:val="single" w:color="000000" w:sz="4" w:space="0"/>
              <w:right w:val="single" w:color="000000" w:sz="4" w:space="0"/>
            </w:tcBorders>
          </w:tcPr>
          <w:p w14:paraId="54BC0D73">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4D5CD3F0">
            <w:pPr>
              <w:autoSpaceDE w:val="0"/>
              <w:autoSpaceDN w:val="0"/>
              <w:adjustRightInd w:val="0"/>
              <w:spacing w:line="360" w:lineRule="auto"/>
              <w:rPr>
                <w:rFonts w:hint="eastAsia" w:ascii="宋体" w:hAnsi="宋体" w:cs="宋体"/>
              </w:rPr>
            </w:pPr>
          </w:p>
        </w:tc>
        <w:tc>
          <w:tcPr>
            <w:tcW w:w="1081" w:type="dxa"/>
            <w:tcBorders>
              <w:top w:val="single" w:color="000000" w:sz="4" w:space="0"/>
              <w:left w:val="single" w:color="000000" w:sz="4" w:space="0"/>
              <w:bottom w:val="single" w:color="000000" w:sz="4" w:space="0"/>
              <w:right w:val="single" w:color="000000" w:sz="4" w:space="0"/>
            </w:tcBorders>
          </w:tcPr>
          <w:p w14:paraId="7D3B6BE2">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6BA6CB2A">
            <w:pPr>
              <w:autoSpaceDE w:val="0"/>
              <w:autoSpaceDN w:val="0"/>
              <w:adjustRightInd w:val="0"/>
              <w:spacing w:line="360" w:lineRule="auto"/>
              <w:rPr>
                <w:rFonts w:hint="eastAsia" w:ascii="宋体" w:hAnsi="宋体" w:cs="宋体"/>
              </w:rPr>
            </w:pPr>
          </w:p>
        </w:tc>
        <w:tc>
          <w:tcPr>
            <w:tcW w:w="721" w:type="dxa"/>
            <w:tcBorders>
              <w:top w:val="single" w:color="000000" w:sz="4" w:space="0"/>
              <w:left w:val="single" w:color="000000" w:sz="4" w:space="0"/>
              <w:bottom w:val="single" w:color="000000" w:sz="4" w:space="0"/>
              <w:right w:val="single" w:color="000000" w:sz="4" w:space="0"/>
            </w:tcBorders>
          </w:tcPr>
          <w:p w14:paraId="78CCF314">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69964AF6">
            <w:pPr>
              <w:autoSpaceDE w:val="0"/>
              <w:autoSpaceDN w:val="0"/>
              <w:adjustRightInd w:val="0"/>
              <w:spacing w:line="360" w:lineRule="auto"/>
              <w:rPr>
                <w:rFonts w:hint="eastAsia" w:ascii="宋体" w:hAnsi="宋体" w:cs="宋体"/>
              </w:rPr>
            </w:pPr>
          </w:p>
        </w:tc>
        <w:tc>
          <w:tcPr>
            <w:tcW w:w="2524" w:type="dxa"/>
            <w:tcBorders>
              <w:top w:val="single" w:color="000000" w:sz="4" w:space="0"/>
              <w:left w:val="single" w:color="000000" w:sz="4" w:space="0"/>
              <w:bottom w:val="single" w:color="000000" w:sz="4" w:space="0"/>
              <w:right w:val="single" w:color="000000" w:sz="4" w:space="0"/>
            </w:tcBorders>
          </w:tcPr>
          <w:p w14:paraId="45C6B395">
            <w:pPr>
              <w:autoSpaceDE w:val="0"/>
              <w:autoSpaceDN w:val="0"/>
              <w:adjustRightInd w:val="0"/>
              <w:spacing w:line="360" w:lineRule="auto"/>
              <w:rPr>
                <w:rFonts w:hint="eastAsia" w:ascii="宋体" w:hAnsi="宋体" w:cs="宋体"/>
              </w:rPr>
            </w:pPr>
          </w:p>
        </w:tc>
        <w:tc>
          <w:tcPr>
            <w:tcW w:w="1398" w:type="dxa"/>
            <w:tcBorders>
              <w:top w:val="single" w:color="000000" w:sz="4" w:space="0"/>
              <w:left w:val="single" w:color="000000" w:sz="4" w:space="0"/>
              <w:bottom w:val="single" w:color="000000" w:sz="4" w:space="0"/>
              <w:right w:val="single" w:color="000000" w:sz="4" w:space="0"/>
            </w:tcBorders>
          </w:tcPr>
          <w:p w14:paraId="72E42A66">
            <w:pPr>
              <w:autoSpaceDE w:val="0"/>
              <w:autoSpaceDN w:val="0"/>
              <w:adjustRightInd w:val="0"/>
              <w:spacing w:line="360" w:lineRule="auto"/>
              <w:rPr>
                <w:rFonts w:hint="eastAsia" w:ascii="宋体" w:hAnsi="宋体" w:cs="宋体"/>
              </w:rPr>
            </w:pPr>
          </w:p>
        </w:tc>
      </w:tr>
      <w:tr w14:paraId="6FF8FD74">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265CE916">
            <w:pPr>
              <w:autoSpaceDE w:val="0"/>
              <w:autoSpaceDN w:val="0"/>
              <w:adjustRightInd w:val="0"/>
              <w:spacing w:line="360" w:lineRule="auto"/>
              <w:rPr>
                <w:rFonts w:hint="eastAsia" w:ascii="宋体" w:hAnsi="宋体" w:cs="宋体"/>
              </w:rPr>
            </w:pPr>
          </w:p>
        </w:tc>
        <w:tc>
          <w:tcPr>
            <w:tcW w:w="721" w:type="dxa"/>
            <w:tcBorders>
              <w:top w:val="single" w:color="000000" w:sz="4" w:space="0"/>
              <w:left w:val="single" w:color="000000" w:sz="4" w:space="0"/>
              <w:bottom w:val="single" w:color="000000" w:sz="4" w:space="0"/>
              <w:right w:val="single" w:color="000000" w:sz="4" w:space="0"/>
            </w:tcBorders>
          </w:tcPr>
          <w:p w14:paraId="5566B7B9">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60A32007">
            <w:pPr>
              <w:autoSpaceDE w:val="0"/>
              <w:autoSpaceDN w:val="0"/>
              <w:adjustRightInd w:val="0"/>
              <w:spacing w:line="360" w:lineRule="auto"/>
              <w:rPr>
                <w:rFonts w:hint="eastAsia" w:ascii="宋体" w:hAnsi="宋体" w:cs="宋体"/>
              </w:rPr>
            </w:pPr>
          </w:p>
        </w:tc>
        <w:tc>
          <w:tcPr>
            <w:tcW w:w="1081" w:type="dxa"/>
            <w:tcBorders>
              <w:top w:val="single" w:color="000000" w:sz="4" w:space="0"/>
              <w:left w:val="single" w:color="000000" w:sz="4" w:space="0"/>
              <w:bottom w:val="single" w:color="000000" w:sz="4" w:space="0"/>
              <w:right w:val="single" w:color="000000" w:sz="4" w:space="0"/>
            </w:tcBorders>
          </w:tcPr>
          <w:p w14:paraId="6D1094FE">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3030B60E">
            <w:pPr>
              <w:autoSpaceDE w:val="0"/>
              <w:autoSpaceDN w:val="0"/>
              <w:adjustRightInd w:val="0"/>
              <w:spacing w:line="360" w:lineRule="auto"/>
              <w:rPr>
                <w:rFonts w:hint="eastAsia" w:ascii="宋体" w:hAnsi="宋体" w:cs="宋体"/>
              </w:rPr>
            </w:pPr>
          </w:p>
        </w:tc>
        <w:tc>
          <w:tcPr>
            <w:tcW w:w="721" w:type="dxa"/>
            <w:tcBorders>
              <w:top w:val="single" w:color="000000" w:sz="4" w:space="0"/>
              <w:left w:val="single" w:color="000000" w:sz="4" w:space="0"/>
              <w:bottom w:val="single" w:color="000000" w:sz="4" w:space="0"/>
              <w:right w:val="single" w:color="000000" w:sz="4" w:space="0"/>
            </w:tcBorders>
          </w:tcPr>
          <w:p w14:paraId="57C51292">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3E6662ED">
            <w:pPr>
              <w:autoSpaceDE w:val="0"/>
              <w:autoSpaceDN w:val="0"/>
              <w:adjustRightInd w:val="0"/>
              <w:spacing w:line="360" w:lineRule="auto"/>
              <w:rPr>
                <w:rFonts w:hint="eastAsia" w:ascii="宋体" w:hAnsi="宋体" w:cs="宋体"/>
              </w:rPr>
            </w:pPr>
          </w:p>
        </w:tc>
        <w:tc>
          <w:tcPr>
            <w:tcW w:w="2524" w:type="dxa"/>
            <w:tcBorders>
              <w:top w:val="single" w:color="000000" w:sz="4" w:space="0"/>
              <w:left w:val="single" w:color="000000" w:sz="4" w:space="0"/>
              <w:bottom w:val="single" w:color="000000" w:sz="4" w:space="0"/>
              <w:right w:val="single" w:color="000000" w:sz="4" w:space="0"/>
            </w:tcBorders>
          </w:tcPr>
          <w:p w14:paraId="78EDE98C">
            <w:pPr>
              <w:autoSpaceDE w:val="0"/>
              <w:autoSpaceDN w:val="0"/>
              <w:adjustRightInd w:val="0"/>
              <w:spacing w:line="360" w:lineRule="auto"/>
              <w:rPr>
                <w:rFonts w:hint="eastAsia" w:ascii="宋体" w:hAnsi="宋体" w:cs="宋体"/>
              </w:rPr>
            </w:pPr>
          </w:p>
        </w:tc>
        <w:tc>
          <w:tcPr>
            <w:tcW w:w="1398" w:type="dxa"/>
            <w:tcBorders>
              <w:top w:val="single" w:color="000000" w:sz="4" w:space="0"/>
              <w:left w:val="single" w:color="000000" w:sz="4" w:space="0"/>
              <w:bottom w:val="single" w:color="000000" w:sz="4" w:space="0"/>
              <w:right w:val="single" w:color="000000" w:sz="4" w:space="0"/>
            </w:tcBorders>
          </w:tcPr>
          <w:p w14:paraId="5A259CB0">
            <w:pPr>
              <w:autoSpaceDE w:val="0"/>
              <w:autoSpaceDN w:val="0"/>
              <w:adjustRightInd w:val="0"/>
              <w:spacing w:line="360" w:lineRule="auto"/>
              <w:rPr>
                <w:rFonts w:hint="eastAsia" w:ascii="宋体" w:hAnsi="宋体" w:cs="宋体"/>
              </w:rPr>
            </w:pPr>
          </w:p>
        </w:tc>
      </w:tr>
      <w:tr w14:paraId="5284470A">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3E202C19">
            <w:pPr>
              <w:autoSpaceDE w:val="0"/>
              <w:autoSpaceDN w:val="0"/>
              <w:adjustRightInd w:val="0"/>
              <w:spacing w:line="360" w:lineRule="auto"/>
              <w:rPr>
                <w:rFonts w:hint="eastAsia" w:ascii="宋体" w:hAnsi="宋体" w:cs="宋体"/>
              </w:rPr>
            </w:pPr>
          </w:p>
        </w:tc>
        <w:tc>
          <w:tcPr>
            <w:tcW w:w="721" w:type="dxa"/>
            <w:tcBorders>
              <w:top w:val="single" w:color="000000" w:sz="4" w:space="0"/>
              <w:left w:val="single" w:color="000000" w:sz="4" w:space="0"/>
              <w:bottom w:val="single" w:color="000000" w:sz="4" w:space="0"/>
              <w:right w:val="single" w:color="000000" w:sz="4" w:space="0"/>
            </w:tcBorders>
          </w:tcPr>
          <w:p w14:paraId="734896B7">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42CAF04D">
            <w:pPr>
              <w:autoSpaceDE w:val="0"/>
              <w:autoSpaceDN w:val="0"/>
              <w:adjustRightInd w:val="0"/>
              <w:spacing w:line="360" w:lineRule="auto"/>
              <w:rPr>
                <w:rFonts w:hint="eastAsia" w:ascii="宋体" w:hAnsi="宋体" w:cs="宋体"/>
              </w:rPr>
            </w:pPr>
          </w:p>
        </w:tc>
        <w:tc>
          <w:tcPr>
            <w:tcW w:w="1081" w:type="dxa"/>
            <w:tcBorders>
              <w:top w:val="single" w:color="000000" w:sz="4" w:space="0"/>
              <w:left w:val="single" w:color="000000" w:sz="4" w:space="0"/>
              <w:bottom w:val="single" w:color="000000" w:sz="4" w:space="0"/>
              <w:right w:val="single" w:color="000000" w:sz="4" w:space="0"/>
            </w:tcBorders>
          </w:tcPr>
          <w:p w14:paraId="7E71A3B1">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68A1C8D1">
            <w:pPr>
              <w:autoSpaceDE w:val="0"/>
              <w:autoSpaceDN w:val="0"/>
              <w:adjustRightInd w:val="0"/>
              <w:spacing w:line="360" w:lineRule="auto"/>
              <w:rPr>
                <w:rFonts w:hint="eastAsia" w:ascii="宋体" w:hAnsi="宋体" w:cs="宋体"/>
              </w:rPr>
            </w:pPr>
          </w:p>
        </w:tc>
        <w:tc>
          <w:tcPr>
            <w:tcW w:w="721" w:type="dxa"/>
            <w:tcBorders>
              <w:top w:val="single" w:color="000000" w:sz="4" w:space="0"/>
              <w:left w:val="single" w:color="000000" w:sz="4" w:space="0"/>
              <w:bottom w:val="single" w:color="000000" w:sz="4" w:space="0"/>
              <w:right w:val="single" w:color="000000" w:sz="4" w:space="0"/>
            </w:tcBorders>
          </w:tcPr>
          <w:p w14:paraId="21A1DC29">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5987C964">
            <w:pPr>
              <w:autoSpaceDE w:val="0"/>
              <w:autoSpaceDN w:val="0"/>
              <w:adjustRightInd w:val="0"/>
              <w:spacing w:line="360" w:lineRule="auto"/>
              <w:rPr>
                <w:rFonts w:hint="eastAsia" w:ascii="宋体" w:hAnsi="宋体" w:cs="宋体"/>
              </w:rPr>
            </w:pPr>
          </w:p>
        </w:tc>
        <w:tc>
          <w:tcPr>
            <w:tcW w:w="2524" w:type="dxa"/>
            <w:tcBorders>
              <w:top w:val="single" w:color="000000" w:sz="4" w:space="0"/>
              <w:left w:val="single" w:color="000000" w:sz="4" w:space="0"/>
              <w:bottom w:val="single" w:color="000000" w:sz="4" w:space="0"/>
              <w:right w:val="single" w:color="000000" w:sz="4" w:space="0"/>
            </w:tcBorders>
          </w:tcPr>
          <w:p w14:paraId="4945D985">
            <w:pPr>
              <w:autoSpaceDE w:val="0"/>
              <w:autoSpaceDN w:val="0"/>
              <w:adjustRightInd w:val="0"/>
              <w:spacing w:line="360" w:lineRule="auto"/>
              <w:rPr>
                <w:rFonts w:hint="eastAsia" w:ascii="宋体" w:hAnsi="宋体" w:cs="宋体"/>
              </w:rPr>
            </w:pPr>
          </w:p>
        </w:tc>
        <w:tc>
          <w:tcPr>
            <w:tcW w:w="1398" w:type="dxa"/>
            <w:tcBorders>
              <w:top w:val="single" w:color="000000" w:sz="4" w:space="0"/>
              <w:left w:val="single" w:color="000000" w:sz="4" w:space="0"/>
              <w:bottom w:val="single" w:color="000000" w:sz="4" w:space="0"/>
              <w:right w:val="single" w:color="000000" w:sz="4" w:space="0"/>
            </w:tcBorders>
          </w:tcPr>
          <w:p w14:paraId="17B69524">
            <w:pPr>
              <w:autoSpaceDE w:val="0"/>
              <w:autoSpaceDN w:val="0"/>
              <w:adjustRightInd w:val="0"/>
              <w:spacing w:line="360" w:lineRule="auto"/>
              <w:rPr>
                <w:rFonts w:hint="eastAsia" w:ascii="宋体" w:hAnsi="宋体" w:cs="宋体"/>
              </w:rPr>
            </w:pPr>
          </w:p>
        </w:tc>
      </w:tr>
      <w:tr w14:paraId="79379562">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37A636FB">
            <w:pPr>
              <w:autoSpaceDE w:val="0"/>
              <w:autoSpaceDN w:val="0"/>
              <w:adjustRightInd w:val="0"/>
              <w:spacing w:line="360" w:lineRule="auto"/>
              <w:rPr>
                <w:rFonts w:hint="eastAsia" w:ascii="宋体" w:hAnsi="宋体" w:cs="宋体"/>
              </w:rPr>
            </w:pPr>
          </w:p>
        </w:tc>
        <w:tc>
          <w:tcPr>
            <w:tcW w:w="721" w:type="dxa"/>
            <w:tcBorders>
              <w:top w:val="single" w:color="000000" w:sz="4" w:space="0"/>
              <w:left w:val="single" w:color="000000" w:sz="4" w:space="0"/>
              <w:bottom w:val="single" w:color="000000" w:sz="4" w:space="0"/>
              <w:right w:val="single" w:color="000000" w:sz="4" w:space="0"/>
            </w:tcBorders>
          </w:tcPr>
          <w:p w14:paraId="7E9807AF">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296BAFE0">
            <w:pPr>
              <w:autoSpaceDE w:val="0"/>
              <w:autoSpaceDN w:val="0"/>
              <w:adjustRightInd w:val="0"/>
              <w:spacing w:line="360" w:lineRule="auto"/>
              <w:rPr>
                <w:rFonts w:hint="eastAsia" w:ascii="宋体" w:hAnsi="宋体" w:cs="宋体"/>
              </w:rPr>
            </w:pPr>
          </w:p>
        </w:tc>
        <w:tc>
          <w:tcPr>
            <w:tcW w:w="1081" w:type="dxa"/>
            <w:tcBorders>
              <w:top w:val="single" w:color="000000" w:sz="4" w:space="0"/>
              <w:left w:val="single" w:color="000000" w:sz="4" w:space="0"/>
              <w:bottom w:val="single" w:color="000000" w:sz="4" w:space="0"/>
              <w:right w:val="single" w:color="000000" w:sz="4" w:space="0"/>
            </w:tcBorders>
          </w:tcPr>
          <w:p w14:paraId="2346DC0C">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7074909F">
            <w:pPr>
              <w:autoSpaceDE w:val="0"/>
              <w:autoSpaceDN w:val="0"/>
              <w:adjustRightInd w:val="0"/>
              <w:spacing w:line="360" w:lineRule="auto"/>
              <w:rPr>
                <w:rFonts w:hint="eastAsia" w:ascii="宋体" w:hAnsi="宋体" w:cs="宋体"/>
              </w:rPr>
            </w:pPr>
          </w:p>
        </w:tc>
        <w:tc>
          <w:tcPr>
            <w:tcW w:w="721" w:type="dxa"/>
            <w:tcBorders>
              <w:top w:val="single" w:color="000000" w:sz="4" w:space="0"/>
              <w:left w:val="single" w:color="000000" w:sz="4" w:space="0"/>
              <w:bottom w:val="single" w:color="000000" w:sz="4" w:space="0"/>
              <w:right w:val="single" w:color="000000" w:sz="4" w:space="0"/>
            </w:tcBorders>
          </w:tcPr>
          <w:p w14:paraId="42DD22EA">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38914E4A">
            <w:pPr>
              <w:autoSpaceDE w:val="0"/>
              <w:autoSpaceDN w:val="0"/>
              <w:adjustRightInd w:val="0"/>
              <w:spacing w:line="360" w:lineRule="auto"/>
              <w:rPr>
                <w:rFonts w:hint="eastAsia" w:ascii="宋体" w:hAnsi="宋体" w:cs="宋体"/>
              </w:rPr>
            </w:pPr>
          </w:p>
        </w:tc>
        <w:tc>
          <w:tcPr>
            <w:tcW w:w="2524" w:type="dxa"/>
            <w:tcBorders>
              <w:top w:val="single" w:color="000000" w:sz="4" w:space="0"/>
              <w:left w:val="single" w:color="000000" w:sz="4" w:space="0"/>
              <w:bottom w:val="single" w:color="000000" w:sz="4" w:space="0"/>
              <w:right w:val="single" w:color="000000" w:sz="4" w:space="0"/>
            </w:tcBorders>
          </w:tcPr>
          <w:p w14:paraId="39753A36">
            <w:pPr>
              <w:autoSpaceDE w:val="0"/>
              <w:autoSpaceDN w:val="0"/>
              <w:adjustRightInd w:val="0"/>
              <w:spacing w:line="360" w:lineRule="auto"/>
              <w:rPr>
                <w:rFonts w:hint="eastAsia" w:ascii="宋体" w:hAnsi="宋体" w:cs="宋体"/>
              </w:rPr>
            </w:pPr>
          </w:p>
        </w:tc>
        <w:tc>
          <w:tcPr>
            <w:tcW w:w="1398" w:type="dxa"/>
            <w:tcBorders>
              <w:top w:val="single" w:color="000000" w:sz="4" w:space="0"/>
              <w:left w:val="single" w:color="000000" w:sz="4" w:space="0"/>
              <w:bottom w:val="single" w:color="000000" w:sz="4" w:space="0"/>
              <w:right w:val="single" w:color="000000" w:sz="4" w:space="0"/>
            </w:tcBorders>
          </w:tcPr>
          <w:p w14:paraId="6146EE79">
            <w:pPr>
              <w:autoSpaceDE w:val="0"/>
              <w:autoSpaceDN w:val="0"/>
              <w:adjustRightInd w:val="0"/>
              <w:spacing w:line="360" w:lineRule="auto"/>
              <w:rPr>
                <w:rFonts w:hint="eastAsia" w:ascii="宋体" w:hAnsi="宋体" w:cs="宋体"/>
              </w:rPr>
            </w:pPr>
          </w:p>
        </w:tc>
      </w:tr>
      <w:tr w14:paraId="378EEA21">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646AD359">
            <w:pPr>
              <w:autoSpaceDE w:val="0"/>
              <w:autoSpaceDN w:val="0"/>
              <w:adjustRightInd w:val="0"/>
              <w:spacing w:line="360" w:lineRule="auto"/>
              <w:rPr>
                <w:rFonts w:hint="eastAsia" w:ascii="宋体" w:hAnsi="宋体" w:cs="宋体"/>
              </w:rPr>
            </w:pPr>
          </w:p>
        </w:tc>
        <w:tc>
          <w:tcPr>
            <w:tcW w:w="721" w:type="dxa"/>
            <w:tcBorders>
              <w:top w:val="single" w:color="000000" w:sz="4" w:space="0"/>
              <w:left w:val="single" w:color="000000" w:sz="4" w:space="0"/>
              <w:bottom w:val="single" w:color="000000" w:sz="4" w:space="0"/>
              <w:right w:val="single" w:color="000000" w:sz="4" w:space="0"/>
            </w:tcBorders>
          </w:tcPr>
          <w:p w14:paraId="713AFC2F">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7EE984C4">
            <w:pPr>
              <w:autoSpaceDE w:val="0"/>
              <w:autoSpaceDN w:val="0"/>
              <w:adjustRightInd w:val="0"/>
              <w:spacing w:line="360" w:lineRule="auto"/>
              <w:rPr>
                <w:rFonts w:hint="eastAsia" w:ascii="宋体" w:hAnsi="宋体" w:cs="宋体"/>
              </w:rPr>
            </w:pPr>
          </w:p>
        </w:tc>
        <w:tc>
          <w:tcPr>
            <w:tcW w:w="1081" w:type="dxa"/>
            <w:tcBorders>
              <w:top w:val="single" w:color="000000" w:sz="4" w:space="0"/>
              <w:left w:val="single" w:color="000000" w:sz="4" w:space="0"/>
              <w:bottom w:val="single" w:color="000000" w:sz="4" w:space="0"/>
              <w:right w:val="single" w:color="000000" w:sz="4" w:space="0"/>
            </w:tcBorders>
          </w:tcPr>
          <w:p w14:paraId="5F975068">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4AF493B3">
            <w:pPr>
              <w:autoSpaceDE w:val="0"/>
              <w:autoSpaceDN w:val="0"/>
              <w:adjustRightInd w:val="0"/>
              <w:spacing w:line="360" w:lineRule="auto"/>
              <w:rPr>
                <w:rFonts w:hint="eastAsia" w:ascii="宋体" w:hAnsi="宋体" w:cs="宋体"/>
              </w:rPr>
            </w:pPr>
          </w:p>
        </w:tc>
        <w:tc>
          <w:tcPr>
            <w:tcW w:w="721" w:type="dxa"/>
            <w:tcBorders>
              <w:top w:val="single" w:color="000000" w:sz="4" w:space="0"/>
              <w:left w:val="single" w:color="000000" w:sz="4" w:space="0"/>
              <w:bottom w:val="single" w:color="000000" w:sz="4" w:space="0"/>
              <w:right w:val="single" w:color="000000" w:sz="4" w:space="0"/>
            </w:tcBorders>
          </w:tcPr>
          <w:p w14:paraId="23D325C7">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765CFE69">
            <w:pPr>
              <w:autoSpaceDE w:val="0"/>
              <w:autoSpaceDN w:val="0"/>
              <w:adjustRightInd w:val="0"/>
              <w:spacing w:line="360" w:lineRule="auto"/>
              <w:rPr>
                <w:rFonts w:hint="eastAsia" w:ascii="宋体" w:hAnsi="宋体" w:cs="宋体"/>
              </w:rPr>
            </w:pPr>
          </w:p>
        </w:tc>
        <w:tc>
          <w:tcPr>
            <w:tcW w:w="2524" w:type="dxa"/>
            <w:tcBorders>
              <w:top w:val="single" w:color="000000" w:sz="4" w:space="0"/>
              <w:left w:val="single" w:color="000000" w:sz="4" w:space="0"/>
              <w:bottom w:val="single" w:color="000000" w:sz="4" w:space="0"/>
              <w:right w:val="single" w:color="000000" w:sz="4" w:space="0"/>
            </w:tcBorders>
          </w:tcPr>
          <w:p w14:paraId="6898E80B">
            <w:pPr>
              <w:autoSpaceDE w:val="0"/>
              <w:autoSpaceDN w:val="0"/>
              <w:adjustRightInd w:val="0"/>
              <w:spacing w:line="360" w:lineRule="auto"/>
              <w:rPr>
                <w:rFonts w:hint="eastAsia" w:ascii="宋体" w:hAnsi="宋体" w:cs="宋体"/>
              </w:rPr>
            </w:pPr>
          </w:p>
        </w:tc>
        <w:tc>
          <w:tcPr>
            <w:tcW w:w="1398" w:type="dxa"/>
            <w:tcBorders>
              <w:top w:val="single" w:color="000000" w:sz="4" w:space="0"/>
              <w:left w:val="single" w:color="000000" w:sz="4" w:space="0"/>
              <w:bottom w:val="single" w:color="000000" w:sz="4" w:space="0"/>
              <w:right w:val="single" w:color="000000" w:sz="4" w:space="0"/>
            </w:tcBorders>
          </w:tcPr>
          <w:p w14:paraId="4D0AEF66">
            <w:pPr>
              <w:autoSpaceDE w:val="0"/>
              <w:autoSpaceDN w:val="0"/>
              <w:adjustRightInd w:val="0"/>
              <w:spacing w:line="360" w:lineRule="auto"/>
              <w:rPr>
                <w:rFonts w:hint="eastAsia" w:ascii="宋体" w:hAnsi="宋体" w:cs="宋体"/>
              </w:rPr>
            </w:pPr>
          </w:p>
        </w:tc>
      </w:tr>
      <w:tr w14:paraId="59F60956">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00B8D82C">
            <w:pPr>
              <w:autoSpaceDE w:val="0"/>
              <w:autoSpaceDN w:val="0"/>
              <w:adjustRightInd w:val="0"/>
              <w:spacing w:line="360" w:lineRule="auto"/>
              <w:rPr>
                <w:rFonts w:hint="eastAsia" w:ascii="宋体" w:hAnsi="宋体" w:cs="宋体"/>
              </w:rPr>
            </w:pPr>
          </w:p>
        </w:tc>
        <w:tc>
          <w:tcPr>
            <w:tcW w:w="721" w:type="dxa"/>
            <w:tcBorders>
              <w:top w:val="single" w:color="000000" w:sz="4" w:space="0"/>
              <w:left w:val="single" w:color="000000" w:sz="4" w:space="0"/>
              <w:bottom w:val="single" w:color="000000" w:sz="4" w:space="0"/>
              <w:right w:val="single" w:color="000000" w:sz="4" w:space="0"/>
            </w:tcBorders>
          </w:tcPr>
          <w:p w14:paraId="4E49BDD7">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7E04C13C">
            <w:pPr>
              <w:autoSpaceDE w:val="0"/>
              <w:autoSpaceDN w:val="0"/>
              <w:adjustRightInd w:val="0"/>
              <w:spacing w:line="360" w:lineRule="auto"/>
              <w:rPr>
                <w:rFonts w:hint="eastAsia" w:ascii="宋体" w:hAnsi="宋体" w:cs="宋体"/>
              </w:rPr>
            </w:pPr>
          </w:p>
        </w:tc>
        <w:tc>
          <w:tcPr>
            <w:tcW w:w="1081" w:type="dxa"/>
            <w:tcBorders>
              <w:top w:val="single" w:color="000000" w:sz="4" w:space="0"/>
              <w:left w:val="single" w:color="000000" w:sz="4" w:space="0"/>
              <w:bottom w:val="single" w:color="000000" w:sz="4" w:space="0"/>
              <w:right w:val="single" w:color="000000" w:sz="4" w:space="0"/>
            </w:tcBorders>
          </w:tcPr>
          <w:p w14:paraId="17762830">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2AF089FD">
            <w:pPr>
              <w:autoSpaceDE w:val="0"/>
              <w:autoSpaceDN w:val="0"/>
              <w:adjustRightInd w:val="0"/>
              <w:spacing w:line="360" w:lineRule="auto"/>
              <w:rPr>
                <w:rFonts w:hint="eastAsia" w:ascii="宋体" w:hAnsi="宋体" w:cs="宋体"/>
              </w:rPr>
            </w:pPr>
          </w:p>
        </w:tc>
        <w:tc>
          <w:tcPr>
            <w:tcW w:w="721" w:type="dxa"/>
            <w:tcBorders>
              <w:top w:val="single" w:color="000000" w:sz="4" w:space="0"/>
              <w:left w:val="single" w:color="000000" w:sz="4" w:space="0"/>
              <w:bottom w:val="single" w:color="000000" w:sz="4" w:space="0"/>
              <w:right w:val="single" w:color="000000" w:sz="4" w:space="0"/>
            </w:tcBorders>
          </w:tcPr>
          <w:p w14:paraId="68EA6C80">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0451502F">
            <w:pPr>
              <w:autoSpaceDE w:val="0"/>
              <w:autoSpaceDN w:val="0"/>
              <w:adjustRightInd w:val="0"/>
              <w:spacing w:line="360" w:lineRule="auto"/>
              <w:rPr>
                <w:rFonts w:hint="eastAsia" w:ascii="宋体" w:hAnsi="宋体" w:cs="宋体"/>
              </w:rPr>
            </w:pPr>
          </w:p>
        </w:tc>
        <w:tc>
          <w:tcPr>
            <w:tcW w:w="2524" w:type="dxa"/>
            <w:tcBorders>
              <w:top w:val="single" w:color="000000" w:sz="4" w:space="0"/>
              <w:left w:val="single" w:color="000000" w:sz="4" w:space="0"/>
              <w:bottom w:val="single" w:color="000000" w:sz="4" w:space="0"/>
              <w:right w:val="single" w:color="000000" w:sz="4" w:space="0"/>
            </w:tcBorders>
          </w:tcPr>
          <w:p w14:paraId="3E7DBAD8">
            <w:pPr>
              <w:autoSpaceDE w:val="0"/>
              <w:autoSpaceDN w:val="0"/>
              <w:adjustRightInd w:val="0"/>
              <w:spacing w:line="360" w:lineRule="auto"/>
              <w:rPr>
                <w:rFonts w:hint="eastAsia" w:ascii="宋体" w:hAnsi="宋体" w:cs="宋体"/>
              </w:rPr>
            </w:pPr>
          </w:p>
        </w:tc>
        <w:tc>
          <w:tcPr>
            <w:tcW w:w="1398" w:type="dxa"/>
            <w:tcBorders>
              <w:top w:val="single" w:color="000000" w:sz="4" w:space="0"/>
              <w:left w:val="single" w:color="000000" w:sz="4" w:space="0"/>
              <w:bottom w:val="single" w:color="000000" w:sz="4" w:space="0"/>
              <w:right w:val="single" w:color="000000" w:sz="4" w:space="0"/>
            </w:tcBorders>
          </w:tcPr>
          <w:p w14:paraId="7875CAE7">
            <w:pPr>
              <w:autoSpaceDE w:val="0"/>
              <w:autoSpaceDN w:val="0"/>
              <w:adjustRightInd w:val="0"/>
              <w:spacing w:line="360" w:lineRule="auto"/>
              <w:rPr>
                <w:rFonts w:hint="eastAsia" w:ascii="宋体" w:hAnsi="宋体" w:cs="宋体"/>
              </w:rPr>
            </w:pPr>
          </w:p>
        </w:tc>
      </w:tr>
      <w:tr w14:paraId="1D722143">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4ED1072D">
            <w:pPr>
              <w:autoSpaceDE w:val="0"/>
              <w:autoSpaceDN w:val="0"/>
              <w:adjustRightInd w:val="0"/>
              <w:spacing w:line="360" w:lineRule="auto"/>
              <w:rPr>
                <w:rFonts w:hint="eastAsia" w:ascii="宋体" w:hAnsi="宋体" w:cs="宋体"/>
              </w:rPr>
            </w:pPr>
          </w:p>
        </w:tc>
        <w:tc>
          <w:tcPr>
            <w:tcW w:w="721" w:type="dxa"/>
            <w:tcBorders>
              <w:top w:val="single" w:color="000000" w:sz="4" w:space="0"/>
              <w:left w:val="single" w:color="000000" w:sz="4" w:space="0"/>
              <w:bottom w:val="single" w:color="000000" w:sz="4" w:space="0"/>
              <w:right w:val="single" w:color="000000" w:sz="4" w:space="0"/>
            </w:tcBorders>
          </w:tcPr>
          <w:p w14:paraId="440D2882">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47D7D0ED">
            <w:pPr>
              <w:autoSpaceDE w:val="0"/>
              <w:autoSpaceDN w:val="0"/>
              <w:adjustRightInd w:val="0"/>
              <w:spacing w:line="360" w:lineRule="auto"/>
              <w:rPr>
                <w:rFonts w:hint="eastAsia" w:ascii="宋体" w:hAnsi="宋体" w:cs="宋体"/>
              </w:rPr>
            </w:pPr>
          </w:p>
        </w:tc>
        <w:tc>
          <w:tcPr>
            <w:tcW w:w="1081" w:type="dxa"/>
            <w:tcBorders>
              <w:top w:val="single" w:color="000000" w:sz="4" w:space="0"/>
              <w:left w:val="single" w:color="000000" w:sz="4" w:space="0"/>
              <w:bottom w:val="single" w:color="000000" w:sz="4" w:space="0"/>
              <w:right w:val="single" w:color="000000" w:sz="4" w:space="0"/>
            </w:tcBorders>
          </w:tcPr>
          <w:p w14:paraId="3D76FBCD">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18A6A9F0">
            <w:pPr>
              <w:autoSpaceDE w:val="0"/>
              <w:autoSpaceDN w:val="0"/>
              <w:adjustRightInd w:val="0"/>
              <w:spacing w:line="360" w:lineRule="auto"/>
              <w:rPr>
                <w:rFonts w:hint="eastAsia" w:ascii="宋体" w:hAnsi="宋体" w:cs="宋体"/>
              </w:rPr>
            </w:pPr>
          </w:p>
        </w:tc>
        <w:tc>
          <w:tcPr>
            <w:tcW w:w="721" w:type="dxa"/>
            <w:tcBorders>
              <w:top w:val="single" w:color="000000" w:sz="4" w:space="0"/>
              <w:left w:val="single" w:color="000000" w:sz="4" w:space="0"/>
              <w:bottom w:val="single" w:color="000000" w:sz="4" w:space="0"/>
              <w:right w:val="single" w:color="000000" w:sz="4" w:space="0"/>
            </w:tcBorders>
          </w:tcPr>
          <w:p w14:paraId="4CD21415">
            <w:pPr>
              <w:autoSpaceDE w:val="0"/>
              <w:autoSpaceDN w:val="0"/>
              <w:adjustRightInd w:val="0"/>
              <w:spacing w:line="360" w:lineRule="auto"/>
              <w:rPr>
                <w:rFonts w:hint="eastAsia" w:ascii="宋体" w:hAnsi="宋体" w:cs="宋体"/>
              </w:rPr>
            </w:pPr>
          </w:p>
        </w:tc>
        <w:tc>
          <w:tcPr>
            <w:tcW w:w="719" w:type="dxa"/>
            <w:tcBorders>
              <w:top w:val="single" w:color="000000" w:sz="4" w:space="0"/>
              <w:left w:val="single" w:color="000000" w:sz="4" w:space="0"/>
              <w:bottom w:val="single" w:color="000000" w:sz="4" w:space="0"/>
              <w:right w:val="single" w:color="000000" w:sz="4" w:space="0"/>
            </w:tcBorders>
          </w:tcPr>
          <w:p w14:paraId="325956CD">
            <w:pPr>
              <w:autoSpaceDE w:val="0"/>
              <w:autoSpaceDN w:val="0"/>
              <w:adjustRightInd w:val="0"/>
              <w:spacing w:line="360" w:lineRule="auto"/>
              <w:rPr>
                <w:rFonts w:hint="eastAsia" w:ascii="宋体" w:hAnsi="宋体" w:cs="宋体"/>
              </w:rPr>
            </w:pPr>
          </w:p>
        </w:tc>
        <w:tc>
          <w:tcPr>
            <w:tcW w:w="2524" w:type="dxa"/>
            <w:tcBorders>
              <w:top w:val="single" w:color="000000" w:sz="4" w:space="0"/>
              <w:left w:val="single" w:color="000000" w:sz="4" w:space="0"/>
              <w:bottom w:val="single" w:color="000000" w:sz="4" w:space="0"/>
              <w:right w:val="single" w:color="000000" w:sz="4" w:space="0"/>
            </w:tcBorders>
          </w:tcPr>
          <w:p w14:paraId="2863C2E7">
            <w:pPr>
              <w:autoSpaceDE w:val="0"/>
              <w:autoSpaceDN w:val="0"/>
              <w:adjustRightInd w:val="0"/>
              <w:spacing w:line="360" w:lineRule="auto"/>
              <w:rPr>
                <w:rFonts w:hint="eastAsia" w:ascii="宋体" w:hAnsi="宋体" w:cs="宋体"/>
              </w:rPr>
            </w:pPr>
          </w:p>
        </w:tc>
        <w:tc>
          <w:tcPr>
            <w:tcW w:w="1398" w:type="dxa"/>
            <w:tcBorders>
              <w:top w:val="single" w:color="000000" w:sz="4" w:space="0"/>
              <w:left w:val="single" w:color="000000" w:sz="4" w:space="0"/>
              <w:bottom w:val="single" w:color="000000" w:sz="4" w:space="0"/>
              <w:right w:val="single" w:color="000000" w:sz="4" w:space="0"/>
            </w:tcBorders>
          </w:tcPr>
          <w:p w14:paraId="1638D5E3">
            <w:pPr>
              <w:autoSpaceDE w:val="0"/>
              <w:autoSpaceDN w:val="0"/>
              <w:adjustRightInd w:val="0"/>
              <w:spacing w:line="360" w:lineRule="auto"/>
              <w:rPr>
                <w:rFonts w:hint="eastAsia" w:ascii="宋体" w:hAnsi="宋体" w:cs="宋体"/>
              </w:rPr>
            </w:pPr>
          </w:p>
        </w:tc>
      </w:tr>
    </w:tbl>
    <w:p w14:paraId="3E72B8DE">
      <w:pPr>
        <w:pStyle w:val="2"/>
        <w:keepNext/>
        <w:keepLines/>
        <w:autoSpaceDE/>
        <w:autoSpaceDN/>
        <w:adjustRightInd/>
        <w:spacing w:before="0" w:line="360" w:lineRule="auto"/>
        <w:jc w:val="center"/>
        <w:rPr>
          <w:rFonts w:hint="eastAsia" w:ascii="宋体" w:hAnsi="宋体" w:eastAsia="宋体" w:cs="宋体"/>
          <w:sz w:val="28"/>
        </w:rPr>
      </w:pPr>
      <w:r>
        <w:rPr>
          <w:rFonts w:hint="eastAsia" w:ascii="宋体" w:hAnsi="宋体" w:eastAsia="宋体" w:cs="宋体"/>
        </w:rPr>
        <w:br w:type="page"/>
      </w:r>
      <w:bookmarkStart w:id="1143" w:name="_Toc24202"/>
      <w:bookmarkStart w:id="1144" w:name="_Toc287607887"/>
      <w:bookmarkStart w:id="1145" w:name="_Toc17421"/>
      <w:bookmarkStart w:id="1146" w:name="_Toc277082659"/>
      <w:bookmarkStart w:id="1147" w:name="_Toc22990080"/>
      <w:r>
        <w:rPr>
          <w:rFonts w:hint="eastAsia" w:ascii="宋体" w:hAnsi="宋体" w:eastAsia="宋体" w:cs="宋体"/>
          <w:sz w:val="28"/>
        </w:rPr>
        <w:t>（五）主要人员简历表</w:t>
      </w:r>
      <w:bookmarkEnd w:id="1143"/>
      <w:bookmarkEnd w:id="1144"/>
      <w:bookmarkEnd w:id="1145"/>
      <w:bookmarkEnd w:id="1146"/>
      <w:bookmarkEnd w:id="1147"/>
    </w:p>
    <w:p w14:paraId="522AF8F6">
      <w:pPr>
        <w:spacing w:line="360" w:lineRule="auto"/>
        <w:rPr>
          <w:rFonts w:hint="eastAsia" w:ascii="宋体" w:hAnsi="宋体" w:cs="宋体"/>
        </w:rPr>
      </w:pPr>
      <w:r>
        <w:rPr>
          <w:rFonts w:hint="eastAsia" w:ascii="宋体" w:hAnsi="宋体" w:cs="宋体"/>
        </w:rPr>
        <w:t>附：一</w:t>
      </w:r>
    </w:p>
    <w:tbl>
      <w:tblPr>
        <w:tblStyle w:val="46"/>
        <w:tblW w:w="9249" w:type="dxa"/>
        <w:tblInd w:w="107"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861"/>
      </w:tblGrid>
      <w:tr w14:paraId="4A0C431F">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14:paraId="559DC6D0">
            <w:pPr>
              <w:tabs>
                <w:tab w:val="left" w:pos="520"/>
              </w:tabs>
              <w:autoSpaceDE w:val="0"/>
              <w:autoSpaceDN w:val="0"/>
              <w:adjustRightInd w:val="0"/>
              <w:spacing w:line="360" w:lineRule="auto"/>
              <w:jc w:val="center"/>
              <w:rPr>
                <w:rFonts w:hint="eastAsia" w:ascii="宋体" w:hAnsi="宋体" w:cs="宋体"/>
              </w:rPr>
            </w:pPr>
            <w:r>
              <w:rPr>
                <w:rFonts w:hint="eastAsia" w:ascii="宋体" w:hAnsi="宋体" w:cs="宋体"/>
              </w:rPr>
              <w:t>姓</w:t>
            </w:r>
            <w:r>
              <w:rPr>
                <w:rFonts w:hint="eastAsia" w:ascii="宋体" w:hAnsi="宋体" w:cs="宋体"/>
              </w:rPr>
              <w:tab/>
            </w:r>
            <w:r>
              <w:rPr>
                <w:rFonts w:hint="eastAsia" w:ascii="宋体" w:hAnsi="宋体" w:cs="宋体"/>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20E1046A">
            <w:pPr>
              <w:autoSpaceDE w:val="0"/>
              <w:autoSpaceDN w:val="0"/>
              <w:adjustRightInd w:val="0"/>
              <w:spacing w:line="360" w:lineRule="auto"/>
              <w:jc w:val="center"/>
              <w:rPr>
                <w:rFonts w:hint="eastAsia" w:ascii="宋体" w:hAnsi="宋体" w:cs="宋体"/>
              </w:rPr>
            </w:pPr>
          </w:p>
        </w:tc>
        <w:tc>
          <w:tcPr>
            <w:tcW w:w="926" w:type="dxa"/>
            <w:tcBorders>
              <w:top w:val="single" w:color="000000" w:sz="4" w:space="0"/>
              <w:left w:val="single" w:color="000000" w:sz="4" w:space="0"/>
              <w:bottom w:val="single" w:color="000000" w:sz="4" w:space="0"/>
              <w:right w:val="single" w:color="000000" w:sz="4" w:space="0"/>
            </w:tcBorders>
            <w:vAlign w:val="center"/>
          </w:tcPr>
          <w:p w14:paraId="73730ABB">
            <w:pPr>
              <w:autoSpaceDE w:val="0"/>
              <w:autoSpaceDN w:val="0"/>
              <w:adjustRightInd w:val="0"/>
              <w:spacing w:line="360" w:lineRule="auto"/>
              <w:jc w:val="center"/>
              <w:rPr>
                <w:rFonts w:hint="eastAsia" w:ascii="宋体" w:hAnsi="宋体" w:cs="宋体"/>
              </w:rPr>
            </w:pPr>
            <w:r>
              <w:rPr>
                <w:rFonts w:hint="eastAsia" w:ascii="宋体" w:hAnsi="宋体" w:cs="宋体"/>
              </w:rPr>
              <w:t>年  龄</w:t>
            </w:r>
          </w:p>
        </w:tc>
        <w:tc>
          <w:tcPr>
            <w:tcW w:w="1066" w:type="dxa"/>
            <w:tcBorders>
              <w:top w:val="single" w:color="000000" w:sz="4" w:space="0"/>
              <w:left w:val="single" w:color="000000" w:sz="4" w:space="0"/>
              <w:bottom w:val="single" w:color="000000" w:sz="4" w:space="0"/>
              <w:right w:val="single" w:color="000000" w:sz="4" w:space="0"/>
            </w:tcBorders>
            <w:vAlign w:val="center"/>
          </w:tcPr>
          <w:p w14:paraId="1F6F98EE">
            <w:pPr>
              <w:autoSpaceDE w:val="0"/>
              <w:autoSpaceDN w:val="0"/>
              <w:adjustRightInd w:val="0"/>
              <w:spacing w:line="360" w:lineRule="auto"/>
              <w:jc w:val="center"/>
              <w:rPr>
                <w:rFonts w:hint="eastAsia" w:ascii="宋体" w:hAnsi="宋体" w:cs="宋体"/>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14:paraId="174A92A5">
            <w:pPr>
              <w:autoSpaceDE w:val="0"/>
              <w:autoSpaceDN w:val="0"/>
              <w:adjustRightInd w:val="0"/>
              <w:spacing w:line="360" w:lineRule="auto"/>
              <w:jc w:val="center"/>
              <w:rPr>
                <w:rFonts w:hint="eastAsia" w:ascii="宋体" w:hAnsi="宋体" w:cs="宋体"/>
              </w:rPr>
            </w:pPr>
            <w:r>
              <w:rPr>
                <w:rFonts w:hint="eastAsia" w:ascii="宋体" w:hAnsi="宋体" w:cs="宋体"/>
              </w:rPr>
              <w:t>学历</w:t>
            </w:r>
          </w:p>
        </w:tc>
        <w:tc>
          <w:tcPr>
            <w:tcW w:w="2861" w:type="dxa"/>
            <w:tcBorders>
              <w:top w:val="single" w:color="000000" w:sz="4" w:space="0"/>
              <w:left w:val="single" w:color="000000" w:sz="4" w:space="0"/>
              <w:bottom w:val="single" w:color="000000" w:sz="4" w:space="0"/>
              <w:right w:val="single" w:color="000000" w:sz="4" w:space="0"/>
            </w:tcBorders>
            <w:vAlign w:val="center"/>
          </w:tcPr>
          <w:p w14:paraId="22E86F8D">
            <w:pPr>
              <w:autoSpaceDE w:val="0"/>
              <w:autoSpaceDN w:val="0"/>
              <w:adjustRightInd w:val="0"/>
              <w:spacing w:line="360" w:lineRule="auto"/>
              <w:jc w:val="center"/>
              <w:rPr>
                <w:rFonts w:hint="eastAsia" w:ascii="宋体" w:hAnsi="宋体" w:cs="宋体"/>
              </w:rPr>
            </w:pPr>
          </w:p>
        </w:tc>
      </w:tr>
      <w:tr w14:paraId="0218E5F3">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14:paraId="5377E05D">
            <w:pPr>
              <w:tabs>
                <w:tab w:val="left" w:pos="520"/>
              </w:tabs>
              <w:autoSpaceDE w:val="0"/>
              <w:autoSpaceDN w:val="0"/>
              <w:adjustRightInd w:val="0"/>
              <w:spacing w:line="360" w:lineRule="auto"/>
              <w:jc w:val="center"/>
              <w:rPr>
                <w:rFonts w:hint="eastAsia" w:ascii="宋体" w:hAnsi="宋体" w:cs="宋体"/>
              </w:rPr>
            </w:pPr>
            <w:r>
              <w:rPr>
                <w:rFonts w:hint="eastAsia" w:ascii="宋体" w:hAnsi="宋体" w:cs="宋体"/>
              </w:rPr>
              <w:t>职</w:t>
            </w:r>
            <w:r>
              <w:rPr>
                <w:rFonts w:hint="eastAsia" w:ascii="宋体" w:hAnsi="宋体" w:cs="宋体"/>
              </w:rPr>
              <w:tab/>
            </w:r>
            <w:r>
              <w:rPr>
                <w:rFonts w:hint="eastAsia" w:ascii="宋体" w:hAnsi="宋体" w:cs="宋体"/>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38E74366">
            <w:pPr>
              <w:autoSpaceDE w:val="0"/>
              <w:autoSpaceDN w:val="0"/>
              <w:adjustRightInd w:val="0"/>
              <w:spacing w:line="360" w:lineRule="auto"/>
              <w:jc w:val="center"/>
              <w:rPr>
                <w:rFonts w:hint="eastAsia" w:ascii="宋体" w:hAnsi="宋体" w:cs="宋体"/>
              </w:rPr>
            </w:pPr>
          </w:p>
        </w:tc>
        <w:tc>
          <w:tcPr>
            <w:tcW w:w="926" w:type="dxa"/>
            <w:tcBorders>
              <w:top w:val="single" w:color="000000" w:sz="4" w:space="0"/>
              <w:left w:val="single" w:color="000000" w:sz="4" w:space="0"/>
              <w:bottom w:val="single" w:color="000000" w:sz="4" w:space="0"/>
              <w:right w:val="single" w:color="000000" w:sz="4" w:space="0"/>
            </w:tcBorders>
            <w:vAlign w:val="center"/>
          </w:tcPr>
          <w:p w14:paraId="1B118450">
            <w:pPr>
              <w:autoSpaceDE w:val="0"/>
              <w:autoSpaceDN w:val="0"/>
              <w:adjustRightInd w:val="0"/>
              <w:spacing w:line="360" w:lineRule="auto"/>
              <w:jc w:val="center"/>
              <w:rPr>
                <w:rFonts w:hint="eastAsia" w:ascii="宋体" w:hAnsi="宋体" w:cs="宋体"/>
              </w:rPr>
            </w:pPr>
            <w:r>
              <w:rPr>
                <w:rFonts w:hint="eastAsia" w:ascii="宋体" w:hAnsi="宋体" w:cs="宋体"/>
              </w:rPr>
              <w:t>职  务</w:t>
            </w:r>
          </w:p>
        </w:tc>
        <w:tc>
          <w:tcPr>
            <w:tcW w:w="1066" w:type="dxa"/>
            <w:tcBorders>
              <w:top w:val="single" w:color="000000" w:sz="4" w:space="0"/>
              <w:left w:val="single" w:color="000000" w:sz="4" w:space="0"/>
              <w:bottom w:val="single" w:color="000000" w:sz="4" w:space="0"/>
              <w:right w:val="single" w:color="000000" w:sz="4" w:space="0"/>
            </w:tcBorders>
            <w:vAlign w:val="center"/>
          </w:tcPr>
          <w:p w14:paraId="0A0DA5E4">
            <w:pPr>
              <w:autoSpaceDE w:val="0"/>
              <w:autoSpaceDN w:val="0"/>
              <w:adjustRightInd w:val="0"/>
              <w:spacing w:line="360" w:lineRule="auto"/>
              <w:jc w:val="center"/>
              <w:rPr>
                <w:rFonts w:hint="eastAsia" w:ascii="宋体" w:hAnsi="宋体" w:cs="宋体"/>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14:paraId="48A1D17A">
            <w:pPr>
              <w:autoSpaceDE w:val="0"/>
              <w:autoSpaceDN w:val="0"/>
              <w:adjustRightInd w:val="0"/>
              <w:spacing w:line="360" w:lineRule="auto"/>
              <w:jc w:val="center"/>
              <w:rPr>
                <w:rFonts w:hint="eastAsia" w:ascii="宋体" w:hAnsi="宋体" w:cs="宋体"/>
              </w:rPr>
            </w:pPr>
            <w:r>
              <w:rPr>
                <w:rFonts w:hint="eastAsia" w:ascii="宋体" w:hAnsi="宋体" w:cs="宋体"/>
              </w:rPr>
              <w:t>拟在本合同任职</w:t>
            </w:r>
          </w:p>
        </w:tc>
        <w:tc>
          <w:tcPr>
            <w:tcW w:w="2861" w:type="dxa"/>
            <w:tcBorders>
              <w:top w:val="single" w:color="000000" w:sz="4" w:space="0"/>
              <w:left w:val="single" w:color="000000" w:sz="4" w:space="0"/>
              <w:bottom w:val="single" w:color="000000" w:sz="4" w:space="0"/>
              <w:right w:val="single" w:color="000000" w:sz="4" w:space="0"/>
            </w:tcBorders>
            <w:vAlign w:val="center"/>
          </w:tcPr>
          <w:p w14:paraId="02EE1143">
            <w:pPr>
              <w:autoSpaceDE w:val="0"/>
              <w:autoSpaceDN w:val="0"/>
              <w:adjustRightInd w:val="0"/>
              <w:spacing w:line="360" w:lineRule="auto"/>
              <w:jc w:val="center"/>
              <w:rPr>
                <w:rFonts w:hint="eastAsia" w:ascii="宋体" w:hAnsi="宋体" w:cs="宋体"/>
              </w:rPr>
            </w:pPr>
          </w:p>
        </w:tc>
      </w:tr>
      <w:tr w14:paraId="5B7206D0">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14:paraId="103A4E02">
            <w:pPr>
              <w:autoSpaceDE w:val="0"/>
              <w:autoSpaceDN w:val="0"/>
              <w:adjustRightInd w:val="0"/>
              <w:spacing w:line="360" w:lineRule="auto"/>
              <w:jc w:val="center"/>
              <w:rPr>
                <w:rFonts w:hint="eastAsia" w:ascii="宋体" w:hAnsi="宋体" w:cs="宋体"/>
              </w:rPr>
            </w:pPr>
            <w:r>
              <w:rPr>
                <w:rFonts w:hint="eastAsia" w:ascii="宋体" w:hAnsi="宋体" w:cs="宋体"/>
              </w:rPr>
              <w:t>毕业学校</w:t>
            </w:r>
          </w:p>
        </w:tc>
        <w:tc>
          <w:tcPr>
            <w:tcW w:w="8063" w:type="dxa"/>
            <w:gridSpan w:val="8"/>
            <w:tcBorders>
              <w:top w:val="single" w:color="000000" w:sz="4" w:space="0"/>
              <w:left w:val="single" w:color="000000" w:sz="4" w:space="0"/>
              <w:bottom w:val="single" w:color="000000" w:sz="4" w:space="0"/>
              <w:right w:val="single" w:color="000000" w:sz="4" w:space="0"/>
            </w:tcBorders>
            <w:vAlign w:val="center"/>
          </w:tcPr>
          <w:p w14:paraId="27CF6C14">
            <w:pPr>
              <w:tabs>
                <w:tab w:val="left" w:pos="2820"/>
                <w:tab w:val="left" w:pos="4080"/>
              </w:tabs>
              <w:autoSpaceDE w:val="0"/>
              <w:autoSpaceDN w:val="0"/>
              <w:adjustRightInd w:val="0"/>
              <w:spacing w:line="360" w:lineRule="auto"/>
              <w:jc w:val="center"/>
              <w:rPr>
                <w:rFonts w:hint="eastAsia" w:ascii="宋体" w:hAnsi="宋体" w:cs="宋体"/>
              </w:rPr>
            </w:pPr>
            <w:r>
              <w:rPr>
                <w:rFonts w:hint="eastAsia" w:ascii="宋体" w:hAnsi="宋体" w:cs="宋体"/>
              </w:rPr>
              <w:t>年</w:t>
            </w:r>
            <w:r>
              <w:rPr>
                <w:rFonts w:hint="eastAsia" w:ascii="宋体" w:hAnsi="宋体" w:cs="宋体"/>
                <w:spacing w:val="-1"/>
              </w:rPr>
              <w:t>毕</w:t>
            </w:r>
            <w:r>
              <w:rPr>
                <w:rFonts w:hint="eastAsia" w:ascii="宋体" w:hAnsi="宋体" w:cs="宋体"/>
              </w:rPr>
              <w:t>业于</w:t>
            </w:r>
            <w:r>
              <w:rPr>
                <w:rFonts w:hint="eastAsia" w:ascii="宋体" w:hAnsi="宋体" w:cs="宋体"/>
              </w:rPr>
              <w:tab/>
            </w:r>
            <w:r>
              <w:rPr>
                <w:rFonts w:hint="eastAsia" w:ascii="宋体" w:hAnsi="宋体" w:cs="宋体"/>
              </w:rPr>
              <w:t>学校</w:t>
            </w:r>
            <w:r>
              <w:rPr>
                <w:rFonts w:hint="eastAsia" w:ascii="宋体" w:hAnsi="宋体" w:cs="宋体"/>
              </w:rPr>
              <w:tab/>
            </w:r>
            <w:r>
              <w:rPr>
                <w:rFonts w:hint="eastAsia" w:ascii="宋体" w:hAnsi="宋体" w:cs="宋体"/>
              </w:rPr>
              <w:t>专业</w:t>
            </w:r>
          </w:p>
        </w:tc>
      </w:tr>
      <w:tr w14:paraId="7728EF75">
        <w:tblPrEx>
          <w:tblCellMar>
            <w:top w:w="0" w:type="dxa"/>
            <w:left w:w="0" w:type="dxa"/>
            <w:bottom w:w="0" w:type="dxa"/>
            <w:right w:w="0" w:type="dxa"/>
          </w:tblCellMar>
        </w:tblPrEx>
        <w:trPr>
          <w:trHeight w:val="450" w:hRule="exact"/>
        </w:trPr>
        <w:tc>
          <w:tcPr>
            <w:tcW w:w="9249" w:type="dxa"/>
            <w:gridSpan w:val="9"/>
            <w:tcBorders>
              <w:top w:val="single" w:color="000000" w:sz="4" w:space="0"/>
              <w:left w:val="single" w:color="000000" w:sz="4" w:space="0"/>
              <w:bottom w:val="single" w:color="000000" w:sz="4" w:space="0"/>
              <w:right w:val="single" w:color="000000" w:sz="4" w:space="0"/>
            </w:tcBorders>
            <w:vAlign w:val="center"/>
          </w:tcPr>
          <w:p w14:paraId="407C2F22">
            <w:pPr>
              <w:autoSpaceDE w:val="0"/>
              <w:autoSpaceDN w:val="0"/>
              <w:adjustRightInd w:val="0"/>
              <w:spacing w:line="360" w:lineRule="auto"/>
              <w:jc w:val="center"/>
              <w:rPr>
                <w:rFonts w:hint="eastAsia" w:ascii="宋体" w:hAnsi="宋体" w:cs="宋体"/>
              </w:rPr>
            </w:pPr>
            <w:r>
              <w:rPr>
                <w:rFonts w:hint="eastAsia" w:ascii="宋体" w:hAnsi="宋体" w:cs="宋体"/>
              </w:rPr>
              <w:t>主要工作经历</w:t>
            </w:r>
          </w:p>
        </w:tc>
      </w:tr>
      <w:tr w14:paraId="30E25E64">
        <w:tblPrEx>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14:paraId="78775FF9">
            <w:pPr>
              <w:tabs>
                <w:tab w:val="left" w:pos="520"/>
              </w:tabs>
              <w:autoSpaceDE w:val="0"/>
              <w:autoSpaceDN w:val="0"/>
              <w:adjustRightInd w:val="0"/>
              <w:spacing w:line="360" w:lineRule="auto"/>
              <w:jc w:val="center"/>
              <w:rPr>
                <w:rFonts w:hint="eastAsia" w:ascii="宋体" w:hAnsi="宋体" w:cs="宋体"/>
              </w:rPr>
            </w:pPr>
            <w:r>
              <w:rPr>
                <w:rFonts w:hint="eastAsia" w:ascii="宋体" w:hAnsi="宋体" w:cs="宋体"/>
              </w:rPr>
              <w:t>时</w:t>
            </w:r>
            <w:r>
              <w:rPr>
                <w:rFonts w:hint="eastAsia" w:ascii="宋体" w:hAnsi="宋体" w:cs="宋体"/>
              </w:rPr>
              <w:tab/>
            </w:r>
            <w:r>
              <w:rPr>
                <w:rFonts w:hint="eastAsia" w:ascii="宋体" w:hAnsi="宋体" w:cs="宋体"/>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14:paraId="16A9D90F">
            <w:pPr>
              <w:autoSpaceDE w:val="0"/>
              <w:autoSpaceDN w:val="0"/>
              <w:adjustRightInd w:val="0"/>
              <w:spacing w:line="360" w:lineRule="auto"/>
              <w:jc w:val="center"/>
              <w:rPr>
                <w:rFonts w:hint="eastAsia" w:ascii="宋体" w:hAnsi="宋体" w:cs="宋体"/>
              </w:rPr>
            </w:pPr>
            <w:r>
              <w:rPr>
                <w:rFonts w:hint="eastAsia" w:ascii="宋体" w:hAnsi="宋体" w:cs="宋体"/>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14:paraId="0CF8C2D5">
            <w:pPr>
              <w:autoSpaceDE w:val="0"/>
              <w:autoSpaceDN w:val="0"/>
              <w:adjustRightInd w:val="0"/>
              <w:spacing w:line="360" w:lineRule="auto"/>
              <w:jc w:val="center"/>
              <w:rPr>
                <w:rFonts w:hint="eastAsia" w:ascii="宋体" w:hAnsi="宋体" w:cs="宋体"/>
              </w:rPr>
            </w:pPr>
            <w:r>
              <w:rPr>
                <w:rFonts w:hint="eastAsia" w:ascii="宋体" w:hAnsi="宋体" w:cs="宋体"/>
              </w:rPr>
              <w:t>担任职务</w:t>
            </w:r>
          </w:p>
        </w:tc>
        <w:tc>
          <w:tcPr>
            <w:tcW w:w="3023" w:type="dxa"/>
            <w:gridSpan w:val="2"/>
            <w:tcBorders>
              <w:top w:val="single" w:color="000000" w:sz="4" w:space="0"/>
              <w:left w:val="single" w:color="000000" w:sz="4" w:space="0"/>
              <w:bottom w:val="single" w:color="000000" w:sz="4" w:space="0"/>
              <w:right w:val="single" w:color="000000" w:sz="4" w:space="0"/>
            </w:tcBorders>
            <w:vAlign w:val="center"/>
          </w:tcPr>
          <w:p w14:paraId="3E572990">
            <w:pPr>
              <w:autoSpaceDE w:val="0"/>
              <w:autoSpaceDN w:val="0"/>
              <w:adjustRightInd w:val="0"/>
              <w:spacing w:line="360" w:lineRule="auto"/>
              <w:jc w:val="center"/>
              <w:rPr>
                <w:rFonts w:hint="eastAsia" w:ascii="宋体" w:hAnsi="宋体" w:cs="宋体"/>
              </w:rPr>
            </w:pPr>
            <w:r>
              <w:rPr>
                <w:rFonts w:hint="eastAsia" w:ascii="宋体" w:hAnsi="宋体" w:cs="宋体"/>
              </w:rPr>
              <w:t>发包人及联系电话</w:t>
            </w:r>
          </w:p>
        </w:tc>
      </w:tr>
      <w:tr w14:paraId="19A731F8">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14:paraId="774BFD70">
            <w:pPr>
              <w:autoSpaceDE w:val="0"/>
              <w:autoSpaceDN w:val="0"/>
              <w:adjustRightInd w:val="0"/>
              <w:spacing w:line="360" w:lineRule="auto"/>
              <w:rPr>
                <w:rFonts w:hint="eastAsia" w:ascii="宋体" w:hAnsi="宋体" w:cs="宋体"/>
              </w:rPr>
            </w:pPr>
          </w:p>
        </w:tc>
        <w:tc>
          <w:tcPr>
            <w:tcW w:w="3420" w:type="dxa"/>
            <w:gridSpan w:val="4"/>
            <w:tcBorders>
              <w:top w:val="single" w:color="000000" w:sz="4" w:space="0"/>
              <w:left w:val="single" w:color="000000" w:sz="4" w:space="0"/>
              <w:bottom w:val="single" w:color="000000" w:sz="4" w:space="0"/>
              <w:right w:val="single" w:color="000000" w:sz="4" w:space="0"/>
            </w:tcBorders>
          </w:tcPr>
          <w:p w14:paraId="3946AD18">
            <w:pPr>
              <w:autoSpaceDE w:val="0"/>
              <w:autoSpaceDN w:val="0"/>
              <w:adjustRightInd w:val="0"/>
              <w:spacing w:line="360" w:lineRule="auto"/>
              <w:rPr>
                <w:rFonts w:hint="eastAsia" w:ascii="宋体" w:hAnsi="宋体" w:cs="宋体"/>
              </w:rPr>
            </w:pPr>
          </w:p>
        </w:tc>
        <w:tc>
          <w:tcPr>
            <w:tcW w:w="1260" w:type="dxa"/>
            <w:tcBorders>
              <w:top w:val="single" w:color="000000" w:sz="4" w:space="0"/>
              <w:left w:val="single" w:color="000000" w:sz="4" w:space="0"/>
              <w:bottom w:val="single" w:color="000000" w:sz="4" w:space="0"/>
              <w:right w:val="single" w:color="000000" w:sz="4" w:space="0"/>
            </w:tcBorders>
          </w:tcPr>
          <w:p w14:paraId="676B51DA">
            <w:pPr>
              <w:autoSpaceDE w:val="0"/>
              <w:autoSpaceDN w:val="0"/>
              <w:adjustRightInd w:val="0"/>
              <w:spacing w:line="360" w:lineRule="auto"/>
              <w:rPr>
                <w:rFonts w:hint="eastAsia" w:ascii="宋体" w:hAnsi="宋体" w:cs="宋体"/>
              </w:rPr>
            </w:pPr>
          </w:p>
        </w:tc>
        <w:tc>
          <w:tcPr>
            <w:tcW w:w="3023" w:type="dxa"/>
            <w:gridSpan w:val="2"/>
            <w:tcBorders>
              <w:top w:val="single" w:color="000000" w:sz="4" w:space="0"/>
              <w:left w:val="single" w:color="000000" w:sz="4" w:space="0"/>
              <w:bottom w:val="single" w:color="000000" w:sz="4" w:space="0"/>
              <w:right w:val="single" w:color="000000" w:sz="4" w:space="0"/>
            </w:tcBorders>
          </w:tcPr>
          <w:p w14:paraId="1B2FF3C3">
            <w:pPr>
              <w:autoSpaceDE w:val="0"/>
              <w:autoSpaceDN w:val="0"/>
              <w:adjustRightInd w:val="0"/>
              <w:spacing w:line="360" w:lineRule="auto"/>
              <w:rPr>
                <w:rFonts w:hint="eastAsia" w:ascii="宋体" w:hAnsi="宋体" w:cs="宋体"/>
              </w:rPr>
            </w:pPr>
          </w:p>
        </w:tc>
      </w:tr>
      <w:tr w14:paraId="41B33EAD">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14:paraId="3E34BE6D">
            <w:pPr>
              <w:autoSpaceDE w:val="0"/>
              <w:autoSpaceDN w:val="0"/>
              <w:adjustRightInd w:val="0"/>
              <w:spacing w:line="360" w:lineRule="auto"/>
              <w:rPr>
                <w:rFonts w:hint="eastAsia" w:ascii="宋体" w:hAnsi="宋体" w:cs="宋体"/>
              </w:rPr>
            </w:pPr>
          </w:p>
        </w:tc>
        <w:tc>
          <w:tcPr>
            <w:tcW w:w="3420" w:type="dxa"/>
            <w:gridSpan w:val="4"/>
            <w:tcBorders>
              <w:top w:val="single" w:color="000000" w:sz="4" w:space="0"/>
              <w:left w:val="single" w:color="000000" w:sz="4" w:space="0"/>
              <w:bottom w:val="single" w:color="000000" w:sz="4" w:space="0"/>
              <w:right w:val="single" w:color="000000" w:sz="4" w:space="0"/>
            </w:tcBorders>
          </w:tcPr>
          <w:p w14:paraId="087A3271">
            <w:pPr>
              <w:autoSpaceDE w:val="0"/>
              <w:autoSpaceDN w:val="0"/>
              <w:adjustRightInd w:val="0"/>
              <w:spacing w:line="360" w:lineRule="auto"/>
              <w:rPr>
                <w:rFonts w:hint="eastAsia" w:ascii="宋体" w:hAnsi="宋体" w:cs="宋体"/>
              </w:rPr>
            </w:pPr>
          </w:p>
        </w:tc>
        <w:tc>
          <w:tcPr>
            <w:tcW w:w="1260" w:type="dxa"/>
            <w:tcBorders>
              <w:top w:val="single" w:color="000000" w:sz="4" w:space="0"/>
              <w:left w:val="single" w:color="000000" w:sz="4" w:space="0"/>
              <w:bottom w:val="single" w:color="000000" w:sz="4" w:space="0"/>
              <w:right w:val="single" w:color="000000" w:sz="4" w:space="0"/>
            </w:tcBorders>
          </w:tcPr>
          <w:p w14:paraId="52EDE088">
            <w:pPr>
              <w:autoSpaceDE w:val="0"/>
              <w:autoSpaceDN w:val="0"/>
              <w:adjustRightInd w:val="0"/>
              <w:spacing w:line="360" w:lineRule="auto"/>
              <w:rPr>
                <w:rFonts w:hint="eastAsia" w:ascii="宋体" w:hAnsi="宋体" w:cs="宋体"/>
              </w:rPr>
            </w:pPr>
          </w:p>
        </w:tc>
        <w:tc>
          <w:tcPr>
            <w:tcW w:w="3023" w:type="dxa"/>
            <w:gridSpan w:val="2"/>
            <w:tcBorders>
              <w:top w:val="single" w:color="000000" w:sz="4" w:space="0"/>
              <w:left w:val="single" w:color="000000" w:sz="4" w:space="0"/>
              <w:bottom w:val="single" w:color="000000" w:sz="4" w:space="0"/>
              <w:right w:val="single" w:color="000000" w:sz="4" w:space="0"/>
            </w:tcBorders>
          </w:tcPr>
          <w:p w14:paraId="0ACBA630">
            <w:pPr>
              <w:autoSpaceDE w:val="0"/>
              <w:autoSpaceDN w:val="0"/>
              <w:adjustRightInd w:val="0"/>
              <w:spacing w:line="360" w:lineRule="auto"/>
              <w:rPr>
                <w:rFonts w:hint="eastAsia" w:ascii="宋体" w:hAnsi="宋体" w:cs="宋体"/>
              </w:rPr>
            </w:pPr>
          </w:p>
        </w:tc>
      </w:tr>
      <w:tr w14:paraId="3568F7F3">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14:paraId="14785861">
            <w:pPr>
              <w:autoSpaceDE w:val="0"/>
              <w:autoSpaceDN w:val="0"/>
              <w:adjustRightInd w:val="0"/>
              <w:spacing w:line="360" w:lineRule="auto"/>
              <w:rPr>
                <w:rFonts w:hint="eastAsia" w:ascii="宋体" w:hAnsi="宋体" w:cs="宋体"/>
              </w:rPr>
            </w:pPr>
          </w:p>
        </w:tc>
        <w:tc>
          <w:tcPr>
            <w:tcW w:w="3420" w:type="dxa"/>
            <w:gridSpan w:val="4"/>
            <w:tcBorders>
              <w:top w:val="single" w:color="000000" w:sz="4" w:space="0"/>
              <w:left w:val="single" w:color="000000" w:sz="4" w:space="0"/>
              <w:bottom w:val="single" w:color="000000" w:sz="4" w:space="0"/>
              <w:right w:val="single" w:color="000000" w:sz="4" w:space="0"/>
            </w:tcBorders>
          </w:tcPr>
          <w:p w14:paraId="67E3396F">
            <w:pPr>
              <w:autoSpaceDE w:val="0"/>
              <w:autoSpaceDN w:val="0"/>
              <w:adjustRightInd w:val="0"/>
              <w:spacing w:line="360" w:lineRule="auto"/>
              <w:rPr>
                <w:rFonts w:hint="eastAsia" w:ascii="宋体" w:hAnsi="宋体" w:cs="宋体"/>
              </w:rPr>
            </w:pPr>
          </w:p>
        </w:tc>
        <w:tc>
          <w:tcPr>
            <w:tcW w:w="1260" w:type="dxa"/>
            <w:tcBorders>
              <w:top w:val="single" w:color="000000" w:sz="4" w:space="0"/>
              <w:left w:val="single" w:color="000000" w:sz="4" w:space="0"/>
              <w:bottom w:val="single" w:color="000000" w:sz="4" w:space="0"/>
              <w:right w:val="single" w:color="000000" w:sz="4" w:space="0"/>
            </w:tcBorders>
          </w:tcPr>
          <w:p w14:paraId="131F3A02">
            <w:pPr>
              <w:autoSpaceDE w:val="0"/>
              <w:autoSpaceDN w:val="0"/>
              <w:adjustRightInd w:val="0"/>
              <w:spacing w:line="360" w:lineRule="auto"/>
              <w:rPr>
                <w:rFonts w:hint="eastAsia" w:ascii="宋体" w:hAnsi="宋体" w:cs="宋体"/>
              </w:rPr>
            </w:pPr>
          </w:p>
        </w:tc>
        <w:tc>
          <w:tcPr>
            <w:tcW w:w="3023" w:type="dxa"/>
            <w:gridSpan w:val="2"/>
            <w:tcBorders>
              <w:top w:val="single" w:color="000000" w:sz="4" w:space="0"/>
              <w:left w:val="single" w:color="000000" w:sz="4" w:space="0"/>
              <w:bottom w:val="single" w:color="000000" w:sz="4" w:space="0"/>
              <w:right w:val="single" w:color="000000" w:sz="4" w:space="0"/>
            </w:tcBorders>
          </w:tcPr>
          <w:p w14:paraId="30011AAC">
            <w:pPr>
              <w:autoSpaceDE w:val="0"/>
              <w:autoSpaceDN w:val="0"/>
              <w:adjustRightInd w:val="0"/>
              <w:spacing w:line="360" w:lineRule="auto"/>
              <w:rPr>
                <w:rFonts w:hint="eastAsia" w:ascii="宋体" w:hAnsi="宋体" w:cs="宋体"/>
              </w:rPr>
            </w:pPr>
          </w:p>
        </w:tc>
      </w:tr>
      <w:tr w14:paraId="73E4F7C7">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14:paraId="16FCF95A">
            <w:pPr>
              <w:autoSpaceDE w:val="0"/>
              <w:autoSpaceDN w:val="0"/>
              <w:adjustRightInd w:val="0"/>
              <w:spacing w:line="360" w:lineRule="auto"/>
              <w:rPr>
                <w:rFonts w:hint="eastAsia" w:ascii="宋体" w:hAnsi="宋体" w:cs="宋体"/>
              </w:rPr>
            </w:pPr>
          </w:p>
        </w:tc>
        <w:tc>
          <w:tcPr>
            <w:tcW w:w="3420" w:type="dxa"/>
            <w:gridSpan w:val="4"/>
            <w:tcBorders>
              <w:top w:val="single" w:color="000000" w:sz="4" w:space="0"/>
              <w:left w:val="single" w:color="000000" w:sz="4" w:space="0"/>
              <w:bottom w:val="single" w:color="000000" w:sz="4" w:space="0"/>
              <w:right w:val="single" w:color="000000" w:sz="4" w:space="0"/>
            </w:tcBorders>
          </w:tcPr>
          <w:p w14:paraId="01F69D88">
            <w:pPr>
              <w:autoSpaceDE w:val="0"/>
              <w:autoSpaceDN w:val="0"/>
              <w:adjustRightInd w:val="0"/>
              <w:spacing w:line="360" w:lineRule="auto"/>
              <w:rPr>
                <w:rFonts w:hint="eastAsia" w:ascii="宋体" w:hAnsi="宋体" w:cs="宋体"/>
              </w:rPr>
            </w:pPr>
          </w:p>
        </w:tc>
        <w:tc>
          <w:tcPr>
            <w:tcW w:w="1260" w:type="dxa"/>
            <w:tcBorders>
              <w:top w:val="single" w:color="000000" w:sz="4" w:space="0"/>
              <w:left w:val="single" w:color="000000" w:sz="4" w:space="0"/>
              <w:bottom w:val="single" w:color="000000" w:sz="4" w:space="0"/>
              <w:right w:val="single" w:color="000000" w:sz="4" w:space="0"/>
            </w:tcBorders>
          </w:tcPr>
          <w:p w14:paraId="6D0627D8">
            <w:pPr>
              <w:autoSpaceDE w:val="0"/>
              <w:autoSpaceDN w:val="0"/>
              <w:adjustRightInd w:val="0"/>
              <w:spacing w:line="360" w:lineRule="auto"/>
              <w:rPr>
                <w:rFonts w:hint="eastAsia" w:ascii="宋体" w:hAnsi="宋体" w:cs="宋体"/>
              </w:rPr>
            </w:pPr>
          </w:p>
        </w:tc>
        <w:tc>
          <w:tcPr>
            <w:tcW w:w="3023" w:type="dxa"/>
            <w:gridSpan w:val="2"/>
            <w:tcBorders>
              <w:top w:val="single" w:color="000000" w:sz="4" w:space="0"/>
              <w:left w:val="single" w:color="000000" w:sz="4" w:space="0"/>
              <w:bottom w:val="single" w:color="000000" w:sz="4" w:space="0"/>
              <w:right w:val="single" w:color="000000" w:sz="4" w:space="0"/>
            </w:tcBorders>
          </w:tcPr>
          <w:p w14:paraId="20338794">
            <w:pPr>
              <w:autoSpaceDE w:val="0"/>
              <w:autoSpaceDN w:val="0"/>
              <w:adjustRightInd w:val="0"/>
              <w:spacing w:line="360" w:lineRule="auto"/>
              <w:rPr>
                <w:rFonts w:hint="eastAsia" w:ascii="宋体" w:hAnsi="宋体" w:cs="宋体"/>
              </w:rPr>
            </w:pPr>
          </w:p>
        </w:tc>
      </w:tr>
    </w:tbl>
    <w:p w14:paraId="32028448">
      <w:pPr>
        <w:autoSpaceDE w:val="0"/>
        <w:autoSpaceDN w:val="0"/>
        <w:adjustRightInd w:val="0"/>
        <w:spacing w:line="360" w:lineRule="auto"/>
        <w:ind w:right="-20"/>
        <w:jc w:val="center"/>
        <w:rPr>
          <w:rFonts w:hint="eastAsia" w:ascii="宋体" w:hAnsi="宋体" w:cs="宋体"/>
          <w:b/>
          <w:kern w:val="0"/>
          <w:sz w:val="28"/>
          <w:szCs w:val="28"/>
        </w:rPr>
      </w:pPr>
    </w:p>
    <w:p w14:paraId="259982B8">
      <w:pPr>
        <w:rPr>
          <w:rFonts w:hint="eastAsia" w:ascii="宋体" w:hAnsi="宋体" w:cs="宋体"/>
          <w:b/>
          <w:kern w:val="0"/>
          <w:sz w:val="28"/>
          <w:szCs w:val="28"/>
        </w:rPr>
      </w:pPr>
      <w:bookmarkStart w:id="1148" w:name="_Toc1150"/>
      <w:r>
        <w:rPr>
          <w:rFonts w:hint="eastAsia" w:ascii="宋体" w:hAnsi="宋体" w:cs="宋体"/>
          <w:b/>
          <w:kern w:val="0"/>
          <w:sz w:val="28"/>
          <w:szCs w:val="28"/>
        </w:rPr>
        <w:br w:type="page"/>
      </w:r>
    </w:p>
    <w:p w14:paraId="0D38880A">
      <w:pPr>
        <w:autoSpaceDE w:val="0"/>
        <w:autoSpaceDN w:val="0"/>
        <w:adjustRightInd w:val="0"/>
        <w:spacing w:line="360" w:lineRule="auto"/>
        <w:ind w:right="-20"/>
        <w:jc w:val="center"/>
        <w:outlineLvl w:val="2"/>
        <w:rPr>
          <w:rFonts w:hint="eastAsia" w:ascii="宋体" w:hAnsi="宋体" w:cs="宋体"/>
          <w:b/>
          <w:kern w:val="0"/>
          <w:sz w:val="28"/>
          <w:szCs w:val="28"/>
        </w:rPr>
      </w:pPr>
      <w:r>
        <w:rPr>
          <w:rFonts w:hint="eastAsia" w:ascii="宋体" w:hAnsi="宋体" w:cs="宋体"/>
          <w:b/>
          <w:kern w:val="0"/>
          <w:sz w:val="28"/>
          <w:szCs w:val="28"/>
        </w:rPr>
        <w:t>（六）信誉承诺</w:t>
      </w:r>
      <w:bookmarkEnd w:id="1148"/>
    </w:p>
    <w:p w14:paraId="4CC7AE24">
      <w:pPr>
        <w:snapToGrid w:val="0"/>
        <w:spacing w:line="400" w:lineRule="exact"/>
        <w:ind w:right="-92" w:rightChars="-44"/>
        <w:textAlignment w:val="baseline"/>
        <w:rPr>
          <w:rFonts w:hint="eastAsia" w:ascii="宋体" w:hAnsi="宋体" w:cs="宋体"/>
          <w:color w:val="000000"/>
          <w:sz w:val="20"/>
          <w:szCs w:val="20"/>
          <w:u w:val="single" w:color="000000"/>
        </w:rPr>
      </w:pPr>
      <w:r>
        <w:rPr>
          <w:rFonts w:hint="eastAsia" w:ascii="宋体" w:hAnsi="宋体" w:cs="宋体"/>
          <w:color w:val="000000"/>
          <w:sz w:val="20"/>
          <w:szCs w:val="20"/>
          <w:u w:val="single" w:color="000000"/>
        </w:rPr>
        <w:t xml:space="preserve">        （比选人名称）</w:t>
      </w:r>
      <w:r>
        <w:rPr>
          <w:rFonts w:hint="eastAsia" w:ascii="宋体" w:hAnsi="宋体" w:cs="宋体"/>
          <w:color w:val="000000"/>
          <w:sz w:val="20"/>
          <w:szCs w:val="20"/>
        </w:rPr>
        <w:t>：</w:t>
      </w:r>
    </w:p>
    <w:p w14:paraId="237071FF">
      <w:pPr>
        <w:snapToGrid w:val="0"/>
        <w:spacing w:line="400" w:lineRule="exact"/>
        <w:ind w:right="-92" w:rightChars="-44" w:firstLine="400" w:firstLineChars="200"/>
        <w:textAlignment w:val="baseline"/>
        <w:rPr>
          <w:rFonts w:hint="eastAsia" w:ascii="宋体" w:hAnsi="宋体" w:cs="宋体"/>
          <w:color w:val="000000"/>
          <w:sz w:val="20"/>
          <w:szCs w:val="20"/>
        </w:rPr>
      </w:pPr>
      <w:r>
        <w:rPr>
          <w:rFonts w:hint="eastAsia" w:ascii="宋体" w:hAnsi="宋体" w:cs="宋体"/>
          <w:color w:val="000000"/>
          <w:sz w:val="20"/>
          <w:szCs w:val="20"/>
        </w:rPr>
        <w:t>我公司</w:t>
      </w:r>
      <w:r>
        <w:rPr>
          <w:rFonts w:hint="eastAsia" w:ascii="宋体" w:hAnsi="宋体" w:cs="宋体"/>
          <w:color w:val="000000"/>
          <w:sz w:val="20"/>
          <w:szCs w:val="20"/>
          <w:u w:val="single" w:color="000000"/>
        </w:rPr>
        <w:t xml:space="preserve">        （比选申请人名称）</w:t>
      </w:r>
      <w:r>
        <w:rPr>
          <w:rFonts w:hint="eastAsia" w:ascii="宋体" w:hAnsi="宋体" w:cs="宋体"/>
          <w:color w:val="000000"/>
          <w:sz w:val="20"/>
          <w:szCs w:val="20"/>
        </w:rPr>
        <w:t>参加了贵单位</w:t>
      </w:r>
      <w:r>
        <w:rPr>
          <w:rFonts w:hint="eastAsia" w:ascii="宋体" w:hAnsi="宋体" w:cs="宋体"/>
          <w:color w:val="000000"/>
          <w:sz w:val="20"/>
          <w:szCs w:val="20"/>
          <w:u w:val="single" w:color="000000"/>
        </w:rPr>
        <w:t xml:space="preserve">        （项目名称）</w:t>
      </w:r>
      <w:r>
        <w:rPr>
          <w:rFonts w:hint="eastAsia" w:ascii="宋体" w:hAnsi="宋体" w:cs="宋体"/>
          <w:color w:val="000000"/>
          <w:sz w:val="20"/>
          <w:szCs w:val="20"/>
        </w:rPr>
        <w:t>的比选，自愿作出以下承诺：</w:t>
      </w:r>
    </w:p>
    <w:p w14:paraId="2BD21217">
      <w:pPr>
        <w:snapToGrid w:val="0"/>
        <w:spacing w:line="400" w:lineRule="exact"/>
        <w:ind w:right="-92" w:rightChars="-44" w:firstLine="400" w:firstLineChars="200"/>
        <w:textAlignment w:val="baseline"/>
        <w:rPr>
          <w:rFonts w:hint="eastAsia" w:ascii="宋体" w:hAnsi="宋体" w:cs="宋体"/>
          <w:color w:val="000000"/>
          <w:sz w:val="20"/>
          <w:szCs w:val="20"/>
        </w:rPr>
      </w:pPr>
      <w:r>
        <w:rPr>
          <w:rFonts w:hint="eastAsia" w:ascii="宋体" w:hAnsi="宋体" w:cs="宋体"/>
          <w:color w:val="000000"/>
          <w:sz w:val="20"/>
          <w:szCs w:val="20"/>
        </w:rPr>
        <w:t>1、我公司投标截止日投标资格情况不存在下列情形之一：</w:t>
      </w:r>
    </w:p>
    <w:p w14:paraId="350CB6A7">
      <w:pPr>
        <w:snapToGrid w:val="0"/>
        <w:spacing w:line="400" w:lineRule="exact"/>
        <w:ind w:right="-92" w:rightChars="-44" w:firstLine="400" w:firstLineChars="200"/>
        <w:textAlignment w:val="baseline"/>
        <w:rPr>
          <w:rFonts w:hint="eastAsia" w:ascii="宋体" w:hAnsi="宋体" w:cs="宋体"/>
          <w:color w:val="000000"/>
          <w:sz w:val="20"/>
          <w:szCs w:val="20"/>
        </w:rPr>
      </w:pPr>
      <w:r>
        <w:rPr>
          <w:rFonts w:hint="eastAsia" w:ascii="宋体" w:hAnsi="宋体" w:cs="宋体"/>
          <w:color w:val="000000"/>
          <w:sz w:val="20"/>
          <w:szCs w:val="20"/>
        </w:rPr>
        <w:t>（1）被人民法院在“信用中国”网站（www.creditchina.gov.cn）列入失信被执行人名单且在被执行期内；</w:t>
      </w:r>
    </w:p>
    <w:p w14:paraId="43C7E448">
      <w:pPr>
        <w:snapToGrid w:val="0"/>
        <w:spacing w:line="400" w:lineRule="exact"/>
        <w:ind w:right="-92" w:rightChars="-44" w:firstLine="400" w:firstLineChars="200"/>
        <w:textAlignment w:val="baseline"/>
        <w:rPr>
          <w:rFonts w:hint="eastAsia" w:ascii="宋体" w:hAnsi="宋体" w:cs="宋体"/>
          <w:color w:val="000000"/>
          <w:sz w:val="20"/>
          <w:szCs w:val="20"/>
        </w:rPr>
      </w:pPr>
      <w:r>
        <w:rPr>
          <w:rFonts w:hint="eastAsia" w:ascii="宋体" w:hAnsi="宋体" w:cs="宋体"/>
          <w:color w:val="000000"/>
          <w:sz w:val="20"/>
          <w:szCs w:val="20"/>
        </w:rPr>
        <w:t>（2）被列入《重庆市工程建设领域招标投标信用管理暂行办法》规定的重点关注名单且记分达到12分且在记分有效期内；</w:t>
      </w:r>
    </w:p>
    <w:p w14:paraId="668D8029">
      <w:pPr>
        <w:snapToGrid w:val="0"/>
        <w:spacing w:line="400" w:lineRule="exact"/>
        <w:ind w:right="-92" w:rightChars="-44" w:firstLine="400" w:firstLineChars="200"/>
        <w:textAlignment w:val="baseline"/>
        <w:rPr>
          <w:rFonts w:hint="eastAsia" w:ascii="宋体" w:hAnsi="宋体" w:cs="宋体"/>
          <w:color w:val="000000"/>
          <w:sz w:val="20"/>
          <w:szCs w:val="20"/>
        </w:rPr>
      </w:pPr>
      <w:r>
        <w:rPr>
          <w:rFonts w:hint="eastAsia" w:ascii="宋体" w:hAnsi="宋体" w:cs="宋体"/>
          <w:color w:val="000000"/>
          <w:sz w:val="20"/>
          <w:szCs w:val="20"/>
        </w:rPr>
        <w:t>（3）被列入《重庆市工程建设领域招标投标信用管理暂行办法》规定的黑名单且在记分有效期内；</w:t>
      </w:r>
    </w:p>
    <w:p w14:paraId="5D7A9536">
      <w:pPr>
        <w:snapToGrid w:val="0"/>
        <w:spacing w:line="400" w:lineRule="exact"/>
        <w:ind w:right="-92" w:rightChars="-44" w:firstLine="400" w:firstLineChars="200"/>
        <w:textAlignment w:val="baseline"/>
        <w:rPr>
          <w:rFonts w:hint="eastAsia" w:ascii="宋体" w:hAnsi="宋体" w:cs="宋体"/>
          <w:color w:val="000000"/>
          <w:sz w:val="20"/>
          <w:szCs w:val="20"/>
        </w:rPr>
      </w:pPr>
      <w:r>
        <w:rPr>
          <w:rFonts w:hint="eastAsia" w:ascii="宋体" w:hAnsi="宋体" w:cs="宋体"/>
          <w:color w:val="000000"/>
          <w:sz w:val="20"/>
          <w:szCs w:val="20"/>
        </w:rPr>
        <w:t>（4）被国家、重庆市（含市或任意区县）有关行政部门处以暂停投标资格行政处罚，且在处罚期限内；</w:t>
      </w:r>
    </w:p>
    <w:p w14:paraId="42BB1D2C">
      <w:pPr>
        <w:snapToGrid w:val="0"/>
        <w:spacing w:line="400" w:lineRule="exact"/>
        <w:ind w:right="-92" w:rightChars="-44" w:firstLine="400" w:firstLineChars="200"/>
        <w:textAlignment w:val="baseline"/>
        <w:rPr>
          <w:rFonts w:hint="eastAsia" w:ascii="宋体" w:hAnsi="宋体" w:cs="宋体"/>
          <w:color w:val="000000"/>
          <w:sz w:val="20"/>
          <w:szCs w:val="20"/>
        </w:rPr>
      </w:pPr>
      <w:r>
        <w:rPr>
          <w:rFonts w:hint="eastAsia" w:ascii="宋体" w:hAnsi="宋体" w:cs="宋体"/>
          <w:color w:val="000000"/>
          <w:sz w:val="20"/>
          <w:szCs w:val="20"/>
        </w:rPr>
        <w:t>（5）被重庆市住房和城乡建设主管部门暂停在渝承揽新业务且在暂停期内。</w:t>
      </w:r>
    </w:p>
    <w:p w14:paraId="1F5AF1AF">
      <w:pPr>
        <w:snapToGrid w:val="0"/>
        <w:spacing w:line="400" w:lineRule="exact"/>
        <w:ind w:right="-92" w:rightChars="-44" w:firstLine="400" w:firstLineChars="200"/>
        <w:textAlignment w:val="baseline"/>
        <w:rPr>
          <w:rFonts w:hint="eastAsia" w:ascii="宋体" w:hAnsi="宋体" w:cs="宋体"/>
          <w:color w:val="000000"/>
          <w:sz w:val="20"/>
          <w:szCs w:val="20"/>
        </w:rPr>
      </w:pPr>
      <w:r>
        <w:rPr>
          <w:rFonts w:hint="eastAsia" w:ascii="宋体" w:hAnsi="宋体" w:cs="宋体"/>
          <w:color w:val="000000"/>
          <w:sz w:val="20"/>
          <w:szCs w:val="20"/>
        </w:rPr>
        <w:t>2、我公司拟派的项目经理中标后只能在本项目任职，签订合同时拟派的项目经理必须与比选申请文件中的项目经理一致，并满足办理施工许可手续的相关要求。不能按承诺到岗履约的，按合同相关条款处罚并上报行政主管部门，给招标人造成损失的，我公司依法承担违约赔偿责任。</w:t>
      </w:r>
    </w:p>
    <w:p w14:paraId="7EF69219">
      <w:pPr>
        <w:snapToGrid w:val="0"/>
        <w:spacing w:line="400" w:lineRule="exact"/>
        <w:ind w:right="-92" w:rightChars="-44" w:firstLine="400" w:firstLineChars="200"/>
        <w:textAlignment w:val="baseline"/>
        <w:rPr>
          <w:rFonts w:hint="eastAsia" w:ascii="宋体" w:hAnsi="宋体" w:cs="宋体"/>
          <w:color w:val="000000"/>
          <w:sz w:val="20"/>
          <w:szCs w:val="20"/>
        </w:rPr>
      </w:pPr>
      <w:r>
        <w:rPr>
          <w:rFonts w:hint="eastAsia" w:ascii="宋体" w:hAnsi="宋体" w:cs="宋体"/>
          <w:color w:val="000000"/>
          <w:sz w:val="20"/>
          <w:szCs w:val="20"/>
        </w:rPr>
        <w:t>我公司拟派的项目经理未被我市住房和城乡建设主管部门暂停在渝承揽新业务，若被暂停且参加投标的投标将被否决；已取得中标候选人资格或中标资格的，招标人有权取消其中标候选人资格或中标资格；给招标人造成损失的，我公司依法承担违约赔偿责任。</w:t>
      </w:r>
    </w:p>
    <w:p w14:paraId="544FCCE1">
      <w:pPr>
        <w:numPr>
          <w:ilvl w:val="0"/>
          <w:numId w:val="5"/>
        </w:numPr>
        <w:snapToGrid w:val="0"/>
        <w:spacing w:line="400" w:lineRule="exact"/>
        <w:ind w:right="-92" w:rightChars="-44" w:firstLine="400" w:firstLineChars="200"/>
        <w:textAlignment w:val="baseline"/>
        <w:rPr>
          <w:rFonts w:hint="eastAsia" w:ascii="宋体" w:hAnsi="宋体" w:cs="宋体"/>
          <w:color w:val="000000"/>
          <w:sz w:val="20"/>
          <w:szCs w:val="20"/>
        </w:rPr>
      </w:pPr>
      <w:r>
        <w:rPr>
          <w:rFonts w:hint="eastAsia" w:ascii="宋体" w:hAnsi="宋体" w:cs="宋体"/>
          <w:color w:val="000000"/>
          <w:sz w:val="20"/>
          <w:szCs w:val="20"/>
        </w:rPr>
        <w:t>我公司若中标，在签订合同之前，将按照建设行政主管部门的要求组建施工项目部，配置项目管理班子，出具任命文件。任命文件应当明确施工项目部的职责、岗位设置、人员配备，并书面通知招标人。相关岗位管理人员应持有建设行政主管部门要求的岗位证书，并提供我公司为其缴纳的养老保险证明材料。中标后不能满足该要求的，取消我公司中标资格，给招标人造成损失的，我公司依法承担违约赔偿责任。</w:t>
      </w:r>
    </w:p>
    <w:p w14:paraId="1473C110">
      <w:pPr>
        <w:snapToGrid w:val="0"/>
        <w:spacing w:line="400" w:lineRule="exact"/>
        <w:ind w:right="-92" w:rightChars="-44" w:firstLine="400" w:firstLineChars="200"/>
        <w:textAlignment w:val="baseline"/>
        <w:rPr>
          <w:rFonts w:hint="eastAsia" w:ascii="宋体" w:hAnsi="宋体" w:cs="宋体"/>
          <w:color w:val="000000"/>
          <w:sz w:val="20"/>
          <w:szCs w:val="20"/>
        </w:rPr>
      </w:pPr>
      <w:r>
        <w:rPr>
          <w:rFonts w:hint="eastAsia" w:ascii="宋体" w:hAnsi="宋体" w:cs="宋体"/>
          <w:color w:val="000000"/>
          <w:sz w:val="20"/>
          <w:szCs w:val="20"/>
        </w:rPr>
        <w:t>4、我公司在资格审查部分中提供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14:paraId="37C236D0">
      <w:pPr>
        <w:snapToGrid w:val="0"/>
        <w:spacing w:line="400" w:lineRule="exact"/>
        <w:ind w:right="-92" w:rightChars="-44" w:firstLine="400" w:firstLineChars="200"/>
        <w:textAlignment w:val="baseline"/>
        <w:rPr>
          <w:rFonts w:hint="eastAsia" w:ascii="宋体" w:hAnsi="宋体" w:cs="宋体"/>
          <w:color w:val="000000"/>
          <w:sz w:val="20"/>
          <w:szCs w:val="20"/>
        </w:rPr>
      </w:pPr>
      <w:r>
        <w:rPr>
          <w:rFonts w:hint="eastAsia" w:ascii="宋体" w:hAnsi="宋体" w:cs="宋体"/>
          <w:color w:val="000000"/>
          <w:sz w:val="20"/>
          <w:szCs w:val="20"/>
        </w:rPr>
        <w:t>5、我公司的比选申请文件符合第四章 合同条款及格式规定，比选申请文件中没有招标人不能接受的条件。</w:t>
      </w:r>
    </w:p>
    <w:p w14:paraId="30BDA5A7">
      <w:pPr>
        <w:snapToGrid w:val="0"/>
        <w:spacing w:line="400" w:lineRule="exact"/>
        <w:ind w:right="-92" w:rightChars="-44" w:firstLine="400" w:firstLineChars="200"/>
        <w:textAlignment w:val="baseline"/>
        <w:rPr>
          <w:rFonts w:hint="eastAsia" w:ascii="宋体" w:hAnsi="宋体" w:cs="宋体"/>
          <w:color w:val="000000"/>
          <w:sz w:val="20"/>
          <w:szCs w:val="20"/>
        </w:rPr>
      </w:pPr>
      <w:r>
        <w:rPr>
          <w:rFonts w:hint="eastAsia" w:ascii="宋体" w:hAnsi="宋体" w:cs="宋体"/>
          <w:color w:val="000000"/>
          <w:sz w:val="20"/>
          <w:szCs w:val="20"/>
        </w:rPr>
        <w:t>6、我公司的比选申请文件符合第七章 技术标准和要求（如有）。</w:t>
      </w:r>
    </w:p>
    <w:p w14:paraId="7688B435">
      <w:pPr>
        <w:tabs>
          <w:tab w:val="left" w:pos="4200"/>
          <w:tab w:val="left" w:pos="4620"/>
        </w:tabs>
        <w:snapToGrid w:val="0"/>
        <w:spacing w:line="360" w:lineRule="auto"/>
        <w:ind w:right="-92" w:rightChars="-44" w:firstLine="400" w:firstLineChars="200"/>
        <w:textAlignment w:val="baseline"/>
        <w:rPr>
          <w:rFonts w:hint="eastAsia" w:ascii="宋体" w:hAnsi="宋体" w:cs="宋体"/>
          <w:color w:val="000000"/>
          <w:sz w:val="20"/>
          <w:szCs w:val="20"/>
        </w:rPr>
      </w:pPr>
      <w:r>
        <w:rPr>
          <w:rFonts w:hint="eastAsia" w:ascii="宋体" w:hAnsi="宋体" w:cs="宋体"/>
          <w:color w:val="000000"/>
          <w:sz w:val="20"/>
          <w:szCs w:val="20"/>
        </w:rPr>
        <w:t>比选申请人：</w:t>
      </w:r>
      <w:r>
        <w:rPr>
          <w:rFonts w:hint="eastAsia" w:ascii="宋体" w:hAnsi="宋体" w:cs="宋体"/>
          <w:color w:val="000000"/>
          <w:w w:val="200"/>
          <w:sz w:val="20"/>
          <w:szCs w:val="20"/>
          <w:u w:val="single" w:color="000000"/>
        </w:rPr>
        <w:t xml:space="preserve">                           </w:t>
      </w:r>
      <w:r>
        <w:rPr>
          <w:rFonts w:hint="eastAsia" w:ascii="宋体" w:hAnsi="宋体" w:cs="宋体"/>
          <w:color w:val="000000"/>
          <w:sz w:val="20"/>
          <w:szCs w:val="20"/>
        </w:rPr>
        <w:t>（</w:t>
      </w:r>
      <w:r>
        <w:rPr>
          <w:rFonts w:hint="eastAsia" w:ascii="宋体" w:hAnsi="宋体" w:cs="宋体"/>
          <w:color w:val="000000"/>
          <w:spacing w:val="-1"/>
          <w:sz w:val="20"/>
          <w:szCs w:val="20"/>
        </w:rPr>
        <w:t>盖单位法人章</w:t>
      </w:r>
      <w:r>
        <w:rPr>
          <w:rFonts w:hint="eastAsia" w:ascii="宋体" w:hAnsi="宋体" w:cs="宋体"/>
          <w:color w:val="000000"/>
          <w:sz w:val="20"/>
          <w:szCs w:val="20"/>
        </w:rPr>
        <w:t>）</w:t>
      </w:r>
    </w:p>
    <w:p w14:paraId="75764C76">
      <w:pPr>
        <w:tabs>
          <w:tab w:val="left" w:pos="6300"/>
        </w:tabs>
        <w:snapToGrid w:val="0"/>
        <w:spacing w:line="360" w:lineRule="auto"/>
        <w:ind w:right="-92" w:rightChars="-44" w:firstLine="400" w:firstLineChars="200"/>
        <w:textAlignment w:val="baseline"/>
        <w:rPr>
          <w:rFonts w:hint="eastAsia" w:ascii="宋体" w:hAnsi="宋体" w:cs="宋体"/>
          <w:color w:val="000000"/>
          <w:sz w:val="20"/>
          <w:szCs w:val="20"/>
        </w:rPr>
      </w:pPr>
      <w:r>
        <w:rPr>
          <w:rFonts w:hint="eastAsia" w:ascii="宋体" w:hAnsi="宋体" w:cs="宋体"/>
          <w:color w:val="000000"/>
          <w:sz w:val="20"/>
          <w:szCs w:val="20"/>
        </w:rPr>
        <w:t>法定代表人：</w:t>
      </w:r>
      <w:r>
        <w:rPr>
          <w:rFonts w:hint="eastAsia" w:ascii="宋体" w:hAnsi="宋体" w:cs="宋体"/>
          <w:color w:val="000000"/>
          <w:w w:val="200"/>
          <w:sz w:val="20"/>
          <w:szCs w:val="20"/>
          <w:u w:val="single" w:color="000000"/>
        </w:rPr>
        <w:t xml:space="preserve">                           </w:t>
      </w:r>
      <w:r>
        <w:rPr>
          <w:rFonts w:hint="eastAsia" w:ascii="宋体" w:hAnsi="宋体" w:cs="宋体"/>
          <w:color w:val="000000"/>
          <w:sz w:val="20"/>
          <w:szCs w:val="20"/>
        </w:rPr>
        <w:t>（签字或盖章）</w:t>
      </w:r>
    </w:p>
    <w:p w14:paraId="56604AC5">
      <w:pPr>
        <w:tabs>
          <w:tab w:val="left" w:pos="6300"/>
        </w:tabs>
        <w:snapToGrid w:val="0"/>
        <w:spacing w:line="360" w:lineRule="auto"/>
        <w:ind w:right="-92" w:rightChars="-44" w:firstLine="400" w:firstLineChars="200"/>
        <w:textAlignment w:val="baseline"/>
        <w:rPr>
          <w:rFonts w:hint="eastAsia" w:ascii="宋体" w:hAnsi="宋体" w:cs="宋体"/>
          <w:color w:val="000000"/>
          <w:sz w:val="20"/>
          <w:szCs w:val="20"/>
        </w:rPr>
      </w:pPr>
    </w:p>
    <w:p w14:paraId="472143CE">
      <w:pPr>
        <w:autoSpaceDE w:val="0"/>
        <w:autoSpaceDN w:val="0"/>
        <w:adjustRightInd w:val="0"/>
        <w:spacing w:line="360" w:lineRule="auto"/>
        <w:ind w:right="-92" w:rightChars="-44"/>
        <w:jc w:val="right"/>
        <w:rPr>
          <w:rFonts w:hint="eastAsia" w:ascii="宋体" w:hAnsi="宋体" w:cs="宋体"/>
          <w:b/>
          <w:kern w:val="0"/>
          <w:sz w:val="28"/>
          <w:szCs w:val="28"/>
        </w:rPr>
      </w:pPr>
      <w:r>
        <w:rPr>
          <w:rFonts w:hint="eastAsia" w:ascii="宋体" w:hAnsi="宋体" w:cs="宋体"/>
          <w:color w:val="000000"/>
          <w:sz w:val="20"/>
          <w:szCs w:val="20"/>
          <w:u w:val="single" w:color="000000"/>
        </w:rPr>
        <w:t xml:space="preserve">    </w:t>
      </w:r>
      <w:r>
        <w:rPr>
          <w:rFonts w:hint="eastAsia" w:ascii="宋体" w:hAnsi="宋体" w:cs="宋体"/>
          <w:color w:val="000000"/>
          <w:sz w:val="20"/>
          <w:szCs w:val="20"/>
        </w:rPr>
        <w:t>年</w:t>
      </w:r>
      <w:r>
        <w:rPr>
          <w:rFonts w:hint="eastAsia" w:ascii="宋体" w:hAnsi="宋体" w:cs="宋体"/>
          <w:color w:val="000000"/>
          <w:sz w:val="20"/>
          <w:szCs w:val="20"/>
          <w:u w:val="single" w:color="000000"/>
        </w:rPr>
        <w:t xml:space="preserve">    </w:t>
      </w:r>
      <w:r>
        <w:rPr>
          <w:rFonts w:hint="eastAsia" w:ascii="宋体" w:hAnsi="宋体" w:cs="宋体"/>
          <w:color w:val="000000"/>
          <w:sz w:val="20"/>
          <w:szCs w:val="20"/>
        </w:rPr>
        <w:t>月</w:t>
      </w:r>
      <w:r>
        <w:rPr>
          <w:rFonts w:hint="eastAsia" w:ascii="宋体" w:hAnsi="宋体" w:cs="宋体"/>
          <w:color w:val="000000"/>
          <w:sz w:val="20"/>
          <w:szCs w:val="20"/>
          <w:u w:val="single" w:color="000000"/>
        </w:rPr>
        <w:t xml:space="preserve">    日</w:t>
      </w:r>
    </w:p>
    <w:p w14:paraId="62330050">
      <w:pPr>
        <w:rPr>
          <w:rFonts w:hint="eastAsia" w:ascii="宋体" w:hAnsi="宋体" w:cs="宋体"/>
          <w:b/>
          <w:kern w:val="0"/>
          <w:sz w:val="28"/>
          <w:szCs w:val="28"/>
        </w:rPr>
      </w:pPr>
      <w:bookmarkStart w:id="1149" w:name="_Toc21759"/>
      <w:r>
        <w:rPr>
          <w:rFonts w:hint="eastAsia" w:ascii="宋体" w:hAnsi="宋体" w:cs="宋体"/>
          <w:b/>
          <w:kern w:val="0"/>
          <w:sz w:val="28"/>
          <w:szCs w:val="28"/>
        </w:rPr>
        <w:br w:type="page"/>
      </w:r>
    </w:p>
    <w:p w14:paraId="599FEC08">
      <w:pPr>
        <w:autoSpaceDE w:val="0"/>
        <w:autoSpaceDN w:val="0"/>
        <w:adjustRightInd w:val="0"/>
        <w:spacing w:line="360" w:lineRule="auto"/>
        <w:ind w:right="-20"/>
        <w:jc w:val="center"/>
        <w:outlineLvl w:val="2"/>
        <w:rPr>
          <w:rFonts w:hint="eastAsia" w:ascii="宋体" w:hAnsi="宋体" w:cs="宋体"/>
          <w:b/>
          <w:kern w:val="0"/>
          <w:sz w:val="28"/>
          <w:szCs w:val="28"/>
        </w:rPr>
      </w:pPr>
      <w:r>
        <w:rPr>
          <w:rFonts w:hint="eastAsia" w:ascii="宋体" w:hAnsi="宋体" w:cs="宋体"/>
          <w:b/>
          <w:kern w:val="0"/>
          <w:sz w:val="28"/>
          <w:szCs w:val="28"/>
        </w:rPr>
        <w:t>（七）</w:t>
      </w:r>
      <w:bookmarkEnd w:id="1149"/>
      <w:r>
        <w:rPr>
          <w:rFonts w:hint="eastAsia" w:ascii="宋体" w:hAnsi="宋体" w:cs="宋体"/>
          <w:b/>
          <w:kern w:val="0"/>
          <w:sz w:val="28"/>
          <w:szCs w:val="28"/>
        </w:rPr>
        <w:t>经济部分</w:t>
      </w:r>
    </w:p>
    <w:p w14:paraId="672EC91E">
      <w:pPr>
        <w:autoSpaceDE w:val="0"/>
        <w:autoSpaceDN w:val="0"/>
        <w:adjustRightInd w:val="0"/>
        <w:spacing w:line="360" w:lineRule="auto"/>
        <w:ind w:right="-20"/>
        <w:jc w:val="center"/>
        <w:rPr>
          <w:rFonts w:hint="eastAsia" w:ascii="宋体" w:hAnsi="宋体" w:cs="宋体"/>
        </w:rPr>
      </w:pPr>
    </w:p>
    <w:p w14:paraId="08E6786A">
      <w:pPr>
        <w:autoSpaceDE w:val="0"/>
        <w:autoSpaceDN w:val="0"/>
        <w:adjustRightInd w:val="0"/>
        <w:spacing w:line="360" w:lineRule="auto"/>
        <w:ind w:right="-20"/>
        <w:jc w:val="center"/>
        <w:rPr>
          <w:rFonts w:hint="eastAsia" w:ascii="宋体" w:hAnsi="宋体" w:cs="宋体"/>
        </w:rPr>
      </w:pPr>
      <w:r>
        <w:rPr>
          <w:rFonts w:hint="eastAsia" w:ascii="宋体" w:hAnsi="宋体" w:cs="宋体"/>
        </w:rPr>
        <w:t>后附已标价工程量清单及比选申请人自行根据比选文件自行拟定的相关内容。</w:t>
      </w:r>
    </w:p>
    <w:p w14:paraId="0CA63F4C">
      <w:pPr>
        <w:pStyle w:val="2"/>
        <w:spacing w:before="0"/>
        <w:jc w:val="center"/>
        <w:rPr>
          <w:rFonts w:hint="eastAsia" w:ascii="宋体" w:hAnsi="宋体" w:eastAsia="宋体" w:cs="宋体"/>
        </w:rPr>
      </w:pPr>
      <w:r>
        <w:rPr>
          <w:rFonts w:hint="eastAsia" w:ascii="宋体" w:hAnsi="宋体" w:eastAsia="宋体" w:cs="宋体"/>
        </w:rPr>
        <w:br w:type="page"/>
      </w:r>
      <w:bookmarkStart w:id="1150" w:name="_Toc30612"/>
      <w:r>
        <w:rPr>
          <w:rFonts w:hint="eastAsia" w:ascii="宋体" w:hAnsi="宋体" w:eastAsia="宋体" w:cs="宋体"/>
        </w:rPr>
        <w:t>（八）技术部分</w:t>
      </w:r>
    </w:p>
    <w:p w14:paraId="60D6F058">
      <w:pPr>
        <w:pStyle w:val="2"/>
        <w:spacing w:before="0"/>
        <w:jc w:val="center"/>
        <w:rPr>
          <w:rFonts w:hint="eastAsia" w:ascii="宋体" w:hAnsi="宋体" w:eastAsia="宋体" w:cs="宋体"/>
          <w:b w:val="0"/>
        </w:rPr>
      </w:pPr>
    </w:p>
    <w:bookmarkEnd w:id="1150"/>
    <w:p w14:paraId="30CF407A">
      <w:pPr>
        <w:snapToGrid w:val="0"/>
        <w:spacing w:before="33"/>
        <w:ind w:right="1047"/>
        <w:jc w:val="center"/>
        <w:textAlignment w:val="baseline"/>
        <w:rPr>
          <w:rFonts w:hint="eastAsia" w:ascii="宋体" w:hAnsi="宋体" w:cs="宋体"/>
          <w:b/>
          <w:sz w:val="52"/>
          <w:szCs w:val="52"/>
        </w:rPr>
      </w:pPr>
      <w:bookmarkStart w:id="1151" w:name="技术文件"/>
      <w:bookmarkEnd w:id="1151"/>
      <w:bookmarkStart w:id="1152" w:name="附表一：拟投入本标段的主要施工设备表"/>
      <w:bookmarkEnd w:id="1152"/>
      <w:bookmarkStart w:id="1153" w:name="_Toc6990"/>
    </w:p>
    <w:p w14:paraId="19E9605D">
      <w:pPr>
        <w:snapToGrid w:val="0"/>
        <w:spacing w:before="33"/>
        <w:ind w:right="1047"/>
        <w:jc w:val="center"/>
        <w:textAlignment w:val="baseline"/>
        <w:rPr>
          <w:rFonts w:hint="eastAsia" w:ascii="宋体" w:hAnsi="宋体" w:cs="宋体"/>
          <w:b/>
          <w:sz w:val="52"/>
          <w:szCs w:val="52"/>
        </w:rPr>
      </w:pPr>
    </w:p>
    <w:p w14:paraId="292293AC">
      <w:pPr>
        <w:snapToGrid w:val="0"/>
        <w:spacing w:before="33"/>
        <w:ind w:right="1047"/>
        <w:jc w:val="center"/>
        <w:textAlignment w:val="baseline"/>
        <w:rPr>
          <w:rFonts w:hint="eastAsia" w:ascii="宋体" w:hAnsi="宋体" w:cs="宋体"/>
          <w:b/>
          <w:sz w:val="52"/>
          <w:szCs w:val="52"/>
        </w:rPr>
      </w:pPr>
    </w:p>
    <w:p w14:paraId="2E87F6B1">
      <w:pPr>
        <w:snapToGrid w:val="0"/>
        <w:spacing w:before="33"/>
        <w:jc w:val="center"/>
        <w:textAlignment w:val="baseline"/>
        <w:rPr>
          <w:rFonts w:hint="eastAsia" w:ascii="宋体" w:hAnsi="宋体" w:cs="宋体"/>
          <w:sz w:val="20"/>
        </w:rPr>
      </w:pPr>
      <w:r>
        <w:rPr>
          <w:rFonts w:hint="eastAsia" w:ascii="宋体" w:hAnsi="宋体" w:cs="宋体"/>
          <w:b/>
          <w:sz w:val="52"/>
          <w:szCs w:val="52"/>
        </w:rPr>
        <w:t>施工组织设计</w:t>
      </w:r>
      <w:bookmarkEnd w:id="1153"/>
    </w:p>
    <w:p w14:paraId="310FA989">
      <w:pPr>
        <w:pStyle w:val="16"/>
        <w:snapToGrid w:val="0"/>
        <w:textAlignment w:val="baseline"/>
        <w:rPr>
          <w:rFonts w:hint="eastAsia" w:ascii="宋体" w:hAnsi="宋体" w:cs="宋体"/>
          <w:b/>
          <w:sz w:val="20"/>
        </w:rPr>
      </w:pPr>
    </w:p>
    <w:p w14:paraId="476923B5">
      <w:pPr>
        <w:pStyle w:val="16"/>
        <w:snapToGrid w:val="0"/>
        <w:jc w:val="center"/>
        <w:textAlignment w:val="baseline"/>
        <w:rPr>
          <w:rFonts w:hint="eastAsia" w:ascii="宋体" w:hAnsi="宋体" w:cs="宋体"/>
          <w:b/>
          <w:sz w:val="20"/>
        </w:rPr>
        <w:sectPr>
          <w:footerReference r:id="rId3" w:type="default"/>
          <w:pgSz w:w="11906" w:h="16838"/>
          <w:pgMar w:top="1440" w:right="866" w:bottom="1440" w:left="1380" w:header="851" w:footer="992" w:gutter="0"/>
          <w:cols w:space="720" w:num="1"/>
          <w:docGrid w:type="lines" w:linePitch="312" w:charSpace="0"/>
        </w:sectPr>
      </w:pPr>
      <w:r>
        <w:rPr>
          <w:rFonts w:hint="eastAsia" w:ascii="宋体" w:hAnsi="宋体" w:cs="宋体"/>
          <w:b/>
          <w:sz w:val="20"/>
        </w:rPr>
        <w:t>（格式自拟）</w:t>
      </w:r>
    </w:p>
    <w:p w14:paraId="6A837886">
      <w:pPr>
        <w:pStyle w:val="3"/>
        <w:numPr>
          <w:ilvl w:val="0"/>
          <w:numId w:val="0"/>
        </w:numPr>
        <w:bidi w:val="0"/>
        <w:ind w:leftChars="0"/>
        <w:jc w:val="left"/>
        <w:outlineLvl w:val="0"/>
        <w:rPr>
          <w:rFonts w:hint="eastAsia" w:ascii="仿宋" w:hAnsi="仿宋" w:eastAsia="仿宋" w:cs="仿宋"/>
          <w:b/>
          <w:bCs/>
          <w:sz w:val="28"/>
          <w:szCs w:val="28"/>
          <w:lang w:val="zh-CN" w:eastAsia="zh-CN"/>
        </w:rPr>
      </w:pPr>
      <w:bookmarkStart w:id="1154" w:name="_Toc15359"/>
      <w:bookmarkStart w:id="1155" w:name="_Toc32513"/>
      <w:bookmarkStart w:id="1156" w:name="_Toc9307"/>
      <w:bookmarkStart w:id="1157" w:name="_Toc13208"/>
      <w:bookmarkStart w:id="1158" w:name="_Toc13721"/>
      <w:bookmarkStart w:id="1159" w:name="_Toc30892"/>
      <w:bookmarkStart w:id="1160" w:name="_Toc19074"/>
      <w:bookmarkStart w:id="1161" w:name="_Toc22132"/>
      <w:bookmarkStart w:id="1162" w:name="_Toc7657"/>
      <w:bookmarkStart w:id="1163" w:name="_Toc25245"/>
      <w:bookmarkStart w:id="1164" w:name="_Toc9153"/>
      <w:bookmarkStart w:id="1165" w:name="_Toc30676"/>
      <w:bookmarkStart w:id="1166" w:name="_Toc2957"/>
      <w:bookmarkStart w:id="1167" w:name="_Toc4180"/>
      <w:bookmarkStart w:id="1168" w:name="_Toc22703"/>
      <w:bookmarkStart w:id="1169" w:name="_Toc16415"/>
      <w:r>
        <w:rPr>
          <w:rFonts w:hint="eastAsia" w:ascii="仿宋" w:hAnsi="仿宋" w:eastAsia="仿宋" w:cs="仿宋"/>
          <w:b/>
          <w:bCs/>
          <w:sz w:val="28"/>
          <w:szCs w:val="28"/>
          <w:lang w:val="zh-CN" w:eastAsia="zh-CN"/>
        </w:rPr>
        <w:t>附件1：</w:t>
      </w:r>
      <w:bookmarkEnd w:id="1154"/>
      <w:bookmarkEnd w:id="1155"/>
      <w:bookmarkEnd w:id="1156"/>
      <w:bookmarkEnd w:id="1157"/>
      <w:bookmarkEnd w:id="1158"/>
      <w:bookmarkEnd w:id="1159"/>
      <w:bookmarkEnd w:id="1160"/>
      <w:bookmarkEnd w:id="1161"/>
      <w:bookmarkEnd w:id="1162"/>
      <w:bookmarkEnd w:id="1163"/>
    </w:p>
    <w:p w14:paraId="3F8B37D5">
      <w:pPr>
        <w:pStyle w:val="2"/>
        <w:spacing w:line="520" w:lineRule="exact"/>
        <w:jc w:val="center"/>
        <w:outlineLvl w:val="9"/>
        <w:rPr>
          <w:rFonts w:hint="eastAsia" w:ascii="仿宋" w:hAnsi="仿宋" w:eastAsia="仿宋" w:cs="仿宋"/>
          <w:lang w:eastAsia="zh-CN"/>
        </w:rPr>
      </w:pPr>
    </w:p>
    <w:p w14:paraId="3A4AE0E2">
      <w:pPr>
        <w:pStyle w:val="2"/>
        <w:spacing w:line="520" w:lineRule="exact"/>
        <w:jc w:val="center"/>
        <w:outlineLvl w:val="0"/>
        <w:rPr>
          <w:rFonts w:hint="eastAsia" w:asciiTheme="minorEastAsia" w:hAnsiTheme="minorEastAsia" w:eastAsiaTheme="minorEastAsia" w:cstheme="minorEastAsia"/>
          <w:szCs w:val="21"/>
        </w:rPr>
      </w:pPr>
      <w:bookmarkStart w:id="1170" w:name="_Toc22731"/>
      <w:bookmarkStart w:id="1171" w:name="_Toc32405"/>
      <w:r>
        <w:rPr>
          <w:rFonts w:hint="eastAsia" w:asciiTheme="minorEastAsia" w:hAnsiTheme="minorEastAsia" w:eastAsiaTheme="minorEastAsia" w:cstheme="minorEastAsia"/>
          <w:lang w:eastAsia="zh-CN"/>
        </w:rPr>
        <w:t>比选</w:t>
      </w:r>
      <w:r>
        <w:rPr>
          <w:rFonts w:hint="eastAsia" w:asciiTheme="minorEastAsia" w:hAnsiTheme="minorEastAsia" w:eastAsiaTheme="minorEastAsia" w:cstheme="minorEastAsia"/>
        </w:rPr>
        <w:t>文件发售登记表</w:t>
      </w:r>
      <w:bookmarkEnd w:id="1164"/>
      <w:bookmarkEnd w:id="1165"/>
      <w:bookmarkEnd w:id="1166"/>
      <w:bookmarkEnd w:id="1167"/>
      <w:bookmarkEnd w:id="1168"/>
      <w:bookmarkEnd w:id="1169"/>
      <w:bookmarkEnd w:id="1170"/>
      <w:bookmarkEnd w:id="1171"/>
    </w:p>
    <w:p w14:paraId="29D066FB">
      <w:pPr>
        <w:spacing w:line="520" w:lineRule="exact"/>
        <w:rPr>
          <w:rFonts w:hint="eastAsia" w:asciiTheme="minorEastAsia" w:hAnsiTheme="minorEastAsia" w:eastAsiaTheme="minorEastAsia" w:cstheme="minorEastAsia"/>
        </w:rPr>
      </w:pPr>
    </w:p>
    <w:tbl>
      <w:tblPr>
        <w:tblStyle w:val="4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719"/>
        <w:gridCol w:w="900"/>
        <w:gridCol w:w="3121"/>
      </w:tblGrid>
      <w:tr w14:paraId="183D55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88" w:type="dxa"/>
            <w:noWrap/>
            <w:vAlign w:val="center"/>
          </w:tcPr>
          <w:p w14:paraId="3FFC9E09">
            <w:pPr>
              <w:spacing w:line="520" w:lineRule="exact"/>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项目名称</w:t>
            </w:r>
          </w:p>
        </w:tc>
        <w:tc>
          <w:tcPr>
            <w:tcW w:w="6740" w:type="dxa"/>
            <w:gridSpan w:val="3"/>
            <w:noWrap/>
            <w:vAlign w:val="center"/>
          </w:tcPr>
          <w:p w14:paraId="27EE2A0E">
            <w:pPr>
              <w:spacing w:line="520" w:lineRule="exact"/>
              <w:jc w:val="left"/>
              <w:rPr>
                <w:rFonts w:hint="eastAsia" w:asciiTheme="minorEastAsia" w:hAnsiTheme="minorEastAsia" w:eastAsiaTheme="minorEastAsia" w:cstheme="minorEastAsia"/>
                <w:sz w:val="22"/>
                <w:szCs w:val="22"/>
              </w:rPr>
            </w:pPr>
          </w:p>
        </w:tc>
      </w:tr>
      <w:tr w14:paraId="7ADB26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88" w:type="dxa"/>
            <w:noWrap/>
            <w:vAlign w:val="center"/>
          </w:tcPr>
          <w:p w14:paraId="0B920077">
            <w:pPr>
              <w:spacing w:line="520" w:lineRule="exact"/>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比选申请人</w:t>
            </w:r>
            <w:r>
              <w:rPr>
                <w:rFonts w:hint="eastAsia" w:asciiTheme="minorEastAsia" w:hAnsiTheme="minorEastAsia" w:eastAsiaTheme="minorEastAsia" w:cstheme="minorEastAsia"/>
                <w:sz w:val="22"/>
                <w:szCs w:val="22"/>
              </w:rPr>
              <w:t>名称</w:t>
            </w:r>
          </w:p>
        </w:tc>
        <w:tc>
          <w:tcPr>
            <w:tcW w:w="6740" w:type="dxa"/>
            <w:gridSpan w:val="3"/>
            <w:noWrap/>
            <w:vAlign w:val="bottom"/>
          </w:tcPr>
          <w:p w14:paraId="4199AAE6">
            <w:pPr>
              <w:spacing w:line="520" w:lineRule="exact"/>
              <w:ind w:right="600"/>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比选申请人</w:t>
            </w:r>
            <w:r>
              <w:rPr>
                <w:rFonts w:hint="eastAsia" w:asciiTheme="minorEastAsia" w:hAnsiTheme="minorEastAsia" w:eastAsiaTheme="minorEastAsia" w:cstheme="minorEastAsia"/>
                <w:sz w:val="22"/>
                <w:szCs w:val="22"/>
              </w:rPr>
              <w:t>公章）</w:t>
            </w:r>
          </w:p>
        </w:tc>
      </w:tr>
      <w:tr w14:paraId="4703C5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788" w:type="dxa"/>
            <w:noWrap/>
            <w:vAlign w:val="center"/>
          </w:tcPr>
          <w:p w14:paraId="6A8BF190">
            <w:pPr>
              <w:spacing w:line="520" w:lineRule="exact"/>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联系人</w:t>
            </w:r>
          </w:p>
        </w:tc>
        <w:tc>
          <w:tcPr>
            <w:tcW w:w="2719" w:type="dxa"/>
            <w:noWrap/>
            <w:vAlign w:val="center"/>
          </w:tcPr>
          <w:p w14:paraId="0EC0D3CF">
            <w:pPr>
              <w:spacing w:line="520" w:lineRule="exact"/>
              <w:jc w:val="left"/>
              <w:rPr>
                <w:rFonts w:hint="eastAsia" w:asciiTheme="minorEastAsia" w:hAnsiTheme="minorEastAsia" w:eastAsiaTheme="minorEastAsia" w:cstheme="minorEastAsia"/>
                <w:sz w:val="22"/>
                <w:szCs w:val="22"/>
              </w:rPr>
            </w:pPr>
          </w:p>
        </w:tc>
        <w:tc>
          <w:tcPr>
            <w:tcW w:w="900" w:type="dxa"/>
            <w:noWrap/>
            <w:vAlign w:val="center"/>
          </w:tcPr>
          <w:p w14:paraId="74CBA9B9">
            <w:pPr>
              <w:spacing w:line="520" w:lineRule="exact"/>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手机</w:t>
            </w:r>
          </w:p>
        </w:tc>
        <w:tc>
          <w:tcPr>
            <w:tcW w:w="3121" w:type="dxa"/>
            <w:noWrap/>
            <w:vAlign w:val="center"/>
          </w:tcPr>
          <w:p w14:paraId="371F75BF">
            <w:pPr>
              <w:spacing w:line="520" w:lineRule="exact"/>
              <w:jc w:val="left"/>
              <w:rPr>
                <w:rFonts w:hint="eastAsia" w:asciiTheme="minorEastAsia" w:hAnsiTheme="minorEastAsia" w:eastAsiaTheme="minorEastAsia" w:cstheme="minorEastAsia"/>
                <w:sz w:val="22"/>
                <w:szCs w:val="22"/>
              </w:rPr>
            </w:pPr>
          </w:p>
        </w:tc>
      </w:tr>
      <w:tr w14:paraId="4FB85E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788" w:type="dxa"/>
            <w:noWrap/>
            <w:vAlign w:val="center"/>
          </w:tcPr>
          <w:p w14:paraId="7798A9D0">
            <w:pPr>
              <w:spacing w:line="520" w:lineRule="exact"/>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办公电话</w:t>
            </w:r>
          </w:p>
        </w:tc>
        <w:tc>
          <w:tcPr>
            <w:tcW w:w="2719" w:type="dxa"/>
            <w:noWrap/>
            <w:vAlign w:val="center"/>
          </w:tcPr>
          <w:p w14:paraId="27705510">
            <w:pPr>
              <w:spacing w:line="520" w:lineRule="exact"/>
              <w:jc w:val="left"/>
              <w:rPr>
                <w:rFonts w:hint="eastAsia" w:asciiTheme="minorEastAsia" w:hAnsiTheme="minorEastAsia" w:eastAsiaTheme="minorEastAsia" w:cstheme="minorEastAsia"/>
                <w:sz w:val="22"/>
                <w:szCs w:val="22"/>
              </w:rPr>
            </w:pPr>
          </w:p>
        </w:tc>
        <w:tc>
          <w:tcPr>
            <w:tcW w:w="900" w:type="dxa"/>
            <w:noWrap/>
            <w:vAlign w:val="center"/>
          </w:tcPr>
          <w:p w14:paraId="3FCD4846">
            <w:pPr>
              <w:spacing w:line="520" w:lineRule="exact"/>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传真</w:t>
            </w:r>
          </w:p>
        </w:tc>
        <w:tc>
          <w:tcPr>
            <w:tcW w:w="3121" w:type="dxa"/>
            <w:noWrap/>
            <w:vAlign w:val="center"/>
          </w:tcPr>
          <w:p w14:paraId="0BCA2820">
            <w:pPr>
              <w:spacing w:line="520" w:lineRule="exact"/>
              <w:jc w:val="left"/>
              <w:rPr>
                <w:rFonts w:hint="eastAsia" w:asciiTheme="minorEastAsia" w:hAnsiTheme="minorEastAsia" w:eastAsiaTheme="minorEastAsia" w:cstheme="minorEastAsia"/>
                <w:sz w:val="22"/>
                <w:szCs w:val="22"/>
              </w:rPr>
            </w:pPr>
          </w:p>
        </w:tc>
      </w:tr>
      <w:tr w14:paraId="45A834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88" w:type="dxa"/>
            <w:noWrap/>
            <w:vAlign w:val="center"/>
          </w:tcPr>
          <w:p w14:paraId="26DDB67B">
            <w:pPr>
              <w:spacing w:line="520" w:lineRule="exact"/>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E-mail</w:t>
            </w:r>
          </w:p>
        </w:tc>
        <w:tc>
          <w:tcPr>
            <w:tcW w:w="6740" w:type="dxa"/>
            <w:gridSpan w:val="3"/>
            <w:noWrap/>
            <w:vAlign w:val="center"/>
          </w:tcPr>
          <w:p w14:paraId="3C433D28">
            <w:pPr>
              <w:spacing w:line="520" w:lineRule="exact"/>
              <w:jc w:val="left"/>
              <w:rPr>
                <w:rFonts w:hint="eastAsia" w:asciiTheme="minorEastAsia" w:hAnsiTheme="minorEastAsia" w:eastAsiaTheme="minorEastAsia" w:cstheme="minorEastAsia"/>
                <w:sz w:val="22"/>
                <w:szCs w:val="22"/>
              </w:rPr>
            </w:pPr>
          </w:p>
        </w:tc>
      </w:tr>
      <w:tr w14:paraId="41C766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788" w:type="dxa"/>
            <w:noWrap/>
            <w:vAlign w:val="center"/>
          </w:tcPr>
          <w:p w14:paraId="07343EF6">
            <w:pPr>
              <w:spacing w:line="520" w:lineRule="exact"/>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单位地址</w:t>
            </w:r>
          </w:p>
        </w:tc>
        <w:tc>
          <w:tcPr>
            <w:tcW w:w="6740" w:type="dxa"/>
            <w:gridSpan w:val="3"/>
            <w:noWrap/>
            <w:vAlign w:val="center"/>
          </w:tcPr>
          <w:p w14:paraId="70AC303D">
            <w:pPr>
              <w:spacing w:line="520" w:lineRule="exact"/>
              <w:jc w:val="left"/>
              <w:rPr>
                <w:rFonts w:hint="eastAsia" w:asciiTheme="minorEastAsia" w:hAnsiTheme="minorEastAsia" w:eastAsiaTheme="minorEastAsia" w:cstheme="minorEastAsia"/>
                <w:sz w:val="22"/>
                <w:szCs w:val="22"/>
              </w:rPr>
            </w:pPr>
          </w:p>
        </w:tc>
      </w:tr>
      <w:tr w14:paraId="22702E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788" w:type="dxa"/>
            <w:noWrap/>
            <w:vAlign w:val="center"/>
          </w:tcPr>
          <w:p w14:paraId="7ADA986D">
            <w:pPr>
              <w:spacing w:line="520" w:lineRule="exact"/>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购买时间</w:t>
            </w:r>
          </w:p>
        </w:tc>
        <w:tc>
          <w:tcPr>
            <w:tcW w:w="6740" w:type="dxa"/>
            <w:gridSpan w:val="3"/>
            <w:noWrap/>
            <w:vAlign w:val="center"/>
          </w:tcPr>
          <w:p w14:paraId="11FCDF2D">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  月  日</w:t>
            </w:r>
          </w:p>
        </w:tc>
      </w:tr>
      <w:tr w14:paraId="4F9BA7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788" w:type="dxa"/>
            <w:noWrap/>
            <w:vAlign w:val="center"/>
          </w:tcPr>
          <w:p w14:paraId="07002A38">
            <w:pPr>
              <w:spacing w:line="520" w:lineRule="exact"/>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比选</w:t>
            </w:r>
            <w:r>
              <w:rPr>
                <w:rFonts w:hint="eastAsia" w:asciiTheme="minorEastAsia" w:hAnsiTheme="minorEastAsia" w:eastAsiaTheme="minorEastAsia" w:cstheme="minorEastAsia"/>
                <w:sz w:val="22"/>
                <w:szCs w:val="22"/>
              </w:rPr>
              <w:t>文件售价</w:t>
            </w:r>
          </w:p>
        </w:tc>
        <w:tc>
          <w:tcPr>
            <w:tcW w:w="6740" w:type="dxa"/>
            <w:gridSpan w:val="3"/>
            <w:noWrap/>
            <w:vAlign w:val="center"/>
          </w:tcPr>
          <w:p w14:paraId="35AE3F71">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人民币：500元/份（售后不退）。</w:t>
            </w:r>
          </w:p>
        </w:tc>
      </w:tr>
      <w:tr w14:paraId="2391E3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3" w:hRule="atLeast"/>
          <w:jc w:val="center"/>
        </w:trPr>
        <w:tc>
          <w:tcPr>
            <w:tcW w:w="1788" w:type="dxa"/>
            <w:noWrap/>
            <w:vAlign w:val="center"/>
          </w:tcPr>
          <w:p w14:paraId="33AE7113">
            <w:pPr>
              <w:spacing w:line="520" w:lineRule="exact"/>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备注</w:t>
            </w:r>
          </w:p>
        </w:tc>
        <w:tc>
          <w:tcPr>
            <w:tcW w:w="6740" w:type="dxa"/>
            <w:gridSpan w:val="3"/>
            <w:noWrap/>
            <w:vAlign w:val="center"/>
          </w:tcPr>
          <w:p w14:paraId="1F6A363F">
            <w:pPr>
              <w:kinsoku/>
              <w:wordWrap/>
              <w:overflowPunct/>
              <w:topLinePunct w:val="0"/>
              <w:autoSpaceDE/>
              <w:autoSpaceDN/>
              <w:bidi w:val="0"/>
              <w:spacing w:line="360" w:lineRule="auto"/>
              <w:ind w:left="0" w:lef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1.为方便</w:t>
            </w:r>
            <w:r>
              <w:rPr>
                <w:rFonts w:hint="eastAsia" w:asciiTheme="minorEastAsia" w:hAnsiTheme="minorEastAsia" w:eastAsiaTheme="minorEastAsia" w:cstheme="minorEastAsia"/>
                <w:sz w:val="24"/>
                <w:szCs w:val="24"/>
                <w:highlight w:val="none"/>
                <w:lang w:eastAsia="zh-CN" w:bidi="ar"/>
              </w:rPr>
              <w:t>比选申请人</w:t>
            </w:r>
            <w:r>
              <w:rPr>
                <w:rFonts w:hint="eastAsia" w:asciiTheme="minorEastAsia" w:hAnsiTheme="minorEastAsia" w:eastAsiaTheme="minorEastAsia" w:cstheme="minorEastAsia"/>
                <w:sz w:val="24"/>
                <w:szCs w:val="24"/>
                <w:highlight w:val="none"/>
                <w:lang w:bidi="ar"/>
              </w:rPr>
              <w:t>报名，可用二维码进行转账支付。</w:t>
            </w:r>
          </w:p>
          <w:p w14:paraId="3F91AEF7">
            <w:pPr>
              <w:kinsoku/>
              <w:wordWrap/>
              <w:overflowPunct/>
              <w:topLinePunct w:val="0"/>
              <w:autoSpaceDE/>
              <w:autoSpaceDN/>
              <w:bidi w:val="0"/>
              <w:spacing w:line="360" w:lineRule="auto"/>
              <w:ind w:left="0" w:lef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2.扫描二维码后的相关信息请按要求完整填写。</w:t>
            </w:r>
          </w:p>
          <w:p w14:paraId="2CC1A906">
            <w:pPr>
              <w:spacing w:line="52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4"/>
                <w:szCs w:val="24"/>
                <w:highlight w:val="none"/>
                <w:lang w:bidi="ar"/>
              </w:rPr>
              <w:t>3.</w:t>
            </w:r>
            <w:r>
              <w:rPr>
                <w:rFonts w:hint="eastAsia" w:asciiTheme="minorEastAsia" w:hAnsiTheme="minorEastAsia" w:eastAsiaTheme="minorEastAsia" w:cstheme="minorEastAsia"/>
                <w:sz w:val="24"/>
                <w:szCs w:val="24"/>
                <w:highlight w:val="none"/>
                <w:lang w:val="en-US" w:eastAsia="zh-CN" w:bidi="ar"/>
              </w:rPr>
              <w:t>比选</w:t>
            </w:r>
            <w:r>
              <w:rPr>
                <w:rFonts w:hint="eastAsia" w:asciiTheme="minorEastAsia" w:hAnsiTheme="minorEastAsia" w:eastAsiaTheme="minorEastAsia" w:cstheme="minorEastAsia"/>
                <w:sz w:val="24"/>
                <w:szCs w:val="24"/>
                <w:highlight w:val="none"/>
                <w:lang w:bidi="ar"/>
              </w:rPr>
              <w:t>文件发售登记表盖章件可删除备注行内容。</w:t>
            </w:r>
          </w:p>
        </w:tc>
      </w:tr>
    </w:tbl>
    <w:p w14:paraId="302944DC">
      <w:pPr>
        <w:rPr>
          <w:rFonts w:hint="eastAsia"/>
        </w:rPr>
      </w:pPr>
    </w:p>
    <w:sectPr>
      <w:pgSz w:w="11906" w:h="16838"/>
      <w:pgMar w:top="1440" w:right="8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embedRegular r:id="rId1" w:fontKey="{0340A74C-6A17-4AC6-8B38-C5008320F3D5}"/>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embedRegular r:id="rId2" w:fontKey="{E2168319-E8E3-43C4-A744-DAAC31B52C69}"/>
  </w:font>
  <w:font w:name="方正仿宋_GB18030">
    <w:panose1 w:val="02000000000000000000"/>
    <w:charset w:val="86"/>
    <w:family w:val="auto"/>
    <w:pitch w:val="default"/>
    <w:sig w:usb0="00000001" w:usb1="08000000" w:usb2="00000000" w:usb3="00000000" w:csb0="00040000" w:csb1="00000000"/>
    <w:embedRegular r:id="rId3" w:fontKey="{42C4F514-C88B-4C61-9D4F-2140FB2F60BA}"/>
  </w:font>
  <w:font w:name="方正小标宋_GBK">
    <w:panose1 w:val="02000000000000000000"/>
    <w:charset w:val="86"/>
    <w:family w:val="auto"/>
    <w:pitch w:val="default"/>
    <w:sig w:usb0="A00002BF" w:usb1="38CF7CFA" w:usb2="00082016" w:usb3="00000000" w:csb0="00040001" w:csb1="00000000"/>
    <w:embedRegular r:id="rId4" w:fontKey="{41575E5F-0C9F-471D-A4D3-4F2251663E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0898D">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0B418"/>
    <w:multiLevelType w:val="singleLevel"/>
    <w:tmpl w:val="9580B418"/>
    <w:lvl w:ilvl="0" w:tentative="0">
      <w:start w:val="1"/>
      <w:numFmt w:val="decimal"/>
      <w:suff w:val="nothing"/>
      <w:lvlText w:val="%1、"/>
      <w:lvlJc w:val="left"/>
    </w:lvl>
  </w:abstractNum>
  <w:abstractNum w:abstractNumId="1">
    <w:nsid w:val="00000003"/>
    <w:multiLevelType w:val="singleLevel"/>
    <w:tmpl w:val="00000003"/>
    <w:lvl w:ilvl="0" w:tentative="0">
      <w:start w:val="1"/>
      <w:numFmt w:val="chineseCounting"/>
      <w:suff w:val="nothing"/>
      <w:lvlText w:val="（%1）"/>
      <w:lvlJc w:val="left"/>
      <w:pPr>
        <w:ind w:left="0" w:firstLine="420"/>
      </w:pPr>
      <w:rPr>
        <w:rFonts w:hint="eastAsia"/>
      </w:rPr>
    </w:lvl>
  </w:abstractNum>
  <w:abstractNum w:abstractNumId="2">
    <w:nsid w:val="00000004"/>
    <w:multiLevelType w:val="singleLevel"/>
    <w:tmpl w:val="00000004"/>
    <w:lvl w:ilvl="0" w:tentative="0">
      <w:start w:val="3"/>
      <w:numFmt w:val="decimal"/>
      <w:suff w:val="nothing"/>
      <w:lvlText w:val="%1、"/>
      <w:lvlJc w:val="left"/>
    </w:lvl>
  </w:abstractNum>
  <w:abstractNum w:abstractNumId="3">
    <w:nsid w:val="00000005"/>
    <w:multiLevelType w:val="multilevel"/>
    <w:tmpl w:val="00000005"/>
    <w:lvl w:ilvl="0" w:tentative="0">
      <w:start w:val="1"/>
      <w:numFmt w:val="japaneseCounting"/>
      <w:pStyle w:val="3"/>
      <w:lvlText w:val="第%1章"/>
      <w:lvlJc w:val="left"/>
      <w:pPr>
        <w:ind w:left="4740" w:hanging="1320"/>
      </w:pPr>
      <w:rPr>
        <w:rFonts w:hint="default" w:ascii="黑体" w:cs="MingLiU"/>
      </w:rPr>
    </w:lvl>
    <w:lvl w:ilvl="1" w:tentative="0">
      <w:start w:val="1"/>
      <w:numFmt w:val="lowerLetter"/>
      <w:lvlText w:val="%2)"/>
      <w:lvlJc w:val="left"/>
      <w:pPr>
        <w:ind w:left="2475" w:hanging="420"/>
      </w:pPr>
    </w:lvl>
    <w:lvl w:ilvl="2" w:tentative="0">
      <w:start w:val="1"/>
      <w:numFmt w:val="lowerRoman"/>
      <w:lvlText w:val="%3."/>
      <w:lvlJc w:val="right"/>
      <w:pPr>
        <w:ind w:left="2895" w:hanging="420"/>
      </w:pPr>
    </w:lvl>
    <w:lvl w:ilvl="3" w:tentative="0">
      <w:start w:val="1"/>
      <w:numFmt w:val="decimal"/>
      <w:lvlText w:val="%4."/>
      <w:lvlJc w:val="left"/>
      <w:pPr>
        <w:ind w:left="3315" w:hanging="420"/>
      </w:pPr>
    </w:lvl>
    <w:lvl w:ilvl="4" w:tentative="0">
      <w:start w:val="1"/>
      <w:numFmt w:val="lowerLetter"/>
      <w:lvlText w:val="%5)"/>
      <w:lvlJc w:val="left"/>
      <w:pPr>
        <w:ind w:left="3735" w:hanging="420"/>
      </w:pPr>
    </w:lvl>
    <w:lvl w:ilvl="5" w:tentative="0">
      <w:start w:val="1"/>
      <w:numFmt w:val="lowerRoman"/>
      <w:lvlText w:val="%6."/>
      <w:lvlJc w:val="right"/>
      <w:pPr>
        <w:ind w:left="4155" w:hanging="420"/>
      </w:pPr>
    </w:lvl>
    <w:lvl w:ilvl="6" w:tentative="0">
      <w:start w:val="1"/>
      <w:numFmt w:val="decimal"/>
      <w:lvlText w:val="%7."/>
      <w:lvlJc w:val="left"/>
      <w:pPr>
        <w:ind w:left="4575" w:hanging="420"/>
      </w:pPr>
    </w:lvl>
    <w:lvl w:ilvl="7" w:tentative="0">
      <w:start w:val="1"/>
      <w:numFmt w:val="lowerLetter"/>
      <w:lvlText w:val="%8)"/>
      <w:lvlJc w:val="left"/>
      <w:pPr>
        <w:ind w:left="4995" w:hanging="420"/>
      </w:pPr>
    </w:lvl>
    <w:lvl w:ilvl="8" w:tentative="0">
      <w:start w:val="1"/>
      <w:numFmt w:val="lowerRoman"/>
      <w:lvlText w:val="%9."/>
      <w:lvlJc w:val="right"/>
      <w:pPr>
        <w:ind w:left="5415" w:hanging="420"/>
      </w:pPr>
    </w:lvl>
  </w:abstractNum>
  <w:abstractNum w:abstractNumId="4">
    <w:nsid w:val="5279D904"/>
    <w:multiLevelType w:val="singleLevel"/>
    <w:tmpl w:val="5279D904"/>
    <w:lvl w:ilvl="0" w:tentative="0">
      <w:start w:val="2"/>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MzljMDhmN2U0OGY3MDQ1MDYwNGJiNDMwZmZjNzcifQ=="/>
  </w:docVars>
  <w:rsids>
    <w:rsidRoot w:val="00240168"/>
    <w:rsid w:val="000545B8"/>
    <w:rsid w:val="00056535"/>
    <w:rsid w:val="000B40DE"/>
    <w:rsid w:val="00240168"/>
    <w:rsid w:val="00417514"/>
    <w:rsid w:val="00477CEC"/>
    <w:rsid w:val="004F549B"/>
    <w:rsid w:val="006754AA"/>
    <w:rsid w:val="006767B4"/>
    <w:rsid w:val="006C3C6D"/>
    <w:rsid w:val="007B1726"/>
    <w:rsid w:val="009E5869"/>
    <w:rsid w:val="00AF271C"/>
    <w:rsid w:val="00BF5D7F"/>
    <w:rsid w:val="00C3340B"/>
    <w:rsid w:val="00C72B99"/>
    <w:rsid w:val="00CC7D9E"/>
    <w:rsid w:val="00FD48E1"/>
    <w:rsid w:val="04A3012C"/>
    <w:rsid w:val="056C605C"/>
    <w:rsid w:val="0A2566E2"/>
    <w:rsid w:val="0DA27AF9"/>
    <w:rsid w:val="154C1AA4"/>
    <w:rsid w:val="197A300B"/>
    <w:rsid w:val="19E716B5"/>
    <w:rsid w:val="1B5A1A13"/>
    <w:rsid w:val="1B7D05E2"/>
    <w:rsid w:val="1DC046F7"/>
    <w:rsid w:val="1E90186C"/>
    <w:rsid w:val="23EB66B8"/>
    <w:rsid w:val="28F24E95"/>
    <w:rsid w:val="2A8A63C1"/>
    <w:rsid w:val="2AAE4F4D"/>
    <w:rsid w:val="2D940DB4"/>
    <w:rsid w:val="2DF126AA"/>
    <w:rsid w:val="2EDC0025"/>
    <w:rsid w:val="303663AA"/>
    <w:rsid w:val="306C7838"/>
    <w:rsid w:val="31EE63A6"/>
    <w:rsid w:val="32540AD0"/>
    <w:rsid w:val="350A5F2E"/>
    <w:rsid w:val="35F67F15"/>
    <w:rsid w:val="3B3F038A"/>
    <w:rsid w:val="3B5129DA"/>
    <w:rsid w:val="3D9077EA"/>
    <w:rsid w:val="3FDB1AC0"/>
    <w:rsid w:val="46AE0CE1"/>
    <w:rsid w:val="485A1120"/>
    <w:rsid w:val="4A072117"/>
    <w:rsid w:val="4AF15640"/>
    <w:rsid w:val="4C915610"/>
    <w:rsid w:val="4CDD7C2A"/>
    <w:rsid w:val="4D2C4DB5"/>
    <w:rsid w:val="4D7579E1"/>
    <w:rsid w:val="4E780435"/>
    <w:rsid w:val="515D3A2F"/>
    <w:rsid w:val="54470F34"/>
    <w:rsid w:val="5A690D4F"/>
    <w:rsid w:val="5BD63D97"/>
    <w:rsid w:val="5DFC1EDA"/>
    <w:rsid w:val="63657784"/>
    <w:rsid w:val="6AA8023C"/>
    <w:rsid w:val="6B9C0F33"/>
    <w:rsid w:val="6E206A44"/>
    <w:rsid w:val="72AD40DF"/>
    <w:rsid w:val="73041750"/>
    <w:rsid w:val="75E261BF"/>
    <w:rsid w:val="776D5ECB"/>
    <w:rsid w:val="79667CD8"/>
    <w:rsid w:val="7AC0781B"/>
    <w:rsid w:val="7B7A6E08"/>
    <w:rsid w:val="7BF2149D"/>
    <w:rsid w:val="7CAB09DC"/>
    <w:rsid w:val="7F8A44D3"/>
    <w:rsid w:val="7FF75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18"/>
    <w:qFormat/>
    <w:uiPriority w:val="0"/>
    <w:pPr>
      <w:numPr>
        <w:ilvl w:val="0"/>
        <w:numId w:val="1"/>
      </w:numPr>
      <w:autoSpaceDE w:val="0"/>
      <w:autoSpaceDN w:val="0"/>
      <w:adjustRightInd w:val="0"/>
      <w:snapToGrid w:val="0"/>
      <w:spacing w:line="360" w:lineRule="auto"/>
      <w:jc w:val="center"/>
      <w:outlineLvl w:val="0"/>
    </w:pPr>
    <w:rPr>
      <w:rFonts w:eastAsia="黑体"/>
      <w:sz w:val="44"/>
      <w:szCs w:val="44"/>
    </w:rPr>
  </w:style>
  <w:style w:type="paragraph" w:styleId="4">
    <w:name w:val="heading 2"/>
    <w:basedOn w:val="1"/>
    <w:next w:val="1"/>
    <w:link w:val="66"/>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2">
    <w:name w:val="heading 3"/>
    <w:basedOn w:val="1"/>
    <w:next w:val="1"/>
    <w:link w:val="67"/>
    <w:qFormat/>
    <w:uiPriority w:val="9"/>
    <w:pPr>
      <w:autoSpaceDE w:val="0"/>
      <w:autoSpaceDN w:val="0"/>
      <w:adjustRightInd w:val="0"/>
      <w:spacing w:before="16"/>
      <w:jc w:val="left"/>
      <w:outlineLvl w:val="2"/>
    </w:pPr>
    <w:rPr>
      <w:rFonts w:ascii="仿宋_GB2312" w:eastAsia="仿宋_GB2312"/>
      <w:b/>
      <w:kern w:val="0"/>
      <w:sz w:val="24"/>
      <w:szCs w:val="28"/>
    </w:rPr>
  </w:style>
  <w:style w:type="paragraph" w:styleId="5">
    <w:name w:val="heading 4"/>
    <w:basedOn w:val="1"/>
    <w:next w:val="1"/>
    <w:link w:val="68"/>
    <w:qFormat/>
    <w:uiPriority w:val="0"/>
    <w:pPr>
      <w:jc w:val="center"/>
      <w:outlineLvl w:val="3"/>
    </w:pPr>
    <w:rPr>
      <w:rFonts w:ascii="仿宋_GB2312" w:eastAsia="仿宋_GB2312"/>
      <w:b/>
      <w:kern w:val="0"/>
      <w:sz w:val="24"/>
      <w:szCs w:val="28"/>
    </w:rPr>
  </w:style>
  <w:style w:type="paragraph" w:styleId="6">
    <w:name w:val="heading 5"/>
    <w:basedOn w:val="1"/>
    <w:next w:val="1"/>
    <w:link w:val="69"/>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70"/>
    <w:qFormat/>
    <w:uiPriority w:val="0"/>
    <w:pPr>
      <w:keepNext/>
      <w:keepLines/>
      <w:adjustRightInd w:val="0"/>
      <w:spacing w:line="480" w:lineRule="atLeast"/>
      <w:ind w:firstLine="200" w:firstLineChars="200"/>
      <w:outlineLvl w:val="5"/>
    </w:pPr>
    <w:rPr>
      <w:rFonts w:ascii="Calibri" w:hAnsi="Arial" w:eastAsia="仿宋_GB2312"/>
      <w:kern w:val="0"/>
      <w:sz w:val="30"/>
    </w:rPr>
  </w:style>
  <w:style w:type="paragraph" w:styleId="9">
    <w:name w:val="heading 7"/>
    <w:basedOn w:val="1"/>
    <w:next w:val="1"/>
    <w:link w:val="71"/>
    <w:qFormat/>
    <w:uiPriority w:val="99"/>
    <w:pPr>
      <w:keepNext/>
      <w:keepLines/>
      <w:adjustRightInd w:val="0"/>
      <w:spacing w:line="480" w:lineRule="atLeast"/>
      <w:ind w:left="1425" w:leftChars="175" w:hanging="900" w:hangingChars="300"/>
      <w:outlineLvl w:val="6"/>
    </w:pPr>
    <w:rPr>
      <w:rFonts w:ascii="Calibri" w:hAnsi="Calibri" w:eastAsia="仿宋_GB2312"/>
      <w:kern w:val="0"/>
      <w:sz w:val="30"/>
      <w:szCs w:val="20"/>
    </w:rPr>
  </w:style>
  <w:style w:type="paragraph" w:styleId="10">
    <w:name w:val="heading 8"/>
    <w:basedOn w:val="1"/>
    <w:next w:val="1"/>
    <w:link w:val="72"/>
    <w:qFormat/>
    <w:uiPriority w:val="99"/>
    <w:pPr>
      <w:adjustRightInd w:val="0"/>
      <w:spacing w:line="480" w:lineRule="atLeast"/>
      <w:ind w:left="2232" w:leftChars="450" w:hanging="882" w:hangingChars="294"/>
      <w:outlineLvl w:val="7"/>
    </w:pPr>
    <w:rPr>
      <w:rFonts w:ascii="Calibri" w:hAnsi="Arial" w:eastAsia="仿宋_GB2312"/>
      <w:kern w:val="0"/>
      <w:sz w:val="30"/>
      <w:szCs w:val="20"/>
    </w:rPr>
  </w:style>
  <w:style w:type="paragraph" w:styleId="11">
    <w:name w:val="heading 9"/>
    <w:basedOn w:val="1"/>
    <w:next w:val="1"/>
    <w:link w:val="73"/>
    <w:qFormat/>
    <w:uiPriority w:val="99"/>
    <w:pPr>
      <w:keepNext/>
      <w:keepLines/>
      <w:adjustRightInd w:val="0"/>
      <w:spacing w:line="480" w:lineRule="atLeast"/>
      <w:ind w:left="2979" w:leftChars="715" w:hanging="834" w:hangingChars="278"/>
      <w:outlineLvl w:val="8"/>
    </w:pPr>
    <w:rPr>
      <w:rFonts w:ascii="Calibri" w:hAnsi="Calibri"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pPr>
      <w:ind w:firstLine="420"/>
    </w:pPr>
    <w:rPr>
      <w:szCs w:val="20"/>
    </w:rPr>
  </w:style>
  <w:style w:type="paragraph" w:styleId="12">
    <w:name w:val="toc 7"/>
    <w:basedOn w:val="1"/>
    <w:next w:val="1"/>
    <w:qFormat/>
    <w:uiPriority w:val="39"/>
    <w:pPr>
      <w:ind w:left="1260"/>
      <w:jc w:val="left"/>
    </w:pPr>
    <w:rPr>
      <w:rFonts w:ascii="Calibri" w:hAnsi="Calibri"/>
      <w:sz w:val="18"/>
      <w:szCs w:val="18"/>
    </w:rPr>
  </w:style>
  <w:style w:type="paragraph" w:styleId="13">
    <w:name w:val="Document Map"/>
    <w:basedOn w:val="1"/>
    <w:link w:val="74"/>
    <w:qFormat/>
    <w:uiPriority w:val="0"/>
    <w:rPr>
      <w:rFonts w:ascii="宋体" w:hAnsi="Calibri"/>
      <w:sz w:val="18"/>
      <w:szCs w:val="18"/>
    </w:rPr>
  </w:style>
  <w:style w:type="paragraph" w:styleId="14">
    <w:name w:val="annotation text"/>
    <w:basedOn w:val="1"/>
    <w:link w:val="75"/>
    <w:qFormat/>
    <w:uiPriority w:val="0"/>
    <w:pPr>
      <w:adjustRightInd w:val="0"/>
      <w:spacing w:line="360" w:lineRule="atLeast"/>
      <w:jc w:val="left"/>
      <w:textAlignment w:val="baseline"/>
    </w:pPr>
    <w:rPr>
      <w:kern w:val="0"/>
      <w:sz w:val="24"/>
      <w:szCs w:val="20"/>
    </w:rPr>
  </w:style>
  <w:style w:type="paragraph" w:styleId="15">
    <w:name w:val="Body Text 3"/>
    <w:basedOn w:val="1"/>
    <w:link w:val="76"/>
    <w:qFormat/>
    <w:uiPriority w:val="0"/>
    <w:pPr>
      <w:autoSpaceDE w:val="0"/>
      <w:autoSpaceDN w:val="0"/>
      <w:adjustRightInd w:val="0"/>
      <w:snapToGrid w:val="0"/>
      <w:spacing w:line="360" w:lineRule="auto"/>
      <w:ind w:right="-20"/>
      <w:jc w:val="center"/>
    </w:pPr>
    <w:rPr>
      <w:rFonts w:ascii="宋体" w:hAnsi="宋体"/>
      <w:b/>
      <w:bCs/>
      <w:kern w:val="0"/>
      <w:sz w:val="36"/>
      <w:szCs w:val="44"/>
    </w:rPr>
  </w:style>
  <w:style w:type="paragraph" w:styleId="16">
    <w:name w:val="Body Text"/>
    <w:basedOn w:val="1"/>
    <w:next w:val="17"/>
    <w:link w:val="64"/>
    <w:qFormat/>
    <w:uiPriority w:val="99"/>
    <w:rPr>
      <w:kern w:val="0"/>
      <w:sz w:val="26"/>
      <w:szCs w:val="24"/>
    </w:rPr>
  </w:style>
  <w:style w:type="paragraph" w:customStyle="1" w:styleId="17">
    <w:name w:val="默认"/>
    <w:qFormat/>
    <w:uiPriority w:val="0"/>
    <w:rPr>
      <w:rFonts w:ascii="Helvetica" w:hAnsi="Helvetica" w:eastAsia="宋体" w:cs="Helvetica"/>
      <w:color w:val="000000"/>
      <w:sz w:val="22"/>
      <w:szCs w:val="22"/>
      <w:lang w:val="en-US" w:eastAsia="zh-CN" w:bidi="ar-SA"/>
    </w:rPr>
  </w:style>
  <w:style w:type="paragraph" w:styleId="18">
    <w:name w:val="Body Text Indent"/>
    <w:basedOn w:val="1"/>
    <w:link w:val="77"/>
    <w:qFormat/>
    <w:uiPriority w:val="0"/>
    <w:pPr>
      <w:spacing w:line="360" w:lineRule="auto"/>
      <w:ind w:firstLine="560" w:firstLineChars="200"/>
    </w:pPr>
    <w:rPr>
      <w:rFonts w:ascii="黑体" w:hAnsi="宋体" w:eastAsia="黑体"/>
      <w:color w:val="000000"/>
      <w:kern w:val="0"/>
      <w:sz w:val="28"/>
      <w:szCs w:val="32"/>
    </w:rPr>
  </w:style>
  <w:style w:type="paragraph" w:styleId="19">
    <w:name w:val="Block Text"/>
    <w:basedOn w:val="1"/>
    <w:qFormat/>
    <w:uiPriority w:val="99"/>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99"/>
    <w:pPr>
      <w:ind w:left="600" w:leftChars="600"/>
    </w:pPr>
    <w:rPr>
      <w:rFonts w:ascii="Calibri" w:hAnsi="Calibri"/>
      <w:szCs w:val="24"/>
    </w:rPr>
  </w:style>
  <w:style w:type="paragraph" w:styleId="21">
    <w:name w:val="toc 5"/>
    <w:basedOn w:val="1"/>
    <w:next w:val="1"/>
    <w:qFormat/>
    <w:uiPriority w:val="39"/>
    <w:pPr>
      <w:ind w:left="840"/>
      <w:jc w:val="left"/>
    </w:pPr>
    <w:rPr>
      <w:rFonts w:ascii="Calibri" w:hAnsi="Calibri"/>
      <w:sz w:val="18"/>
      <w:szCs w:val="18"/>
    </w:rPr>
  </w:style>
  <w:style w:type="paragraph" w:styleId="22">
    <w:name w:val="toc 3"/>
    <w:basedOn w:val="1"/>
    <w:next w:val="1"/>
    <w:qFormat/>
    <w:uiPriority w:val="39"/>
    <w:pPr>
      <w:ind w:left="420"/>
      <w:jc w:val="left"/>
    </w:pPr>
    <w:rPr>
      <w:rFonts w:ascii="Calibri" w:hAnsi="Calibri" w:eastAsia="仿宋_GB2312"/>
      <w:iCs/>
      <w:szCs w:val="20"/>
    </w:rPr>
  </w:style>
  <w:style w:type="paragraph" w:styleId="23">
    <w:name w:val="Plain Text"/>
    <w:basedOn w:val="1"/>
    <w:link w:val="78"/>
    <w:qFormat/>
    <w:uiPriority w:val="0"/>
    <w:rPr>
      <w:rFonts w:ascii="宋体" w:hAnsi="Courier New"/>
      <w:kern w:val="0"/>
      <w:sz w:val="28"/>
      <w:szCs w:val="28"/>
    </w:rPr>
  </w:style>
  <w:style w:type="paragraph" w:styleId="24">
    <w:name w:val="toc 8"/>
    <w:basedOn w:val="1"/>
    <w:next w:val="1"/>
    <w:qFormat/>
    <w:uiPriority w:val="39"/>
    <w:pPr>
      <w:ind w:left="1470"/>
      <w:jc w:val="left"/>
    </w:pPr>
    <w:rPr>
      <w:rFonts w:ascii="Calibri" w:hAnsi="Calibri"/>
      <w:sz w:val="18"/>
      <w:szCs w:val="18"/>
    </w:rPr>
  </w:style>
  <w:style w:type="paragraph" w:styleId="25">
    <w:name w:val="Date"/>
    <w:basedOn w:val="1"/>
    <w:next w:val="1"/>
    <w:link w:val="79"/>
    <w:qFormat/>
    <w:uiPriority w:val="0"/>
    <w:pPr>
      <w:ind w:left="100" w:leftChars="2500"/>
    </w:pPr>
    <w:rPr>
      <w:szCs w:val="24"/>
    </w:rPr>
  </w:style>
  <w:style w:type="paragraph" w:styleId="26">
    <w:name w:val="Body Text Indent 2"/>
    <w:basedOn w:val="1"/>
    <w:link w:val="80"/>
    <w:qFormat/>
    <w:uiPriority w:val="0"/>
    <w:pPr>
      <w:ind w:left="1005" w:hanging="1005"/>
    </w:pPr>
    <w:rPr>
      <w:rFonts w:eastAsia="仿宋_GB2312"/>
      <w:kern w:val="0"/>
      <w:sz w:val="32"/>
      <w:szCs w:val="20"/>
    </w:rPr>
  </w:style>
  <w:style w:type="paragraph" w:styleId="27">
    <w:name w:val="endnote text"/>
    <w:basedOn w:val="1"/>
    <w:link w:val="81"/>
    <w:qFormat/>
    <w:uiPriority w:val="99"/>
    <w:pPr>
      <w:widowControl/>
      <w:snapToGrid w:val="0"/>
      <w:jc w:val="left"/>
    </w:pPr>
    <w:rPr>
      <w:rFonts w:ascii="Arial" w:hAnsi="Arial" w:cs="Arial"/>
      <w:kern w:val="0"/>
      <w:sz w:val="20"/>
      <w:szCs w:val="24"/>
      <w:lang w:eastAsia="en-US"/>
    </w:rPr>
  </w:style>
  <w:style w:type="paragraph" w:styleId="28">
    <w:name w:val="Balloon Text"/>
    <w:basedOn w:val="1"/>
    <w:link w:val="82"/>
    <w:qFormat/>
    <w:uiPriority w:val="0"/>
    <w:rPr>
      <w:kern w:val="0"/>
      <w:sz w:val="18"/>
      <w:szCs w:val="18"/>
    </w:rPr>
  </w:style>
  <w:style w:type="paragraph" w:styleId="29">
    <w:name w:val="footer"/>
    <w:basedOn w:val="1"/>
    <w:link w:val="83"/>
    <w:qFormat/>
    <w:uiPriority w:val="99"/>
    <w:pPr>
      <w:tabs>
        <w:tab w:val="center" w:pos="4153"/>
        <w:tab w:val="right" w:pos="8306"/>
      </w:tabs>
      <w:snapToGrid w:val="0"/>
      <w:jc w:val="left"/>
    </w:pPr>
    <w:rPr>
      <w:rFonts w:ascii="Calibri" w:hAnsi="Calibri"/>
      <w:kern w:val="0"/>
      <w:sz w:val="18"/>
      <w:szCs w:val="18"/>
    </w:rPr>
  </w:style>
  <w:style w:type="paragraph" w:styleId="30">
    <w:name w:val="header"/>
    <w:basedOn w:val="1"/>
    <w:link w:val="84"/>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1">
    <w:name w:val="toc 1"/>
    <w:basedOn w:val="1"/>
    <w:next w:val="1"/>
    <w:qFormat/>
    <w:uiPriority w:val="39"/>
    <w:pPr>
      <w:spacing w:before="120" w:after="120"/>
      <w:jc w:val="left"/>
    </w:pPr>
    <w:rPr>
      <w:rFonts w:ascii="Calibri" w:hAnsi="Calibri" w:eastAsia="仿宋_GB2312"/>
      <w:b/>
      <w:bCs/>
      <w:caps/>
      <w:sz w:val="28"/>
      <w:szCs w:val="20"/>
    </w:rPr>
  </w:style>
  <w:style w:type="paragraph" w:styleId="32">
    <w:name w:val="toc 4"/>
    <w:basedOn w:val="1"/>
    <w:next w:val="1"/>
    <w:qFormat/>
    <w:uiPriority w:val="39"/>
    <w:pPr>
      <w:ind w:left="630"/>
      <w:jc w:val="left"/>
    </w:pPr>
    <w:rPr>
      <w:rFonts w:ascii="Calibri" w:hAnsi="Calibri"/>
      <w:sz w:val="18"/>
      <w:szCs w:val="18"/>
    </w:rPr>
  </w:style>
  <w:style w:type="paragraph" w:styleId="33">
    <w:name w:val="Subtitle"/>
    <w:basedOn w:val="1"/>
    <w:link w:val="85"/>
    <w:qFormat/>
    <w:uiPriority w:val="0"/>
    <w:pPr>
      <w:widowControl/>
      <w:jc w:val="center"/>
    </w:pPr>
    <w:rPr>
      <w:rFonts w:ascii="宋体" w:hAnsi="Courier New"/>
    </w:rPr>
  </w:style>
  <w:style w:type="paragraph" w:styleId="34">
    <w:name w:val="footnote text"/>
    <w:basedOn w:val="1"/>
    <w:link w:val="86"/>
    <w:qFormat/>
    <w:uiPriority w:val="0"/>
    <w:pPr>
      <w:snapToGrid w:val="0"/>
      <w:jc w:val="left"/>
    </w:pPr>
    <w:rPr>
      <w:kern w:val="0"/>
      <w:sz w:val="18"/>
      <w:szCs w:val="18"/>
    </w:rPr>
  </w:style>
  <w:style w:type="paragraph" w:styleId="35">
    <w:name w:val="toc 6"/>
    <w:basedOn w:val="1"/>
    <w:next w:val="1"/>
    <w:qFormat/>
    <w:uiPriority w:val="39"/>
    <w:pPr>
      <w:ind w:left="1050"/>
      <w:jc w:val="left"/>
    </w:pPr>
    <w:rPr>
      <w:rFonts w:ascii="Calibri" w:hAnsi="Calibri"/>
      <w:sz w:val="18"/>
      <w:szCs w:val="18"/>
    </w:rPr>
  </w:style>
  <w:style w:type="paragraph" w:styleId="36">
    <w:name w:val="Body Text Indent 3"/>
    <w:basedOn w:val="1"/>
    <w:link w:val="87"/>
    <w:qFormat/>
    <w:uiPriority w:val="0"/>
    <w:pPr>
      <w:spacing w:after="120"/>
      <w:ind w:left="420" w:leftChars="200"/>
    </w:pPr>
    <w:rPr>
      <w:kern w:val="0"/>
      <w:sz w:val="16"/>
      <w:szCs w:val="16"/>
    </w:rPr>
  </w:style>
  <w:style w:type="paragraph" w:styleId="37">
    <w:name w:val="toc 2"/>
    <w:basedOn w:val="1"/>
    <w:next w:val="1"/>
    <w:qFormat/>
    <w:uiPriority w:val="39"/>
    <w:pPr>
      <w:tabs>
        <w:tab w:val="right" w:leader="dot" w:pos="8609"/>
      </w:tabs>
      <w:ind w:left="210"/>
      <w:jc w:val="distribute"/>
    </w:pPr>
    <w:rPr>
      <w:rFonts w:ascii="Calibri" w:hAnsi="Calibri" w:eastAsia="仿宋_GB2312"/>
      <w:smallCaps/>
      <w:szCs w:val="20"/>
    </w:rPr>
  </w:style>
  <w:style w:type="paragraph" w:styleId="38">
    <w:name w:val="toc 9"/>
    <w:basedOn w:val="1"/>
    <w:next w:val="1"/>
    <w:qFormat/>
    <w:uiPriority w:val="39"/>
    <w:pPr>
      <w:ind w:left="1680"/>
      <w:jc w:val="left"/>
    </w:pPr>
    <w:rPr>
      <w:rFonts w:ascii="Calibri" w:hAnsi="Calibri"/>
      <w:sz w:val="18"/>
      <w:szCs w:val="18"/>
    </w:rPr>
  </w:style>
  <w:style w:type="paragraph" w:styleId="39">
    <w:name w:val="Body Text 2"/>
    <w:basedOn w:val="1"/>
    <w:link w:val="88"/>
    <w:qFormat/>
    <w:uiPriority w:val="0"/>
    <w:rPr>
      <w:i/>
      <w:iCs/>
      <w:kern w:val="0"/>
      <w:sz w:val="26"/>
      <w:szCs w:val="24"/>
    </w:rPr>
  </w:style>
  <w:style w:type="paragraph" w:styleId="40">
    <w:name w:val="HTML Preformatted"/>
    <w:basedOn w:val="1"/>
    <w:link w:val="8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41">
    <w:name w:val="Normal (Web)"/>
    <w:basedOn w:val="1"/>
    <w:qFormat/>
    <w:uiPriority w:val="99"/>
    <w:pPr>
      <w:widowControl/>
      <w:spacing w:before="100" w:beforeAutospacing="1" w:after="100" w:afterAutospacing="1"/>
      <w:jc w:val="left"/>
    </w:pPr>
    <w:rPr>
      <w:kern w:val="0"/>
      <w:sz w:val="24"/>
    </w:rPr>
  </w:style>
  <w:style w:type="paragraph" w:styleId="42">
    <w:name w:val="Title"/>
    <w:basedOn w:val="1"/>
    <w:link w:val="90"/>
    <w:qFormat/>
    <w:uiPriority w:val="0"/>
    <w:pPr>
      <w:jc w:val="center"/>
    </w:pPr>
    <w:rPr>
      <w:rFonts w:ascii="Calibri" w:hAnsi="Calibri"/>
      <w:szCs w:val="24"/>
      <w:u w:val="single"/>
      <w:lang w:eastAsia="en-US"/>
    </w:rPr>
  </w:style>
  <w:style w:type="paragraph" w:styleId="43">
    <w:name w:val="annotation subject"/>
    <w:basedOn w:val="14"/>
    <w:next w:val="14"/>
    <w:link w:val="91"/>
    <w:qFormat/>
    <w:uiPriority w:val="0"/>
    <w:pPr>
      <w:adjustRightInd/>
      <w:spacing w:line="240" w:lineRule="auto"/>
      <w:textAlignment w:val="auto"/>
    </w:pPr>
    <w:rPr>
      <w:b/>
      <w:bCs/>
      <w:szCs w:val="24"/>
    </w:rPr>
  </w:style>
  <w:style w:type="paragraph" w:styleId="44">
    <w:name w:val="Body Text First Indent"/>
    <w:basedOn w:val="16"/>
    <w:link w:val="92"/>
    <w:qFormat/>
    <w:uiPriority w:val="99"/>
    <w:pPr>
      <w:adjustRightInd w:val="0"/>
      <w:spacing w:after="120" w:line="275" w:lineRule="atLeast"/>
      <w:ind w:firstLine="420"/>
      <w:textAlignment w:val="baseline"/>
    </w:pPr>
    <w:rPr>
      <w:kern w:val="2"/>
      <w:sz w:val="24"/>
      <w:szCs w:val="21"/>
    </w:rPr>
  </w:style>
  <w:style w:type="paragraph" w:styleId="45">
    <w:name w:val="Body Text First Indent 2"/>
    <w:basedOn w:val="18"/>
    <w:qFormat/>
    <w:uiPriority w:val="0"/>
    <w:pPr>
      <w:spacing w:line="360" w:lineRule="exact"/>
      <w:ind w:left="0" w:firstLine="482"/>
    </w:pPr>
    <w:rPr>
      <w:rFonts w:ascii="Arial" w:hAnsi="Arial"/>
      <w:sz w:val="24"/>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Emphasis"/>
    <w:qFormat/>
    <w:uiPriority w:val="0"/>
  </w:style>
  <w:style w:type="character" w:styleId="53">
    <w:name w:val="HTML Definition"/>
    <w:qFormat/>
    <w:uiPriority w:val="0"/>
    <w:rPr>
      <w:i/>
    </w:rPr>
  </w:style>
  <w:style w:type="character" w:styleId="54">
    <w:name w:val="Hyperlink"/>
    <w:qFormat/>
    <w:uiPriority w:val="99"/>
    <w:rPr>
      <w:color w:val="0000FF"/>
      <w:u w:val="single"/>
    </w:rPr>
  </w:style>
  <w:style w:type="character" w:styleId="55">
    <w:name w:val="HTML Code"/>
    <w:qFormat/>
    <w:uiPriority w:val="0"/>
    <w:rPr>
      <w:rFonts w:hint="default" w:ascii="Consolas" w:hAnsi="Consolas" w:eastAsia="Consolas" w:cs="Consolas"/>
      <w:color w:val="C7254E"/>
      <w:sz w:val="21"/>
      <w:szCs w:val="21"/>
      <w:shd w:val="clear" w:color="auto" w:fill="F9F2F4"/>
    </w:rPr>
  </w:style>
  <w:style w:type="character" w:styleId="56">
    <w:name w:val="annotation reference"/>
    <w:qFormat/>
    <w:uiPriority w:val="0"/>
    <w:rPr>
      <w:sz w:val="21"/>
      <w:szCs w:val="21"/>
    </w:rPr>
  </w:style>
  <w:style w:type="character" w:styleId="57">
    <w:name w:val="HTML Cite"/>
    <w:qFormat/>
    <w:uiPriority w:val="0"/>
  </w:style>
  <w:style w:type="character" w:styleId="58">
    <w:name w:val="footnote reference"/>
    <w:qFormat/>
    <w:uiPriority w:val="0"/>
    <w:rPr>
      <w:vertAlign w:val="superscript"/>
    </w:rPr>
  </w:style>
  <w:style w:type="character" w:styleId="59">
    <w:name w:val="HTML Keyboard"/>
    <w:qFormat/>
    <w:uiPriority w:val="0"/>
    <w:rPr>
      <w:rFonts w:hint="default" w:ascii="Consolas" w:hAnsi="Consolas" w:eastAsia="Consolas" w:cs="Consolas"/>
      <w:color w:val="FFFFFF"/>
      <w:sz w:val="21"/>
      <w:szCs w:val="21"/>
      <w:shd w:val="clear" w:color="auto" w:fill="333333"/>
    </w:rPr>
  </w:style>
  <w:style w:type="character" w:styleId="60">
    <w:name w:val="HTML Sample"/>
    <w:qFormat/>
    <w:uiPriority w:val="0"/>
    <w:rPr>
      <w:rFonts w:ascii="Consolas" w:hAnsi="Consolas" w:eastAsia="Consolas" w:cs="Consolas"/>
      <w:sz w:val="21"/>
      <w:szCs w:val="21"/>
    </w:rPr>
  </w:style>
  <w:style w:type="paragraph" w:customStyle="1" w:styleId="61">
    <w:name w:val="正文1"/>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
    <w:name w:val="Default"/>
    <w:qFormat/>
    <w:uiPriority w:val="99"/>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6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64">
    <w:name w:val="正文文本 字符"/>
    <w:link w:val="16"/>
    <w:qFormat/>
    <w:uiPriority w:val="99"/>
    <w:rPr>
      <w:rFonts w:ascii="Times New Roman" w:hAnsi="Times New Roman" w:eastAsia="宋体" w:cs="Times New Roman"/>
      <w:sz w:val="26"/>
      <w:szCs w:val="24"/>
    </w:rPr>
  </w:style>
  <w:style w:type="character" w:customStyle="1" w:styleId="65">
    <w:name w:val="标题 1 Char"/>
    <w:qFormat/>
    <w:uiPriority w:val="0"/>
    <w:rPr>
      <w:rFonts w:ascii="Times New Roman" w:hAnsi="Times New Roman" w:eastAsia="黑体"/>
      <w:kern w:val="2"/>
      <w:sz w:val="44"/>
      <w:szCs w:val="44"/>
    </w:rPr>
  </w:style>
  <w:style w:type="character" w:customStyle="1" w:styleId="66">
    <w:name w:val="标题 2 字符"/>
    <w:link w:val="4"/>
    <w:qFormat/>
    <w:uiPriority w:val="0"/>
    <w:rPr>
      <w:rFonts w:ascii="仿宋_GB2312" w:hAnsi="Times New Roman" w:eastAsia="仿宋_GB2312" w:cs="MingLiU"/>
      <w:b/>
      <w:spacing w:val="1"/>
      <w:w w:val="99"/>
      <w:kern w:val="0"/>
      <w:sz w:val="28"/>
      <w:szCs w:val="32"/>
    </w:rPr>
  </w:style>
  <w:style w:type="character" w:customStyle="1" w:styleId="67">
    <w:name w:val="标题 3 字符1"/>
    <w:link w:val="2"/>
    <w:qFormat/>
    <w:uiPriority w:val="9"/>
    <w:rPr>
      <w:rFonts w:ascii="仿宋_GB2312" w:hAnsi="Times New Roman" w:eastAsia="仿宋_GB2312" w:cs="MingLiU"/>
      <w:b/>
      <w:kern w:val="0"/>
      <w:sz w:val="24"/>
      <w:szCs w:val="28"/>
    </w:rPr>
  </w:style>
  <w:style w:type="character" w:customStyle="1" w:styleId="68">
    <w:name w:val="标题 4 字符"/>
    <w:link w:val="5"/>
    <w:qFormat/>
    <w:uiPriority w:val="0"/>
    <w:rPr>
      <w:rFonts w:ascii="仿宋_GB2312" w:hAnsi="Times New Roman" w:eastAsia="仿宋_GB2312" w:cs="MingLiU"/>
      <w:b/>
      <w:kern w:val="0"/>
      <w:sz w:val="24"/>
      <w:szCs w:val="28"/>
    </w:rPr>
  </w:style>
  <w:style w:type="character" w:customStyle="1" w:styleId="69">
    <w:name w:val="标题 5 字符"/>
    <w:link w:val="6"/>
    <w:qFormat/>
    <w:uiPriority w:val="0"/>
    <w:rPr>
      <w:rFonts w:ascii="宋体" w:hAnsi="宋体" w:cs="宋体"/>
      <w:b/>
      <w:bCs/>
    </w:rPr>
  </w:style>
  <w:style w:type="character" w:customStyle="1" w:styleId="70">
    <w:name w:val="标题 6 字符"/>
    <w:link w:val="7"/>
    <w:qFormat/>
    <w:uiPriority w:val="0"/>
    <w:rPr>
      <w:rFonts w:hAnsi="Arial" w:eastAsia="仿宋_GB2312"/>
      <w:sz w:val="30"/>
    </w:rPr>
  </w:style>
  <w:style w:type="character" w:customStyle="1" w:styleId="71">
    <w:name w:val="标题 7 字符"/>
    <w:link w:val="9"/>
    <w:qFormat/>
    <w:uiPriority w:val="99"/>
    <w:rPr>
      <w:rFonts w:eastAsia="仿宋_GB2312"/>
      <w:sz w:val="30"/>
    </w:rPr>
  </w:style>
  <w:style w:type="character" w:customStyle="1" w:styleId="72">
    <w:name w:val="标题 8 字符"/>
    <w:link w:val="10"/>
    <w:qFormat/>
    <w:uiPriority w:val="99"/>
    <w:rPr>
      <w:rFonts w:hAnsi="Arial" w:eastAsia="仿宋_GB2312"/>
      <w:sz w:val="30"/>
    </w:rPr>
  </w:style>
  <w:style w:type="character" w:customStyle="1" w:styleId="73">
    <w:name w:val="标题 9 字符"/>
    <w:link w:val="11"/>
    <w:qFormat/>
    <w:uiPriority w:val="99"/>
    <w:rPr>
      <w:rFonts w:eastAsia="仿宋_GB2312"/>
      <w:sz w:val="30"/>
    </w:rPr>
  </w:style>
  <w:style w:type="character" w:customStyle="1" w:styleId="74">
    <w:name w:val="文档结构图 字符"/>
    <w:link w:val="13"/>
    <w:qFormat/>
    <w:uiPriority w:val="0"/>
    <w:rPr>
      <w:rFonts w:ascii="宋体"/>
      <w:kern w:val="2"/>
      <w:sz w:val="18"/>
      <w:szCs w:val="18"/>
    </w:rPr>
  </w:style>
  <w:style w:type="character" w:customStyle="1" w:styleId="75">
    <w:name w:val="批注文字 字符"/>
    <w:link w:val="14"/>
    <w:qFormat/>
    <w:uiPriority w:val="0"/>
    <w:rPr>
      <w:rFonts w:ascii="Times New Roman" w:hAnsi="Times New Roman" w:eastAsia="宋体" w:cs="Times New Roman"/>
      <w:kern w:val="0"/>
      <w:sz w:val="24"/>
      <w:szCs w:val="20"/>
    </w:rPr>
  </w:style>
  <w:style w:type="character" w:customStyle="1" w:styleId="76">
    <w:name w:val="正文文本 3 字符"/>
    <w:link w:val="15"/>
    <w:qFormat/>
    <w:uiPriority w:val="0"/>
    <w:rPr>
      <w:rFonts w:ascii="宋体" w:hAnsi="宋体"/>
      <w:b/>
      <w:bCs/>
      <w:sz w:val="36"/>
      <w:szCs w:val="44"/>
    </w:rPr>
  </w:style>
  <w:style w:type="character" w:customStyle="1" w:styleId="77">
    <w:name w:val="正文文本缩进 字符"/>
    <w:link w:val="18"/>
    <w:qFormat/>
    <w:uiPriority w:val="0"/>
    <w:rPr>
      <w:rFonts w:ascii="黑体" w:hAnsi="宋体" w:eastAsia="黑体" w:cs="Times New Roman"/>
      <w:color w:val="000000"/>
      <w:sz w:val="28"/>
      <w:szCs w:val="32"/>
    </w:rPr>
  </w:style>
  <w:style w:type="character" w:customStyle="1" w:styleId="78">
    <w:name w:val="纯文本 字符"/>
    <w:link w:val="23"/>
    <w:qFormat/>
    <w:uiPriority w:val="0"/>
    <w:rPr>
      <w:rFonts w:ascii="宋体" w:hAnsi="Courier New" w:eastAsia="宋体" w:cs="Times New Roman"/>
      <w:sz w:val="28"/>
      <w:szCs w:val="28"/>
    </w:rPr>
  </w:style>
  <w:style w:type="character" w:customStyle="1" w:styleId="79">
    <w:name w:val="日期 字符"/>
    <w:link w:val="25"/>
    <w:qFormat/>
    <w:uiPriority w:val="0"/>
    <w:rPr>
      <w:rFonts w:ascii="Times New Roman" w:hAnsi="Times New Roman"/>
      <w:kern w:val="2"/>
      <w:sz w:val="21"/>
      <w:szCs w:val="24"/>
    </w:rPr>
  </w:style>
  <w:style w:type="character" w:customStyle="1" w:styleId="80">
    <w:name w:val="正文文本缩进 2 字符"/>
    <w:link w:val="26"/>
    <w:qFormat/>
    <w:uiPriority w:val="0"/>
    <w:rPr>
      <w:rFonts w:ascii="Times New Roman" w:hAnsi="Times New Roman" w:eastAsia="仿宋_GB2312" w:cs="Times New Roman"/>
      <w:sz w:val="32"/>
      <w:szCs w:val="20"/>
    </w:rPr>
  </w:style>
  <w:style w:type="character" w:customStyle="1" w:styleId="81">
    <w:name w:val="尾注文本 字符"/>
    <w:link w:val="27"/>
    <w:qFormat/>
    <w:uiPriority w:val="99"/>
    <w:rPr>
      <w:rFonts w:ascii="Arial" w:hAnsi="Arial" w:cs="Arial"/>
      <w:szCs w:val="24"/>
      <w:lang w:eastAsia="en-US"/>
    </w:rPr>
  </w:style>
  <w:style w:type="character" w:customStyle="1" w:styleId="82">
    <w:name w:val="批注框文本 字符"/>
    <w:link w:val="28"/>
    <w:qFormat/>
    <w:uiPriority w:val="0"/>
    <w:rPr>
      <w:rFonts w:ascii="Times New Roman" w:hAnsi="Times New Roman" w:eastAsia="宋体" w:cs="Times New Roman"/>
      <w:sz w:val="18"/>
      <w:szCs w:val="18"/>
    </w:rPr>
  </w:style>
  <w:style w:type="character" w:customStyle="1" w:styleId="83">
    <w:name w:val="页脚 字符"/>
    <w:link w:val="29"/>
    <w:qFormat/>
    <w:uiPriority w:val="99"/>
    <w:rPr>
      <w:sz w:val="18"/>
      <w:szCs w:val="18"/>
    </w:rPr>
  </w:style>
  <w:style w:type="character" w:customStyle="1" w:styleId="84">
    <w:name w:val="页眉 字符"/>
    <w:link w:val="30"/>
    <w:qFormat/>
    <w:uiPriority w:val="99"/>
    <w:rPr>
      <w:sz w:val="18"/>
      <w:szCs w:val="18"/>
    </w:rPr>
  </w:style>
  <w:style w:type="character" w:customStyle="1" w:styleId="85">
    <w:name w:val="副标题 字符"/>
    <w:link w:val="33"/>
    <w:qFormat/>
    <w:uiPriority w:val="0"/>
    <w:rPr>
      <w:rFonts w:ascii="宋体" w:hAnsi="Courier New" w:cs="Courier New"/>
      <w:kern w:val="2"/>
      <w:sz w:val="21"/>
      <w:szCs w:val="21"/>
    </w:rPr>
  </w:style>
  <w:style w:type="character" w:customStyle="1" w:styleId="86">
    <w:name w:val="脚注文本 字符"/>
    <w:link w:val="34"/>
    <w:qFormat/>
    <w:uiPriority w:val="0"/>
    <w:rPr>
      <w:rFonts w:ascii="Times New Roman" w:hAnsi="Times New Roman" w:eastAsia="宋体" w:cs="Times New Roman"/>
      <w:sz w:val="18"/>
      <w:szCs w:val="18"/>
    </w:rPr>
  </w:style>
  <w:style w:type="character" w:customStyle="1" w:styleId="87">
    <w:name w:val="正文文本缩进 3 字符"/>
    <w:link w:val="36"/>
    <w:qFormat/>
    <w:uiPriority w:val="0"/>
    <w:rPr>
      <w:rFonts w:ascii="Times New Roman" w:hAnsi="Times New Roman" w:eastAsia="宋体" w:cs="Times New Roman"/>
      <w:sz w:val="16"/>
      <w:szCs w:val="16"/>
    </w:rPr>
  </w:style>
  <w:style w:type="character" w:customStyle="1" w:styleId="88">
    <w:name w:val="正文文本 2 字符"/>
    <w:link w:val="39"/>
    <w:qFormat/>
    <w:uiPriority w:val="0"/>
    <w:rPr>
      <w:rFonts w:ascii="Times New Roman" w:hAnsi="Times New Roman" w:eastAsia="宋体" w:cs="Times New Roman"/>
      <w:i/>
      <w:iCs/>
      <w:sz w:val="26"/>
      <w:szCs w:val="24"/>
    </w:rPr>
  </w:style>
  <w:style w:type="character" w:customStyle="1" w:styleId="89">
    <w:name w:val="HTML 预设格式 字符"/>
    <w:link w:val="40"/>
    <w:qFormat/>
    <w:uiPriority w:val="99"/>
    <w:rPr>
      <w:rFonts w:ascii="宋体" w:hAnsi="宋体" w:cs="宋体"/>
      <w:color w:val="000000"/>
      <w:sz w:val="24"/>
      <w:szCs w:val="24"/>
    </w:rPr>
  </w:style>
  <w:style w:type="character" w:customStyle="1" w:styleId="90">
    <w:name w:val="标题 字符"/>
    <w:link w:val="42"/>
    <w:qFormat/>
    <w:uiPriority w:val="0"/>
    <w:rPr>
      <w:rFonts w:ascii="Calibri" w:hAnsi="Calibri"/>
      <w:kern w:val="2"/>
      <w:sz w:val="21"/>
      <w:szCs w:val="24"/>
      <w:u w:val="single"/>
      <w:lang w:eastAsia="en-US"/>
    </w:rPr>
  </w:style>
  <w:style w:type="character" w:customStyle="1" w:styleId="91">
    <w:name w:val="批注主题 字符"/>
    <w:link w:val="43"/>
    <w:qFormat/>
    <w:uiPriority w:val="0"/>
    <w:rPr>
      <w:rFonts w:ascii="Times New Roman" w:hAnsi="Times New Roman" w:eastAsia="宋体" w:cs="Times New Roman"/>
      <w:b/>
      <w:bCs/>
      <w:kern w:val="0"/>
      <w:sz w:val="24"/>
      <w:szCs w:val="24"/>
    </w:rPr>
  </w:style>
  <w:style w:type="character" w:customStyle="1" w:styleId="92">
    <w:name w:val="正文文本首行缩进 字符"/>
    <w:link w:val="44"/>
    <w:qFormat/>
    <w:uiPriority w:val="99"/>
    <w:rPr>
      <w:rFonts w:ascii="Times New Roman" w:hAnsi="Times New Roman" w:eastAsia="宋体" w:cs="Times New Roman"/>
      <w:kern w:val="2"/>
      <w:sz w:val="24"/>
      <w:szCs w:val="21"/>
    </w:rPr>
  </w:style>
  <w:style w:type="paragraph" w:customStyle="1" w:styleId="93">
    <w:name w:val="正文（缩进）"/>
    <w:basedOn w:val="1"/>
    <w:qFormat/>
    <w:uiPriority w:val="0"/>
    <w:pPr>
      <w:spacing w:afterLines="50" w:line="440" w:lineRule="exact"/>
    </w:pPr>
    <w:rPr>
      <w:rFonts w:ascii="Calibri" w:hAnsi="Calibri"/>
      <w:sz w:val="24"/>
    </w:rPr>
  </w:style>
  <w:style w:type="paragraph" w:customStyle="1" w:styleId="94">
    <w:name w:val="_Style 6"/>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95">
    <w:name w:val="No Spacing_f7072647-a37a-46c1-a105-568eef4337aa"/>
    <w:basedOn w:val="1"/>
    <w:qFormat/>
    <w:uiPriority w:val="1"/>
    <w:pPr>
      <w:spacing w:line="400" w:lineRule="exact"/>
    </w:pPr>
    <w:rPr>
      <w:sz w:val="24"/>
    </w:rPr>
  </w:style>
  <w:style w:type="character" w:customStyle="1" w:styleId="96">
    <w:name w:val="after"/>
    <w:qFormat/>
    <w:uiPriority w:val="0"/>
    <w:rPr>
      <w:shd w:val="clear" w:color="auto" w:fill="FFFFFF"/>
    </w:rPr>
  </w:style>
  <w:style w:type="character" w:customStyle="1" w:styleId="97">
    <w:name w:val="nc-lang-cnt6"/>
    <w:qFormat/>
    <w:uiPriority w:val="0"/>
  </w:style>
  <w:style w:type="character" w:customStyle="1" w:styleId="98">
    <w:name w:val="副标题 Char1"/>
    <w:qFormat/>
    <w:uiPriority w:val="0"/>
    <w:rPr>
      <w:rFonts w:ascii="Cambria" w:hAnsi="Cambria" w:cs="Times New Roman"/>
      <w:b/>
      <w:bCs/>
      <w:kern w:val="28"/>
      <w:sz w:val="32"/>
      <w:szCs w:val="32"/>
    </w:rPr>
  </w:style>
  <w:style w:type="character" w:customStyle="1" w:styleId="99">
    <w:name w:val="badge28"/>
    <w:qFormat/>
    <w:uiPriority w:val="0"/>
    <w:rPr>
      <w:color w:val="128BED"/>
    </w:rPr>
  </w:style>
  <w:style w:type="character" w:customStyle="1" w:styleId="100">
    <w:name w:val="Char Char9"/>
    <w:qFormat/>
    <w:uiPriority w:val="0"/>
    <w:rPr>
      <w:rFonts w:hint="eastAsia" w:ascii="仿宋_GB2312" w:eastAsia="仿宋_GB2312" w:cs="MingLiU"/>
      <w:b/>
      <w:sz w:val="24"/>
      <w:szCs w:val="28"/>
    </w:rPr>
  </w:style>
  <w:style w:type="character" w:customStyle="1" w:styleId="101">
    <w:name w:val="Char Char91"/>
    <w:qFormat/>
    <w:uiPriority w:val="0"/>
    <w:rPr>
      <w:rFonts w:ascii="仿宋_GB2312" w:eastAsia="仿宋_GB2312" w:cs="MingLiU"/>
      <w:b/>
      <w:sz w:val="24"/>
      <w:szCs w:val="28"/>
    </w:rPr>
  </w:style>
  <w:style w:type="character" w:customStyle="1" w:styleId="102">
    <w:name w:val="标题5 Char Char"/>
    <w:link w:val="103"/>
    <w:qFormat/>
    <w:uiPriority w:val="0"/>
    <w:rPr>
      <w:rFonts w:ascii="Arial" w:hAnsi="Arial" w:cs="Arial"/>
      <w:b/>
      <w:bCs/>
      <w:sz w:val="24"/>
      <w:szCs w:val="32"/>
    </w:rPr>
  </w:style>
  <w:style w:type="paragraph" w:customStyle="1" w:styleId="103">
    <w:name w:val="标题5"/>
    <w:basedOn w:val="2"/>
    <w:link w:val="102"/>
    <w:qFormat/>
    <w:uiPriority w:val="0"/>
    <w:pPr>
      <w:keepNext/>
      <w:keepLines/>
      <w:autoSpaceDE/>
      <w:autoSpaceDN/>
      <w:adjustRightInd/>
      <w:spacing w:before="260" w:after="260" w:line="412" w:lineRule="auto"/>
      <w:jc w:val="both"/>
    </w:pPr>
    <w:rPr>
      <w:rFonts w:ascii="Arial" w:hAnsi="Arial" w:eastAsia="宋体"/>
      <w:bCs/>
      <w:szCs w:val="32"/>
    </w:rPr>
  </w:style>
  <w:style w:type="character" w:customStyle="1" w:styleId="104">
    <w:name w:val="Char Char4"/>
    <w:qFormat/>
    <w:uiPriority w:val="0"/>
    <w:rPr>
      <w:rFonts w:hint="eastAsia" w:ascii="宋体" w:hAnsi="Courier New" w:eastAsia="宋体"/>
      <w:kern w:val="2"/>
      <w:sz w:val="28"/>
      <w:szCs w:val="28"/>
    </w:rPr>
  </w:style>
  <w:style w:type="character" w:customStyle="1" w:styleId="105">
    <w:name w:val="批注主题 Char Char"/>
    <w:qFormat/>
    <w:uiPriority w:val="0"/>
  </w:style>
  <w:style w:type="character" w:customStyle="1" w:styleId="106">
    <w:name w:val="Char Char10"/>
    <w:qFormat/>
    <w:uiPriority w:val="0"/>
    <w:rPr>
      <w:rFonts w:hint="eastAsia" w:ascii="仿宋_GB2312" w:eastAsia="仿宋_GB2312" w:cs="MingLiU"/>
      <w:b/>
      <w:spacing w:val="1"/>
      <w:w w:val="99"/>
      <w:sz w:val="28"/>
      <w:szCs w:val="32"/>
    </w:rPr>
  </w:style>
  <w:style w:type="character" w:customStyle="1" w:styleId="107">
    <w:name w:val="Char Char6"/>
    <w:qFormat/>
    <w:uiPriority w:val="0"/>
    <w:rPr>
      <w:sz w:val="24"/>
    </w:rPr>
  </w:style>
  <w:style w:type="character" w:customStyle="1" w:styleId="108">
    <w:name w:val="des8"/>
    <w:qFormat/>
    <w:uiPriority w:val="0"/>
    <w:rPr>
      <w:color w:val="333333"/>
    </w:rPr>
  </w:style>
  <w:style w:type="character" w:customStyle="1" w:styleId="109">
    <w:name w:val="Char Char7"/>
    <w:qFormat/>
    <w:uiPriority w:val="0"/>
    <w:rPr>
      <w:kern w:val="2"/>
      <w:sz w:val="18"/>
      <w:szCs w:val="18"/>
    </w:rPr>
  </w:style>
  <w:style w:type="character" w:customStyle="1" w:styleId="110">
    <w:name w:val="标题4 Char Char"/>
    <w:link w:val="111"/>
    <w:qFormat/>
    <w:uiPriority w:val="0"/>
    <w:rPr>
      <w:rFonts w:ascii="Arial" w:hAnsi="Arial" w:cs="Arial"/>
      <w:b/>
      <w:bCs/>
      <w:sz w:val="24"/>
      <w:szCs w:val="32"/>
    </w:rPr>
  </w:style>
  <w:style w:type="paragraph" w:customStyle="1" w:styleId="111">
    <w:name w:val="标题4"/>
    <w:basedOn w:val="4"/>
    <w:next w:val="20"/>
    <w:link w:val="110"/>
    <w:qFormat/>
    <w:uiPriority w:val="0"/>
    <w:pPr>
      <w:keepNext/>
      <w:keepLines/>
      <w:autoSpaceDE/>
      <w:autoSpaceDN/>
      <w:adjustRightInd/>
      <w:snapToGrid/>
      <w:spacing w:before="260" w:after="260" w:line="412" w:lineRule="auto"/>
      <w:jc w:val="both"/>
    </w:pPr>
    <w:rPr>
      <w:rFonts w:ascii="Arial" w:hAnsi="Arial" w:eastAsia="宋体"/>
      <w:bCs/>
      <w:spacing w:val="0"/>
      <w:w w:val="100"/>
      <w:sz w:val="24"/>
    </w:rPr>
  </w:style>
  <w:style w:type="character" w:customStyle="1" w:styleId="112">
    <w:name w:val="Char Char Char"/>
    <w:qFormat/>
    <w:uiPriority w:val="0"/>
    <w:rPr>
      <w:rFonts w:ascii="仿宋_GB2312" w:eastAsia="仿宋_GB2312" w:cs="MingLiU"/>
      <w:b/>
      <w:spacing w:val="1"/>
      <w:w w:val="99"/>
      <w:sz w:val="28"/>
      <w:szCs w:val="32"/>
      <w:lang w:val="en-US" w:eastAsia="zh-CN" w:bidi="ar-SA"/>
    </w:rPr>
  </w:style>
  <w:style w:type="character" w:customStyle="1" w:styleId="113">
    <w:name w:val="Char Char11"/>
    <w:qFormat/>
    <w:uiPriority w:val="0"/>
    <w:rPr>
      <w:rFonts w:eastAsia="黑体"/>
      <w:kern w:val="2"/>
      <w:sz w:val="44"/>
      <w:szCs w:val="44"/>
      <w:lang w:val="en-US" w:eastAsia="zh-CN" w:bidi="ar-SA"/>
    </w:rPr>
  </w:style>
  <w:style w:type="character" w:customStyle="1" w:styleId="114">
    <w:name w:val="nc-lang-cnt1"/>
    <w:qFormat/>
    <w:uiPriority w:val="0"/>
    <w:rPr>
      <w:rtl/>
    </w:rPr>
  </w:style>
  <w:style w:type="character" w:customStyle="1" w:styleId="115">
    <w:name w:val="Char Char8"/>
    <w:qFormat/>
    <w:uiPriority w:val="0"/>
    <w:rPr>
      <w:rFonts w:ascii="仿宋_GB2312" w:eastAsia="仿宋_GB2312" w:cs="MingLiU"/>
      <w:b/>
      <w:sz w:val="24"/>
      <w:szCs w:val="28"/>
    </w:rPr>
  </w:style>
  <w:style w:type="character" w:customStyle="1" w:styleId="116">
    <w:name w:val="Char Char101"/>
    <w:qFormat/>
    <w:uiPriority w:val="0"/>
    <w:rPr>
      <w:rFonts w:ascii="仿宋_GB2312" w:eastAsia="仿宋_GB2312" w:cs="MingLiU"/>
      <w:b/>
      <w:spacing w:val="1"/>
      <w:w w:val="99"/>
      <w:sz w:val="28"/>
      <w:szCs w:val="32"/>
    </w:rPr>
  </w:style>
  <w:style w:type="character" w:customStyle="1" w:styleId="117">
    <w:name w:val="引用 字符"/>
    <w:link w:val="118"/>
    <w:qFormat/>
    <w:uiPriority w:val="99"/>
    <w:rPr>
      <w:i/>
      <w:iCs/>
      <w:color w:val="000000"/>
      <w:kern w:val="2"/>
      <w:sz w:val="21"/>
      <w:szCs w:val="22"/>
    </w:rPr>
  </w:style>
  <w:style w:type="paragraph" w:styleId="118">
    <w:name w:val="Quote"/>
    <w:basedOn w:val="1"/>
    <w:next w:val="1"/>
    <w:link w:val="117"/>
    <w:qFormat/>
    <w:uiPriority w:val="99"/>
    <w:rPr>
      <w:rFonts w:ascii="Calibri" w:hAnsi="Calibri"/>
      <w:i/>
      <w:iCs/>
      <w:color w:val="000000"/>
      <w:szCs w:val="22"/>
    </w:rPr>
  </w:style>
  <w:style w:type="character" w:customStyle="1" w:styleId="119">
    <w:name w:val="Char Char5"/>
    <w:qFormat/>
    <w:uiPriority w:val="0"/>
    <w:rPr>
      <w:kern w:val="2"/>
      <w:sz w:val="18"/>
      <w:szCs w:val="18"/>
    </w:rPr>
  </w:style>
  <w:style w:type="character" w:customStyle="1" w:styleId="120">
    <w:name w:val="引用 Char"/>
    <w:qFormat/>
    <w:uiPriority w:val="0"/>
    <w:rPr>
      <w:rFonts w:ascii="Times New Roman" w:hAnsi="Times New Roman"/>
      <w:i/>
      <w:iCs/>
      <w:color w:val="000000"/>
      <w:kern w:val="2"/>
      <w:sz w:val="21"/>
      <w:szCs w:val="21"/>
    </w:rPr>
  </w:style>
  <w:style w:type="character" w:customStyle="1" w:styleId="121">
    <w:name w:val="nc-lang-cnt4"/>
    <w:qFormat/>
    <w:uiPriority w:val="0"/>
    <w:rPr>
      <w:rtl/>
    </w:rPr>
  </w:style>
  <w:style w:type="character" w:customStyle="1" w:styleId="122">
    <w:name w:val="明显引用 Char"/>
    <w:qFormat/>
    <w:uiPriority w:val="0"/>
    <w:rPr>
      <w:rFonts w:ascii="Times New Roman" w:hAnsi="Times New Roman"/>
      <w:b/>
      <w:bCs/>
      <w:i/>
      <w:iCs/>
      <w:color w:val="4F81BD"/>
      <w:kern w:val="2"/>
      <w:sz w:val="21"/>
      <w:szCs w:val="21"/>
    </w:rPr>
  </w:style>
  <w:style w:type="character" w:customStyle="1" w:styleId="123">
    <w:name w:val="正文首行缩进 Char1"/>
    <w:qFormat/>
    <w:uiPriority w:val="99"/>
    <w:rPr>
      <w:rFonts w:ascii="Times New Roman" w:hAnsi="Times New Roman" w:eastAsia="宋体" w:cs="Times New Roman"/>
      <w:kern w:val="2"/>
      <w:sz w:val="21"/>
      <w:szCs w:val="24"/>
    </w:rPr>
  </w:style>
  <w:style w:type="character" w:customStyle="1" w:styleId="124">
    <w:name w:val="ca-141"/>
    <w:qFormat/>
    <w:uiPriority w:val="0"/>
    <w:rPr>
      <w:rFonts w:hint="eastAsia" w:ascii="仿宋_GB2312" w:hAnsi="Times New Roman" w:eastAsia="仿宋_GB2312" w:cs="Times New Roman"/>
      <w:sz w:val="21"/>
      <w:szCs w:val="21"/>
    </w:rPr>
  </w:style>
  <w:style w:type="character" w:customStyle="1" w:styleId="125">
    <w:name w:val="Char Char71"/>
    <w:qFormat/>
    <w:uiPriority w:val="0"/>
    <w:rPr>
      <w:kern w:val="2"/>
      <w:sz w:val="18"/>
      <w:szCs w:val="18"/>
    </w:rPr>
  </w:style>
  <w:style w:type="character" w:customStyle="1" w:styleId="126">
    <w:name w:val="H2 Char1"/>
    <w:qFormat/>
    <w:uiPriority w:val="0"/>
    <w:rPr>
      <w:rFonts w:ascii="Arial" w:hAnsi="Arial" w:eastAsia="黑体"/>
      <w:b/>
      <w:bCs/>
      <w:kern w:val="2"/>
      <w:sz w:val="32"/>
      <w:szCs w:val="32"/>
      <w:lang w:val="en-US" w:eastAsia="zh-CN" w:bidi="ar-SA"/>
    </w:rPr>
  </w:style>
  <w:style w:type="character" w:customStyle="1" w:styleId="127">
    <w:name w:val="Char Char2"/>
    <w:qFormat/>
    <w:uiPriority w:val="0"/>
    <w:rPr>
      <w:rFonts w:eastAsia="宋体"/>
      <w:b/>
      <w:bCs/>
      <w:kern w:val="2"/>
      <w:sz w:val="24"/>
      <w:szCs w:val="32"/>
      <w:lang w:val="en-US" w:eastAsia="zh-CN" w:bidi="ar-SA"/>
    </w:rPr>
  </w:style>
  <w:style w:type="character" w:customStyle="1" w:styleId="128">
    <w:name w:val="正文格式 Char Char"/>
    <w:link w:val="129"/>
    <w:qFormat/>
    <w:uiPriority w:val="0"/>
    <w:rPr>
      <w:rFonts w:ascii="仿宋_GB2312" w:eastAsia="仿宋_GB2312"/>
      <w:color w:val="FF0000"/>
      <w:sz w:val="24"/>
      <w:szCs w:val="24"/>
      <w:lang w:val="en-US" w:eastAsia="zh-CN" w:bidi="ar-SA"/>
    </w:rPr>
  </w:style>
  <w:style w:type="paragraph" w:customStyle="1" w:styleId="129">
    <w:name w:val="正文格式"/>
    <w:link w:val="128"/>
    <w:qFormat/>
    <w:uiPriority w:val="0"/>
    <w:pPr>
      <w:widowControl w:val="0"/>
      <w:spacing w:line="324" w:lineRule="auto"/>
      <w:ind w:left="210" w:firstLine="480" w:firstLineChars="200"/>
      <w:jc w:val="both"/>
    </w:pPr>
    <w:rPr>
      <w:rFonts w:ascii="仿宋_GB2312" w:hAnsi="Times New Roman" w:eastAsia="仿宋_GB2312" w:cs="Times New Roman"/>
      <w:color w:val="FF0000"/>
      <w:sz w:val="24"/>
      <w:szCs w:val="24"/>
      <w:lang w:val="en-US" w:eastAsia="zh-CN" w:bidi="ar-SA"/>
    </w:rPr>
  </w:style>
  <w:style w:type="character" w:customStyle="1" w:styleId="130">
    <w:name w:val="nc-lang-cnt2"/>
    <w:qFormat/>
    <w:uiPriority w:val="0"/>
  </w:style>
  <w:style w:type="character" w:customStyle="1" w:styleId="131">
    <w:name w:val="Char Char Char1"/>
    <w:qFormat/>
    <w:uiPriority w:val="0"/>
    <w:rPr>
      <w:kern w:val="2"/>
      <w:sz w:val="18"/>
      <w:szCs w:val="18"/>
    </w:rPr>
  </w:style>
  <w:style w:type="character" w:customStyle="1" w:styleId="132">
    <w:name w:val="f142"/>
    <w:qFormat/>
    <w:uiPriority w:val="0"/>
    <w:rPr>
      <w:sz w:val="23"/>
      <w:szCs w:val="23"/>
    </w:rPr>
  </w:style>
  <w:style w:type="character" w:customStyle="1" w:styleId="133">
    <w:name w:val="Char Char3"/>
    <w:qFormat/>
    <w:uiPriority w:val="0"/>
    <w:rPr>
      <w:kern w:val="2"/>
      <w:sz w:val="18"/>
      <w:szCs w:val="18"/>
    </w:rPr>
  </w:style>
  <w:style w:type="character" w:customStyle="1" w:styleId="134">
    <w:name w:val="badge22"/>
    <w:qFormat/>
    <w:uiPriority w:val="0"/>
    <w:rPr>
      <w:shd w:val="clear" w:color="auto" w:fill="FFFFFF"/>
    </w:rPr>
  </w:style>
  <w:style w:type="character" w:customStyle="1" w:styleId="135">
    <w:name w:val="badge23"/>
    <w:qFormat/>
    <w:uiPriority w:val="0"/>
    <w:rPr>
      <w:color w:val="909090"/>
      <w:sz w:val="18"/>
      <w:szCs w:val="18"/>
    </w:rPr>
  </w:style>
  <w:style w:type="character" w:customStyle="1" w:styleId="136">
    <w:name w:val="ca-18"/>
    <w:qFormat/>
    <w:uiPriority w:val="0"/>
  </w:style>
  <w:style w:type="character" w:customStyle="1" w:styleId="137">
    <w:name w:val="badge26"/>
    <w:qFormat/>
    <w:uiPriority w:val="0"/>
    <w:rPr>
      <w:color w:val="909090"/>
      <w:sz w:val="18"/>
      <w:szCs w:val="18"/>
    </w:rPr>
  </w:style>
  <w:style w:type="character" w:customStyle="1" w:styleId="138">
    <w:name w:val="Char Char1"/>
    <w:qFormat/>
    <w:uiPriority w:val="0"/>
    <w:rPr>
      <w:i/>
      <w:iCs/>
      <w:kern w:val="2"/>
      <w:sz w:val="26"/>
      <w:szCs w:val="24"/>
    </w:rPr>
  </w:style>
  <w:style w:type="character" w:customStyle="1" w:styleId="139">
    <w:name w:val="样式1 Char Char"/>
    <w:link w:val="140"/>
    <w:qFormat/>
    <w:uiPriority w:val="0"/>
    <w:rPr>
      <w:rFonts w:ascii="宋体" w:hAnsi="宋体"/>
      <w:kern w:val="2"/>
      <w:sz w:val="21"/>
      <w:szCs w:val="21"/>
    </w:rPr>
  </w:style>
  <w:style w:type="paragraph" w:customStyle="1" w:styleId="140">
    <w:name w:val="样式1"/>
    <w:basedOn w:val="1"/>
    <w:next w:val="5"/>
    <w:link w:val="139"/>
    <w:qFormat/>
    <w:uiPriority w:val="0"/>
    <w:pPr>
      <w:spacing w:line="360" w:lineRule="auto"/>
      <w:ind w:firstLine="420" w:firstLineChars="200"/>
    </w:pPr>
    <w:rPr>
      <w:rFonts w:ascii="宋体" w:hAnsi="宋体"/>
    </w:rPr>
  </w:style>
  <w:style w:type="character" w:customStyle="1" w:styleId="141">
    <w:name w:val="badge25"/>
    <w:qFormat/>
    <w:uiPriority w:val="0"/>
    <w:rPr>
      <w:shd w:val="clear" w:color="auto" w:fill="FFFFFF"/>
    </w:rPr>
  </w:style>
  <w:style w:type="character" w:customStyle="1" w:styleId="142">
    <w:name w:val="ca-51"/>
    <w:qFormat/>
    <w:uiPriority w:val="0"/>
    <w:rPr>
      <w:rFonts w:hint="eastAsia" w:ascii="宋体" w:hAnsi="宋体" w:eastAsia="宋体"/>
      <w:b/>
      <w:bCs/>
      <w:color w:val="000000"/>
      <w:spacing w:val="-20"/>
      <w:sz w:val="16"/>
      <w:szCs w:val="16"/>
    </w:rPr>
  </w:style>
  <w:style w:type="character" w:customStyle="1" w:styleId="143">
    <w:name w:val="nc-lang-cnt5"/>
    <w:qFormat/>
    <w:uiPriority w:val="0"/>
    <w:rPr>
      <w:rtl/>
    </w:rPr>
  </w:style>
  <w:style w:type="character" w:customStyle="1" w:styleId="144">
    <w:name w:val="Char Char61"/>
    <w:qFormat/>
    <w:uiPriority w:val="0"/>
    <w:rPr>
      <w:sz w:val="24"/>
    </w:rPr>
  </w:style>
  <w:style w:type="character" w:customStyle="1" w:styleId="145">
    <w:name w:val="badge24"/>
    <w:qFormat/>
    <w:uiPriority w:val="0"/>
    <w:rPr>
      <w:color w:val="128BED"/>
    </w:rPr>
  </w:style>
  <w:style w:type="character" w:customStyle="1" w:styleId="146">
    <w:name w:val="badge27"/>
    <w:qFormat/>
    <w:uiPriority w:val="0"/>
    <w:rPr>
      <w:color w:val="128BED"/>
    </w:rPr>
  </w:style>
  <w:style w:type="character" w:customStyle="1" w:styleId="147">
    <w:name w:val="delete"/>
    <w:qFormat/>
    <w:uiPriority w:val="0"/>
  </w:style>
  <w:style w:type="character" w:customStyle="1" w:styleId="148">
    <w:name w:val="nth-child(2)"/>
    <w:qFormat/>
    <w:uiPriority w:val="0"/>
  </w:style>
  <w:style w:type="character" w:customStyle="1" w:styleId="149">
    <w:name w:val="HTML 预设格式 Char"/>
    <w:qFormat/>
    <w:uiPriority w:val="99"/>
    <w:rPr>
      <w:rFonts w:ascii="Courier New" w:hAnsi="Courier New" w:cs="Courier New"/>
      <w:kern w:val="2"/>
    </w:rPr>
  </w:style>
  <w:style w:type="character" w:customStyle="1" w:styleId="150">
    <w:name w:val="edit4"/>
    <w:qFormat/>
    <w:uiPriority w:val="0"/>
  </w:style>
  <w:style w:type="character" w:customStyle="1" w:styleId="151">
    <w:name w:val="h Char"/>
    <w:qFormat/>
    <w:uiPriority w:val="0"/>
    <w:rPr>
      <w:rFonts w:eastAsia="宋体"/>
      <w:kern w:val="2"/>
      <w:sz w:val="18"/>
      <w:szCs w:val="18"/>
      <w:lang w:val="en-US" w:eastAsia="zh-CN" w:bidi="ar-SA"/>
    </w:rPr>
  </w:style>
  <w:style w:type="character" w:customStyle="1" w:styleId="152">
    <w:name w:val="Char Char21"/>
    <w:qFormat/>
    <w:uiPriority w:val="0"/>
    <w:rPr>
      <w:kern w:val="2"/>
      <w:sz w:val="26"/>
      <w:szCs w:val="24"/>
    </w:rPr>
  </w:style>
  <w:style w:type="character" w:customStyle="1" w:styleId="153">
    <w:name w:val="标题 3 字符"/>
    <w:qFormat/>
    <w:uiPriority w:val="0"/>
    <w:rPr>
      <w:rFonts w:ascii="仿宋_GB2312" w:eastAsia="仿宋_GB2312" w:cs="MingLiU"/>
      <w:b/>
      <w:sz w:val="24"/>
      <w:szCs w:val="28"/>
      <w:lang w:val="en-US" w:eastAsia="zh-CN" w:bidi="ar-SA"/>
    </w:rPr>
  </w:style>
  <w:style w:type="character" w:customStyle="1" w:styleId="154">
    <w:name w:val="nc-lang-cnt"/>
    <w:qFormat/>
    <w:uiPriority w:val="0"/>
    <w:rPr>
      <w:rtl/>
    </w:rPr>
  </w:style>
  <w:style w:type="character" w:customStyle="1" w:styleId="155">
    <w:name w:val="正文文本 3 Char1"/>
    <w:qFormat/>
    <w:uiPriority w:val="0"/>
    <w:rPr>
      <w:rFonts w:ascii="Times New Roman" w:hAnsi="Times New Roman"/>
      <w:kern w:val="2"/>
      <w:sz w:val="16"/>
      <w:szCs w:val="16"/>
    </w:rPr>
  </w:style>
  <w:style w:type="character" w:customStyle="1" w:styleId="156">
    <w:name w:val="ca-8"/>
    <w:qFormat/>
    <w:uiPriority w:val="0"/>
  </w:style>
  <w:style w:type="character" w:customStyle="1" w:styleId="157">
    <w:name w:val="明显引用 字符"/>
    <w:link w:val="158"/>
    <w:qFormat/>
    <w:uiPriority w:val="99"/>
    <w:rPr>
      <w:b/>
      <w:bCs/>
      <w:i/>
      <w:iCs/>
      <w:color w:val="4F81BD"/>
      <w:kern w:val="2"/>
      <w:sz w:val="21"/>
      <w:szCs w:val="22"/>
    </w:rPr>
  </w:style>
  <w:style w:type="paragraph" w:styleId="158">
    <w:name w:val="Intense Quote"/>
    <w:basedOn w:val="1"/>
    <w:next w:val="1"/>
    <w:link w:val="157"/>
    <w:qFormat/>
    <w:uiPriority w:val="99"/>
    <w:pPr>
      <w:pBdr>
        <w:bottom w:val="single" w:color="4F81BD" w:sz="4" w:space="4"/>
      </w:pBdr>
      <w:spacing w:before="200" w:after="280"/>
      <w:ind w:left="936" w:right="936"/>
    </w:pPr>
    <w:rPr>
      <w:rFonts w:ascii="Calibri" w:hAnsi="Calibri"/>
      <w:b/>
      <w:bCs/>
      <w:i/>
      <w:iCs/>
      <w:color w:val="4F81BD"/>
      <w:szCs w:val="22"/>
    </w:rPr>
  </w:style>
  <w:style w:type="character" w:customStyle="1" w:styleId="159">
    <w:name w:val="Char Char51"/>
    <w:qFormat/>
    <w:uiPriority w:val="0"/>
    <w:rPr>
      <w:kern w:val="2"/>
      <w:sz w:val="18"/>
      <w:szCs w:val="18"/>
    </w:rPr>
  </w:style>
  <w:style w:type="character" w:customStyle="1" w:styleId="160">
    <w:name w:val="Char Char111"/>
    <w:qFormat/>
    <w:uiPriority w:val="0"/>
    <w:rPr>
      <w:rFonts w:eastAsia="黑体"/>
      <w:kern w:val="2"/>
      <w:sz w:val="44"/>
      <w:szCs w:val="44"/>
      <w:lang w:val="en-US" w:eastAsia="zh-CN" w:bidi="ar-SA"/>
    </w:rPr>
  </w:style>
  <w:style w:type="character" w:customStyle="1" w:styleId="161">
    <w:name w:val="尾注文本 Char"/>
    <w:qFormat/>
    <w:uiPriority w:val="0"/>
    <w:rPr>
      <w:rFonts w:ascii="Times New Roman" w:hAnsi="Times New Roman"/>
      <w:kern w:val="2"/>
      <w:sz w:val="21"/>
      <w:szCs w:val="21"/>
    </w:rPr>
  </w:style>
  <w:style w:type="character" w:customStyle="1" w:styleId="162">
    <w:name w:val="Footer-Even Char"/>
    <w:qFormat/>
    <w:uiPriority w:val="0"/>
    <w:rPr>
      <w:rFonts w:eastAsia="宋体"/>
      <w:kern w:val="2"/>
      <w:sz w:val="18"/>
      <w:szCs w:val="18"/>
      <w:lang w:val="en-US" w:eastAsia="zh-CN" w:bidi="ar-SA"/>
    </w:rPr>
  </w:style>
  <w:style w:type="character" w:customStyle="1" w:styleId="163">
    <w:name w:val="nc-lang-cnt3"/>
    <w:qFormat/>
    <w:uiPriority w:val="0"/>
  </w:style>
  <w:style w:type="character" w:customStyle="1" w:styleId="164">
    <w:name w:val="Char Char81"/>
    <w:qFormat/>
    <w:uiPriority w:val="0"/>
    <w:rPr>
      <w:rFonts w:hint="eastAsia" w:ascii="仿宋_GB2312" w:eastAsia="仿宋_GB2312" w:cs="MingLiU"/>
      <w:b/>
      <w:sz w:val="24"/>
      <w:szCs w:val="28"/>
    </w:rPr>
  </w:style>
  <w:style w:type="character" w:customStyle="1" w:styleId="165">
    <w:name w:val="文档结构图 Char1"/>
    <w:qFormat/>
    <w:uiPriority w:val="0"/>
    <w:rPr>
      <w:rFonts w:ascii="宋体" w:hAnsi="Times New Roman"/>
      <w:kern w:val="2"/>
      <w:sz w:val="18"/>
      <w:szCs w:val="18"/>
    </w:rPr>
  </w:style>
  <w:style w:type="character" w:customStyle="1" w:styleId="166">
    <w:name w:val="普通文字 Char Char1"/>
    <w:qFormat/>
    <w:uiPriority w:val="0"/>
    <w:rPr>
      <w:rFonts w:ascii="宋体" w:hAnsi="Courier New" w:eastAsia="宋体"/>
      <w:kern w:val="2"/>
      <w:sz w:val="28"/>
      <w:szCs w:val="28"/>
      <w:lang w:val="en-US" w:eastAsia="zh-CN" w:bidi="ar-SA"/>
    </w:rPr>
  </w:style>
  <w:style w:type="character" w:customStyle="1" w:styleId="167">
    <w:name w:val="Char Char31"/>
    <w:qFormat/>
    <w:uiPriority w:val="0"/>
    <w:rPr>
      <w:kern w:val="2"/>
      <w:sz w:val="18"/>
      <w:szCs w:val="18"/>
    </w:rPr>
  </w:style>
  <w:style w:type="paragraph" w:customStyle="1" w:styleId="168">
    <w:name w:val="Char"/>
    <w:basedOn w:val="1"/>
    <w:qFormat/>
    <w:uiPriority w:val="99"/>
  </w:style>
  <w:style w:type="paragraph" w:customStyle="1" w:styleId="169">
    <w:name w:val="Char Char16"/>
    <w:basedOn w:val="1"/>
    <w:qFormat/>
    <w:uiPriority w:val="0"/>
    <w:rPr>
      <w:szCs w:val="20"/>
    </w:rPr>
  </w:style>
  <w:style w:type="paragraph" w:customStyle="1" w:styleId="170">
    <w:name w:val="Char Char Char Char Char Char"/>
    <w:basedOn w:val="1"/>
    <w:qFormat/>
    <w:uiPriority w:val="0"/>
  </w:style>
  <w:style w:type="paragraph" w:customStyle="1" w:styleId="171">
    <w:name w:val="Char Char6 Char Char"/>
    <w:basedOn w:val="1"/>
    <w:qFormat/>
    <w:uiPriority w:val="0"/>
    <w:rPr>
      <w:szCs w:val="20"/>
    </w:rPr>
  </w:style>
  <w:style w:type="paragraph" w:customStyle="1" w:styleId="172">
    <w:name w:val="正文文本缩进2"/>
    <w:basedOn w:val="1"/>
    <w:qFormat/>
    <w:uiPriority w:val="0"/>
    <w:pPr>
      <w:spacing w:after="120"/>
      <w:ind w:left="420" w:leftChars="200"/>
    </w:pPr>
    <w:rPr>
      <w:rFonts w:ascii="Calibri" w:hAnsi="Calibri"/>
      <w:szCs w:val="20"/>
    </w:rPr>
  </w:style>
  <w:style w:type="paragraph" w:customStyle="1" w:styleId="173">
    <w:name w:val="Char Char Char Char Char Char Char"/>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174">
    <w:name w:val="_Style 7"/>
    <w:basedOn w:val="1"/>
    <w:next w:val="23"/>
    <w:qFormat/>
    <w:uiPriority w:val="0"/>
    <w:rPr>
      <w:rFonts w:ascii="宋体" w:hAnsi="Courier New"/>
      <w:szCs w:val="20"/>
    </w:rPr>
  </w:style>
  <w:style w:type="paragraph" w:customStyle="1" w:styleId="175">
    <w:name w:val="样式 标题 2 + Times New Roman 四号 非加粗 段前: 5 磅 段后: 0 磅 行距: 固定值 20..."/>
    <w:basedOn w:val="4"/>
    <w:qFormat/>
    <w:uiPriority w:val="99"/>
    <w:pPr>
      <w:keepNext/>
      <w:keepLines/>
      <w:autoSpaceDE/>
      <w:autoSpaceDN/>
      <w:adjustRightInd/>
      <w:snapToGrid/>
      <w:spacing w:before="100" w:line="400" w:lineRule="exact"/>
      <w:jc w:val="both"/>
    </w:pPr>
    <w:rPr>
      <w:rFonts w:ascii="Times New Roman" w:eastAsia="黑体" w:cs="宋体"/>
      <w:b w:val="0"/>
      <w:spacing w:val="0"/>
      <w:w w:val="100"/>
      <w:kern w:val="2"/>
      <w:szCs w:val="20"/>
    </w:rPr>
  </w:style>
  <w:style w:type="paragraph" w:customStyle="1" w:styleId="176">
    <w:name w:val="Char1"/>
    <w:basedOn w:val="1"/>
    <w:qFormat/>
    <w:uiPriority w:val="0"/>
    <w:rPr>
      <w:rFonts w:ascii="Tahoma" w:hAnsi="Tahoma"/>
      <w:sz w:val="24"/>
      <w:szCs w:val="20"/>
    </w:rPr>
  </w:style>
  <w:style w:type="paragraph" w:customStyle="1" w:styleId="177">
    <w:name w:val="Char1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78">
    <w:name w:val="Char Char Char1 Char Char Char Char Char Char Char Char Char Char Char Char Char Char Char Char"/>
    <w:basedOn w:val="1"/>
    <w:qFormat/>
    <w:uiPriority w:val="0"/>
    <w:pPr>
      <w:snapToGrid w:val="0"/>
      <w:spacing w:line="360" w:lineRule="auto"/>
      <w:ind w:firstLine="200" w:firstLineChars="200"/>
    </w:pPr>
    <w:rPr>
      <w:rFonts w:eastAsia="仿宋_GB2312"/>
      <w:sz w:val="24"/>
    </w:rPr>
  </w:style>
  <w:style w:type="paragraph" w:customStyle="1" w:styleId="179">
    <w:name w:val="Char3"/>
    <w:basedOn w:val="1"/>
    <w:qFormat/>
    <w:uiPriority w:val="0"/>
    <w:rPr>
      <w:sz w:val="28"/>
      <w:szCs w:val="20"/>
    </w:rPr>
  </w:style>
  <w:style w:type="paragraph" w:customStyle="1" w:styleId="180">
    <w:name w:val="默认段落字体 Para Char Char Char Char"/>
    <w:basedOn w:val="1"/>
    <w:qFormat/>
    <w:uiPriority w:val="0"/>
  </w:style>
  <w:style w:type="paragraph" w:customStyle="1" w:styleId="181">
    <w:name w:val="_Style 176"/>
    <w:basedOn w:val="3"/>
    <w:next w:val="1"/>
    <w:qFormat/>
    <w:uiPriority w:val="99"/>
    <w:pPr>
      <w:keepNext/>
      <w:keepLines/>
      <w:widowControl/>
      <w:numPr>
        <w:numId w:val="0"/>
      </w:numPr>
      <w:autoSpaceDE/>
      <w:autoSpaceDN/>
      <w:adjustRightInd/>
      <w:snapToGrid/>
      <w:spacing w:before="480" w:line="276" w:lineRule="auto"/>
      <w:jc w:val="left"/>
      <w:outlineLvl w:val="9"/>
    </w:pPr>
    <w:rPr>
      <w:rFonts w:ascii="Cambria" w:hAnsi="Cambria" w:eastAsia="宋体"/>
      <w:b/>
      <w:bCs/>
      <w:color w:val="365F91"/>
      <w:kern w:val="0"/>
      <w:sz w:val="28"/>
      <w:szCs w:val="28"/>
    </w:rPr>
  </w:style>
  <w:style w:type="paragraph" w:customStyle="1" w:styleId="182">
    <w:name w:val="3 Char Char Char Char Char Char Char Char Char3 Char Char Char Char Char Char Char Char Char Char"/>
    <w:basedOn w:val="1"/>
    <w:qFormat/>
    <w:uiPriority w:val="0"/>
    <w:pPr>
      <w:snapToGrid w:val="0"/>
      <w:spacing w:line="360" w:lineRule="auto"/>
      <w:ind w:firstLine="200" w:firstLineChars="200"/>
    </w:pPr>
    <w:rPr>
      <w:rFonts w:eastAsia="仿宋_GB2312"/>
      <w:sz w:val="24"/>
    </w:rPr>
  </w:style>
  <w:style w:type="paragraph" w:customStyle="1" w:styleId="183">
    <w:name w:val="Char Char Char Char Char Char Char Char Char"/>
    <w:basedOn w:val="1"/>
    <w:qFormat/>
    <w:uiPriority w:val="0"/>
  </w:style>
  <w:style w:type="paragraph" w:customStyle="1" w:styleId="184">
    <w:name w:val="p16"/>
    <w:basedOn w:val="1"/>
    <w:qFormat/>
    <w:uiPriority w:val="99"/>
    <w:pPr>
      <w:widowControl/>
    </w:pPr>
    <w:rPr>
      <w:kern w:val="0"/>
    </w:rPr>
  </w:style>
  <w:style w:type="paragraph" w:customStyle="1" w:styleId="185">
    <w:name w:val="Char Char Char Char"/>
    <w:basedOn w:val="1"/>
    <w:qFormat/>
    <w:uiPriority w:val="0"/>
    <w:pPr>
      <w:jc w:val="center"/>
    </w:pPr>
    <w:rPr>
      <w:rFonts w:ascii="仿宋_GB2312" w:eastAsia="仿宋_GB2312"/>
      <w:b/>
      <w:sz w:val="32"/>
      <w:szCs w:val="32"/>
    </w:rPr>
  </w:style>
  <w:style w:type="paragraph" w:customStyle="1" w:styleId="186">
    <w:name w:val="样式2"/>
    <w:basedOn w:val="4"/>
    <w:qFormat/>
    <w:uiPriority w:val="0"/>
    <w:pPr>
      <w:keepNext/>
      <w:keepLines/>
      <w:snapToGrid/>
      <w:spacing w:before="260" w:after="260" w:line="300" w:lineRule="exact"/>
      <w:ind w:left="220" w:right="-20"/>
      <w:jc w:val="center"/>
    </w:pPr>
    <w:rPr>
      <w:rFonts w:ascii="宋体" w:hAnsi="宋体"/>
      <w:bCs/>
      <w:spacing w:val="0"/>
    </w:rPr>
  </w:style>
  <w:style w:type="paragraph" w:customStyle="1" w:styleId="187">
    <w:name w:val="样式3"/>
    <w:basedOn w:val="2"/>
    <w:qFormat/>
    <w:uiPriority w:val="0"/>
    <w:pPr>
      <w:keepNext/>
      <w:keepLines/>
      <w:spacing w:before="0" w:line="360" w:lineRule="auto"/>
      <w:ind w:left="119" w:right="-23"/>
    </w:pPr>
    <w:rPr>
      <w:rFonts w:ascii="宋体" w:hAnsi="宋体"/>
      <w:kern w:val="2"/>
      <w:szCs w:val="20"/>
    </w:rPr>
  </w:style>
  <w:style w:type="paragraph" w:customStyle="1" w:styleId="188">
    <w:name w:val="pa-34"/>
    <w:basedOn w:val="1"/>
    <w:qFormat/>
    <w:uiPriority w:val="99"/>
    <w:pPr>
      <w:widowControl/>
      <w:spacing w:line="360" w:lineRule="atLeast"/>
      <w:ind w:firstLine="420"/>
      <w:jc w:val="left"/>
    </w:pPr>
    <w:rPr>
      <w:rFonts w:ascii="宋体" w:hAnsi="宋体" w:cs="宋体"/>
      <w:kern w:val="0"/>
      <w:sz w:val="24"/>
    </w:rPr>
  </w:style>
  <w:style w:type="paragraph" w:customStyle="1" w:styleId="189">
    <w:name w:val="默认段落字体 Para Char Char Char Char Char Char Char Char Char Char Char Char Char"/>
    <w:basedOn w:val="1"/>
    <w:qFormat/>
    <w:uiPriority w:val="0"/>
    <w:rPr>
      <w:szCs w:val="20"/>
    </w:rPr>
  </w:style>
  <w:style w:type="paragraph" w:customStyle="1" w:styleId="190">
    <w:name w:val="WPSOffice手动目录 1"/>
    <w:qFormat/>
    <w:uiPriority w:val="0"/>
    <w:rPr>
      <w:rFonts w:ascii="Times New Roman" w:hAnsi="Times New Roman" w:eastAsia="宋体" w:cs="Times New Roman"/>
      <w:lang w:val="en-US" w:eastAsia="zh-CN" w:bidi="ar-SA"/>
    </w:rPr>
  </w:style>
  <w:style w:type="paragraph" w:customStyle="1" w:styleId="191">
    <w:name w:val="样式 标题 3 + (中文) 黑体 小四 非加粗 段前: 7.8 磅 段后: 0 磅 行距: 固定值 20 磅"/>
    <w:basedOn w:val="2"/>
    <w:next w:val="1"/>
    <w:qFormat/>
    <w:uiPriority w:val="99"/>
    <w:pPr>
      <w:keepNext/>
      <w:keepLines/>
      <w:autoSpaceDE/>
      <w:autoSpaceDN/>
      <w:adjustRightInd/>
      <w:spacing w:before="0" w:line="400" w:lineRule="exact"/>
      <w:jc w:val="both"/>
    </w:pPr>
    <w:rPr>
      <w:rFonts w:ascii="Times New Roman" w:eastAsia="黑体" w:cs="宋体"/>
      <w:b w:val="0"/>
      <w:kern w:val="2"/>
      <w:szCs w:val="20"/>
    </w:rPr>
  </w:style>
  <w:style w:type="paragraph" w:customStyle="1" w:styleId="192">
    <w:name w:val="Char Char18"/>
    <w:basedOn w:val="1"/>
    <w:qFormat/>
    <w:uiPriority w:val="0"/>
  </w:style>
  <w:style w:type="paragraph" w:customStyle="1" w:styleId="193">
    <w:name w:val="BT3"/>
    <w:basedOn w:val="2"/>
    <w:qFormat/>
    <w:uiPriority w:val="0"/>
    <w:pPr>
      <w:keepNext/>
      <w:keepLines/>
      <w:autoSpaceDE/>
      <w:autoSpaceDN/>
      <w:snapToGrid w:val="0"/>
      <w:spacing w:before="260" w:after="260" w:line="440" w:lineRule="exact"/>
      <w:jc w:val="both"/>
    </w:pPr>
    <w:rPr>
      <w:rFonts w:hAnsi="宋体"/>
      <w:kern w:val="2"/>
      <w:sz w:val="28"/>
    </w:rPr>
  </w:style>
  <w:style w:type="paragraph" w:customStyle="1" w:styleId="194">
    <w:name w:val="3"/>
    <w:basedOn w:val="1"/>
    <w:qFormat/>
    <w:uiPriority w:val="0"/>
    <w:pPr>
      <w:widowControl/>
      <w:adjustRightInd w:val="0"/>
      <w:snapToGrid w:val="0"/>
      <w:spacing w:line="360" w:lineRule="auto"/>
      <w:ind w:firstLine="200" w:firstLineChars="200"/>
      <w:jc w:val="left"/>
    </w:pPr>
    <w:rPr>
      <w:rFonts w:ascii="Tahoma" w:hAnsi="Tahoma" w:cs="Tahoma"/>
      <w:kern w:val="0"/>
      <w:sz w:val="20"/>
      <w:szCs w:val="20"/>
      <w:lang w:eastAsia="en-US"/>
    </w:rPr>
  </w:style>
  <w:style w:type="paragraph" w:customStyle="1" w:styleId="195">
    <w:name w:val="1"/>
    <w:basedOn w:val="1"/>
    <w:next w:val="23"/>
    <w:qFormat/>
    <w:uiPriority w:val="99"/>
    <w:pPr>
      <w:spacing w:after="120"/>
    </w:pPr>
  </w:style>
  <w:style w:type="paragraph" w:styleId="196">
    <w:name w:val="List Paragraph"/>
    <w:basedOn w:val="1"/>
    <w:qFormat/>
    <w:uiPriority w:val="99"/>
    <w:pPr>
      <w:ind w:firstLine="420" w:firstLineChars="200"/>
    </w:pPr>
    <w:rPr>
      <w:sz w:val="28"/>
      <w:szCs w:val="28"/>
    </w:rPr>
  </w:style>
  <w:style w:type="paragraph" w:customStyle="1" w:styleId="197">
    <w:name w:val="Char Char Char Char Char Char Char Char Char Char Char Char Char Char Char Char"/>
    <w:basedOn w:val="13"/>
    <w:qFormat/>
    <w:uiPriority w:val="0"/>
    <w:pPr>
      <w:shd w:val="clear" w:color="auto" w:fill="000080"/>
      <w:spacing w:line="360" w:lineRule="auto"/>
      <w:ind w:firstLine="200" w:firstLineChars="200"/>
    </w:pPr>
    <w:rPr>
      <w:rFonts w:ascii="Tahoma" w:hAnsi="Tahoma"/>
      <w:sz w:val="24"/>
      <w:szCs w:val="24"/>
    </w:rPr>
  </w:style>
  <w:style w:type="paragraph" w:customStyle="1" w:styleId="198">
    <w:name w:val="招标正文"/>
    <w:basedOn w:val="1"/>
    <w:qFormat/>
    <w:uiPriority w:val="99"/>
    <w:pPr>
      <w:spacing w:line="480" w:lineRule="exact"/>
    </w:pPr>
    <w:rPr>
      <w:rFonts w:ascii="宋体" w:hAnsi="Calibri"/>
      <w:color w:val="000000"/>
    </w:rPr>
  </w:style>
  <w:style w:type="paragraph" w:customStyle="1" w:styleId="199">
    <w:name w:val="Char Char29 Char Char Char Char Char Char"/>
    <w:basedOn w:val="1"/>
    <w:qFormat/>
    <w:uiPriority w:val="0"/>
    <w:pPr>
      <w:spacing w:before="156" w:beforeLines="50" w:after="156" w:afterLines="50"/>
    </w:pPr>
  </w:style>
  <w:style w:type="paragraph" w:customStyle="1" w:styleId="200">
    <w:name w:val="正  文"/>
    <w:basedOn w:val="1"/>
    <w:qFormat/>
    <w:uiPriority w:val="0"/>
    <w:pPr>
      <w:spacing w:line="360" w:lineRule="auto"/>
      <w:ind w:firstLine="200" w:firstLineChars="200"/>
    </w:pPr>
    <w:rPr>
      <w:rFonts w:ascii="宋体" w:hAnsi="Calibri"/>
      <w:sz w:val="24"/>
    </w:rPr>
  </w:style>
  <w:style w:type="paragraph" w:customStyle="1" w:styleId="201">
    <w:name w:val="正文 A"/>
    <w:basedOn w:val="1"/>
    <w:qFormat/>
    <w:uiPriority w:val="0"/>
    <w:rPr>
      <w:rFonts w:ascii="Arial Unicode MS" w:hAnsi="Arial Unicode MS" w:eastAsia="Arial Unicode MS" w:cs="Arial Unicode MS"/>
      <w:color w:val="000000"/>
      <w:u w:color="000000"/>
    </w:rPr>
  </w:style>
  <w:style w:type="paragraph" w:customStyle="1" w:styleId="202">
    <w:name w:val="_Style 198"/>
    <w:qFormat/>
    <w:uiPriority w:val="0"/>
    <w:rPr>
      <w:rFonts w:ascii="Times New Roman" w:hAnsi="Times New Roman" w:eastAsia="宋体" w:cs="Times New Roman"/>
      <w:kern w:val="2"/>
      <w:sz w:val="21"/>
      <w:szCs w:val="24"/>
      <w:lang w:val="en-US" w:eastAsia="zh-CN" w:bidi="ar-SA"/>
    </w:rPr>
  </w:style>
  <w:style w:type="paragraph" w:customStyle="1" w:styleId="203">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204">
    <w:name w:val="表格文字"/>
    <w:basedOn w:val="1"/>
    <w:qFormat/>
    <w:uiPriority w:val="99"/>
    <w:pPr>
      <w:adjustRightInd w:val="0"/>
      <w:spacing w:line="420" w:lineRule="atLeast"/>
      <w:jc w:val="left"/>
      <w:textAlignment w:val="baseline"/>
    </w:pPr>
    <w:rPr>
      <w:kern w:val="0"/>
      <w:szCs w:val="20"/>
    </w:rPr>
  </w:style>
  <w:style w:type="paragraph" w:customStyle="1" w:styleId="205">
    <w:name w:val="Char Char Char Char Char Char Char Char Char1"/>
    <w:basedOn w:val="1"/>
    <w:qFormat/>
    <w:uiPriority w:val="0"/>
  </w:style>
  <w:style w:type="paragraph" w:customStyle="1" w:styleId="206">
    <w:name w:val="无间隔1"/>
    <w:basedOn w:val="1"/>
    <w:qFormat/>
    <w:uiPriority w:val="1"/>
    <w:pPr>
      <w:spacing w:line="400" w:lineRule="exact"/>
    </w:pPr>
    <w:rPr>
      <w:rFonts w:ascii="Calibri" w:hAnsi="Calibri"/>
      <w:sz w:val="24"/>
      <w:szCs w:val="22"/>
    </w:rPr>
  </w:style>
  <w:style w:type="paragraph" w:customStyle="1" w:styleId="207">
    <w:name w:val="Char Char12"/>
    <w:basedOn w:val="1"/>
    <w:qFormat/>
    <w:uiPriority w:val="0"/>
    <w:pPr>
      <w:spacing w:before="156" w:beforeLines="50" w:after="156" w:afterLines="50"/>
    </w:pPr>
    <w:rPr>
      <w:rFonts w:ascii="Tahoma" w:hAnsi="Tahoma"/>
      <w:sz w:val="24"/>
      <w:szCs w:val="20"/>
    </w:rPr>
  </w:style>
  <w:style w:type="paragraph" w:customStyle="1" w:styleId="208">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9">
    <w:name w:val="Char Char1 Char Char Char Char Char Char Char"/>
    <w:basedOn w:val="1"/>
    <w:qFormat/>
    <w:uiPriority w:val="99"/>
    <w:pPr>
      <w:pageBreakBefore/>
    </w:pPr>
    <w:rPr>
      <w:rFonts w:ascii="宋体" w:eastAsia="仿宋_GB2312" w:cs="宋体"/>
      <w:sz w:val="28"/>
      <w:szCs w:val="28"/>
    </w:rPr>
  </w:style>
  <w:style w:type="paragraph" w:customStyle="1" w:styleId="210">
    <w:name w:val="Char Char16 Char Char"/>
    <w:basedOn w:val="1"/>
    <w:qFormat/>
    <w:uiPriority w:val="0"/>
  </w:style>
  <w:style w:type="paragraph" w:customStyle="1" w:styleId="211">
    <w:name w:val="Char9"/>
    <w:basedOn w:val="13"/>
    <w:qFormat/>
    <w:uiPriority w:val="0"/>
    <w:pPr>
      <w:shd w:val="clear" w:color="auto" w:fill="000080"/>
      <w:spacing w:line="360" w:lineRule="auto"/>
      <w:ind w:firstLine="200" w:firstLineChars="200"/>
    </w:pPr>
    <w:rPr>
      <w:rFonts w:ascii="Tahoma" w:hAnsi="Tahoma"/>
      <w:sz w:val="24"/>
      <w:szCs w:val="24"/>
    </w:rPr>
  </w:style>
  <w:style w:type="paragraph" w:customStyle="1" w:styleId="212">
    <w:name w:val="表"/>
    <w:basedOn w:val="1"/>
    <w:qFormat/>
    <w:uiPriority w:val="0"/>
    <w:pPr>
      <w:snapToGrid w:val="0"/>
      <w:spacing w:line="360" w:lineRule="auto"/>
      <w:ind w:firstLine="422" w:firstLineChars="200"/>
      <w:jc w:val="left"/>
    </w:pPr>
    <w:rPr>
      <w:rFonts w:ascii="宋体" w:cs="Arial Unicode MS"/>
      <w:b/>
    </w:rPr>
  </w:style>
  <w:style w:type="paragraph" w:customStyle="1" w:styleId="213">
    <w:name w:val="正文缩进1"/>
    <w:basedOn w:val="1"/>
    <w:qFormat/>
    <w:uiPriority w:val="0"/>
    <w:pPr>
      <w:ind w:firstLine="420" w:firstLineChars="200"/>
    </w:pPr>
    <w:rPr>
      <w:rFonts w:ascii="Calibri" w:hAnsi="Calibri"/>
    </w:rPr>
  </w:style>
  <w:style w:type="paragraph" w:customStyle="1" w:styleId="214">
    <w:name w:val="3（条）正文标题"/>
    <w:basedOn w:val="61"/>
    <w:qFormat/>
    <w:uiPriority w:val="0"/>
    <w:pPr>
      <w:spacing w:line="360" w:lineRule="auto"/>
    </w:pPr>
  </w:style>
  <w:style w:type="paragraph" w:customStyle="1" w:styleId="215">
    <w:name w:val="正文文本1"/>
    <w:basedOn w:val="61"/>
    <w:next w:val="63"/>
    <w:qFormat/>
    <w:uiPriority w:val="0"/>
    <w:pPr>
      <w:spacing w:after="120"/>
    </w:pPr>
    <w:rPr>
      <w:rFonts w:ascii="Times New Roman" w:hAnsi="Times New Roman"/>
      <w:kern w:val="0"/>
      <w:sz w:val="20"/>
    </w:rPr>
  </w:style>
  <w:style w:type="character" w:customStyle="1" w:styleId="216">
    <w:name w:val="NormalCharacter"/>
    <w:qFormat/>
    <w:uiPriority w:val="0"/>
    <w:rPr>
      <w:szCs w:val="24"/>
    </w:rPr>
  </w:style>
  <w:style w:type="paragraph" w:customStyle="1" w:styleId="217">
    <w:name w:val="Table Paragraph"/>
    <w:basedOn w:val="1"/>
    <w:qFormat/>
    <w:uiPriority w:val="1"/>
  </w:style>
  <w:style w:type="character" w:customStyle="1" w:styleId="218">
    <w:name w:val="标题 1 字符"/>
    <w:link w:val="3"/>
    <w:qFormat/>
    <w:uiPriority w:val="0"/>
    <w:rPr>
      <w:rFonts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2012dnd.com</Company>
  <Pages>84</Pages>
  <Words>1834</Words>
  <Characters>2195</Characters>
  <Lines>421</Lines>
  <Paragraphs>118</Paragraphs>
  <TotalTime>34</TotalTime>
  <ScaleCrop>false</ScaleCrop>
  <LinksUpToDate>false</LinksUpToDate>
  <CharactersWithSpaces>2368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2019-11-27T06:47:00Z</dcterms:created>
  <dc:creator>Administrator</dc:creator>
  <cp:lastModifiedBy>17723115403</cp:lastModifiedBy>
  <cp:lastPrinted>2022-12-23T07:36:00Z</cp:lastPrinted>
  <dcterms:modified xsi:type="dcterms:W3CDTF">2025-06-09T03:02:57Z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2324C81F168F4AD6A6327E6B44273D87_13</vt:lpwstr>
  </property>
  <property fmtid="{D5CDD505-2E9C-101B-9397-08002B2CF9AE}" pid="4" name="KSOTemplateDocerSaveRecord">
    <vt:lpwstr>eyJoZGlkIjoiN2E4Zjc0MDE5NWU2MjVlYjBjMmQxNDZmNDA2ZjhiODAiLCJ1c2VySWQiOiI3NDYzODU0ODcifQ==</vt:lpwstr>
  </property>
</Properties>
</file>