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890D1">
      <w:pPr>
        <w:spacing w:line="480" w:lineRule="auto"/>
        <w:jc w:val="left"/>
        <w:rPr>
          <w:rFonts w:hint="eastAsia" w:asciiTheme="minorEastAsia" w:hAnsiTheme="minorEastAsia" w:eastAsiaTheme="minorEastAsia"/>
          <w:b/>
          <w:color w:val="000000" w:themeColor="text1"/>
          <w:sz w:val="28"/>
          <w:szCs w:val="28"/>
          <w:highlight w:val="none"/>
          <w:lang w:eastAsia="zh-CN"/>
          <w14:textFill>
            <w14:solidFill>
              <w14:schemeClr w14:val="tx1"/>
            </w14:solidFill>
          </w14:textFill>
        </w:rPr>
      </w:pPr>
      <w:bookmarkStart w:id="0" w:name="_Toc31730"/>
      <w:bookmarkStart w:id="1" w:name="_Toc287620665"/>
      <w:bookmarkStart w:id="2" w:name="_Toc9785"/>
      <w:r>
        <w:rPr>
          <w:rFonts w:hint="eastAsia" w:asciiTheme="minorEastAsia" w:hAnsiTheme="minorEastAsia" w:eastAsiaTheme="minorEastAsia"/>
          <w:b/>
          <w:color w:val="000000" w:themeColor="text1"/>
          <w:sz w:val="28"/>
          <w:szCs w:val="28"/>
          <w:highlight w:val="none"/>
          <w14:textFill>
            <w14:solidFill>
              <w14:schemeClr w14:val="tx1"/>
            </w14:solidFill>
          </w14:textFill>
        </w:rPr>
        <w:t>项目名称：</w:t>
      </w:r>
      <w:r>
        <w:rPr>
          <w:rFonts w:hint="eastAsia" w:asciiTheme="minorEastAsia" w:hAnsiTheme="minorEastAsia" w:eastAsiaTheme="minorEastAsia"/>
          <w:b/>
          <w:color w:val="000000" w:themeColor="text1"/>
          <w:sz w:val="28"/>
          <w:szCs w:val="28"/>
          <w:highlight w:val="none"/>
          <w:lang w:eastAsia="zh-CN"/>
          <w14:textFill>
            <w14:solidFill>
              <w14:schemeClr w14:val="tx1"/>
            </w14:solidFill>
          </w14:textFill>
        </w:rPr>
        <w:t xml:space="preserve">南岸区弹子石片区居民共有产权雨水管网改造工程预算编制及跟审服务 </w:t>
      </w:r>
    </w:p>
    <w:p w14:paraId="00189DB6">
      <w:pPr>
        <w:spacing w:line="480" w:lineRule="auto"/>
        <w:jc w:val="left"/>
        <w:rPr>
          <w:rFonts w:hint="default" w:asciiTheme="minorEastAsia" w:hAnsiTheme="minorEastAsia" w:eastAsiaTheme="minorEastAsia"/>
          <w:b/>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项目编号：C</w:t>
      </w:r>
      <w:r>
        <w:rPr>
          <w:rFonts w:asciiTheme="minorEastAsia" w:hAnsiTheme="minorEastAsia" w:eastAsiaTheme="minorEastAsia"/>
          <w:b/>
          <w:color w:val="000000" w:themeColor="text1"/>
          <w:sz w:val="28"/>
          <w:szCs w:val="28"/>
          <w:highlight w:val="none"/>
          <w14:textFill>
            <w14:solidFill>
              <w14:schemeClr w14:val="tx1"/>
            </w14:solidFill>
          </w14:textFill>
        </w:rPr>
        <w:t>QCBJQ2</w:t>
      </w:r>
      <w:r>
        <w:rPr>
          <w:rFonts w:hint="eastAsia" w:asciiTheme="minorEastAsia" w:hAnsiTheme="minorEastAsia" w:eastAsiaTheme="minorEastAsia"/>
          <w:b/>
          <w:color w:val="000000" w:themeColor="text1"/>
          <w:sz w:val="28"/>
          <w:szCs w:val="28"/>
          <w:highlight w:val="none"/>
          <w:lang w:val="en-US" w:eastAsia="zh-CN"/>
          <w14:textFill>
            <w14:solidFill>
              <w14:schemeClr w14:val="tx1"/>
            </w14:solidFill>
          </w14:textFill>
        </w:rPr>
        <w:t>5</w:t>
      </w:r>
      <w:r>
        <w:rPr>
          <w:rFonts w:asciiTheme="minorEastAsia" w:hAnsiTheme="minorEastAsia" w:eastAsiaTheme="minorEastAsia"/>
          <w:b/>
          <w:color w:val="000000" w:themeColor="text1"/>
          <w:sz w:val="28"/>
          <w:szCs w:val="28"/>
          <w:highlight w:val="none"/>
          <w14:textFill>
            <w14:solidFill>
              <w14:schemeClr w14:val="tx1"/>
            </w14:solidFill>
          </w14:textFill>
        </w:rPr>
        <w:t>0</w:t>
      </w:r>
      <w:r>
        <w:rPr>
          <w:rFonts w:hint="eastAsia" w:asciiTheme="minorEastAsia" w:hAnsiTheme="minorEastAsia" w:eastAsiaTheme="minorEastAsia"/>
          <w:b/>
          <w:color w:val="000000" w:themeColor="text1"/>
          <w:sz w:val="28"/>
          <w:szCs w:val="28"/>
          <w:highlight w:val="none"/>
          <w:lang w:val="en-US" w:eastAsia="zh-CN"/>
          <w14:textFill>
            <w14:solidFill>
              <w14:schemeClr w14:val="tx1"/>
            </w14:solidFill>
          </w14:textFill>
        </w:rPr>
        <w:t>6</w:t>
      </w:r>
      <w:r>
        <w:rPr>
          <w:rFonts w:asciiTheme="minorEastAsia" w:hAnsiTheme="minorEastAsia" w:eastAsiaTheme="minorEastAsia"/>
          <w:b/>
          <w:color w:val="000000" w:themeColor="text1"/>
          <w:sz w:val="28"/>
          <w:szCs w:val="28"/>
          <w:highlight w:val="none"/>
          <w14:textFill>
            <w14:solidFill>
              <w14:schemeClr w14:val="tx1"/>
            </w14:solidFill>
          </w14:textFill>
        </w:rPr>
        <w:t>-</w:t>
      </w:r>
      <w:r>
        <w:rPr>
          <w:rFonts w:hint="eastAsia" w:asciiTheme="minorEastAsia" w:hAnsiTheme="minorEastAsia" w:eastAsiaTheme="minorEastAsia"/>
          <w:b/>
          <w:color w:val="000000" w:themeColor="text1"/>
          <w:sz w:val="28"/>
          <w:szCs w:val="28"/>
          <w:highlight w:val="none"/>
          <w:lang w:val="en-US" w:eastAsia="zh-CN"/>
          <w14:textFill>
            <w14:solidFill>
              <w14:schemeClr w14:val="tx1"/>
            </w14:solidFill>
          </w14:textFill>
        </w:rPr>
        <w:t>220</w:t>
      </w:r>
    </w:p>
    <w:p w14:paraId="5BE6B79C">
      <w:pPr>
        <w:pStyle w:val="10"/>
        <w:snapToGrid w:val="0"/>
        <w:spacing w:line="360" w:lineRule="auto"/>
        <w:ind w:left="0" w:right="0" w:firstLine="0" w:firstLineChars="0"/>
        <w:rPr>
          <w:rFonts w:hint="eastAsia" w:ascii="宋体" w:hAnsi="宋体" w:eastAsia="宋体"/>
          <w:b/>
          <w:color w:val="000000" w:themeColor="text1"/>
          <w:sz w:val="56"/>
          <w:szCs w:val="56"/>
          <w:highlight w:val="none"/>
          <w14:textFill>
            <w14:solidFill>
              <w14:schemeClr w14:val="tx1"/>
            </w14:solidFill>
          </w14:textFill>
        </w:rPr>
      </w:pPr>
    </w:p>
    <w:p w14:paraId="3D1ECCAA">
      <w:pPr>
        <w:pStyle w:val="10"/>
        <w:snapToGrid w:val="0"/>
        <w:spacing w:line="360" w:lineRule="auto"/>
        <w:ind w:left="0" w:right="0" w:firstLine="0" w:firstLineChars="0"/>
        <w:rPr>
          <w:rFonts w:hint="eastAsia" w:ascii="宋体" w:hAnsi="宋体" w:eastAsia="宋体"/>
          <w:b/>
          <w:color w:val="000000" w:themeColor="text1"/>
          <w:sz w:val="56"/>
          <w:szCs w:val="56"/>
          <w:highlight w:val="none"/>
          <w14:textFill>
            <w14:solidFill>
              <w14:schemeClr w14:val="tx1"/>
            </w14:solidFill>
          </w14:textFill>
        </w:rPr>
      </w:pPr>
    </w:p>
    <w:p w14:paraId="619E6C4C">
      <w:pPr>
        <w:pStyle w:val="10"/>
        <w:snapToGrid w:val="0"/>
        <w:spacing w:line="360" w:lineRule="auto"/>
        <w:ind w:left="0" w:right="0" w:firstLine="0" w:firstLineChars="0"/>
        <w:jc w:val="center"/>
        <w:rPr>
          <w:rFonts w:hint="eastAsia" w:ascii="宋体" w:hAnsi="宋体" w:eastAsia="宋体"/>
          <w:b/>
          <w:color w:val="000000" w:themeColor="text1"/>
          <w:sz w:val="84"/>
          <w:szCs w:val="84"/>
          <w:highlight w:val="none"/>
          <w14:textFill>
            <w14:solidFill>
              <w14:schemeClr w14:val="tx1"/>
            </w14:solidFill>
          </w14:textFill>
        </w:rPr>
      </w:pPr>
    </w:p>
    <w:p w14:paraId="15AD97F2">
      <w:pPr>
        <w:autoSpaceDE w:val="0"/>
        <w:autoSpaceDN w:val="0"/>
        <w:adjustRightInd w:val="0"/>
        <w:snapToGrid w:val="0"/>
        <w:spacing w:line="360" w:lineRule="auto"/>
        <w:jc w:val="center"/>
        <w:rPr>
          <w:rFonts w:hint="eastAsia" w:ascii="宋体" w:hAnsi="宋体"/>
          <w:b/>
          <w:color w:val="000000" w:themeColor="text1"/>
          <w:kern w:val="0"/>
          <w:sz w:val="72"/>
          <w:szCs w:val="72"/>
          <w:highlight w:val="none"/>
          <w14:textFill>
            <w14:solidFill>
              <w14:schemeClr w14:val="tx1"/>
            </w14:solidFill>
          </w14:textFill>
        </w:rPr>
      </w:pPr>
      <w:r>
        <w:rPr>
          <w:rFonts w:hint="eastAsia" w:ascii="宋体" w:hAnsi="宋体"/>
          <w:b/>
          <w:color w:val="000000" w:themeColor="text1"/>
          <w:kern w:val="0"/>
          <w:sz w:val="72"/>
          <w:szCs w:val="72"/>
          <w:highlight w:val="none"/>
          <w14:textFill>
            <w14:solidFill>
              <w14:schemeClr w14:val="tx1"/>
            </w14:solidFill>
          </w14:textFill>
        </w:rPr>
        <w:t>竞争性比选文件</w:t>
      </w:r>
    </w:p>
    <w:p w14:paraId="3FAAEDD0">
      <w:pPr>
        <w:autoSpaceDE w:val="0"/>
        <w:autoSpaceDN w:val="0"/>
        <w:adjustRightInd w:val="0"/>
        <w:snapToGrid w:val="0"/>
        <w:spacing w:line="360" w:lineRule="auto"/>
        <w:jc w:val="center"/>
        <w:rPr>
          <w:rFonts w:hint="eastAsia" w:ascii="宋体" w:hAnsi="宋体"/>
          <w:b/>
          <w:color w:val="000000" w:themeColor="text1"/>
          <w:kern w:val="0"/>
          <w:position w:val="-5"/>
          <w:sz w:val="32"/>
          <w:szCs w:val="48"/>
          <w:highlight w:val="none"/>
          <w14:textFill>
            <w14:solidFill>
              <w14:schemeClr w14:val="tx1"/>
            </w14:solidFill>
          </w14:textFill>
        </w:rPr>
      </w:pPr>
    </w:p>
    <w:p w14:paraId="1B7228AB">
      <w:pPr>
        <w:autoSpaceDE w:val="0"/>
        <w:autoSpaceDN w:val="0"/>
        <w:adjustRightInd w:val="0"/>
        <w:snapToGrid w:val="0"/>
        <w:spacing w:line="360" w:lineRule="auto"/>
        <w:jc w:val="center"/>
        <w:rPr>
          <w:rFonts w:hint="eastAsia" w:ascii="宋体" w:hAnsi="宋体"/>
          <w:b/>
          <w:color w:val="000000" w:themeColor="text1"/>
          <w:kern w:val="0"/>
          <w:position w:val="-5"/>
          <w:sz w:val="32"/>
          <w:szCs w:val="48"/>
          <w:highlight w:val="none"/>
          <w14:textFill>
            <w14:solidFill>
              <w14:schemeClr w14:val="tx1"/>
            </w14:solidFill>
          </w14:textFill>
        </w:rPr>
      </w:pPr>
    </w:p>
    <w:p w14:paraId="30AA3FD3">
      <w:pPr>
        <w:autoSpaceDE w:val="0"/>
        <w:autoSpaceDN w:val="0"/>
        <w:adjustRightInd w:val="0"/>
        <w:snapToGrid w:val="0"/>
        <w:spacing w:line="360" w:lineRule="auto"/>
        <w:jc w:val="center"/>
        <w:rPr>
          <w:rFonts w:hint="eastAsia" w:ascii="宋体" w:hAnsi="宋体"/>
          <w:b/>
          <w:color w:val="000000" w:themeColor="text1"/>
          <w:kern w:val="0"/>
          <w:position w:val="-5"/>
          <w:sz w:val="32"/>
          <w:szCs w:val="48"/>
          <w:highlight w:val="none"/>
          <w14:textFill>
            <w14:solidFill>
              <w14:schemeClr w14:val="tx1"/>
            </w14:solidFill>
          </w14:textFill>
        </w:rPr>
      </w:pPr>
    </w:p>
    <w:p w14:paraId="78ECFD79">
      <w:pPr>
        <w:autoSpaceDE w:val="0"/>
        <w:autoSpaceDN w:val="0"/>
        <w:adjustRightInd w:val="0"/>
        <w:snapToGrid w:val="0"/>
        <w:spacing w:line="360" w:lineRule="auto"/>
        <w:jc w:val="center"/>
        <w:rPr>
          <w:rFonts w:hint="eastAsia" w:ascii="宋体" w:hAnsi="宋体"/>
          <w:b/>
          <w:color w:val="000000" w:themeColor="text1"/>
          <w:kern w:val="0"/>
          <w:position w:val="-5"/>
          <w:sz w:val="32"/>
          <w:szCs w:val="48"/>
          <w:highlight w:val="none"/>
          <w14:textFill>
            <w14:solidFill>
              <w14:schemeClr w14:val="tx1"/>
            </w14:solidFill>
          </w14:textFill>
        </w:rPr>
      </w:pPr>
    </w:p>
    <w:p w14:paraId="3D10FAAF">
      <w:pPr>
        <w:autoSpaceDE w:val="0"/>
        <w:autoSpaceDN w:val="0"/>
        <w:adjustRightInd w:val="0"/>
        <w:snapToGrid w:val="0"/>
        <w:spacing w:line="360" w:lineRule="auto"/>
        <w:jc w:val="center"/>
        <w:rPr>
          <w:rFonts w:hint="eastAsia" w:ascii="宋体" w:hAnsi="宋体"/>
          <w:b/>
          <w:color w:val="000000" w:themeColor="text1"/>
          <w:kern w:val="0"/>
          <w:position w:val="-5"/>
          <w:sz w:val="32"/>
          <w:szCs w:val="48"/>
          <w:highlight w:val="none"/>
          <w14:textFill>
            <w14:solidFill>
              <w14:schemeClr w14:val="tx1"/>
            </w14:solidFill>
          </w14:textFill>
        </w:rPr>
      </w:pPr>
    </w:p>
    <w:p w14:paraId="058EF560">
      <w:pPr>
        <w:autoSpaceDE w:val="0"/>
        <w:autoSpaceDN w:val="0"/>
        <w:adjustRightInd w:val="0"/>
        <w:snapToGrid w:val="0"/>
        <w:spacing w:line="360" w:lineRule="auto"/>
        <w:jc w:val="center"/>
        <w:rPr>
          <w:rFonts w:hint="eastAsia" w:ascii="宋体" w:hAnsi="宋体"/>
          <w:b/>
          <w:color w:val="000000" w:themeColor="text1"/>
          <w:kern w:val="0"/>
          <w:position w:val="-5"/>
          <w:sz w:val="32"/>
          <w:szCs w:val="48"/>
          <w:highlight w:val="none"/>
          <w14:textFill>
            <w14:solidFill>
              <w14:schemeClr w14:val="tx1"/>
            </w14:solidFill>
          </w14:textFill>
        </w:rPr>
      </w:pPr>
    </w:p>
    <w:p w14:paraId="6236E751">
      <w:pPr>
        <w:spacing w:line="520" w:lineRule="exact"/>
        <w:ind w:firstLine="602" w:firstLineChars="200"/>
        <w:rPr>
          <w:color w:val="000000" w:themeColor="text1"/>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比   选   人：</w:t>
      </w:r>
      <w:r>
        <w:rPr>
          <w:rFonts w:hint="eastAsia" w:ascii="宋体" w:hAnsi="宋体" w:cs="宋体"/>
          <w:b/>
          <w:color w:val="000000" w:themeColor="text1"/>
          <w:sz w:val="30"/>
          <w:szCs w:val="30"/>
          <w:highlight w:val="none"/>
          <w:u w:val="single"/>
          <w14:textFill>
            <w14:solidFill>
              <w14:schemeClr w14:val="tx1"/>
            </w14:solidFill>
          </w14:textFill>
        </w:rPr>
        <w:t>重庆市南岸区城市建设发展（集团）有限公司</w:t>
      </w:r>
    </w:p>
    <w:p w14:paraId="6F550736">
      <w:pPr>
        <w:pStyle w:val="46"/>
        <w:rPr>
          <w:color w:val="000000" w:themeColor="text1"/>
          <w:highlight w:val="none"/>
          <w14:textFill>
            <w14:solidFill>
              <w14:schemeClr w14:val="tx1"/>
            </w14:solidFill>
          </w14:textFill>
        </w:rPr>
      </w:pPr>
    </w:p>
    <w:p w14:paraId="2C028BF8">
      <w:pPr>
        <w:spacing w:line="520" w:lineRule="exact"/>
        <w:ind w:firstLine="602" w:firstLineChars="200"/>
        <w:rPr>
          <w:rFonts w:hint="eastAsia"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比选代理机构：</w:t>
      </w:r>
      <w:r>
        <w:rPr>
          <w:rFonts w:hint="eastAsia" w:ascii="宋体" w:hAnsi="宋体" w:cs="宋体"/>
          <w:b/>
          <w:color w:val="000000" w:themeColor="text1"/>
          <w:sz w:val="30"/>
          <w:szCs w:val="30"/>
          <w:highlight w:val="none"/>
          <w:u w:val="single"/>
          <w14:textFill>
            <w14:solidFill>
              <w14:schemeClr w14:val="tx1"/>
            </w14:solidFill>
          </w14:textFill>
        </w:rPr>
        <w:t xml:space="preserve">重庆市中基致信招标代理有限公司 </w:t>
      </w:r>
    </w:p>
    <w:p w14:paraId="78C06B8D">
      <w:pPr>
        <w:pStyle w:val="53"/>
        <w:jc w:val="center"/>
        <w:rPr>
          <w:rFonts w:hint="eastAsia"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 xml:space="preserve">  </w:t>
      </w:r>
    </w:p>
    <w:p w14:paraId="3D8CCF09">
      <w:pPr>
        <w:pStyle w:val="53"/>
        <w:jc w:val="center"/>
        <w:rPr>
          <w:rFonts w:hint="eastAsia" w:ascii="宋体" w:hAnsi="宋体" w:cs="宋体"/>
          <w:b/>
          <w:color w:val="000000" w:themeColor="text1"/>
          <w:sz w:val="30"/>
          <w:szCs w:val="30"/>
          <w:highlight w:val="none"/>
          <w14:textFill>
            <w14:solidFill>
              <w14:schemeClr w14:val="tx1"/>
            </w14:solidFill>
          </w14:textFill>
        </w:rPr>
      </w:pPr>
    </w:p>
    <w:p w14:paraId="3B25BFCA">
      <w:pPr>
        <w:spacing w:line="480" w:lineRule="auto"/>
        <w:jc w:val="center"/>
        <w:rPr>
          <w:rFonts w:hint="eastAsia" w:ascii="宋体" w:hAnsi="宋体"/>
          <w:b/>
          <w:color w:val="000000" w:themeColor="text1"/>
          <w:spacing w:val="8"/>
          <w:kern w:val="0"/>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0"/>
          <w:highlight w:val="none"/>
          <w14:textFill>
            <w14:solidFill>
              <w14:schemeClr w14:val="tx1"/>
            </w14:solidFill>
          </w14:textFill>
        </w:rPr>
        <w:t>二○二</w:t>
      </w:r>
      <w:r>
        <w:rPr>
          <w:rFonts w:hint="eastAsia" w:cs="宋体" w:asciiTheme="minorEastAsia" w:hAnsiTheme="minorEastAsia" w:eastAsiaTheme="minorEastAsia"/>
          <w:b/>
          <w:color w:val="000000" w:themeColor="text1"/>
          <w:kern w:val="0"/>
          <w:sz w:val="30"/>
          <w:highlight w:val="none"/>
          <w:lang w:val="en-US" w:eastAsia="zh-CN"/>
          <w14:textFill>
            <w14:solidFill>
              <w14:schemeClr w14:val="tx1"/>
            </w14:solidFill>
          </w14:textFill>
        </w:rPr>
        <w:t>五</w:t>
      </w:r>
      <w:r>
        <w:rPr>
          <w:rFonts w:hint="eastAsia" w:cs="宋体" w:asciiTheme="minorEastAsia" w:hAnsiTheme="minorEastAsia" w:eastAsiaTheme="minorEastAsia"/>
          <w:b/>
          <w:color w:val="000000" w:themeColor="text1"/>
          <w:kern w:val="0"/>
          <w:sz w:val="30"/>
          <w:highlight w:val="none"/>
          <w14:textFill>
            <w14:solidFill>
              <w14:schemeClr w14:val="tx1"/>
            </w14:solidFill>
          </w14:textFill>
        </w:rPr>
        <w:t>年</w:t>
      </w:r>
      <w:r>
        <w:rPr>
          <w:rFonts w:hint="eastAsia" w:cs="宋体" w:asciiTheme="minorEastAsia" w:hAnsiTheme="minorEastAsia" w:eastAsiaTheme="minorEastAsia"/>
          <w:b/>
          <w:color w:val="000000" w:themeColor="text1"/>
          <w:kern w:val="0"/>
          <w:sz w:val="30"/>
          <w:highlight w:val="none"/>
          <w:lang w:val="en-US" w:eastAsia="zh-CN"/>
          <w14:textFill>
            <w14:solidFill>
              <w14:schemeClr w14:val="tx1"/>
            </w14:solidFill>
          </w14:textFill>
        </w:rPr>
        <w:t>六</w:t>
      </w:r>
      <w:r>
        <w:rPr>
          <w:rFonts w:hint="eastAsia" w:cs="宋体" w:asciiTheme="minorEastAsia" w:hAnsiTheme="minorEastAsia" w:eastAsiaTheme="minorEastAsia"/>
          <w:b/>
          <w:color w:val="000000" w:themeColor="text1"/>
          <w:kern w:val="0"/>
          <w:sz w:val="30"/>
          <w:highlight w:val="none"/>
          <w14:textFill>
            <w14:solidFill>
              <w14:schemeClr w14:val="tx1"/>
            </w14:solidFill>
          </w14:textFill>
        </w:rPr>
        <w:t>月</w:t>
      </w:r>
    </w:p>
    <w:p w14:paraId="19F029ED">
      <w:pPr>
        <w:pStyle w:val="4"/>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目  录</w:t>
      </w:r>
    </w:p>
    <w:p w14:paraId="2D8531B4">
      <w:pPr>
        <w:rPr>
          <w:rFonts w:hint="eastAsia" w:ascii="宋体" w:hAnsi="宋体"/>
          <w:color w:val="000000" w:themeColor="text1"/>
          <w:highlight w:val="none"/>
          <w14:textFill>
            <w14:solidFill>
              <w14:schemeClr w14:val="tx1"/>
            </w14:solidFill>
          </w14:textFill>
        </w:rPr>
      </w:pPr>
    </w:p>
    <w:p w14:paraId="69D0A09A">
      <w:pPr>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第一章 比选公告</w:t>
      </w:r>
    </w:p>
    <w:p w14:paraId="03AE2876">
      <w:pPr>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第二章 竞选人须知</w:t>
      </w:r>
    </w:p>
    <w:p w14:paraId="4B52FBA7">
      <w:pPr>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第三章 评选办法</w:t>
      </w:r>
    </w:p>
    <w:p w14:paraId="498D05C4">
      <w:pPr>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第四章 合同条款及格式</w:t>
      </w:r>
    </w:p>
    <w:p w14:paraId="422310B6">
      <w:pPr>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第五章 发包人要求</w:t>
      </w:r>
    </w:p>
    <w:p w14:paraId="5644EE28">
      <w:pPr>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第六章 竞选文件格式</w:t>
      </w:r>
    </w:p>
    <w:bookmarkEnd w:id="0"/>
    <w:bookmarkEnd w:id="1"/>
    <w:bookmarkEnd w:id="2"/>
    <w:sdt>
      <w:sdtPr>
        <w:rPr>
          <w:rFonts w:ascii="宋体" w:hAnsi="宋体"/>
          <w:color w:val="000000" w:themeColor="text1"/>
          <w:highlight w:val="none"/>
          <w14:textFill>
            <w14:solidFill>
              <w14:schemeClr w14:val="tx1"/>
            </w14:solidFill>
          </w14:textFill>
        </w:rPr>
        <w:id w:val="147455173"/>
        <w:docPartObj>
          <w:docPartGallery w:val="Table of Contents"/>
          <w:docPartUnique/>
        </w:docPartObj>
      </w:sdtPr>
      <w:sdtEndPr>
        <w:rPr>
          <w:rFonts w:ascii="宋体" w:hAnsi="宋体" w:cs="宋体"/>
          <w:b/>
          <w:bCs/>
          <w:color w:val="000000" w:themeColor="text1"/>
          <w:sz w:val="32"/>
          <w:szCs w:val="40"/>
          <w:highlight w:val="none"/>
          <w14:textFill>
            <w14:solidFill>
              <w14:schemeClr w14:val="tx1"/>
            </w14:solidFill>
          </w14:textFill>
        </w:rPr>
      </w:sdtEndPr>
      <w:sdtContent>
        <w:p w14:paraId="2D715EC8">
          <w:pPr>
            <w:jc w:val="center"/>
            <w:rPr>
              <w:rFonts w:hint="eastAsia" w:ascii="宋体" w:hAnsi="宋体"/>
              <w:color w:val="000000" w:themeColor="text1"/>
              <w:highlight w:val="none"/>
              <w14:textFill>
                <w14:solidFill>
                  <w14:schemeClr w14:val="tx1"/>
                </w14:solidFill>
              </w14:textFill>
            </w:rPr>
          </w:pPr>
          <w:bookmarkStart w:id="3" w:name="_Toc277082535"/>
          <w:bookmarkStart w:id="4" w:name="_Toc2534"/>
          <w:bookmarkStart w:id="5" w:name="_Toc224103298"/>
          <w:bookmarkStart w:id="6" w:name="_Toc509218691"/>
          <w:bookmarkStart w:id="7" w:name="_Toc287620666"/>
          <w:bookmarkStart w:id="8" w:name="_Toc8580"/>
          <w:bookmarkStart w:id="9" w:name="_Toc430530415"/>
          <w:bookmarkStart w:id="10" w:name="_Toc287607727"/>
        </w:p>
      </w:sdtContent>
    </w:sdt>
    <w:p w14:paraId="714DE7DC">
      <w:pPr>
        <w:spacing w:line="360" w:lineRule="auto"/>
        <w:rPr>
          <w:rFonts w:hint="eastAsia" w:ascii="宋体" w:hAnsi="宋体" w:cs="宋体"/>
          <w:snapToGrid w:val="0"/>
          <w:color w:val="000000" w:themeColor="text1"/>
          <w:kern w:val="0"/>
          <w:sz w:val="15"/>
          <w:szCs w:val="15"/>
          <w:highlight w:val="none"/>
          <w14:textFill>
            <w14:solidFill>
              <w14:schemeClr w14:val="tx1"/>
            </w14:solidFill>
          </w14:textFill>
        </w:rPr>
      </w:pPr>
    </w:p>
    <w:p w14:paraId="54C4CE85">
      <w:pPr>
        <w:rPr>
          <w:rFonts w:hint="eastAsia" w:ascii="宋体" w:hAnsi="宋体" w:cs="宋体"/>
          <w:snapToGrid w:val="0"/>
          <w:color w:val="000000" w:themeColor="text1"/>
          <w:kern w:val="0"/>
          <w:sz w:val="15"/>
          <w:szCs w:val="15"/>
          <w:highlight w:val="none"/>
          <w14:textFill>
            <w14:solidFill>
              <w14:schemeClr w14:val="tx1"/>
            </w14:solidFill>
          </w14:textFill>
        </w:rPr>
      </w:pPr>
    </w:p>
    <w:p w14:paraId="1D3397DD">
      <w:pPr>
        <w:pStyle w:val="8"/>
        <w:rPr>
          <w:rFonts w:hint="eastAsia" w:ascii="宋体" w:hAnsi="宋体" w:cs="宋体"/>
          <w:snapToGrid w:val="0"/>
          <w:color w:val="000000" w:themeColor="text1"/>
          <w:kern w:val="0"/>
          <w:sz w:val="15"/>
          <w:szCs w:val="15"/>
          <w:highlight w:val="none"/>
          <w14:textFill>
            <w14:solidFill>
              <w14:schemeClr w14:val="tx1"/>
            </w14:solidFill>
          </w14:textFill>
        </w:rPr>
      </w:pPr>
    </w:p>
    <w:p w14:paraId="5F55C111">
      <w:pPr>
        <w:rPr>
          <w:rFonts w:hint="eastAsia" w:ascii="宋体" w:hAnsi="宋体" w:cs="宋体"/>
          <w:snapToGrid w:val="0"/>
          <w:color w:val="000000" w:themeColor="text1"/>
          <w:kern w:val="0"/>
          <w:sz w:val="15"/>
          <w:szCs w:val="15"/>
          <w:highlight w:val="none"/>
          <w14:textFill>
            <w14:solidFill>
              <w14:schemeClr w14:val="tx1"/>
            </w14:solidFill>
          </w14:textFill>
        </w:rPr>
      </w:pPr>
    </w:p>
    <w:p w14:paraId="77DC8376">
      <w:pPr>
        <w:pStyle w:val="8"/>
        <w:rPr>
          <w:rFonts w:hint="eastAsia" w:ascii="宋体" w:hAnsi="宋体" w:cs="宋体"/>
          <w:snapToGrid w:val="0"/>
          <w:color w:val="000000" w:themeColor="text1"/>
          <w:kern w:val="0"/>
          <w:sz w:val="15"/>
          <w:szCs w:val="15"/>
          <w:highlight w:val="none"/>
          <w14:textFill>
            <w14:solidFill>
              <w14:schemeClr w14:val="tx1"/>
            </w14:solidFill>
          </w14:textFill>
        </w:rPr>
      </w:pPr>
    </w:p>
    <w:p w14:paraId="61AC4159">
      <w:pPr>
        <w:rPr>
          <w:rFonts w:hint="eastAsia" w:ascii="宋体" w:hAnsi="宋体" w:cs="宋体"/>
          <w:snapToGrid w:val="0"/>
          <w:color w:val="000000" w:themeColor="text1"/>
          <w:kern w:val="0"/>
          <w:sz w:val="15"/>
          <w:szCs w:val="15"/>
          <w:highlight w:val="none"/>
          <w14:textFill>
            <w14:solidFill>
              <w14:schemeClr w14:val="tx1"/>
            </w14:solidFill>
          </w14:textFill>
        </w:rPr>
      </w:pPr>
    </w:p>
    <w:p w14:paraId="2853DA5C">
      <w:pPr>
        <w:widowControl/>
        <w:jc w:val="left"/>
        <w:rPr>
          <w:rFonts w:hint="eastAsia" w:ascii="宋体" w:hAnsi="宋体" w:cs="宋体"/>
          <w:snapToGrid w:val="0"/>
          <w:color w:val="000000" w:themeColor="text1"/>
          <w:kern w:val="0"/>
          <w:sz w:val="15"/>
          <w:szCs w:val="15"/>
          <w:highlight w:val="none"/>
          <w14:textFill>
            <w14:solidFill>
              <w14:schemeClr w14:val="tx1"/>
            </w14:solidFill>
          </w14:textFill>
        </w:rPr>
      </w:pPr>
      <w:r>
        <w:rPr>
          <w:rFonts w:ascii="宋体" w:hAnsi="宋体" w:cs="宋体"/>
          <w:b/>
          <w:bCs/>
          <w:snapToGrid w:val="0"/>
          <w:color w:val="000000" w:themeColor="text1"/>
          <w:kern w:val="0"/>
          <w:sz w:val="15"/>
          <w:szCs w:val="15"/>
          <w:highlight w:val="none"/>
          <w14:textFill>
            <w14:solidFill>
              <w14:schemeClr w14:val="tx1"/>
            </w14:solidFill>
          </w14:textFill>
        </w:rPr>
        <w:br w:type="page"/>
      </w:r>
    </w:p>
    <w:p w14:paraId="33ECCBE5">
      <w:pPr>
        <w:pStyle w:val="2"/>
        <w:spacing w:before="0" w:after="0" w:line="360" w:lineRule="auto"/>
        <w:jc w:val="center"/>
        <w:rPr>
          <w:rFonts w:hint="eastAsia"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第一章  比选公告</w:t>
      </w:r>
      <w:bookmarkEnd w:id="3"/>
      <w:bookmarkEnd w:id="4"/>
      <w:bookmarkEnd w:id="5"/>
      <w:bookmarkEnd w:id="6"/>
      <w:bookmarkEnd w:id="7"/>
      <w:bookmarkEnd w:id="8"/>
      <w:bookmarkEnd w:id="9"/>
      <w:bookmarkEnd w:id="10"/>
    </w:p>
    <w:p w14:paraId="130B50B1">
      <w:pPr>
        <w:autoSpaceDE w:val="0"/>
        <w:autoSpaceDN w:val="0"/>
        <w:adjustRightInd w:val="0"/>
        <w:snapToGrid w:val="0"/>
        <w:spacing w:line="360" w:lineRule="auto"/>
        <w:ind w:left="-210" w:leftChars="-100" w:right="-210" w:rightChars="-100"/>
        <w:jc w:val="center"/>
        <w:rPr>
          <w:rFonts w:hint="eastAsia" w:cs="宋体" w:asciiTheme="minorEastAsia" w:hAnsiTheme="minorEastAsia" w:eastAsiaTheme="minorEastAsia"/>
          <w:b/>
          <w:snapToGrid w:val="0"/>
          <w:color w:val="000000" w:themeColor="text1"/>
          <w:w w:val="99"/>
          <w:kern w:val="0"/>
          <w:sz w:val="28"/>
          <w:szCs w:val="28"/>
          <w:highlight w:val="none"/>
          <w14:textFill>
            <w14:solidFill>
              <w14:schemeClr w14:val="tx1"/>
            </w14:solidFill>
          </w14:textFill>
        </w:rPr>
      </w:pPr>
      <w:bookmarkStart w:id="11" w:name="_Toc7072"/>
      <w:bookmarkStart w:id="12" w:name="_Toc13786"/>
      <w:bookmarkStart w:id="13" w:name="_Toc31381"/>
      <w:bookmarkStart w:id="14" w:name="OLE_LINK2"/>
      <w:r>
        <w:rPr>
          <w:rFonts w:hint="eastAsia" w:cs="宋体" w:asciiTheme="minorEastAsia" w:hAnsiTheme="minorEastAsia" w:eastAsiaTheme="minorEastAsia"/>
          <w:b/>
          <w:snapToGrid w:val="0"/>
          <w:color w:val="000000" w:themeColor="text1"/>
          <w:w w:val="99"/>
          <w:kern w:val="0"/>
          <w:sz w:val="28"/>
          <w:szCs w:val="28"/>
          <w:highlight w:val="none"/>
          <w14:textFill>
            <w14:solidFill>
              <w14:schemeClr w14:val="tx1"/>
            </w14:solidFill>
          </w14:textFill>
        </w:rPr>
        <w:t>南岸区弹子石片区居民共有产权雨水管网改造工程预算编制及跟审服务</w:t>
      </w:r>
    </w:p>
    <w:p w14:paraId="1E56ED2E">
      <w:pPr>
        <w:autoSpaceDE w:val="0"/>
        <w:autoSpaceDN w:val="0"/>
        <w:adjustRightInd w:val="0"/>
        <w:snapToGrid w:val="0"/>
        <w:spacing w:line="360" w:lineRule="auto"/>
        <w:ind w:left="-210" w:leftChars="-100" w:right="-210" w:rightChars="-100"/>
        <w:jc w:val="center"/>
        <w:rPr>
          <w:rFonts w:hint="eastAsia" w:cs="宋体" w:asciiTheme="minorEastAsia" w:hAnsiTheme="minorEastAsia" w:eastAsiaTheme="minorEastAsia"/>
          <w:b/>
          <w:snapToGrid w:val="0"/>
          <w:color w:val="000000" w:themeColor="text1"/>
          <w:w w:val="99"/>
          <w:kern w:val="0"/>
          <w:sz w:val="28"/>
          <w:szCs w:val="28"/>
          <w:highlight w:val="none"/>
          <w14:textFill>
            <w14:solidFill>
              <w14:schemeClr w14:val="tx1"/>
            </w14:solidFill>
          </w14:textFill>
        </w:rPr>
      </w:pPr>
      <w:r>
        <w:rPr>
          <w:rFonts w:hint="eastAsia" w:cs="宋体" w:asciiTheme="minorEastAsia" w:hAnsiTheme="minorEastAsia" w:eastAsiaTheme="minorEastAsia"/>
          <w:b/>
          <w:snapToGrid w:val="0"/>
          <w:color w:val="000000" w:themeColor="text1"/>
          <w:w w:val="99"/>
          <w:kern w:val="0"/>
          <w:sz w:val="28"/>
          <w:szCs w:val="28"/>
          <w:highlight w:val="none"/>
          <w14:textFill>
            <w14:solidFill>
              <w14:schemeClr w14:val="tx1"/>
            </w14:solidFill>
          </w14:textFill>
        </w:rPr>
        <w:t>竞争性比选公告</w:t>
      </w:r>
    </w:p>
    <w:p w14:paraId="07D5C126">
      <w:pPr>
        <w:spacing w:before="100" w:after="100" w:line="400" w:lineRule="exact"/>
        <w:ind w:firstLine="422" w:firstLineChars="200"/>
        <w:rPr>
          <w:rFonts w:hint="eastAsia" w:ascii="宋体" w:hAnsi="宋体" w:cs="宋体"/>
          <w:b/>
          <w:snapToGrid w:val="0"/>
          <w:color w:val="000000" w:themeColor="text1"/>
          <w:szCs w:val="21"/>
          <w:highlight w:val="none"/>
          <w14:textFill>
            <w14:solidFill>
              <w14:schemeClr w14:val="tx1"/>
            </w14:solidFill>
          </w14:textFill>
        </w:rPr>
      </w:pPr>
      <w:r>
        <w:rPr>
          <w:rFonts w:hint="eastAsia" w:ascii="宋体" w:hAnsi="宋体" w:cs="宋体"/>
          <w:b/>
          <w:snapToGrid w:val="0"/>
          <w:color w:val="000000" w:themeColor="text1"/>
          <w:szCs w:val="21"/>
          <w:highlight w:val="none"/>
          <w14:textFill>
            <w14:solidFill>
              <w14:schemeClr w14:val="tx1"/>
            </w14:solidFill>
          </w14:textFill>
        </w:rPr>
        <w:t>1、比选条件</w:t>
      </w:r>
      <w:bookmarkEnd w:id="11"/>
      <w:bookmarkEnd w:id="12"/>
      <w:bookmarkEnd w:id="13"/>
    </w:p>
    <w:p w14:paraId="2E5F9490">
      <w:pPr>
        <w:spacing w:line="360" w:lineRule="auto"/>
        <w:ind w:firstLine="420" w:firstLineChars="200"/>
        <w:rPr>
          <w:rFonts w:hint="eastAsia" w:asciiTheme="minorEastAsia" w:hAnsiTheme="minorEastAsia" w:eastAsiaTheme="minorEastAsia"/>
          <w:color w:val="000000" w:themeColor="text1"/>
          <w:szCs w:val="21"/>
          <w:highlight w:val="none"/>
          <w14:textFill>
            <w14:solidFill>
              <w14:schemeClr w14:val="tx1"/>
            </w14:solidFill>
          </w14:textFill>
        </w:rPr>
      </w:pPr>
      <w:bookmarkStart w:id="15" w:name="_Toc30487"/>
      <w:bookmarkStart w:id="16" w:name="_Toc17229"/>
      <w:bookmarkStart w:id="17" w:name="_Toc13219"/>
      <w:r>
        <w:rPr>
          <w:rFonts w:hint="eastAsia" w:asciiTheme="minorEastAsia" w:hAnsiTheme="minorEastAsia" w:eastAsiaTheme="minorEastAsia"/>
          <w:color w:val="000000" w:themeColor="text1"/>
          <w:szCs w:val="21"/>
          <w:highlight w:val="none"/>
          <w14:textFill>
            <w14:solidFill>
              <w14:schemeClr w14:val="tx1"/>
            </w14:solidFill>
          </w14:textFill>
        </w:rPr>
        <w:t>本比选项目</w:t>
      </w:r>
      <w:r>
        <w:rPr>
          <w:rFonts w:hint="eastAsia" w:ascii="宋体" w:hAnsi="宋体"/>
          <w:snapToGrid w:val="0"/>
          <w:color w:val="000000" w:themeColor="text1"/>
          <w:kern w:val="0"/>
          <w:szCs w:val="21"/>
          <w:highlight w:val="none"/>
          <w:u w:val="single"/>
          <w:lang w:eastAsia="zh-CN"/>
          <w14:textFill>
            <w14:solidFill>
              <w14:schemeClr w14:val="tx1"/>
            </w14:solidFill>
          </w14:textFill>
        </w:rPr>
        <w:t>南岸区弹子石片区居民共有产权雨水管网改造工程</w:t>
      </w:r>
      <w:r>
        <w:rPr>
          <w:rFonts w:ascii="宋体" w:hAnsi="宋体"/>
          <w:snapToGrid w:val="0"/>
          <w:color w:val="000000" w:themeColor="text1"/>
          <w:kern w:val="0"/>
          <w:szCs w:val="21"/>
          <w:highlight w:val="none"/>
          <w14:textFill>
            <w14:solidFill>
              <w14:schemeClr w14:val="tx1"/>
            </w14:solidFill>
          </w14:textFill>
        </w:rPr>
        <w:t>已由</w:t>
      </w:r>
      <w:r>
        <w:rPr>
          <w:rFonts w:hint="eastAsia" w:ascii="宋体" w:hAnsi="宋体"/>
          <w:snapToGrid w:val="0"/>
          <w:color w:val="000000" w:themeColor="text1"/>
          <w:kern w:val="0"/>
          <w:szCs w:val="21"/>
          <w:highlight w:val="none"/>
          <w:u w:val="single"/>
          <w14:textFill>
            <w14:solidFill>
              <w14:schemeClr w14:val="tx1"/>
            </w14:solidFill>
          </w14:textFill>
        </w:rPr>
        <w:t>重庆市南岸区发展和改革委员会</w:t>
      </w:r>
      <w:r>
        <w:rPr>
          <w:rFonts w:ascii="宋体" w:hAnsi="宋体"/>
          <w:snapToGrid w:val="0"/>
          <w:color w:val="000000" w:themeColor="text1"/>
          <w:kern w:val="0"/>
          <w:szCs w:val="21"/>
          <w:highlight w:val="none"/>
          <w14:textFill>
            <w14:solidFill>
              <w14:schemeClr w14:val="tx1"/>
            </w14:solidFill>
          </w14:textFill>
        </w:rPr>
        <w:t>以</w:t>
      </w:r>
      <w:r>
        <w:rPr>
          <w:rFonts w:hint="eastAsia" w:ascii="宋体" w:hAnsi="宋体"/>
          <w:snapToGrid w:val="0"/>
          <w:color w:val="000000" w:themeColor="text1"/>
          <w:kern w:val="0"/>
          <w:szCs w:val="21"/>
          <w:highlight w:val="none"/>
          <w:u w:val="single"/>
          <w14:textFill>
            <w14:solidFill>
              <w14:schemeClr w14:val="tx1"/>
            </w14:solidFill>
          </w14:textFill>
        </w:rPr>
        <w:t>南岸发改〔2025〕33号</w:t>
      </w:r>
      <w:r>
        <w:rPr>
          <w:rFonts w:ascii="宋体" w:hAnsi="宋体"/>
          <w:snapToGrid w:val="0"/>
          <w:color w:val="000000" w:themeColor="text1"/>
          <w:kern w:val="0"/>
          <w:szCs w:val="21"/>
          <w:highlight w:val="none"/>
          <w14:textFill>
            <w14:solidFill>
              <w14:schemeClr w14:val="tx1"/>
            </w14:solidFill>
          </w14:textFill>
        </w:rPr>
        <w:t>批准建设，</w:t>
      </w:r>
      <w:r>
        <w:rPr>
          <w:rFonts w:hint="eastAsia" w:asciiTheme="minorEastAsia" w:hAnsiTheme="minorEastAsia" w:eastAsiaTheme="minorEastAsia"/>
          <w:color w:val="000000" w:themeColor="text1"/>
          <w:szCs w:val="21"/>
          <w:highlight w:val="none"/>
          <w14:textFill>
            <w14:solidFill>
              <w14:schemeClr w14:val="tx1"/>
            </w14:solidFill>
          </w14:textFill>
        </w:rPr>
        <w:t>项目业主为</w:t>
      </w:r>
      <w:r>
        <w:rPr>
          <w:rFonts w:hint="eastAsia" w:ascii="宋体" w:hAnsi="宋体"/>
          <w:snapToGrid w:val="0"/>
          <w:color w:val="000000" w:themeColor="text1"/>
          <w:kern w:val="0"/>
          <w:szCs w:val="21"/>
          <w:highlight w:val="none"/>
          <w:u w:val="single"/>
          <w14:textFill>
            <w14:solidFill>
              <w14:schemeClr w14:val="tx1"/>
            </w14:solidFill>
          </w14:textFill>
        </w:rPr>
        <w:t>重庆市南岸区城市建设发展（集团）有限公司</w:t>
      </w:r>
      <w:r>
        <w:rPr>
          <w:rFonts w:hint="eastAsia" w:asciiTheme="minorEastAsia" w:hAnsiTheme="minorEastAsia" w:eastAsiaTheme="minorEastAsia"/>
          <w:color w:val="000000" w:themeColor="text1"/>
          <w:szCs w:val="21"/>
          <w:highlight w:val="none"/>
          <w14:textFill>
            <w14:solidFill>
              <w14:schemeClr w14:val="tx1"/>
            </w14:solidFill>
          </w14:textFill>
        </w:rPr>
        <w:t>，建设资金来自</w:t>
      </w:r>
      <w:r>
        <w:rPr>
          <w:rFonts w:hint="eastAsia" w:ascii="宋体" w:hAnsi="宋体"/>
          <w:snapToGrid w:val="0"/>
          <w:color w:val="000000" w:themeColor="text1"/>
          <w:kern w:val="0"/>
          <w:szCs w:val="21"/>
          <w:highlight w:val="none"/>
          <w:u w:val="single"/>
          <w14:textFill>
            <w14:solidFill>
              <w14:schemeClr w14:val="tx1"/>
            </w14:solidFill>
          </w14:textFill>
        </w:rPr>
        <w:t>财政资金保障</w:t>
      </w:r>
      <w:r>
        <w:rPr>
          <w:rFonts w:hint="eastAsia" w:asciiTheme="minorEastAsia" w:hAnsiTheme="minorEastAsia" w:eastAsiaTheme="minorEastAsia"/>
          <w:color w:val="000000" w:themeColor="text1"/>
          <w:szCs w:val="21"/>
          <w:highlight w:val="none"/>
          <w14:textFill>
            <w14:solidFill>
              <w14:schemeClr w14:val="tx1"/>
            </w14:solidFill>
          </w14:textFill>
        </w:rPr>
        <w:t>，项目出资比例为</w:t>
      </w:r>
      <w:r>
        <w:rPr>
          <w:rFonts w:hint="eastAsia" w:ascii="宋体" w:hAnsi="宋体"/>
          <w:snapToGrid w:val="0"/>
          <w:color w:val="000000" w:themeColor="text1"/>
          <w:kern w:val="0"/>
          <w:szCs w:val="21"/>
          <w:highlight w:val="none"/>
          <w:u w:val="single"/>
          <w14:textFill>
            <w14:solidFill>
              <w14:schemeClr w14:val="tx1"/>
            </w14:solidFill>
          </w14:textFill>
        </w:rPr>
        <w:t>100%</w:t>
      </w:r>
      <w:r>
        <w:rPr>
          <w:rFonts w:hint="eastAsia" w:asciiTheme="minorEastAsia" w:hAnsiTheme="minorEastAsia" w:eastAsiaTheme="minorEastAsia"/>
          <w:color w:val="000000" w:themeColor="text1"/>
          <w:szCs w:val="21"/>
          <w:highlight w:val="none"/>
          <w14:textFill>
            <w14:solidFill>
              <w14:schemeClr w14:val="tx1"/>
            </w14:solidFill>
          </w14:textFill>
        </w:rPr>
        <w:t>，招标人为</w:t>
      </w:r>
      <w:r>
        <w:rPr>
          <w:rFonts w:hint="eastAsia" w:ascii="宋体" w:hAnsi="宋体"/>
          <w:snapToGrid w:val="0"/>
          <w:color w:val="000000" w:themeColor="text1"/>
          <w:kern w:val="0"/>
          <w:szCs w:val="21"/>
          <w:highlight w:val="none"/>
          <w:u w:val="single"/>
          <w14:textFill>
            <w14:solidFill>
              <w14:schemeClr w14:val="tx1"/>
            </w14:solidFill>
          </w14:textFill>
        </w:rPr>
        <w:t>重庆市南岸区城市建设发展（集团）有限公司</w:t>
      </w:r>
      <w:r>
        <w:rPr>
          <w:rFonts w:hint="eastAsia" w:asciiTheme="minorEastAsia" w:hAnsiTheme="minorEastAsia" w:eastAsiaTheme="minorEastAsia"/>
          <w:color w:val="000000" w:themeColor="text1"/>
          <w:szCs w:val="21"/>
          <w:highlight w:val="none"/>
          <w14:textFill>
            <w14:solidFill>
              <w14:schemeClr w14:val="tx1"/>
            </w14:solidFill>
          </w14:textFill>
        </w:rPr>
        <w:t>。项目已具备招标条件，现对该项目的</w:t>
      </w:r>
      <w:r>
        <w:rPr>
          <w:rFonts w:hint="eastAsia" w:asciiTheme="minorEastAsia" w:hAnsiTheme="minorEastAsia" w:eastAsiaTheme="minorEastAsia"/>
          <w:bCs/>
          <w:color w:val="000000" w:themeColor="text1"/>
          <w:szCs w:val="21"/>
          <w:highlight w:val="none"/>
          <w:u w:val="single"/>
          <w14:textFill>
            <w14:solidFill>
              <w14:schemeClr w14:val="tx1"/>
            </w14:solidFill>
          </w14:textFill>
        </w:rPr>
        <w:t>预算编制及跟审</w:t>
      </w:r>
      <w:r>
        <w:rPr>
          <w:rFonts w:hint="eastAsia" w:asciiTheme="minorEastAsia" w:hAnsiTheme="minorEastAsia" w:eastAsiaTheme="minorEastAsia"/>
          <w:color w:val="000000" w:themeColor="text1"/>
          <w:szCs w:val="21"/>
          <w:highlight w:val="none"/>
          <w14:textFill>
            <w14:solidFill>
              <w14:schemeClr w14:val="tx1"/>
            </w14:solidFill>
          </w14:textFill>
        </w:rPr>
        <w:t>进行公开比选。</w:t>
      </w:r>
    </w:p>
    <w:p w14:paraId="23D33646">
      <w:pPr>
        <w:spacing w:before="100" w:after="100" w:line="400" w:lineRule="exact"/>
        <w:ind w:firstLine="422" w:firstLineChars="200"/>
        <w:rPr>
          <w:rFonts w:hint="eastAsia" w:ascii="宋体" w:hAnsi="宋体" w:cs="宋体"/>
          <w:b/>
          <w:bCs/>
          <w:snapToGrid w:val="0"/>
          <w:color w:val="000000" w:themeColor="text1"/>
          <w:szCs w:val="21"/>
          <w:highlight w:val="none"/>
          <w14:textFill>
            <w14:solidFill>
              <w14:schemeClr w14:val="tx1"/>
            </w14:solidFill>
          </w14:textFill>
        </w:rPr>
      </w:pPr>
      <w:r>
        <w:rPr>
          <w:rFonts w:hint="eastAsia" w:ascii="宋体" w:hAnsi="宋体" w:cs="宋体"/>
          <w:b/>
          <w:bCs/>
          <w:snapToGrid w:val="0"/>
          <w:color w:val="000000" w:themeColor="text1"/>
          <w:szCs w:val="21"/>
          <w:highlight w:val="none"/>
          <w14:textFill>
            <w14:solidFill>
              <w14:schemeClr w14:val="tx1"/>
            </w14:solidFill>
          </w14:textFill>
        </w:rPr>
        <w:t>2、项目概况与比选范围</w:t>
      </w:r>
    </w:p>
    <w:p w14:paraId="78D5ECB9">
      <w:pPr>
        <w:spacing w:line="460" w:lineRule="exact"/>
        <w:ind w:firstLine="420" w:firstLineChars="200"/>
        <w:rPr>
          <w:rFonts w:hint="eastAsia"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2.1</w:t>
      </w:r>
      <w:r>
        <w:rPr>
          <w:rFonts w:ascii="宋体" w:hAnsi="宋体"/>
          <w:color w:val="000000" w:themeColor="text1"/>
          <w:highlight w:val="none"/>
          <w14:textFill>
            <w14:solidFill>
              <w14:schemeClr w14:val="tx1"/>
            </w14:solidFill>
          </w14:textFill>
        </w:rPr>
        <w:t>建设地点：</w:t>
      </w:r>
      <w:r>
        <w:rPr>
          <w:rFonts w:hint="eastAsia" w:ascii="宋体" w:hAnsi="宋体"/>
          <w:snapToGrid w:val="0"/>
          <w:color w:val="000000" w:themeColor="text1"/>
          <w:kern w:val="0"/>
          <w:szCs w:val="21"/>
          <w:highlight w:val="none"/>
          <w:u w:val="single"/>
          <w:lang w:eastAsia="zh-CN"/>
          <w14:textFill>
            <w14:solidFill>
              <w14:schemeClr w14:val="tx1"/>
            </w14:solidFill>
          </w14:textFill>
        </w:rPr>
        <w:t>南岸区弹子石片区</w:t>
      </w:r>
      <w:r>
        <w:rPr>
          <w:rFonts w:hint="eastAsia" w:ascii="宋体" w:hAnsi="宋体"/>
          <w:snapToGrid w:val="0"/>
          <w:color w:val="000000" w:themeColor="text1"/>
          <w:kern w:val="0"/>
          <w:szCs w:val="21"/>
          <w:highlight w:val="none"/>
          <w:u w:val="single"/>
          <w14:textFill>
            <w14:solidFill>
              <w14:schemeClr w14:val="tx1"/>
            </w14:solidFill>
          </w14:textFill>
        </w:rPr>
        <w:t>；</w:t>
      </w:r>
    </w:p>
    <w:p w14:paraId="41E7787B">
      <w:pPr>
        <w:spacing w:line="460" w:lineRule="exact"/>
        <w:ind w:firstLine="420" w:firstLineChars="200"/>
        <w:rPr>
          <w:color w:val="000000" w:themeColor="text1"/>
          <w:szCs w:val="2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2.2 项目概况与建设规模：</w:t>
      </w:r>
      <w:r>
        <w:rPr>
          <w:rFonts w:hint="eastAsia" w:ascii="宋体" w:hAnsi="宋体"/>
          <w:snapToGrid w:val="0"/>
          <w:color w:val="000000" w:themeColor="text1"/>
          <w:kern w:val="0"/>
          <w:szCs w:val="21"/>
          <w:highlight w:val="none"/>
          <w:u w:val="single"/>
          <w14:textFill>
            <w14:solidFill>
              <w14:schemeClr w14:val="tx1"/>
            </w14:solidFill>
          </w14:textFill>
        </w:rPr>
        <w:t>包括管网整治，共整治源头小区/地块内混错接点1113个，改建D200立管及出户管33.44km，d300Ⅱ级钢筋混凝土管5.34km，D300管网约 24.75km、D400管网约12.77km、D500管网约4.5km、D600管网约1.7km、D800管网约0.8km及其配套附属设施，新建水质水量监测点位125处</w:t>
      </w:r>
      <w:r>
        <w:rPr>
          <w:rFonts w:hint="eastAsia" w:asciiTheme="minorEastAsia" w:hAnsiTheme="minorEastAsia" w:eastAsiaTheme="minorEastAsia"/>
          <w:color w:val="000000" w:themeColor="text1"/>
          <w:szCs w:val="21"/>
          <w:highlight w:val="none"/>
          <w:u w:val="single"/>
          <w14:textFill>
            <w14:solidFill>
              <w14:schemeClr w14:val="tx1"/>
            </w14:solidFill>
          </w14:textFill>
        </w:rPr>
        <w:t>。</w:t>
      </w:r>
    </w:p>
    <w:p w14:paraId="6805E983">
      <w:pPr>
        <w:spacing w:line="460" w:lineRule="exact"/>
        <w:ind w:firstLine="420" w:firstLineChars="200"/>
        <w:rPr>
          <w:color w:val="000000" w:themeColor="text1"/>
          <w:szCs w:val="21"/>
          <w:highlight w:val="none"/>
          <w:u w:val="single"/>
          <w14:textFill>
            <w14:solidFill>
              <w14:schemeClr w14:val="tx1"/>
            </w14:solidFill>
          </w14:textFill>
        </w:rPr>
      </w:pPr>
      <w:r>
        <w:rPr>
          <w:rFonts w:hint="eastAsia"/>
          <w:color w:val="000000" w:themeColor="text1"/>
          <w:szCs w:val="21"/>
          <w:highlight w:val="none"/>
          <w:u w:val="single"/>
          <w14:textFill>
            <w14:solidFill>
              <w14:schemeClr w14:val="tx1"/>
            </w14:solidFill>
          </w14:textFill>
        </w:rPr>
        <w:t>2.3建安工程费与合同估算金额：</w:t>
      </w:r>
    </w:p>
    <w:p w14:paraId="45DC36D5">
      <w:pPr>
        <w:spacing w:line="46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（1）本建设项目建安工程费为暂定为</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8900</w:t>
      </w:r>
      <w:r>
        <w:rPr>
          <w:rFonts w:hint="eastAsia" w:ascii="宋体" w:hAnsi="宋体"/>
          <w:snapToGrid w:val="0"/>
          <w:color w:val="000000" w:themeColor="text1"/>
          <w:kern w:val="0"/>
          <w:szCs w:val="21"/>
          <w:highlight w:val="none"/>
          <w:u w:val="single"/>
          <w14:textFill>
            <w14:solidFill>
              <w14:schemeClr w14:val="tx1"/>
            </w14:solidFill>
          </w14:textFill>
        </w:rPr>
        <w:t>万元</w:t>
      </w:r>
      <w:r>
        <w:rPr>
          <w:rFonts w:hint="eastAsia" w:ascii="宋体" w:hAnsi="宋体"/>
          <w:color w:val="000000" w:themeColor="text1"/>
          <w:highlight w:val="none"/>
          <w14:textFill>
            <w14:solidFill>
              <w14:schemeClr w14:val="tx1"/>
            </w14:solidFill>
          </w14:textFill>
        </w:rPr>
        <w:t>；</w:t>
      </w:r>
    </w:p>
    <w:p w14:paraId="06CD8434">
      <w:pPr>
        <w:spacing w:line="46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（2）合同估算金额：</w:t>
      </w:r>
      <w:r>
        <w:rPr>
          <w:rFonts w:hint="eastAsia" w:ascii="宋体" w:hAnsi="宋体" w:cs="宋体"/>
          <w:color w:val="000000" w:themeColor="text1"/>
          <w:szCs w:val="21"/>
          <w:highlight w:val="none"/>
          <w:u w:val="single"/>
          <w:lang w:val="en-US" w:eastAsia="zh-CN"/>
          <w14:textFill>
            <w14:solidFill>
              <w14:schemeClr w14:val="tx1"/>
            </w14:solidFill>
          </w14:textFill>
        </w:rPr>
        <w:t>预算编制费固定费率最高限价为暂估工程费的0.20%，暂定服务费最高限价为178500元；跟审费固定费率最高限价为暂估工程费的0.47%，暂定服务费最高限价为416000元。</w:t>
      </w:r>
    </w:p>
    <w:bookmarkEnd w:id="15"/>
    <w:bookmarkEnd w:id="16"/>
    <w:bookmarkEnd w:id="17"/>
    <w:p w14:paraId="57EAE68C">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u w:val="single"/>
          <w14:textFill>
            <w14:solidFill>
              <w14:schemeClr w14:val="tx1"/>
            </w14:solidFill>
          </w14:textFill>
        </w:rPr>
      </w:pPr>
      <w:bookmarkStart w:id="18" w:name="_Toc3686"/>
      <w:bookmarkStart w:id="19" w:name="_Toc4964"/>
      <w:bookmarkStart w:id="20" w:name="_Toc6792"/>
      <w:r>
        <w:rPr>
          <w:rFonts w:hint="eastAsia" w:ascii="宋体" w:hAnsi="宋体"/>
          <w:snapToGrid w:val="0"/>
          <w:color w:val="000000" w:themeColor="text1"/>
          <w:kern w:val="0"/>
          <w:szCs w:val="21"/>
          <w:highlight w:val="none"/>
          <w14:textFill>
            <w14:solidFill>
              <w14:schemeClr w14:val="tx1"/>
            </w14:solidFill>
          </w14:textFill>
        </w:rPr>
        <w:t>2.4比选范围：</w:t>
      </w:r>
      <w:r>
        <w:rPr>
          <w:rFonts w:hint="eastAsia" w:ascii="宋体" w:hAnsi="宋体"/>
          <w:color w:val="000000" w:themeColor="text1"/>
          <w:szCs w:val="21"/>
          <w:highlight w:val="none"/>
          <w:u w:val="single"/>
          <w14:textFill>
            <w14:solidFill>
              <w14:schemeClr w14:val="tx1"/>
            </w14:solidFill>
          </w14:textFill>
        </w:rPr>
        <w:t>对本工程提供</w:t>
      </w:r>
      <w:r>
        <w:rPr>
          <w:rFonts w:hint="eastAsia" w:ascii="宋体" w:hAnsi="宋体"/>
          <w:color w:val="000000" w:themeColor="text1"/>
          <w:szCs w:val="21"/>
          <w:highlight w:val="none"/>
          <w:u w:val="single"/>
          <w:lang w:val="en-US" w:eastAsia="zh-CN"/>
          <w14:textFill>
            <w14:solidFill>
              <w14:schemeClr w14:val="tx1"/>
            </w14:solidFill>
          </w14:textFill>
        </w:rPr>
        <w:t>预算编制及</w:t>
      </w:r>
      <w:r>
        <w:rPr>
          <w:rFonts w:hint="eastAsia" w:ascii="宋体" w:hAnsi="宋体"/>
          <w:color w:val="000000" w:themeColor="text1"/>
          <w:szCs w:val="21"/>
          <w:highlight w:val="none"/>
          <w:u w:val="single"/>
          <w14:textFill>
            <w14:solidFill>
              <w14:schemeClr w14:val="tx1"/>
            </w14:solidFill>
          </w14:textFill>
        </w:rPr>
        <w:t>全过程跟踪审计，包含但不限于：预算工程量清单及组价编制</w:t>
      </w:r>
      <w:r>
        <w:rPr>
          <w:rFonts w:hint="eastAsia" w:ascii="宋体" w:hAnsi="宋体"/>
          <w:color w:val="000000" w:themeColor="text1"/>
          <w:szCs w:val="21"/>
          <w:highlight w:val="none"/>
          <w:u w:val="single"/>
          <w:lang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提供成本控制建议</w:t>
      </w:r>
      <w:r>
        <w:rPr>
          <w:rFonts w:hint="eastAsia" w:ascii="宋体" w:hAnsi="宋体"/>
          <w:color w:val="000000" w:themeColor="text1"/>
          <w:szCs w:val="21"/>
          <w:highlight w:val="none"/>
          <w:u w:val="single"/>
          <w:lang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配合相关部门</w:t>
      </w:r>
      <w:r>
        <w:rPr>
          <w:rFonts w:hint="eastAsia" w:ascii="宋体" w:hAnsi="宋体"/>
          <w:color w:val="000000" w:themeColor="text1"/>
          <w:szCs w:val="21"/>
          <w:highlight w:val="none"/>
          <w:u w:val="single"/>
          <w:lang w:val="en-US" w:eastAsia="zh-CN"/>
          <w14:textFill>
            <w14:solidFill>
              <w14:schemeClr w14:val="tx1"/>
            </w14:solidFill>
          </w14:textFill>
        </w:rPr>
        <w:t>完成</w:t>
      </w:r>
      <w:r>
        <w:rPr>
          <w:rFonts w:hint="eastAsia" w:ascii="宋体" w:hAnsi="宋体"/>
          <w:color w:val="000000" w:themeColor="text1"/>
          <w:szCs w:val="21"/>
          <w:highlight w:val="none"/>
          <w:u w:val="single"/>
          <w14:textFill>
            <w14:solidFill>
              <w14:schemeClr w14:val="tx1"/>
            </w14:solidFill>
          </w14:textFill>
        </w:rPr>
        <w:t>评审（核查）及评审（核查）</w:t>
      </w:r>
      <w:r>
        <w:rPr>
          <w:rFonts w:hint="eastAsia" w:ascii="宋体" w:hAnsi="宋体"/>
          <w:color w:val="000000" w:themeColor="text1"/>
          <w:szCs w:val="21"/>
          <w:highlight w:val="none"/>
          <w:u w:val="single"/>
          <w:lang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施工方案的经济评价、设计变更的经济分析、变更审核、参与施工阶段的现场计量及其审核、现场签证及其审核、新增项目的价格审核及评价、建筑材料认（审）价、工程进度款审核、专业分包造价控制、工程索赔和反索赔咨询、有关工程造价信息及法规咨询、与本工程有关的其他采购事宜限价编制、完工后的结算审核等与造价控制有关的其他服务工作及配合项目审计等工作，详见合同约定。</w:t>
      </w:r>
    </w:p>
    <w:p w14:paraId="699B7A60">
      <w:pPr>
        <w:tabs>
          <w:tab w:val="left" w:pos="3840"/>
          <w:tab w:val="left" w:pos="5300"/>
        </w:tabs>
        <w:autoSpaceDE w:val="0"/>
        <w:autoSpaceDN w:val="0"/>
        <w:adjustRightInd w:val="0"/>
        <w:snapToGrid w:val="0"/>
        <w:spacing w:line="500" w:lineRule="exact"/>
        <w:ind w:firstLine="420" w:firstLineChars="20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2.5服务期：</w:t>
      </w:r>
      <w:r>
        <w:rPr>
          <w:rFonts w:hint="eastAsia" w:ascii="宋体" w:hAnsi="宋体"/>
          <w:color w:val="000000" w:themeColor="text1"/>
          <w:szCs w:val="21"/>
          <w:highlight w:val="none"/>
          <w:u w:val="single"/>
          <w14:textFill>
            <w14:solidFill>
              <w14:schemeClr w14:val="tx1"/>
            </w14:solidFill>
          </w14:textFill>
        </w:rPr>
        <w:t>本项目服务周期自合同签订之日开始至工程竣工验收及结算审计完成</w:t>
      </w:r>
      <w:r>
        <w:rPr>
          <w:rFonts w:hint="eastAsia" w:ascii="宋体" w:hAnsi="宋体"/>
          <w:snapToGrid w:val="0"/>
          <w:color w:val="000000" w:themeColor="text1"/>
          <w:kern w:val="0"/>
          <w:szCs w:val="21"/>
          <w:highlight w:val="none"/>
          <w14:textFill>
            <w14:solidFill>
              <w14:schemeClr w14:val="tx1"/>
            </w14:solidFill>
          </w14:textFill>
        </w:rPr>
        <w:t>。</w:t>
      </w:r>
    </w:p>
    <w:p w14:paraId="3C035650">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2.6 特别说明：</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本项目招标范围、实施内容及招标金额均为初步估算，最终以比选人在项目实施中确认的实施范围和内容为准。本工程项目如遇政策调整或比选人根据项目进展需要及实际情况等因素，比选人有权减少或调整工程实施范围及工程量等，最终实施范围及工程量，以工程实施中比选人确认的工程实施范围及工程量为准，比选人与中标人按照合同约定的计量计价原则进行支付和结算，中标人对此不持异议且不得提出任何费用索赔。竞标人将该因素综合考虑在投标报价中。</w:t>
      </w:r>
    </w:p>
    <w:p w14:paraId="0CB295D6">
      <w:pPr>
        <w:tabs>
          <w:tab w:val="left" w:pos="3840"/>
          <w:tab w:val="left" w:pos="5300"/>
        </w:tabs>
        <w:autoSpaceDE w:val="0"/>
        <w:autoSpaceDN w:val="0"/>
        <w:adjustRightInd w:val="0"/>
        <w:snapToGrid w:val="0"/>
        <w:spacing w:line="460" w:lineRule="exact"/>
        <w:ind w:firstLine="422" w:firstLineChars="200"/>
        <w:jc w:val="left"/>
        <w:rPr>
          <w:rFonts w:hint="eastAsia" w:ascii="宋体" w:hAnsi="宋体"/>
          <w:b/>
          <w:bCs/>
          <w:snapToGrid w:val="0"/>
          <w:color w:val="000000" w:themeColor="text1"/>
          <w:kern w:val="0"/>
          <w:szCs w:val="21"/>
          <w:highlight w:val="none"/>
          <w14:textFill>
            <w14:solidFill>
              <w14:schemeClr w14:val="tx1"/>
            </w14:solidFill>
          </w14:textFill>
        </w:rPr>
      </w:pPr>
      <w:r>
        <w:rPr>
          <w:rFonts w:hint="eastAsia" w:ascii="宋体" w:hAnsi="宋体"/>
          <w:b/>
          <w:bCs/>
          <w:snapToGrid w:val="0"/>
          <w:color w:val="000000" w:themeColor="text1"/>
          <w:kern w:val="0"/>
          <w:szCs w:val="21"/>
          <w:highlight w:val="none"/>
          <w14:textFill>
            <w14:solidFill>
              <w14:schemeClr w14:val="tx1"/>
            </w14:solidFill>
          </w14:textFill>
        </w:rPr>
        <w:t>3、竞选人资格要求</w:t>
      </w:r>
      <w:bookmarkEnd w:id="18"/>
      <w:bookmarkEnd w:id="19"/>
      <w:bookmarkEnd w:id="20"/>
    </w:p>
    <w:p w14:paraId="3A2AE7DE">
      <w:pPr>
        <w:widowControl/>
        <w:tabs>
          <w:tab w:val="center" w:pos="4620"/>
          <w:tab w:val="left" w:pos="8370"/>
        </w:tabs>
        <w:spacing w:line="360" w:lineRule="auto"/>
        <w:ind w:left="53" w:leftChars="25" w:firstLine="420" w:firstLineChars="200"/>
        <w:rPr>
          <w:rFonts w:hint="eastAsia" w:ascii="宋体" w:hAnsi="宋体" w:cs="宋体"/>
          <w:color w:val="000000" w:themeColor="text1"/>
          <w:szCs w:val="21"/>
          <w:highlight w:val="none"/>
          <w14:textFill>
            <w14:solidFill>
              <w14:schemeClr w14:val="tx1"/>
            </w14:solidFill>
          </w14:textFill>
        </w:rPr>
      </w:pPr>
      <w:bookmarkStart w:id="21" w:name="_Toc26534"/>
      <w:bookmarkStart w:id="22" w:name="_Toc29881"/>
      <w:bookmarkStart w:id="23" w:name="_Toc22348"/>
      <w:r>
        <w:rPr>
          <w:rFonts w:hint="eastAsia" w:ascii="宋体" w:hAnsi="宋体" w:cs="宋体"/>
          <w:color w:val="000000" w:themeColor="text1"/>
          <w:szCs w:val="21"/>
          <w:highlight w:val="none"/>
          <w14:textFill>
            <w14:solidFill>
              <w14:schemeClr w14:val="tx1"/>
            </w14:solidFill>
          </w14:textFill>
        </w:rPr>
        <w:t>3.1 本次招标要求竞选人须具备以下条件：</w:t>
      </w:r>
    </w:p>
    <w:p w14:paraId="1B0E012C">
      <w:pPr>
        <w:widowControl/>
        <w:tabs>
          <w:tab w:val="center" w:pos="4620"/>
          <w:tab w:val="left" w:pos="8370"/>
        </w:tabs>
        <w:spacing w:line="360" w:lineRule="auto"/>
        <w:ind w:left="53" w:leftChars="25"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3.1.1 本次比选要求竞选人具备有效的营业执照；</w:t>
      </w:r>
    </w:p>
    <w:p w14:paraId="034FC071">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3.1.2 本次比选要求参选人具备的业绩条件：竞选人202</w:t>
      </w:r>
      <w:r>
        <w:rPr>
          <w:rFonts w:hint="eastAsia" w:ascii="宋体" w:hAnsi="宋体"/>
          <w:color w:val="000000" w:themeColor="text1"/>
          <w:szCs w:val="21"/>
          <w:highlight w:val="none"/>
          <w:lang w:val="en-US"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年1月1曰至今（以签订合同时间为准），至少具有一个总投资</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000万元及以上的</w:t>
      </w:r>
      <w:r>
        <w:rPr>
          <w:rFonts w:hint="eastAsia" w:ascii="宋体" w:hAnsi="宋体"/>
          <w:color w:val="000000" w:themeColor="text1"/>
          <w:szCs w:val="21"/>
          <w:highlight w:val="none"/>
          <w:lang w:val="en-US" w:eastAsia="zh-CN"/>
          <w14:textFill>
            <w14:solidFill>
              <w14:schemeClr w14:val="tx1"/>
            </w14:solidFill>
          </w14:textFill>
        </w:rPr>
        <w:t>预算评审业绩或</w:t>
      </w:r>
      <w:r>
        <w:rPr>
          <w:rFonts w:hint="eastAsia" w:ascii="宋体" w:hAnsi="宋体"/>
          <w:color w:val="000000" w:themeColor="text1"/>
          <w:szCs w:val="21"/>
          <w:highlight w:val="none"/>
          <w14:textFill>
            <w14:solidFill>
              <w14:schemeClr w14:val="tx1"/>
            </w14:solidFill>
          </w14:textFill>
        </w:rPr>
        <w:t>全过程造价咨询或全过程跟踪审计业绩；</w:t>
      </w:r>
    </w:p>
    <w:p w14:paraId="25965F28">
      <w:pPr>
        <w:widowControl/>
        <w:tabs>
          <w:tab w:val="center" w:pos="4620"/>
          <w:tab w:val="left" w:pos="8370"/>
        </w:tabs>
        <w:spacing w:line="360" w:lineRule="auto"/>
        <w:ind w:left="53" w:leftChars="25"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 xml:space="preserve"> 竞选人还应在人员、业绩、设备、资金等方面具有相应的能力，详见比选文件第二章竞选人须知前附表第1.4.1项内容。</w:t>
      </w:r>
    </w:p>
    <w:p w14:paraId="14CD4C8A">
      <w:pPr>
        <w:tabs>
          <w:tab w:val="left" w:pos="3045"/>
          <w:tab w:val="left" w:pos="8310"/>
        </w:tabs>
        <w:autoSpaceDE w:val="0"/>
        <w:autoSpaceDN w:val="0"/>
        <w:adjustRightInd w:val="0"/>
        <w:snapToGrid w:val="0"/>
        <w:spacing w:line="420" w:lineRule="exact"/>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  本次比选不接受联合体竞选。</w:t>
      </w:r>
    </w:p>
    <w:p w14:paraId="22FE0DCC">
      <w:pPr>
        <w:pStyle w:val="25"/>
        <w:widowControl/>
        <w:snapToGrid w:val="0"/>
        <w:spacing w:beforeAutospacing="0" w:afterAutospacing="0" w:line="420" w:lineRule="exact"/>
        <w:ind w:firstLine="442" w:firstLineChars="200"/>
        <w:rPr>
          <w:rFonts w:hint="eastAsia" w:ascii="宋体" w:hAnsi="宋体" w:cs="宋体"/>
          <w:snapToGrid w:val="0"/>
          <w:color w:val="000000" w:themeColor="text1"/>
          <w:sz w:val="22"/>
          <w:szCs w:val="22"/>
          <w:highlight w:val="none"/>
          <w14:textFill>
            <w14:solidFill>
              <w14:schemeClr w14:val="tx1"/>
            </w14:solidFill>
          </w14:textFill>
        </w:rPr>
      </w:pPr>
      <w:r>
        <w:rPr>
          <w:rFonts w:hint="eastAsia" w:ascii="宋体" w:hAnsi="宋体" w:cs="宋体"/>
          <w:b/>
          <w:bCs/>
          <w:snapToGrid w:val="0"/>
          <w:color w:val="000000" w:themeColor="text1"/>
          <w:sz w:val="22"/>
          <w:szCs w:val="22"/>
          <w:highlight w:val="none"/>
          <w14:textFill>
            <w14:solidFill>
              <w14:schemeClr w14:val="tx1"/>
            </w14:solidFill>
          </w14:textFill>
        </w:rPr>
        <w:t>4、比选文件的获取</w:t>
      </w:r>
    </w:p>
    <w:p w14:paraId="7A430E57">
      <w:pPr>
        <w:tabs>
          <w:tab w:val="left" w:pos="3315"/>
          <w:tab w:val="left" w:pos="3390"/>
          <w:tab w:val="left" w:pos="6120"/>
          <w:tab w:val="left" w:pos="8850"/>
        </w:tabs>
        <w:autoSpaceDE w:val="0"/>
        <w:autoSpaceDN w:val="0"/>
        <w:adjustRightInd w:val="0"/>
        <w:snapToGrid w:val="0"/>
        <w:spacing w:line="460" w:lineRule="exact"/>
        <w:ind w:firstLine="420"/>
        <w:jc w:val="both"/>
        <w:rPr>
          <w:rFonts w:hint="eastAsia" w:ascii="宋体" w:hAnsi="宋体"/>
          <w:snapToGrid w:val="0"/>
          <w:color w:val="000000" w:themeColor="text1"/>
          <w:kern w:val="0"/>
          <w:szCs w:val="21"/>
          <w:highlight w:val="none"/>
          <w:lang w:eastAsia="zh-CN"/>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4.1</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应通</w:t>
      </w:r>
      <w:r>
        <w:rPr>
          <w:rFonts w:hint="eastAsia" w:ascii="宋体" w:hAnsi="宋体"/>
          <w:snapToGrid w:val="0"/>
          <w:color w:val="000000" w:themeColor="text1"/>
          <w:kern w:val="0"/>
          <w:szCs w:val="21"/>
          <w:highlight w:val="none"/>
          <w:lang w:eastAsia="zh-CN"/>
          <w14:textFill>
            <w14:solidFill>
              <w14:schemeClr w14:val="tx1"/>
            </w14:solidFill>
          </w14:textFill>
        </w:rPr>
        <w:t>过行采家网（http://www.gec123.com）及中国招标投标公共服务平台（http://www.cebpubservice.com/）进行注册。</w:t>
      </w:r>
    </w:p>
    <w:p w14:paraId="798A0E0C">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4.2凡有意参加比选的</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，请于</w:t>
      </w:r>
      <w:r>
        <w:rPr>
          <w:rFonts w:hint="eastAsia" w:ascii="宋体" w:hAnsi="宋体"/>
          <w:snapToGrid w:val="0"/>
          <w:color w:val="000000" w:themeColor="text1"/>
          <w:kern w:val="0"/>
          <w:szCs w:val="21"/>
          <w:highlight w:val="none"/>
          <w:lang w:eastAsia="zh-CN"/>
          <w14:textFill>
            <w14:solidFill>
              <w14:schemeClr w14:val="tx1"/>
            </w14:solidFill>
          </w14:textFill>
        </w:rPr>
        <w:t>2025年</w:t>
      </w:r>
      <w:r>
        <w:rPr>
          <w:rFonts w:hint="eastAsia" w:ascii="宋体" w:hAnsi="宋体"/>
          <w:snapToGrid w:val="0"/>
          <w:color w:val="000000" w:themeColor="text1"/>
          <w:kern w:val="0"/>
          <w:szCs w:val="21"/>
          <w:highlight w:val="none"/>
          <w:lang w:val="en-US" w:eastAsia="zh-CN"/>
          <w14:textFill>
            <w14:solidFill>
              <w14:schemeClr w14:val="tx1"/>
            </w14:solidFill>
          </w14:textFill>
        </w:rPr>
        <w:t>6</w:t>
      </w:r>
      <w:r>
        <w:rPr>
          <w:rFonts w:hint="eastAsia" w:ascii="宋体" w:hAnsi="宋体"/>
          <w:snapToGrid w:val="0"/>
          <w:color w:val="000000" w:themeColor="text1"/>
          <w:kern w:val="0"/>
          <w:szCs w:val="21"/>
          <w:highlight w:val="none"/>
          <w14:textFill>
            <w14:solidFill>
              <w14:schemeClr w14:val="tx1"/>
            </w14:solidFill>
          </w14:textFill>
        </w:rPr>
        <w:t>月</w:t>
      </w:r>
      <w:r>
        <w:rPr>
          <w:rFonts w:hint="eastAsia" w:ascii="宋体" w:hAnsi="宋体"/>
          <w:snapToGrid w:val="0"/>
          <w:color w:val="000000" w:themeColor="text1"/>
          <w:kern w:val="0"/>
          <w:szCs w:val="21"/>
          <w:highlight w:val="none"/>
          <w:lang w:val="en-US" w:eastAsia="zh-CN"/>
          <w14:textFill>
            <w14:solidFill>
              <w14:schemeClr w14:val="tx1"/>
            </w14:solidFill>
          </w14:textFill>
        </w:rPr>
        <w:t>6</w:t>
      </w:r>
      <w:r>
        <w:rPr>
          <w:rFonts w:hint="eastAsia"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lang w:eastAsia="zh-CN"/>
          <w14:textFill>
            <w14:solidFill>
              <w14:schemeClr w14:val="tx1"/>
            </w14:solidFill>
          </w14:textFill>
        </w:rPr>
        <w:t>2025年</w:t>
      </w:r>
      <w:r>
        <w:rPr>
          <w:rFonts w:hint="eastAsia" w:ascii="宋体" w:hAnsi="宋体"/>
          <w:snapToGrid w:val="0"/>
          <w:color w:val="000000" w:themeColor="text1"/>
          <w:kern w:val="0"/>
          <w:szCs w:val="21"/>
          <w:highlight w:val="none"/>
          <w:lang w:val="en-US" w:eastAsia="zh-CN"/>
          <w14:textFill>
            <w14:solidFill>
              <w14:schemeClr w14:val="tx1"/>
            </w14:solidFill>
          </w14:textFill>
        </w:rPr>
        <w:t>6</w:t>
      </w:r>
      <w:r>
        <w:rPr>
          <w:rFonts w:hint="eastAsia" w:ascii="宋体" w:hAnsi="宋体"/>
          <w:snapToGrid w:val="0"/>
          <w:color w:val="000000" w:themeColor="text1"/>
          <w:kern w:val="0"/>
          <w:szCs w:val="21"/>
          <w:highlight w:val="none"/>
          <w14:textFill>
            <w14:solidFill>
              <w14:schemeClr w14:val="tx1"/>
            </w14:solidFill>
          </w14:textFill>
        </w:rPr>
        <w:t>月</w:t>
      </w:r>
      <w:r>
        <w:rPr>
          <w:rFonts w:hint="eastAsia" w:ascii="宋体" w:hAnsi="宋体"/>
          <w:snapToGrid w:val="0"/>
          <w:color w:val="000000" w:themeColor="text1"/>
          <w:kern w:val="0"/>
          <w:szCs w:val="21"/>
          <w:highlight w:val="none"/>
          <w:lang w:val="en-US" w:eastAsia="zh-CN"/>
          <w14:textFill>
            <w14:solidFill>
              <w14:schemeClr w14:val="tx1"/>
            </w14:solidFill>
          </w14:textFill>
        </w:rPr>
        <w:t>11</w:t>
      </w:r>
      <w:r>
        <w:rPr>
          <w:rFonts w:hint="eastAsia" w:ascii="宋体" w:hAnsi="宋体"/>
          <w:snapToGrid w:val="0"/>
          <w:color w:val="000000" w:themeColor="text1"/>
          <w:kern w:val="0"/>
          <w:szCs w:val="21"/>
          <w:highlight w:val="none"/>
          <w14:textFill>
            <w14:solidFill>
              <w14:schemeClr w14:val="tx1"/>
            </w14:solidFill>
          </w14:textFill>
        </w:rPr>
        <w:t>日（9:00-17:00）内完成报名，未在规定时间内完成报名不得参与竞标。报名方式为：</w:t>
      </w:r>
    </w:p>
    <w:p w14:paraId="4049D8AC">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4.2.1比选文件售价：300元/标段（售后不退）</w:t>
      </w:r>
    </w:p>
    <w:p w14:paraId="6C0A1121">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4.2.2潜在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将《比选文件发售登记表》（加盖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公章）及标书费转账凭证扫描后发送至hulin@cqchinabase.com。</w:t>
      </w:r>
    </w:p>
    <w:p w14:paraId="5940063D">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4.2.3收款账户：</w:t>
      </w:r>
    </w:p>
    <w:p w14:paraId="083C37B1">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户  名：重庆市中基致信招标代理有限公司</w:t>
      </w:r>
    </w:p>
    <w:p w14:paraId="09313980">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开户行：中国银行重庆江北支行</w:t>
      </w:r>
    </w:p>
    <w:p w14:paraId="40779FD1">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账  号：1144 6718 4234</w:t>
      </w:r>
    </w:p>
    <w:p w14:paraId="483AF73B">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4.3潜在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请在行采家网及中国招标投标公共服务平台上下载本项目竞争性比选文件以及补遗等开标前公布的所有项目资料，无论</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下载与否，均视为已知晓所有比选内容。</w:t>
      </w:r>
    </w:p>
    <w:p w14:paraId="72E392DF">
      <w:pPr>
        <w:pStyle w:val="25"/>
        <w:widowControl/>
        <w:snapToGrid w:val="0"/>
        <w:spacing w:beforeAutospacing="0" w:afterAutospacing="0" w:line="420" w:lineRule="exact"/>
        <w:ind w:firstLine="442" w:firstLineChars="200"/>
        <w:jc w:val="both"/>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b/>
          <w:snapToGrid w:val="0"/>
          <w:color w:val="000000" w:themeColor="text1"/>
          <w:sz w:val="22"/>
          <w:szCs w:val="22"/>
          <w:highlight w:val="none"/>
          <w14:textFill>
            <w14:solidFill>
              <w14:schemeClr w14:val="tx1"/>
            </w14:solidFill>
          </w14:textFill>
        </w:rPr>
        <w:t>5、竞选文件的递交</w:t>
      </w:r>
    </w:p>
    <w:p w14:paraId="33B17669">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5.1递交竞选文件的时间为:</w:t>
      </w:r>
      <w:r>
        <w:rPr>
          <w:rFonts w:hint="eastAsia" w:ascii="宋体" w:hAnsi="宋体"/>
          <w:snapToGrid w:val="0"/>
          <w:color w:val="000000" w:themeColor="text1"/>
          <w:kern w:val="0"/>
          <w:szCs w:val="21"/>
          <w:highlight w:val="none"/>
          <w:lang w:eastAsia="zh-CN"/>
          <w14:textFill>
            <w14:solidFill>
              <w14:schemeClr w14:val="tx1"/>
            </w14:solidFill>
          </w14:textFill>
        </w:rPr>
        <w:t>2025年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 xml:space="preserve">6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月</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 xml:space="preserve">12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lang w:val="en-US" w:eastAsia="zh-CN"/>
          <w14:textFill>
            <w14:solidFill>
              <w14:schemeClr w14:val="tx1"/>
            </w14:solidFill>
          </w14:textFill>
        </w:rPr>
        <w:t>9</w:t>
      </w:r>
      <w:r>
        <w:rPr>
          <w:rFonts w:hint="eastAsia" w:ascii="宋体" w:hAnsi="宋体"/>
          <w:snapToGrid w:val="0"/>
          <w:color w:val="000000" w:themeColor="text1"/>
          <w:kern w:val="0"/>
          <w:szCs w:val="21"/>
          <w:highlight w:val="none"/>
          <w14:textFill>
            <w14:solidFill>
              <w14:schemeClr w14:val="tx1"/>
            </w14:solidFill>
          </w14:textFill>
        </w:rPr>
        <w:t>时</w:t>
      </w:r>
      <w:r>
        <w:rPr>
          <w:rFonts w:hint="eastAsia" w:ascii="宋体" w:hAnsi="宋体"/>
          <w:snapToGrid w:val="0"/>
          <w:color w:val="000000" w:themeColor="text1"/>
          <w:kern w:val="0"/>
          <w:szCs w:val="21"/>
          <w:highlight w:val="none"/>
          <w:lang w:val="en-US" w:eastAsia="zh-CN"/>
          <w14:textFill>
            <w14:solidFill>
              <w14:schemeClr w14:val="tx1"/>
            </w14:solidFill>
          </w14:textFill>
        </w:rPr>
        <w:t>30</w:t>
      </w:r>
      <w:r>
        <w:rPr>
          <w:rFonts w:hint="eastAsia" w:ascii="宋体" w:hAnsi="宋体"/>
          <w:snapToGrid w:val="0"/>
          <w:color w:val="000000" w:themeColor="text1"/>
          <w:kern w:val="0"/>
          <w:szCs w:val="21"/>
          <w:highlight w:val="none"/>
          <w14:textFill>
            <w14:solidFill>
              <w14:schemeClr w14:val="tx1"/>
            </w14:solidFill>
          </w14:textFill>
        </w:rPr>
        <w:t>分至1</w:t>
      </w:r>
      <w:r>
        <w:rPr>
          <w:rFonts w:hint="eastAsia" w:ascii="宋体" w:hAnsi="宋体"/>
          <w:snapToGrid w:val="0"/>
          <w:color w:val="000000" w:themeColor="text1"/>
          <w:kern w:val="0"/>
          <w:szCs w:val="21"/>
          <w:highlight w:val="none"/>
          <w:lang w:val="en-US" w:eastAsia="zh-CN"/>
          <w14:textFill>
            <w14:solidFill>
              <w14:schemeClr w14:val="tx1"/>
            </w14:solidFill>
          </w14:textFill>
        </w:rPr>
        <w:t>0</w:t>
      </w:r>
      <w:r>
        <w:rPr>
          <w:rFonts w:hint="eastAsia" w:ascii="宋体" w:hAnsi="宋体"/>
          <w:snapToGrid w:val="0"/>
          <w:color w:val="000000" w:themeColor="text1"/>
          <w:kern w:val="0"/>
          <w:szCs w:val="21"/>
          <w:highlight w:val="none"/>
          <w14:textFill>
            <w14:solidFill>
              <w14:schemeClr w14:val="tx1"/>
            </w14:solidFill>
          </w14:textFill>
        </w:rPr>
        <w:t>时</w:t>
      </w:r>
      <w:r>
        <w:rPr>
          <w:rFonts w:hint="eastAsia" w:ascii="宋体" w:hAnsi="宋体"/>
          <w:snapToGrid w:val="0"/>
          <w:color w:val="000000" w:themeColor="text1"/>
          <w:kern w:val="0"/>
          <w:szCs w:val="21"/>
          <w:highlight w:val="none"/>
          <w:lang w:val="en-US" w:eastAsia="zh-CN"/>
          <w14:textFill>
            <w14:solidFill>
              <w14:schemeClr w14:val="tx1"/>
            </w14:solidFill>
          </w14:textFill>
        </w:rPr>
        <w:t>0</w:t>
      </w:r>
      <w:r>
        <w:rPr>
          <w:rFonts w:hint="eastAsia" w:ascii="宋体" w:hAnsi="宋体"/>
          <w:snapToGrid w:val="0"/>
          <w:color w:val="000000" w:themeColor="text1"/>
          <w:kern w:val="0"/>
          <w:szCs w:val="21"/>
          <w:highlight w:val="none"/>
          <w14:textFill>
            <w14:solidFill>
              <w14:schemeClr w14:val="tx1"/>
            </w14:solidFill>
          </w14:textFill>
        </w:rPr>
        <w:t>0分（北京时间），比选时间：</w:t>
      </w:r>
      <w:r>
        <w:rPr>
          <w:rFonts w:hint="eastAsia" w:ascii="宋体" w:hAnsi="宋体"/>
          <w:snapToGrid w:val="0"/>
          <w:color w:val="000000" w:themeColor="text1"/>
          <w:kern w:val="0"/>
          <w:szCs w:val="21"/>
          <w:highlight w:val="none"/>
          <w:lang w:eastAsia="zh-CN"/>
          <w14:textFill>
            <w14:solidFill>
              <w14:schemeClr w14:val="tx1"/>
            </w14:solidFill>
          </w14:textFill>
        </w:rPr>
        <w:t>2025年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6</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月</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12</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日1</w:t>
      </w:r>
      <w:r>
        <w:rPr>
          <w:rFonts w:hint="eastAsia" w:ascii="宋体" w:hAnsi="宋体"/>
          <w:snapToGrid w:val="0"/>
          <w:color w:val="000000" w:themeColor="text1"/>
          <w:kern w:val="0"/>
          <w:szCs w:val="21"/>
          <w:highlight w:val="none"/>
          <w:lang w:val="en-US" w:eastAsia="zh-CN"/>
          <w14:textFill>
            <w14:solidFill>
              <w14:schemeClr w14:val="tx1"/>
            </w14:solidFill>
          </w14:textFill>
        </w:rPr>
        <w:t>0</w:t>
      </w:r>
      <w:r>
        <w:rPr>
          <w:rFonts w:hint="eastAsia" w:ascii="宋体" w:hAnsi="宋体"/>
          <w:snapToGrid w:val="0"/>
          <w:color w:val="000000" w:themeColor="text1"/>
          <w:kern w:val="0"/>
          <w:szCs w:val="21"/>
          <w:highlight w:val="none"/>
          <w14:textFill>
            <w14:solidFill>
              <w14:schemeClr w14:val="tx1"/>
            </w14:solidFill>
          </w14:textFill>
        </w:rPr>
        <w:t>时</w:t>
      </w:r>
      <w:r>
        <w:rPr>
          <w:rFonts w:hint="eastAsia" w:ascii="宋体" w:hAnsi="宋体"/>
          <w:snapToGrid w:val="0"/>
          <w:color w:val="000000" w:themeColor="text1"/>
          <w:kern w:val="0"/>
          <w:szCs w:val="21"/>
          <w:highlight w:val="none"/>
          <w:lang w:val="en-US" w:eastAsia="zh-CN"/>
          <w14:textFill>
            <w14:solidFill>
              <w14:schemeClr w14:val="tx1"/>
            </w14:solidFill>
          </w14:textFill>
        </w:rPr>
        <w:t>0</w:t>
      </w:r>
      <w:r>
        <w:rPr>
          <w:rFonts w:hint="eastAsia" w:ascii="宋体" w:hAnsi="宋体"/>
          <w:snapToGrid w:val="0"/>
          <w:color w:val="000000" w:themeColor="text1"/>
          <w:kern w:val="0"/>
          <w:szCs w:val="21"/>
          <w:highlight w:val="none"/>
          <w14:textFill>
            <w14:solidFill>
              <w14:schemeClr w14:val="tx1"/>
            </w14:solidFill>
          </w14:textFill>
        </w:rPr>
        <w:t>0分，地点为:重庆市南岸区广福大道南岸行政中心B区3号楼2</w:t>
      </w:r>
      <w:r>
        <w:rPr>
          <w:rFonts w:hint="eastAsia" w:ascii="宋体" w:hAnsi="宋体"/>
          <w:snapToGrid w:val="0"/>
          <w:color w:val="000000" w:themeColor="text1"/>
          <w:kern w:val="0"/>
          <w:szCs w:val="21"/>
          <w:highlight w:val="none"/>
          <w:lang w:val="en-US" w:eastAsia="zh-CN"/>
          <w14:textFill>
            <w14:solidFill>
              <w14:schemeClr w14:val="tx1"/>
            </w14:solidFill>
          </w14:textFill>
        </w:rPr>
        <w:t>0</w:t>
      </w:r>
      <w:r>
        <w:rPr>
          <w:rFonts w:hint="eastAsia" w:ascii="宋体" w:hAnsi="宋体"/>
          <w:snapToGrid w:val="0"/>
          <w:color w:val="000000" w:themeColor="text1"/>
          <w:kern w:val="0"/>
          <w:szCs w:val="21"/>
          <w:highlight w:val="none"/>
          <w14:textFill>
            <w14:solidFill>
              <w14:schemeClr w14:val="tx1"/>
            </w14:solidFill>
          </w14:textFill>
        </w:rPr>
        <w:t>层</w:t>
      </w:r>
      <w:r>
        <w:rPr>
          <w:rFonts w:hint="eastAsia" w:ascii="宋体" w:hAnsi="宋体"/>
          <w:snapToGrid w:val="0"/>
          <w:color w:val="000000" w:themeColor="text1"/>
          <w:kern w:val="0"/>
          <w:szCs w:val="21"/>
          <w:highlight w:val="none"/>
          <w:lang w:eastAsia="zh-CN"/>
          <w14:textFill>
            <w14:solidFill>
              <w14:schemeClr w14:val="tx1"/>
            </w14:solidFill>
          </w14:textFill>
        </w:rPr>
        <w:t>2012</w:t>
      </w:r>
      <w:r>
        <w:rPr>
          <w:rFonts w:hint="eastAsia" w:ascii="宋体" w:hAnsi="宋体"/>
          <w:snapToGrid w:val="0"/>
          <w:color w:val="000000" w:themeColor="text1"/>
          <w:kern w:val="0"/>
          <w:szCs w:val="21"/>
          <w:highlight w:val="none"/>
          <w14:textFill>
            <w14:solidFill>
              <w14:schemeClr w14:val="tx1"/>
            </w14:solidFill>
          </w14:textFill>
        </w:rPr>
        <w:t>室。</w:t>
      </w:r>
    </w:p>
    <w:p w14:paraId="56012969">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5.2 逾期送达的或者未送达指定地点的竞选文件，比选人不予受理。</w:t>
      </w:r>
    </w:p>
    <w:p w14:paraId="270E4E1D">
      <w:pPr>
        <w:pStyle w:val="25"/>
        <w:widowControl/>
        <w:snapToGrid w:val="0"/>
        <w:spacing w:beforeAutospacing="0" w:afterAutospacing="0" w:line="420" w:lineRule="exact"/>
        <w:ind w:firstLine="442" w:firstLineChars="200"/>
        <w:jc w:val="both"/>
        <w:rPr>
          <w:rFonts w:hint="eastAsia" w:ascii="宋体" w:hAnsi="宋体" w:cs="宋体"/>
          <w:b/>
          <w:snapToGrid w:val="0"/>
          <w:color w:val="000000" w:themeColor="text1"/>
          <w:sz w:val="22"/>
          <w:szCs w:val="22"/>
          <w:highlight w:val="none"/>
          <w14:textFill>
            <w14:solidFill>
              <w14:schemeClr w14:val="tx1"/>
            </w14:solidFill>
          </w14:textFill>
        </w:rPr>
      </w:pPr>
      <w:r>
        <w:rPr>
          <w:rFonts w:hint="eastAsia" w:ascii="宋体" w:hAnsi="宋体" w:cs="宋体"/>
          <w:b/>
          <w:snapToGrid w:val="0"/>
          <w:color w:val="000000" w:themeColor="text1"/>
          <w:sz w:val="22"/>
          <w:szCs w:val="22"/>
          <w:highlight w:val="none"/>
          <w14:textFill>
            <w14:solidFill>
              <w14:schemeClr w14:val="tx1"/>
            </w14:solidFill>
          </w14:textFill>
        </w:rPr>
        <w:t>6、发布公告的媒介</w:t>
      </w:r>
    </w:p>
    <w:p w14:paraId="24485C4E">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本次比选公告同时在“行采家”网（http://www.gec123.com）及中国招标投标公共服务平台（http://www.cebpubservice.com/）上发布。</w:t>
      </w:r>
    </w:p>
    <w:p w14:paraId="68920850">
      <w:pPr>
        <w:pStyle w:val="25"/>
        <w:widowControl/>
        <w:snapToGrid w:val="0"/>
        <w:spacing w:beforeAutospacing="0" w:afterAutospacing="0" w:line="420" w:lineRule="exact"/>
        <w:ind w:firstLine="442" w:firstLineChars="200"/>
        <w:jc w:val="both"/>
        <w:rPr>
          <w:rFonts w:hint="eastAsia" w:ascii="宋体" w:hAnsi="宋体"/>
          <w:color w:val="000000" w:themeColor="text1"/>
          <w:highlight w:val="none"/>
          <w14:textFill>
            <w14:solidFill>
              <w14:schemeClr w14:val="tx1"/>
            </w14:solidFill>
          </w14:textFill>
        </w:rPr>
      </w:pPr>
      <w:r>
        <w:rPr>
          <w:rFonts w:hint="eastAsia" w:ascii="宋体" w:hAnsi="宋体" w:cs="宋体"/>
          <w:b/>
          <w:snapToGrid w:val="0"/>
          <w:color w:val="000000" w:themeColor="text1"/>
          <w:sz w:val="22"/>
          <w:szCs w:val="22"/>
          <w:highlight w:val="none"/>
          <w14:textFill>
            <w14:solidFill>
              <w14:schemeClr w14:val="tx1"/>
            </w14:solidFill>
          </w14:textFill>
        </w:rPr>
        <w:t>7、联系方式</w:t>
      </w:r>
    </w:p>
    <w:bookmarkEnd w:id="14"/>
    <w:bookmarkEnd w:id="21"/>
    <w:bookmarkEnd w:id="22"/>
    <w:bookmarkEnd w:id="23"/>
    <w:p w14:paraId="0E16D7B7">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bookmarkStart w:id="24" w:name="_Toc1178"/>
      <w:bookmarkStart w:id="25" w:name="_Toc287607744"/>
      <w:bookmarkStart w:id="26" w:name="_Toc224103315"/>
      <w:bookmarkStart w:id="27" w:name="_Toc30449"/>
      <w:bookmarkStart w:id="28" w:name="_Toc430530432"/>
      <w:bookmarkStart w:id="29" w:name="_Toc287620683"/>
      <w:r>
        <w:rPr>
          <w:rFonts w:hint="eastAsia" w:ascii="宋体" w:hAnsi="宋体" w:cs="宋体"/>
          <w:snapToGrid w:val="0"/>
          <w:color w:val="000000" w:themeColor="text1"/>
          <w:sz w:val="21"/>
          <w:szCs w:val="21"/>
          <w:highlight w:val="none"/>
          <w14:textFill>
            <w14:solidFill>
              <w14:schemeClr w14:val="tx1"/>
            </w14:solidFill>
          </w14:textFill>
        </w:rPr>
        <w:t>比选人：重庆市南岸区城市建设发展（集团）有限公司</w:t>
      </w:r>
    </w:p>
    <w:p w14:paraId="1D5E4E11">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联系人：李老师</w:t>
      </w:r>
    </w:p>
    <w:p w14:paraId="45E599B3">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 xml:space="preserve">电 </w:t>
      </w:r>
      <w:r>
        <w:rPr>
          <w:rFonts w:ascii="宋体" w:hAnsi="宋体" w:cs="宋体"/>
          <w:snapToGrid w:val="0"/>
          <w:color w:val="000000" w:themeColor="text1"/>
          <w:sz w:val="21"/>
          <w:szCs w:val="21"/>
          <w:highlight w:val="none"/>
          <w14:textFill>
            <w14:solidFill>
              <w14:schemeClr w14:val="tx1"/>
            </w14:solidFill>
          </w14:textFill>
        </w:rPr>
        <w:t xml:space="preserve"> </w:t>
      </w:r>
      <w:r>
        <w:rPr>
          <w:rFonts w:hint="eastAsia" w:ascii="宋体" w:hAnsi="宋体" w:cs="宋体"/>
          <w:snapToGrid w:val="0"/>
          <w:color w:val="000000" w:themeColor="text1"/>
          <w:sz w:val="21"/>
          <w:szCs w:val="21"/>
          <w:highlight w:val="none"/>
          <w14:textFill>
            <w14:solidFill>
              <w14:schemeClr w14:val="tx1"/>
            </w14:solidFill>
          </w14:textFill>
        </w:rPr>
        <w:t>话：023-</w:t>
      </w:r>
      <w:r>
        <w:rPr>
          <w:rFonts w:ascii="宋体" w:hAnsi="宋体" w:cs="宋体"/>
          <w:snapToGrid w:val="0"/>
          <w:color w:val="000000" w:themeColor="text1"/>
          <w:sz w:val="21"/>
          <w:szCs w:val="21"/>
          <w:highlight w:val="none"/>
          <w14:textFill>
            <w14:solidFill>
              <w14:schemeClr w14:val="tx1"/>
            </w14:solidFill>
          </w14:textFill>
        </w:rPr>
        <w:t>62905607</w:t>
      </w:r>
    </w:p>
    <w:p w14:paraId="1446325C">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 xml:space="preserve">地 </w:t>
      </w:r>
      <w:r>
        <w:rPr>
          <w:rFonts w:ascii="宋体" w:hAnsi="宋体" w:cs="宋体"/>
          <w:snapToGrid w:val="0"/>
          <w:color w:val="000000" w:themeColor="text1"/>
          <w:sz w:val="21"/>
          <w:szCs w:val="21"/>
          <w:highlight w:val="none"/>
          <w14:textFill>
            <w14:solidFill>
              <w14:schemeClr w14:val="tx1"/>
            </w14:solidFill>
          </w14:textFill>
        </w:rPr>
        <w:t xml:space="preserve"> </w:t>
      </w:r>
      <w:r>
        <w:rPr>
          <w:rFonts w:hint="eastAsia" w:ascii="宋体" w:hAnsi="宋体" w:cs="宋体"/>
          <w:snapToGrid w:val="0"/>
          <w:color w:val="000000" w:themeColor="text1"/>
          <w:sz w:val="21"/>
          <w:szCs w:val="21"/>
          <w:highlight w:val="none"/>
          <w14:textFill>
            <w14:solidFill>
              <w14:schemeClr w14:val="tx1"/>
            </w14:solidFill>
          </w14:textFill>
        </w:rPr>
        <w:t>址：重庆市南岸区广福大道南岸行政中心B区3号楼</w:t>
      </w:r>
    </w:p>
    <w:p w14:paraId="6406AE17">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比选代理机构：重庆市中基致信招标代理有限公司</w:t>
      </w:r>
    </w:p>
    <w:p w14:paraId="6F518ACF">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联系人：游建伟、胡琳</w:t>
      </w:r>
    </w:p>
    <w:p w14:paraId="26471AF7">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电  话：023-88758847、88758852</w:t>
      </w:r>
      <w:bookmarkStart w:id="803" w:name="_GoBack"/>
      <w:bookmarkEnd w:id="803"/>
    </w:p>
    <w:p w14:paraId="10E241A3">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传  真：023-88505947</w:t>
      </w:r>
    </w:p>
    <w:p w14:paraId="52FCBDC4">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地  址：重庆市渝北区财富大道2号财富大厦A座9楼</w:t>
      </w:r>
      <w:r>
        <w:rPr>
          <w:rFonts w:ascii="宋体" w:hAnsi="宋体" w:cs="宋体"/>
          <w:snapToGrid w:val="0"/>
          <w:color w:val="000000" w:themeColor="text1"/>
          <w:sz w:val="21"/>
          <w:szCs w:val="21"/>
          <w:highlight w:val="none"/>
          <w14:textFill>
            <w14:solidFill>
              <w14:schemeClr w14:val="tx1"/>
            </w14:solidFill>
          </w14:textFill>
        </w:rPr>
        <w:t xml:space="preserve"> </w:t>
      </w:r>
    </w:p>
    <w:p w14:paraId="07999C74">
      <w:pPr>
        <w:tabs>
          <w:tab w:val="left" w:pos="5140"/>
          <w:tab w:val="left" w:pos="8420"/>
        </w:tabs>
        <w:autoSpaceDE w:val="0"/>
        <w:autoSpaceDN w:val="0"/>
        <w:adjustRightInd w:val="0"/>
        <w:snapToGrid w:val="0"/>
        <w:spacing w:line="420" w:lineRule="exact"/>
        <w:ind w:firstLine="420" w:firstLineChars="200"/>
        <w:jc w:val="right"/>
        <w:rPr>
          <w:rFonts w:hint="eastAsia" w:ascii="宋体" w:hAnsi="宋体" w:cs="宋体"/>
          <w:snapToGrid w:val="0"/>
          <w:color w:val="000000" w:themeColor="text1"/>
          <w:kern w:val="0"/>
          <w:szCs w:val="21"/>
          <w:highlight w:val="none"/>
          <w14:textFill>
            <w14:solidFill>
              <w14:schemeClr w14:val="tx1"/>
            </w14:solidFill>
          </w14:textFill>
        </w:rPr>
      </w:pPr>
      <w:r>
        <w:rPr>
          <w:rFonts w:ascii="宋体" w:hAnsi="宋体" w:cs="宋体"/>
          <w:snapToGrid w:val="0"/>
          <w:color w:val="000000" w:themeColor="text1"/>
          <w:kern w:val="0"/>
          <w:highlight w:val="none"/>
          <w14:textFill>
            <w14:solidFill>
              <w14:schemeClr w14:val="tx1"/>
            </w14:solidFill>
          </w14:textFill>
        </w:rPr>
        <w:br w:type="page"/>
      </w:r>
    </w:p>
    <w:p w14:paraId="2B13CDD5">
      <w:pPr>
        <w:pStyle w:val="2"/>
        <w:spacing w:before="0" w:after="0" w:line="360" w:lineRule="auto"/>
        <w:jc w:val="center"/>
        <w:rPr>
          <w:rFonts w:hint="eastAsia" w:ascii="宋体" w:hAnsi="宋体" w:cs="宋体"/>
          <w:bCs w:val="0"/>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第二章  竞选人须知</w:t>
      </w:r>
      <w:bookmarkEnd w:id="24"/>
      <w:bookmarkEnd w:id="25"/>
      <w:bookmarkEnd w:id="26"/>
      <w:bookmarkEnd w:id="27"/>
      <w:bookmarkEnd w:id="28"/>
      <w:bookmarkEnd w:id="29"/>
      <w:bookmarkStart w:id="30" w:name="_Toc277082551"/>
      <w:bookmarkStart w:id="31" w:name="_Toc430530433"/>
      <w:bookmarkStart w:id="32" w:name="_Toc287607745"/>
      <w:bookmarkStart w:id="33" w:name="_Toc224103316"/>
      <w:bookmarkStart w:id="34" w:name="_Toc287620684"/>
    </w:p>
    <w:p w14:paraId="31CC26FE">
      <w:pPr>
        <w:pStyle w:val="3"/>
        <w:spacing w:before="100" w:after="100" w:line="360" w:lineRule="auto"/>
        <w:rPr>
          <w:rFonts w:hint="eastAsia" w:ascii="宋体" w:hAnsi="宋体" w:cs="宋体"/>
          <w:color w:val="000000" w:themeColor="text1"/>
          <w:highlight w:val="none"/>
          <w14:textFill>
            <w14:solidFill>
              <w14:schemeClr w14:val="tx1"/>
            </w14:solidFill>
          </w14:textFill>
        </w:rPr>
      </w:pPr>
      <w:bookmarkStart w:id="35" w:name="_Toc509218708"/>
      <w:bookmarkStart w:id="36" w:name="_Toc4746"/>
      <w:bookmarkStart w:id="37" w:name="_Toc9850"/>
      <w:bookmarkStart w:id="38" w:name="_Toc15182"/>
      <w:r>
        <w:rPr>
          <w:rFonts w:hint="eastAsia" w:ascii="宋体" w:hAnsi="宋体" w:cs="宋体"/>
          <w:color w:val="000000" w:themeColor="text1"/>
          <w:highlight w:val="none"/>
          <w14:textFill>
            <w14:solidFill>
              <w14:schemeClr w14:val="tx1"/>
            </w14:solidFill>
          </w14:textFill>
        </w:rPr>
        <w:t>竞选人须知前附表</w:t>
      </w:r>
      <w:bookmarkEnd w:id="30"/>
      <w:bookmarkEnd w:id="31"/>
      <w:bookmarkEnd w:id="32"/>
      <w:bookmarkEnd w:id="33"/>
      <w:bookmarkEnd w:id="34"/>
      <w:bookmarkEnd w:id="35"/>
      <w:bookmarkEnd w:id="36"/>
      <w:bookmarkEnd w:id="37"/>
      <w:bookmarkEnd w:id="38"/>
    </w:p>
    <w:p w14:paraId="0000A41C">
      <w:pPr>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若竞选人须知前附表与正文不一致的地方，以竞选人须知前附表为准。</w:t>
      </w:r>
    </w:p>
    <w:tbl>
      <w:tblPr>
        <w:tblStyle w:val="29"/>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964"/>
        <w:gridCol w:w="6372"/>
      </w:tblGrid>
      <w:tr w14:paraId="4D6E92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33" w:type="dxa"/>
            <w:vAlign w:val="center"/>
          </w:tcPr>
          <w:p w14:paraId="33A484BD">
            <w:pPr>
              <w:snapToGrid w:val="0"/>
              <w:spacing w:line="400" w:lineRule="exact"/>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条 款 号</w:t>
            </w:r>
          </w:p>
        </w:tc>
        <w:tc>
          <w:tcPr>
            <w:tcW w:w="1964" w:type="dxa"/>
            <w:vAlign w:val="center"/>
          </w:tcPr>
          <w:p w14:paraId="498513D6">
            <w:pPr>
              <w:snapToGrid w:val="0"/>
              <w:spacing w:line="400" w:lineRule="exact"/>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条款名称</w:t>
            </w:r>
          </w:p>
        </w:tc>
        <w:tc>
          <w:tcPr>
            <w:tcW w:w="6372" w:type="dxa"/>
            <w:vAlign w:val="center"/>
          </w:tcPr>
          <w:p w14:paraId="1156E3D1">
            <w:pPr>
              <w:snapToGrid w:val="0"/>
              <w:spacing w:line="400" w:lineRule="exact"/>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编  列  内  容</w:t>
            </w:r>
          </w:p>
        </w:tc>
      </w:tr>
      <w:tr w14:paraId="3B9661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25E607B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1.1.2</w:t>
            </w:r>
          </w:p>
        </w:tc>
        <w:tc>
          <w:tcPr>
            <w:tcW w:w="1964" w:type="dxa"/>
            <w:vAlign w:val="center"/>
          </w:tcPr>
          <w:p w14:paraId="04C2CF2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比选人</w:t>
            </w:r>
          </w:p>
        </w:tc>
        <w:tc>
          <w:tcPr>
            <w:tcW w:w="6372" w:type="dxa"/>
            <w:vAlign w:val="center"/>
          </w:tcPr>
          <w:p w14:paraId="58047094">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比选人：重庆市南岸区城市建设发展（集团）有限公司</w:t>
            </w:r>
          </w:p>
          <w:p w14:paraId="3D5FCFA8">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联系人：李老师</w:t>
            </w:r>
          </w:p>
          <w:p w14:paraId="1FAE3D78">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 xml:space="preserve">电 </w:t>
            </w:r>
            <w:r>
              <w:rPr>
                <w:rFonts w:ascii="宋体" w:hAnsi="宋体" w:cs="宋体"/>
                <w:snapToGrid w:val="0"/>
                <w:color w:val="000000" w:themeColor="text1"/>
                <w:sz w:val="21"/>
                <w:szCs w:val="21"/>
                <w:highlight w:val="none"/>
                <w14:textFill>
                  <w14:solidFill>
                    <w14:schemeClr w14:val="tx1"/>
                  </w14:solidFill>
                </w14:textFill>
              </w:rPr>
              <w:t xml:space="preserve"> </w:t>
            </w:r>
            <w:r>
              <w:rPr>
                <w:rFonts w:hint="eastAsia" w:ascii="宋体" w:hAnsi="宋体" w:cs="宋体"/>
                <w:snapToGrid w:val="0"/>
                <w:color w:val="000000" w:themeColor="text1"/>
                <w:sz w:val="21"/>
                <w:szCs w:val="21"/>
                <w:highlight w:val="none"/>
                <w14:textFill>
                  <w14:solidFill>
                    <w14:schemeClr w14:val="tx1"/>
                  </w14:solidFill>
                </w14:textFill>
              </w:rPr>
              <w:t>话：023-</w:t>
            </w:r>
            <w:r>
              <w:rPr>
                <w:rFonts w:ascii="宋体" w:hAnsi="宋体" w:cs="宋体"/>
                <w:snapToGrid w:val="0"/>
                <w:color w:val="000000" w:themeColor="text1"/>
                <w:sz w:val="21"/>
                <w:szCs w:val="21"/>
                <w:highlight w:val="none"/>
                <w14:textFill>
                  <w14:solidFill>
                    <w14:schemeClr w14:val="tx1"/>
                  </w14:solidFill>
                </w14:textFill>
              </w:rPr>
              <w:t>62905607</w:t>
            </w:r>
          </w:p>
          <w:p w14:paraId="28A0CAF2">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 xml:space="preserve">地 </w:t>
            </w:r>
            <w:r>
              <w:rPr>
                <w:rFonts w:ascii="宋体" w:hAnsi="宋体" w:cs="宋体"/>
                <w:snapToGrid w:val="0"/>
                <w:color w:val="000000" w:themeColor="text1"/>
                <w:szCs w:val="21"/>
                <w:highlight w:val="none"/>
                <w14:textFill>
                  <w14:solidFill>
                    <w14:schemeClr w14:val="tx1"/>
                  </w14:solidFill>
                </w14:textFill>
              </w:rPr>
              <w:t xml:space="preserve"> </w:t>
            </w:r>
            <w:r>
              <w:rPr>
                <w:rFonts w:hint="eastAsia" w:ascii="宋体" w:hAnsi="宋体" w:cs="宋体"/>
                <w:snapToGrid w:val="0"/>
                <w:color w:val="000000" w:themeColor="text1"/>
                <w:szCs w:val="21"/>
                <w:highlight w:val="none"/>
                <w14:textFill>
                  <w14:solidFill>
                    <w14:schemeClr w14:val="tx1"/>
                  </w14:solidFill>
                </w14:textFill>
              </w:rPr>
              <w:t>址：重庆市南岸区广福大道南岸行政中心B区3号楼</w:t>
            </w:r>
          </w:p>
        </w:tc>
      </w:tr>
      <w:tr w14:paraId="1997AC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32C54C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1.1.3</w:t>
            </w:r>
          </w:p>
        </w:tc>
        <w:tc>
          <w:tcPr>
            <w:tcW w:w="1964" w:type="dxa"/>
            <w:vAlign w:val="center"/>
          </w:tcPr>
          <w:p w14:paraId="26BD105D">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比选代理机构</w:t>
            </w:r>
          </w:p>
        </w:tc>
        <w:tc>
          <w:tcPr>
            <w:tcW w:w="6372" w:type="dxa"/>
            <w:vAlign w:val="center"/>
          </w:tcPr>
          <w:p w14:paraId="7A4F6C1C">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比选代理机构：重庆市中基致信招标代理有限公司</w:t>
            </w:r>
          </w:p>
          <w:p w14:paraId="53F35905">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联系人：游建伟、胡琳</w:t>
            </w:r>
          </w:p>
          <w:p w14:paraId="39AAEF8E">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电  话：023-88758847、88758852</w:t>
            </w:r>
          </w:p>
          <w:p w14:paraId="2A019401">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地  址：重庆市渝北区财富大道2号财富大厦A座9楼</w:t>
            </w:r>
          </w:p>
        </w:tc>
      </w:tr>
      <w:tr w14:paraId="45FE5B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AB41A13">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1.1.4</w:t>
            </w:r>
          </w:p>
        </w:tc>
        <w:tc>
          <w:tcPr>
            <w:tcW w:w="1964" w:type="dxa"/>
            <w:vAlign w:val="center"/>
          </w:tcPr>
          <w:p w14:paraId="1A5936CD">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项目名称</w:t>
            </w:r>
          </w:p>
        </w:tc>
        <w:tc>
          <w:tcPr>
            <w:tcW w:w="6372" w:type="dxa"/>
            <w:vAlign w:val="center"/>
          </w:tcPr>
          <w:p w14:paraId="6B981F87">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 xml:space="preserve">南岸区弹子石片区居民共有产权雨水管网改造工程预算编制及跟审服务 </w:t>
            </w:r>
          </w:p>
        </w:tc>
      </w:tr>
      <w:tr w14:paraId="103984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A10E454">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1.1.5</w:t>
            </w:r>
          </w:p>
        </w:tc>
        <w:tc>
          <w:tcPr>
            <w:tcW w:w="1964" w:type="dxa"/>
            <w:vAlign w:val="center"/>
          </w:tcPr>
          <w:p w14:paraId="05143F7D">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建设地点</w:t>
            </w:r>
          </w:p>
        </w:tc>
        <w:tc>
          <w:tcPr>
            <w:tcW w:w="6372" w:type="dxa"/>
            <w:vAlign w:val="bottom"/>
          </w:tcPr>
          <w:p w14:paraId="74D45122">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u w:val="single"/>
                <w:lang w:eastAsia="zh-CN"/>
                <w14:textFill>
                  <w14:solidFill>
                    <w14:schemeClr w14:val="tx1"/>
                  </w14:solidFill>
                </w14:textFill>
              </w:rPr>
              <w:t>南岸区弹子石片区</w:t>
            </w:r>
          </w:p>
        </w:tc>
      </w:tr>
      <w:tr w14:paraId="6959DB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99A4C34">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1.1.6</w:t>
            </w:r>
          </w:p>
        </w:tc>
        <w:tc>
          <w:tcPr>
            <w:tcW w:w="1964" w:type="dxa"/>
            <w:vAlign w:val="center"/>
          </w:tcPr>
          <w:p w14:paraId="7F6A0B0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项目概况与建设规模</w:t>
            </w:r>
          </w:p>
        </w:tc>
        <w:tc>
          <w:tcPr>
            <w:tcW w:w="6372" w:type="dxa"/>
            <w:vAlign w:val="center"/>
          </w:tcPr>
          <w:p w14:paraId="22351456">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u w:val="none"/>
                <w14:textFill>
                  <w14:solidFill>
                    <w14:schemeClr w14:val="tx1"/>
                  </w14:solidFill>
                </w14:textFill>
              </w:rPr>
              <w:t>包括管网整治，共整治源头小区/地块内混错接点1113个，改建D200立管及出户管33.44km，d300Ⅱ级钢筋混凝土管5.34km，D300管网约 24.75km、D400管网约12.77km、D500管网约4.5km、D600管网约1.7km、D800管网约0.8km及其配套附属设施，新建水质水量监测点位125处</w:t>
            </w:r>
            <w:r>
              <w:rPr>
                <w:rFonts w:hint="eastAsia" w:asciiTheme="minorEastAsia" w:hAnsiTheme="minorEastAsia" w:eastAsiaTheme="minorEastAsia"/>
                <w:color w:val="000000" w:themeColor="text1"/>
                <w:szCs w:val="21"/>
                <w:highlight w:val="none"/>
                <w:u w:val="none"/>
                <w14:textFill>
                  <w14:solidFill>
                    <w14:schemeClr w14:val="tx1"/>
                  </w14:solidFill>
                </w14:textFill>
              </w:rPr>
              <w:t>。</w:t>
            </w:r>
          </w:p>
        </w:tc>
      </w:tr>
      <w:tr w14:paraId="6474F3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739D5BE">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1.2.1</w:t>
            </w:r>
          </w:p>
        </w:tc>
        <w:tc>
          <w:tcPr>
            <w:tcW w:w="1964" w:type="dxa"/>
            <w:vAlign w:val="center"/>
          </w:tcPr>
          <w:p w14:paraId="40C99AB0">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资金来源</w:t>
            </w:r>
          </w:p>
        </w:tc>
        <w:tc>
          <w:tcPr>
            <w:tcW w:w="6372" w:type="dxa"/>
            <w:vAlign w:val="center"/>
          </w:tcPr>
          <w:p w14:paraId="1140226A">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u w:val="none"/>
                <w14:textFill>
                  <w14:solidFill>
                    <w14:schemeClr w14:val="tx1"/>
                  </w14:solidFill>
                </w14:textFill>
              </w:rPr>
              <w:t>财政资金保障</w:t>
            </w:r>
          </w:p>
        </w:tc>
      </w:tr>
      <w:tr w14:paraId="6440D4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5A022C9">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1.2.2</w:t>
            </w:r>
          </w:p>
        </w:tc>
        <w:tc>
          <w:tcPr>
            <w:tcW w:w="1964" w:type="dxa"/>
            <w:vAlign w:val="center"/>
          </w:tcPr>
          <w:p w14:paraId="1B63652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出资比例</w:t>
            </w:r>
          </w:p>
        </w:tc>
        <w:tc>
          <w:tcPr>
            <w:tcW w:w="6372" w:type="dxa"/>
            <w:vAlign w:val="center"/>
          </w:tcPr>
          <w:p w14:paraId="4F2BF41D">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100%</w:t>
            </w:r>
          </w:p>
        </w:tc>
      </w:tr>
      <w:tr w14:paraId="005248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26309544">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1.2.3</w:t>
            </w:r>
          </w:p>
        </w:tc>
        <w:tc>
          <w:tcPr>
            <w:tcW w:w="1964" w:type="dxa"/>
            <w:vAlign w:val="center"/>
          </w:tcPr>
          <w:p w14:paraId="30DB0E8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资金落实情况</w:t>
            </w:r>
          </w:p>
        </w:tc>
        <w:tc>
          <w:tcPr>
            <w:tcW w:w="6372" w:type="dxa"/>
            <w:vAlign w:val="center"/>
          </w:tcPr>
          <w:p w14:paraId="5EC9D737">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已落实</w:t>
            </w:r>
          </w:p>
        </w:tc>
      </w:tr>
      <w:tr w14:paraId="599BA4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FAD6ED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1.3.1</w:t>
            </w:r>
          </w:p>
        </w:tc>
        <w:tc>
          <w:tcPr>
            <w:tcW w:w="1964" w:type="dxa"/>
            <w:vAlign w:val="center"/>
          </w:tcPr>
          <w:p w14:paraId="6B823460">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比选范围</w:t>
            </w:r>
          </w:p>
        </w:tc>
        <w:tc>
          <w:tcPr>
            <w:tcW w:w="6372" w:type="dxa"/>
            <w:vAlign w:val="center"/>
          </w:tcPr>
          <w:p w14:paraId="7D204247">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对本工程提供预算编制及全过程跟踪审计，包含但不限于：预算工程量清单及组价编制、提供成本控制建议、配合相关部门完成评审（核查）及评审（核查）、施工方案的经济评价、设计变更的经济分析、变更审核、参与施工阶段的现场计量及其审核、现场签证及其审核、新增项目的价格审核及评价、建筑材料认（审）价、工程进度款审核、专业分包造价控制、工程索赔和反索赔咨询、有关工程造价信息及法规咨询、与本工程有关的其他采购事宜限价编制、完工后的结算审核等与造价控制有关的其他服务工作及配合项目审计等工作，详见合同约定。</w:t>
            </w:r>
          </w:p>
        </w:tc>
      </w:tr>
      <w:tr w14:paraId="3C64E0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2FA868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1.3.2</w:t>
            </w:r>
          </w:p>
        </w:tc>
        <w:tc>
          <w:tcPr>
            <w:tcW w:w="1964" w:type="dxa"/>
            <w:vAlign w:val="center"/>
          </w:tcPr>
          <w:p w14:paraId="20077BC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服务期</w:t>
            </w:r>
          </w:p>
        </w:tc>
        <w:tc>
          <w:tcPr>
            <w:tcW w:w="6372" w:type="dxa"/>
            <w:vAlign w:val="center"/>
          </w:tcPr>
          <w:p w14:paraId="5A244481">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本项目服务周期自合同签订之日开始至工程竣工验收及结算审计完成。</w:t>
            </w:r>
          </w:p>
        </w:tc>
      </w:tr>
      <w:tr w14:paraId="2E6A5D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4F54998">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1.3.3</w:t>
            </w:r>
          </w:p>
        </w:tc>
        <w:tc>
          <w:tcPr>
            <w:tcW w:w="1964" w:type="dxa"/>
            <w:vAlign w:val="center"/>
          </w:tcPr>
          <w:p w14:paraId="5114F607">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质量要求</w:t>
            </w:r>
          </w:p>
        </w:tc>
        <w:tc>
          <w:tcPr>
            <w:tcW w:w="6372" w:type="dxa"/>
            <w:vAlign w:val="center"/>
          </w:tcPr>
          <w:p w14:paraId="2C2F5205">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达到国家现行有关服务质量规范要求，并达到合格标准。</w:t>
            </w:r>
          </w:p>
        </w:tc>
      </w:tr>
      <w:tr w14:paraId="1B3171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3" w:type="dxa"/>
            <w:vAlign w:val="center"/>
          </w:tcPr>
          <w:p w14:paraId="419ADFE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6D8D266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B07ADDD">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0A5CCC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3ADD1CD">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3E56615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12E1257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62671E6B">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2906E70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8DAEB6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186077D">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1DDA394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7D41DB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7F85469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36F28093">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103B605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0EBDAB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333B5D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1.4.1</w:t>
            </w:r>
          </w:p>
          <w:p w14:paraId="71D4CF60">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C248BE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7117778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2C515DB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48862AD9">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E26A51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B98508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6D56177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1ACF3AED">
            <w:pPr>
              <w:pStyle w:val="8"/>
              <w:rPr>
                <w:rFonts w:hint="eastAsia" w:ascii="宋体" w:hAnsi="宋体" w:cs="宋体"/>
                <w:color w:val="000000" w:themeColor="text1"/>
                <w:kern w:val="0"/>
                <w:szCs w:val="21"/>
                <w:highlight w:val="none"/>
                <w14:textFill>
                  <w14:solidFill>
                    <w14:schemeClr w14:val="tx1"/>
                  </w14:solidFill>
                </w14:textFill>
              </w:rPr>
            </w:pPr>
          </w:p>
          <w:p w14:paraId="1B1451F8">
            <w:pPr>
              <w:rPr>
                <w:rFonts w:hint="eastAsia" w:ascii="宋体" w:hAnsi="宋体" w:cs="宋体"/>
                <w:color w:val="000000" w:themeColor="text1"/>
                <w:kern w:val="0"/>
                <w:szCs w:val="21"/>
                <w:highlight w:val="none"/>
                <w14:textFill>
                  <w14:solidFill>
                    <w14:schemeClr w14:val="tx1"/>
                  </w14:solidFill>
                </w14:textFill>
              </w:rPr>
            </w:pPr>
          </w:p>
          <w:p w14:paraId="75994F96">
            <w:pPr>
              <w:pStyle w:val="8"/>
              <w:rPr>
                <w:rFonts w:hint="eastAsia" w:ascii="宋体" w:hAnsi="宋体" w:cs="宋体"/>
                <w:color w:val="000000" w:themeColor="text1"/>
                <w:kern w:val="0"/>
                <w:szCs w:val="21"/>
                <w:highlight w:val="none"/>
                <w14:textFill>
                  <w14:solidFill>
                    <w14:schemeClr w14:val="tx1"/>
                  </w14:solidFill>
                </w14:textFill>
              </w:rPr>
            </w:pPr>
          </w:p>
          <w:p w14:paraId="158F2C0D">
            <w:pPr>
              <w:rPr>
                <w:rFonts w:hint="eastAsia" w:ascii="宋体" w:hAnsi="宋体" w:cs="宋体"/>
                <w:color w:val="000000" w:themeColor="text1"/>
                <w:kern w:val="0"/>
                <w:szCs w:val="21"/>
                <w:highlight w:val="none"/>
                <w14:textFill>
                  <w14:solidFill>
                    <w14:schemeClr w14:val="tx1"/>
                  </w14:solidFill>
                </w14:textFill>
              </w:rPr>
            </w:pPr>
          </w:p>
          <w:p w14:paraId="30999A42">
            <w:pPr>
              <w:pStyle w:val="8"/>
              <w:rPr>
                <w:rFonts w:hint="eastAsia" w:ascii="宋体" w:hAnsi="宋体" w:cs="宋体"/>
                <w:color w:val="000000" w:themeColor="text1"/>
                <w:kern w:val="0"/>
                <w:szCs w:val="21"/>
                <w:highlight w:val="none"/>
                <w14:textFill>
                  <w14:solidFill>
                    <w14:schemeClr w14:val="tx1"/>
                  </w14:solidFill>
                </w14:textFill>
              </w:rPr>
            </w:pPr>
          </w:p>
          <w:p w14:paraId="0FBF9DE9">
            <w:pPr>
              <w:rPr>
                <w:rFonts w:hint="eastAsia" w:ascii="宋体" w:hAnsi="宋体" w:cs="宋体"/>
                <w:color w:val="000000" w:themeColor="text1"/>
                <w:kern w:val="0"/>
                <w:szCs w:val="21"/>
                <w:highlight w:val="none"/>
                <w14:textFill>
                  <w14:solidFill>
                    <w14:schemeClr w14:val="tx1"/>
                  </w14:solidFill>
                </w14:textFill>
              </w:rPr>
            </w:pPr>
          </w:p>
          <w:p w14:paraId="4519B582">
            <w:pPr>
              <w:pStyle w:val="8"/>
              <w:rPr>
                <w:rFonts w:hint="eastAsia" w:ascii="宋体" w:hAnsi="宋体"/>
                <w:color w:val="000000" w:themeColor="text1"/>
                <w:highlight w:val="none"/>
                <w14:textFill>
                  <w14:solidFill>
                    <w14:schemeClr w14:val="tx1"/>
                  </w14:solidFill>
                </w14:textFill>
              </w:rPr>
            </w:pPr>
          </w:p>
          <w:p w14:paraId="0655091B">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74B123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6606DE22">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3084BEDB">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6F9A9EBD">
            <w:pPr>
              <w:pStyle w:val="8"/>
              <w:rPr>
                <w:rFonts w:hint="eastAsia" w:ascii="宋体" w:hAnsi="宋体" w:cs="宋体"/>
                <w:color w:val="000000" w:themeColor="text1"/>
                <w:kern w:val="0"/>
                <w:szCs w:val="21"/>
                <w:highlight w:val="none"/>
                <w14:textFill>
                  <w14:solidFill>
                    <w14:schemeClr w14:val="tx1"/>
                  </w14:solidFill>
                </w14:textFill>
              </w:rPr>
            </w:pPr>
          </w:p>
          <w:p w14:paraId="19C8A7EE">
            <w:pPr>
              <w:rPr>
                <w:rFonts w:hint="eastAsia" w:ascii="宋体" w:hAnsi="宋体" w:cs="宋体"/>
                <w:color w:val="000000" w:themeColor="text1"/>
                <w:kern w:val="0"/>
                <w:szCs w:val="21"/>
                <w:highlight w:val="none"/>
                <w14:textFill>
                  <w14:solidFill>
                    <w14:schemeClr w14:val="tx1"/>
                  </w14:solidFill>
                </w14:textFill>
              </w:rPr>
            </w:pPr>
          </w:p>
          <w:p w14:paraId="41DF2543">
            <w:pPr>
              <w:pStyle w:val="8"/>
              <w:rPr>
                <w:rFonts w:hint="eastAsia" w:ascii="宋体" w:hAnsi="宋体" w:cs="宋体"/>
                <w:color w:val="000000" w:themeColor="text1"/>
                <w:kern w:val="0"/>
                <w:szCs w:val="21"/>
                <w:highlight w:val="none"/>
                <w14:textFill>
                  <w14:solidFill>
                    <w14:schemeClr w14:val="tx1"/>
                  </w14:solidFill>
                </w14:textFill>
              </w:rPr>
            </w:pPr>
          </w:p>
          <w:p w14:paraId="28A53FFA">
            <w:pPr>
              <w:rPr>
                <w:rFonts w:hint="eastAsia" w:ascii="宋体" w:hAnsi="宋体" w:cs="宋体"/>
                <w:color w:val="000000" w:themeColor="text1"/>
                <w:kern w:val="0"/>
                <w:szCs w:val="21"/>
                <w:highlight w:val="none"/>
                <w14:textFill>
                  <w14:solidFill>
                    <w14:schemeClr w14:val="tx1"/>
                  </w14:solidFill>
                </w14:textFill>
              </w:rPr>
            </w:pPr>
          </w:p>
          <w:p w14:paraId="66941BFB">
            <w:pPr>
              <w:snapToGrid w:val="0"/>
              <w:spacing w:line="400" w:lineRule="exact"/>
              <w:rPr>
                <w:rFonts w:hint="eastAsia" w:ascii="宋体" w:hAnsi="宋体" w:cs="宋体"/>
                <w:color w:val="000000" w:themeColor="text1"/>
                <w:kern w:val="0"/>
                <w:szCs w:val="21"/>
                <w:highlight w:val="none"/>
                <w14:textFill>
                  <w14:solidFill>
                    <w14:schemeClr w14:val="tx1"/>
                  </w14:solidFill>
                </w14:textFill>
              </w:rPr>
            </w:pPr>
          </w:p>
        </w:tc>
        <w:tc>
          <w:tcPr>
            <w:tcW w:w="1964" w:type="dxa"/>
            <w:vAlign w:val="center"/>
          </w:tcPr>
          <w:p w14:paraId="5B0254E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3812C1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D8645D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7331A21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2234E0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2F75331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3E35DD4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3378056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1E732060">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41ADB6F3">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40506B5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68327AA9">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73989CF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40CB1F20">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4B75F5A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75DD82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3639BA1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FA3E19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竞选人资质条件、能力和信誉</w:t>
            </w:r>
          </w:p>
          <w:p w14:paraId="2D1309CB">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4E6B8EB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F4E870E">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29FDAA2">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9935BAE">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531127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469DC9BA">
            <w:pPr>
              <w:pStyle w:val="8"/>
              <w:rPr>
                <w:rFonts w:hint="eastAsia" w:ascii="宋体" w:hAnsi="宋体" w:cs="宋体"/>
                <w:color w:val="000000" w:themeColor="text1"/>
                <w:kern w:val="0"/>
                <w:szCs w:val="21"/>
                <w:highlight w:val="none"/>
                <w14:textFill>
                  <w14:solidFill>
                    <w14:schemeClr w14:val="tx1"/>
                  </w14:solidFill>
                </w14:textFill>
              </w:rPr>
            </w:pPr>
          </w:p>
          <w:p w14:paraId="2E50B964">
            <w:pPr>
              <w:rPr>
                <w:rFonts w:hint="eastAsia" w:ascii="宋体" w:hAnsi="宋体" w:cs="宋体"/>
                <w:color w:val="000000" w:themeColor="text1"/>
                <w:kern w:val="0"/>
                <w:szCs w:val="21"/>
                <w:highlight w:val="none"/>
                <w14:textFill>
                  <w14:solidFill>
                    <w14:schemeClr w14:val="tx1"/>
                  </w14:solidFill>
                </w14:textFill>
              </w:rPr>
            </w:pPr>
          </w:p>
          <w:p w14:paraId="69E4FC7B">
            <w:pPr>
              <w:pStyle w:val="8"/>
              <w:rPr>
                <w:rFonts w:hint="eastAsia" w:ascii="宋体" w:hAnsi="宋体" w:cs="宋体"/>
                <w:color w:val="000000" w:themeColor="text1"/>
                <w:kern w:val="0"/>
                <w:szCs w:val="21"/>
                <w:highlight w:val="none"/>
                <w14:textFill>
                  <w14:solidFill>
                    <w14:schemeClr w14:val="tx1"/>
                  </w14:solidFill>
                </w14:textFill>
              </w:rPr>
            </w:pPr>
          </w:p>
          <w:p w14:paraId="10B6DBA5">
            <w:pPr>
              <w:rPr>
                <w:rFonts w:hint="eastAsia" w:ascii="宋体" w:hAnsi="宋体" w:cs="宋体"/>
                <w:color w:val="000000" w:themeColor="text1"/>
                <w:kern w:val="0"/>
                <w:szCs w:val="21"/>
                <w:highlight w:val="none"/>
                <w14:textFill>
                  <w14:solidFill>
                    <w14:schemeClr w14:val="tx1"/>
                  </w14:solidFill>
                </w14:textFill>
              </w:rPr>
            </w:pPr>
          </w:p>
          <w:p w14:paraId="5214FE11">
            <w:pPr>
              <w:pStyle w:val="8"/>
              <w:rPr>
                <w:rFonts w:hint="eastAsia" w:ascii="宋体" w:hAnsi="宋体" w:cs="宋体"/>
                <w:color w:val="000000" w:themeColor="text1"/>
                <w:kern w:val="0"/>
                <w:szCs w:val="21"/>
                <w:highlight w:val="none"/>
                <w14:textFill>
                  <w14:solidFill>
                    <w14:schemeClr w14:val="tx1"/>
                  </w14:solidFill>
                </w14:textFill>
              </w:rPr>
            </w:pPr>
          </w:p>
          <w:p w14:paraId="0A63A3B4">
            <w:pPr>
              <w:rPr>
                <w:rFonts w:hint="eastAsia" w:ascii="宋体" w:hAnsi="宋体" w:cs="宋体"/>
                <w:color w:val="000000" w:themeColor="text1"/>
                <w:kern w:val="0"/>
                <w:szCs w:val="21"/>
                <w:highlight w:val="none"/>
                <w14:textFill>
                  <w14:solidFill>
                    <w14:schemeClr w14:val="tx1"/>
                  </w14:solidFill>
                </w14:textFill>
              </w:rPr>
            </w:pPr>
          </w:p>
          <w:p w14:paraId="2B8BD57B">
            <w:pPr>
              <w:pStyle w:val="8"/>
              <w:rPr>
                <w:rFonts w:hint="eastAsia" w:ascii="宋体" w:hAnsi="宋体" w:cs="宋体"/>
                <w:color w:val="000000" w:themeColor="text1"/>
                <w:kern w:val="0"/>
                <w:szCs w:val="21"/>
                <w:highlight w:val="none"/>
                <w14:textFill>
                  <w14:solidFill>
                    <w14:schemeClr w14:val="tx1"/>
                  </w14:solidFill>
                </w14:textFill>
              </w:rPr>
            </w:pPr>
          </w:p>
          <w:p w14:paraId="2E89A627">
            <w:pPr>
              <w:rPr>
                <w:rFonts w:hint="eastAsia" w:ascii="宋体" w:hAnsi="宋体" w:cs="宋体"/>
                <w:color w:val="000000" w:themeColor="text1"/>
                <w:kern w:val="0"/>
                <w:szCs w:val="21"/>
                <w:highlight w:val="none"/>
                <w14:textFill>
                  <w14:solidFill>
                    <w14:schemeClr w14:val="tx1"/>
                  </w14:solidFill>
                </w14:textFill>
              </w:rPr>
            </w:pPr>
          </w:p>
          <w:p w14:paraId="71B7F12B">
            <w:pPr>
              <w:pStyle w:val="8"/>
              <w:rPr>
                <w:rFonts w:hint="eastAsia" w:ascii="宋体" w:hAnsi="宋体" w:cs="宋体"/>
                <w:color w:val="000000" w:themeColor="text1"/>
                <w:kern w:val="0"/>
                <w:szCs w:val="21"/>
                <w:highlight w:val="none"/>
                <w14:textFill>
                  <w14:solidFill>
                    <w14:schemeClr w14:val="tx1"/>
                  </w14:solidFill>
                </w14:textFill>
              </w:rPr>
            </w:pPr>
          </w:p>
          <w:p w14:paraId="38ABF801">
            <w:pPr>
              <w:rPr>
                <w:rFonts w:hint="eastAsia" w:ascii="宋体" w:hAnsi="宋体" w:cs="宋体"/>
                <w:color w:val="000000" w:themeColor="text1"/>
                <w:kern w:val="0"/>
                <w:szCs w:val="21"/>
                <w:highlight w:val="none"/>
                <w14:textFill>
                  <w14:solidFill>
                    <w14:schemeClr w14:val="tx1"/>
                  </w14:solidFill>
                </w14:textFill>
              </w:rPr>
            </w:pPr>
          </w:p>
          <w:p w14:paraId="38562218">
            <w:pPr>
              <w:pStyle w:val="8"/>
              <w:rPr>
                <w:rFonts w:hint="eastAsia" w:ascii="宋体" w:hAnsi="宋体" w:cs="宋体"/>
                <w:color w:val="000000" w:themeColor="text1"/>
                <w:kern w:val="0"/>
                <w:szCs w:val="21"/>
                <w:highlight w:val="none"/>
                <w14:textFill>
                  <w14:solidFill>
                    <w14:schemeClr w14:val="tx1"/>
                  </w14:solidFill>
                </w14:textFill>
              </w:rPr>
            </w:pPr>
          </w:p>
          <w:p w14:paraId="5B66C37D">
            <w:pPr>
              <w:rPr>
                <w:rFonts w:hint="eastAsia" w:ascii="宋体" w:hAnsi="宋体" w:cs="宋体"/>
                <w:color w:val="000000" w:themeColor="text1"/>
                <w:kern w:val="0"/>
                <w:szCs w:val="21"/>
                <w:highlight w:val="none"/>
                <w14:textFill>
                  <w14:solidFill>
                    <w14:schemeClr w14:val="tx1"/>
                  </w14:solidFill>
                </w14:textFill>
              </w:rPr>
            </w:pPr>
          </w:p>
          <w:p w14:paraId="10668B46">
            <w:pPr>
              <w:pStyle w:val="8"/>
              <w:rPr>
                <w:rFonts w:hint="eastAsia" w:ascii="宋体" w:hAnsi="宋体"/>
                <w:color w:val="000000" w:themeColor="text1"/>
                <w:highlight w:val="none"/>
                <w14:textFill>
                  <w14:solidFill>
                    <w14:schemeClr w14:val="tx1"/>
                  </w14:solidFill>
                </w14:textFill>
              </w:rPr>
            </w:pPr>
          </w:p>
          <w:p w14:paraId="48F9AF6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2DCA09D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3AE90CC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199CB9B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2C8D5F86">
            <w:pPr>
              <w:snapToGrid w:val="0"/>
              <w:spacing w:line="400" w:lineRule="exact"/>
              <w:rPr>
                <w:rFonts w:hint="eastAsia" w:ascii="宋体" w:hAnsi="宋体" w:cs="宋体"/>
                <w:color w:val="000000" w:themeColor="text1"/>
                <w:kern w:val="0"/>
                <w:szCs w:val="21"/>
                <w:highlight w:val="none"/>
                <w14:textFill>
                  <w14:solidFill>
                    <w14:schemeClr w14:val="tx1"/>
                  </w14:solidFill>
                </w14:textFill>
              </w:rPr>
            </w:pPr>
          </w:p>
        </w:tc>
        <w:tc>
          <w:tcPr>
            <w:tcW w:w="6372" w:type="dxa"/>
            <w:vAlign w:val="center"/>
          </w:tcPr>
          <w:p w14:paraId="46965A71">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bookmarkStart w:id="39" w:name="OLE_LINK1"/>
            <w:r>
              <w:rPr>
                <w:rFonts w:hint="eastAsia" w:ascii="宋体" w:hAnsi="宋体" w:cs="宋体"/>
                <w:color w:val="000000" w:themeColor="text1"/>
                <w:highlight w:val="none"/>
                <w14:textFill>
                  <w14:solidFill>
                    <w14:schemeClr w14:val="tx1"/>
                  </w14:solidFill>
                </w14:textFill>
              </w:rPr>
              <w:t>本次比选实行资格后审，</w:t>
            </w:r>
            <w:bookmarkStart w:id="40" w:name="一是"/>
            <w:bookmarkEnd w:id="40"/>
            <w:r>
              <w:rPr>
                <w:rFonts w:hint="eastAsia" w:ascii="宋体" w:hAnsi="宋体" w:cs="宋体"/>
                <w:color w:val="000000" w:themeColor="text1"/>
                <w:highlight w:val="none"/>
                <w14:textFill>
                  <w14:solidFill>
                    <w14:schemeClr w14:val="tx1"/>
                  </w14:solidFill>
                </w14:textFill>
              </w:rPr>
              <w:t>竞选人须具备以下资格条件：</w:t>
            </w:r>
          </w:p>
          <w:bookmarkEnd w:id="39"/>
          <w:p w14:paraId="111874D3">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b/>
                <w:color w:val="000000" w:themeColor="text1"/>
                <w:szCs w:val="21"/>
                <w:highlight w:val="none"/>
                <w14:textFill>
                  <w14:solidFill>
                    <w14:schemeClr w14:val="tx1"/>
                  </w14:solidFill>
                </w14:textFill>
              </w:rPr>
              <w:t>营业执照要求</w:t>
            </w:r>
          </w:p>
          <w:p w14:paraId="724678F9">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具备有效的营业执照，并具有独立法人资格</w:t>
            </w:r>
            <w:r>
              <w:rPr>
                <w:rFonts w:hint="eastAsia" w:ascii="宋体" w:hAnsi="宋体" w:cs="宋体"/>
                <w:color w:val="000000" w:themeColor="text1"/>
                <w:highlight w:val="none"/>
                <w14:textFill>
                  <w14:solidFill>
                    <w14:schemeClr w14:val="tx1"/>
                  </w14:solidFill>
                </w14:textFill>
              </w:rPr>
              <w:t>。</w:t>
            </w:r>
          </w:p>
          <w:p w14:paraId="149BDCC0">
            <w:pPr>
              <w:snapToGrid w:val="0"/>
              <w:spacing w:line="400" w:lineRule="exact"/>
              <w:ind w:firstLine="420" w:firstLineChars="200"/>
              <w:rPr>
                <w:rFonts w:hint="eastAsia" w:ascii="宋体" w:hAnsi="宋体" w:cs="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提供载有统一社会信用代码的营业执照副本复印件。</w:t>
            </w:r>
          </w:p>
          <w:p w14:paraId="3A7061A1">
            <w:pPr>
              <w:snapToGrid w:val="0"/>
              <w:spacing w:line="400" w:lineRule="exact"/>
              <w:ind w:firstLine="422"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2.财务要求：</w:t>
            </w:r>
            <w:r>
              <w:rPr>
                <w:rFonts w:hint="eastAsia" w:ascii="宋体" w:hAnsi="宋体" w:cs="宋体"/>
                <w:color w:val="000000" w:themeColor="text1"/>
                <w:highlight w:val="none"/>
                <w14:textFill>
                  <w14:solidFill>
                    <w14:schemeClr w14:val="tx1"/>
                  </w14:solidFill>
                </w14:textFill>
              </w:rPr>
              <w:t xml:space="preserve"> 2023年度财务状况良好，不亏损。</w:t>
            </w:r>
          </w:p>
          <w:p w14:paraId="045E39F4">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竞选人须在竞选文件资格审查部分提供经会计师事务所或审计机构出具的合法有效的财务审计报告或财务报表（成立时间不足一年的提供财务报表，须包含利润表、现金流量表、资产负债表等）。</w:t>
            </w:r>
          </w:p>
          <w:p w14:paraId="2DE1FEAA">
            <w:pPr>
              <w:snapToGrid w:val="0"/>
              <w:spacing w:line="360" w:lineRule="exact"/>
              <w:ind w:firstLine="422" w:firstLineChars="200"/>
              <w:jc w:val="left"/>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3.业绩要求</w:t>
            </w:r>
          </w:p>
          <w:p w14:paraId="51F37C00">
            <w:pPr>
              <w:snapToGrid w:val="0"/>
              <w:spacing w:line="36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竞选人202</w:t>
            </w:r>
            <w:r>
              <w:rPr>
                <w:rFonts w:hint="eastAsia" w:ascii="宋体" w:hAnsi="宋体"/>
                <w:color w:val="000000" w:themeColor="text1"/>
                <w:szCs w:val="21"/>
                <w:highlight w:val="none"/>
                <w:lang w:val="en-US"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年1月1曰至今（以签订合同时间为准），至少具有一个总投资</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000万元及以上的</w:t>
            </w:r>
            <w:r>
              <w:rPr>
                <w:rFonts w:hint="eastAsia" w:ascii="宋体" w:hAnsi="宋体"/>
                <w:color w:val="000000" w:themeColor="text1"/>
                <w:szCs w:val="21"/>
                <w:highlight w:val="none"/>
                <w:lang w:val="en-US" w:eastAsia="zh-CN"/>
                <w14:textFill>
                  <w14:solidFill>
                    <w14:schemeClr w14:val="tx1"/>
                  </w14:solidFill>
                </w14:textFill>
              </w:rPr>
              <w:t>预算评审业绩或</w:t>
            </w:r>
            <w:r>
              <w:rPr>
                <w:rFonts w:hint="eastAsia" w:ascii="宋体" w:hAnsi="宋体"/>
                <w:color w:val="000000" w:themeColor="text1"/>
                <w:szCs w:val="21"/>
                <w:highlight w:val="none"/>
                <w14:textFill>
                  <w14:solidFill>
                    <w14:schemeClr w14:val="tx1"/>
                  </w14:solidFill>
                </w14:textFill>
              </w:rPr>
              <w:t>全过程造价咨询或全过程跟踪审计业绩；</w:t>
            </w:r>
          </w:p>
          <w:p w14:paraId="04E8E757">
            <w:pPr>
              <w:snapToGrid w:val="0"/>
              <w:spacing w:line="360" w:lineRule="exact"/>
              <w:ind w:firstLine="404"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pacing w:val="-4"/>
                <w:szCs w:val="21"/>
                <w:highlight w:val="none"/>
                <w14:textFill>
                  <w14:solidFill>
                    <w14:schemeClr w14:val="tx1"/>
                  </w14:solidFill>
                </w14:textFill>
              </w:rPr>
              <w:t>提供业绩合同复印件。合同内如未能明确体现项目投资金额，可提供有效的定案表复印件或业主证明复印件（定案表或业主证明需加盖业主单位公章）。</w:t>
            </w:r>
          </w:p>
          <w:p w14:paraId="75FFB830">
            <w:pPr>
              <w:snapToGrid w:val="0"/>
              <w:spacing w:line="360" w:lineRule="exact"/>
              <w:ind w:firstLine="422"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4.比选截止日比选资格情况</w:t>
            </w:r>
          </w:p>
          <w:p w14:paraId="6E4A037E">
            <w:pPr>
              <w:snapToGrid w:val="0"/>
              <w:spacing w:line="36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竞选人自行承诺（格式自拟）不得存在下列情形之一：</w:t>
            </w:r>
          </w:p>
          <w:p w14:paraId="2874F4EE">
            <w:pPr>
              <w:snapToGrid w:val="0"/>
              <w:spacing w:line="36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（1）被人民法院在“信用中国”网站（www.creditchina.gov.cn）列入失信被执行人名单且在被执行期内；</w:t>
            </w:r>
          </w:p>
          <w:p w14:paraId="29E5278D">
            <w:pPr>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（2）被列入《重庆市工程建设领域招标投标信用管理暂行办法》规定的重点关注名单且记分达到12分且在记分有效期内；</w:t>
            </w:r>
          </w:p>
          <w:p w14:paraId="572B24F0">
            <w:pPr>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（3）被列入《重庆市工程建设领域招标投标信用管理暂行办法》规定的重庆市工程建设领域招标投标失信惩戒对象名单（以下称黑名单）且在记分有效期内；</w:t>
            </w:r>
          </w:p>
          <w:p w14:paraId="2D34E76D">
            <w:pPr>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（4）被国家、重庆市（含市或任意区县）有关行政部门处以暂停投标资格行政处罚，且在处罚期限内；</w:t>
            </w:r>
          </w:p>
          <w:p w14:paraId="619F0B13">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（5）被重庆市住房和城乡建设主管部门暂停在渝承揽新业务且在暂停期内；</w:t>
            </w:r>
          </w:p>
          <w:p w14:paraId="2D78C6DF">
            <w:pPr>
              <w:snapToGrid w:val="0"/>
              <w:spacing w:line="400" w:lineRule="exact"/>
              <w:ind w:firstLine="422" w:firstLineChars="200"/>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5.拟派项目人员</w:t>
            </w:r>
          </w:p>
          <w:p w14:paraId="0D72333B">
            <w:pPr>
              <w:snapToGrid w:val="0"/>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5.1</w:t>
            </w:r>
            <w:r>
              <w:rPr>
                <w:rFonts w:hint="eastAsia" w:ascii="宋体" w:hAnsi="宋体" w:cs="宋体"/>
                <w:color w:val="000000" w:themeColor="text1"/>
                <w:kern w:val="0"/>
                <w:szCs w:val="21"/>
                <w:highlight w:val="none"/>
                <w14:textFill>
                  <w14:solidFill>
                    <w14:schemeClr w14:val="tx1"/>
                  </w14:solidFill>
                </w14:textFill>
              </w:rPr>
              <w:t>项目负责人:1人，须为竞选单位的在职职工，具备</w:t>
            </w:r>
            <w:r>
              <w:rPr>
                <w:rFonts w:hint="eastAsia" w:ascii="宋体" w:hAnsi="宋体" w:cs="宋体"/>
                <w:color w:val="000000" w:themeColor="text1"/>
                <w:kern w:val="0"/>
                <w:szCs w:val="21"/>
                <w:highlight w:val="none"/>
                <w:u w:val="single"/>
                <w14:textFill>
                  <w14:solidFill>
                    <w14:schemeClr w14:val="tx1"/>
                  </w14:solidFill>
                </w14:textFill>
              </w:rPr>
              <w:t>工程类高级及以上</w:t>
            </w:r>
            <w:r>
              <w:rPr>
                <w:rFonts w:hint="eastAsia" w:ascii="宋体" w:hAnsi="宋体" w:cs="宋体"/>
                <w:color w:val="000000" w:themeColor="text1"/>
                <w:kern w:val="0"/>
                <w:szCs w:val="21"/>
                <w:highlight w:val="none"/>
                <w14:textFill>
                  <w14:solidFill>
                    <w14:schemeClr w14:val="tx1"/>
                  </w14:solidFill>
                </w14:textFill>
              </w:rPr>
              <w:t>职称且具有全国一级造价工程师（或全国注册造价工程师）执业资格。</w:t>
            </w:r>
          </w:p>
          <w:p w14:paraId="71240638">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5.2其他项目组成员：</w:t>
            </w:r>
          </w:p>
          <w:p w14:paraId="0E0F7D7F">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①土建专业负责人1人，土建专业负责人必须已在竞选人本单位注册并应具有全国一级造价工程师（全国注册造价工程师）执业资格（专业类别：土建），且具有中级及以上技术职称；</w:t>
            </w:r>
          </w:p>
          <w:p w14:paraId="034E1B07">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②安装专业负责人1人，安装专业负责人必须已在竞选人本单位注册并应具有全国一级造价工程师（全国注册造价工程师）执业资格（专业类别：安装），且具有中级及以上技术职称；</w:t>
            </w:r>
          </w:p>
          <w:p w14:paraId="666F7D42">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③其他造价人员，</w:t>
            </w:r>
            <w:r>
              <w:rPr>
                <w:rFonts w:hint="eastAsia"/>
                <w:color w:val="000000" w:themeColor="text1"/>
                <w:highlight w:val="none"/>
                <w14:textFill>
                  <w14:solidFill>
                    <w14:schemeClr w14:val="tx1"/>
                  </w14:solidFill>
                </w14:textFill>
              </w:rPr>
              <w:t>现场派驻人员</w:t>
            </w:r>
            <w:r>
              <w:rPr>
                <w:rFonts w:hint="eastAsia" w:ascii="宋体" w:hAnsi="宋体" w:cs="宋体"/>
                <w:color w:val="000000" w:themeColor="text1"/>
                <w:highlight w:val="none"/>
                <w14:textFill>
                  <w14:solidFill>
                    <w14:schemeClr w14:val="tx1"/>
                  </w14:solidFill>
                </w14:textFill>
              </w:rPr>
              <w:t>不低于1名，造价人员必须已在竞选人本单位注册并应具有全国注册造价工程师（一级造价工程师）或二级造价工程师或全国造价员执业资格。</w:t>
            </w:r>
          </w:p>
          <w:p w14:paraId="5E254324">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w:t>
            </w:r>
            <w:r>
              <w:rPr>
                <w:rFonts w:hint="eastAsia" w:ascii="宋体" w:hAnsi="宋体"/>
                <w:b/>
                <w:bCs/>
                <w:color w:val="000000" w:themeColor="text1"/>
                <w:highlight w:val="none"/>
                <w14:textFill>
                  <w14:solidFill>
                    <w14:schemeClr w14:val="tx1"/>
                  </w14:solidFill>
                </w14:textFill>
              </w:rPr>
              <w:t>以上5.1及5.2各岗位人员不得相互兼任，</w:t>
            </w:r>
            <w:r>
              <w:rPr>
                <w:rFonts w:hint="eastAsia" w:ascii="宋体" w:hAnsi="宋体"/>
                <w:color w:val="000000" w:themeColor="text1"/>
                <w:highlight w:val="none"/>
                <w14:textFill>
                  <w14:solidFill>
                    <w14:schemeClr w14:val="tx1"/>
                  </w14:solidFill>
                </w14:textFill>
              </w:rPr>
              <w:t>竞选人须在竞选文件资格审查部分提供上述所有人员对应的</w:t>
            </w:r>
            <w:r>
              <w:rPr>
                <w:rFonts w:hint="eastAsia" w:ascii="宋体" w:hAnsi="宋体" w:cs="宋体"/>
                <w:color w:val="000000" w:themeColor="text1"/>
                <w:highlight w:val="none"/>
                <w14:textFill>
                  <w14:solidFill>
                    <w14:schemeClr w14:val="tx1"/>
                  </w14:solidFill>
                </w14:textFill>
              </w:rPr>
              <w:t>造价工程师（或造价员）证书、职称证（如有职称要求）及以竞选人名义缴纳的养老保险证明材料复印件。</w:t>
            </w:r>
          </w:p>
          <w:p w14:paraId="568D97B7">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特别说明：</w:t>
            </w:r>
          </w:p>
          <w:p w14:paraId="110226F1">
            <w:pPr>
              <w:snapToGrid w:val="0"/>
              <w:spacing w:line="400" w:lineRule="exact"/>
              <w:ind w:firstLine="420" w:firstLineChars="200"/>
              <w:rPr>
                <w:rFonts w:hint="eastAsia" w:ascii="宋体" w:hAnsi="宋体"/>
                <w:b/>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①上述1～5条所须提交的相关证明材料复印件均应加盖竞选单位公章并装入竞选文件资格审查部分中。上述1～5条，有一条不满足，则竞选文件由评选委员会作否决竞选处理；</w:t>
            </w:r>
          </w:p>
          <w:p w14:paraId="1A9CAEC4">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②上述所有人员有养老保险证明材料</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养老保险</w:t>
            </w:r>
            <w:r>
              <w:rPr>
                <w:rFonts w:ascii="宋体" w:hAnsi="宋体"/>
                <w:bCs/>
                <w:snapToGrid w:val="0"/>
                <w:color w:val="000000" w:themeColor="text1"/>
                <w:kern w:val="0"/>
                <w:szCs w:val="21"/>
                <w:highlight w:val="none"/>
                <w14:textFill>
                  <w14:solidFill>
                    <w14:schemeClr w14:val="tx1"/>
                  </w14:solidFill>
                </w14:textFill>
              </w:rPr>
              <w:t>期限</w:t>
            </w:r>
            <w:r>
              <w:rPr>
                <w:rFonts w:hint="eastAsia" w:ascii="宋体" w:hAnsi="宋体"/>
                <w:bCs/>
                <w:snapToGrid w:val="0"/>
                <w:color w:val="000000" w:themeColor="text1"/>
                <w:kern w:val="0"/>
                <w:szCs w:val="21"/>
                <w:highlight w:val="none"/>
                <w14:textFill>
                  <w14:solidFill>
                    <w14:schemeClr w14:val="tx1"/>
                  </w14:solidFill>
                </w14:textFill>
              </w:rPr>
              <w:t>须包含</w:t>
            </w:r>
            <w:r>
              <w:rPr>
                <w:rFonts w:hint="eastAsia" w:ascii="宋体" w:hAnsi="宋体"/>
                <w:bCs/>
                <w:snapToGrid w:val="0"/>
                <w:color w:val="000000" w:themeColor="text1"/>
                <w:kern w:val="0"/>
                <w:szCs w:val="21"/>
                <w:highlight w:val="none"/>
                <w:u w:val="single"/>
                <w:lang w:val="en-US" w:eastAsia="zh-CN"/>
                <w14:textFill>
                  <w14:solidFill>
                    <w14:schemeClr w14:val="tx1"/>
                  </w14:solidFill>
                </w14:textFill>
              </w:rPr>
              <w:t>2025</w:t>
            </w:r>
            <w:r>
              <w:rPr>
                <w:rFonts w:ascii="宋体" w:hAnsi="宋体"/>
                <w:bCs/>
                <w:snapToGrid w:val="0"/>
                <w:color w:val="000000" w:themeColor="text1"/>
                <w:kern w:val="0"/>
                <w:szCs w:val="21"/>
                <w:highlight w:val="none"/>
                <w14:textFill>
                  <w14:solidFill>
                    <w14:schemeClr w14:val="tx1"/>
                  </w14:solidFill>
                </w14:textFill>
              </w:rPr>
              <w:t>年</w:t>
            </w:r>
            <w:r>
              <w:rPr>
                <w:rFonts w:hint="eastAsia" w:ascii="宋体" w:hAnsi="宋体"/>
                <w:bCs/>
                <w:snapToGrid w:val="0"/>
                <w:color w:val="000000" w:themeColor="text1"/>
                <w:kern w:val="0"/>
                <w:szCs w:val="21"/>
                <w:highlight w:val="none"/>
                <w:u w:val="single"/>
                <w:lang w:val="en-US" w:eastAsia="zh-CN"/>
                <w14:textFill>
                  <w14:solidFill>
                    <w14:schemeClr w14:val="tx1"/>
                  </w14:solidFill>
                </w14:textFill>
              </w:rPr>
              <w:t xml:space="preserve"> 3</w:t>
            </w:r>
            <w:r>
              <w:rPr>
                <w:rFonts w:ascii="宋体" w:hAnsi="宋体"/>
                <w:bCs/>
                <w:snapToGrid w:val="0"/>
                <w:color w:val="000000" w:themeColor="text1"/>
                <w:kern w:val="0"/>
                <w:szCs w:val="21"/>
                <w:highlight w:val="none"/>
                <w14:textFill>
                  <w14:solidFill>
                    <w14:schemeClr w14:val="tx1"/>
                  </w14:solidFill>
                </w14:textFill>
              </w:rPr>
              <w:t>月至</w:t>
            </w:r>
            <w:r>
              <w:rPr>
                <w:rFonts w:hint="eastAsia" w:ascii="宋体" w:hAnsi="宋体"/>
                <w:bCs/>
                <w:snapToGrid w:val="0"/>
                <w:color w:val="000000" w:themeColor="text1"/>
                <w:kern w:val="0"/>
                <w:szCs w:val="21"/>
                <w:highlight w:val="none"/>
                <w:u w:val="single"/>
                <w:lang w:val="en-US" w:eastAsia="zh-CN"/>
                <w14:textFill>
                  <w14:solidFill>
                    <w14:schemeClr w14:val="tx1"/>
                  </w14:solidFill>
                </w14:textFill>
              </w:rPr>
              <w:t>2025</w:t>
            </w:r>
            <w:r>
              <w:rPr>
                <w:rFonts w:ascii="宋体" w:hAnsi="宋体"/>
                <w:bCs/>
                <w:snapToGrid w:val="0"/>
                <w:color w:val="000000" w:themeColor="text1"/>
                <w:kern w:val="0"/>
                <w:szCs w:val="21"/>
                <w:highlight w:val="none"/>
                <w14:textFill>
                  <w14:solidFill>
                    <w14:schemeClr w14:val="tx1"/>
                  </w14:solidFill>
                </w14:textFill>
              </w:rPr>
              <w:t>年</w:t>
            </w:r>
            <w:r>
              <w:rPr>
                <w:rFonts w:hint="eastAsia" w:ascii="宋体" w:hAnsi="宋体"/>
                <w:bCs/>
                <w:snapToGrid w:val="0"/>
                <w:color w:val="000000" w:themeColor="text1"/>
                <w:kern w:val="0"/>
                <w:szCs w:val="21"/>
                <w:highlight w:val="none"/>
                <w:u w:val="single"/>
                <w14:textFill>
                  <w14:solidFill>
                    <w14:schemeClr w14:val="tx1"/>
                  </w14:solidFill>
                </w14:textFill>
              </w:rPr>
              <w:t xml:space="preserve"> </w:t>
            </w:r>
            <w:r>
              <w:rPr>
                <w:rFonts w:hint="eastAsia" w:ascii="宋体" w:hAnsi="宋体"/>
                <w:bCs/>
                <w:snapToGrid w:val="0"/>
                <w:color w:val="000000" w:themeColor="text1"/>
                <w:kern w:val="0"/>
                <w:szCs w:val="21"/>
                <w:highlight w:val="none"/>
                <w:u w:val="single"/>
                <w:lang w:val="en-US" w:eastAsia="zh-CN"/>
                <w14:textFill>
                  <w14:solidFill>
                    <w14:schemeClr w14:val="tx1"/>
                  </w14:solidFill>
                </w14:textFill>
              </w:rPr>
              <w:t>5</w:t>
            </w:r>
            <w:r>
              <w:rPr>
                <w:rFonts w:hint="eastAsia" w:ascii="宋体" w:hAnsi="宋体"/>
                <w:bCs/>
                <w:snapToGrid w:val="0"/>
                <w:color w:val="000000" w:themeColor="text1"/>
                <w:kern w:val="0"/>
                <w:szCs w:val="21"/>
                <w:highlight w:val="none"/>
                <w:u w:val="single"/>
                <w14:textFill>
                  <w14:solidFill>
                    <w14:schemeClr w14:val="tx1"/>
                  </w14:solidFill>
                </w14:textFill>
              </w:rPr>
              <w:t xml:space="preserve"> </w:t>
            </w:r>
            <w:r>
              <w:rPr>
                <w:rFonts w:ascii="宋体" w:hAnsi="宋体"/>
                <w:bCs/>
                <w:snapToGrid w:val="0"/>
                <w:color w:val="000000" w:themeColor="text1"/>
                <w:kern w:val="0"/>
                <w:szCs w:val="21"/>
                <w:highlight w:val="none"/>
                <w14:textFill>
                  <w14:solidFill>
                    <w14:schemeClr w14:val="tx1"/>
                  </w14:solidFill>
                </w14:textFill>
              </w:rPr>
              <w:t>月</w:t>
            </w:r>
            <w:r>
              <w:rPr>
                <w:rFonts w:hint="eastAsia" w:ascii="宋体" w:hAnsi="宋体" w:cs="宋体"/>
                <w:color w:val="000000" w:themeColor="text1"/>
                <w:highlight w:val="none"/>
                <w14:textFill>
                  <w14:solidFill>
                    <w14:schemeClr w14:val="tx1"/>
                  </w14:solidFill>
                </w14:textFill>
              </w:rPr>
              <w:t>；</w:t>
            </w:r>
          </w:p>
          <w:p w14:paraId="07E9460F">
            <w:pPr>
              <w:snapToGrid w:val="0"/>
              <w:spacing w:line="400" w:lineRule="exact"/>
              <w:ind w:firstLine="42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③比选人在合同签订前均有权对潜在竞选人提供的上述相关证明材料进行核实，若发现资料存在弄虚作假，按照相关法律法规处理， 其比选保证金不予退还，潜在竞选人承担因此造成的相关责任并赔偿相应损失。 </w:t>
            </w:r>
          </w:p>
        </w:tc>
      </w:tr>
      <w:tr w14:paraId="13383B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2D8995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1.4.2</w:t>
            </w:r>
          </w:p>
        </w:tc>
        <w:tc>
          <w:tcPr>
            <w:tcW w:w="1964" w:type="dxa"/>
            <w:vAlign w:val="center"/>
          </w:tcPr>
          <w:p w14:paraId="5A7E9FE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是否接受</w:t>
            </w:r>
          </w:p>
          <w:p w14:paraId="46C934D6">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联合体竞选</w:t>
            </w:r>
          </w:p>
        </w:tc>
        <w:tc>
          <w:tcPr>
            <w:tcW w:w="6372" w:type="dxa"/>
            <w:vAlign w:val="center"/>
          </w:tcPr>
          <w:p w14:paraId="2FFCE05E">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MS Mincho" w:eastAsia="MS Mincho" w:cs="MS Mincho"/>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不接受</w:t>
            </w:r>
          </w:p>
        </w:tc>
      </w:tr>
      <w:tr w14:paraId="22F37E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F5C315E">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1.9.1</w:t>
            </w:r>
          </w:p>
        </w:tc>
        <w:tc>
          <w:tcPr>
            <w:tcW w:w="1964" w:type="dxa"/>
            <w:vAlign w:val="center"/>
          </w:tcPr>
          <w:p w14:paraId="3EDEDEEE">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踏勘现场</w:t>
            </w:r>
          </w:p>
        </w:tc>
        <w:tc>
          <w:tcPr>
            <w:tcW w:w="6372" w:type="dxa"/>
            <w:vAlign w:val="center"/>
          </w:tcPr>
          <w:p w14:paraId="071B2D00">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MS Mincho" w:eastAsia="MS Mincho" w:cs="MS Mincho"/>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不组织，由竞选人自行踏勘现场。</w:t>
            </w:r>
          </w:p>
          <w:p w14:paraId="389A18FD">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□组织，集中踏勘时间：</w:t>
            </w:r>
          </w:p>
          <w:p w14:paraId="0ABD8066">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集中踏勘地点：</w:t>
            </w:r>
          </w:p>
        </w:tc>
      </w:tr>
      <w:tr w14:paraId="091015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2451BD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1.10.1</w:t>
            </w:r>
          </w:p>
        </w:tc>
        <w:tc>
          <w:tcPr>
            <w:tcW w:w="1964" w:type="dxa"/>
            <w:vAlign w:val="center"/>
          </w:tcPr>
          <w:p w14:paraId="604A12E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比选预备会</w:t>
            </w:r>
          </w:p>
        </w:tc>
        <w:tc>
          <w:tcPr>
            <w:tcW w:w="6372" w:type="dxa"/>
            <w:vAlign w:val="center"/>
          </w:tcPr>
          <w:p w14:paraId="14C4BF7A">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MS Mincho" w:eastAsia="MS Mincho" w:cs="MS Mincho"/>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不召开</w:t>
            </w:r>
          </w:p>
          <w:p w14:paraId="5AF279B2">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□召开，召开时间：</w:t>
            </w:r>
          </w:p>
          <w:p w14:paraId="23337B5B">
            <w:pPr>
              <w:snapToGrid w:val="0"/>
              <w:spacing w:after="15" w:afterLines="5"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召开地点：</w:t>
            </w:r>
          </w:p>
        </w:tc>
      </w:tr>
      <w:tr w14:paraId="5FBF7D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920EE6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1.11</w:t>
            </w:r>
          </w:p>
        </w:tc>
        <w:tc>
          <w:tcPr>
            <w:tcW w:w="1964" w:type="dxa"/>
            <w:vAlign w:val="center"/>
          </w:tcPr>
          <w:p w14:paraId="0F65CCB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分包</w:t>
            </w:r>
          </w:p>
        </w:tc>
        <w:tc>
          <w:tcPr>
            <w:tcW w:w="6372" w:type="dxa"/>
            <w:vAlign w:val="center"/>
          </w:tcPr>
          <w:p w14:paraId="4F6B5B47">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MS Mincho" w:eastAsia="MS Mincho" w:cs="MS Mincho"/>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不允许</w:t>
            </w:r>
          </w:p>
          <w:p w14:paraId="6499819E">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允许，分包内容要求：</w:t>
            </w:r>
          </w:p>
          <w:p w14:paraId="700E6788">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分包金额要求：</w:t>
            </w:r>
          </w:p>
          <w:p w14:paraId="73A6C424">
            <w:pPr>
              <w:snapToGrid w:val="0"/>
              <w:spacing w:after="15" w:afterLines="5" w:line="400" w:lineRule="exact"/>
              <w:rPr>
                <w:rFonts w:hint="eastAsia" w:ascii="宋体" w:hAnsi="宋体" w:cs="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接受分包的第三人资质要求：</w:t>
            </w:r>
          </w:p>
        </w:tc>
      </w:tr>
      <w:tr w14:paraId="367C67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02F618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2.1</w:t>
            </w:r>
          </w:p>
        </w:tc>
        <w:tc>
          <w:tcPr>
            <w:tcW w:w="1964" w:type="dxa"/>
            <w:vAlign w:val="center"/>
          </w:tcPr>
          <w:p w14:paraId="44BD6763">
            <w:pPr>
              <w:snapToGrid w:val="0"/>
              <w:spacing w:after="15" w:afterLines="5"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构成比选文件的其他材料</w:t>
            </w:r>
          </w:p>
        </w:tc>
        <w:tc>
          <w:tcPr>
            <w:tcW w:w="6372" w:type="dxa"/>
            <w:vAlign w:val="center"/>
          </w:tcPr>
          <w:p w14:paraId="313417A8">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比选人发出的答疑及补遗书</w:t>
            </w:r>
          </w:p>
        </w:tc>
      </w:tr>
      <w:tr w14:paraId="334F7F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DAC4F3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2.2.1</w:t>
            </w:r>
          </w:p>
        </w:tc>
        <w:tc>
          <w:tcPr>
            <w:tcW w:w="1964" w:type="dxa"/>
            <w:tcBorders>
              <w:bottom w:val="single" w:color="auto" w:sz="4" w:space="0"/>
            </w:tcBorders>
            <w:vAlign w:val="center"/>
          </w:tcPr>
          <w:p w14:paraId="3667891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竞选人对比选文件提出疑问</w:t>
            </w:r>
          </w:p>
          <w:p w14:paraId="3D03BD6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tc>
        <w:tc>
          <w:tcPr>
            <w:tcW w:w="6372" w:type="dxa"/>
            <w:vAlign w:val="center"/>
          </w:tcPr>
          <w:p w14:paraId="538513A5">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竞选人在收到比选文件后，应仔细检查比选文件的所有内容，如有残缺或文字表述不清，图纸尺寸标注不明以及存在错、碰、漏、缺、概念模糊和有可能出现歧义或理解上的偏差的内容等应以书面形式提交。</w:t>
            </w:r>
          </w:p>
        </w:tc>
      </w:tr>
      <w:tr w14:paraId="333545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BE9938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3.1.1</w:t>
            </w:r>
          </w:p>
        </w:tc>
        <w:tc>
          <w:tcPr>
            <w:tcW w:w="1964" w:type="dxa"/>
            <w:vAlign w:val="center"/>
          </w:tcPr>
          <w:p w14:paraId="1ACDBC79">
            <w:pPr>
              <w:snapToGrid w:val="0"/>
              <w:spacing w:after="31" w:afterLines="10"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构成竞选文件</w:t>
            </w:r>
          </w:p>
          <w:p w14:paraId="61C42F4B">
            <w:pPr>
              <w:snapToGrid w:val="0"/>
              <w:spacing w:after="31" w:afterLines="10"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的其他材料</w:t>
            </w:r>
          </w:p>
        </w:tc>
        <w:tc>
          <w:tcPr>
            <w:tcW w:w="6372" w:type="dxa"/>
            <w:vAlign w:val="center"/>
          </w:tcPr>
          <w:p w14:paraId="3E573912">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竞选人的书面澄清、说明和补正（但不得改变竞选文件的实质性内容）</w:t>
            </w:r>
          </w:p>
        </w:tc>
      </w:tr>
      <w:tr w14:paraId="3E7251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DC3904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3.2</w:t>
            </w:r>
          </w:p>
        </w:tc>
        <w:tc>
          <w:tcPr>
            <w:tcW w:w="1964" w:type="dxa"/>
            <w:vAlign w:val="center"/>
          </w:tcPr>
          <w:p w14:paraId="7282E69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竞选报价</w:t>
            </w:r>
          </w:p>
        </w:tc>
        <w:tc>
          <w:tcPr>
            <w:tcW w:w="6372" w:type="dxa"/>
            <w:vAlign w:val="center"/>
          </w:tcPr>
          <w:p w14:paraId="22D4C676">
            <w:pPr>
              <w:pStyle w:val="48"/>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一、报价范围</w:t>
            </w:r>
          </w:p>
          <w:p w14:paraId="57CE58BC">
            <w:pPr>
              <w:pStyle w:val="48"/>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1.参选报价应是本章竞选人须知前附表1.3.1项中所述的本次比选范围内的全部内容的参选报价，是竞选人根据市场行情及自身情况的自主报价 。</w:t>
            </w:r>
          </w:p>
          <w:p w14:paraId="222F0329">
            <w:pPr>
              <w:pStyle w:val="48"/>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2.参选报价包含但不限于竞选人完成本合同约定的全过程所发生的人工费、材料费、机具费、资料费、交通费、差旅费、评审费、聘请专家咨询费、咨询费、文本打印费、资料快递费、调 查和调研费、赶工费、项目部办公场地费用（含房租、水电、家具等全部费用）、成果提交增加份数费用、广联达软件费、管理费、利润、税金等等完成本项目服务范围和工作内容的一切费用， 包括但不限于工程设计变更阶段及工程施工期间所产生的所有费用。竞选人不得因“市场变化、规范和标准调整等一切可预见和不可预见因素”向比选人提出另外增加任何费用。因竞选人自身原因造成漏报、少报 皆由其自行承担责任，比选人不再补偿及另行支付费用。</w:t>
            </w:r>
          </w:p>
          <w:p w14:paraId="0098EDBA">
            <w:pPr>
              <w:pStyle w:val="48"/>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3.竞选人应先到项目所在地踏勘，以充分了解项目位置、地质地貌、气候与水文条件、交通状况、电力、给水、排水、热力和天然气等及任何其他足以影响 其提交成果文件的可实现性和承包价的情况。任何因中选人忽视或误解项目基本情况，而使比选人在项目实施过程中蒙受的损失，将由中选人按合同约定对比选人进行赔偿。</w:t>
            </w:r>
          </w:p>
          <w:p w14:paraId="05E4A408">
            <w:pPr>
              <w:pStyle w:val="48"/>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二、计价原则：</w:t>
            </w:r>
          </w:p>
          <w:p w14:paraId="2F7587DF">
            <w:pPr>
              <w:pStyle w:val="48"/>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根据渝价【2013】428号文件收费标准（清单计价方式）取费标准，结合自身实力自行考虑按折扣费率进行报价。所填报的服务取费比例作为结算使用，参选费率需综合考虑本项目比选范围内的所有工作内容，竞选人应将本工程的相关费用充分考虑进入参选报价的费率中。</w:t>
            </w:r>
          </w:p>
          <w:p w14:paraId="4AEA477E">
            <w:pPr>
              <w:pStyle w:val="48"/>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2、在本合同范围内，无论任何因素（工期延长，人员增加，国家政策或法规、标准调整，市场价格波动等），中选费率均不作调整。</w:t>
            </w:r>
          </w:p>
          <w:p w14:paraId="18C58049">
            <w:pPr>
              <w:pStyle w:val="48"/>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三、比选最高限价：</w:t>
            </w:r>
          </w:p>
          <w:p w14:paraId="6BD721AC">
            <w:pPr>
              <w:pStyle w:val="48"/>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本项目比选最高限价：</w:t>
            </w:r>
            <w:r>
              <w:rPr>
                <w:rFonts w:hint="eastAsia" w:ascii="宋体" w:hAnsi="宋体"/>
                <w:b/>
                <w:bCs/>
                <w:color w:val="000000" w:themeColor="text1"/>
                <w:szCs w:val="21"/>
                <w:highlight w:val="none"/>
                <w14:textFill>
                  <w14:solidFill>
                    <w14:schemeClr w14:val="tx1"/>
                  </w14:solidFill>
                </w14:textFill>
              </w:rPr>
              <w:t>以暂定建安工程费8900万元</w:t>
            </w:r>
            <w:r>
              <w:rPr>
                <w:rFonts w:hint="eastAsia" w:ascii="宋体" w:hAnsi="宋体"/>
                <w:color w:val="000000" w:themeColor="text1"/>
                <w:szCs w:val="21"/>
                <w:highlight w:val="none"/>
                <w14:textFill>
                  <w14:solidFill>
                    <w14:schemeClr w14:val="tx1"/>
                  </w14:solidFill>
                </w14:textFill>
              </w:rPr>
              <w:t>为计费基数，</w:t>
            </w:r>
            <w:r>
              <w:rPr>
                <w:rFonts w:ascii="宋体" w:hAnsi="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预算编制费固定费率最高限价为暂估工程费的0.20%，暂定服务费最高限价为178500元；跟审费固定费率最高限价为暂估工程费的0.47%，暂定服务费最高限价为416000元。</w:t>
            </w:r>
            <w:r>
              <w:rPr>
                <w:rFonts w:hint="eastAsia" w:ascii="宋体" w:hAnsi="宋体"/>
                <w:color w:val="000000" w:themeColor="text1"/>
                <w:szCs w:val="21"/>
                <w:highlight w:val="none"/>
                <w14:textFill>
                  <w14:solidFill>
                    <w14:schemeClr w14:val="tx1"/>
                  </w14:solidFill>
                </w14:textFill>
              </w:rPr>
              <w:t>。</w:t>
            </w:r>
          </w:p>
          <w:p w14:paraId="3733A352">
            <w:pPr>
              <w:pStyle w:val="48"/>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各竞选人的竞选总报价不得超过最高限价，</w:t>
            </w:r>
            <w:r>
              <w:rPr>
                <w:rFonts w:ascii="宋体" w:hAnsi="宋体" w:cs="宋体"/>
                <w:color w:val="000000" w:themeColor="text1"/>
                <w:highlight w:val="none"/>
                <w14:textFill>
                  <w14:solidFill>
                    <w14:schemeClr w14:val="tx1"/>
                  </w14:solidFill>
                </w14:textFill>
              </w:rPr>
              <w:t>否则由评</w:t>
            </w:r>
            <w:r>
              <w:rPr>
                <w:rFonts w:hint="eastAsia" w:ascii="宋体" w:hAnsi="宋体" w:cs="宋体"/>
                <w:color w:val="000000" w:themeColor="text1"/>
                <w:highlight w:val="none"/>
                <w14:textFill>
                  <w14:solidFill>
                    <w14:schemeClr w14:val="tx1"/>
                  </w14:solidFill>
                </w14:textFill>
              </w:rPr>
              <w:t>审</w:t>
            </w:r>
            <w:r>
              <w:rPr>
                <w:rFonts w:ascii="宋体" w:hAnsi="宋体" w:cs="宋体"/>
                <w:color w:val="000000" w:themeColor="text1"/>
                <w:highlight w:val="none"/>
                <w14:textFill>
                  <w14:solidFill>
                    <w14:schemeClr w14:val="tx1"/>
                  </w14:solidFill>
                </w14:textFill>
              </w:rPr>
              <w:t>委员会作否决投</w:t>
            </w:r>
            <w:r>
              <w:rPr>
                <w:rFonts w:ascii="宋体" w:hAnsi="宋体" w:cs="宋体"/>
                <w:color w:val="000000" w:themeColor="text1"/>
                <w:spacing w:val="-10"/>
                <w:highlight w:val="none"/>
                <w14:textFill>
                  <w14:solidFill>
                    <w14:schemeClr w14:val="tx1"/>
                  </w14:solidFill>
                </w14:textFill>
              </w:rPr>
              <w:t>标处理</w:t>
            </w:r>
            <w:r>
              <w:rPr>
                <w:rFonts w:hint="eastAsia" w:ascii="宋体" w:hAnsi="宋体"/>
                <w:color w:val="000000" w:themeColor="text1"/>
                <w:szCs w:val="21"/>
                <w:highlight w:val="none"/>
                <w14:textFill>
                  <w14:solidFill>
                    <w14:schemeClr w14:val="tx1"/>
                  </w14:solidFill>
                </w14:textFill>
              </w:rPr>
              <w:t>。</w:t>
            </w:r>
          </w:p>
          <w:p w14:paraId="530D408D">
            <w:pPr>
              <w:pStyle w:val="48"/>
              <w:tabs>
                <w:tab w:val="left" w:pos="1076"/>
              </w:tabs>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注：填报的</w:t>
            </w:r>
            <w:r>
              <w:rPr>
                <w:rFonts w:hint="eastAsia" w:ascii="宋体" w:hAnsi="宋体"/>
                <w:color w:val="000000" w:themeColor="text1"/>
                <w:szCs w:val="21"/>
                <w:highlight w:val="none"/>
                <w:lang w:val="en-US" w:eastAsia="zh-CN"/>
                <w14:textFill>
                  <w14:solidFill>
                    <w14:schemeClr w14:val="tx1"/>
                  </w14:solidFill>
                </w14:textFill>
              </w:rPr>
              <w:t>服务费</w:t>
            </w:r>
            <w:r>
              <w:rPr>
                <w:rFonts w:hint="eastAsia" w:ascii="宋体" w:hAnsi="宋体"/>
                <w:color w:val="000000" w:themeColor="text1"/>
                <w:szCs w:val="21"/>
                <w:highlight w:val="none"/>
                <w14:textFill>
                  <w14:solidFill>
                    <w14:schemeClr w14:val="tx1"/>
                  </w14:solidFill>
                </w14:textFill>
              </w:rPr>
              <w:t>费率</w:t>
            </w:r>
            <w:r>
              <w:rPr>
                <w:rFonts w:hint="eastAsia" w:ascii="宋体" w:hAnsi="宋体"/>
                <w:color w:val="000000" w:themeColor="text1"/>
                <w:szCs w:val="21"/>
                <w:highlight w:val="none"/>
                <w:lang w:val="en-US" w:eastAsia="zh-CN"/>
                <w14:textFill>
                  <w14:solidFill>
                    <w14:schemeClr w14:val="tx1"/>
                  </w14:solidFill>
                </w14:textFill>
              </w:rPr>
              <w:t>及服务费金额</w:t>
            </w:r>
            <w:r>
              <w:rPr>
                <w:rFonts w:hint="eastAsia" w:ascii="宋体" w:hAnsi="宋体"/>
                <w:color w:val="000000" w:themeColor="text1"/>
                <w:szCs w:val="21"/>
                <w:highlight w:val="none"/>
                <w14:textFill>
                  <w14:solidFill>
                    <w14:schemeClr w14:val="tx1"/>
                  </w14:solidFill>
                </w14:textFill>
              </w:rPr>
              <w:t>保留到小数点后两位，小数点后第三位“四舍五入”。</w:t>
            </w:r>
          </w:p>
        </w:tc>
      </w:tr>
      <w:tr w14:paraId="1EB224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2A0A05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3.3.1</w:t>
            </w:r>
          </w:p>
        </w:tc>
        <w:tc>
          <w:tcPr>
            <w:tcW w:w="1964" w:type="dxa"/>
            <w:vAlign w:val="center"/>
          </w:tcPr>
          <w:p w14:paraId="2733C22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比选有效期</w:t>
            </w:r>
          </w:p>
        </w:tc>
        <w:tc>
          <w:tcPr>
            <w:tcW w:w="6372" w:type="dxa"/>
            <w:vAlign w:val="center"/>
          </w:tcPr>
          <w:p w14:paraId="07AD4EBC">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90</w:t>
            </w:r>
            <w:r>
              <w:rPr>
                <w:rFonts w:hint="eastAsia" w:ascii="宋体" w:hAnsi="宋体" w:cs="宋体"/>
                <w:color w:val="000000" w:themeColor="text1"/>
                <w:szCs w:val="21"/>
                <w:highlight w:val="none"/>
                <w14:textFill>
                  <w14:solidFill>
                    <w14:schemeClr w14:val="tx1"/>
                  </w14:solidFill>
                </w14:textFill>
              </w:rPr>
              <w:t>日历天（从提交竞选文件截止日起计算）</w:t>
            </w:r>
          </w:p>
        </w:tc>
      </w:tr>
      <w:tr w14:paraId="3B59CD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3337C3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3.4</w:t>
            </w:r>
          </w:p>
        </w:tc>
        <w:tc>
          <w:tcPr>
            <w:tcW w:w="1964" w:type="dxa"/>
            <w:vAlign w:val="center"/>
          </w:tcPr>
          <w:p w14:paraId="59313A5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比选保证金</w:t>
            </w:r>
          </w:p>
        </w:tc>
        <w:tc>
          <w:tcPr>
            <w:tcW w:w="6372" w:type="dxa"/>
            <w:vAlign w:val="center"/>
          </w:tcPr>
          <w:p w14:paraId="2552BF7C">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（一）保证金递交</w:t>
            </w:r>
          </w:p>
          <w:p w14:paraId="7288C585">
            <w:pPr>
              <w:widowControl/>
              <w:spacing w:line="400" w:lineRule="exact"/>
              <w:ind w:firstLine="456"/>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1.竞选人须将保证金人民币：</w:t>
            </w:r>
            <w:r>
              <w:rPr>
                <w:rFonts w:hint="eastAsia" w:ascii="宋体" w:hAnsi="宋体" w:cs="宋体"/>
                <w:color w:val="000000" w:themeColor="text1"/>
                <w:highlight w:val="none"/>
                <w:lang w:val="en-US" w:eastAsia="zh-CN"/>
                <w14:textFill>
                  <w14:solidFill>
                    <w14:schemeClr w14:val="tx1"/>
                  </w14:solidFill>
                </w14:textFill>
              </w:rPr>
              <w:t>10000</w:t>
            </w:r>
            <w:r>
              <w:rPr>
                <w:rFonts w:hint="eastAsia" w:ascii="宋体" w:hAnsi="宋体" w:cs="宋体"/>
                <w:color w:val="000000" w:themeColor="text1"/>
                <w:highlight w:val="none"/>
                <w14:textFill>
                  <w14:solidFill>
                    <w14:schemeClr w14:val="tx1"/>
                  </w14:solidFill>
                </w14:textFill>
              </w:rPr>
              <w:t>元（大写：</w:t>
            </w:r>
            <w:r>
              <w:rPr>
                <w:rFonts w:hint="eastAsia" w:ascii="宋体" w:hAnsi="宋体" w:cs="宋体"/>
                <w:color w:val="000000" w:themeColor="text1"/>
                <w:highlight w:val="none"/>
                <w:lang w:val="en-US" w:eastAsia="zh-CN"/>
                <w14:textFill>
                  <w14:solidFill>
                    <w14:schemeClr w14:val="tx1"/>
                  </w14:solidFill>
                </w14:textFill>
              </w:rPr>
              <w:t>壹万</w:t>
            </w:r>
            <w:r>
              <w:rPr>
                <w:rFonts w:hint="eastAsia" w:ascii="宋体" w:hAnsi="宋体" w:cs="宋体"/>
                <w:color w:val="000000" w:themeColor="text1"/>
                <w:highlight w:val="none"/>
                <w14:textFill>
                  <w14:solidFill>
                    <w14:schemeClr w14:val="tx1"/>
                  </w14:solidFill>
                </w14:textFill>
              </w:rPr>
              <w:t>元整）于202</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11</w:t>
            </w:r>
            <w:r>
              <w:rPr>
                <w:rFonts w:hint="eastAsia" w:ascii="宋体" w:hAnsi="宋体" w:cs="宋体"/>
                <w:color w:val="000000" w:themeColor="text1"/>
                <w:highlight w:val="none"/>
                <w14:textFill>
                  <w14:solidFill>
                    <w14:schemeClr w14:val="tx1"/>
                  </w14:solidFill>
                </w14:textFill>
              </w:rPr>
              <w:t>日17：00时前以竞标人的名义通过单位账户（以到账时间为准）递交到招标代理公司所指定的账户。</w:t>
            </w:r>
          </w:p>
          <w:p w14:paraId="040E787B">
            <w:pPr>
              <w:widowControl/>
              <w:spacing w:line="400" w:lineRule="exact"/>
              <w:ind w:firstLine="456"/>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户  名：重庆市中基致信招标代理有限公司</w:t>
            </w:r>
          </w:p>
          <w:p w14:paraId="3A30AF38">
            <w:pPr>
              <w:widowControl/>
              <w:spacing w:line="400" w:lineRule="exact"/>
              <w:ind w:firstLine="456"/>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开户行：中国银行重庆江北支行</w:t>
            </w:r>
          </w:p>
          <w:p w14:paraId="78BEDB72">
            <w:pPr>
              <w:widowControl/>
              <w:spacing w:line="400" w:lineRule="exact"/>
              <w:ind w:firstLine="456"/>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账  号：1144 6718 4234</w:t>
            </w:r>
          </w:p>
          <w:p w14:paraId="4CF59807">
            <w:pPr>
              <w:widowControl/>
              <w:spacing w:line="400" w:lineRule="exact"/>
              <w:ind w:firstLine="456"/>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2.保证金打款时请批注“</w:t>
            </w:r>
            <w:r>
              <w:rPr>
                <w:rFonts w:hint="eastAsia" w:ascii="宋体" w:hAnsi="宋体" w:cs="宋体"/>
                <w:color w:val="000000" w:themeColor="text1"/>
                <w:highlight w:val="none"/>
                <w:lang w:eastAsia="zh-CN"/>
                <w14:textFill>
                  <w14:solidFill>
                    <w14:schemeClr w14:val="tx1"/>
                  </w14:solidFill>
                </w14:textFill>
              </w:rPr>
              <w:t xml:space="preserve">南岸区弹子石片区居民共有产权雨水管网改造工程预算编制及跟审服务 </w:t>
            </w:r>
            <w:r>
              <w:rPr>
                <w:rFonts w:hint="eastAsia" w:ascii="宋体" w:hAnsi="宋体" w:cs="宋体"/>
                <w:color w:val="000000" w:themeColor="text1"/>
                <w:highlight w:val="none"/>
                <w14:textFill>
                  <w14:solidFill>
                    <w14:schemeClr w14:val="tx1"/>
                  </w14:solidFill>
                </w14:textFill>
              </w:rPr>
              <w:t>保证金（项目名称可简写）或项目号”。</w:t>
            </w:r>
          </w:p>
          <w:p w14:paraId="04D628E0">
            <w:pPr>
              <w:widowControl/>
              <w:spacing w:line="400" w:lineRule="exact"/>
              <w:ind w:firstLine="456"/>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（二）保证金退还方式</w:t>
            </w:r>
          </w:p>
          <w:p w14:paraId="26EAD52B">
            <w:pPr>
              <w:widowControl/>
              <w:spacing w:line="400" w:lineRule="exact"/>
              <w:ind w:firstLine="456"/>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1.未中选人的保证金，在成交结果公示后五个工作日内原路退还。</w:t>
            </w:r>
          </w:p>
          <w:p w14:paraId="0367ACB8">
            <w:pPr>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2.中选人的保证金，在中选人与比选人签订合同后，请凭合同复印件至代购代理机构公司退</w:t>
            </w:r>
            <w:r>
              <w:rPr>
                <w:rFonts w:hint="eastAsia"/>
                <w:color w:val="000000" w:themeColor="text1"/>
                <w:highlight w:val="none"/>
                <w14:textFill>
                  <w14:solidFill>
                    <w14:schemeClr w14:val="tx1"/>
                  </w14:solidFill>
                </w14:textFill>
              </w:rPr>
              <w:t>款。</w:t>
            </w:r>
          </w:p>
        </w:tc>
      </w:tr>
      <w:tr w14:paraId="162AAD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F2162B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3.5.1</w:t>
            </w:r>
          </w:p>
        </w:tc>
        <w:tc>
          <w:tcPr>
            <w:tcW w:w="1964" w:type="dxa"/>
            <w:vAlign w:val="center"/>
          </w:tcPr>
          <w:p w14:paraId="3ED4A36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资格审查资料</w:t>
            </w:r>
          </w:p>
        </w:tc>
        <w:tc>
          <w:tcPr>
            <w:tcW w:w="6372" w:type="dxa"/>
            <w:vAlign w:val="center"/>
          </w:tcPr>
          <w:p w14:paraId="7E8D84C0">
            <w:pPr>
              <w:snapToGrid w:val="0"/>
              <w:spacing w:after="93" w:afterLines="30"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按1.4.1要求提供</w:t>
            </w:r>
          </w:p>
        </w:tc>
      </w:tr>
      <w:tr w14:paraId="7CD29A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E5DCC4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3.5.2</w:t>
            </w:r>
          </w:p>
        </w:tc>
        <w:tc>
          <w:tcPr>
            <w:tcW w:w="1964" w:type="dxa"/>
            <w:vAlign w:val="center"/>
          </w:tcPr>
          <w:p w14:paraId="6F72D8CB">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近年财务状况</w:t>
            </w:r>
          </w:p>
          <w:p w14:paraId="23F3E0A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的年份要求</w:t>
            </w:r>
          </w:p>
        </w:tc>
        <w:tc>
          <w:tcPr>
            <w:tcW w:w="6372" w:type="dxa"/>
            <w:vAlign w:val="center"/>
          </w:tcPr>
          <w:p w14:paraId="5DFE38B7">
            <w:pPr>
              <w:snapToGrid w:val="0"/>
              <w:spacing w:after="93" w:afterLines="30"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按1.4.1要求提供</w:t>
            </w:r>
          </w:p>
        </w:tc>
      </w:tr>
      <w:tr w14:paraId="20F90D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678285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3.5.3</w:t>
            </w:r>
          </w:p>
        </w:tc>
        <w:tc>
          <w:tcPr>
            <w:tcW w:w="1964" w:type="dxa"/>
            <w:vAlign w:val="center"/>
          </w:tcPr>
          <w:p w14:paraId="3AAF792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近年完成的</w:t>
            </w:r>
          </w:p>
          <w:p w14:paraId="78C6A853">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类似业绩的</w:t>
            </w:r>
          </w:p>
          <w:p w14:paraId="783460F9">
            <w:pPr>
              <w:snapToGrid w:val="0"/>
              <w:spacing w:after="93" w:afterLines="30"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年份要求</w:t>
            </w:r>
          </w:p>
        </w:tc>
        <w:tc>
          <w:tcPr>
            <w:tcW w:w="6372" w:type="dxa"/>
            <w:vAlign w:val="center"/>
          </w:tcPr>
          <w:p w14:paraId="0C793529">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按1.4.1要求提供</w:t>
            </w:r>
          </w:p>
        </w:tc>
      </w:tr>
      <w:tr w14:paraId="3E2699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D8337E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3.6</w:t>
            </w:r>
          </w:p>
        </w:tc>
        <w:tc>
          <w:tcPr>
            <w:tcW w:w="1964" w:type="dxa"/>
            <w:vAlign w:val="center"/>
          </w:tcPr>
          <w:p w14:paraId="7E036CF4">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是否允许递交</w:t>
            </w:r>
          </w:p>
          <w:p w14:paraId="6477D203">
            <w:pPr>
              <w:snapToGrid w:val="0"/>
              <w:spacing w:after="93" w:afterLines="30"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备选竞选方案</w:t>
            </w:r>
          </w:p>
        </w:tc>
        <w:tc>
          <w:tcPr>
            <w:tcW w:w="6372" w:type="dxa"/>
            <w:vAlign w:val="center"/>
          </w:tcPr>
          <w:p w14:paraId="63C0A337">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MS Mincho" w:eastAsia="MS Mincho" w:cs="MS Mincho"/>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不允许</w:t>
            </w:r>
          </w:p>
          <w:p w14:paraId="704264EC">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口允许</w:t>
            </w:r>
          </w:p>
        </w:tc>
      </w:tr>
      <w:tr w14:paraId="28FE7F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9E77F93">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3.7.3</w:t>
            </w:r>
          </w:p>
        </w:tc>
        <w:tc>
          <w:tcPr>
            <w:tcW w:w="1964" w:type="dxa"/>
            <w:vAlign w:val="center"/>
          </w:tcPr>
          <w:p w14:paraId="71162163">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签字盖章要求</w:t>
            </w:r>
          </w:p>
        </w:tc>
        <w:tc>
          <w:tcPr>
            <w:tcW w:w="6372" w:type="dxa"/>
            <w:vAlign w:val="center"/>
          </w:tcPr>
          <w:p w14:paraId="790BBDE2">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选文件应用不褪色的材料书写或打印，并由竞选人的法定代表人或其委托代理人在比选文件规定的位置按比选文件要求签字或盖章、盖单位公章。委托代理人签字的，竞选文件应附法定代表人签署的授权委托书。竞选文件应尽量避免涂改、行间插字或删除。如果出现上述情况，改动之处应加盖单位公章或由竞选人的法定代表人或其授权的代理人签字确认。</w:t>
            </w:r>
          </w:p>
          <w:p w14:paraId="52808F18">
            <w:pPr>
              <w:snapToGrid w:val="0"/>
              <w:spacing w:line="400" w:lineRule="exact"/>
              <w:ind w:firstLine="420" w:firstLineChars="200"/>
              <w:rPr>
                <w:rFonts w:hint="eastAsia" w:ascii="宋体" w:hAnsi="宋体" w:cs="宋体"/>
                <w:i/>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未按上述规定执行的，交由评选委员会作否决竞选处理。</w:t>
            </w:r>
          </w:p>
        </w:tc>
      </w:tr>
      <w:tr w14:paraId="64A9F1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673439E">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3.7.4</w:t>
            </w:r>
          </w:p>
        </w:tc>
        <w:tc>
          <w:tcPr>
            <w:tcW w:w="1964" w:type="dxa"/>
            <w:vAlign w:val="center"/>
          </w:tcPr>
          <w:p w14:paraId="4EF5CF1A">
            <w:pPr>
              <w:snapToGrid w:val="0"/>
              <w:spacing w:line="400" w:lineRule="exact"/>
              <w:rPr>
                <w:rFonts w:hint="eastAsia" w:ascii="宋体" w:hAnsi="宋体" w:cs="宋体"/>
                <w:color w:val="000000" w:themeColor="text1"/>
                <w:spacing w:val="-6"/>
                <w:kern w:val="0"/>
                <w:szCs w:val="21"/>
                <w:highlight w:val="none"/>
                <w14:textFill>
                  <w14:solidFill>
                    <w14:schemeClr w14:val="tx1"/>
                  </w14:solidFill>
                </w14:textFill>
              </w:rPr>
            </w:pPr>
            <w:r>
              <w:rPr>
                <w:rFonts w:hint="eastAsia" w:ascii="宋体" w:hAnsi="宋体" w:cs="宋体"/>
                <w:color w:val="000000" w:themeColor="text1"/>
                <w:spacing w:val="-6"/>
                <w:kern w:val="0"/>
                <w:szCs w:val="21"/>
                <w:highlight w:val="none"/>
                <w14:textFill>
                  <w14:solidFill>
                    <w14:schemeClr w14:val="tx1"/>
                  </w14:solidFill>
                </w14:textFill>
              </w:rPr>
              <w:t>竞选文件的份数</w:t>
            </w:r>
          </w:p>
        </w:tc>
        <w:tc>
          <w:tcPr>
            <w:tcW w:w="6372" w:type="dxa"/>
            <w:vAlign w:val="center"/>
          </w:tcPr>
          <w:p w14:paraId="4716F5F5">
            <w:pPr>
              <w:widowControl/>
              <w:spacing w:line="400" w:lineRule="exact"/>
              <w:ind w:firstLine="456"/>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正本</w:t>
            </w:r>
            <w:r>
              <w:rPr>
                <w:rFonts w:hint="eastAsia" w:ascii="宋体" w:hAnsi="宋体"/>
                <w:color w:val="000000" w:themeColor="text1"/>
                <w:kern w:val="0"/>
                <w:szCs w:val="21"/>
                <w:highlight w:val="none"/>
                <w14:textFill>
                  <w14:solidFill>
                    <w14:schemeClr w14:val="tx1"/>
                  </w14:solidFill>
                </w14:textFill>
              </w:rPr>
              <w:t>1份、副本1份，电子版形式（U盘）1份，</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服务方案</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2份</w:t>
            </w:r>
            <w:r>
              <w:rPr>
                <w:rFonts w:ascii="宋体" w:hAnsi="宋体"/>
                <w:snapToGrid w:val="0"/>
                <w:color w:val="000000" w:themeColor="text1"/>
                <w:kern w:val="0"/>
                <w:szCs w:val="21"/>
                <w:highlight w:val="none"/>
                <w14:textFill>
                  <w14:solidFill>
                    <w14:schemeClr w14:val="tx1"/>
                  </w14:solidFill>
                </w14:textFill>
              </w:rPr>
              <w:t>不分正副本</w:t>
            </w:r>
            <w:r>
              <w:rPr>
                <w:rFonts w:hint="eastAsia" w:ascii="宋体" w:hAnsi="宋体"/>
                <w:color w:val="000000" w:themeColor="text1"/>
                <w:kern w:val="0"/>
                <w:szCs w:val="21"/>
                <w:highlight w:val="none"/>
                <w14:textFill>
                  <w14:solidFill>
                    <w14:schemeClr w14:val="tx1"/>
                  </w14:solidFill>
                </w14:textFill>
              </w:rPr>
              <w:t>。当副本和正本不一致时，以正本为准。否则由评标委员会作否决投标处理。</w:t>
            </w:r>
          </w:p>
          <w:p w14:paraId="56E685DA">
            <w:pPr>
              <w:widowControl/>
              <w:spacing w:line="400" w:lineRule="exact"/>
              <w:ind w:firstLine="456"/>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电子版形式（U盘）：包含纸质竞选文件中的所有内容，不分正副本。</w:t>
            </w:r>
          </w:p>
        </w:tc>
      </w:tr>
      <w:tr w14:paraId="5894FA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6AF58F6">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3.7.5</w:t>
            </w:r>
          </w:p>
        </w:tc>
        <w:tc>
          <w:tcPr>
            <w:tcW w:w="1964" w:type="dxa"/>
            <w:vAlign w:val="center"/>
          </w:tcPr>
          <w:p w14:paraId="6FF4B460">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装订要求</w:t>
            </w:r>
          </w:p>
        </w:tc>
        <w:tc>
          <w:tcPr>
            <w:tcW w:w="6372" w:type="dxa"/>
            <w:vAlign w:val="center"/>
          </w:tcPr>
          <w:p w14:paraId="19B8AD01">
            <w:pPr>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1、本技术部分采用</w:t>
            </w:r>
            <w:r>
              <w:rPr>
                <w:rFonts w:hint="eastAsia" w:ascii="宋体" w:hAnsi="宋体"/>
                <w:color w:val="000000" w:themeColor="text1"/>
                <w:szCs w:val="21"/>
                <w:highlight w:val="none"/>
                <w14:textFill>
                  <w14:solidFill>
                    <w14:schemeClr w14:val="tx1"/>
                  </w14:solidFill>
                </w14:textFill>
              </w:rPr>
              <w:t>明</w:t>
            </w:r>
            <w:r>
              <w:rPr>
                <w:rFonts w:ascii="宋体" w:hAnsi="宋体"/>
                <w:color w:val="000000" w:themeColor="text1"/>
                <w:szCs w:val="21"/>
                <w:highlight w:val="none"/>
                <w14:textFill>
                  <w14:solidFill>
                    <w14:schemeClr w14:val="tx1"/>
                  </w14:solidFill>
                </w14:textFill>
              </w:rPr>
              <w:t>标评审，应将投标函部分、技术部分、</w:t>
            </w:r>
            <w:r>
              <w:rPr>
                <w:rFonts w:hint="eastAsia" w:ascii="宋体" w:hAnsi="宋体"/>
                <w:color w:val="000000" w:themeColor="text1"/>
                <w:kern w:val="0"/>
                <w:szCs w:val="21"/>
                <w:highlight w:val="none"/>
                <w14:textFill>
                  <w14:solidFill>
                    <w14:schemeClr w14:val="tx1"/>
                  </w14:solidFill>
                </w14:textFill>
              </w:rPr>
              <w:t>资格审查部分</w:t>
            </w:r>
            <w:r>
              <w:rPr>
                <w:rFonts w:ascii="宋体" w:hAnsi="宋体"/>
                <w:color w:val="000000" w:themeColor="text1"/>
                <w:szCs w:val="21"/>
                <w:highlight w:val="none"/>
                <w14:textFill>
                  <w14:solidFill>
                    <w14:schemeClr w14:val="tx1"/>
                  </w14:solidFill>
                </w14:textFill>
              </w:rPr>
              <w:t>各自分别装订成册。</w:t>
            </w:r>
          </w:p>
          <w:p w14:paraId="5CD1C904">
            <w:pPr>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2、装订</w:t>
            </w:r>
          </w:p>
          <w:p w14:paraId="77198D7E">
            <w:pPr>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）投标函部分的装订要求</w:t>
            </w:r>
          </w:p>
          <w:p w14:paraId="2A562252">
            <w:pPr>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应按照第</w:t>
            </w:r>
            <w:r>
              <w:rPr>
                <w:rFonts w:hint="eastAsia" w:ascii="宋体" w:hAnsi="宋体"/>
                <w:color w:val="000000" w:themeColor="text1"/>
                <w:szCs w:val="21"/>
                <w:highlight w:val="none"/>
                <w14:textFill>
                  <w14:solidFill>
                    <w14:schemeClr w14:val="tx1"/>
                  </w14:solidFill>
                </w14:textFill>
              </w:rPr>
              <w:t>六</w:t>
            </w:r>
            <w:r>
              <w:rPr>
                <w:rFonts w:ascii="宋体" w:hAnsi="宋体"/>
                <w:color w:val="000000" w:themeColor="text1"/>
                <w:szCs w:val="21"/>
                <w:highlight w:val="none"/>
                <w14:textFill>
                  <w14:solidFill>
                    <w14:schemeClr w14:val="tx1"/>
                  </w14:solidFill>
                </w14:textFill>
              </w:rPr>
              <w:t>章规定格式装订成册，</w:t>
            </w:r>
            <w:r>
              <w:rPr>
                <w:rFonts w:hint="eastAsia" w:ascii="宋体" w:hAnsi="宋体" w:cstheme="minorEastAsia"/>
                <w:color w:val="000000" w:themeColor="text1"/>
                <w:szCs w:val="21"/>
                <w:highlight w:val="none"/>
                <w14:textFill>
                  <w14:solidFill>
                    <w14:schemeClr w14:val="tx1"/>
                  </w14:solidFill>
                </w14:textFill>
              </w:rPr>
              <w:t>原则上</w:t>
            </w:r>
            <w:r>
              <w:rPr>
                <w:rFonts w:ascii="宋体" w:hAnsi="宋体"/>
                <w:color w:val="000000" w:themeColor="text1"/>
                <w:szCs w:val="21"/>
                <w:highlight w:val="none"/>
                <w14:textFill>
                  <w14:solidFill>
                    <w14:schemeClr w14:val="tx1"/>
                  </w14:solidFill>
                </w14:textFill>
              </w:rPr>
              <w:t>应编制目录</w:t>
            </w:r>
            <w:r>
              <w:rPr>
                <w:rFonts w:hint="eastAsia" w:ascii="宋体" w:hAnsi="宋体"/>
                <w:color w:val="000000" w:themeColor="text1"/>
                <w:szCs w:val="21"/>
                <w:highlight w:val="none"/>
                <w14:textFill>
                  <w14:solidFill>
                    <w14:schemeClr w14:val="tx1"/>
                  </w14:solidFill>
                </w14:textFill>
              </w:rPr>
              <w:t>（但不得将目录编制作为评审因素）</w:t>
            </w:r>
            <w:r>
              <w:rPr>
                <w:rFonts w:ascii="宋体" w:hAnsi="宋体"/>
                <w:color w:val="000000" w:themeColor="text1"/>
                <w:szCs w:val="21"/>
                <w:highlight w:val="none"/>
                <w14:textFill>
                  <w14:solidFill>
                    <w14:schemeClr w14:val="tx1"/>
                  </w14:solidFill>
                </w14:textFill>
              </w:rPr>
              <w:t>，标注页码。</w:t>
            </w:r>
          </w:p>
          <w:p w14:paraId="456F6DE5">
            <w:pPr>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）技术部分的装订要求</w:t>
            </w:r>
          </w:p>
          <w:p w14:paraId="5ED7B651">
            <w:pPr>
              <w:adjustRightInd w:val="0"/>
              <w:snapToGrid w:val="0"/>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投标文件技术明标并设封面，技术部分文本部分的文字采用四号仿宋字体，文本部分采用A4页面；图表内的字体、字号大小不限，图表部分采用A3或A4页面；（技术部分原则上不超过</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200</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页，但不得将页数作为评审因素。）</w:t>
            </w:r>
          </w:p>
          <w:p w14:paraId="147A303F">
            <w:pPr>
              <w:adjustRightInd w:val="0"/>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资格审查部分</w:t>
            </w:r>
            <w:r>
              <w:rPr>
                <w:rFonts w:ascii="宋体" w:hAnsi="宋体"/>
                <w:color w:val="000000" w:themeColor="text1"/>
                <w:kern w:val="0"/>
                <w:szCs w:val="21"/>
                <w:highlight w:val="none"/>
                <w14:textFill>
                  <w14:solidFill>
                    <w14:schemeClr w14:val="tx1"/>
                  </w14:solidFill>
                </w14:textFill>
              </w:rPr>
              <w:t>的装订要求</w:t>
            </w:r>
          </w:p>
          <w:p w14:paraId="2E99AD2A">
            <w:pPr>
              <w:adjustRightInd w:val="0"/>
              <w:snapToGrid w:val="0"/>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应按照第</w:t>
            </w:r>
            <w:r>
              <w:rPr>
                <w:rFonts w:hint="eastAsia" w:ascii="宋体" w:hAnsi="宋体"/>
                <w:color w:val="000000" w:themeColor="text1"/>
                <w:szCs w:val="21"/>
                <w:highlight w:val="none"/>
                <w14:textFill>
                  <w14:solidFill>
                    <w14:schemeClr w14:val="tx1"/>
                  </w14:solidFill>
                </w14:textFill>
              </w:rPr>
              <w:t>六</w:t>
            </w:r>
            <w:r>
              <w:rPr>
                <w:rFonts w:ascii="宋体" w:hAnsi="宋体"/>
                <w:color w:val="000000" w:themeColor="text1"/>
                <w:szCs w:val="21"/>
                <w:highlight w:val="none"/>
                <w14:textFill>
                  <w14:solidFill>
                    <w14:schemeClr w14:val="tx1"/>
                  </w14:solidFill>
                </w14:textFill>
              </w:rPr>
              <w:t>章规定格式装订成册，</w:t>
            </w:r>
            <w:r>
              <w:rPr>
                <w:rFonts w:hint="eastAsia" w:ascii="宋体" w:hAnsi="宋体" w:cstheme="minorEastAsia"/>
                <w:color w:val="000000" w:themeColor="text1"/>
                <w:szCs w:val="21"/>
                <w:highlight w:val="none"/>
                <w14:textFill>
                  <w14:solidFill>
                    <w14:schemeClr w14:val="tx1"/>
                  </w14:solidFill>
                </w14:textFill>
              </w:rPr>
              <w:t>原则上</w:t>
            </w:r>
            <w:r>
              <w:rPr>
                <w:rFonts w:ascii="宋体" w:hAnsi="宋体"/>
                <w:color w:val="000000" w:themeColor="text1"/>
                <w:szCs w:val="21"/>
                <w:highlight w:val="none"/>
                <w14:textFill>
                  <w14:solidFill>
                    <w14:schemeClr w14:val="tx1"/>
                  </w14:solidFill>
                </w14:textFill>
              </w:rPr>
              <w:t>应编制目录</w:t>
            </w:r>
            <w:r>
              <w:rPr>
                <w:rFonts w:hint="eastAsia" w:ascii="宋体" w:hAnsi="宋体"/>
                <w:color w:val="000000" w:themeColor="text1"/>
                <w:szCs w:val="21"/>
                <w:highlight w:val="none"/>
                <w14:textFill>
                  <w14:solidFill>
                    <w14:schemeClr w14:val="tx1"/>
                  </w14:solidFill>
                </w14:textFill>
              </w:rPr>
              <w:t>（但不得将目录编制作为评审因素）</w:t>
            </w:r>
            <w:r>
              <w:rPr>
                <w:rFonts w:ascii="宋体" w:hAnsi="宋体"/>
                <w:color w:val="000000" w:themeColor="text1"/>
                <w:szCs w:val="21"/>
                <w:highlight w:val="none"/>
                <w14:textFill>
                  <w14:solidFill>
                    <w14:schemeClr w14:val="tx1"/>
                  </w14:solidFill>
                </w14:textFill>
              </w:rPr>
              <w:t>，标注页码</w:t>
            </w:r>
            <w:r>
              <w:rPr>
                <w:rFonts w:hint="eastAsia" w:ascii="宋体" w:hAnsi="宋体"/>
                <w:color w:val="000000" w:themeColor="text1"/>
                <w:szCs w:val="21"/>
                <w:highlight w:val="none"/>
                <w14:textFill>
                  <w14:solidFill>
                    <w14:schemeClr w14:val="tx1"/>
                  </w14:solidFill>
                </w14:textFill>
              </w:rPr>
              <w:t>。</w:t>
            </w:r>
          </w:p>
        </w:tc>
      </w:tr>
      <w:tr w14:paraId="09B258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6609CB3">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4.1.1</w:t>
            </w:r>
          </w:p>
        </w:tc>
        <w:tc>
          <w:tcPr>
            <w:tcW w:w="1964" w:type="dxa"/>
            <w:vAlign w:val="center"/>
          </w:tcPr>
          <w:p w14:paraId="23687C89">
            <w:pPr>
              <w:snapToGrid w:val="0"/>
              <w:spacing w:line="400" w:lineRule="exact"/>
              <w:jc w:val="center"/>
              <w:rPr>
                <w:rFonts w:hint="eastAsia" w:ascii="宋体" w:hAnsi="宋体" w:cs="宋体"/>
                <w:color w:val="000000" w:themeColor="text1"/>
                <w:spacing w:val="-6"/>
                <w:kern w:val="0"/>
                <w:szCs w:val="21"/>
                <w:highlight w:val="none"/>
                <w14:textFill>
                  <w14:solidFill>
                    <w14:schemeClr w14:val="tx1"/>
                  </w14:solidFill>
                </w14:textFill>
              </w:rPr>
            </w:pPr>
            <w:r>
              <w:rPr>
                <w:rFonts w:hint="eastAsia" w:ascii="宋体" w:hAnsi="宋体" w:cs="宋体"/>
                <w:color w:val="000000" w:themeColor="text1"/>
                <w:spacing w:val="-6"/>
                <w:kern w:val="0"/>
                <w:szCs w:val="21"/>
                <w:highlight w:val="none"/>
                <w14:textFill>
                  <w14:solidFill>
                    <w14:schemeClr w14:val="tx1"/>
                  </w14:solidFill>
                </w14:textFill>
              </w:rPr>
              <w:t>竞选文件的密封</w:t>
            </w:r>
          </w:p>
        </w:tc>
        <w:tc>
          <w:tcPr>
            <w:tcW w:w="6372" w:type="dxa"/>
            <w:vAlign w:val="center"/>
          </w:tcPr>
          <w:p w14:paraId="7A7E50C2">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袋使用“</w:t>
            </w:r>
            <w:r>
              <w:rPr>
                <w:rFonts w:hint="eastAsia" w:ascii="宋体" w:hAnsi="宋体"/>
                <w:color w:val="000000" w:themeColor="text1"/>
                <w:szCs w:val="21"/>
                <w:highlight w:val="none"/>
                <w14:textFill>
                  <w14:solidFill>
                    <w14:schemeClr w14:val="tx1"/>
                  </w14:solidFill>
                </w14:textFill>
              </w:rPr>
              <w:t>竞选</w:t>
            </w:r>
            <w:r>
              <w:rPr>
                <w:rFonts w:ascii="宋体" w:hAnsi="宋体"/>
                <w:color w:val="000000" w:themeColor="text1"/>
                <w:szCs w:val="21"/>
                <w:highlight w:val="none"/>
                <w14:textFill>
                  <w14:solidFill>
                    <w14:schemeClr w14:val="tx1"/>
                  </w14:solidFill>
                </w14:textFill>
              </w:rPr>
              <w:t>函部分”袋、“技术部分”袋、“</w:t>
            </w:r>
            <w:r>
              <w:rPr>
                <w:rFonts w:hint="eastAsia" w:ascii="宋体" w:hAnsi="宋体"/>
                <w:color w:val="000000" w:themeColor="text1"/>
                <w:szCs w:val="21"/>
                <w:highlight w:val="none"/>
                <w14:textFill>
                  <w14:solidFill>
                    <w14:schemeClr w14:val="tx1"/>
                  </w14:solidFill>
                </w14:textFill>
              </w:rPr>
              <w:t>资格审查部分</w:t>
            </w:r>
            <w:r>
              <w:rPr>
                <w:rFonts w:ascii="宋体" w:hAnsi="宋体"/>
                <w:color w:val="000000" w:themeColor="text1"/>
                <w:szCs w:val="21"/>
                <w:highlight w:val="none"/>
                <w14:textFill>
                  <w14:solidFill>
                    <w14:schemeClr w14:val="tx1"/>
                  </w14:solidFill>
                </w14:textFill>
              </w:rPr>
              <w:t>”袋以及“</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”大袋。</w:t>
            </w:r>
          </w:p>
          <w:p w14:paraId="5AED1D22">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.投标函部分</w:t>
            </w:r>
            <w:r>
              <w:rPr>
                <w:rFonts w:hint="eastAsia" w:ascii="宋体" w:hAnsi="宋体"/>
                <w:color w:val="000000" w:themeColor="text1"/>
                <w:szCs w:val="21"/>
                <w:highlight w:val="none"/>
                <w14:textFill>
                  <w14:solidFill>
                    <w14:schemeClr w14:val="tx1"/>
                  </w14:solidFill>
                </w14:textFill>
              </w:rPr>
              <w:t>和电子版形式（U盘）</w:t>
            </w:r>
            <w:r>
              <w:rPr>
                <w:rFonts w:ascii="宋体" w:hAnsi="宋体"/>
                <w:color w:val="000000" w:themeColor="text1"/>
                <w:szCs w:val="21"/>
                <w:highlight w:val="none"/>
                <w14:textFill>
                  <w14:solidFill>
                    <w14:schemeClr w14:val="tx1"/>
                  </w14:solidFill>
                </w14:textFill>
              </w:rPr>
              <w:t>装入“投标函部分”袋中，密封并在袋上加盖</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单位</w:t>
            </w:r>
            <w:r>
              <w:rPr>
                <w:rFonts w:hint="eastAsia" w:ascii="宋体" w:hAnsi="宋体"/>
                <w:color w:val="000000" w:themeColor="text1"/>
                <w:szCs w:val="21"/>
                <w:highlight w:val="none"/>
                <w14:textFill>
                  <w14:solidFill>
                    <w14:schemeClr w14:val="tx1"/>
                  </w14:solidFill>
                </w14:textFill>
              </w:rPr>
              <w:t>法人</w:t>
            </w:r>
            <w:r>
              <w:rPr>
                <w:rFonts w:ascii="宋体" w:hAnsi="宋体"/>
                <w:color w:val="000000" w:themeColor="text1"/>
                <w:szCs w:val="21"/>
                <w:highlight w:val="none"/>
                <w14:textFill>
                  <w14:solidFill>
                    <w14:schemeClr w14:val="tx1"/>
                  </w14:solidFill>
                </w14:textFill>
              </w:rPr>
              <w:t>章。</w:t>
            </w:r>
          </w:p>
          <w:p w14:paraId="55838887">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.技术部分装入“技术部分”袋中，密封并在袋上加盖</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单位</w:t>
            </w:r>
            <w:r>
              <w:rPr>
                <w:rFonts w:hint="eastAsia" w:ascii="宋体" w:hAnsi="宋体"/>
                <w:color w:val="000000" w:themeColor="text1"/>
                <w:szCs w:val="21"/>
                <w:highlight w:val="none"/>
                <w14:textFill>
                  <w14:solidFill>
                    <w14:schemeClr w14:val="tx1"/>
                  </w14:solidFill>
                </w14:textFill>
              </w:rPr>
              <w:t>法人</w:t>
            </w:r>
            <w:r>
              <w:rPr>
                <w:rFonts w:ascii="宋体" w:hAnsi="宋体"/>
                <w:color w:val="000000" w:themeColor="text1"/>
                <w:szCs w:val="21"/>
                <w:highlight w:val="none"/>
                <w14:textFill>
                  <w14:solidFill>
                    <w14:schemeClr w14:val="tx1"/>
                  </w14:solidFill>
                </w14:textFill>
              </w:rPr>
              <w:t>章。</w:t>
            </w:r>
          </w:p>
          <w:p w14:paraId="32198174">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资格审查部分装入“资格审查部分”袋中，密封并在袋上加盖竞选人单位法人章。</w:t>
            </w:r>
          </w:p>
          <w:p w14:paraId="178813E3">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r>
              <w:rPr>
                <w:rFonts w:ascii="宋体" w:hAnsi="宋体"/>
                <w:color w:val="000000" w:themeColor="text1"/>
                <w:szCs w:val="21"/>
                <w:highlight w:val="none"/>
                <w14:textFill>
                  <w14:solidFill>
                    <w14:schemeClr w14:val="tx1"/>
                  </w14:solidFill>
                </w14:textFill>
              </w:rPr>
              <w:t>.“投标函部分”、“技术部分”</w:t>
            </w:r>
            <w:r>
              <w:rPr>
                <w:rFonts w:hint="eastAsia" w:ascii="宋体" w:hAnsi="宋体"/>
                <w:color w:val="000000" w:themeColor="text1"/>
                <w:szCs w:val="21"/>
                <w:highlight w:val="none"/>
                <w14:textFill>
                  <w14:solidFill>
                    <w14:schemeClr w14:val="tx1"/>
                  </w14:solidFill>
                </w14:textFill>
              </w:rPr>
              <w:t>、“资格审查部分”</w:t>
            </w:r>
            <w:r>
              <w:rPr>
                <w:rFonts w:ascii="宋体" w:hAnsi="宋体"/>
                <w:color w:val="000000" w:themeColor="text1"/>
                <w:szCs w:val="21"/>
                <w:highlight w:val="none"/>
                <w14:textFill>
                  <w14:solidFill>
                    <w14:schemeClr w14:val="tx1"/>
                  </w14:solidFill>
                </w14:textFill>
              </w:rPr>
              <w:t>等小袋装入“</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”大袋中，密封并在大袋上加盖</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单位</w:t>
            </w:r>
            <w:r>
              <w:rPr>
                <w:rFonts w:hint="eastAsia" w:ascii="宋体" w:hAnsi="宋体"/>
                <w:color w:val="000000" w:themeColor="text1"/>
                <w:szCs w:val="21"/>
                <w:highlight w:val="none"/>
                <w14:textFill>
                  <w14:solidFill>
                    <w14:schemeClr w14:val="tx1"/>
                  </w14:solidFill>
                </w14:textFill>
              </w:rPr>
              <w:t>法人</w:t>
            </w:r>
            <w:r>
              <w:rPr>
                <w:rFonts w:ascii="宋体" w:hAnsi="宋体"/>
                <w:color w:val="000000" w:themeColor="text1"/>
                <w:szCs w:val="21"/>
                <w:highlight w:val="none"/>
                <w14:textFill>
                  <w14:solidFill>
                    <w14:schemeClr w14:val="tx1"/>
                  </w14:solidFill>
                </w14:textFill>
              </w:rPr>
              <w:t>章，同时“</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”大袋应按本表第4.1.2项的规定写明相应内容。</w:t>
            </w:r>
            <w:r>
              <w:rPr>
                <w:rFonts w:hint="eastAsia" w:ascii="宋体" w:hAnsi="宋体"/>
                <w:color w:val="000000" w:themeColor="text1"/>
                <w:szCs w:val="21"/>
                <w:highlight w:val="none"/>
                <w14:textFill>
                  <w14:solidFill>
                    <w14:schemeClr w14:val="tx1"/>
                  </w14:solidFill>
                </w14:textFill>
              </w:rPr>
              <w:t>一个大袋装不下的，可使用多个大袋分册封装。</w:t>
            </w:r>
          </w:p>
          <w:p w14:paraId="5A6FAFA6">
            <w:pPr>
              <w:adjustRightInd w:val="0"/>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注：“投标函部分”袋、“技术部分”袋、“资格审查部分”袋只为方便竞选文件分装，不作为判定密封合格与否的条件。但为了方便开标，请各竞选人主动配合，按要求分装。</w:t>
            </w:r>
          </w:p>
        </w:tc>
      </w:tr>
      <w:tr w14:paraId="2CA6DF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9F582B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4.1.2</w:t>
            </w:r>
          </w:p>
        </w:tc>
        <w:tc>
          <w:tcPr>
            <w:tcW w:w="1964" w:type="dxa"/>
            <w:vAlign w:val="center"/>
          </w:tcPr>
          <w:p w14:paraId="7AA47B8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封套上写明</w:t>
            </w:r>
          </w:p>
        </w:tc>
        <w:tc>
          <w:tcPr>
            <w:tcW w:w="6372" w:type="dxa"/>
            <w:vAlign w:val="center"/>
          </w:tcPr>
          <w:p w14:paraId="74E6EC7B">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应在封套上写明如下内容：</w:t>
            </w:r>
          </w:p>
          <w:p w14:paraId="5A0B1DC6">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竞选人名称：</w:t>
            </w:r>
          </w:p>
          <w:p w14:paraId="77820EC4">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（项目名称）</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竞选文件</w:t>
            </w:r>
          </w:p>
          <w:p w14:paraId="07D90BD0">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在</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日</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时</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分前不得开启</w:t>
            </w:r>
          </w:p>
        </w:tc>
      </w:tr>
      <w:tr w14:paraId="027D4D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8D1D51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4.2.3</w:t>
            </w:r>
          </w:p>
        </w:tc>
        <w:tc>
          <w:tcPr>
            <w:tcW w:w="1964" w:type="dxa"/>
            <w:vAlign w:val="center"/>
          </w:tcPr>
          <w:p w14:paraId="44E94CDE">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是否退还竞选文件</w:t>
            </w:r>
          </w:p>
        </w:tc>
        <w:tc>
          <w:tcPr>
            <w:tcW w:w="6372" w:type="dxa"/>
            <w:vAlign w:val="center"/>
          </w:tcPr>
          <w:p w14:paraId="4536B53E">
            <w:pPr>
              <w:spacing w:line="400" w:lineRule="exact"/>
              <w:ind w:firstLine="210" w:firstLineChars="100"/>
              <w:rPr>
                <w:rFonts w:hint="eastAsia" w:ascii="宋体" w:hAnsi="宋体" w:cs="宋体"/>
                <w:color w:val="000000" w:themeColor="text1"/>
                <w:szCs w:val="21"/>
                <w:highlight w:val="none"/>
                <w14:textFill>
                  <w14:solidFill>
                    <w14:schemeClr w14:val="tx1"/>
                  </w14:solidFill>
                </w14:textFill>
              </w:rPr>
            </w:pPr>
            <w:r>
              <w:rPr>
                <w:rFonts w:hint="eastAsia" w:ascii="宋体" w:hAnsi="MS Mincho" w:eastAsia="MS Mincho" w:cs="MS Mincho"/>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否</w:t>
            </w:r>
          </w:p>
          <w:p w14:paraId="5ED3E822">
            <w:pPr>
              <w:snapToGrid w:val="0"/>
              <w:spacing w:line="400" w:lineRule="exact"/>
              <w:ind w:firstLine="210" w:firstLineChars="1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w:t>
            </w:r>
          </w:p>
        </w:tc>
      </w:tr>
      <w:tr w14:paraId="66A1C0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C1999D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5.1.1</w:t>
            </w:r>
          </w:p>
        </w:tc>
        <w:tc>
          <w:tcPr>
            <w:tcW w:w="1964" w:type="dxa"/>
            <w:vAlign w:val="center"/>
          </w:tcPr>
          <w:p w14:paraId="1D2FF5E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评选时间和地点</w:t>
            </w:r>
          </w:p>
        </w:tc>
        <w:tc>
          <w:tcPr>
            <w:tcW w:w="6372" w:type="dxa"/>
            <w:vAlign w:val="center"/>
          </w:tcPr>
          <w:p w14:paraId="53FA3247">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开标时间：同</w:t>
            </w:r>
            <w:r>
              <w:rPr>
                <w:rFonts w:hint="eastAsia" w:ascii="宋体" w:hAnsi="宋体"/>
                <w:color w:val="000000" w:themeColor="text1"/>
                <w:kern w:val="0"/>
                <w:szCs w:val="21"/>
                <w:highlight w:val="none"/>
                <w14:textFill>
                  <w14:solidFill>
                    <w14:schemeClr w14:val="tx1"/>
                  </w14:solidFill>
                </w14:textFill>
              </w:rPr>
              <w:t>竞选截止时间</w:t>
            </w:r>
          </w:p>
          <w:p w14:paraId="4067BBF0">
            <w:pPr>
              <w:snapToGrid w:val="0"/>
              <w:spacing w:line="400" w:lineRule="exact"/>
              <w:ind w:firstLine="420" w:firstLineChars="200"/>
              <w:rPr>
                <w:rFonts w:hint="eastAsia" w:ascii="宋体" w:hAnsi="宋体" w:cs="宋体"/>
                <w:bCs/>
                <w:i/>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开标地点：</w:t>
            </w:r>
            <w:r>
              <w:rPr>
                <w:rFonts w:hint="eastAsia" w:cs="宋体" w:asciiTheme="minorEastAsia" w:hAnsiTheme="minorEastAsia" w:eastAsiaTheme="minorEastAsia"/>
                <w:color w:val="000000" w:themeColor="text1"/>
                <w:szCs w:val="21"/>
                <w:highlight w:val="none"/>
                <w14:textFill>
                  <w14:solidFill>
                    <w14:schemeClr w14:val="tx1"/>
                  </w14:solidFill>
                </w14:textFill>
              </w:rPr>
              <w:t>重庆市南岸区城市建设发展（集团）有限公司（重庆市南岸区行政服务中心B区3号楼</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2012</w:t>
            </w:r>
            <w:r>
              <w:rPr>
                <w:rFonts w:hint="eastAsia" w:cs="宋体" w:asciiTheme="minorEastAsia" w:hAnsiTheme="minorEastAsia" w:eastAsiaTheme="minorEastAsia"/>
                <w:color w:val="000000" w:themeColor="text1"/>
                <w:szCs w:val="21"/>
                <w:highlight w:val="none"/>
                <w14:textFill>
                  <w14:solidFill>
                    <w14:schemeClr w14:val="tx1"/>
                  </w14:solidFill>
                </w14:textFill>
              </w:rPr>
              <w:t>室）</w:t>
            </w:r>
          </w:p>
        </w:tc>
      </w:tr>
      <w:tr w14:paraId="3EC833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661DD70">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w:t>
            </w:r>
          </w:p>
        </w:tc>
        <w:tc>
          <w:tcPr>
            <w:tcW w:w="1964" w:type="dxa"/>
            <w:vAlign w:val="center"/>
          </w:tcPr>
          <w:p w14:paraId="5378F8B7">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竞选文件开启</w:t>
            </w:r>
          </w:p>
          <w:p w14:paraId="62EA54F4">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及唱标程序</w:t>
            </w:r>
          </w:p>
        </w:tc>
        <w:tc>
          <w:tcPr>
            <w:tcW w:w="6372" w:type="dxa"/>
            <w:vAlign w:val="center"/>
          </w:tcPr>
          <w:p w14:paraId="52C9F1A0">
            <w:pPr>
              <w:autoSpaceDE w:val="0"/>
              <w:autoSpaceDN w:val="0"/>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主持人按下列程序进行开标：</w:t>
            </w:r>
          </w:p>
          <w:p w14:paraId="284770ED">
            <w:pPr>
              <w:autoSpaceDE w:val="0"/>
              <w:autoSpaceDN w:val="0"/>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 核验参加开标会议的</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的法定代表人或</w:t>
            </w:r>
            <w:r>
              <w:rPr>
                <w:rFonts w:hint="eastAsia" w:ascii="宋体" w:hAnsi="宋体"/>
                <w:color w:val="000000" w:themeColor="text1"/>
                <w:szCs w:val="21"/>
                <w:highlight w:val="none"/>
                <w14:textFill>
                  <w14:solidFill>
                    <w14:schemeClr w14:val="tx1"/>
                  </w14:solidFill>
                </w14:textFill>
              </w:rPr>
              <w:t>委托代理人</w:t>
            </w:r>
            <w:r>
              <w:rPr>
                <w:rFonts w:ascii="宋体" w:hAnsi="宋体"/>
                <w:color w:val="000000" w:themeColor="text1"/>
                <w:szCs w:val="21"/>
                <w:highlight w:val="none"/>
                <w14:textFill>
                  <w14:solidFill>
                    <w14:schemeClr w14:val="tx1"/>
                  </w14:solidFill>
                </w14:textFill>
              </w:rPr>
              <w:t>本人身份证（原件），核验委托代理人的授权委托书，以确认其身份合法有效；</w:t>
            </w:r>
            <w:r>
              <w:rPr>
                <w:rFonts w:hint="eastAsia" w:ascii="宋体" w:hAnsi="宋体"/>
                <w:color w:val="000000" w:themeColor="text1"/>
                <w:szCs w:val="21"/>
                <w:highlight w:val="none"/>
                <w14:textFill>
                  <w14:solidFill>
                    <w14:schemeClr w14:val="tx1"/>
                  </w14:solidFill>
                </w14:textFill>
              </w:rPr>
              <w:t>若经核实委托代理人提供资料与实际不符的，不得参加开标会。核验合格的法定代表人或委托代理人可自行选择是否参加开标会，不参加开标会的视为默认开标结果。</w:t>
            </w:r>
          </w:p>
          <w:p w14:paraId="57C3F9DB">
            <w:pPr>
              <w:autoSpaceDE w:val="0"/>
              <w:autoSpaceDN w:val="0"/>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2.宣布开标纪律</w:t>
            </w:r>
            <w:r>
              <w:rPr>
                <w:rFonts w:hint="eastAsia" w:ascii="宋体" w:hAnsi="宋体"/>
                <w:color w:val="000000" w:themeColor="text1"/>
                <w:szCs w:val="21"/>
                <w:highlight w:val="none"/>
                <w14:textFill>
                  <w14:solidFill>
                    <w14:schemeClr w14:val="tx1"/>
                  </w14:solidFill>
                </w14:textFill>
              </w:rPr>
              <w:t>。</w:t>
            </w:r>
          </w:p>
          <w:p w14:paraId="14552486">
            <w:pPr>
              <w:autoSpaceDE w:val="0"/>
              <w:autoSpaceDN w:val="0"/>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 宣布开标人、唱标人、记录人、监标人等有关人员姓名</w:t>
            </w:r>
            <w:r>
              <w:rPr>
                <w:rFonts w:hint="eastAsia" w:ascii="宋体" w:hAnsi="宋体"/>
                <w:color w:val="000000" w:themeColor="text1"/>
                <w:szCs w:val="21"/>
                <w:highlight w:val="none"/>
                <w14:textFill>
                  <w14:solidFill>
                    <w14:schemeClr w14:val="tx1"/>
                  </w14:solidFill>
                </w14:textFill>
              </w:rPr>
              <w:t>。</w:t>
            </w:r>
          </w:p>
          <w:p w14:paraId="2166D39E">
            <w:pPr>
              <w:autoSpaceDE w:val="0"/>
              <w:autoSpaceDN w:val="0"/>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 公布在</w:t>
            </w:r>
            <w:r>
              <w:rPr>
                <w:rFonts w:hint="eastAsia" w:ascii="宋体" w:hAnsi="宋体"/>
                <w:color w:val="000000" w:themeColor="text1"/>
                <w:szCs w:val="21"/>
                <w:highlight w:val="none"/>
                <w14:textFill>
                  <w14:solidFill>
                    <w14:schemeClr w14:val="tx1"/>
                  </w14:solidFill>
                </w14:textFill>
              </w:rPr>
              <w:t>竞选截止时间</w:t>
            </w:r>
            <w:r>
              <w:rPr>
                <w:rFonts w:ascii="宋体" w:hAnsi="宋体"/>
                <w:color w:val="000000" w:themeColor="text1"/>
                <w:szCs w:val="21"/>
                <w:highlight w:val="none"/>
                <w14:textFill>
                  <w14:solidFill>
                    <w14:schemeClr w14:val="tx1"/>
                  </w14:solidFill>
                </w14:textFill>
              </w:rPr>
              <w:t>前递交</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名称</w:t>
            </w:r>
            <w:r>
              <w:rPr>
                <w:rFonts w:hint="eastAsia" w:ascii="宋体" w:hAnsi="宋体"/>
                <w:color w:val="000000" w:themeColor="text1"/>
                <w:szCs w:val="21"/>
                <w:highlight w:val="none"/>
                <w14:textFill>
                  <w14:solidFill>
                    <w14:schemeClr w14:val="tx1"/>
                  </w14:solidFill>
                </w14:textFill>
              </w:rPr>
              <w:t>。</w:t>
            </w:r>
          </w:p>
          <w:p w14:paraId="00D10AF3">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5. </w:t>
            </w:r>
            <w:r>
              <w:rPr>
                <w:rFonts w:hint="eastAsia" w:ascii="宋体" w:hAnsi="宋体"/>
                <w:color w:val="000000" w:themeColor="text1"/>
                <w:szCs w:val="21"/>
                <w:highlight w:val="none"/>
                <w14:textFill>
                  <w14:solidFill>
                    <w14:schemeClr w14:val="tx1"/>
                  </w14:solidFill>
                </w14:textFill>
              </w:rPr>
              <w:t>竞选文件的密封检查：竞选人可对自己的竞选文件封装情况进行检查，以确认其竞选文件密封完好。</w:t>
            </w:r>
          </w:p>
          <w:p w14:paraId="6E9DC8BE">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 核验投标保证金交纳情况。</w:t>
            </w:r>
          </w:p>
          <w:p w14:paraId="362B1145">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 公布最高限价</w:t>
            </w:r>
            <w:r>
              <w:rPr>
                <w:rFonts w:hint="eastAsia" w:ascii="宋体" w:hAnsi="宋体"/>
                <w:color w:val="000000" w:themeColor="text1"/>
                <w:szCs w:val="21"/>
                <w:highlight w:val="none"/>
                <w14:textFill>
                  <w14:solidFill>
                    <w14:schemeClr w14:val="tx1"/>
                  </w14:solidFill>
                </w14:textFill>
              </w:rPr>
              <w:t>。</w:t>
            </w:r>
          </w:p>
          <w:p w14:paraId="2D4246D4">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w:t>
            </w:r>
            <w:r>
              <w:rPr>
                <w:rFonts w:ascii="宋体" w:hAnsi="宋体"/>
                <w:color w:val="000000" w:themeColor="text1"/>
                <w:szCs w:val="21"/>
                <w:highlight w:val="none"/>
                <w14:textFill>
                  <w14:solidFill>
                    <w14:schemeClr w14:val="tx1"/>
                  </w14:solidFill>
                </w14:textFill>
              </w:rPr>
              <w:t>.逐单位随机开启</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。开启</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大袋及投标函部分袋、技术部分袋</w:t>
            </w:r>
            <w:r>
              <w:rPr>
                <w:rFonts w:hint="eastAsia" w:ascii="宋体" w:hAnsi="宋体"/>
                <w:color w:val="000000" w:themeColor="text1"/>
                <w:szCs w:val="21"/>
                <w:highlight w:val="none"/>
                <w14:textFill>
                  <w14:solidFill>
                    <w14:schemeClr w14:val="tx1"/>
                  </w14:solidFill>
                </w14:textFill>
              </w:rPr>
              <w:t>、资格审查部分袋</w:t>
            </w:r>
            <w:r>
              <w:rPr>
                <w:rFonts w:ascii="宋体" w:hAnsi="宋体"/>
                <w:color w:val="000000" w:themeColor="text1"/>
                <w:szCs w:val="21"/>
                <w:highlight w:val="none"/>
                <w14:textFill>
                  <w14:solidFill>
                    <w14:schemeClr w14:val="tx1"/>
                  </w14:solidFill>
                </w14:textFill>
              </w:rPr>
              <w:t>；公布</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名称、投标报价、质量要求、</w:t>
            </w:r>
            <w:r>
              <w:rPr>
                <w:rFonts w:hint="eastAsia" w:ascii="宋体" w:hAnsi="宋体"/>
                <w:color w:val="000000" w:themeColor="text1"/>
                <w:szCs w:val="21"/>
                <w:highlight w:val="none"/>
                <w14:textFill>
                  <w14:solidFill>
                    <w14:schemeClr w14:val="tx1"/>
                  </w14:solidFill>
                </w14:textFill>
              </w:rPr>
              <w:t>服务期</w:t>
            </w:r>
            <w:r>
              <w:rPr>
                <w:rFonts w:ascii="宋体" w:hAnsi="宋体"/>
                <w:color w:val="000000" w:themeColor="text1"/>
                <w:szCs w:val="21"/>
                <w:highlight w:val="none"/>
                <w14:textFill>
                  <w14:solidFill>
                    <w14:schemeClr w14:val="tx1"/>
                  </w14:solidFill>
                </w14:textFill>
              </w:rPr>
              <w:t>及其他内容并记录在案</w:t>
            </w:r>
            <w:r>
              <w:rPr>
                <w:rFonts w:hint="eastAsia" w:ascii="宋体" w:hAnsi="宋体"/>
                <w:color w:val="000000" w:themeColor="text1"/>
                <w:szCs w:val="21"/>
                <w:highlight w:val="none"/>
                <w14:textFill>
                  <w14:solidFill>
                    <w14:schemeClr w14:val="tx1"/>
                  </w14:solidFill>
                </w14:textFill>
              </w:rPr>
              <w:t>。</w:t>
            </w:r>
          </w:p>
          <w:p w14:paraId="62A406C9">
            <w:pPr>
              <w:autoSpaceDE w:val="0"/>
              <w:autoSpaceDN w:val="0"/>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 竞选人对开标有异议的，应当场提出，由比选人或代理机构当场答复，并记录到开标记录表中。异议处理完毕后，汇总开标情况，打印开标记录表。</w:t>
            </w:r>
          </w:p>
          <w:p w14:paraId="49A529B5">
            <w:pPr>
              <w:autoSpaceDE w:val="0"/>
              <w:autoSpaceDN w:val="0"/>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代表、</w:t>
            </w:r>
            <w:r>
              <w:rPr>
                <w:rFonts w:hint="eastAsia" w:ascii="宋体" w:hAnsi="宋体"/>
                <w:color w:val="000000" w:themeColor="text1"/>
                <w:szCs w:val="21"/>
                <w:highlight w:val="none"/>
                <w14:textFill>
                  <w14:solidFill>
                    <w14:schemeClr w14:val="tx1"/>
                  </w14:solidFill>
                </w14:textFill>
              </w:rPr>
              <w:t>比选人</w:t>
            </w:r>
            <w:r>
              <w:rPr>
                <w:rFonts w:ascii="宋体" w:hAnsi="宋体"/>
                <w:color w:val="000000" w:themeColor="text1"/>
                <w:szCs w:val="21"/>
                <w:highlight w:val="none"/>
                <w14:textFill>
                  <w14:solidFill>
                    <w14:schemeClr w14:val="tx1"/>
                  </w14:solidFill>
                </w14:textFill>
              </w:rPr>
              <w:t>代表、监标人、</w:t>
            </w:r>
            <w:r>
              <w:rPr>
                <w:rFonts w:hint="eastAsia" w:ascii="宋体" w:hAnsi="宋体"/>
                <w:color w:val="000000" w:themeColor="text1"/>
                <w:szCs w:val="21"/>
                <w:highlight w:val="none"/>
                <w14:textFill>
                  <w14:solidFill>
                    <w14:schemeClr w14:val="tx1"/>
                  </w14:solidFill>
                </w14:textFill>
              </w:rPr>
              <w:t>主持人、</w:t>
            </w:r>
            <w:r>
              <w:rPr>
                <w:rFonts w:ascii="宋体" w:hAnsi="宋体"/>
                <w:color w:val="000000" w:themeColor="text1"/>
                <w:szCs w:val="21"/>
                <w:highlight w:val="none"/>
                <w14:textFill>
                  <w14:solidFill>
                    <w14:schemeClr w14:val="tx1"/>
                  </w14:solidFill>
                </w14:textFill>
              </w:rPr>
              <w:t>记录人等有关人员在开标记录上</w:t>
            </w:r>
            <w:r>
              <w:rPr>
                <w:rFonts w:hint="eastAsia" w:ascii="宋体" w:hAnsi="宋体"/>
                <w:color w:val="000000" w:themeColor="text1"/>
                <w:szCs w:val="21"/>
                <w:highlight w:val="none"/>
                <w14:textFill>
                  <w14:solidFill>
                    <w14:schemeClr w14:val="tx1"/>
                  </w14:solidFill>
                </w14:textFill>
              </w:rPr>
              <w:t>签名</w:t>
            </w:r>
            <w:r>
              <w:rPr>
                <w:rFonts w:ascii="宋体" w:hAnsi="宋体"/>
                <w:color w:val="000000" w:themeColor="text1"/>
                <w:szCs w:val="21"/>
                <w:highlight w:val="none"/>
                <w14:textFill>
                  <w14:solidFill>
                    <w14:schemeClr w14:val="tx1"/>
                  </w14:solidFill>
                </w14:textFill>
              </w:rPr>
              <w:t>确认</w:t>
            </w:r>
            <w:r>
              <w:rPr>
                <w:rFonts w:hint="eastAsia" w:ascii="宋体" w:hAnsi="宋体"/>
                <w:color w:val="000000" w:themeColor="text1"/>
                <w:szCs w:val="21"/>
                <w:highlight w:val="none"/>
                <w14:textFill>
                  <w14:solidFill>
                    <w14:schemeClr w14:val="tx1"/>
                  </w14:solidFill>
                </w14:textFill>
              </w:rPr>
              <w:t>。因其他原因未能签名的，视为默认开标结果。</w:t>
            </w:r>
          </w:p>
          <w:p w14:paraId="603DD2AD">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w:t>
            </w:r>
            <w:r>
              <w:rPr>
                <w:rFonts w:ascii="宋体" w:hAnsi="宋体"/>
                <w:color w:val="000000" w:themeColor="text1"/>
                <w:szCs w:val="21"/>
                <w:highlight w:val="none"/>
                <w14:textFill>
                  <w14:solidFill>
                    <w14:schemeClr w14:val="tx1"/>
                  </w14:solidFill>
                </w14:textFill>
              </w:rPr>
              <w:t>. 开标结束。</w:t>
            </w:r>
          </w:p>
        </w:tc>
      </w:tr>
      <w:tr w14:paraId="29CDEC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216AC59B">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6.1.1</w:t>
            </w:r>
          </w:p>
        </w:tc>
        <w:tc>
          <w:tcPr>
            <w:tcW w:w="1964" w:type="dxa"/>
            <w:vAlign w:val="center"/>
          </w:tcPr>
          <w:p w14:paraId="182B845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评选委员会的组建</w:t>
            </w:r>
          </w:p>
        </w:tc>
        <w:tc>
          <w:tcPr>
            <w:tcW w:w="6372" w:type="dxa"/>
            <w:vAlign w:val="center"/>
          </w:tcPr>
          <w:p w14:paraId="58806D1F">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1、评选委员会构成：</w:t>
            </w:r>
            <w:r>
              <w:rPr>
                <w:rFonts w:hint="eastAsia" w:ascii="宋体" w:hAnsi="宋体"/>
                <w:color w:val="000000" w:themeColor="text1"/>
                <w:szCs w:val="21"/>
                <w:highlight w:val="none"/>
                <w:u w:val="single"/>
                <w14:textFill>
                  <w14:solidFill>
                    <w14:schemeClr w14:val="tx1"/>
                  </w14:solidFill>
                </w14:textFill>
              </w:rPr>
              <w:t xml:space="preserve"> 3 </w:t>
            </w:r>
            <w:r>
              <w:rPr>
                <w:rFonts w:hint="eastAsia" w:ascii="宋体" w:hAnsi="宋体"/>
                <w:color w:val="000000" w:themeColor="text1"/>
                <w:szCs w:val="21"/>
                <w:highlight w:val="none"/>
                <w14:textFill>
                  <w14:solidFill>
                    <w14:schemeClr w14:val="tx1"/>
                  </w14:solidFill>
                </w14:textFill>
              </w:rPr>
              <w:t>人。</w:t>
            </w:r>
          </w:p>
          <w:p w14:paraId="51E71999">
            <w:pPr>
              <w:pStyle w:val="8"/>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2、评选专家确定方式：依法组建。</w:t>
            </w:r>
          </w:p>
        </w:tc>
      </w:tr>
      <w:tr w14:paraId="4A1A86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BF7F11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7.1</w:t>
            </w:r>
          </w:p>
        </w:tc>
        <w:tc>
          <w:tcPr>
            <w:tcW w:w="1964" w:type="dxa"/>
            <w:vAlign w:val="center"/>
          </w:tcPr>
          <w:p w14:paraId="51E9482A">
            <w:pPr>
              <w:snapToGrid w:val="0"/>
              <w:spacing w:after="62" w:afterLines="20"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是否授权评选委员会确定中选人</w:t>
            </w:r>
          </w:p>
        </w:tc>
        <w:tc>
          <w:tcPr>
            <w:tcW w:w="6372" w:type="dxa"/>
            <w:vAlign w:val="center"/>
          </w:tcPr>
          <w:p w14:paraId="7D82454D">
            <w:pPr>
              <w:snapToGrid w:val="0"/>
              <w:spacing w:line="400" w:lineRule="exact"/>
              <w:ind w:firstLine="210" w:firstLineChars="1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p w14:paraId="09A99735">
            <w:pPr>
              <w:snapToGrid w:val="0"/>
              <w:spacing w:line="400" w:lineRule="exact"/>
              <w:ind w:firstLine="210" w:firstLineChars="100"/>
              <w:rPr>
                <w:rFonts w:hint="eastAsia" w:ascii="宋体" w:hAnsi="宋体" w:cs="宋体"/>
                <w:i/>
                <w:color w:val="000000" w:themeColor="text1"/>
                <w:kern w:val="0"/>
                <w:szCs w:val="21"/>
                <w:highlight w:val="none"/>
                <w14:textFill>
                  <w14:solidFill>
                    <w14:schemeClr w14:val="tx1"/>
                  </w14:solidFill>
                </w14:textFill>
              </w:rPr>
            </w:pPr>
            <w:r>
              <w:rPr>
                <w:rFonts w:hint="eastAsia" w:ascii="宋体" w:hAnsi="MS Mincho" w:eastAsia="MS Mincho" w:cs="MS Mincho"/>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否，</w:t>
            </w:r>
            <w:r>
              <w:rPr>
                <w:rFonts w:ascii="宋体" w:hAnsi="宋体" w:cs="宋体"/>
                <w:color w:val="000000" w:themeColor="text1"/>
                <w:szCs w:val="21"/>
                <w:highlight w:val="none"/>
                <w14:textFill>
                  <w14:solidFill>
                    <w14:schemeClr w14:val="tx1"/>
                  </w14:solidFill>
                </w14:textFill>
              </w:rPr>
              <w:t>推荐经</w:t>
            </w:r>
            <w:r>
              <w:rPr>
                <w:rFonts w:hint="eastAsia" w:ascii="宋体" w:hAnsi="宋体" w:cs="宋体"/>
                <w:color w:val="000000" w:themeColor="text1"/>
                <w:szCs w:val="21"/>
                <w:highlight w:val="none"/>
                <w14:textFill>
                  <w14:solidFill>
                    <w14:schemeClr w14:val="tx1"/>
                  </w14:solidFill>
                </w14:textFill>
              </w:rPr>
              <w:t>评选</w:t>
            </w:r>
            <w:r>
              <w:rPr>
                <w:rFonts w:ascii="宋体" w:hAnsi="宋体" w:cs="宋体"/>
                <w:color w:val="000000" w:themeColor="text1"/>
                <w:szCs w:val="21"/>
                <w:highlight w:val="none"/>
                <w14:textFill>
                  <w14:solidFill>
                    <w14:schemeClr w14:val="tx1"/>
                  </w14:solidFill>
                </w14:textFill>
              </w:rPr>
              <w:t>综合得分由高到低排名前三名为</w:t>
            </w:r>
            <w:r>
              <w:rPr>
                <w:rFonts w:hint="eastAsia" w:ascii="宋体" w:hAnsi="宋体" w:cs="宋体"/>
                <w:color w:val="000000" w:themeColor="text1"/>
                <w:szCs w:val="21"/>
                <w:highlight w:val="none"/>
                <w14:textFill>
                  <w14:solidFill>
                    <w14:schemeClr w14:val="tx1"/>
                  </w14:solidFill>
                </w14:textFill>
              </w:rPr>
              <w:t>中选</w:t>
            </w:r>
            <w:r>
              <w:rPr>
                <w:rFonts w:ascii="宋体" w:hAnsi="宋体" w:cs="宋体"/>
                <w:color w:val="000000" w:themeColor="text1"/>
                <w:szCs w:val="21"/>
                <w:highlight w:val="none"/>
                <w14:textFill>
                  <w14:solidFill>
                    <w14:schemeClr w14:val="tx1"/>
                  </w14:solidFill>
                </w14:textFill>
              </w:rPr>
              <w:t>候选人</w:t>
            </w:r>
            <w:r>
              <w:rPr>
                <w:rFonts w:hint="eastAsia" w:ascii="宋体" w:hAnsi="宋体" w:cs="宋体"/>
                <w:color w:val="000000" w:themeColor="text1"/>
                <w:kern w:val="0"/>
                <w:szCs w:val="21"/>
                <w:highlight w:val="none"/>
                <w14:textFill>
                  <w14:solidFill>
                    <w14:schemeClr w14:val="tx1"/>
                  </w14:solidFill>
                </w14:textFill>
              </w:rPr>
              <w:t>。</w:t>
            </w:r>
          </w:p>
        </w:tc>
      </w:tr>
      <w:tr w14:paraId="53045E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6946FBD">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7.2</w:t>
            </w:r>
          </w:p>
        </w:tc>
        <w:tc>
          <w:tcPr>
            <w:tcW w:w="1964" w:type="dxa"/>
            <w:vAlign w:val="center"/>
          </w:tcPr>
          <w:p w14:paraId="378FA484">
            <w:pPr>
              <w:snapToGrid w:val="0"/>
              <w:spacing w:after="62" w:afterLines="20"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中选结果公告</w:t>
            </w:r>
          </w:p>
        </w:tc>
        <w:tc>
          <w:tcPr>
            <w:tcW w:w="6372" w:type="dxa"/>
            <w:vAlign w:val="center"/>
          </w:tcPr>
          <w:p w14:paraId="1CA7235D">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评选结果在比选人确认评选结果后2个工作日内，于“</w:t>
            </w:r>
            <w:r>
              <w:rPr>
                <w:rFonts w:hint="eastAsia" w:ascii="宋体" w:hAnsi="宋体"/>
                <w:snapToGrid w:val="0"/>
                <w:color w:val="000000" w:themeColor="text1"/>
                <w:kern w:val="0"/>
                <w:szCs w:val="21"/>
                <w:highlight w:val="none"/>
                <w14:textFill>
                  <w14:solidFill>
                    <w14:schemeClr w14:val="tx1"/>
                  </w14:solidFill>
                </w14:textFill>
              </w:rPr>
              <w:t>行采家”网站（https://www.gec123.com/）上</w:t>
            </w:r>
            <w:r>
              <w:rPr>
                <w:rFonts w:hint="eastAsia" w:ascii="宋体" w:hAnsi="宋体" w:cs="宋体"/>
                <w:color w:val="000000" w:themeColor="text1"/>
                <w:szCs w:val="21"/>
                <w:highlight w:val="none"/>
                <w14:textFill>
                  <w14:solidFill>
                    <w14:schemeClr w14:val="tx1"/>
                  </w14:solidFill>
                </w14:textFill>
              </w:rPr>
              <w:t>进行公告，公告期限为3日。</w:t>
            </w:r>
          </w:p>
        </w:tc>
      </w:tr>
      <w:tr w14:paraId="377884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99FE72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7.7.1</w:t>
            </w:r>
          </w:p>
        </w:tc>
        <w:tc>
          <w:tcPr>
            <w:tcW w:w="1964" w:type="dxa"/>
            <w:vAlign w:val="center"/>
          </w:tcPr>
          <w:p w14:paraId="3673CEA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履约保证金</w:t>
            </w:r>
          </w:p>
        </w:tc>
        <w:tc>
          <w:tcPr>
            <w:tcW w:w="6372" w:type="dxa"/>
            <w:vAlign w:val="center"/>
          </w:tcPr>
          <w:p w14:paraId="23EDA01E">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1、中标人是否提供履约保证金：</w:t>
            </w:r>
            <w:r>
              <w:rPr>
                <w:rFonts w:hint="eastAsia" w:ascii="宋体" w:hAnsi="宋体"/>
                <w:color w:val="000000" w:themeColor="text1"/>
                <w:kern w:val="0"/>
                <w:szCs w:val="21"/>
                <w:highlight w:val="none"/>
                <w:u w:val="single"/>
                <w14:textFill>
                  <w14:solidFill>
                    <w14:schemeClr w14:val="tx1"/>
                  </w14:solidFill>
                </w14:textFill>
              </w:rPr>
              <w:t>提供</w:t>
            </w:r>
            <w:r>
              <w:rPr>
                <w:rFonts w:hint="eastAsia" w:ascii="宋体" w:hAnsi="宋体"/>
                <w:color w:val="000000" w:themeColor="text1"/>
                <w:kern w:val="0"/>
                <w:szCs w:val="21"/>
                <w:highlight w:val="none"/>
                <w14:textFill>
                  <w14:solidFill>
                    <w14:schemeClr w14:val="tx1"/>
                  </w14:solidFill>
                </w14:textFill>
              </w:rPr>
              <w:t>。</w:t>
            </w:r>
          </w:p>
          <w:p w14:paraId="4A67269B">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2、中标人提供履约保证金的形式、金额及期限：</w:t>
            </w:r>
          </w:p>
          <w:p w14:paraId="69A5D722">
            <w:pPr>
              <w:snapToGrid w:val="0"/>
              <w:spacing w:line="400" w:lineRule="exact"/>
              <w:ind w:firstLine="420" w:firstLineChars="200"/>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履约保证金的形式：现金或履约保函；采用保函形式的,保函的开立人应当是具有相应资格的且发包人认可的银行、保险机构、融资担保公司，其信用资质、履约能力、担保能力、赔付流程、安全保密等应符合履约保函业务条件。保函应合法合规，符合招投标行政监督部门、行业主管部门和金融监管部门的相关规定，满足招标文件约定要求。承包人应选择在渝依法设立总部或者设有分支机构的金融机构开具保函（包括纸质保函或电子保函），保函必须为担保公司或银行提供的不可撤销、不可转让且见索即付的独立保函，且应注明在重庆市辖区范围内的核验地址和核验方式，并确保该保函能在渝的总部或者分支机构进行核验。承包人对所提交的保函的真实性、合法性、有效性负责</w:t>
            </w:r>
            <w:r>
              <w:rPr>
                <w:rFonts w:hint="eastAsia" w:ascii="宋体" w:hAnsi="宋体"/>
                <w:color w:val="000000" w:themeColor="text1"/>
                <w:kern w:val="0"/>
                <w:szCs w:val="21"/>
                <w:highlight w:val="none"/>
                <w:lang w:eastAsia="zh-CN"/>
                <w14:textFill>
                  <w14:solidFill>
                    <w14:schemeClr w14:val="tx1"/>
                  </w14:solidFill>
                </w14:textFill>
              </w:rPr>
              <w:t>。</w:t>
            </w:r>
          </w:p>
          <w:p w14:paraId="42E9BBAF">
            <w:pPr>
              <w:snapToGrid w:val="0"/>
              <w:spacing w:line="400" w:lineRule="exact"/>
              <w:ind w:firstLine="420" w:firstLineChars="200"/>
              <w:rPr>
                <w:rFonts w:hint="eastAsia" w:ascii="宋体" w:hAnsi="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（2）履约保证金的金额：</w:t>
            </w:r>
            <w:r>
              <w:rPr>
                <w:rFonts w:ascii="宋体" w:hAnsi="宋体"/>
                <w:color w:val="000000" w:themeColor="text1"/>
                <w:kern w:val="0"/>
                <w:szCs w:val="21"/>
                <w:highlight w:val="none"/>
                <w14:textFill>
                  <w14:solidFill>
                    <w14:schemeClr w14:val="tx1"/>
                  </w14:solidFill>
                </w14:textFill>
              </w:rPr>
              <w:t>为</w:t>
            </w:r>
            <w:r>
              <w:rPr>
                <w:rFonts w:hint="eastAsia" w:ascii="宋体" w:hAnsi="宋体"/>
                <w:color w:val="000000" w:themeColor="text1"/>
                <w:kern w:val="0"/>
                <w:szCs w:val="21"/>
                <w:highlight w:val="none"/>
                <w14:textFill>
                  <w14:solidFill>
                    <w14:schemeClr w14:val="tx1"/>
                  </w14:solidFill>
                </w14:textFill>
              </w:rPr>
              <w:t>签约</w:t>
            </w:r>
            <w:r>
              <w:rPr>
                <w:rFonts w:ascii="宋体" w:hAnsi="宋体"/>
                <w:color w:val="000000" w:themeColor="text1"/>
                <w:kern w:val="0"/>
                <w:szCs w:val="21"/>
                <w:highlight w:val="none"/>
                <w14:textFill>
                  <w14:solidFill>
                    <w14:schemeClr w14:val="tx1"/>
                  </w14:solidFill>
                </w14:textFill>
              </w:rPr>
              <w:t>合同价的</w:t>
            </w:r>
            <w:r>
              <w:rPr>
                <w:rFonts w:ascii="宋体" w:hAnsi="宋体"/>
                <w:color w:val="000000" w:themeColor="text1"/>
                <w:kern w:val="0"/>
                <w:szCs w:val="21"/>
                <w:highlight w:val="none"/>
                <w:u w:val="single"/>
                <w14:textFill>
                  <w14:solidFill>
                    <w14:schemeClr w14:val="tx1"/>
                  </w14:solidFill>
                </w14:textFill>
              </w:rPr>
              <w:t xml:space="preserve"> 10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w:t>
            </w:r>
          </w:p>
          <w:p w14:paraId="151B74E5">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（3）履约保证金的提交时间：见专用合同条款。</w:t>
            </w:r>
          </w:p>
          <w:p w14:paraId="29CF04BC">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（4）履约保证金的期限：见专用合同条款。</w:t>
            </w:r>
          </w:p>
          <w:p w14:paraId="67D6513B">
            <w:pPr>
              <w:snapToGrid w:val="0"/>
              <w:spacing w:after="48" w:afterLines="20"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（5）履约保证金的退还时间：见专用合同条款。</w:t>
            </w:r>
          </w:p>
        </w:tc>
      </w:tr>
      <w:tr w14:paraId="31BD3E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258356A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8.1</w:t>
            </w:r>
          </w:p>
        </w:tc>
        <w:tc>
          <w:tcPr>
            <w:tcW w:w="1964" w:type="dxa"/>
            <w:vAlign w:val="center"/>
          </w:tcPr>
          <w:p w14:paraId="3A9FBDD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重新比选</w:t>
            </w:r>
          </w:p>
        </w:tc>
        <w:tc>
          <w:tcPr>
            <w:tcW w:w="6372" w:type="dxa"/>
            <w:vAlign w:val="center"/>
          </w:tcPr>
          <w:p w14:paraId="1D4319BB">
            <w:pPr>
              <w:autoSpaceDE w:val="0"/>
              <w:autoSpaceDN w:val="0"/>
              <w:adjustRightInd w:val="0"/>
              <w:snapToGrid w:val="0"/>
              <w:spacing w:after="62" w:afterLines="20" w:line="400" w:lineRule="exact"/>
              <w:ind w:firstLine="420" w:firstLineChars="200"/>
              <w:rPr>
                <w:rFonts w:hint="eastAsia"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1.初次比选：按竞选人须知第8.1执行；</w:t>
            </w:r>
          </w:p>
          <w:p w14:paraId="323EE3FD">
            <w:pPr>
              <w:autoSpaceDE w:val="0"/>
              <w:autoSpaceDN w:val="0"/>
              <w:adjustRightInd w:val="0"/>
              <w:snapToGrid w:val="0"/>
              <w:spacing w:after="62" w:afterLines="20" w:line="400" w:lineRule="exact"/>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2.二次比选：若初次比选因故终止，第二次比选有效竞选人仍然少于三个的，按照原规定的程序比选和评审。</w:t>
            </w:r>
          </w:p>
        </w:tc>
      </w:tr>
      <w:tr w14:paraId="39395B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41642D4">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c>
          <w:tcPr>
            <w:tcW w:w="8336" w:type="dxa"/>
            <w:gridSpan w:val="2"/>
            <w:vAlign w:val="center"/>
          </w:tcPr>
          <w:p w14:paraId="250E860D">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需要补充的其他内容</w:t>
            </w:r>
          </w:p>
        </w:tc>
      </w:tr>
      <w:tr w14:paraId="67B6B2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87F6D44">
            <w:pPr>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10.1</w:t>
            </w:r>
          </w:p>
        </w:tc>
        <w:tc>
          <w:tcPr>
            <w:tcW w:w="1964" w:type="dxa"/>
            <w:vAlign w:val="center"/>
          </w:tcPr>
          <w:p w14:paraId="7B8FACFB">
            <w:pPr>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低价风险担保</w:t>
            </w:r>
          </w:p>
        </w:tc>
        <w:tc>
          <w:tcPr>
            <w:tcW w:w="6372" w:type="dxa"/>
            <w:vAlign w:val="center"/>
          </w:tcPr>
          <w:p w14:paraId="025BD8CB">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1、低价风险担保：中标价低于最高限价的85%时提供，如不按时足额提供，视为中标人放弃中标，招标人有权不退还其投标保证金，</w:t>
            </w:r>
            <w:r>
              <w:rPr>
                <w:rFonts w:hint="eastAsia" w:ascii="宋体" w:hAnsi="宋体" w:eastAsia="宋体" w:cs="宋体"/>
                <w:color w:val="000000" w:themeColor="text1"/>
                <w:sz w:val="21"/>
                <w:szCs w:val="21"/>
                <w:highlight w:val="none"/>
                <w14:textFill>
                  <w14:solidFill>
                    <w14:schemeClr w14:val="tx1"/>
                  </w14:solidFill>
                </w14:textFill>
              </w:rPr>
              <w:t>并报招标投标行政监督部门按照信用管理办法的规定处理，对中标人的不良行为直接记12分，纳入重点关注名单。</w:t>
            </w:r>
          </w:p>
          <w:p w14:paraId="617778C6">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2、中标人提供低价风险担保的形式、金额及期限：</w:t>
            </w:r>
          </w:p>
          <w:p w14:paraId="225E3159">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（1）低价风险担保的形式：现金或银行保函</w:t>
            </w:r>
            <w:r>
              <w:rPr>
                <w:rFonts w:hint="eastAsia" w:ascii="宋体" w:hAnsi="宋体" w:eastAsia="宋体" w:cs="宋体"/>
                <w:color w:val="000000" w:themeColor="text1"/>
                <w:sz w:val="21"/>
                <w:szCs w:val="21"/>
                <w:highlight w:val="none"/>
                <w14:textFill>
                  <w14:solidFill>
                    <w14:schemeClr w14:val="tx1"/>
                  </w14:solidFill>
                </w14:textFill>
              </w:rPr>
              <w:t>或现金+银行保函的组合；采用银行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6C010463">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i/>
                <w:iCs/>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（2）低价风险担保的金额：（最高限价×85%-中标价）×3</w:t>
            </w:r>
            <w:r>
              <w:rPr>
                <w:rStyle w:val="41"/>
                <w:rFonts w:hint="eastAsia" w:ascii="宋体" w:hAnsi="宋体" w:eastAsia="宋体" w:cs="宋体"/>
                <w:color w:val="000000" w:themeColor="text1"/>
                <w:sz w:val="21"/>
                <w:szCs w:val="21"/>
                <w:highlight w:val="none"/>
                <w:lang w:eastAsia="zh-CN"/>
                <w14:textFill>
                  <w14:solidFill>
                    <w14:schemeClr w14:val="tx1"/>
                  </w14:solidFill>
                </w14:textFill>
              </w:rPr>
              <w:t>。</w:t>
            </w:r>
          </w:p>
          <w:p w14:paraId="1D08225E">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（3）低价风险担保送达招标人的时间：从招标人低价风险担保书面通知送达中标候选人之日起7个工作日内</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42A3DB08">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（4）中标人因自身原因未按中标通知书规定的时限与招标人签订合同的，招标人有权扣除其低价风险担保并取消中标资格。</w:t>
            </w:r>
          </w:p>
          <w:p w14:paraId="45412C58">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u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（5）低价风险担保的期限：</w:t>
            </w:r>
            <w:r>
              <w:rPr>
                <w:rFonts w:hint="eastAsia" w:ascii="宋体" w:hAnsi="宋体" w:cs="宋体"/>
                <w:color w:val="000000" w:themeColor="text1"/>
                <w:kern w:val="0"/>
                <w:szCs w:val="21"/>
                <w:highlight w:val="none"/>
                <w:lang w:bidi="ar"/>
                <w14:textFill>
                  <w14:solidFill>
                    <w14:schemeClr w14:val="tx1"/>
                  </w14:solidFill>
                </w14:textFill>
              </w:rPr>
              <w:t>自提交低价风险担保之日起至通过</w:t>
            </w:r>
            <w:r>
              <w:rPr>
                <w:rFonts w:ascii="宋体" w:hAnsi="宋体"/>
                <w:color w:val="000000" w:themeColor="text1"/>
                <w:kern w:val="0"/>
                <w:szCs w:val="21"/>
                <w:highlight w:val="none"/>
                <w:u w:val="single"/>
                <w14:textFill>
                  <w14:solidFill>
                    <w14:schemeClr w14:val="tx1"/>
                  </w14:solidFill>
                </w14:textFill>
              </w:rPr>
              <w:t>施工图审查合格</w:t>
            </w:r>
            <w:r>
              <w:rPr>
                <w:rFonts w:hint="eastAsia" w:ascii="宋体" w:hAnsi="宋体" w:cs="宋体"/>
                <w:color w:val="000000" w:themeColor="text1"/>
                <w:kern w:val="0"/>
                <w:szCs w:val="21"/>
                <w:highlight w:val="none"/>
                <w:lang w:bidi="ar"/>
                <w14:textFill>
                  <w14:solidFill>
                    <w14:schemeClr w14:val="tx1"/>
                  </w14:solidFill>
                </w14:textFill>
              </w:rPr>
              <w:t>之日止</w:t>
            </w:r>
            <w:r>
              <w:rPr>
                <w:rFonts w:hint="eastAsia" w:ascii="宋体" w:hAnsi="宋体" w:cs="宋体"/>
                <w:color w:val="000000" w:themeColor="text1"/>
                <w:kern w:val="0"/>
                <w:szCs w:val="21"/>
                <w:highlight w:val="none"/>
                <w:lang w:eastAsia="zh-CN" w:bidi="ar"/>
                <w14:textFill>
                  <w14:solidFill>
                    <w14:schemeClr w14:val="tx1"/>
                  </w14:solidFill>
                </w14:textFill>
              </w:rPr>
              <w:t>。</w:t>
            </w:r>
          </w:p>
          <w:p w14:paraId="766196D5">
            <w:pPr>
              <w:keepNext w:val="0"/>
              <w:keepLines w:val="0"/>
              <w:pageBreakBefore w:val="0"/>
              <w:widowControl/>
              <w:tabs>
                <w:tab w:val="left" w:pos="9072"/>
                <w:tab w:val="left" w:pos="9781"/>
              </w:tabs>
              <w:kinsoku/>
              <w:wordWrap/>
              <w:overflowPunct/>
              <w:topLinePunct w:val="0"/>
              <w:bidi w:val="0"/>
              <w:spacing w:line="400" w:lineRule="exact"/>
              <w:ind w:firstLine="420" w:firstLineChars="200"/>
              <w:jc w:val="left"/>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3、低价风险担保的退还时间：</w:t>
            </w:r>
            <w:r>
              <w:rPr>
                <w:rFonts w:hint="eastAsia" w:ascii="宋体" w:hAnsi="宋体" w:cs="宋体"/>
                <w:color w:val="000000" w:themeColor="text1"/>
                <w:kern w:val="0"/>
                <w:szCs w:val="21"/>
                <w:highlight w:val="none"/>
                <w:lang w:bidi="ar"/>
                <w14:textFill>
                  <w14:solidFill>
                    <w14:schemeClr w14:val="tx1"/>
                  </w14:solidFill>
                </w14:textFill>
              </w:rPr>
              <w:t>采用现金担保的，通过</w:t>
            </w:r>
            <w:r>
              <w:rPr>
                <w:rFonts w:ascii="宋体" w:hAnsi="宋体"/>
                <w:color w:val="000000" w:themeColor="text1"/>
                <w:kern w:val="0"/>
                <w:szCs w:val="21"/>
                <w:highlight w:val="none"/>
                <w:u w:val="single"/>
                <w14:textFill>
                  <w14:solidFill>
                    <w14:schemeClr w14:val="tx1"/>
                  </w14:solidFill>
                </w14:textFill>
              </w:rPr>
              <w:t>施工图审查合格</w:t>
            </w:r>
            <w:r>
              <w:rPr>
                <w:rFonts w:hint="eastAsia" w:ascii="宋体" w:hAnsi="宋体" w:cs="宋体"/>
                <w:color w:val="000000" w:themeColor="text1"/>
                <w:kern w:val="0"/>
                <w:szCs w:val="21"/>
                <w:highlight w:val="none"/>
                <w:lang w:bidi="ar"/>
                <w14:textFill>
                  <w14:solidFill>
                    <w14:schemeClr w14:val="tx1"/>
                  </w14:solidFill>
                </w14:textFill>
              </w:rPr>
              <w:t>之日起28天内无息退还；采用银行保函的，工程竣工验收合格之日起28天后失效。</w:t>
            </w:r>
          </w:p>
          <w:p w14:paraId="2C2AC38D">
            <w:pPr>
              <w:keepNext w:val="0"/>
              <w:keepLines w:val="0"/>
              <w:pageBreakBefore w:val="0"/>
              <w:widowControl/>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65835BDB">
            <w:pPr>
              <w:keepNext w:val="0"/>
              <w:keepLines w:val="0"/>
              <w:pageBreakBefore w:val="0"/>
              <w:widowControl/>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备注：当中标人或拟中标人未按时提交低价风险担保，且属于可以延长低价风险担保提交期限的特殊情形时，经招标人同意，可适当延长低价风险担保的提交期限。</w:t>
            </w:r>
          </w:p>
          <w:p w14:paraId="2E70FE96">
            <w:pPr>
              <w:pStyle w:val="8"/>
              <w:keepNext w:val="0"/>
              <w:keepLines w:val="0"/>
              <w:pageBreakBefore w:val="0"/>
              <w:widowControl/>
              <w:kinsoku/>
              <w:wordWrap/>
              <w:overflowPunct/>
              <w:topLinePunct w:val="0"/>
              <w:bidi w:val="0"/>
              <w:spacing w:after="0" w:line="400" w:lineRule="exact"/>
              <w:ind w:firstLine="420" w:firstLineChars="200"/>
              <w:textAlignment w:val="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5、投标总报价低于最高限价85%的，</w:t>
            </w:r>
            <w:r>
              <w:rPr>
                <w:rFonts w:hint="eastAsia" w:ascii="宋体" w:hAnsi="宋体" w:cs="宋体"/>
                <w:color w:val="000000" w:themeColor="text1"/>
                <w:sz w:val="21"/>
                <w:szCs w:val="21"/>
                <w:highlight w:val="none"/>
                <w:lang w:eastAsia="zh-CN"/>
                <w14:textFill>
                  <w14:solidFill>
                    <w14:schemeClr w14:val="tx1"/>
                  </w14:solidFill>
                </w14:textFill>
              </w:rPr>
              <w:t>竞标人</w:t>
            </w:r>
            <w:r>
              <w:rPr>
                <w:rFonts w:hint="eastAsia" w:ascii="宋体" w:hAnsi="宋体" w:eastAsia="宋体" w:cs="宋体"/>
                <w:color w:val="000000" w:themeColor="text1"/>
                <w:sz w:val="21"/>
                <w:szCs w:val="21"/>
                <w:highlight w:val="none"/>
                <w14:textFill>
                  <w14:solidFill>
                    <w14:schemeClr w14:val="tx1"/>
                  </w14:solidFill>
                </w14:textFill>
              </w:rPr>
              <w:t>应在编制</w:t>
            </w:r>
            <w:r>
              <w:rPr>
                <w:rFonts w:hint="eastAsia" w:ascii="宋体" w:hAnsi="宋体" w:cs="宋体"/>
                <w:color w:val="000000" w:themeColor="text1"/>
                <w:sz w:val="21"/>
                <w:szCs w:val="21"/>
                <w:highlight w:val="none"/>
                <w:lang w:eastAsia="zh-CN"/>
                <w14:textFill>
                  <w14:solidFill>
                    <w14:schemeClr w14:val="tx1"/>
                  </w14:solidFill>
                </w14:textFill>
              </w:rPr>
              <w:t>竞选文件</w:t>
            </w:r>
            <w:r>
              <w:rPr>
                <w:rFonts w:hint="eastAsia" w:ascii="宋体" w:hAnsi="宋体" w:eastAsia="宋体" w:cs="宋体"/>
                <w:color w:val="000000" w:themeColor="text1"/>
                <w:sz w:val="21"/>
                <w:szCs w:val="21"/>
                <w:highlight w:val="none"/>
                <w14:textFill>
                  <w14:solidFill>
                    <w14:schemeClr w14:val="tx1"/>
                  </w14:solidFill>
                </w14:textFill>
              </w:rPr>
              <w:t>时，在投标函部分中递交低价风险担保提交承诺书。承诺书格式详见第</w:t>
            </w:r>
            <w:r>
              <w:rPr>
                <w:rFonts w:hint="eastAsia" w:ascii="宋体" w:hAnsi="宋体" w:eastAsia="宋体" w:cs="宋体"/>
                <w:color w:val="000000" w:themeColor="text1"/>
                <w:sz w:val="21"/>
                <w:szCs w:val="21"/>
                <w:highlight w:val="none"/>
                <w:lang w:val="en-US" w:eastAsia="zh-CN"/>
                <w14:textFill>
                  <w14:solidFill>
                    <w14:schemeClr w14:val="tx1"/>
                  </w14:solidFill>
                </w14:textFill>
              </w:rPr>
              <w:t>六</w:t>
            </w:r>
            <w:r>
              <w:rPr>
                <w:rFonts w:hint="eastAsia" w:ascii="宋体" w:hAnsi="宋体" w:eastAsia="宋体" w:cs="宋体"/>
                <w:color w:val="000000" w:themeColor="text1"/>
                <w:sz w:val="21"/>
                <w:szCs w:val="21"/>
                <w:highlight w:val="none"/>
                <w14:textFill>
                  <w14:solidFill>
                    <w14:schemeClr w14:val="tx1"/>
                  </w14:solidFill>
                </w14:textFill>
              </w:rPr>
              <w:t>章</w:t>
            </w:r>
            <w:r>
              <w:rPr>
                <w:rFonts w:hint="eastAsia" w:ascii="宋体" w:hAnsi="宋体" w:cs="宋体"/>
                <w:color w:val="000000" w:themeColor="text1"/>
                <w:sz w:val="21"/>
                <w:szCs w:val="21"/>
                <w:highlight w:val="none"/>
                <w:lang w:eastAsia="zh-CN"/>
                <w14:textFill>
                  <w14:solidFill>
                    <w14:schemeClr w14:val="tx1"/>
                  </w14:solidFill>
                </w14:textFill>
              </w:rPr>
              <w:t>竞选文件</w:t>
            </w:r>
            <w:r>
              <w:rPr>
                <w:rFonts w:hint="eastAsia" w:ascii="宋体" w:hAnsi="宋体" w:eastAsia="宋体" w:cs="宋体"/>
                <w:color w:val="000000" w:themeColor="text1"/>
                <w:sz w:val="21"/>
                <w:szCs w:val="21"/>
                <w:highlight w:val="none"/>
                <w14:textFill>
                  <w14:solidFill>
                    <w14:schemeClr w14:val="tx1"/>
                  </w14:solidFill>
                </w14:textFill>
              </w:rPr>
              <w:t>格式。</w:t>
            </w:r>
          </w:p>
        </w:tc>
      </w:tr>
      <w:tr w14:paraId="4A6799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6E07EDD">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10.2</w:t>
            </w:r>
          </w:p>
        </w:tc>
        <w:tc>
          <w:tcPr>
            <w:tcW w:w="1964" w:type="dxa"/>
            <w:vAlign w:val="center"/>
          </w:tcPr>
          <w:p w14:paraId="4D6FC0AC">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比选代理服务费</w:t>
            </w:r>
          </w:p>
        </w:tc>
        <w:tc>
          <w:tcPr>
            <w:tcW w:w="6372" w:type="dxa"/>
            <w:vAlign w:val="center"/>
          </w:tcPr>
          <w:p w14:paraId="348F4B1B">
            <w:pPr>
              <w:snapToGrid w:val="0"/>
              <w:spacing w:line="300" w:lineRule="auto"/>
              <w:ind w:firstLine="420" w:firstLineChars="200"/>
              <w:rPr>
                <w:rFonts w:hint="eastAsia" w:ascii="宋体" w:hAnsi="宋体" w:cs="MingLiU"/>
                <w:snapToGrid w:val="0"/>
                <w:color w:val="000000" w:themeColor="text1"/>
                <w:kern w:val="0"/>
                <w:szCs w:val="21"/>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1.根据项目中标金额计算招标代理服务，收费按照渝招投协〔2015〕11号重庆市招标投标协会关于印发《重庆市招标代理服务规范（试行）》的通知收费标准70%计算。不足</w:t>
            </w:r>
            <w:r>
              <w:rPr>
                <w:rFonts w:ascii="宋体" w:hAnsi="宋体" w:cs="MingLiU"/>
                <w:snapToGrid w:val="0"/>
                <w:color w:val="000000" w:themeColor="text1"/>
                <w:kern w:val="0"/>
                <w:szCs w:val="21"/>
                <w:highlight w:val="none"/>
                <w14:textFill>
                  <w14:solidFill>
                    <w14:schemeClr w14:val="tx1"/>
                  </w14:solidFill>
                </w14:textFill>
              </w:rPr>
              <w:t>6</w:t>
            </w:r>
            <w:r>
              <w:rPr>
                <w:rFonts w:hint="eastAsia" w:ascii="宋体" w:hAnsi="宋体" w:cs="MingLiU"/>
                <w:snapToGrid w:val="0"/>
                <w:color w:val="000000" w:themeColor="text1"/>
                <w:kern w:val="0"/>
                <w:szCs w:val="21"/>
                <w:highlight w:val="none"/>
                <w14:textFill>
                  <w14:solidFill>
                    <w14:schemeClr w14:val="tx1"/>
                  </w14:solidFill>
                </w14:textFill>
              </w:rPr>
              <w:t>000.00元按固定收费金额：</w:t>
            </w:r>
            <w:r>
              <w:rPr>
                <w:rFonts w:ascii="宋体" w:hAnsi="宋体" w:cs="MingLiU"/>
                <w:snapToGrid w:val="0"/>
                <w:color w:val="000000" w:themeColor="text1"/>
                <w:kern w:val="0"/>
                <w:szCs w:val="21"/>
                <w:highlight w:val="none"/>
                <w14:textFill>
                  <w14:solidFill>
                    <w14:schemeClr w14:val="tx1"/>
                  </w14:solidFill>
                </w14:textFill>
              </w:rPr>
              <w:t>6</w:t>
            </w:r>
            <w:r>
              <w:rPr>
                <w:rFonts w:hint="eastAsia" w:ascii="宋体" w:hAnsi="宋体" w:cs="MingLiU"/>
                <w:snapToGrid w:val="0"/>
                <w:color w:val="000000" w:themeColor="text1"/>
                <w:kern w:val="0"/>
                <w:szCs w:val="21"/>
                <w:highlight w:val="none"/>
                <w14:textFill>
                  <w14:solidFill>
                    <w14:schemeClr w14:val="tx1"/>
                  </w14:solidFill>
                </w14:textFill>
              </w:rPr>
              <w:t>000.00元计算。</w:t>
            </w:r>
          </w:p>
          <w:p w14:paraId="784127F1">
            <w:pPr>
              <w:snapToGrid w:val="0"/>
              <w:spacing w:line="300" w:lineRule="auto"/>
              <w:ind w:firstLine="420" w:firstLineChars="200"/>
              <w:rPr>
                <w:rFonts w:hint="eastAsia" w:ascii="宋体" w:hAnsi="宋体" w:cs="MingLiU"/>
                <w:snapToGrid w:val="0"/>
                <w:color w:val="000000" w:themeColor="text1"/>
                <w:kern w:val="0"/>
                <w:szCs w:val="21"/>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2</w:t>
            </w:r>
            <w:r>
              <w:rPr>
                <w:rFonts w:ascii="宋体" w:hAnsi="宋体" w:cs="MingLiU"/>
                <w:snapToGrid w:val="0"/>
                <w:color w:val="000000" w:themeColor="text1"/>
                <w:kern w:val="0"/>
                <w:szCs w:val="21"/>
                <w:highlight w:val="none"/>
                <w14:textFill>
                  <w14:solidFill>
                    <w14:schemeClr w14:val="tx1"/>
                  </w14:solidFill>
                </w14:textFill>
              </w:rPr>
              <w:t>.</w:t>
            </w:r>
            <w:r>
              <w:rPr>
                <w:rFonts w:hint="eastAsia" w:ascii="宋体" w:hAnsi="宋体" w:cs="MingLiU"/>
                <w:snapToGrid w:val="0"/>
                <w:color w:val="000000" w:themeColor="text1"/>
                <w:kern w:val="0"/>
                <w:szCs w:val="21"/>
                <w:highlight w:val="none"/>
                <w14:textFill>
                  <w14:solidFill>
                    <w14:schemeClr w14:val="tx1"/>
                  </w14:solidFill>
                </w14:textFill>
              </w:rPr>
              <w:t>比选代理费由中标人在领取中标通知书时一次性向比选代理机构支付。</w:t>
            </w:r>
          </w:p>
          <w:p w14:paraId="76A64048">
            <w:pPr>
              <w:snapToGrid w:val="0"/>
              <w:spacing w:line="300" w:lineRule="auto"/>
              <w:ind w:firstLine="420" w:firstLineChars="200"/>
              <w:rPr>
                <w:rFonts w:hint="eastAsia" w:ascii="宋体" w:hAnsi="宋体" w:cs="MingLiU"/>
                <w:snapToGrid w:val="0"/>
                <w:color w:val="000000" w:themeColor="text1"/>
                <w:kern w:val="0"/>
                <w:szCs w:val="21"/>
                <w:highlight w:val="none"/>
                <w14:textFill>
                  <w14:solidFill>
                    <w14:schemeClr w14:val="tx1"/>
                  </w14:solidFill>
                </w14:textFill>
              </w:rPr>
            </w:pPr>
            <w:r>
              <w:rPr>
                <w:rFonts w:ascii="宋体" w:hAnsi="宋体" w:cs="MingLiU"/>
                <w:snapToGrid w:val="0"/>
                <w:color w:val="000000" w:themeColor="text1"/>
                <w:kern w:val="0"/>
                <w:szCs w:val="21"/>
                <w:highlight w:val="none"/>
                <w14:textFill>
                  <w14:solidFill>
                    <w14:schemeClr w14:val="tx1"/>
                  </w14:solidFill>
                </w14:textFill>
              </w:rPr>
              <w:t>3.</w:t>
            </w:r>
            <w:r>
              <w:rPr>
                <w:rFonts w:hint="eastAsia" w:ascii="宋体" w:hAnsi="宋体" w:cs="MingLiU"/>
                <w:snapToGrid w:val="0"/>
                <w:color w:val="000000" w:themeColor="text1"/>
                <w:kern w:val="0"/>
                <w:szCs w:val="21"/>
                <w:highlight w:val="none"/>
                <w14:textFill>
                  <w14:solidFill>
                    <w14:schemeClr w14:val="tx1"/>
                  </w14:solidFill>
                </w14:textFill>
              </w:rPr>
              <w:t>比选代理服务费缴纳账户信息：</w:t>
            </w:r>
          </w:p>
          <w:p w14:paraId="62FD148C">
            <w:pPr>
              <w:snapToGrid w:val="0"/>
              <w:spacing w:line="300" w:lineRule="auto"/>
              <w:ind w:firstLine="420" w:firstLineChars="200"/>
              <w:rPr>
                <w:rFonts w:hint="eastAsia" w:ascii="宋体" w:hAnsi="宋体" w:cs="MingLiU"/>
                <w:snapToGrid w:val="0"/>
                <w:color w:val="000000" w:themeColor="text1"/>
                <w:kern w:val="0"/>
                <w:szCs w:val="21"/>
                <w:highlight w:val="none"/>
                <w14:textFill>
                  <w14:solidFill>
                    <w14:schemeClr w14:val="tx1"/>
                  </w14:solidFill>
                </w14:textFill>
              </w:rPr>
            </w:pPr>
            <w:r>
              <w:rPr>
                <w:rFonts w:ascii="宋体" w:hAnsi="宋体" w:cs="MingLiU"/>
                <w:snapToGrid w:val="0"/>
                <w:color w:val="000000" w:themeColor="text1"/>
                <w:kern w:val="0"/>
                <w:szCs w:val="21"/>
                <w:highlight w:val="none"/>
                <w14:textFill>
                  <w14:solidFill>
                    <w14:schemeClr w14:val="tx1"/>
                  </w14:solidFill>
                </w14:textFill>
              </w:rPr>
              <w:t>户  名：重庆市中基致信招标代理有限公司</w:t>
            </w:r>
          </w:p>
          <w:p w14:paraId="220A2B95">
            <w:pPr>
              <w:snapToGrid w:val="0"/>
              <w:spacing w:line="300" w:lineRule="auto"/>
              <w:ind w:firstLine="420" w:firstLineChars="200"/>
              <w:rPr>
                <w:rFonts w:hint="eastAsia" w:ascii="宋体" w:hAnsi="宋体" w:cs="MingLiU"/>
                <w:snapToGrid w:val="0"/>
                <w:color w:val="000000" w:themeColor="text1"/>
                <w:kern w:val="0"/>
                <w:szCs w:val="21"/>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开户行：中国银行重庆江北支行</w:t>
            </w:r>
          </w:p>
          <w:p w14:paraId="41288448">
            <w:pPr>
              <w:spacing w:line="400" w:lineRule="exact"/>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账  号：1144 6718 4234</w:t>
            </w:r>
          </w:p>
        </w:tc>
      </w:tr>
      <w:tr w14:paraId="1F32DB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36A015F">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10.3</w:t>
            </w:r>
          </w:p>
        </w:tc>
        <w:tc>
          <w:tcPr>
            <w:tcW w:w="1964" w:type="dxa"/>
            <w:vAlign w:val="center"/>
          </w:tcPr>
          <w:p w14:paraId="14C35B74">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关于对比选文件及竞选文件理解争议的解释</w:t>
            </w:r>
          </w:p>
        </w:tc>
        <w:tc>
          <w:tcPr>
            <w:tcW w:w="6372" w:type="dxa"/>
            <w:vAlign w:val="center"/>
          </w:tcPr>
          <w:p w14:paraId="25981EA0">
            <w:pPr>
              <w:spacing w:line="400" w:lineRule="exact"/>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对比选文件的评选标准和方法，以及资格审查和否决条款理解有争议的，应当作出不利于比选人的解释，但违背国家利益、社会公共利益的除外。</w:t>
            </w:r>
          </w:p>
          <w:p w14:paraId="57DB9D6A">
            <w:pPr>
              <w:spacing w:line="400" w:lineRule="exact"/>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对竞选文件理解有争议的，应当作出不利于提交该竞选文件的竞选人的解释。</w:t>
            </w:r>
          </w:p>
        </w:tc>
      </w:tr>
      <w:tr w14:paraId="49528C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4D19C3E">
            <w:pPr>
              <w:snapToGrid w:val="0"/>
              <w:spacing w:line="400" w:lineRule="exact"/>
              <w:jc w:val="center"/>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10.</w:t>
            </w:r>
            <w:r>
              <w:rPr>
                <w:rFonts w:hint="eastAsia" w:ascii="宋体" w:hAnsi="宋体"/>
                <w:color w:val="000000" w:themeColor="text1"/>
                <w:kern w:val="0"/>
                <w:szCs w:val="21"/>
                <w:highlight w:val="none"/>
                <w:lang w:val="en-US" w:eastAsia="zh-CN"/>
                <w14:textFill>
                  <w14:solidFill>
                    <w14:schemeClr w14:val="tx1"/>
                  </w14:solidFill>
                </w14:textFill>
              </w:rPr>
              <w:t>4</w:t>
            </w:r>
          </w:p>
        </w:tc>
        <w:tc>
          <w:tcPr>
            <w:tcW w:w="1964" w:type="dxa"/>
            <w:vAlign w:val="center"/>
          </w:tcPr>
          <w:p w14:paraId="6863D71B">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中选候选人和中选人无故放弃中选或不签订合同的后果</w:t>
            </w:r>
          </w:p>
        </w:tc>
        <w:tc>
          <w:tcPr>
            <w:tcW w:w="6372" w:type="dxa"/>
            <w:vAlign w:val="center"/>
          </w:tcPr>
          <w:p w14:paraId="594005D1">
            <w:pPr>
              <w:autoSpaceDE w:val="0"/>
              <w:autoSpaceDN w:val="0"/>
              <w:adjustRightInd w:val="0"/>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1.不予退还比选保证金；</w:t>
            </w:r>
          </w:p>
          <w:p w14:paraId="082C090F">
            <w:pPr>
              <w:autoSpaceDE w:val="0"/>
              <w:autoSpaceDN w:val="0"/>
              <w:adjustRightInd w:val="0"/>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2.给比选人造成经济损失的，要赔偿比选人合理损失；</w:t>
            </w:r>
          </w:p>
          <w:p w14:paraId="1C6427AB">
            <w:pPr>
              <w:autoSpaceDE w:val="0"/>
              <w:autoSpaceDN w:val="0"/>
              <w:adjustRightInd w:val="0"/>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3.由比选人将其不良行为上报监督部门处理。</w:t>
            </w:r>
          </w:p>
        </w:tc>
      </w:tr>
      <w:tr w14:paraId="6708F7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21052A2">
            <w:pPr>
              <w:snapToGrid w:val="0"/>
              <w:spacing w:line="400" w:lineRule="exact"/>
              <w:jc w:val="center"/>
              <w:rPr>
                <w:rFonts w:hint="eastAsia" w:ascii="宋体" w:hAnsi="宋体" w:eastAsia="宋体"/>
                <w:color w:val="000000" w:themeColor="text1"/>
                <w:kern w:val="0"/>
                <w:szCs w:val="21"/>
                <w:highlight w:val="none"/>
                <w:lang w:val="en-US" w:eastAsia="zh-CN"/>
                <w14:textFill>
                  <w14:solidFill>
                    <w14:schemeClr w14:val="tx1"/>
                  </w14:solidFill>
                </w14:textFill>
              </w:rPr>
            </w:pPr>
            <w:bookmarkStart w:id="41" w:name="_Toc224103317"/>
            <w:bookmarkStart w:id="42" w:name="_Toc287607746"/>
            <w:bookmarkStart w:id="43" w:name="_Toc277082552"/>
            <w:bookmarkStart w:id="44" w:name="_Toc509218710"/>
            <w:bookmarkStart w:id="45" w:name="_Toc200513126"/>
            <w:bookmarkStart w:id="46" w:name="_Toc287620685"/>
            <w:bookmarkStart w:id="47" w:name="_Toc430530435"/>
            <w:r>
              <w:rPr>
                <w:rFonts w:hint="eastAsia" w:ascii="宋体" w:hAnsi="宋体"/>
                <w:color w:val="000000" w:themeColor="text1"/>
                <w:kern w:val="0"/>
                <w:szCs w:val="21"/>
                <w:highlight w:val="none"/>
                <w14:textFill>
                  <w14:solidFill>
                    <w14:schemeClr w14:val="tx1"/>
                  </w14:solidFill>
                </w14:textFill>
              </w:rPr>
              <w:t>10.</w:t>
            </w:r>
            <w:r>
              <w:rPr>
                <w:rFonts w:hint="eastAsia" w:ascii="宋体" w:hAnsi="宋体"/>
                <w:color w:val="000000" w:themeColor="text1"/>
                <w:kern w:val="0"/>
                <w:szCs w:val="21"/>
                <w:highlight w:val="none"/>
                <w:lang w:val="en-US" w:eastAsia="zh-CN"/>
                <w14:textFill>
                  <w14:solidFill>
                    <w14:schemeClr w14:val="tx1"/>
                  </w14:solidFill>
                </w14:textFill>
              </w:rPr>
              <w:t>5</w:t>
            </w:r>
          </w:p>
        </w:tc>
        <w:tc>
          <w:tcPr>
            <w:tcW w:w="1964" w:type="dxa"/>
            <w:vAlign w:val="center"/>
          </w:tcPr>
          <w:p w14:paraId="01A3BCBA">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特别说明</w:t>
            </w:r>
          </w:p>
        </w:tc>
        <w:tc>
          <w:tcPr>
            <w:tcW w:w="6372" w:type="dxa"/>
            <w:vAlign w:val="center"/>
          </w:tcPr>
          <w:p w14:paraId="521E6BD1">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项目非因</w:t>
            </w: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人原因取消的</w:t>
            </w: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人不补偿或赔偿</w:t>
            </w:r>
            <w:r>
              <w:rPr>
                <w:rFonts w:hint="eastAsia" w:ascii="宋体" w:hAnsi="宋体" w:eastAsia="宋体" w:cs="宋体"/>
                <w:color w:val="000000" w:themeColor="text1"/>
                <w:kern w:val="0"/>
                <w:szCs w:val="21"/>
                <w:highlight w:val="none"/>
                <w:lang w:val="en-US" w:eastAsia="zh-CN"/>
                <w14:textFill>
                  <w14:solidFill>
                    <w14:schemeClr w14:val="tx1"/>
                  </w14:solidFill>
                </w14:textFill>
              </w:rPr>
              <w:t>竞选</w:t>
            </w:r>
            <w:r>
              <w:rPr>
                <w:rFonts w:hint="eastAsia" w:ascii="宋体" w:hAnsi="宋体" w:eastAsia="宋体" w:cs="宋体"/>
                <w:color w:val="000000" w:themeColor="text1"/>
                <w:kern w:val="0"/>
                <w:szCs w:val="21"/>
                <w:highlight w:val="none"/>
                <w14:textFill>
                  <w14:solidFill>
                    <w14:schemeClr w14:val="tx1"/>
                  </w14:solidFill>
                </w14:textFill>
              </w:rPr>
              <w:t>人。</w:t>
            </w:r>
          </w:p>
          <w:p w14:paraId="4F6AEC24">
            <w:pPr>
              <w:autoSpaceDE w:val="0"/>
              <w:autoSpaceDN w:val="0"/>
              <w:adjustRightInd w:val="0"/>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w:t>
            </w:r>
          </w:p>
        </w:tc>
      </w:tr>
    </w:tbl>
    <w:p w14:paraId="42E940B3">
      <w:pPr>
        <w:pStyle w:val="8"/>
        <w:outlineLvl w:val="1"/>
        <w:rPr>
          <w:rFonts w:hint="eastAsia" w:ascii="宋体" w:hAnsi="宋体" w:cs="宋体"/>
          <w:bCs/>
          <w:snapToGrid w:val="0"/>
          <w:color w:val="000000" w:themeColor="text1"/>
          <w:sz w:val="24"/>
          <w:highlight w:val="none"/>
          <w14:textFill>
            <w14:solidFill>
              <w14:schemeClr w14:val="tx1"/>
            </w14:solidFill>
          </w14:textFill>
        </w:rPr>
      </w:pPr>
    </w:p>
    <w:p w14:paraId="187A7F3B">
      <w:pPr>
        <w:rPr>
          <w:snapToGrid w:val="0"/>
          <w:color w:val="000000" w:themeColor="text1"/>
          <w:highlight w:val="none"/>
          <w14:textFill>
            <w14:solidFill>
              <w14:schemeClr w14:val="tx1"/>
            </w14:solidFill>
          </w14:textFill>
        </w:rPr>
      </w:pPr>
      <w:r>
        <w:rPr>
          <w:snapToGrid w:val="0"/>
          <w:color w:val="000000" w:themeColor="text1"/>
          <w:highlight w:val="none"/>
          <w14:textFill>
            <w14:solidFill>
              <w14:schemeClr w14:val="tx1"/>
            </w14:solidFill>
          </w14:textFill>
        </w:rPr>
        <w:br w:type="page"/>
      </w:r>
    </w:p>
    <w:p w14:paraId="2E6FC331">
      <w:pPr>
        <w:pStyle w:val="8"/>
        <w:outlineLvl w:val="1"/>
        <w:rPr>
          <w:rFonts w:hint="eastAsia"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1.  总则</w:t>
      </w:r>
      <w:bookmarkEnd w:id="41"/>
      <w:bookmarkEnd w:id="42"/>
      <w:bookmarkEnd w:id="43"/>
      <w:bookmarkEnd w:id="44"/>
      <w:bookmarkEnd w:id="45"/>
      <w:bookmarkEnd w:id="46"/>
      <w:bookmarkEnd w:id="47"/>
    </w:p>
    <w:p w14:paraId="109FF097">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8" w:name="_Toc430530436"/>
      <w:bookmarkStart w:id="49" w:name="_Toc40569046"/>
      <w:bookmarkStart w:id="50" w:name="_Toc509218711"/>
      <w:bookmarkStart w:id="51" w:name="_Toc224103318"/>
      <w:bookmarkStart w:id="52" w:name="_Toc3411"/>
      <w:bookmarkStart w:id="53" w:name="_Toc10890"/>
      <w:bookmarkStart w:id="54" w:name="_Toc277082553"/>
      <w:bookmarkStart w:id="55" w:name="_Toc287620686"/>
      <w:bookmarkStart w:id="56" w:name="_Toc40569141"/>
      <w:bookmarkStart w:id="57" w:name="_Toc200513127"/>
      <w:bookmarkStart w:id="58" w:name="_Toc32083"/>
      <w:bookmarkStart w:id="59" w:name="_Toc287607747"/>
      <w:r>
        <w:rPr>
          <w:rFonts w:hint="eastAsia" w:ascii="宋体" w:hAnsi="宋体" w:cs="宋体"/>
          <w:b w:val="0"/>
          <w:snapToGrid w:val="0"/>
          <w:color w:val="000000" w:themeColor="text1"/>
          <w:sz w:val="24"/>
          <w:szCs w:val="24"/>
          <w:highlight w:val="none"/>
          <w14:textFill>
            <w14:solidFill>
              <w14:schemeClr w14:val="tx1"/>
            </w14:solidFill>
          </w14:textFill>
        </w:rPr>
        <w:t>1.1  项目概况</w:t>
      </w:r>
      <w:bookmarkEnd w:id="48"/>
      <w:bookmarkEnd w:id="49"/>
      <w:bookmarkEnd w:id="50"/>
      <w:bookmarkEnd w:id="51"/>
      <w:bookmarkEnd w:id="52"/>
      <w:bookmarkEnd w:id="53"/>
      <w:bookmarkEnd w:id="54"/>
      <w:bookmarkEnd w:id="55"/>
      <w:bookmarkEnd w:id="56"/>
      <w:bookmarkEnd w:id="57"/>
      <w:bookmarkEnd w:id="58"/>
      <w:bookmarkEnd w:id="59"/>
    </w:p>
    <w:p w14:paraId="62DD96C3">
      <w:pPr>
        <w:autoSpaceDE w:val="0"/>
        <w:autoSpaceDN w:val="0"/>
        <w:adjustRightInd w:val="0"/>
        <w:snapToGrid w:val="0"/>
        <w:spacing w:line="360" w:lineRule="auto"/>
        <w:ind w:firstLine="357" w:firstLineChars="17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1.1.1  根据《中华人民共和国招标投标法》等有关法律、法规和规章的规定，本发包项目已具备比选条件，现对本项目进行竞争性比选。</w:t>
      </w:r>
    </w:p>
    <w:p w14:paraId="69EDA2BC">
      <w:pPr>
        <w:autoSpaceDE w:val="0"/>
        <w:autoSpaceDN w:val="0"/>
        <w:adjustRightInd w:val="0"/>
        <w:snapToGrid w:val="0"/>
        <w:spacing w:line="360" w:lineRule="auto"/>
        <w:ind w:firstLine="357" w:firstLineChars="17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1.1.2  本发包项目比选人：见竞选人须知前附表。</w:t>
      </w:r>
    </w:p>
    <w:p w14:paraId="5C88F5B7">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1.1.3  本项目比选代理机构：见竞选人须知前附表。</w:t>
      </w:r>
    </w:p>
    <w:p w14:paraId="0D474B25">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1.1.4  本发包项目名称：见竞选人须知前附表。</w:t>
      </w:r>
    </w:p>
    <w:p w14:paraId="031A7FDF">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1.1.5  本项目建设地点：见竞选人须知前附表。</w:t>
      </w:r>
    </w:p>
    <w:p w14:paraId="2AA82EAF">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1.1.6  本项目建设规模：见竞选人须知前附表。</w:t>
      </w:r>
    </w:p>
    <w:p w14:paraId="1113AA8C">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60" w:name="_Toc509218712"/>
      <w:bookmarkStart w:id="61" w:name="_Toc224103319"/>
      <w:bookmarkStart w:id="62" w:name="_Toc25629"/>
      <w:bookmarkStart w:id="63" w:name="_Toc430530437"/>
      <w:bookmarkStart w:id="64" w:name="_Toc21234"/>
      <w:bookmarkStart w:id="65" w:name="_Toc277082554"/>
      <w:bookmarkStart w:id="66" w:name="_Toc2933"/>
      <w:bookmarkStart w:id="67" w:name="_Toc287607748"/>
      <w:bookmarkStart w:id="68" w:name="_Toc200513128"/>
      <w:bookmarkStart w:id="69" w:name="_Toc287620687"/>
      <w:bookmarkStart w:id="70" w:name="_Toc40569142"/>
      <w:bookmarkStart w:id="71" w:name="_Toc40569047"/>
      <w:r>
        <w:rPr>
          <w:rFonts w:hint="eastAsia" w:ascii="宋体" w:hAnsi="宋体" w:cs="宋体"/>
          <w:b w:val="0"/>
          <w:snapToGrid w:val="0"/>
          <w:color w:val="000000" w:themeColor="text1"/>
          <w:sz w:val="24"/>
          <w:szCs w:val="24"/>
          <w:highlight w:val="none"/>
          <w14:textFill>
            <w14:solidFill>
              <w14:schemeClr w14:val="tx1"/>
            </w14:solidFill>
          </w14:textFill>
        </w:rPr>
        <w:t>1.2  资金来源和落实情况</w:t>
      </w:r>
      <w:bookmarkEnd w:id="60"/>
      <w:bookmarkEnd w:id="61"/>
      <w:bookmarkEnd w:id="62"/>
      <w:bookmarkEnd w:id="63"/>
      <w:bookmarkEnd w:id="64"/>
      <w:bookmarkEnd w:id="65"/>
      <w:bookmarkEnd w:id="66"/>
      <w:bookmarkEnd w:id="67"/>
      <w:bookmarkEnd w:id="68"/>
      <w:bookmarkEnd w:id="69"/>
      <w:bookmarkEnd w:id="70"/>
      <w:bookmarkEnd w:id="71"/>
    </w:p>
    <w:p w14:paraId="3A828577">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1.2.1  本发包项目的资金来源：见竞选人须知前附表。</w:t>
      </w:r>
    </w:p>
    <w:p w14:paraId="3C470072">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1.2.2  本发包项目的出资比例：见竞选人须知前附表。</w:t>
      </w:r>
    </w:p>
    <w:p w14:paraId="0AE8E391">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1.2.3  本发包项目的资金落实情况：见竞选人须知前附表。</w:t>
      </w:r>
    </w:p>
    <w:p w14:paraId="236EF676">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72" w:name="_Toc224103320"/>
      <w:bookmarkStart w:id="73" w:name="_Toc23212"/>
      <w:bookmarkStart w:id="74" w:name="_Toc40569143"/>
      <w:bookmarkStart w:id="75" w:name="_Toc509218713"/>
      <w:bookmarkStart w:id="76" w:name="_Toc287607749"/>
      <w:bookmarkStart w:id="77" w:name="_Toc40569048"/>
      <w:bookmarkStart w:id="78" w:name="_Toc277082555"/>
      <w:bookmarkStart w:id="79" w:name="_Toc287620688"/>
      <w:bookmarkStart w:id="80" w:name="_Toc430530438"/>
      <w:bookmarkStart w:id="81" w:name="_Toc3621"/>
      <w:bookmarkStart w:id="82" w:name="_Toc200513129"/>
      <w:bookmarkStart w:id="83" w:name="_Toc21182"/>
      <w:r>
        <w:rPr>
          <w:rFonts w:hint="eastAsia" w:ascii="宋体" w:hAnsi="宋体" w:cs="宋体"/>
          <w:b w:val="0"/>
          <w:snapToGrid w:val="0"/>
          <w:color w:val="000000" w:themeColor="text1"/>
          <w:sz w:val="24"/>
          <w:szCs w:val="24"/>
          <w:highlight w:val="none"/>
          <w14:textFill>
            <w14:solidFill>
              <w14:schemeClr w14:val="tx1"/>
            </w14:solidFill>
          </w14:textFill>
        </w:rPr>
        <w:t>1.3  比选范围、工期和质量要求</w:t>
      </w:r>
      <w:bookmarkEnd w:id="72"/>
      <w:bookmarkEnd w:id="73"/>
      <w:bookmarkEnd w:id="74"/>
      <w:bookmarkEnd w:id="75"/>
      <w:bookmarkEnd w:id="76"/>
      <w:bookmarkEnd w:id="77"/>
      <w:bookmarkEnd w:id="78"/>
      <w:bookmarkEnd w:id="79"/>
      <w:bookmarkEnd w:id="80"/>
      <w:bookmarkEnd w:id="81"/>
      <w:bookmarkEnd w:id="82"/>
      <w:bookmarkEnd w:id="83"/>
    </w:p>
    <w:p w14:paraId="72F1DCF6">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1.3.1  本次比选范围：见竞选人须知前附表。</w:t>
      </w:r>
    </w:p>
    <w:p w14:paraId="43B6D03D">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1.3.2  本项目的服务期：见竞选人须知前附表。</w:t>
      </w:r>
    </w:p>
    <w:p w14:paraId="575F8C33">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1.3.3  本项目的质量要求：见竞选人须知前附表。</w:t>
      </w:r>
    </w:p>
    <w:p w14:paraId="07926AC8">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84" w:name="_Toc287607750"/>
      <w:bookmarkStart w:id="85" w:name="_Toc430530439"/>
      <w:bookmarkStart w:id="86" w:name="_Toc287620689"/>
      <w:bookmarkStart w:id="87" w:name="_Toc200513130"/>
      <w:bookmarkStart w:id="88" w:name="_Toc509218714"/>
      <w:bookmarkStart w:id="89" w:name="_Toc277082556"/>
      <w:bookmarkStart w:id="90" w:name="_Toc224103321"/>
      <w:bookmarkStart w:id="91" w:name="_Toc40569144"/>
      <w:bookmarkStart w:id="92" w:name="_Toc40569049"/>
      <w:bookmarkStart w:id="93" w:name="_Toc30002"/>
      <w:bookmarkStart w:id="94" w:name="_Toc28521"/>
      <w:bookmarkStart w:id="95" w:name="_Toc5712"/>
      <w:r>
        <w:rPr>
          <w:rFonts w:hint="eastAsia" w:ascii="宋体" w:hAnsi="宋体" w:cs="宋体"/>
          <w:b w:val="0"/>
          <w:snapToGrid w:val="0"/>
          <w:color w:val="000000" w:themeColor="text1"/>
          <w:sz w:val="24"/>
          <w:szCs w:val="24"/>
          <w:highlight w:val="none"/>
          <w14:textFill>
            <w14:solidFill>
              <w14:schemeClr w14:val="tx1"/>
            </w14:solidFill>
          </w14:textFill>
        </w:rPr>
        <w:t xml:space="preserve">1.4  </w:t>
      </w:r>
      <w:bookmarkEnd w:id="84"/>
      <w:bookmarkEnd w:id="85"/>
      <w:bookmarkEnd w:id="86"/>
      <w:bookmarkEnd w:id="87"/>
      <w:bookmarkEnd w:id="88"/>
      <w:bookmarkEnd w:id="89"/>
      <w:bookmarkEnd w:id="90"/>
      <w:bookmarkStart w:id="96" w:name="_Toc277082557"/>
      <w:bookmarkStart w:id="97" w:name="_Toc287607751"/>
      <w:bookmarkStart w:id="98" w:name="_Toc200513131"/>
      <w:bookmarkStart w:id="99" w:name="_Toc287620690"/>
      <w:bookmarkStart w:id="100" w:name="_Toc224103322"/>
      <w:bookmarkStart w:id="101" w:name="_Toc509218715"/>
      <w:bookmarkStart w:id="102" w:name="_Toc430530440"/>
      <w:r>
        <w:rPr>
          <w:rFonts w:hint="eastAsia" w:ascii="宋体" w:hAnsi="宋体" w:cs="宋体"/>
          <w:b w:val="0"/>
          <w:snapToGrid w:val="0"/>
          <w:color w:val="000000" w:themeColor="text1"/>
          <w:sz w:val="24"/>
          <w:szCs w:val="24"/>
          <w:highlight w:val="none"/>
          <w14:textFill>
            <w14:solidFill>
              <w14:schemeClr w14:val="tx1"/>
            </w14:solidFill>
          </w14:textFill>
        </w:rPr>
        <w:t>竞选人资格要求</w:t>
      </w:r>
      <w:bookmarkEnd w:id="91"/>
      <w:bookmarkEnd w:id="92"/>
      <w:bookmarkEnd w:id="93"/>
      <w:bookmarkEnd w:id="94"/>
      <w:bookmarkEnd w:id="95"/>
      <w:bookmarkEnd w:id="96"/>
      <w:bookmarkEnd w:id="97"/>
      <w:bookmarkEnd w:id="98"/>
      <w:bookmarkEnd w:id="99"/>
      <w:bookmarkEnd w:id="100"/>
      <w:bookmarkEnd w:id="101"/>
      <w:bookmarkEnd w:id="102"/>
    </w:p>
    <w:p w14:paraId="17171D80">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1.4.1 竞选人应具备承担本项目的资质条件、能力和信誉。</w:t>
      </w:r>
    </w:p>
    <w:p w14:paraId="6CD37CBB">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资质条件、营业执照</w:t>
      </w:r>
      <w:r>
        <w:rPr>
          <w:rFonts w:hint="eastAsia" w:ascii="宋体" w:hAnsi="宋体" w:cs="宋体"/>
          <w:snapToGrid w:val="0"/>
          <w:color w:val="000000" w:themeColor="text1"/>
          <w:kern w:val="0"/>
          <w:szCs w:val="21"/>
          <w:highlight w:val="none"/>
          <w14:textFill>
            <w14:solidFill>
              <w14:schemeClr w14:val="tx1"/>
            </w14:solidFill>
          </w14:textFill>
        </w:rPr>
        <w:t>：见竞选人须知前附表；</w:t>
      </w:r>
    </w:p>
    <w:p w14:paraId="08650BD8">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（2）财务要求：见竞选人须知前附表；</w:t>
      </w:r>
    </w:p>
    <w:p w14:paraId="27842554">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（3）业绩要求：见竞选人须知前附表；</w:t>
      </w:r>
    </w:p>
    <w:p w14:paraId="1398C26A">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（4）人员要求：见竞选人须知前附表；</w:t>
      </w:r>
    </w:p>
    <w:p w14:paraId="66670724">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（5）其他要求：见竞选人须知前附表。</w:t>
      </w:r>
    </w:p>
    <w:p w14:paraId="1989D77B">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1.4.2  竞选人须知前附表规定接受联合体参与竞选的，除应符合本章第1.4.1项和竞选人须知前附表的要求外，还应遵守以下规定：</w:t>
      </w:r>
    </w:p>
    <w:p w14:paraId="581C56A2">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（1）联合体各方应按比选文件提供的格式签订联合体协议书，明确联合体牵头人和各方权利义务；</w:t>
      </w:r>
    </w:p>
    <w:p w14:paraId="52347398">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（2）联合体各方均应当具备承担招标项目的相应能力；联合体协议约定同一专业分工由两个及以上单位共同承担的，按照就低不就高的原则确定联合体资质；</w:t>
      </w:r>
    </w:p>
    <w:p w14:paraId="414379E4">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（3）联合体各方不得再以自己名义单独或参加其他联合体在同一标段中投标。</w:t>
      </w:r>
    </w:p>
    <w:p w14:paraId="54A7FA57">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1.4.3  竞选人不得存在下列情形之一：</w:t>
      </w:r>
    </w:p>
    <w:p w14:paraId="4B3BC5A1">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bookmarkStart w:id="103" w:name="_Toc40569050"/>
      <w:bookmarkStart w:id="104" w:name="_Toc5221"/>
      <w:bookmarkStart w:id="105" w:name="_Toc9192"/>
      <w:bookmarkStart w:id="106" w:name="_Toc287607752"/>
      <w:bookmarkStart w:id="107" w:name="_Toc7266"/>
      <w:bookmarkStart w:id="108" w:name="_Toc40569145"/>
      <w:bookmarkStart w:id="109" w:name="_Toc287620691"/>
      <w:bookmarkStart w:id="110" w:name="_Toc224103323"/>
      <w:bookmarkStart w:id="111" w:name="_Toc200513132"/>
      <w:bookmarkStart w:id="112" w:name="_Toc509218716"/>
      <w:bookmarkStart w:id="113" w:name="_Toc430530441"/>
      <w:bookmarkStart w:id="114" w:name="_Toc277082558"/>
      <w:r>
        <w:rPr>
          <w:rFonts w:hint="eastAsia" w:ascii="宋体" w:hAnsi="宋体"/>
          <w:color w:val="000000" w:themeColor="text1"/>
          <w:szCs w:val="21"/>
          <w:highlight w:val="none"/>
          <w14:textFill>
            <w14:solidFill>
              <w14:schemeClr w14:val="tx1"/>
            </w14:solidFill>
          </w14:textFill>
        </w:rPr>
        <w:t>（1）与比选人存在利害关系可能影响招标公正性的法人、其他组织或者个人；</w:t>
      </w:r>
    </w:p>
    <w:p w14:paraId="4F198C27">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（2）为本项目的代理人；</w:t>
      </w:r>
    </w:p>
    <w:p w14:paraId="222285C4">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（3）为本项目的代建人；</w:t>
      </w:r>
    </w:p>
    <w:p w14:paraId="217282A0">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（4）为本项目提供比选代理服务的；</w:t>
      </w:r>
    </w:p>
    <w:p w14:paraId="410A0679">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（5）与本项目的代建人或比选代理机构同为一个法定代表人的；</w:t>
      </w:r>
    </w:p>
    <w:p w14:paraId="38A71B56">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（6）与本项目的代建人或比选代理机构相互控股或参股的；</w:t>
      </w:r>
    </w:p>
    <w:p w14:paraId="7DD081BD">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（7）与本项目的代建人或比选代理机构相互任职或工作的；</w:t>
      </w:r>
    </w:p>
    <w:p w14:paraId="430E2526">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（8）被责令停业的；</w:t>
      </w:r>
    </w:p>
    <w:p w14:paraId="10B3F574">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（9）被暂停或取消投标资格的；</w:t>
      </w:r>
    </w:p>
    <w:p w14:paraId="62DC2407">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（10）财产被接管或冻结的；</w:t>
      </w:r>
    </w:p>
    <w:p w14:paraId="325F05EC">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（11）单位负责人为同一人或者存在控股、管理关系的不同单位，不得在同一标段中同时投标。</w:t>
      </w:r>
    </w:p>
    <w:p w14:paraId="0272FF5C">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r>
        <w:rPr>
          <w:rFonts w:hint="eastAsia" w:ascii="宋体" w:hAnsi="宋体" w:cs="宋体"/>
          <w:b w:val="0"/>
          <w:snapToGrid w:val="0"/>
          <w:color w:val="000000" w:themeColor="text1"/>
          <w:sz w:val="24"/>
          <w:szCs w:val="24"/>
          <w:highlight w:val="none"/>
          <w14:textFill>
            <w14:solidFill>
              <w14:schemeClr w14:val="tx1"/>
            </w14:solidFill>
          </w14:textFill>
        </w:rPr>
        <w:t>1.5  费用承担</w:t>
      </w:r>
      <w:bookmarkEnd w:id="103"/>
      <w:bookmarkEnd w:id="104"/>
      <w:bookmarkEnd w:id="105"/>
      <w:bookmarkEnd w:id="106"/>
      <w:bookmarkEnd w:id="107"/>
      <w:bookmarkEnd w:id="108"/>
      <w:bookmarkEnd w:id="109"/>
      <w:bookmarkEnd w:id="110"/>
      <w:bookmarkEnd w:id="111"/>
      <w:bookmarkEnd w:id="112"/>
      <w:bookmarkEnd w:id="113"/>
      <w:bookmarkEnd w:id="114"/>
    </w:p>
    <w:p w14:paraId="10BB30FC">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竞选人准备和参加竞选活动发生的费用自理。</w:t>
      </w:r>
    </w:p>
    <w:p w14:paraId="7852EEBD">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115" w:name="_Toc5293"/>
      <w:bookmarkStart w:id="116" w:name="_Toc224103324"/>
      <w:bookmarkStart w:id="117" w:name="_Toc200513133"/>
      <w:bookmarkStart w:id="118" w:name="_Toc287607753"/>
      <w:bookmarkStart w:id="119" w:name="_Toc430530442"/>
      <w:bookmarkStart w:id="120" w:name="_Toc40569146"/>
      <w:bookmarkStart w:id="121" w:name="_Toc20139"/>
      <w:bookmarkStart w:id="122" w:name="_Toc40569051"/>
      <w:bookmarkStart w:id="123" w:name="_Toc277082559"/>
      <w:bookmarkStart w:id="124" w:name="_Toc287620692"/>
      <w:bookmarkStart w:id="125" w:name="_Toc5781"/>
      <w:bookmarkStart w:id="126" w:name="_Toc509218717"/>
      <w:r>
        <w:rPr>
          <w:rFonts w:hint="eastAsia" w:ascii="宋体" w:hAnsi="宋体" w:cs="宋体"/>
          <w:b w:val="0"/>
          <w:snapToGrid w:val="0"/>
          <w:color w:val="000000" w:themeColor="text1"/>
          <w:sz w:val="24"/>
          <w:szCs w:val="24"/>
          <w:highlight w:val="none"/>
          <w14:textFill>
            <w14:solidFill>
              <w14:schemeClr w14:val="tx1"/>
            </w14:solidFill>
          </w14:textFill>
        </w:rPr>
        <w:t>1.6  保密</w:t>
      </w:r>
      <w:bookmarkEnd w:id="115"/>
      <w:bookmarkEnd w:id="116"/>
      <w:bookmarkEnd w:id="117"/>
      <w:bookmarkEnd w:id="118"/>
      <w:bookmarkEnd w:id="119"/>
      <w:bookmarkEnd w:id="120"/>
      <w:bookmarkEnd w:id="121"/>
      <w:bookmarkEnd w:id="122"/>
      <w:bookmarkEnd w:id="123"/>
      <w:bookmarkEnd w:id="124"/>
      <w:bookmarkEnd w:id="125"/>
      <w:bookmarkEnd w:id="126"/>
    </w:p>
    <w:p w14:paraId="209DCC89">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参与比选活动的各方应对比选文件和竞选文件中的商业和技术等秘密保密，违者应对由此造成的后果承担法律责任。</w:t>
      </w:r>
    </w:p>
    <w:p w14:paraId="60BC719E">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127" w:name="_Toc200513134"/>
      <w:bookmarkStart w:id="128" w:name="_Toc224103325"/>
      <w:bookmarkStart w:id="129" w:name="_Toc287620693"/>
      <w:bookmarkStart w:id="130" w:name="_Toc287607754"/>
      <w:bookmarkStart w:id="131" w:name="_Toc40569052"/>
      <w:bookmarkStart w:id="132" w:name="_Toc32367"/>
      <w:bookmarkStart w:id="133" w:name="_Toc509218718"/>
      <w:bookmarkStart w:id="134" w:name="_Toc10589"/>
      <w:bookmarkStart w:id="135" w:name="_Toc7317"/>
      <w:bookmarkStart w:id="136" w:name="_Toc277082560"/>
      <w:bookmarkStart w:id="137" w:name="_Toc40569147"/>
      <w:bookmarkStart w:id="138" w:name="_Toc430530443"/>
      <w:r>
        <w:rPr>
          <w:rFonts w:hint="eastAsia" w:ascii="宋体" w:hAnsi="宋体" w:cs="宋体"/>
          <w:b w:val="0"/>
          <w:snapToGrid w:val="0"/>
          <w:color w:val="000000" w:themeColor="text1"/>
          <w:sz w:val="24"/>
          <w:szCs w:val="24"/>
          <w:highlight w:val="none"/>
          <w14:textFill>
            <w14:solidFill>
              <w14:schemeClr w14:val="tx1"/>
            </w14:solidFill>
          </w14:textFill>
        </w:rPr>
        <w:t>1.7  语言文字</w:t>
      </w:r>
      <w:bookmarkEnd w:id="127"/>
      <w:bookmarkEnd w:id="128"/>
      <w:bookmarkEnd w:id="129"/>
      <w:bookmarkEnd w:id="130"/>
      <w:bookmarkEnd w:id="131"/>
      <w:bookmarkEnd w:id="132"/>
      <w:bookmarkEnd w:id="133"/>
      <w:bookmarkEnd w:id="134"/>
      <w:bookmarkEnd w:id="135"/>
      <w:bookmarkEnd w:id="136"/>
      <w:bookmarkEnd w:id="137"/>
      <w:bookmarkEnd w:id="138"/>
    </w:p>
    <w:p w14:paraId="385FB009">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除专用术语外，与比选有关的语言均使用中文。必要时专用术语应附有中文注释。</w:t>
      </w:r>
    </w:p>
    <w:p w14:paraId="49F129DA">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139" w:name="_Toc224103326"/>
      <w:bookmarkStart w:id="140" w:name="_Toc7911"/>
      <w:bookmarkStart w:id="141" w:name="_Toc277082561"/>
      <w:bookmarkStart w:id="142" w:name="_Toc287620694"/>
      <w:bookmarkStart w:id="143" w:name="_Toc509218719"/>
      <w:bookmarkStart w:id="144" w:name="_Toc287607755"/>
      <w:bookmarkStart w:id="145" w:name="_Toc40569148"/>
      <w:bookmarkStart w:id="146" w:name="_Toc200513135"/>
      <w:bookmarkStart w:id="147" w:name="_Toc430530444"/>
      <w:bookmarkStart w:id="148" w:name="_Toc23841"/>
      <w:bookmarkStart w:id="149" w:name="_Toc40569053"/>
      <w:bookmarkStart w:id="150" w:name="_Toc1276"/>
      <w:r>
        <w:rPr>
          <w:rFonts w:hint="eastAsia" w:ascii="宋体" w:hAnsi="宋体" w:cs="宋体"/>
          <w:b w:val="0"/>
          <w:snapToGrid w:val="0"/>
          <w:color w:val="000000" w:themeColor="text1"/>
          <w:sz w:val="24"/>
          <w:szCs w:val="24"/>
          <w:highlight w:val="none"/>
          <w14:textFill>
            <w14:solidFill>
              <w14:schemeClr w14:val="tx1"/>
            </w14:solidFill>
          </w14:textFill>
        </w:rPr>
        <w:t>1.8  计量单位</w:t>
      </w:r>
      <w:bookmarkEnd w:id="139"/>
      <w:bookmarkEnd w:id="140"/>
      <w:bookmarkEnd w:id="141"/>
      <w:bookmarkEnd w:id="142"/>
      <w:bookmarkEnd w:id="143"/>
      <w:bookmarkEnd w:id="144"/>
      <w:bookmarkEnd w:id="145"/>
      <w:bookmarkEnd w:id="146"/>
      <w:bookmarkEnd w:id="147"/>
      <w:bookmarkEnd w:id="148"/>
      <w:bookmarkEnd w:id="149"/>
      <w:bookmarkEnd w:id="150"/>
    </w:p>
    <w:p w14:paraId="43DF6F34">
      <w:pPr>
        <w:autoSpaceDE w:val="0"/>
        <w:autoSpaceDN w:val="0"/>
        <w:adjustRightInd w:val="0"/>
        <w:snapToGrid w:val="0"/>
        <w:spacing w:line="360" w:lineRule="auto"/>
        <w:ind w:firstLine="424" w:firstLineChars="202"/>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所有计量均采用中华人民共和国法定计量单位。</w:t>
      </w:r>
    </w:p>
    <w:p w14:paraId="6DBA0404">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151" w:name="_Toc40569149"/>
      <w:bookmarkStart w:id="152" w:name="_Toc287607756"/>
      <w:bookmarkStart w:id="153" w:name="_Toc224103327"/>
      <w:bookmarkStart w:id="154" w:name="_Toc430530445"/>
      <w:bookmarkStart w:id="155" w:name="_Toc509218720"/>
      <w:bookmarkStart w:id="156" w:name="_Toc11881"/>
      <w:bookmarkStart w:id="157" w:name="_Toc200513136"/>
      <w:bookmarkStart w:id="158" w:name="_Toc5120"/>
      <w:bookmarkStart w:id="159" w:name="_Toc287620695"/>
      <w:bookmarkStart w:id="160" w:name="_Toc40569054"/>
      <w:bookmarkStart w:id="161" w:name="_Toc277082562"/>
      <w:bookmarkStart w:id="162" w:name="_Toc5390"/>
      <w:r>
        <w:rPr>
          <w:rFonts w:hint="eastAsia" w:ascii="宋体" w:hAnsi="宋体" w:cs="宋体"/>
          <w:b w:val="0"/>
          <w:snapToGrid w:val="0"/>
          <w:color w:val="000000" w:themeColor="text1"/>
          <w:sz w:val="24"/>
          <w:szCs w:val="24"/>
          <w:highlight w:val="none"/>
          <w14:textFill>
            <w14:solidFill>
              <w14:schemeClr w14:val="tx1"/>
            </w14:solidFill>
          </w14:textFill>
        </w:rPr>
        <w:t>1.9  踏勘现场</w:t>
      </w:r>
      <w:bookmarkEnd w:id="151"/>
      <w:bookmarkEnd w:id="152"/>
      <w:bookmarkEnd w:id="153"/>
      <w:bookmarkEnd w:id="154"/>
      <w:bookmarkEnd w:id="155"/>
      <w:bookmarkEnd w:id="156"/>
      <w:bookmarkEnd w:id="157"/>
      <w:bookmarkEnd w:id="158"/>
      <w:bookmarkEnd w:id="159"/>
      <w:bookmarkEnd w:id="160"/>
      <w:bookmarkEnd w:id="161"/>
      <w:bookmarkEnd w:id="162"/>
    </w:p>
    <w:p w14:paraId="1438FD66">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1.9.1  竞选人须知前附表规定组织踏勘现场的，比选人按竞选人须知前附表规定的时间、 地点组织竞选人踏勘项目现场。</w:t>
      </w:r>
    </w:p>
    <w:p w14:paraId="695DF3EA">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1.9.2  竞选人踏勘现场发生的费用自理。</w:t>
      </w:r>
    </w:p>
    <w:p w14:paraId="54634B3F">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1.9.3  除比选人的原因外，竞选人自行负责在踏勘现场中所发生的人员伤亡和财产损失。</w:t>
      </w:r>
    </w:p>
    <w:p w14:paraId="004A97AB">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1.9.4  比选人在踏勘现场中介绍的工程场地和相关的周边环境情况，供竞选人在编制竞选文件时参考，比选人不对竞选人据此做出的判断和决策负责。</w:t>
      </w:r>
    </w:p>
    <w:p w14:paraId="48A91E30">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163" w:name="_Toc200513137"/>
      <w:bookmarkStart w:id="164" w:name="_Toc509218721"/>
      <w:bookmarkStart w:id="165" w:name="_Toc430530446"/>
      <w:bookmarkStart w:id="166" w:name="_Toc10229"/>
      <w:bookmarkStart w:id="167" w:name="_Toc277082563"/>
      <w:bookmarkStart w:id="168" w:name="_Toc40569055"/>
      <w:bookmarkStart w:id="169" w:name="_Toc224103328"/>
      <w:bookmarkStart w:id="170" w:name="_Toc27798"/>
      <w:bookmarkStart w:id="171" w:name="_Toc14731"/>
      <w:bookmarkStart w:id="172" w:name="_Toc40569150"/>
      <w:bookmarkStart w:id="173" w:name="_Toc287607757"/>
      <w:bookmarkStart w:id="174" w:name="_Toc287620696"/>
      <w:r>
        <w:rPr>
          <w:rFonts w:hint="eastAsia" w:ascii="宋体" w:hAnsi="宋体" w:cs="宋体"/>
          <w:b w:val="0"/>
          <w:snapToGrid w:val="0"/>
          <w:color w:val="000000" w:themeColor="text1"/>
          <w:sz w:val="24"/>
          <w:szCs w:val="24"/>
          <w:highlight w:val="none"/>
          <w14:textFill>
            <w14:solidFill>
              <w14:schemeClr w14:val="tx1"/>
            </w14:solidFill>
          </w14:textFill>
        </w:rPr>
        <w:t>1.10  比选预备会</w:t>
      </w:r>
      <w:bookmarkEnd w:id="163"/>
      <w:bookmarkEnd w:id="164"/>
      <w:bookmarkEnd w:id="165"/>
      <w:bookmarkEnd w:id="166"/>
      <w:bookmarkEnd w:id="167"/>
      <w:bookmarkEnd w:id="168"/>
      <w:bookmarkEnd w:id="169"/>
      <w:bookmarkEnd w:id="170"/>
      <w:bookmarkEnd w:id="171"/>
      <w:bookmarkEnd w:id="172"/>
      <w:bookmarkEnd w:id="173"/>
      <w:bookmarkEnd w:id="174"/>
    </w:p>
    <w:p w14:paraId="1AF7F195">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1.10.1  竞选人须知前附表规定召开比选预备会的，比选人按竞选人须知前附表规定的时间和地点召开预备会，澄清竞选人提出的问题。</w:t>
      </w:r>
    </w:p>
    <w:p w14:paraId="34FB9056">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1.10.2  竞选人应在竞选人须知前附表</w:t>
      </w:r>
      <w:r>
        <w:rPr>
          <w:rFonts w:hint="eastAsia" w:ascii="宋体" w:hAnsi="宋体" w:cs="宋体"/>
          <w:color w:val="000000" w:themeColor="text1"/>
          <w:kern w:val="0"/>
          <w:szCs w:val="21"/>
          <w:highlight w:val="none"/>
          <w14:textFill>
            <w14:solidFill>
              <w14:schemeClr w14:val="tx1"/>
            </w14:solidFill>
          </w14:textFill>
        </w:rPr>
        <w:t>2.2.4</w:t>
      </w:r>
      <w:r>
        <w:rPr>
          <w:rFonts w:hint="eastAsia" w:ascii="宋体" w:hAnsi="宋体" w:cs="宋体"/>
          <w:snapToGrid w:val="0"/>
          <w:color w:val="000000" w:themeColor="text1"/>
          <w:kern w:val="0"/>
          <w:szCs w:val="21"/>
          <w:highlight w:val="none"/>
          <w14:textFill>
            <w14:solidFill>
              <w14:schemeClr w14:val="tx1"/>
            </w14:solidFill>
          </w14:textFill>
        </w:rPr>
        <w:t>规定的时间前，以书面形式将提出的问题送达比选人，以便比选人澄清。</w:t>
      </w:r>
    </w:p>
    <w:p w14:paraId="31DCF75A">
      <w:pPr>
        <w:autoSpaceDE w:val="0"/>
        <w:autoSpaceDN w:val="0"/>
        <w:adjustRightInd w:val="0"/>
        <w:snapToGrid w:val="0"/>
        <w:spacing w:line="360" w:lineRule="auto"/>
        <w:ind w:firstLine="424" w:firstLineChars="202"/>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1.10.3  比选人在竞选人须知前附表规定的时间内，将对竞选人所提</w:t>
      </w:r>
      <w:r>
        <w:rPr>
          <w:rFonts w:hint="eastAsia" w:ascii="宋体" w:hAnsi="宋体" w:cs="宋体"/>
          <w:snapToGrid w:val="0"/>
          <w:color w:val="000000" w:themeColor="text1"/>
          <w:kern w:val="0"/>
          <w:position w:val="-2"/>
          <w:szCs w:val="21"/>
          <w:highlight w:val="none"/>
          <w14:textFill>
            <w14:solidFill>
              <w14:schemeClr w14:val="tx1"/>
            </w14:solidFill>
          </w14:textFill>
        </w:rPr>
        <w:t>的</w:t>
      </w:r>
      <w:r>
        <w:rPr>
          <w:rFonts w:hint="eastAsia" w:ascii="宋体" w:hAnsi="宋体" w:cs="宋体"/>
          <w:snapToGrid w:val="0"/>
          <w:color w:val="000000" w:themeColor="text1"/>
          <w:kern w:val="0"/>
          <w:szCs w:val="21"/>
          <w:highlight w:val="none"/>
          <w14:textFill>
            <w14:solidFill>
              <w14:schemeClr w14:val="tx1"/>
            </w14:solidFill>
          </w14:textFill>
        </w:rPr>
        <w:t>问题</w:t>
      </w:r>
      <w:r>
        <w:rPr>
          <w:rFonts w:hint="eastAsia" w:ascii="宋体" w:hAnsi="宋体" w:cs="宋体"/>
          <w:snapToGrid w:val="0"/>
          <w:color w:val="000000" w:themeColor="text1"/>
          <w:kern w:val="0"/>
          <w:position w:val="-2"/>
          <w:szCs w:val="21"/>
          <w:highlight w:val="none"/>
          <w14:textFill>
            <w14:solidFill>
              <w14:schemeClr w14:val="tx1"/>
            </w14:solidFill>
          </w14:textFill>
        </w:rPr>
        <w:t>进行澄清。该澄清内容为比选文件的组成部分。</w:t>
      </w:r>
    </w:p>
    <w:p w14:paraId="050A15CF">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175" w:name="_Toc277082564"/>
      <w:bookmarkStart w:id="176" w:name="_Toc224103329"/>
      <w:bookmarkStart w:id="177" w:name="_Toc7176"/>
      <w:bookmarkStart w:id="178" w:name="_Toc21877"/>
      <w:bookmarkStart w:id="179" w:name="_Toc40569151"/>
      <w:bookmarkStart w:id="180" w:name="_Toc287620697"/>
      <w:bookmarkStart w:id="181" w:name="_Toc509218722"/>
      <w:bookmarkStart w:id="182" w:name="_Toc200513138"/>
      <w:bookmarkStart w:id="183" w:name="_Toc430530447"/>
      <w:bookmarkStart w:id="184" w:name="_Toc287607758"/>
      <w:bookmarkStart w:id="185" w:name="_Toc28064"/>
      <w:bookmarkStart w:id="186" w:name="_Toc40569056"/>
      <w:r>
        <w:rPr>
          <w:rFonts w:hint="eastAsia" w:ascii="宋体" w:hAnsi="宋体" w:cs="宋体"/>
          <w:b w:val="0"/>
          <w:snapToGrid w:val="0"/>
          <w:color w:val="000000" w:themeColor="text1"/>
          <w:sz w:val="24"/>
          <w:szCs w:val="24"/>
          <w:highlight w:val="none"/>
          <w14:textFill>
            <w14:solidFill>
              <w14:schemeClr w14:val="tx1"/>
            </w14:solidFill>
          </w14:textFill>
        </w:rPr>
        <w:t>1.11  分包</w:t>
      </w:r>
      <w:bookmarkEnd w:id="175"/>
      <w:bookmarkEnd w:id="176"/>
      <w:bookmarkEnd w:id="177"/>
      <w:bookmarkEnd w:id="178"/>
      <w:bookmarkEnd w:id="179"/>
      <w:bookmarkEnd w:id="180"/>
      <w:bookmarkEnd w:id="181"/>
      <w:bookmarkEnd w:id="182"/>
      <w:bookmarkEnd w:id="183"/>
      <w:bookmarkEnd w:id="184"/>
      <w:bookmarkEnd w:id="185"/>
      <w:bookmarkEnd w:id="186"/>
    </w:p>
    <w:p w14:paraId="6EF35F11">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本项目不允许分包。</w:t>
      </w:r>
    </w:p>
    <w:p w14:paraId="09930A36">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187" w:name="_Toc509218723"/>
      <w:bookmarkStart w:id="188" w:name="_Toc430530448"/>
      <w:bookmarkStart w:id="189" w:name="_Toc23307"/>
      <w:bookmarkStart w:id="190" w:name="_Toc29373"/>
      <w:bookmarkStart w:id="191" w:name="_Toc224103330"/>
      <w:bookmarkStart w:id="192" w:name="_Toc5934"/>
      <w:bookmarkStart w:id="193" w:name="_Toc40569152"/>
      <w:bookmarkStart w:id="194" w:name="_Toc287607759"/>
      <w:bookmarkStart w:id="195" w:name="_Toc200513139"/>
      <w:bookmarkStart w:id="196" w:name="_Toc287620698"/>
      <w:bookmarkStart w:id="197" w:name="_Toc40569057"/>
      <w:bookmarkStart w:id="198" w:name="_Toc277082565"/>
      <w:r>
        <w:rPr>
          <w:rFonts w:hint="eastAsia" w:ascii="宋体" w:hAnsi="宋体" w:cs="宋体"/>
          <w:b w:val="0"/>
          <w:snapToGrid w:val="0"/>
          <w:color w:val="000000" w:themeColor="text1"/>
          <w:sz w:val="24"/>
          <w:szCs w:val="24"/>
          <w:highlight w:val="none"/>
          <w14:textFill>
            <w14:solidFill>
              <w14:schemeClr w14:val="tx1"/>
            </w14:solidFill>
          </w14:textFill>
        </w:rPr>
        <w:t>1.12  偏离</w:t>
      </w:r>
      <w:bookmarkEnd w:id="187"/>
      <w:bookmarkEnd w:id="188"/>
      <w:bookmarkEnd w:id="189"/>
      <w:bookmarkEnd w:id="190"/>
      <w:bookmarkEnd w:id="191"/>
      <w:bookmarkEnd w:id="192"/>
      <w:bookmarkEnd w:id="193"/>
      <w:bookmarkEnd w:id="194"/>
      <w:bookmarkEnd w:id="195"/>
      <w:bookmarkEnd w:id="196"/>
      <w:bookmarkEnd w:id="197"/>
      <w:bookmarkEnd w:id="198"/>
    </w:p>
    <w:p w14:paraId="68FB76FB">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竞选人须知前附表允许竞选文件偏离比选文件某些要求的，偏离应当符合比选文件规定的偏离范围和幅度。</w:t>
      </w:r>
    </w:p>
    <w:p w14:paraId="12107253">
      <w:pPr>
        <w:pStyle w:val="3"/>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199" w:name="_Toc200513140"/>
      <w:bookmarkStart w:id="200" w:name="_Toc287607760"/>
      <w:bookmarkStart w:id="201" w:name="_Toc10764"/>
      <w:bookmarkStart w:id="202" w:name="_Toc7676"/>
      <w:bookmarkStart w:id="203" w:name="_Toc23017"/>
      <w:bookmarkStart w:id="204" w:name="_Toc509218724"/>
      <w:bookmarkStart w:id="205" w:name="_Toc430530449"/>
      <w:bookmarkStart w:id="206" w:name="_Toc287620699"/>
      <w:bookmarkStart w:id="207" w:name="_Toc277082566"/>
      <w:bookmarkStart w:id="208" w:name="_Toc224103331"/>
      <w:r>
        <w:rPr>
          <w:rFonts w:hint="eastAsia" w:ascii="宋体" w:hAnsi="宋体" w:cs="宋体"/>
          <w:b w:val="0"/>
          <w:snapToGrid w:val="0"/>
          <w:color w:val="000000" w:themeColor="text1"/>
          <w:sz w:val="24"/>
          <w:szCs w:val="24"/>
          <w:highlight w:val="none"/>
          <w14:textFill>
            <w14:solidFill>
              <w14:schemeClr w14:val="tx1"/>
            </w14:solidFill>
          </w14:textFill>
        </w:rPr>
        <w:t>2.  比选文件</w:t>
      </w:r>
      <w:bookmarkEnd w:id="199"/>
      <w:bookmarkEnd w:id="200"/>
      <w:bookmarkEnd w:id="201"/>
      <w:bookmarkEnd w:id="202"/>
      <w:bookmarkEnd w:id="203"/>
      <w:bookmarkEnd w:id="204"/>
      <w:bookmarkEnd w:id="205"/>
      <w:bookmarkEnd w:id="206"/>
      <w:bookmarkEnd w:id="207"/>
      <w:bookmarkEnd w:id="208"/>
    </w:p>
    <w:p w14:paraId="1BFE864A">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209" w:name="_Toc31485"/>
      <w:bookmarkStart w:id="210" w:name="_Toc430530450"/>
      <w:bookmarkStart w:id="211" w:name="_Toc287620700"/>
      <w:bookmarkStart w:id="212" w:name="_Toc509218725"/>
      <w:bookmarkStart w:id="213" w:name="_Toc1329"/>
      <w:bookmarkStart w:id="214" w:name="_Toc40569154"/>
      <w:bookmarkStart w:id="215" w:name="_Toc40569059"/>
      <w:bookmarkStart w:id="216" w:name="_Toc224103332"/>
      <w:bookmarkStart w:id="217" w:name="_Toc287607761"/>
      <w:bookmarkStart w:id="218" w:name="_Toc21327"/>
      <w:bookmarkStart w:id="219" w:name="_Toc277082567"/>
      <w:bookmarkStart w:id="220" w:name="_Toc200513141"/>
      <w:r>
        <w:rPr>
          <w:rFonts w:hint="eastAsia" w:ascii="宋体" w:hAnsi="宋体" w:cs="宋体"/>
          <w:b w:val="0"/>
          <w:snapToGrid w:val="0"/>
          <w:color w:val="000000" w:themeColor="text1"/>
          <w:sz w:val="24"/>
          <w:szCs w:val="24"/>
          <w:highlight w:val="none"/>
          <w14:textFill>
            <w14:solidFill>
              <w14:schemeClr w14:val="tx1"/>
            </w14:solidFill>
          </w14:textFill>
        </w:rPr>
        <w:t>2.1  比选文件的组成</w:t>
      </w:r>
      <w:bookmarkEnd w:id="209"/>
      <w:bookmarkEnd w:id="210"/>
      <w:bookmarkEnd w:id="211"/>
      <w:bookmarkEnd w:id="212"/>
      <w:bookmarkEnd w:id="213"/>
      <w:bookmarkEnd w:id="214"/>
      <w:bookmarkEnd w:id="215"/>
      <w:bookmarkEnd w:id="216"/>
      <w:bookmarkEnd w:id="217"/>
      <w:bookmarkEnd w:id="218"/>
      <w:bookmarkEnd w:id="219"/>
      <w:bookmarkEnd w:id="220"/>
    </w:p>
    <w:p w14:paraId="0E7277D6">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本比选文件包括：</w:t>
      </w:r>
    </w:p>
    <w:p w14:paraId="586C13FF">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（1）比选公告；</w:t>
      </w:r>
    </w:p>
    <w:p w14:paraId="454813E0">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（2）竞选人须知；</w:t>
      </w:r>
    </w:p>
    <w:p w14:paraId="792F43F9">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（3）评选办法；</w:t>
      </w:r>
    </w:p>
    <w:p w14:paraId="254FB23A">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（4）合同条款及格式；</w:t>
      </w:r>
    </w:p>
    <w:p w14:paraId="7D751DD4">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（5）技术标准和要求；</w:t>
      </w:r>
    </w:p>
    <w:p w14:paraId="11064827">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（6）图纸及工程量清单（如有）；</w:t>
      </w:r>
    </w:p>
    <w:p w14:paraId="390AB6A4">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（7）竞选文件格式；</w:t>
      </w:r>
    </w:p>
    <w:p w14:paraId="6B0D8D70">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（8）竞选人须知前附表规定的其他材料。</w:t>
      </w:r>
    </w:p>
    <w:p w14:paraId="01F7F60E">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根据本章第1.10款、第2.2款和第2.3款对比选文件所作的澄清、修改，构成比选文件的组成部分。</w:t>
      </w:r>
    </w:p>
    <w:p w14:paraId="20A72E03">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221" w:name="_Toc430530451"/>
      <w:bookmarkStart w:id="222" w:name="_Toc509218726"/>
      <w:bookmarkStart w:id="223" w:name="_Toc40569155"/>
      <w:bookmarkStart w:id="224" w:name="_Toc5751"/>
      <w:bookmarkStart w:id="225" w:name="_Toc20393"/>
      <w:bookmarkStart w:id="226" w:name="_Toc25357"/>
      <w:bookmarkStart w:id="227" w:name="_Toc40569060"/>
      <w:r>
        <w:rPr>
          <w:rFonts w:hint="eastAsia" w:ascii="宋体" w:hAnsi="宋体" w:cs="宋体"/>
          <w:b w:val="0"/>
          <w:snapToGrid w:val="0"/>
          <w:color w:val="000000" w:themeColor="text1"/>
          <w:sz w:val="24"/>
          <w:szCs w:val="24"/>
          <w:highlight w:val="none"/>
          <w14:textFill>
            <w14:solidFill>
              <w14:schemeClr w14:val="tx1"/>
            </w14:solidFill>
          </w14:textFill>
        </w:rPr>
        <w:t>2.2  比选文件的澄清</w:t>
      </w:r>
      <w:bookmarkEnd w:id="221"/>
      <w:bookmarkEnd w:id="222"/>
      <w:bookmarkEnd w:id="223"/>
      <w:bookmarkEnd w:id="224"/>
      <w:bookmarkEnd w:id="225"/>
      <w:bookmarkEnd w:id="226"/>
      <w:bookmarkEnd w:id="227"/>
    </w:p>
    <w:p w14:paraId="489CE20A">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2.2.1  竞选人应仔细阅读和检查比选文件的全部内容。如发现缺页或附件不全，应及时向比选人提出，以便补齐。如有疑问，应在竞选人须知前附表规定的时间前</w:t>
      </w:r>
      <w:r>
        <w:rPr>
          <w:rFonts w:hint="eastAsia" w:ascii="宋体" w:hAnsi="宋体" w:cs="宋体"/>
          <w:color w:val="000000" w:themeColor="text1"/>
          <w:kern w:val="0"/>
          <w:szCs w:val="21"/>
          <w:highlight w:val="none"/>
          <w14:textFill>
            <w14:solidFill>
              <w14:schemeClr w14:val="tx1"/>
            </w14:solidFill>
          </w14:textFill>
        </w:rPr>
        <w:t>以书面形式向比选人或代理机构提出</w:t>
      </w:r>
      <w:r>
        <w:rPr>
          <w:rFonts w:hint="eastAsia" w:ascii="宋体" w:hAnsi="宋体" w:cs="宋体"/>
          <w:snapToGrid w:val="0"/>
          <w:color w:val="000000" w:themeColor="text1"/>
          <w:kern w:val="0"/>
          <w:szCs w:val="21"/>
          <w:highlight w:val="none"/>
          <w14:textFill>
            <w14:solidFill>
              <w14:schemeClr w14:val="tx1"/>
            </w14:solidFill>
          </w14:textFill>
        </w:rPr>
        <w:t>，要求比选人对比选文件予以澄清。</w:t>
      </w:r>
    </w:p>
    <w:p w14:paraId="459865E9">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228" w:name="_Toc509218727"/>
      <w:bookmarkStart w:id="229" w:name="_Toc8378"/>
      <w:bookmarkStart w:id="230" w:name="_Toc277082569"/>
      <w:bookmarkStart w:id="231" w:name="_Toc200513143"/>
      <w:bookmarkStart w:id="232" w:name="_Toc40569061"/>
      <w:bookmarkStart w:id="233" w:name="_Toc287620702"/>
      <w:bookmarkStart w:id="234" w:name="_Toc430530452"/>
      <w:bookmarkStart w:id="235" w:name="_Toc14087"/>
      <w:bookmarkStart w:id="236" w:name="_Toc40569156"/>
      <w:bookmarkStart w:id="237" w:name="_Toc224103334"/>
      <w:bookmarkStart w:id="238" w:name="_Toc287607763"/>
      <w:bookmarkStart w:id="239" w:name="_Toc26098"/>
      <w:r>
        <w:rPr>
          <w:rFonts w:hint="eastAsia" w:ascii="宋体" w:hAnsi="宋体" w:cs="宋体"/>
          <w:b w:val="0"/>
          <w:snapToGrid w:val="0"/>
          <w:color w:val="000000" w:themeColor="text1"/>
          <w:sz w:val="24"/>
          <w:szCs w:val="24"/>
          <w:highlight w:val="none"/>
          <w14:textFill>
            <w14:solidFill>
              <w14:schemeClr w14:val="tx1"/>
            </w14:solidFill>
          </w14:textFill>
        </w:rPr>
        <w:t>2.3  比选文件的修改</w:t>
      </w:r>
      <w:bookmarkEnd w:id="228"/>
      <w:bookmarkEnd w:id="229"/>
      <w:bookmarkEnd w:id="230"/>
      <w:bookmarkEnd w:id="231"/>
      <w:bookmarkEnd w:id="232"/>
      <w:bookmarkEnd w:id="233"/>
      <w:bookmarkEnd w:id="234"/>
      <w:bookmarkEnd w:id="235"/>
      <w:bookmarkEnd w:id="236"/>
      <w:bookmarkEnd w:id="237"/>
      <w:bookmarkEnd w:id="238"/>
      <w:bookmarkEnd w:id="239"/>
    </w:p>
    <w:p w14:paraId="028A720A">
      <w:pPr>
        <w:autoSpaceDE w:val="0"/>
        <w:autoSpaceDN w:val="0"/>
        <w:adjustRightInd w:val="0"/>
        <w:snapToGrid w:val="0"/>
        <w:spacing w:line="360" w:lineRule="auto"/>
        <w:ind w:firstLine="420"/>
        <w:rPr>
          <w:rFonts w:hint="eastAsia" w:ascii="宋体" w:hAnsi="宋体" w:cs="宋体"/>
          <w:snapToGrid w:val="0"/>
          <w:color w:val="000000" w:themeColor="text1"/>
          <w:highlight w:val="none"/>
          <w14:textFill>
            <w14:solidFill>
              <w14:schemeClr w14:val="tx1"/>
            </w14:solidFill>
          </w14:textFill>
        </w:rPr>
      </w:pPr>
      <w:bookmarkStart w:id="240" w:name="_Toc287620703"/>
      <w:bookmarkStart w:id="241" w:name="_Toc287607764"/>
      <w:bookmarkStart w:id="242" w:name="_Toc200513144"/>
      <w:bookmarkStart w:id="243" w:name="_Toc277082570"/>
      <w:bookmarkStart w:id="244" w:name="_Toc224103335"/>
      <w:r>
        <w:rPr>
          <w:rFonts w:hint="eastAsia" w:ascii="宋体" w:hAnsi="宋体" w:cs="宋体"/>
          <w:snapToGrid w:val="0"/>
          <w:color w:val="000000" w:themeColor="text1"/>
          <w:highlight w:val="none"/>
          <w14:textFill>
            <w14:solidFill>
              <w14:schemeClr w14:val="tx1"/>
            </w14:solidFill>
          </w14:textFill>
        </w:rPr>
        <w:t>按照本章2.2比选文件的澄清相关内容及方式执行。</w:t>
      </w:r>
    </w:p>
    <w:p w14:paraId="1445ADAC">
      <w:pPr>
        <w:pStyle w:val="3"/>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245" w:name="_Toc6009"/>
      <w:bookmarkStart w:id="246" w:name="_Toc430530453"/>
      <w:bookmarkStart w:id="247" w:name="_Toc22016"/>
      <w:bookmarkStart w:id="248" w:name="_Toc5400"/>
      <w:bookmarkStart w:id="249" w:name="_Toc509218728"/>
      <w:r>
        <w:rPr>
          <w:rFonts w:hint="eastAsia" w:ascii="宋体" w:hAnsi="宋体" w:cs="宋体"/>
          <w:b w:val="0"/>
          <w:snapToGrid w:val="0"/>
          <w:color w:val="000000" w:themeColor="text1"/>
          <w:sz w:val="24"/>
          <w:szCs w:val="24"/>
          <w:highlight w:val="none"/>
          <w14:textFill>
            <w14:solidFill>
              <w14:schemeClr w14:val="tx1"/>
            </w14:solidFill>
          </w14:textFill>
        </w:rPr>
        <w:t xml:space="preserve">3.  </w:t>
      </w:r>
      <w:bookmarkEnd w:id="240"/>
      <w:bookmarkEnd w:id="241"/>
      <w:bookmarkEnd w:id="242"/>
      <w:bookmarkEnd w:id="243"/>
      <w:bookmarkEnd w:id="244"/>
      <w:bookmarkEnd w:id="245"/>
      <w:bookmarkEnd w:id="246"/>
      <w:bookmarkEnd w:id="247"/>
      <w:bookmarkEnd w:id="248"/>
      <w:bookmarkEnd w:id="249"/>
      <w:r>
        <w:rPr>
          <w:rFonts w:hint="eastAsia" w:ascii="宋体" w:hAnsi="宋体" w:cs="宋体"/>
          <w:b w:val="0"/>
          <w:snapToGrid w:val="0"/>
          <w:color w:val="000000" w:themeColor="text1"/>
          <w:sz w:val="24"/>
          <w:szCs w:val="24"/>
          <w:highlight w:val="none"/>
          <w14:textFill>
            <w14:solidFill>
              <w14:schemeClr w14:val="tx1"/>
            </w14:solidFill>
          </w14:textFill>
        </w:rPr>
        <w:t>竞选文件</w:t>
      </w:r>
    </w:p>
    <w:p w14:paraId="50245044">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250" w:name="_Toc287620704"/>
      <w:bookmarkStart w:id="251" w:name="_Toc509218729"/>
      <w:bookmarkStart w:id="252" w:name="_Toc200513145"/>
      <w:bookmarkStart w:id="253" w:name="_Toc224103336"/>
      <w:bookmarkStart w:id="254" w:name="_Toc7795"/>
      <w:bookmarkStart w:id="255" w:name="_Toc430530454"/>
      <w:bookmarkStart w:id="256" w:name="_Toc29196"/>
      <w:bookmarkStart w:id="257" w:name="_Toc277082571"/>
      <w:bookmarkStart w:id="258" w:name="_Toc40569158"/>
      <w:bookmarkStart w:id="259" w:name="_Toc40569063"/>
      <w:bookmarkStart w:id="260" w:name="_Toc287607765"/>
      <w:bookmarkStart w:id="261" w:name="_Toc13714"/>
      <w:r>
        <w:rPr>
          <w:rFonts w:hint="eastAsia" w:ascii="宋体" w:hAnsi="宋体" w:cs="宋体"/>
          <w:b w:val="0"/>
          <w:snapToGrid w:val="0"/>
          <w:color w:val="000000" w:themeColor="text1"/>
          <w:sz w:val="24"/>
          <w:szCs w:val="24"/>
          <w:highlight w:val="none"/>
          <w14:textFill>
            <w14:solidFill>
              <w14:schemeClr w14:val="tx1"/>
            </w14:solidFill>
          </w14:textFill>
        </w:rPr>
        <w:t>3.1  竞选文件的组成</w:t>
      </w:r>
      <w:bookmarkEnd w:id="250"/>
      <w:bookmarkEnd w:id="251"/>
      <w:bookmarkEnd w:id="252"/>
      <w:bookmarkEnd w:id="253"/>
      <w:bookmarkEnd w:id="254"/>
      <w:bookmarkEnd w:id="255"/>
      <w:bookmarkEnd w:id="256"/>
      <w:bookmarkEnd w:id="257"/>
      <w:bookmarkEnd w:id="258"/>
      <w:bookmarkEnd w:id="259"/>
      <w:bookmarkEnd w:id="260"/>
      <w:bookmarkEnd w:id="261"/>
    </w:p>
    <w:p w14:paraId="1C2814B3">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3.1.1 竞选文件应包括下列内容：</w:t>
      </w:r>
    </w:p>
    <w:p w14:paraId="48AEE241">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（1）竞选函及竞选函附录；</w:t>
      </w:r>
    </w:p>
    <w:p w14:paraId="782ABF89">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（2）法定代表人身份证明或附有法定代表人身份证明的授权委托书；</w:t>
      </w:r>
    </w:p>
    <w:p w14:paraId="1B02E880">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（3）比选保证金；</w:t>
      </w:r>
    </w:p>
    <w:p w14:paraId="599E488C">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（4）服务方案；</w:t>
      </w:r>
    </w:p>
    <w:p w14:paraId="2851F8BB">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（5）资格审查资料；</w:t>
      </w:r>
    </w:p>
    <w:p w14:paraId="6BBFD78D">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（6）竞选人须知前附表规定的其他材料。</w:t>
      </w:r>
    </w:p>
    <w:p w14:paraId="39BD3036">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3.1.2  竞选人须知前附表规定不接受联合体投标的，或竞选人没有组成联合体的，竞选文件不包括本章第3.1.1（3）目所指的联合体协议书。</w:t>
      </w:r>
    </w:p>
    <w:p w14:paraId="29EF685A">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262" w:name="_Toc2578"/>
      <w:bookmarkStart w:id="263" w:name="_Toc287620705"/>
      <w:bookmarkStart w:id="264" w:name="_Toc200513146"/>
      <w:bookmarkStart w:id="265" w:name="_Toc224103337"/>
      <w:bookmarkStart w:id="266" w:name="_Toc277082572"/>
      <w:bookmarkStart w:id="267" w:name="_Toc430530455"/>
      <w:bookmarkStart w:id="268" w:name="_Toc40569064"/>
      <w:bookmarkStart w:id="269" w:name="_Toc40569159"/>
      <w:bookmarkStart w:id="270" w:name="_Toc509218730"/>
      <w:bookmarkStart w:id="271" w:name="_Toc287607766"/>
      <w:bookmarkStart w:id="272" w:name="_Toc3265"/>
      <w:bookmarkStart w:id="273" w:name="_Toc5935"/>
      <w:r>
        <w:rPr>
          <w:rFonts w:hint="eastAsia" w:ascii="宋体" w:hAnsi="宋体" w:cs="宋体"/>
          <w:b w:val="0"/>
          <w:snapToGrid w:val="0"/>
          <w:color w:val="000000" w:themeColor="text1"/>
          <w:sz w:val="24"/>
          <w:szCs w:val="24"/>
          <w:highlight w:val="none"/>
          <w14:textFill>
            <w14:solidFill>
              <w14:schemeClr w14:val="tx1"/>
            </w14:solidFill>
          </w14:textFill>
        </w:rPr>
        <w:t>3.2  竞选报价</w:t>
      </w:r>
      <w:bookmarkEnd w:id="262"/>
      <w:bookmarkEnd w:id="263"/>
      <w:bookmarkEnd w:id="264"/>
      <w:bookmarkEnd w:id="265"/>
      <w:bookmarkEnd w:id="266"/>
      <w:bookmarkEnd w:id="267"/>
      <w:bookmarkEnd w:id="268"/>
      <w:bookmarkEnd w:id="269"/>
      <w:bookmarkEnd w:id="270"/>
      <w:bookmarkEnd w:id="271"/>
      <w:bookmarkEnd w:id="272"/>
      <w:bookmarkEnd w:id="273"/>
    </w:p>
    <w:p w14:paraId="60830B47">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3.2.1  竞选人应按第七章“竞选文件格式”的要求填写相应表格。</w:t>
      </w:r>
    </w:p>
    <w:p w14:paraId="1E5480AE">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3.2.2  竞选人应认真阅读比选文件规定的计价、结算要求，自行填报报价。</w:t>
      </w:r>
    </w:p>
    <w:p w14:paraId="2AD95D8B">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274" w:name="_Toc287607767"/>
      <w:bookmarkStart w:id="275" w:name="_Toc430530456"/>
      <w:bookmarkStart w:id="276" w:name="_Toc27583"/>
      <w:bookmarkStart w:id="277" w:name="_Toc40569160"/>
      <w:bookmarkStart w:id="278" w:name="_Toc40569065"/>
      <w:bookmarkStart w:id="279" w:name="_Toc287620706"/>
      <w:bookmarkStart w:id="280" w:name="_Toc915"/>
      <w:bookmarkStart w:id="281" w:name="_Toc15462"/>
      <w:bookmarkStart w:id="282" w:name="_Toc224103338"/>
      <w:bookmarkStart w:id="283" w:name="_Toc200513147"/>
      <w:bookmarkStart w:id="284" w:name="_Toc277082573"/>
      <w:bookmarkStart w:id="285" w:name="_Toc509218731"/>
      <w:r>
        <w:rPr>
          <w:rFonts w:hint="eastAsia" w:ascii="宋体" w:hAnsi="宋体" w:cs="宋体"/>
          <w:b w:val="0"/>
          <w:snapToGrid w:val="0"/>
          <w:color w:val="000000" w:themeColor="text1"/>
          <w:sz w:val="24"/>
          <w:szCs w:val="24"/>
          <w:highlight w:val="none"/>
          <w14:textFill>
            <w14:solidFill>
              <w14:schemeClr w14:val="tx1"/>
            </w14:solidFill>
          </w14:textFill>
        </w:rPr>
        <w:t>3.3  比选有效期</w:t>
      </w:r>
      <w:bookmarkEnd w:id="274"/>
      <w:bookmarkEnd w:id="275"/>
      <w:bookmarkEnd w:id="276"/>
      <w:bookmarkEnd w:id="277"/>
      <w:bookmarkEnd w:id="278"/>
      <w:bookmarkEnd w:id="279"/>
      <w:bookmarkEnd w:id="280"/>
      <w:bookmarkEnd w:id="281"/>
      <w:bookmarkEnd w:id="282"/>
      <w:bookmarkEnd w:id="283"/>
      <w:bookmarkEnd w:id="284"/>
      <w:bookmarkEnd w:id="285"/>
    </w:p>
    <w:p w14:paraId="6FE6582A">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3.3.1  在竞选人须知前附表规定的比选有效期内，竞选人不得要求撤销或修改其竞选文件。</w:t>
      </w:r>
    </w:p>
    <w:p w14:paraId="72D125B6">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3.3.2  出现特殊情况需要延长比选有效期的，比选人以书面形式通知所有竞选人延长比选有效期。竞选人同意延长的，应相应延长其保证金或保函的有效期，但不得要求或被允许修改或撤销其竞选文件；竞选人拒绝延长的，其竞选文件失效，但竞选人有权收回其保函。（适用于比选保证金采用保函形式的）</w:t>
      </w:r>
    </w:p>
    <w:p w14:paraId="5CA0AB08">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出现特殊情况需要延长比选有效期的，比选人以书面形式通知所有竞选人延长比选有效期。竞选人同意延长的，应相应延长其比选保证金的有效期，但不得要求或被允许修改或撤销其竞选文件；竞选人拒绝延长的，其投标失效，但竞选人有权收回其比选保证金。（适用于比选保证金采用银行转账形式的）</w:t>
      </w:r>
    </w:p>
    <w:p w14:paraId="1ACE2BBF">
      <w:pPr>
        <w:pStyle w:val="4"/>
        <w:keepNext w:val="0"/>
        <w:keepLines w:val="0"/>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286" w:name="_Toc200513148"/>
      <w:bookmarkStart w:id="287" w:name="_Toc430530457"/>
      <w:bookmarkStart w:id="288" w:name="_Toc14235"/>
      <w:bookmarkStart w:id="289" w:name="_Toc509218732"/>
      <w:bookmarkStart w:id="290" w:name="_Toc224103339"/>
      <w:bookmarkStart w:id="291" w:name="_Toc19857"/>
      <w:bookmarkStart w:id="292" w:name="_Toc40569066"/>
      <w:bookmarkStart w:id="293" w:name="_Toc287620707"/>
      <w:bookmarkStart w:id="294" w:name="_Toc26206"/>
      <w:bookmarkStart w:id="295" w:name="_Toc40569161"/>
      <w:bookmarkStart w:id="296" w:name="_Toc287607768"/>
      <w:bookmarkStart w:id="297" w:name="_Toc277082574"/>
      <w:r>
        <w:rPr>
          <w:rFonts w:hint="eastAsia" w:ascii="宋体" w:hAnsi="宋体" w:cs="宋体"/>
          <w:b w:val="0"/>
          <w:snapToGrid w:val="0"/>
          <w:color w:val="000000" w:themeColor="text1"/>
          <w:sz w:val="24"/>
          <w:szCs w:val="24"/>
          <w:highlight w:val="none"/>
          <w14:textFill>
            <w14:solidFill>
              <w14:schemeClr w14:val="tx1"/>
            </w14:solidFill>
          </w14:textFill>
        </w:rPr>
        <w:t xml:space="preserve">3.4  </w:t>
      </w:r>
      <w:bookmarkEnd w:id="286"/>
      <w:bookmarkEnd w:id="287"/>
      <w:bookmarkEnd w:id="288"/>
      <w:bookmarkEnd w:id="289"/>
      <w:bookmarkEnd w:id="290"/>
      <w:bookmarkEnd w:id="291"/>
      <w:bookmarkEnd w:id="292"/>
      <w:bookmarkEnd w:id="293"/>
      <w:bookmarkEnd w:id="294"/>
      <w:bookmarkEnd w:id="295"/>
      <w:bookmarkEnd w:id="296"/>
      <w:bookmarkEnd w:id="297"/>
      <w:r>
        <w:rPr>
          <w:rFonts w:hint="eastAsia" w:ascii="宋体" w:hAnsi="宋体" w:cs="宋体"/>
          <w:b w:val="0"/>
          <w:snapToGrid w:val="0"/>
          <w:color w:val="000000" w:themeColor="text1"/>
          <w:sz w:val="24"/>
          <w:szCs w:val="24"/>
          <w:highlight w:val="none"/>
          <w14:textFill>
            <w14:solidFill>
              <w14:schemeClr w14:val="tx1"/>
            </w14:solidFill>
          </w14:textFill>
        </w:rPr>
        <w:t>比选保证金</w:t>
      </w:r>
    </w:p>
    <w:p w14:paraId="7271100E">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3.4.1  竞选人在递交竞选文件前，应按竞选人须知前附表规定的金额、担保形式形式递交比选保证金，并作为其竞选文件的组成部分。联合体投标的，其比选保证金由牵头人递交，并应符合竞选人须知前附表的规定。</w:t>
      </w:r>
    </w:p>
    <w:p w14:paraId="7681E8D6">
      <w:pPr>
        <w:autoSpaceDE w:val="0"/>
        <w:autoSpaceDN w:val="0"/>
        <w:adjustRightInd w:val="0"/>
        <w:snapToGrid w:val="0"/>
        <w:spacing w:line="360" w:lineRule="auto"/>
        <w:ind w:left="13" w:leftChars="6" w:firstLine="405" w:firstLineChars="193"/>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3.4.2  竞选人不按本章第 3.4.1 项要求提交比选保证金的，其竞选文件作否决竞选处理。</w:t>
      </w:r>
    </w:p>
    <w:p w14:paraId="70CE4E67">
      <w:pPr>
        <w:autoSpaceDE w:val="0"/>
        <w:autoSpaceDN w:val="0"/>
        <w:adjustRightInd w:val="0"/>
        <w:snapToGrid w:val="0"/>
        <w:spacing w:line="360" w:lineRule="auto"/>
        <w:ind w:left="13" w:leftChars="6" w:firstLine="405" w:firstLineChars="193"/>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3.4.3  比选保证金（保函）退还：见竞选人须知前附表</w:t>
      </w:r>
      <w:r>
        <w:rPr>
          <w:rFonts w:hint="eastAsia" w:ascii="宋体" w:hAnsi="宋体" w:cs="宋体"/>
          <w:snapToGrid w:val="0"/>
          <w:color w:val="000000" w:themeColor="text1"/>
          <w:kern w:val="0"/>
          <w:position w:val="-2"/>
          <w:szCs w:val="21"/>
          <w:highlight w:val="none"/>
          <w14:textFill>
            <w14:solidFill>
              <w14:schemeClr w14:val="tx1"/>
            </w14:solidFill>
          </w14:textFill>
        </w:rPr>
        <w:t>。</w:t>
      </w:r>
    </w:p>
    <w:p w14:paraId="35A2BE94">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3.4.4  有下列情形之一的，比选保证金将不予退还：</w:t>
      </w:r>
    </w:p>
    <w:p w14:paraId="3F7602AA">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（1）竞选人在规定的比选有效期内撤销或修改其竞选文件；</w:t>
      </w:r>
    </w:p>
    <w:p w14:paraId="2D5117DD">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（2）中选人在收到中选通知书后，无正当理由拒签合同协议书或未按比选文件规定提交履约担保；</w:t>
      </w:r>
    </w:p>
    <w:p w14:paraId="1B0D468A">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（3）违反本章9.2条对竞选人的纪律要求的；</w:t>
      </w:r>
    </w:p>
    <w:p w14:paraId="6757DA06">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（4）法律法规和本比选文件规定的其他情形。</w:t>
      </w:r>
    </w:p>
    <w:p w14:paraId="3053F35E">
      <w:pPr>
        <w:tabs>
          <w:tab w:val="left" w:pos="611"/>
          <w:tab w:val="left" w:pos="669"/>
        </w:tabs>
        <w:snapToGrid w:val="0"/>
        <w:spacing w:line="360" w:lineRule="auto"/>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3.4.5</w:t>
      </w:r>
      <w:r>
        <w:rPr>
          <w:rFonts w:hint="eastAsia" w:ascii="宋体" w:hAnsi="宋体" w:cs="宋体"/>
          <w:color w:val="000000" w:themeColor="text1"/>
          <w:kern w:val="0"/>
          <w:highlight w:val="none"/>
          <w14:textFill>
            <w14:solidFill>
              <w14:schemeClr w14:val="tx1"/>
            </w14:solidFill>
          </w14:textFill>
        </w:rPr>
        <w:t>（1）比选保证金为无条件担保；</w:t>
      </w:r>
    </w:p>
    <w:p w14:paraId="1FAC392A">
      <w:pPr>
        <w:tabs>
          <w:tab w:val="left" w:pos="611"/>
          <w:tab w:val="left" w:pos="669"/>
        </w:tabs>
        <w:snapToGrid w:val="0"/>
        <w:spacing w:line="360" w:lineRule="auto"/>
        <w:ind w:firstLine="945" w:firstLineChars="45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（2）比选保证金的受益人为比选人。</w:t>
      </w:r>
    </w:p>
    <w:p w14:paraId="2D19B5D5">
      <w:pPr>
        <w:pStyle w:val="4"/>
        <w:keepNext w:val="0"/>
        <w:keepLines w:val="0"/>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298" w:name="_Toc224103341"/>
      <w:bookmarkStart w:id="299" w:name="_Toc7055"/>
      <w:bookmarkStart w:id="300" w:name="_Toc40569067"/>
      <w:bookmarkStart w:id="301" w:name="_Toc430530459"/>
      <w:bookmarkStart w:id="302" w:name="_Toc277082576"/>
      <w:bookmarkStart w:id="303" w:name="_Toc200513150"/>
      <w:bookmarkStart w:id="304" w:name="_Toc40569162"/>
      <w:bookmarkStart w:id="305" w:name="_Toc509218734"/>
      <w:bookmarkStart w:id="306" w:name="_Toc30972"/>
      <w:bookmarkStart w:id="307" w:name="_Toc287607770"/>
      <w:bookmarkStart w:id="308" w:name="_Toc8188"/>
      <w:bookmarkStart w:id="309" w:name="_Toc287620709"/>
      <w:r>
        <w:rPr>
          <w:rFonts w:hint="eastAsia" w:ascii="宋体" w:hAnsi="宋体" w:cs="宋体"/>
          <w:b w:val="0"/>
          <w:snapToGrid w:val="0"/>
          <w:color w:val="000000" w:themeColor="text1"/>
          <w:sz w:val="24"/>
          <w:szCs w:val="24"/>
          <w:highlight w:val="none"/>
          <w14:textFill>
            <w14:solidFill>
              <w14:schemeClr w14:val="tx1"/>
            </w14:solidFill>
          </w14:textFill>
        </w:rPr>
        <w:t>3.5  资格审查资料</w:t>
      </w:r>
      <w:bookmarkEnd w:id="298"/>
      <w:bookmarkEnd w:id="299"/>
      <w:bookmarkEnd w:id="300"/>
      <w:bookmarkEnd w:id="301"/>
      <w:bookmarkEnd w:id="302"/>
      <w:bookmarkEnd w:id="303"/>
      <w:bookmarkEnd w:id="304"/>
      <w:bookmarkEnd w:id="305"/>
      <w:bookmarkEnd w:id="306"/>
      <w:bookmarkEnd w:id="307"/>
      <w:bookmarkEnd w:id="308"/>
      <w:bookmarkEnd w:id="309"/>
    </w:p>
    <w:p w14:paraId="4E618159">
      <w:pPr>
        <w:autoSpaceDE w:val="0"/>
        <w:autoSpaceDN w:val="0"/>
        <w:adjustRightInd w:val="0"/>
        <w:snapToGrid w:val="0"/>
        <w:spacing w:line="360" w:lineRule="auto"/>
        <w:ind w:left="103" w:leftChars="49" w:right="37"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竞选人须在提交竞选文件时将</w:t>
      </w:r>
      <w:r>
        <w:rPr>
          <w:rFonts w:hint="eastAsia" w:ascii="宋体" w:hAnsi="宋体" w:cs="宋体"/>
          <w:color w:val="000000" w:themeColor="text1"/>
          <w:kern w:val="0"/>
          <w:szCs w:val="21"/>
          <w:highlight w:val="none"/>
          <w14:textFill>
            <w14:solidFill>
              <w14:schemeClr w14:val="tx1"/>
            </w14:solidFill>
          </w14:textFill>
        </w:rPr>
        <w:t>竞选人须知前附表1.4.1中要求的原件</w:t>
      </w:r>
      <w:r>
        <w:rPr>
          <w:rFonts w:hint="eastAsia" w:ascii="宋体" w:hAnsi="宋体" w:cs="宋体"/>
          <w:color w:val="000000" w:themeColor="text1"/>
          <w:szCs w:val="21"/>
          <w:highlight w:val="none"/>
          <w14:textFill>
            <w14:solidFill>
              <w14:schemeClr w14:val="tx1"/>
            </w14:solidFill>
          </w14:textFill>
        </w:rPr>
        <w:t>一次性提交，</w:t>
      </w:r>
      <w:r>
        <w:rPr>
          <w:rFonts w:hint="eastAsia" w:ascii="宋体" w:hAnsi="宋体" w:cs="宋体"/>
          <w:color w:val="000000" w:themeColor="text1"/>
          <w:kern w:val="0"/>
          <w:szCs w:val="21"/>
          <w:highlight w:val="none"/>
          <w14:textFill>
            <w14:solidFill>
              <w14:schemeClr w14:val="tx1"/>
            </w14:solidFill>
          </w14:textFill>
        </w:rPr>
        <w:t>评选委员会审查时必须对</w:t>
      </w:r>
      <w:r>
        <w:rPr>
          <w:rFonts w:hint="eastAsia" w:ascii="宋体" w:hAnsi="宋体" w:cs="宋体"/>
          <w:color w:val="000000" w:themeColor="text1"/>
          <w:szCs w:val="21"/>
          <w:highlight w:val="none"/>
          <w14:textFill>
            <w14:solidFill>
              <w14:schemeClr w14:val="tx1"/>
            </w14:solidFill>
          </w14:textFill>
        </w:rPr>
        <w:t>有关证明和证件的原件核查，若经审查复印件与原件不一致，或未提交原件的，则竞选文件作否决竞选处理。</w:t>
      </w:r>
    </w:p>
    <w:p w14:paraId="0DAC0C6D">
      <w:pPr>
        <w:autoSpaceDE w:val="0"/>
        <w:autoSpaceDN w:val="0"/>
        <w:adjustRightInd w:val="0"/>
        <w:snapToGrid w:val="0"/>
        <w:spacing w:line="360" w:lineRule="auto"/>
        <w:ind w:left="103" w:leftChars="49" w:right="37"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联合体投标的，详见竞选人须知前附表联合体投标相关内容。</w:t>
      </w:r>
    </w:p>
    <w:p w14:paraId="1C6563F4">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310" w:name="_Toc430530460"/>
      <w:bookmarkStart w:id="311" w:name="_Toc200513151"/>
      <w:bookmarkStart w:id="312" w:name="_Toc287620710"/>
      <w:bookmarkStart w:id="313" w:name="_Toc26526"/>
      <w:bookmarkStart w:id="314" w:name="_Toc277082577"/>
      <w:bookmarkStart w:id="315" w:name="_Toc9341"/>
      <w:bookmarkStart w:id="316" w:name="_Toc40569068"/>
      <w:bookmarkStart w:id="317" w:name="_Toc40569163"/>
      <w:bookmarkStart w:id="318" w:name="_Toc224103342"/>
      <w:bookmarkStart w:id="319" w:name="_Toc7522"/>
      <w:bookmarkStart w:id="320" w:name="_Toc509218735"/>
      <w:bookmarkStart w:id="321" w:name="_Toc287607771"/>
      <w:r>
        <w:rPr>
          <w:rFonts w:hint="eastAsia" w:ascii="宋体" w:hAnsi="宋体" w:cs="宋体"/>
          <w:b w:val="0"/>
          <w:snapToGrid w:val="0"/>
          <w:color w:val="000000" w:themeColor="text1"/>
          <w:sz w:val="24"/>
          <w:szCs w:val="24"/>
          <w:highlight w:val="none"/>
          <w14:textFill>
            <w14:solidFill>
              <w14:schemeClr w14:val="tx1"/>
            </w14:solidFill>
          </w14:textFill>
        </w:rPr>
        <w:t>3.6  备选投标方案</w:t>
      </w:r>
      <w:bookmarkEnd w:id="310"/>
      <w:bookmarkEnd w:id="311"/>
      <w:bookmarkEnd w:id="312"/>
      <w:bookmarkEnd w:id="313"/>
      <w:bookmarkEnd w:id="314"/>
      <w:bookmarkEnd w:id="315"/>
      <w:bookmarkEnd w:id="316"/>
      <w:bookmarkEnd w:id="317"/>
      <w:bookmarkEnd w:id="318"/>
      <w:bookmarkEnd w:id="319"/>
      <w:bookmarkEnd w:id="320"/>
      <w:bookmarkEnd w:id="321"/>
    </w:p>
    <w:p w14:paraId="78B83D83">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除竞选人须知前附表另有规定外，竞选人不得递交备选投标方案。允许竞选人递交备选投标方案的，只有中选人所递交的备选投标方案方可予以考虑。评选委员会认为中选人的备 选投标方案优于其按照比选文件要求编制的投标方案的，比选人可以接受该备选投标方案。</w:t>
      </w:r>
    </w:p>
    <w:p w14:paraId="4F1CBB6E">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322" w:name="_Toc287607772"/>
      <w:bookmarkStart w:id="323" w:name="_Toc40569164"/>
      <w:bookmarkStart w:id="324" w:name="_Toc509218736"/>
      <w:bookmarkStart w:id="325" w:name="_Toc430530461"/>
      <w:bookmarkStart w:id="326" w:name="_Toc25048"/>
      <w:bookmarkStart w:id="327" w:name="_Toc29561"/>
      <w:bookmarkStart w:id="328" w:name="_Toc287620711"/>
      <w:bookmarkStart w:id="329" w:name="_Toc277082578"/>
      <w:bookmarkStart w:id="330" w:name="_Toc29274"/>
      <w:bookmarkStart w:id="331" w:name="_Toc224103343"/>
      <w:bookmarkStart w:id="332" w:name="_Toc40569069"/>
      <w:bookmarkStart w:id="333" w:name="_Toc200513152"/>
      <w:r>
        <w:rPr>
          <w:rFonts w:hint="eastAsia" w:ascii="宋体" w:hAnsi="宋体" w:cs="宋体"/>
          <w:b w:val="0"/>
          <w:snapToGrid w:val="0"/>
          <w:color w:val="000000" w:themeColor="text1"/>
          <w:sz w:val="24"/>
          <w:szCs w:val="24"/>
          <w:highlight w:val="none"/>
          <w14:textFill>
            <w14:solidFill>
              <w14:schemeClr w14:val="tx1"/>
            </w14:solidFill>
          </w14:textFill>
        </w:rPr>
        <w:t>3.7  竞选文件的编制</w:t>
      </w:r>
      <w:bookmarkEnd w:id="322"/>
      <w:bookmarkEnd w:id="323"/>
      <w:bookmarkEnd w:id="324"/>
      <w:bookmarkEnd w:id="325"/>
      <w:bookmarkEnd w:id="326"/>
      <w:bookmarkEnd w:id="327"/>
      <w:bookmarkEnd w:id="328"/>
      <w:bookmarkEnd w:id="329"/>
      <w:bookmarkEnd w:id="330"/>
      <w:bookmarkEnd w:id="331"/>
      <w:bookmarkEnd w:id="332"/>
      <w:bookmarkEnd w:id="333"/>
    </w:p>
    <w:p w14:paraId="1C4F5A15">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3.7.1  竞选文件应按第七章“竞选文件格式”进行编写，如有必要，可以增加附页，作为竞选文件的组成部分。其中，竞选函附录在满足比选文件实质性要求的基础上，可以提出比选文件要求更有利于比选人的承诺。</w:t>
      </w:r>
    </w:p>
    <w:p w14:paraId="2B3F996B">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3.7.2  竞选文件应当对比选文件有关工期、比选有效期、质量要求、技术标准和要求、比选范围等实质性内容做出响应。</w:t>
      </w:r>
    </w:p>
    <w:p w14:paraId="41ED63C8">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position w:val="-2"/>
          <w:szCs w:val="21"/>
          <w:highlight w:val="none"/>
          <w14:textFill>
            <w14:solidFill>
              <w14:schemeClr w14:val="tx1"/>
            </w14:solidFill>
          </w14:textFill>
        </w:rPr>
        <w:t>3.7.3  按竞选人须知前附表3.7.3款执行。</w:t>
      </w:r>
    </w:p>
    <w:p w14:paraId="4B19B530">
      <w:pPr>
        <w:autoSpaceDE w:val="0"/>
        <w:autoSpaceDN w:val="0"/>
        <w:adjustRightInd w:val="0"/>
        <w:snapToGrid w:val="0"/>
        <w:spacing w:line="360" w:lineRule="auto"/>
        <w:ind w:right="-164" w:firstLine="420" w:firstLineChars="200"/>
        <w:rPr>
          <w:rFonts w:hint="eastAsia" w:ascii="宋体" w:hAnsi="宋体" w:cs="宋体"/>
          <w:i/>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3.7.4  竞选文件的份数见竞选人须知前附表，不按规定递交足够份数的竞选文件作否决处理。</w:t>
      </w:r>
    </w:p>
    <w:p w14:paraId="3448E1DB">
      <w:pPr>
        <w:autoSpaceDE w:val="0"/>
        <w:autoSpaceDN w:val="0"/>
        <w:adjustRightInd w:val="0"/>
        <w:snapToGrid w:val="0"/>
        <w:spacing w:line="360" w:lineRule="auto"/>
        <w:ind w:right="-109"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3.7.5  竞选文件应装订成册，并编制目录，具体装订要求见竞选人须知前附表规定。</w:t>
      </w:r>
    </w:p>
    <w:p w14:paraId="6B0D6C37">
      <w:pPr>
        <w:pStyle w:val="3"/>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334" w:name="_Toc26662"/>
      <w:bookmarkStart w:id="335" w:name="_Toc287620712"/>
      <w:bookmarkStart w:id="336" w:name="_Toc224103344"/>
      <w:bookmarkStart w:id="337" w:name="_Toc200513153"/>
      <w:bookmarkStart w:id="338" w:name="_Toc430530462"/>
      <w:bookmarkStart w:id="339" w:name="_Toc17781"/>
      <w:bookmarkStart w:id="340" w:name="_Toc287607773"/>
      <w:bookmarkStart w:id="341" w:name="_Toc277082579"/>
      <w:bookmarkStart w:id="342" w:name="_Toc509218737"/>
      <w:bookmarkStart w:id="343" w:name="_Toc31627"/>
      <w:r>
        <w:rPr>
          <w:rFonts w:hint="eastAsia" w:ascii="宋体" w:hAnsi="宋体" w:cs="宋体"/>
          <w:b w:val="0"/>
          <w:snapToGrid w:val="0"/>
          <w:color w:val="000000" w:themeColor="text1"/>
          <w:sz w:val="24"/>
          <w:szCs w:val="24"/>
          <w:highlight w:val="none"/>
          <w14:textFill>
            <w14:solidFill>
              <w14:schemeClr w14:val="tx1"/>
            </w14:solidFill>
          </w14:textFill>
        </w:rPr>
        <w:t xml:space="preserve">4.  </w:t>
      </w:r>
      <w:bookmarkEnd w:id="334"/>
      <w:bookmarkEnd w:id="335"/>
      <w:bookmarkEnd w:id="336"/>
      <w:bookmarkEnd w:id="337"/>
      <w:bookmarkEnd w:id="338"/>
      <w:bookmarkEnd w:id="339"/>
      <w:bookmarkEnd w:id="340"/>
      <w:bookmarkEnd w:id="341"/>
      <w:bookmarkEnd w:id="342"/>
      <w:bookmarkEnd w:id="343"/>
      <w:r>
        <w:rPr>
          <w:rFonts w:hint="eastAsia" w:ascii="宋体" w:hAnsi="宋体" w:cs="宋体"/>
          <w:b w:val="0"/>
          <w:snapToGrid w:val="0"/>
          <w:color w:val="000000" w:themeColor="text1"/>
          <w:sz w:val="24"/>
          <w:szCs w:val="24"/>
          <w:highlight w:val="none"/>
          <w14:textFill>
            <w14:solidFill>
              <w14:schemeClr w14:val="tx1"/>
            </w14:solidFill>
          </w14:textFill>
        </w:rPr>
        <w:t>竞选文件递交</w:t>
      </w:r>
    </w:p>
    <w:p w14:paraId="7CFD7C21">
      <w:pPr>
        <w:pStyle w:val="4"/>
        <w:keepNext w:val="0"/>
        <w:keepLines w:val="0"/>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344" w:name="_Toc40569071"/>
      <w:bookmarkStart w:id="345" w:name="_Toc287620713"/>
      <w:bookmarkStart w:id="346" w:name="_Toc200513154"/>
      <w:bookmarkStart w:id="347" w:name="_Toc287607774"/>
      <w:bookmarkStart w:id="348" w:name="_Toc509218738"/>
      <w:bookmarkStart w:id="349" w:name="_Toc40569166"/>
      <w:bookmarkStart w:id="350" w:name="_Toc1906"/>
      <w:bookmarkStart w:id="351" w:name="_Toc21526"/>
      <w:bookmarkStart w:id="352" w:name="_Toc224103345"/>
      <w:bookmarkStart w:id="353" w:name="_Toc430530463"/>
      <w:bookmarkStart w:id="354" w:name="_Toc30123"/>
      <w:bookmarkStart w:id="355" w:name="_Toc277082580"/>
      <w:r>
        <w:rPr>
          <w:rFonts w:hint="eastAsia" w:ascii="宋体" w:hAnsi="宋体" w:cs="宋体"/>
          <w:b w:val="0"/>
          <w:snapToGrid w:val="0"/>
          <w:color w:val="000000" w:themeColor="text1"/>
          <w:sz w:val="24"/>
          <w:szCs w:val="24"/>
          <w:highlight w:val="none"/>
          <w14:textFill>
            <w14:solidFill>
              <w14:schemeClr w14:val="tx1"/>
            </w14:solidFill>
          </w14:textFill>
        </w:rPr>
        <w:t>4.1  竞选文件的密封和标记</w:t>
      </w:r>
      <w:bookmarkEnd w:id="344"/>
      <w:bookmarkEnd w:id="345"/>
      <w:bookmarkEnd w:id="346"/>
      <w:bookmarkEnd w:id="347"/>
      <w:bookmarkEnd w:id="348"/>
      <w:bookmarkEnd w:id="349"/>
      <w:bookmarkEnd w:id="350"/>
      <w:bookmarkEnd w:id="351"/>
      <w:bookmarkEnd w:id="352"/>
      <w:bookmarkEnd w:id="353"/>
      <w:bookmarkEnd w:id="354"/>
      <w:bookmarkEnd w:id="355"/>
    </w:p>
    <w:p w14:paraId="238FEB76">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bookmarkStart w:id="356" w:name="_Toc200513155"/>
      <w:r>
        <w:rPr>
          <w:rFonts w:hint="eastAsia" w:ascii="宋体" w:hAnsi="宋体" w:cs="宋体"/>
          <w:snapToGrid w:val="0"/>
          <w:color w:val="000000" w:themeColor="text1"/>
          <w:kern w:val="0"/>
          <w:szCs w:val="21"/>
          <w:highlight w:val="none"/>
          <w14:textFill>
            <w14:solidFill>
              <w14:schemeClr w14:val="tx1"/>
            </w14:solidFill>
          </w14:textFill>
        </w:rPr>
        <w:t>4.1.1  竞选文件的密封见竞选人须知前附表。</w:t>
      </w:r>
    </w:p>
    <w:p w14:paraId="6348CFE1">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4.1.2  竞选文件的封套上应写明的内容见竞选人须知前附表。</w:t>
      </w:r>
    </w:p>
    <w:p w14:paraId="7B5BC58C">
      <w:pPr>
        <w:pStyle w:val="4"/>
        <w:keepNext w:val="0"/>
        <w:keepLines w:val="0"/>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357" w:name="_Toc430530464"/>
      <w:bookmarkStart w:id="358" w:name="_Toc287607775"/>
      <w:bookmarkStart w:id="359" w:name="_Toc40569072"/>
      <w:bookmarkStart w:id="360" w:name="_Toc7699"/>
      <w:bookmarkStart w:id="361" w:name="_Toc224103346"/>
      <w:bookmarkStart w:id="362" w:name="_Toc26108"/>
      <w:bookmarkStart w:id="363" w:name="_Toc287620714"/>
      <w:bookmarkStart w:id="364" w:name="_Toc509218739"/>
      <w:bookmarkStart w:id="365" w:name="_Toc11740"/>
      <w:bookmarkStart w:id="366" w:name="_Toc40569167"/>
      <w:bookmarkStart w:id="367" w:name="_Toc277082581"/>
      <w:r>
        <w:rPr>
          <w:rFonts w:hint="eastAsia" w:ascii="宋体" w:hAnsi="宋体" w:cs="宋体"/>
          <w:b w:val="0"/>
          <w:snapToGrid w:val="0"/>
          <w:color w:val="000000" w:themeColor="text1"/>
          <w:sz w:val="24"/>
          <w:szCs w:val="24"/>
          <w:highlight w:val="none"/>
          <w14:textFill>
            <w14:solidFill>
              <w14:schemeClr w14:val="tx1"/>
            </w14:solidFill>
          </w14:textFill>
        </w:rPr>
        <w:t>4.2  竞选文件的递交</w:t>
      </w:r>
      <w:bookmarkEnd w:id="356"/>
      <w:bookmarkEnd w:id="357"/>
      <w:bookmarkEnd w:id="358"/>
      <w:bookmarkEnd w:id="359"/>
      <w:bookmarkEnd w:id="360"/>
      <w:bookmarkEnd w:id="361"/>
      <w:bookmarkEnd w:id="362"/>
      <w:bookmarkEnd w:id="363"/>
      <w:bookmarkEnd w:id="364"/>
      <w:bookmarkEnd w:id="365"/>
      <w:bookmarkEnd w:id="366"/>
      <w:bookmarkEnd w:id="367"/>
    </w:p>
    <w:p w14:paraId="0AB691C3">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4.2.1  竞选人应在竞选人须知前附表第 2.2.2 项规定的竞选文件递交截止时间前递交竞选文件。</w:t>
      </w:r>
    </w:p>
    <w:p w14:paraId="190289BC">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4.2.2  竞选人递交竞选文件的地点：见竞选人须知前附表。</w:t>
      </w:r>
    </w:p>
    <w:p w14:paraId="116AA500">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4.2.3  除竞选人须知前附表另有规定外，竞选人所递交的竞选文件不予退还。</w:t>
      </w:r>
    </w:p>
    <w:p w14:paraId="4348B137">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4.2.4  比选人收到竞选文件后，向竞选人出具签收凭证。</w:t>
      </w:r>
    </w:p>
    <w:p w14:paraId="56C35801">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4.2.5  逾期送达的或者未送达指定地点的竞选文件，比选人不予受理。</w:t>
      </w:r>
    </w:p>
    <w:p w14:paraId="1F141414">
      <w:pPr>
        <w:pStyle w:val="4"/>
        <w:keepNext w:val="0"/>
        <w:keepLines w:val="0"/>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368" w:name="_Toc430530465"/>
      <w:bookmarkStart w:id="369" w:name="_Toc30961"/>
      <w:bookmarkStart w:id="370" w:name="_Toc287620715"/>
      <w:bookmarkStart w:id="371" w:name="_Toc509218740"/>
      <w:bookmarkStart w:id="372" w:name="_Toc40569168"/>
      <w:bookmarkStart w:id="373" w:name="_Toc200513156"/>
      <w:bookmarkStart w:id="374" w:name="_Toc13850"/>
      <w:bookmarkStart w:id="375" w:name="_Toc287607776"/>
      <w:bookmarkStart w:id="376" w:name="_Toc277082582"/>
      <w:bookmarkStart w:id="377" w:name="_Toc40569073"/>
      <w:bookmarkStart w:id="378" w:name="_Toc23344"/>
      <w:bookmarkStart w:id="379" w:name="_Toc224103347"/>
      <w:r>
        <w:rPr>
          <w:rFonts w:hint="eastAsia" w:ascii="宋体" w:hAnsi="宋体" w:cs="宋体"/>
          <w:b w:val="0"/>
          <w:snapToGrid w:val="0"/>
          <w:color w:val="000000" w:themeColor="text1"/>
          <w:sz w:val="24"/>
          <w:szCs w:val="24"/>
          <w:highlight w:val="none"/>
          <w14:textFill>
            <w14:solidFill>
              <w14:schemeClr w14:val="tx1"/>
            </w14:solidFill>
          </w14:textFill>
        </w:rPr>
        <w:t>4.3  竞选文件的修改与撤回</w:t>
      </w:r>
      <w:bookmarkEnd w:id="368"/>
      <w:bookmarkEnd w:id="369"/>
      <w:bookmarkEnd w:id="370"/>
      <w:bookmarkEnd w:id="371"/>
      <w:bookmarkEnd w:id="372"/>
      <w:bookmarkEnd w:id="373"/>
      <w:bookmarkEnd w:id="374"/>
      <w:bookmarkEnd w:id="375"/>
      <w:bookmarkEnd w:id="376"/>
      <w:bookmarkEnd w:id="377"/>
      <w:bookmarkEnd w:id="378"/>
      <w:bookmarkEnd w:id="379"/>
    </w:p>
    <w:p w14:paraId="60530474">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4.3.1  在竞选人须知前附表第2.2.2项规定的竞选文件递交截止时间前，竞选人可以修改或撤回已递交的竞选文件，但应以书面形式通知比选人。</w:t>
      </w:r>
    </w:p>
    <w:p w14:paraId="6BDEB107">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4.3.2  竞选人修改或撤回已递交竞选文件的书面通知应按照本章第3.7.3项的要求签字或盖章。比选人收到书面通知后，向竞选人出具签收凭证。</w:t>
      </w:r>
    </w:p>
    <w:p w14:paraId="593A400B">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4.3.3  修改的内容为竞选文件的组成部分。修改的竞选文件应按照本章第3条、第4条规定进行编制、密封、标记和递交，并标明“修改”字样。</w:t>
      </w:r>
    </w:p>
    <w:p w14:paraId="2AB7D26B">
      <w:pPr>
        <w:pStyle w:val="3"/>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380" w:name="_Toc18092"/>
      <w:bookmarkStart w:id="381" w:name="_Toc7310"/>
      <w:bookmarkStart w:id="382" w:name="_Toc287620716"/>
      <w:bookmarkStart w:id="383" w:name="_Toc430530466"/>
      <w:bookmarkStart w:id="384" w:name="_Toc24445"/>
      <w:bookmarkStart w:id="385" w:name="_Toc509218741"/>
      <w:bookmarkStart w:id="386" w:name="_Toc224103348"/>
      <w:bookmarkStart w:id="387" w:name="_Toc200513157"/>
      <w:bookmarkStart w:id="388" w:name="_Toc287607777"/>
      <w:bookmarkStart w:id="389" w:name="_Toc277082583"/>
      <w:r>
        <w:rPr>
          <w:rFonts w:hint="eastAsia" w:ascii="宋体" w:hAnsi="宋体" w:cs="宋体"/>
          <w:b w:val="0"/>
          <w:snapToGrid w:val="0"/>
          <w:color w:val="000000" w:themeColor="text1"/>
          <w:sz w:val="24"/>
          <w:szCs w:val="24"/>
          <w:highlight w:val="none"/>
          <w14:textFill>
            <w14:solidFill>
              <w14:schemeClr w14:val="tx1"/>
            </w14:solidFill>
          </w14:textFill>
        </w:rPr>
        <w:t>5.  开标</w:t>
      </w:r>
      <w:bookmarkEnd w:id="380"/>
      <w:bookmarkEnd w:id="381"/>
      <w:bookmarkEnd w:id="382"/>
      <w:bookmarkEnd w:id="383"/>
      <w:bookmarkEnd w:id="384"/>
      <w:bookmarkEnd w:id="385"/>
      <w:bookmarkEnd w:id="386"/>
      <w:bookmarkEnd w:id="387"/>
      <w:bookmarkEnd w:id="388"/>
      <w:bookmarkEnd w:id="389"/>
    </w:p>
    <w:p w14:paraId="69102657">
      <w:pPr>
        <w:pStyle w:val="4"/>
        <w:keepNext w:val="0"/>
        <w:keepLines w:val="0"/>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390" w:name="_Toc509218742"/>
      <w:bookmarkStart w:id="391" w:name="_Toc277082584"/>
      <w:bookmarkStart w:id="392" w:name="_Toc287620717"/>
      <w:bookmarkStart w:id="393" w:name="_Toc21177"/>
      <w:bookmarkStart w:id="394" w:name="_Toc224103349"/>
      <w:bookmarkStart w:id="395" w:name="_Toc40569170"/>
      <w:bookmarkStart w:id="396" w:name="_Toc23360"/>
      <w:bookmarkStart w:id="397" w:name="_Toc40569075"/>
      <w:bookmarkStart w:id="398" w:name="_Toc200513158"/>
      <w:bookmarkStart w:id="399" w:name="_Toc21647"/>
      <w:bookmarkStart w:id="400" w:name="_Toc287607778"/>
      <w:bookmarkStart w:id="401" w:name="_Toc430530467"/>
      <w:r>
        <w:rPr>
          <w:rFonts w:hint="eastAsia" w:ascii="宋体" w:hAnsi="宋体" w:cs="宋体"/>
          <w:b w:val="0"/>
          <w:snapToGrid w:val="0"/>
          <w:color w:val="000000" w:themeColor="text1"/>
          <w:sz w:val="24"/>
          <w:szCs w:val="24"/>
          <w:highlight w:val="none"/>
          <w14:textFill>
            <w14:solidFill>
              <w14:schemeClr w14:val="tx1"/>
            </w14:solidFill>
          </w14:textFill>
        </w:rPr>
        <w:t>5.1  开标时间和地点</w:t>
      </w:r>
      <w:bookmarkEnd w:id="390"/>
      <w:bookmarkEnd w:id="391"/>
      <w:bookmarkEnd w:id="392"/>
      <w:bookmarkEnd w:id="393"/>
      <w:bookmarkEnd w:id="394"/>
      <w:bookmarkEnd w:id="395"/>
      <w:bookmarkEnd w:id="396"/>
      <w:bookmarkEnd w:id="397"/>
      <w:bookmarkEnd w:id="398"/>
      <w:bookmarkEnd w:id="399"/>
      <w:bookmarkEnd w:id="400"/>
      <w:bookmarkEnd w:id="401"/>
    </w:p>
    <w:p w14:paraId="2B9BBEC9">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比选人在竞选人须知前附表第 2.2.2 项规定的竞选文件递交截止时间和竞选人须知前附表规定的地点公开开标，并邀请所有竞选人的法定代表人或其委托代理人准时参加。</w:t>
      </w:r>
    </w:p>
    <w:p w14:paraId="10F2DD12">
      <w:pPr>
        <w:pStyle w:val="4"/>
        <w:keepNext w:val="0"/>
        <w:keepLines w:val="0"/>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02" w:name="_Toc509218743"/>
      <w:bookmarkStart w:id="403" w:name="_Toc2116"/>
      <w:bookmarkStart w:id="404" w:name="_Toc40569076"/>
      <w:bookmarkStart w:id="405" w:name="_Toc287607779"/>
      <w:bookmarkStart w:id="406" w:name="_Toc287620718"/>
      <w:bookmarkStart w:id="407" w:name="_Toc40569171"/>
      <w:bookmarkStart w:id="408" w:name="_Toc277082585"/>
      <w:bookmarkStart w:id="409" w:name="_Toc224103350"/>
      <w:bookmarkStart w:id="410" w:name="_Toc200513159"/>
      <w:bookmarkStart w:id="411" w:name="_Toc4086"/>
      <w:bookmarkStart w:id="412" w:name="_Toc9819"/>
      <w:bookmarkStart w:id="413" w:name="_Toc430530468"/>
      <w:r>
        <w:rPr>
          <w:rFonts w:hint="eastAsia" w:ascii="宋体" w:hAnsi="宋体" w:cs="宋体"/>
          <w:b w:val="0"/>
          <w:snapToGrid w:val="0"/>
          <w:color w:val="000000" w:themeColor="text1"/>
          <w:sz w:val="24"/>
          <w:szCs w:val="24"/>
          <w:highlight w:val="none"/>
          <w14:textFill>
            <w14:solidFill>
              <w14:schemeClr w14:val="tx1"/>
            </w14:solidFill>
          </w14:textFill>
        </w:rPr>
        <w:t>5.2  开标程序</w:t>
      </w:r>
      <w:bookmarkEnd w:id="402"/>
      <w:bookmarkEnd w:id="403"/>
      <w:bookmarkEnd w:id="404"/>
      <w:bookmarkEnd w:id="405"/>
      <w:bookmarkEnd w:id="406"/>
      <w:bookmarkEnd w:id="407"/>
      <w:bookmarkEnd w:id="408"/>
      <w:bookmarkEnd w:id="409"/>
      <w:bookmarkEnd w:id="410"/>
      <w:bookmarkEnd w:id="411"/>
      <w:bookmarkEnd w:id="412"/>
      <w:bookmarkEnd w:id="413"/>
    </w:p>
    <w:p w14:paraId="5017A9EB">
      <w:pPr>
        <w:autoSpaceDE w:val="0"/>
        <w:autoSpaceDN w:val="0"/>
        <w:adjustRightInd w:val="0"/>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bookmarkStart w:id="414" w:name="_Toc287607780"/>
      <w:bookmarkStart w:id="415" w:name="_Toc200513160"/>
      <w:bookmarkStart w:id="416" w:name="_Toc224103351"/>
      <w:bookmarkStart w:id="417" w:name="_Toc287620719"/>
      <w:bookmarkStart w:id="418" w:name="_Toc277082586"/>
      <w:r>
        <w:rPr>
          <w:rFonts w:hint="eastAsia" w:ascii="宋体" w:hAnsi="宋体" w:cs="宋体"/>
          <w:color w:val="000000" w:themeColor="text1"/>
          <w:szCs w:val="21"/>
          <w:highlight w:val="none"/>
          <w14:textFill>
            <w14:solidFill>
              <w14:schemeClr w14:val="tx1"/>
            </w14:solidFill>
          </w14:textFill>
        </w:rPr>
        <w:t>详见竞选人须知前附表5.2开标程序。</w:t>
      </w:r>
    </w:p>
    <w:p w14:paraId="36DE86EC">
      <w:pPr>
        <w:pStyle w:val="3"/>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19" w:name="_Toc509218744"/>
      <w:bookmarkStart w:id="420" w:name="_Toc20444"/>
      <w:bookmarkStart w:id="421" w:name="_Toc28222"/>
      <w:bookmarkStart w:id="422" w:name="_Toc430530469"/>
      <w:bookmarkStart w:id="423" w:name="_Toc29670"/>
      <w:r>
        <w:rPr>
          <w:rFonts w:hint="eastAsia" w:ascii="宋体" w:hAnsi="宋体" w:cs="宋体"/>
          <w:b w:val="0"/>
          <w:snapToGrid w:val="0"/>
          <w:color w:val="000000" w:themeColor="text1"/>
          <w:sz w:val="24"/>
          <w:szCs w:val="24"/>
          <w:highlight w:val="none"/>
          <w14:textFill>
            <w14:solidFill>
              <w14:schemeClr w14:val="tx1"/>
            </w14:solidFill>
          </w14:textFill>
        </w:rPr>
        <w:t xml:space="preserve">6.  </w:t>
      </w:r>
      <w:bookmarkEnd w:id="414"/>
      <w:bookmarkEnd w:id="415"/>
      <w:bookmarkEnd w:id="416"/>
      <w:bookmarkEnd w:id="417"/>
      <w:bookmarkEnd w:id="418"/>
      <w:bookmarkEnd w:id="419"/>
      <w:bookmarkEnd w:id="420"/>
      <w:bookmarkEnd w:id="421"/>
      <w:bookmarkEnd w:id="422"/>
      <w:bookmarkEnd w:id="423"/>
      <w:r>
        <w:rPr>
          <w:rFonts w:hint="eastAsia" w:ascii="宋体" w:hAnsi="宋体" w:cs="宋体"/>
          <w:b w:val="0"/>
          <w:snapToGrid w:val="0"/>
          <w:color w:val="000000" w:themeColor="text1"/>
          <w:sz w:val="24"/>
          <w:szCs w:val="24"/>
          <w:highlight w:val="none"/>
          <w14:textFill>
            <w14:solidFill>
              <w14:schemeClr w14:val="tx1"/>
            </w14:solidFill>
          </w14:textFill>
        </w:rPr>
        <w:t>评选</w:t>
      </w:r>
    </w:p>
    <w:p w14:paraId="11EACA74">
      <w:pPr>
        <w:pStyle w:val="4"/>
        <w:keepNext w:val="0"/>
        <w:keepLines w:val="0"/>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24" w:name="_Toc287620720"/>
      <w:bookmarkStart w:id="425" w:name="_Toc1171"/>
      <w:bookmarkStart w:id="426" w:name="_Toc40569078"/>
      <w:bookmarkStart w:id="427" w:name="_Toc8411"/>
      <w:bookmarkStart w:id="428" w:name="_Toc430530470"/>
      <w:bookmarkStart w:id="429" w:name="_Toc277082587"/>
      <w:bookmarkStart w:id="430" w:name="_Toc200513161"/>
      <w:bookmarkStart w:id="431" w:name="_Toc11628"/>
      <w:bookmarkStart w:id="432" w:name="_Toc224103352"/>
      <w:bookmarkStart w:id="433" w:name="_Toc40569173"/>
      <w:bookmarkStart w:id="434" w:name="_Toc287607781"/>
      <w:bookmarkStart w:id="435" w:name="_Toc509218745"/>
      <w:r>
        <w:rPr>
          <w:rFonts w:hint="eastAsia" w:ascii="宋体" w:hAnsi="宋体" w:cs="宋体"/>
          <w:b w:val="0"/>
          <w:snapToGrid w:val="0"/>
          <w:color w:val="000000" w:themeColor="text1"/>
          <w:sz w:val="24"/>
          <w:szCs w:val="24"/>
          <w:highlight w:val="none"/>
          <w14:textFill>
            <w14:solidFill>
              <w14:schemeClr w14:val="tx1"/>
            </w14:solidFill>
          </w14:textFill>
        </w:rPr>
        <w:t>6.1  评选委员会</w:t>
      </w:r>
      <w:bookmarkEnd w:id="424"/>
      <w:bookmarkEnd w:id="425"/>
      <w:bookmarkEnd w:id="426"/>
      <w:bookmarkEnd w:id="427"/>
      <w:bookmarkEnd w:id="428"/>
      <w:bookmarkEnd w:id="429"/>
      <w:bookmarkEnd w:id="430"/>
      <w:bookmarkEnd w:id="431"/>
      <w:bookmarkEnd w:id="432"/>
      <w:bookmarkEnd w:id="433"/>
      <w:bookmarkEnd w:id="434"/>
      <w:bookmarkEnd w:id="435"/>
    </w:p>
    <w:p w14:paraId="776578E3">
      <w:pPr>
        <w:autoSpaceDE w:val="0"/>
        <w:autoSpaceDN w:val="0"/>
        <w:adjustRightInd w:val="0"/>
        <w:snapToGrid w:val="0"/>
        <w:spacing w:line="360" w:lineRule="auto"/>
        <w:ind w:firstLine="420" w:firstLineChars="200"/>
        <w:rPr>
          <w:rFonts w:hint="eastAsia"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6.1.1  评选由比选人依据法律法规和相关规范性文件组建的评选委员会负责。</w:t>
      </w:r>
    </w:p>
    <w:p w14:paraId="0ADB97E0">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6.1.2  评选委员会成员有下列情形之一的，应当回避：</w:t>
      </w:r>
    </w:p>
    <w:p w14:paraId="255E2626">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（1）竞选人或竞选人的主要负责人的近亲属；</w:t>
      </w:r>
    </w:p>
    <w:p w14:paraId="27EA3501">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（2）项目主管部门或者行政监督部门的人员；</w:t>
      </w:r>
    </w:p>
    <w:p w14:paraId="5F003FDA">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（3）与竞选人有利害关系，可能影响对投标公正评选的；</w:t>
      </w:r>
    </w:p>
    <w:p w14:paraId="279E7BE4">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（4）曾因在招标、评选以及其他与招标投标有关活动中从事违法行为而受过行政处罚或刑事处罚的。</w:t>
      </w:r>
    </w:p>
    <w:p w14:paraId="0603B0AD">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36" w:name="_Toc287607782"/>
      <w:bookmarkStart w:id="437" w:name="_Toc509218746"/>
      <w:bookmarkStart w:id="438" w:name="_Toc40569174"/>
      <w:bookmarkStart w:id="439" w:name="_Toc224103353"/>
      <w:bookmarkStart w:id="440" w:name="_Toc1737"/>
      <w:bookmarkStart w:id="441" w:name="_Toc430530471"/>
      <w:bookmarkStart w:id="442" w:name="_Toc277082588"/>
      <w:bookmarkStart w:id="443" w:name="_Toc200513162"/>
      <w:bookmarkStart w:id="444" w:name="_Toc40569079"/>
      <w:bookmarkStart w:id="445" w:name="_Toc287620721"/>
      <w:bookmarkStart w:id="446" w:name="_Toc5380"/>
      <w:bookmarkStart w:id="447" w:name="_Toc19907"/>
      <w:r>
        <w:rPr>
          <w:rFonts w:hint="eastAsia" w:ascii="宋体" w:hAnsi="宋体" w:cs="宋体"/>
          <w:b w:val="0"/>
          <w:snapToGrid w:val="0"/>
          <w:color w:val="000000" w:themeColor="text1"/>
          <w:sz w:val="24"/>
          <w:szCs w:val="24"/>
          <w:highlight w:val="none"/>
          <w14:textFill>
            <w14:solidFill>
              <w14:schemeClr w14:val="tx1"/>
            </w14:solidFill>
          </w14:textFill>
        </w:rPr>
        <w:t>6.2  评选原则</w:t>
      </w:r>
      <w:bookmarkEnd w:id="436"/>
      <w:bookmarkEnd w:id="437"/>
      <w:bookmarkEnd w:id="438"/>
      <w:bookmarkEnd w:id="439"/>
      <w:bookmarkEnd w:id="440"/>
      <w:bookmarkEnd w:id="441"/>
      <w:bookmarkEnd w:id="442"/>
      <w:bookmarkEnd w:id="443"/>
      <w:bookmarkEnd w:id="444"/>
      <w:bookmarkEnd w:id="445"/>
      <w:bookmarkEnd w:id="446"/>
      <w:bookmarkEnd w:id="447"/>
    </w:p>
    <w:p w14:paraId="569D7DF7">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评选活动遵循公平、公正、科学和择优的原则。</w:t>
      </w:r>
    </w:p>
    <w:p w14:paraId="72F65182">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48" w:name="_Toc509218747"/>
      <w:bookmarkStart w:id="449" w:name="_Toc224103354"/>
      <w:bookmarkStart w:id="450" w:name="_Toc17901"/>
      <w:bookmarkStart w:id="451" w:name="_Toc277082589"/>
      <w:bookmarkStart w:id="452" w:name="_Toc40569175"/>
      <w:bookmarkStart w:id="453" w:name="_Toc200513163"/>
      <w:bookmarkStart w:id="454" w:name="_Toc287607783"/>
      <w:bookmarkStart w:id="455" w:name="_Toc40569080"/>
      <w:bookmarkStart w:id="456" w:name="_Toc287620722"/>
      <w:bookmarkStart w:id="457" w:name="_Toc430530472"/>
      <w:bookmarkStart w:id="458" w:name="_Toc29814"/>
      <w:bookmarkStart w:id="459" w:name="_Toc32653"/>
      <w:r>
        <w:rPr>
          <w:rFonts w:hint="eastAsia" w:ascii="宋体" w:hAnsi="宋体" w:cs="宋体"/>
          <w:b w:val="0"/>
          <w:snapToGrid w:val="0"/>
          <w:color w:val="000000" w:themeColor="text1"/>
          <w:sz w:val="24"/>
          <w:szCs w:val="24"/>
          <w:highlight w:val="none"/>
          <w14:textFill>
            <w14:solidFill>
              <w14:schemeClr w14:val="tx1"/>
            </w14:solidFill>
          </w14:textFill>
        </w:rPr>
        <w:t xml:space="preserve">6.3  </w:t>
      </w:r>
      <w:bookmarkEnd w:id="448"/>
      <w:bookmarkEnd w:id="449"/>
      <w:bookmarkEnd w:id="450"/>
      <w:bookmarkEnd w:id="451"/>
      <w:bookmarkEnd w:id="452"/>
      <w:bookmarkEnd w:id="453"/>
      <w:bookmarkEnd w:id="454"/>
      <w:bookmarkEnd w:id="455"/>
      <w:bookmarkEnd w:id="456"/>
      <w:bookmarkEnd w:id="457"/>
      <w:bookmarkEnd w:id="458"/>
      <w:bookmarkEnd w:id="459"/>
      <w:r>
        <w:rPr>
          <w:rFonts w:hint="eastAsia" w:ascii="宋体" w:hAnsi="宋体" w:cs="宋体"/>
          <w:b w:val="0"/>
          <w:snapToGrid w:val="0"/>
          <w:color w:val="000000" w:themeColor="text1"/>
          <w:sz w:val="24"/>
          <w:szCs w:val="24"/>
          <w:highlight w:val="none"/>
          <w14:textFill>
            <w14:solidFill>
              <w14:schemeClr w14:val="tx1"/>
            </w14:solidFill>
          </w14:textFill>
        </w:rPr>
        <w:t>评选</w:t>
      </w:r>
    </w:p>
    <w:p w14:paraId="6EA1CDD4">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评选委员会按照第三章“评选办法”规定的方法、评选因素、标准和程序对竞选文件进行评选。第三章“评选办法”没有规定的方法、评选因素和标准，不得作为评选依据。</w:t>
      </w:r>
    </w:p>
    <w:p w14:paraId="5062238B">
      <w:pPr>
        <w:pStyle w:val="3"/>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60" w:name="_Toc200513164"/>
      <w:bookmarkStart w:id="461" w:name="_Toc277082590"/>
      <w:bookmarkStart w:id="462" w:name="_Toc224103355"/>
      <w:bookmarkStart w:id="463" w:name="_Toc509218748"/>
      <w:bookmarkStart w:id="464" w:name="_Toc677"/>
      <w:bookmarkStart w:id="465" w:name="_Toc27760"/>
      <w:bookmarkStart w:id="466" w:name="_Toc23357"/>
      <w:bookmarkStart w:id="467" w:name="_Toc430530473"/>
      <w:bookmarkStart w:id="468" w:name="_Toc287607784"/>
      <w:bookmarkStart w:id="469" w:name="_Toc287620723"/>
      <w:r>
        <w:rPr>
          <w:rFonts w:hint="eastAsia" w:ascii="宋体" w:hAnsi="宋体" w:cs="宋体"/>
          <w:b w:val="0"/>
          <w:snapToGrid w:val="0"/>
          <w:color w:val="000000" w:themeColor="text1"/>
          <w:sz w:val="24"/>
          <w:szCs w:val="24"/>
          <w:highlight w:val="none"/>
          <w14:textFill>
            <w14:solidFill>
              <w14:schemeClr w14:val="tx1"/>
            </w14:solidFill>
          </w14:textFill>
        </w:rPr>
        <w:t>7.  合同授予</w:t>
      </w:r>
      <w:bookmarkEnd w:id="460"/>
      <w:bookmarkEnd w:id="461"/>
      <w:bookmarkEnd w:id="462"/>
      <w:bookmarkEnd w:id="463"/>
      <w:bookmarkEnd w:id="464"/>
      <w:bookmarkEnd w:id="465"/>
      <w:bookmarkEnd w:id="466"/>
      <w:bookmarkEnd w:id="467"/>
      <w:bookmarkEnd w:id="468"/>
      <w:bookmarkEnd w:id="469"/>
    </w:p>
    <w:p w14:paraId="5FFA6A21">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70" w:name="_Toc14144"/>
      <w:bookmarkStart w:id="471" w:name="_Toc12014"/>
      <w:bookmarkStart w:id="472" w:name="_Toc40569177"/>
      <w:bookmarkStart w:id="473" w:name="_Toc287620724"/>
      <w:bookmarkStart w:id="474" w:name="_Toc430530474"/>
      <w:bookmarkStart w:id="475" w:name="_Toc287607785"/>
      <w:bookmarkStart w:id="476" w:name="_Toc277082591"/>
      <w:bookmarkStart w:id="477" w:name="_Toc509218749"/>
      <w:bookmarkStart w:id="478" w:name="_Toc40569082"/>
      <w:bookmarkStart w:id="479" w:name="_Toc12616"/>
      <w:bookmarkStart w:id="480" w:name="_Toc200513165"/>
      <w:bookmarkStart w:id="481" w:name="_Toc224103356"/>
      <w:r>
        <w:rPr>
          <w:rFonts w:hint="eastAsia" w:ascii="宋体" w:hAnsi="宋体" w:cs="宋体"/>
          <w:b w:val="0"/>
          <w:snapToGrid w:val="0"/>
          <w:color w:val="000000" w:themeColor="text1"/>
          <w:sz w:val="24"/>
          <w:szCs w:val="24"/>
          <w:highlight w:val="none"/>
          <w14:textFill>
            <w14:solidFill>
              <w14:schemeClr w14:val="tx1"/>
            </w14:solidFill>
          </w14:textFill>
        </w:rPr>
        <w:t>7.1  定标方式</w:t>
      </w:r>
      <w:bookmarkEnd w:id="470"/>
      <w:bookmarkEnd w:id="471"/>
      <w:bookmarkEnd w:id="472"/>
      <w:bookmarkEnd w:id="473"/>
      <w:bookmarkEnd w:id="474"/>
      <w:bookmarkEnd w:id="475"/>
      <w:bookmarkEnd w:id="476"/>
      <w:bookmarkEnd w:id="477"/>
      <w:bookmarkEnd w:id="478"/>
      <w:bookmarkEnd w:id="479"/>
      <w:bookmarkEnd w:id="480"/>
      <w:bookmarkEnd w:id="481"/>
    </w:p>
    <w:p w14:paraId="24C65DA4">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国有资金占控股或者主导地位的依法必须进行招标的项目，比选人应当确定排名第一的中选候选人为中选人。排名第一的中选候选人放弃中选、因不可抗力不能履行合同、不按照比选文件要求提交履约保证金，或者被查实存在影响中选结果的违法行为等情形，不符合中选条件的，比选人可以按照评选委员会提出的中选候选人名单排序依次确定其他中选候选人为中选人，也可以重新比选。</w:t>
      </w:r>
    </w:p>
    <w:p w14:paraId="69031466">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评选委员会推荐中选候选人的人数见竞选人须知前附表。</w:t>
      </w:r>
    </w:p>
    <w:p w14:paraId="36327342">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82" w:name="_Toc23600"/>
      <w:bookmarkStart w:id="483" w:name="_Toc40569083"/>
      <w:bookmarkStart w:id="484" w:name="_Toc40569178"/>
      <w:bookmarkStart w:id="485" w:name="_Toc757"/>
      <w:bookmarkStart w:id="486" w:name="_Toc509218750"/>
      <w:bookmarkStart w:id="487" w:name="_Toc430530475"/>
      <w:bookmarkStart w:id="488" w:name="_Toc3480"/>
      <w:r>
        <w:rPr>
          <w:rFonts w:hint="eastAsia" w:ascii="宋体" w:hAnsi="宋体" w:cs="宋体"/>
          <w:b w:val="0"/>
          <w:snapToGrid w:val="0"/>
          <w:color w:val="000000" w:themeColor="text1"/>
          <w:sz w:val="24"/>
          <w:szCs w:val="24"/>
          <w:highlight w:val="none"/>
          <w14:textFill>
            <w14:solidFill>
              <w14:schemeClr w14:val="tx1"/>
            </w14:solidFill>
          </w14:textFill>
        </w:rPr>
        <w:t>7.2  中选公示及中选通知</w:t>
      </w:r>
      <w:bookmarkEnd w:id="482"/>
      <w:bookmarkEnd w:id="483"/>
      <w:bookmarkEnd w:id="484"/>
      <w:bookmarkEnd w:id="485"/>
      <w:bookmarkEnd w:id="486"/>
      <w:bookmarkEnd w:id="487"/>
      <w:bookmarkEnd w:id="488"/>
    </w:p>
    <w:p w14:paraId="487C7B86">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详见竞选人须知前附表。</w:t>
      </w:r>
    </w:p>
    <w:p w14:paraId="6A9BA7A2">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89" w:name="_Toc287607787"/>
      <w:bookmarkStart w:id="490" w:name="_Toc509218751"/>
      <w:bookmarkStart w:id="491" w:name="_Toc287620726"/>
      <w:bookmarkStart w:id="492" w:name="_Toc31150"/>
      <w:bookmarkStart w:id="493" w:name="_Toc430530476"/>
      <w:bookmarkStart w:id="494" w:name="_Toc20679"/>
      <w:bookmarkStart w:id="495" w:name="_Toc277082593"/>
      <w:bookmarkStart w:id="496" w:name="_Toc40569179"/>
      <w:bookmarkStart w:id="497" w:name="_Toc200513167"/>
      <w:bookmarkStart w:id="498" w:name="_Toc1444"/>
      <w:bookmarkStart w:id="499" w:name="_Toc224103358"/>
      <w:bookmarkStart w:id="500" w:name="_Toc40569084"/>
      <w:r>
        <w:rPr>
          <w:rFonts w:hint="eastAsia" w:ascii="宋体" w:hAnsi="宋体" w:cs="宋体"/>
          <w:b w:val="0"/>
          <w:snapToGrid w:val="0"/>
          <w:color w:val="000000" w:themeColor="text1"/>
          <w:sz w:val="24"/>
          <w:szCs w:val="24"/>
          <w:highlight w:val="none"/>
          <w14:textFill>
            <w14:solidFill>
              <w14:schemeClr w14:val="tx1"/>
            </w14:solidFill>
          </w14:textFill>
        </w:rPr>
        <w:t>7.3  履约担保</w:t>
      </w:r>
      <w:bookmarkEnd w:id="489"/>
      <w:bookmarkEnd w:id="490"/>
      <w:bookmarkEnd w:id="491"/>
      <w:bookmarkEnd w:id="492"/>
      <w:bookmarkEnd w:id="493"/>
      <w:bookmarkEnd w:id="494"/>
      <w:bookmarkEnd w:id="495"/>
      <w:bookmarkEnd w:id="496"/>
      <w:bookmarkEnd w:id="497"/>
      <w:bookmarkEnd w:id="498"/>
      <w:bookmarkEnd w:id="499"/>
      <w:bookmarkEnd w:id="500"/>
    </w:p>
    <w:p w14:paraId="707AD787">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7.3.1  在签订合同前，中选人应按竞选人须知前附表规定的金额、担保形式和比选文件第四章“合同条款及格式”规定的履约担保格式向比选人提交履约担保。联合体中选的，其履约担保由牵头人递交，并应符合竞选人须知前附表规定的金额、担保形式和比选文件第四章“合同条款及格式”规定的履约担保格式要求。</w:t>
      </w:r>
    </w:p>
    <w:p w14:paraId="33AB428A">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7.3.2  中选人不能按本章第 7.3.1 项要求提交履约担保的，视为放弃中选，其比选保证金不予退还，给比选人造成的损失超过比选保证金数额的，中选人还应当对超过部分予以赔偿。</w:t>
      </w:r>
    </w:p>
    <w:p w14:paraId="4C248292">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01" w:name="_Toc40569180"/>
      <w:bookmarkStart w:id="502" w:name="_Toc430530477"/>
      <w:bookmarkStart w:id="503" w:name="_Toc40569085"/>
      <w:bookmarkStart w:id="504" w:name="_Toc287620727"/>
      <w:bookmarkStart w:id="505" w:name="_Toc23731"/>
      <w:bookmarkStart w:id="506" w:name="_Toc277082594"/>
      <w:bookmarkStart w:id="507" w:name="_Toc3209"/>
      <w:bookmarkStart w:id="508" w:name="_Toc1871"/>
      <w:bookmarkStart w:id="509" w:name="_Toc200513168"/>
      <w:bookmarkStart w:id="510" w:name="_Toc224103359"/>
      <w:bookmarkStart w:id="511" w:name="_Toc509218752"/>
      <w:bookmarkStart w:id="512" w:name="_Toc287607788"/>
      <w:r>
        <w:rPr>
          <w:rFonts w:hint="eastAsia" w:ascii="宋体" w:hAnsi="宋体" w:cs="宋体"/>
          <w:b w:val="0"/>
          <w:snapToGrid w:val="0"/>
          <w:color w:val="000000" w:themeColor="text1"/>
          <w:sz w:val="24"/>
          <w:szCs w:val="24"/>
          <w:highlight w:val="none"/>
          <w14:textFill>
            <w14:solidFill>
              <w14:schemeClr w14:val="tx1"/>
            </w14:solidFill>
          </w14:textFill>
        </w:rPr>
        <w:t>7.4  签订合同</w:t>
      </w:r>
      <w:bookmarkEnd w:id="501"/>
      <w:bookmarkEnd w:id="502"/>
      <w:bookmarkEnd w:id="503"/>
      <w:bookmarkEnd w:id="504"/>
      <w:bookmarkEnd w:id="505"/>
      <w:bookmarkEnd w:id="506"/>
      <w:bookmarkEnd w:id="507"/>
      <w:bookmarkEnd w:id="508"/>
      <w:bookmarkEnd w:id="509"/>
      <w:bookmarkEnd w:id="510"/>
      <w:bookmarkEnd w:id="511"/>
      <w:bookmarkEnd w:id="512"/>
    </w:p>
    <w:p w14:paraId="2FB1FE18">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7.4.1 比选人和中选人应当自中选通知书发出之日起 14 天内，根据比选文件和中选人的竞选文件订立书面合同。中选人无正当理由拒签合同的，比选人取消其中选资格，其比选保证金不予退还；给比选人造成的损失超过比选保证金数额的，中选人还应当对超过部分予以赔偿。</w:t>
      </w:r>
    </w:p>
    <w:p w14:paraId="5A6DBD80">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7.4.2  发出中选通知书后，比选人无正当理由拒签合同的，比选人向中选人退还比选保证金；给中选人造成损失的，还应当赔偿损失。</w:t>
      </w:r>
    </w:p>
    <w:p w14:paraId="3F0BCF16">
      <w:pPr>
        <w:pStyle w:val="3"/>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13" w:name="_Toc4906"/>
      <w:bookmarkStart w:id="514" w:name="_Toc430530478"/>
      <w:bookmarkStart w:id="515" w:name="_Toc32452"/>
      <w:bookmarkStart w:id="516" w:name="_Toc200513169"/>
      <w:bookmarkStart w:id="517" w:name="_Toc287607789"/>
      <w:bookmarkStart w:id="518" w:name="_Toc509218753"/>
      <w:bookmarkStart w:id="519" w:name="_Toc224103360"/>
      <w:bookmarkStart w:id="520" w:name="_Toc277082595"/>
      <w:bookmarkStart w:id="521" w:name="_Toc287620728"/>
      <w:bookmarkStart w:id="522" w:name="_Toc387"/>
      <w:r>
        <w:rPr>
          <w:rFonts w:hint="eastAsia" w:ascii="宋体" w:hAnsi="宋体" w:cs="宋体"/>
          <w:b w:val="0"/>
          <w:snapToGrid w:val="0"/>
          <w:color w:val="000000" w:themeColor="text1"/>
          <w:sz w:val="24"/>
          <w:szCs w:val="24"/>
          <w:highlight w:val="none"/>
          <w14:textFill>
            <w14:solidFill>
              <w14:schemeClr w14:val="tx1"/>
            </w14:solidFill>
          </w14:textFill>
        </w:rPr>
        <w:t>8.  重新</w:t>
      </w:r>
      <w:bookmarkEnd w:id="513"/>
      <w:bookmarkEnd w:id="514"/>
      <w:bookmarkEnd w:id="515"/>
      <w:bookmarkEnd w:id="516"/>
      <w:bookmarkEnd w:id="517"/>
      <w:bookmarkEnd w:id="518"/>
      <w:bookmarkEnd w:id="519"/>
      <w:bookmarkEnd w:id="520"/>
      <w:bookmarkEnd w:id="521"/>
      <w:bookmarkEnd w:id="522"/>
      <w:r>
        <w:rPr>
          <w:rFonts w:hint="eastAsia" w:ascii="宋体" w:hAnsi="宋体" w:cs="宋体"/>
          <w:b w:val="0"/>
          <w:snapToGrid w:val="0"/>
          <w:color w:val="000000" w:themeColor="text1"/>
          <w:sz w:val="24"/>
          <w:szCs w:val="24"/>
          <w:highlight w:val="none"/>
          <w14:textFill>
            <w14:solidFill>
              <w14:schemeClr w14:val="tx1"/>
            </w14:solidFill>
          </w14:textFill>
        </w:rPr>
        <w:t>比选</w:t>
      </w:r>
    </w:p>
    <w:p w14:paraId="431454EF">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23" w:name="_Toc287607790"/>
      <w:bookmarkStart w:id="524" w:name="_Toc224103361"/>
      <w:bookmarkStart w:id="525" w:name="_Toc40569087"/>
      <w:bookmarkStart w:id="526" w:name="_Toc16710"/>
      <w:bookmarkStart w:id="527" w:name="_Toc200513170"/>
      <w:bookmarkStart w:id="528" w:name="_Toc23599"/>
      <w:bookmarkStart w:id="529" w:name="_Toc5411"/>
      <w:bookmarkStart w:id="530" w:name="_Toc40569182"/>
      <w:bookmarkStart w:id="531" w:name="_Toc430530479"/>
      <w:bookmarkStart w:id="532" w:name="_Toc277082596"/>
      <w:bookmarkStart w:id="533" w:name="_Toc509218754"/>
      <w:bookmarkStart w:id="534" w:name="_Toc287620729"/>
      <w:r>
        <w:rPr>
          <w:rFonts w:hint="eastAsia" w:ascii="宋体" w:hAnsi="宋体" w:cs="宋体"/>
          <w:b w:val="0"/>
          <w:snapToGrid w:val="0"/>
          <w:color w:val="000000" w:themeColor="text1"/>
          <w:sz w:val="24"/>
          <w:szCs w:val="24"/>
          <w:highlight w:val="none"/>
          <w14:textFill>
            <w14:solidFill>
              <w14:schemeClr w14:val="tx1"/>
            </w14:solidFill>
          </w14:textFill>
        </w:rPr>
        <w:t>8.1  重新</w:t>
      </w:r>
      <w:bookmarkEnd w:id="523"/>
      <w:bookmarkEnd w:id="524"/>
      <w:bookmarkEnd w:id="525"/>
      <w:bookmarkEnd w:id="526"/>
      <w:bookmarkEnd w:id="527"/>
      <w:bookmarkEnd w:id="528"/>
      <w:bookmarkEnd w:id="529"/>
      <w:bookmarkEnd w:id="530"/>
      <w:bookmarkEnd w:id="531"/>
      <w:bookmarkEnd w:id="532"/>
      <w:bookmarkEnd w:id="533"/>
      <w:bookmarkEnd w:id="534"/>
      <w:r>
        <w:rPr>
          <w:rFonts w:hint="eastAsia" w:ascii="宋体" w:hAnsi="宋体" w:cs="宋体"/>
          <w:b w:val="0"/>
          <w:snapToGrid w:val="0"/>
          <w:color w:val="000000" w:themeColor="text1"/>
          <w:sz w:val="24"/>
          <w:szCs w:val="24"/>
          <w:highlight w:val="none"/>
          <w14:textFill>
            <w14:solidFill>
              <w14:schemeClr w14:val="tx1"/>
            </w14:solidFill>
          </w14:textFill>
        </w:rPr>
        <w:t>比选</w:t>
      </w:r>
    </w:p>
    <w:p w14:paraId="7E0B3BC6">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（1）初次比选，</w:t>
      </w:r>
      <w:r>
        <w:rPr>
          <w:rFonts w:hint="eastAsia" w:ascii="宋体" w:hAnsi="宋体" w:cs="宋体"/>
          <w:snapToGrid w:val="0"/>
          <w:color w:val="000000" w:themeColor="text1"/>
          <w:kern w:val="0"/>
          <w:szCs w:val="21"/>
          <w:highlight w:val="none"/>
          <w14:textFill>
            <w14:solidFill>
              <w14:schemeClr w14:val="tx1"/>
            </w14:solidFill>
          </w14:textFill>
        </w:rPr>
        <w:t>有下列情形之一的，比选人将重新开展比选活动：</w:t>
      </w:r>
    </w:p>
    <w:p w14:paraId="10010ACD">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①竞选文件递交截止时间为止，竞选人少于3个的；</w:t>
      </w:r>
    </w:p>
    <w:p w14:paraId="1308154B">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②经评选委员会评选后否决所有竞选人的；</w:t>
      </w:r>
    </w:p>
    <w:p w14:paraId="3825A847">
      <w:pPr>
        <w:widowControl/>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③经评选委员会评选后部分竞选人被否决，导致有效竞选人不足3个的，原则上应否决全部竞选。但是有效竞选人的经济、技术等指标仍然具有市场竞争力，能够满足比选文件要求的，评选委员会可以继续评选并确定中选候选人。</w:t>
      </w:r>
    </w:p>
    <w:p w14:paraId="17B570F4">
      <w:pPr>
        <w:widowControl/>
        <w:spacing w:line="360" w:lineRule="auto"/>
        <w:ind w:firstLine="420" w:firstLineChars="200"/>
        <w:rPr>
          <w:rFonts w:hint="eastAsia" w:ascii="宋体" w:hAnsi="宋体"/>
          <w:snapToGrid w:val="0"/>
          <w:color w:val="000000" w:themeColor="text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④法律法规规定的其他情形。</w:t>
      </w:r>
    </w:p>
    <w:p w14:paraId="26BB0D38">
      <w:pPr>
        <w:widowControl/>
        <w:spacing w:line="360" w:lineRule="auto"/>
        <w:ind w:firstLine="420" w:firstLineChars="200"/>
        <w:rPr>
          <w:rFonts w:hint="eastAsia"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（2）若初次比选因故终止，第二次比选有效竞选人仍然少于三个的，按照原规定的程序比选和评审。</w:t>
      </w:r>
    </w:p>
    <w:p w14:paraId="70F6E93E">
      <w:pPr>
        <w:pStyle w:val="3"/>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35" w:name="_Toc200513172"/>
      <w:bookmarkStart w:id="536" w:name="_Toc32459"/>
      <w:bookmarkStart w:id="537" w:name="_Toc30342"/>
      <w:bookmarkStart w:id="538" w:name="_Toc509218756"/>
      <w:bookmarkStart w:id="539" w:name="_Toc224103363"/>
      <w:bookmarkStart w:id="540" w:name="_Toc7059"/>
      <w:bookmarkStart w:id="541" w:name="_Toc287620731"/>
      <w:bookmarkStart w:id="542" w:name="_Toc277082598"/>
      <w:bookmarkStart w:id="543" w:name="_Toc430530481"/>
      <w:bookmarkStart w:id="544" w:name="_Toc287607792"/>
      <w:r>
        <w:rPr>
          <w:rFonts w:hint="eastAsia" w:ascii="宋体" w:hAnsi="宋体" w:cs="宋体"/>
          <w:b w:val="0"/>
          <w:snapToGrid w:val="0"/>
          <w:color w:val="000000" w:themeColor="text1"/>
          <w:sz w:val="24"/>
          <w:szCs w:val="24"/>
          <w:highlight w:val="none"/>
          <w14:textFill>
            <w14:solidFill>
              <w14:schemeClr w14:val="tx1"/>
            </w14:solidFill>
          </w14:textFill>
        </w:rPr>
        <w:t>9.  纪律和监督</w:t>
      </w:r>
      <w:bookmarkEnd w:id="535"/>
      <w:bookmarkEnd w:id="536"/>
      <w:bookmarkEnd w:id="537"/>
      <w:bookmarkEnd w:id="538"/>
      <w:bookmarkEnd w:id="539"/>
      <w:bookmarkEnd w:id="540"/>
      <w:bookmarkEnd w:id="541"/>
      <w:bookmarkEnd w:id="542"/>
      <w:bookmarkEnd w:id="543"/>
      <w:bookmarkEnd w:id="544"/>
    </w:p>
    <w:p w14:paraId="4B5EEFCD">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45" w:name="_Toc40569090"/>
      <w:bookmarkStart w:id="546" w:name="_Toc20555"/>
      <w:bookmarkStart w:id="547" w:name="_Toc287620732"/>
      <w:bookmarkStart w:id="548" w:name="_Toc509218757"/>
      <w:bookmarkStart w:id="549" w:name="_Toc430530482"/>
      <w:bookmarkStart w:id="550" w:name="_Toc200513173"/>
      <w:bookmarkStart w:id="551" w:name="_Toc224103364"/>
      <w:bookmarkStart w:id="552" w:name="_Toc287607793"/>
      <w:bookmarkStart w:id="553" w:name="_Toc40569185"/>
      <w:bookmarkStart w:id="554" w:name="_Toc15838"/>
      <w:bookmarkStart w:id="555" w:name="_Toc14823"/>
      <w:bookmarkStart w:id="556" w:name="_Toc277082599"/>
      <w:r>
        <w:rPr>
          <w:rFonts w:hint="eastAsia" w:ascii="宋体" w:hAnsi="宋体" w:cs="宋体"/>
          <w:b w:val="0"/>
          <w:snapToGrid w:val="0"/>
          <w:color w:val="000000" w:themeColor="text1"/>
          <w:sz w:val="24"/>
          <w:szCs w:val="24"/>
          <w:highlight w:val="none"/>
          <w14:textFill>
            <w14:solidFill>
              <w14:schemeClr w14:val="tx1"/>
            </w14:solidFill>
          </w14:textFill>
        </w:rPr>
        <w:t>9.1  对比选人的纪律要求</w:t>
      </w:r>
      <w:bookmarkEnd w:id="545"/>
      <w:bookmarkEnd w:id="546"/>
      <w:bookmarkEnd w:id="547"/>
      <w:bookmarkEnd w:id="548"/>
      <w:bookmarkEnd w:id="549"/>
      <w:bookmarkEnd w:id="550"/>
      <w:bookmarkEnd w:id="551"/>
      <w:bookmarkEnd w:id="552"/>
      <w:bookmarkEnd w:id="553"/>
      <w:bookmarkEnd w:id="554"/>
      <w:bookmarkEnd w:id="555"/>
      <w:bookmarkEnd w:id="556"/>
    </w:p>
    <w:p w14:paraId="1422641E">
      <w:pPr>
        <w:autoSpaceDE w:val="0"/>
        <w:autoSpaceDN w:val="0"/>
        <w:adjustRightInd w:val="0"/>
        <w:snapToGrid w:val="0"/>
        <w:spacing w:line="36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比选人不得泄漏比选活动中应当保密的情况和资料，不得与竞选人串通损害国家利 益、社会公共利益或者他人合法权益，</w:t>
      </w:r>
      <w:r>
        <w:rPr>
          <w:rFonts w:hint="eastAsia" w:ascii="宋体" w:hAnsi="宋体" w:cs="宋体"/>
          <w:color w:val="000000" w:themeColor="text1"/>
          <w:highlight w:val="none"/>
          <w14:textFill>
            <w14:solidFill>
              <w14:schemeClr w14:val="tx1"/>
            </w14:solidFill>
          </w14:textFill>
        </w:rPr>
        <w:t>禁止比选人与竞选人串通投标。</w:t>
      </w:r>
    </w:p>
    <w:p w14:paraId="066781CF">
      <w:pPr>
        <w:autoSpaceDE w:val="0"/>
        <w:autoSpaceDN w:val="0"/>
        <w:adjustRightInd w:val="0"/>
        <w:snapToGrid w:val="0"/>
        <w:spacing w:line="36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有下列情形之一的，属于比选人与竞选人串通投标：</w:t>
      </w:r>
    </w:p>
    <w:p w14:paraId="4BEB8A6F">
      <w:pPr>
        <w:autoSpaceDE w:val="0"/>
        <w:autoSpaceDN w:val="0"/>
        <w:adjustRightInd w:val="0"/>
        <w:snapToGrid w:val="0"/>
        <w:spacing w:line="36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（1）比选人在评选开始前开启竞选文件并将有关信息泄露给其他竞选人；</w:t>
      </w:r>
    </w:p>
    <w:p w14:paraId="262AB2EC">
      <w:pPr>
        <w:autoSpaceDE w:val="0"/>
        <w:autoSpaceDN w:val="0"/>
        <w:adjustRightInd w:val="0"/>
        <w:snapToGrid w:val="0"/>
        <w:spacing w:line="36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（2）比选人直接或者间接向竞选人泄露标底、评选委员会成员等信息；</w:t>
      </w:r>
    </w:p>
    <w:p w14:paraId="4F1EBF1B">
      <w:pPr>
        <w:autoSpaceDE w:val="0"/>
        <w:autoSpaceDN w:val="0"/>
        <w:adjustRightInd w:val="0"/>
        <w:snapToGrid w:val="0"/>
        <w:spacing w:line="36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（3）比选人明示或者暗示竞选人压低或者抬高竞选总报价；</w:t>
      </w:r>
    </w:p>
    <w:p w14:paraId="69965190">
      <w:pPr>
        <w:autoSpaceDE w:val="0"/>
        <w:autoSpaceDN w:val="0"/>
        <w:adjustRightInd w:val="0"/>
        <w:snapToGrid w:val="0"/>
        <w:spacing w:line="36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（4）比选人授意竞选人撤换、修改竞选文件；</w:t>
      </w:r>
    </w:p>
    <w:p w14:paraId="46C3EA96">
      <w:pPr>
        <w:autoSpaceDE w:val="0"/>
        <w:autoSpaceDN w:val="0"/>
        <w:adjustRightInd w:val="0"/>
        <w:snapToGrid w:val="0"/>
        <w:spacing w:line="36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（5）比选人明示或者暗示竞选人为特定竞选人中选提供方便；</w:t>
      </w:r>
    </w:p>
    <w:p w14:paraId="650B5E32">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（6）比选人与竞选人为谋求特定竞选人中选而采取的其他串通行为。</w:t>
      </w:r>
    </w:p>
    <w:p w14:paraId="00299EFA">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57" w:name="_Toc224103365"/>
      <w:bookmarkStart w:id="558" w:name="_Toc1612"/>
      <w:bookmarkStart w:id="559" w:name="_Toc200513174"/>
      <w:bookmarkStart w:id="560" w:name="_Toc13914"/>
      <w:bookmarkStart w:id="561" w:name="_Toc40569186"/>
      <w:bookmarkStart w:id="562" w:name="_Toc509218758"/>
      <w:bookmarkStart w:id="563" w:name="_Toc40569091"/>
      <w:bookmarkStart w:id="564" w:name="_Toc277082600"/>
      <w:bookmarkStart w:id="565" w:name="_Toc287620733"/>
      <w:bookmarkStart w:id="566" w:name="_Toc26842"/>
      <w:bookmarkStart w:id="567" w:name="_Toc430530483"/>
      <w:bookmarkStart w:id="568" w:name="_Toc287607794"/>
      <w:r>
        <w:rPr>
          <w:rFonts w:hint="eastAsia" w:ascii="宋体" w:hAnsi="宋体" w:cs="宋体"/>
          <w:b w:val="0"/>
          <w:snapToGrid w:val="0"/>
          <w:color w:val="000000" w:themeColor="text1"/>
          <w:sz w:val="24"/>
          <w:szCs w:val="24"/>
          <w:highlight w:val="none"/>
          <w14:textFill>
            <w14:solidFill>
              <w14:schemeClr w14:val="tx1"/>
            </w14:solidFill>
          </w14:textFill>
        </w:rPr>
        <w:t>9.2  对竞选人的纪律要求</w:t>
      </w:r>
      <w:bookmarkEnd w:id="557"/>
      <w:bookmarkEnd w:id="558"/>
      <w:bookmarkEnd w:id="559"/>
      <w:bookmarkEnd w:id="560"/>
      <w:bookmarkEnd w:id="561"/>
      <w:bookmarkEnd w:id="562"/>
      <w:bookmarkEnd w:id="563"/>
      <w:bookmarkEnd w:id="564"/>
      <w:bookmarkEnd w:id="565"/>
      <w:bookmarkEnd w:id="566"/>
      <w:bookmarkEnd w:id="567"/>
      <w:bookmarkEnd w:id="568"/>
    </w:p>
    <w:p w14:paraId="57C48521">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竞选人不得相互串通投标或者与比选人串通投标，不得向比选人或者评选委员会成员行贿谋取中选，不得以他人名义投标或者以其他方式弄虚作假骗取中选；竞选人不得以任何方式干扰、影响评选工作。</w:t>
      </w:r>
      <w:r>
        <w:rPr>
          <w:rFonts w:hint="eastAsia" w:ascii="宋体" w:hAnsi="宋体" w:cs="宋体"/>
          <w:color w:val="000000" w:themeColor="text1"/>
          <w:highlight w:val="none"/>
          <w14:textFill>
            <w14:solidFill>
              <w14:schemeClr w14:val="tx1"/>
            </w14:solidFill>
          </w14:textFill>
        </w:rPr>
        <w:t>有下列情形之一的，属于竞选人相互串通投标：</w:t>
      </w:r>
    </w:p>
    <w:p w14:paraId="2934388E">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（1）竞选人之间协商竞选总报价等竞选文件的实质性内容；</w:t>
      </w:r>
    </w:p>
    <w:p w14:paraId="536A6139">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（2）竞选人之间约定中选人；</w:t>
      </w:r>
    </w:p>
    <w:p w14:paraId="3320A60B">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（3）竞选人之间约定部分竞选人放弃投标或者中选；</w:t>
      </w:r>
    </w:p>
    <w:p w14:paraId="068EC1C7">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（4）属于同一集团、协会、商会等组织成员的竞选人按照该组织要求协同投标；</w:t>
      </w:r>
    </w:p>
    <w:p w14:paraId="2DAC913D">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（5）竞选人之间为谋取中选或者排斥特定竞选人而采取的其他联合行动。</w:t>
      </w:r>
    </w:p>
    <w:p w14:paraId="504C8F80">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有下列情形之一的，视为竞选人相互串通投标：</w:t>
      </w:r>
    </w:p>
    <w:p w14:paraId="242A0023">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（1）不同竞选人的竞选文件由同一单位或者个人编制；</w:t>
      </w:r>
    </w:p>
    <w:p w14:paraId="7A5401FF">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（2）不同竞选人委托同一单位或者个人办理投标事宜；</w:t>
      </w:r>
    </w:p>
    <w:p w14:paraId="03DD9830">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（3）不同竞选人的竞选文件载明的项目管理成员为同一人；</w:t>
      </w:r>
    </w:p>
    <w:p w14:paraId="67242959">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（4）不同竞选人的竞选文件异常一致或者竞选总报价呈规律性差异；</w:t>
      </w:r>
    </w:p>
    <w:p w14:paraId="71533935">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（5）不同竞选人的竞选文件相互混装；</w:t>
      </w:r>
    </w:p>
    <w:p w14:paraId="20C6AC74">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（6）不同竞选人的比选保证金从同一单位或者个人的账户转出。</w:t>
      </w:r>
    </w:p>
    <w:p w14:paraId="00D29DE9">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使用通过受让或者租借等方式获取的资格、资质证书投标的，属于以他人名义投标。</w:t>
      </w:r>
    </w:p>
    <w:p w14:paraId="2B0096DD">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竞选人有下列情形之一的，属于以其他方式弄虚作假的行为：</w:t>
      </w:r>
    </w:p>
    <w:p w14:paraId="50A85DFF">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（一）使用伪造、变造的许可证件；</w:t>
      </w:r>
    </w:p>
    <w:p w14:paraId="662AF070">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（二）提供虚假的财务状况或者业绩；</w:t>
      </w:r>
    </w:p>
    <w:p w14:paraId="1856F752">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（三）提供虚假的项目负责人或者主要技术人员简历、劳动关系证明；</w:t>
      </w:r>
    </w:p>
    <w:p w14:paraId="5B5AB737">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（四）提供虚假的信用状况；</w:t>
      </w:r>
    </w:p>
    <w:p w14:paraId="42339C30">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（五）其他弄虚作假的行为。</w:t>
      </w:r>
    </w:p>
    <w:p w14:paraId="50FBA3CB">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69" w:name="_Toc287620734"/>
      <w:bookmarkStart w:id="570" w:name="_Toc30347"/>
      <w:bookmarkStart w:id="571" w:name="_Toc277082601"/>
      <w:bookmarkStart w:id="572" w:name="_Toc224103366"/>
      <w:bookmarkStart w:id="573" w:name="_Toc430530484"/>
      <w:bookmarkStart w:id="574" w:name="_Toc509218759"/>
      <w:bookmarkStart w:id="575" w:name="_Toc40569187"/>
      <w:bookmarkStart w:id="576" w:name="_Toc200513175"/>
      <w:bookmarkStart w:id="577" w:name="_Toc15322"/>
      <w:bookmarkStart w:id="578" w:name="_Toc3385"/>
      <w:bookmarkStart w:id="579" w:name="_Toc287607795"/>
      <w:bookmarkStart w:id="580" w:name="_Toc40569092"/>
      <w:r>
        <w:rPr>
          <w:rFonts w:hint="eastAsia" w:ascii="宋体" w:hAnsi="宋体" w:cs="宋体"/>
          <w:b w:val="0"/>
          <w:snapToGrid w:val="0"/>
          <w:color w:val="000000" w:themeColor="text1"/>
          <w:sz w:val="24"/>
          <w:szCs w:val="24"/>
          <w:highlight w:val="none"/>
          <w14:textFill>
            <w14:solidFill>
              <w14:schemeClr w14:val="tx1"/>
            </w14:solidFill>
          </w14:textFill>
        </w:rPr>
        <w:t>9.3  对评选委员会成员的纪律要求</w:t>
      </w:r>
      <w:bookmarkEnd w:id="569"/>
      <w:bookmarkEnd w:id="570"/>
      <w:bookmarkEnd w:id="571"/>
      <w:bookmarkEnd w:id="572"/>
      <w:bookmarkEnd w:id="573"/>
      <w:bookmarkEnd w:id="574"/>
      <w:bookmarkEnd w:id="575"/>
      <w:bookmarkEnd w:id="576"/>
      <w:bookmarkEnd w:id="577"/>
      <w:bookmarkEnd w:id="578"/>
      <w:bookmarkEnd w:id="579"/>
      <w:bookmarkEnd w:id="580"/>
    </w:p>
    <w:p w14:paraId="60C79216">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选委员会成员不得收受他人的财物或者其他好处，不得向他人透漏对竞选文件的评选和比较、中选候选人的推荐情况以及评选有关的其他情况。在评选活动中，评选委员会成员不得擅离职守，影响评选程序正常进行，不得使用第三章“评选办法”没有规定的评选因素和标准进行评选。</w:t>
      </w:r>
    </w:p>
    <w:p w14:paraId="633C530C">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81" w:name="_Toc19795"/>
      <w:bookmarkStart w:id="582" w:name="_Toc40569188"/>
      <w:bookmarkStart w:id="583" w:name="_Toc40569093"/>
      <w:bookmarkStart w:id="584" w:name="_Toc14712"/>
      <w:bookmarkStart w:id="585" w:name="_Toc277082602"/>
      <w:bookmarkStart w:id="586" w:name="_Toc287620735"/>
      <w:bookmarkStart w:id="587" w:name="_Toc200513176"/>
      <w:bookmarkStart w:id="588" w:name="_Toc430530485"/>
      <w:bookmarkStart w:id="589" w:name="_Toc224103367"/>
      <w:bookmarkStart w:id="590" w:name="_Toc287607796"/>
      <w:bookmarkStart w:id="591" w:name="_Toc509218760"/>
      <w:bookmarkStart w:id="592" w:name="_Toc24901"/>
      <w:r>
        <w:rPr>
          <w:rFonts w:hint="eastAsia" w:ascii="宋体" w:hAnsi="宋体" w:cs="宋体"/>
          <w:b w:val="0"/>
          <w:snapToGrid w:val="0"/>
          <w:color w:val="000000" w:themeColor="text1"/>
          <w:sz w:val="24"/>
          <w:szCs w:val="24"/>
          <w:highlight w:val="none"/>
          <w14:textFill>
            <w14:solidFill>
              <w14:schemeClr w14:val="tx1"/>
            </w14:solidFill>
          </w14:textFill>
        </w:rPr>
        <w:t>9.4  对与评选活动有关的工作人员的纪律要求</w:t>
      </w:r>
      <w:bookmarkEnd w:id="581"/>
      <w:bookmarkEnd w:id="582"/>
      <w:bookmarkEnd w:id="583"/>
      <w:bookmarkEnd w:id="584"/>
      <w:bookmarkEnd w:id="585"/>
      <w:bookmarkEnd w:id="586"/>
      <w:bookmarkEnd w:id="587"/>
      <w:bookmarkEnd w:id="588"/>
      <w:bookmarkEnd w:id="589"/>
      <w:bookmarkEnd w:id="590"/>
      <w:bookmarkEnd w:id="591"/>
      <w:bookmarkEnd w:id="592"/>
    </w:p>
    <w:p w14:paraId="1C4AD345">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与评选活动有关的工作人员不得收受他人的财物或者其他好处，不得向他人透漏对竞选文件的评选和比较、中选候选人的推荐情况以及与评选有关的其他情况。在评选活动中，与评选活动有关的工作人员不得擅离职守，影响评选程序正常进行。</w:t>
      </w:r>
    </w:p>
    <w:p w14:paraId="7D97C4B8">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93" w:name="_Toc200513177"/>
      <w:bookmarkStart w:id="594" w:name="_Toc287620736"/>
      <w:bookmarkStart w:id="595" w:name="_Toc40569094"/>
      <w:bookmarkStart w:id="596" w:name="_Toc224103368"/>
      <w:bookmarkStart w:id="597" w:name="_Toc24405"/>
      <w:bookmarkStart w:id="598" w:name="_Toc509218761"/>
      <w:bookmarkStart w:id="599" w:name="_Toc9443"/>
      <w:bookmarkStart w:id="600" w:name="_Toc287607797"/>
      <w:bookmarkStart w:id="601" w:name="_Toc40569189"/>
      <w:bookmarkStart w:id="602" w:name="_Toc430530486"/>
      <w:bookmarkStart w:id="603" w:name="_Toc277082603"/>
      <w:bookmarkStart w:id="604" w:name="_Toc7152"/>
      <w:r>
        <w:rPr>
          <w:rFonts w:hint="eastAsia" w:ascii="宋体" w:hAnsi="宋体" w:cs="宋体"/>
          <w:b w:val="0"/>
          <w:snapToGrid w:val="0"/>
          <w:color w:val="000000" w:themeColor="text1"/>
          <w:sz w:val="24"/>
          <w:szCs w:val="24"/>
          <w:highlight w:val="none"/>
          <w14:textFill>
            <w14:solidFill>
              <w14:schemeClr w14:val="tx1"/>
            </w14:solidFill>
          </w14:textFill>
        </w:rPr>
        <w:t>9.5  投诉</w:t>
      </w:r>
      <w:bookmarkEnd w:id="593"/>
      <w:bookmarkEnd w:id="594"/>
      <w:bookmarkEnd w:id="595"/>
      <w:bookmarkEnd w:id="596"/>
      <w:bookmarkEnd w:id="597"/>
      <w:bookmarkEnd w:id="598"/>
      <w:bookmarkEnd w:id="599"/>
      <w:bookmarkEnd w:id="600"/>
      <w:bookmarkEnd w:id="601"/>
      <w:bookmarkEnd w:id="602"/>
      <w:bookmarkEnd w:id="603"/>
      <w:bookmarkEnd w:id="604"/>
    </w:p>
    <w:p w14:paraId="4262D210">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竞选人和其他利害关系人认为本次比选活动违反法律、法规和规章规定的，有权向有关行政监督部门投诉。</w:t>
      </w:r>
    </w:p>
    <w:p w14:paraId="6421762B">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605" w:name="_Toc287607798"/>
      <w:bookmarkStart w:id="606" w:name="_Toc277082604"/>
      <w:bookmarkStart w:id="607" w:name="_Toc224103369"/>
      <w:bookmarkStart w:id="608" w:name="_Toc287620737"/>
      <w:bookmarkStart w:id="609" w:name="_Toc32650"/>
      <w:bookmarkStart w:id="610" w:name="_Toc509218762"/>
      <w:bookmarkStart w:id="611" w:name="_Toc200513178"/>
      <w:bookmarkStart w:id="612" w:name="_Toc430530487"/>
      <w:bookmarkStart w:id="613" w:name="_Toc18945"/>
      <w:bookmarkStart w:id="614" w:name="_Toc6297"/>
      <w:r>
        <w:rPr>
          <w:rFonts w:hint="eastAsia" w:ascii="宋体" w:hAnsi="宋体" w:cs="宋体"/>
          <w:b w:val="0"/>
          <w:snapToGrid w:val="0"/>
          <w:color w:val="000000" w:themeColor="text1"/>
          <w:sz w:val="24"/>
          <w:szCs w:val="24"/>
          <w:highlight w:val="none"/>
          <w14:textFill>
            <w14:solidFill>
              <w14:schemeClr w14:val="tx1"/>
            </w14:solidFill>
          </w14:textFill>
        </w:rPr>
        <w:t>10. 需要补充的其他内容</w:t>
      </w:r>
      <w:bookmarkEnd w:id="605"/>
      <w:bookmarkEnd w:id="606"/>
      <w:bookmarkEnd w:id="607"/>
      <w:bookmarkEnd w:id="608"/>
      <w:bookmarkEnd w:id="609"/>
      <w:bookmarkEnd w:id="610"/>
      <w:bookmarkEnd w:id="611"/>
      <w:bookmarkEnd w:id="612"/>
      <w:bookmarkEnd w:id="613"/>
      <w:bookmarkEnd w:id="614"/>
    </w:p>
    <w:p w14:paraId="72BF3EF6">
      <w:pPr>
        <w:pStyle w:val="4"/>
        <w:snapToGrid w:val="0"/>
        <w:spacing w:before="0" w:after="0" w:line="360" w:lineRule="auto"/>
        <w:ind w:firstLine="480" w:firstLineChars="200"/>
        <w:rPr>
          <w:rFonts w:hint="eastAsia" w:ascii="宋体" w:hAnsi="宋体" w:cs="宋体"/>
          <w:b w:val="0"/>
          <w:snapToGrid w:val="0"/>
          <w:color w:val="000000" w:themeColor="text1"/>
          <w:sz w:val="24"/>
          <w:szCs w:val="24"/>
          <w:highlight w:val="none"/>
          <w14:textFill>
            <w14:solidFill>
              <w14:schemeClr w14:val="tx1"/>
            </w14:solidFill>
          </w14:textFill>
        </w:rPr>
      </w:pPr>
      <w:r>
        <w:rPr>
          <w:rFonts w:hint="eastAsia" w:ascii="宋体" w:hAnsi="宋体" w:cs="宋体"/>
          <w:b w:val="0"/>
          <w:snapToGrid w:val="0"/>
          <w:color w:val="000000" w:themeColor="text1"/>
          <w:sz w:val="24"/>
          <w:szCs w:val="24"/>
          <w:highlight w:val="none"/>
          <w14:textFill>
            <w14:solidFill>
              <w14:schemeClr w14:val="tx1"/>
            </w14:solidFill>
          </w14:textFill>
        </w:rPr>
        <w:t>见竞选人须知前附表。</w:t>
      </w:r>
    </w:p>
    <w:p w14:paraId="2DDF606D">
      <w:pPr>
        <w:widowControl/>
        <w:jc w:val="left"/>
        <w:rPr>
          <w:rFonts w:hint="eastAsia" w:ascii="宋体" w:hAnsi="宋体" w:cs="宋体"/>
          <w:b/>
          <w:snapToGrid w:val="0"/>
          <w:color w:val="000000" w:themeColor="text1"/>
          <w:kern w:val="0"/>
          <w:highlight w:val="none"/>
          <w14:textFill>
            <w14:solidFill>
              <w14:schemeClr w14:val="tx1"/>
            </w14:solidFill>
          </w14:textFill>
        </w:rPr>
      </w:pPr>
      <w:r>
        <w:rPr>
          <w:rFonts w:ascii="宋体" w:hAnsi="宋体" w:cs="宋体"/>
          <w:b/>
          <w:snapToGrid w:val="0"/>
          <w:color w:val="000000" w:themeColor="text1"/>
          <w:kern w:val="0"/>
          <w:highlight w:val="none"/>
          <w14:textFill>
            <w14:solidFill>
              <w14:schemeClr w14:val="tx1"/>
            </w14:solidFill>
          </w14:textFill>
        </w:rPr>
        <w:br w:type="page"/>
      </w:r>
    </w:p>
    <w:p w14:paraId="6D82EF37">
      <w:pPr>
        <w:autoSpaceDE w:val="0"/>
        <w:autoSpaceDN w:val="0"/>
        <w:adjustRightInd w:val="0"/>
        <w:snapToGrid w:val="0"/>
        <w:spacing w:line="360" w:lineRule="auto"/>
        <w:jc w:val="left"/>
        <w:outlineLvl w:val="2"/>
        <w:rPr>
          <w:rFonts w:hint="eastAsia" w:ascii="宋体" w:hAnsi="宋体" w:cs="宋体"/>
          <w:b/>
          <w:snapToGrid w:val="0"/>
          <w:color w:val="000000" w:themeColor="text1"/>
          <w:kern w:val="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附表一：报价记录表</w:t>
      </w:r>
    </w:p>
    <w:p w14:paraId="532004F8">
      <w:pPr>
        <w:autoSpaceDE w:val="0"/>
        <w:autoSpaceDN w:val="0"/>
        <w:adjustRightInd w:val="0"/>
        <w:snapToGrid w:val="0"/>
        <w:spacing w:line="360" w:lineRule="auto"/>
        <w:jc w:val="left"/>
        <w:rPr>
          <w:rFonts w:hint="eastAsia" w:ascii="宋体" w:hAnsi="宋体" w:cs="宋体"/>
          <w:b/>
          <w:snapToGrid w:val="0"/>
          <w:color w:val="000000" w:themeColor="text1"/>
          <w:kern w:val="0"/>
          <w:highlight w:val="none"/>
          <w14:textFill>
            <w14:solidFill>
              <w14:schemeClr w14:val="tx1"/>
            </w14:solidFill>
          </w14:textFill>
        </w:rPr>
      </w:pPr>
    </w:p>
    <w:p w14:paraId="0E6B7ED4">
      <w:pPr>
        <w:spacing w:line="360" w:lineRule="auto"/>
        <w:rPr>
          <w:rFonts w:hint="eastAsia" w:ascii="宋体" w:hAnsi="宋体" w:cs="宋体"/>
          <w:b/>
          <w:snapToGrid w:val="0"/>
          <w:color w:val="000000" w:themeColor="text1"/>
          <w:kern w:val="0"/>
          <w:sz w:val="28"/>
          <w:szCs w:val="28"/>
          <w:highlight w:val="none"/>
          <w14:textFill>
            <w14:solidFill>
              <w14:schemeClr w14:val="tx1"/>
            </w14:solidFill>
          </w14:textFill>
        </w:rPr>
      </w:pPr>
      <w:r>
        <w:rPr>
          <w:rFonts w:hint="eastAsia" w:ascii="宋体" w:hAnsi="宋体" w:cs="宋体"/>
          <w:b/>
          <w:snapToGrid w:val="0"/>
          <w:color w:val="000000" w:themeColor="text1"/>
          <w:w w:val="99"/>
          <w:kern w:val="0"/>
          <w:sz w:val="28"/>
          <w:szCs w:val="28"/>
          <w:highlight w:val="none"/>
          <w14:textFill>
            <w14:solidFill>
              <w14:schemeClr w14:val="tx1"/>
            </w14:solidFill>
          </w14:textFill>
        </w:rPr>
        <w:t>（项目名称）报价记录表</w:t>
      </w:r>
    </w:p>
    <w:p w14:paraId="4CED5199">
      <w:pPr>
        <w:tabs>
          <w:tab w:val="left" w:pos="2260"/>
          <w:tab w:val="left" w:pos="5060"/>
        </w:tabs>
        <w:autoSpaceDE w:val="0"/>
        <w:autoSpaceDN w:val="0"/>
        <w:adjustRightInd w:val="0"/>
        <w:snapToGrid w:val="0"/>
        <w:spacing w:line="360" w:lineRule="auto"/>
        <w:jc w:val="righ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时间：年月日时分</w:t>
      </w:r>
    </w:p>
    <w:tbl>
      <w:tblPr>
        <w:tblStyle w:val="29"/>
        <w:tblW w:w="880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378"/>
        <w:gridCol w:w="628"/>
        <w:gridCol w:w="695"/>
        <w:gridCol w:w="800"/>
        <w:gridCol w:w="642"/>
        <w:gridCol w:w="866"/>
        <w:gridCol w:w="1079"/>
        <w:gridCol w:w="845"/>
        <w:gridCol w:w="1435"/>
        <w:gridCol w:w="1435"/>
      </w:tblGrid>
      <w:tr w14:paraId="4473D5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9" w:hRule="exact"/>
          <w:jc w:val="center"/>
        </w:trPr>
        <w:tc>
          <w:tcPr>
            <w:tcW w:w="378" w:type="dxa"/>
            <w:vAlign w:val="center"/>
          </w:tcPr>
          <w:p w14:paraId="47603878">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序号</w:t>
            </w:r>
          </w:p>
        </w:tc>
        <w:tc>
          <w:tcPr>
            <w:tcW w:w="628" w:type="dxa"/>
            <w:vAlign w:val="center"/>
          </w:tcPr>
          <w:p w14:paraId="51631DEC">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竞选人</w:t>
            </w:r>
          </w:p>
        </w:tc>
        <w:tc>
          <w:tcPr>
            <w:tcW w:w="695" w:type="dxa"/>
            <w:vAlign w:val="center"/>
          </w:tcPr>
          <w:p w14:paraId="627FC7C4">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密封</w:t>
            </w:r>
          </w:p>
          <w:p w14:paraId="5B1F8CA8">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情况</w:t>
            </w:r>
          </w:p>
        </w:tc>
        <w:tc>
          <w:tcPr>
            <w:tcW w:w="800" w:type="dxa"/>
            <w:vAlign w:val="center"/>
          </w:tcPr>
          <w:p w14:paraId="6463FCCB">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比选保</w:t>
            </w:r>
          </w:p>
          <w:p w14:paraId="6AE5E9EF">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证金</w:t>
            </w:r>
          </w:p>
        </w:tc>
        <w:tc>
          <w:tcPr>
            <w:tcW w:w="642" w:type="dxa"/>
            <w:tcBorders>
              <w:right w:val="single" w:color="auto" w:sz="4" w:space="0"/>
            </w:tcBorders>
            <w:vAlign w:val="center"/>
          </w:tcPr>
          <w:p w14:paraId="114C6F23">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w:t>
            </w:r>
          </w:p>
          <w:p w14:paraId="3C504830">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报价</w:t>
            </w:r>
          </w:p>
        </w:tc>
        <w:tc>
          <w:tcPr>
            <w:tcW w:w="866" w:type="dxa"/>
            <w:tcBorders>
              <w:left w:val="single" w:color="auto" w:sz="4" w:space="0"/>
            </w:tcBorders>
            <w:vAlign w:val="center"/>
          </w:tcPr>
          <w:p w14:paraId="6EEE354C">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质量目标</w:t>
            </w:r>
          </w:p>
        </w:tc>
        <w:tc>
          <w:tcPr>
            <w:tcW w:w="1079" w:type="dxa"/>
            <w:vAlign w:val="center"/>
          </w:tcPr>
          <w:p w14:paraId="437F98F9">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服务期</w:t>
            </w:r>
          </w:p>
        </w:tc>
        <w:tc>
          <w:tcPr>
            <w:tcW w:w="845" w:type="dxa"/>
            <w:vAlign w:val="center"/>
          </w:tcPr>
          <w:p w14:paraId="111C65BF">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项目负责人</w:t>
            </w:r>
          </w:p>
        </w:tc>
        <w:tc>
          <w:tcPr>
            <w:tcW w:w="1435" w:type="dxa"/>
            <w:vAlign w:val="center"/>
          </w:tcPr>
          <w:p w14:paraId="09780956">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竞选人代表</w:t>
            </w:r>
          </w:p>
          <w:p w14:paraId="5D0ADD84">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签名</w:t>
            </w:r>
          </w:p>
        </w:tc>
        <w:tc>
          <w:tcPr>
            <w:tcW w:w="1435" w:type="dxa"/>
            <w:vAlign w:val="center"/>
          </w:tcPr>
          <w:p w14:paraId="04E0F06A">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备注</w:t>
            </w:r>
          </w:p>
        </w:tc>
      </w:tr>
      <w:tr w14:paraId="7E8199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2ADACB10">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26ACE8C6">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526AC41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64F200EB">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p>
        </w:tc>
        <w:tc>
          <w:tcPr>
            <w:tcW w:w="642" w:type="dxa"/>
            <w:tcBorders>
              <w:right w:val="single" w:color="auto" w:sz="4" w:space="0"/>
            </w:tcBorders>
            <w:vAlign w:val="center"/>
          </w:tcPr>
          <w:p w14:paraId="331A31A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0EEFBE4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1E6408E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7EB76973">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5D555C8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2ECCB67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682B31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4CE6BC8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4ADBD5E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6EAA85C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1EDA918A">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p>
        </w:tc>
        <w:tc>
          <w:tcPr>
            <w:tcW w:w="642" w:type="dxa"/>
            <w:tcBorders>
              <w:right w:val="single" w:color="auto" w:sz="4" w:space="0"/>
            </w:tcBorders>
            <w:vAlign w:val="center"/>
          </w:tcPr>
          <w:p w14:paraId="420E0CC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300E4B73">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2F7143FC">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2749DFC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581ACF33">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178BC5A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087ABF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5C214E0C">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04BC096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3CC0EB70">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501504AC">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5161244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16B9CA4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7091E3C0">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27DB346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1F767D2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1FAB44C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0562E4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6803A60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6F059EE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45AEED5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62D5385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28DF51D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1A53CF6C">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1C4910B1">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3A12217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649A401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0C99DA93">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05EDB0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3DE733C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69B9BCA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1587DD7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1848D76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3D7D7AB1">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11D8A91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3FDB1066">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5210F25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6F2EEDC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76646E70">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7A1FD1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0AA49AE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67D6DE50">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391B99D3">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72E909A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7124D30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2CC1127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05EDD4A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10046683">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13DD608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2ECC993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27C6E7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31C5CC0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0C316C2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5F1004A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048FD371">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1CAF35D3">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08B093B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7920299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61E9BDE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5F2764F1">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05584E7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1D9E56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14B387E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4671ACD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1201957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61CFE7B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7FFA6B5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44F4EA7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02D35C1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018123D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5249CDF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7470920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555664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5E73FA7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225C8FD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5406A7BC">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1E5DAA7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0A6188E6">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5ACDA81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1EB6273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4D0C216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656B63B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63DDF6E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517061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6E4BCF6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6D61847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512339B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4F6A311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37EB2D9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544167C0">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6C3625C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7454859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69957ED1">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272F021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3C4866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5F603FE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0A8160A3">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2064F22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5BAAB10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3E57860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3EBEBFB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36CDE09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132EE10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087B4B9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7D0ECFD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0B9F9A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40A2CEF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40EA031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6C864A4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76DC37F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795D001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7FD92CB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4995A23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0C7D7001">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433E7D2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4F5504A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7DCE62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04E9F28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1E0A2AD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071B49D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3CED542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77C1AD0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5C1828C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25E24E7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75E8E6B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02E8299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1F904C5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3FAA5B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71AD78D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2701CE36">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0B50BC1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334BB8D6">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7AFEA95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16B3EA11">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0F27582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736CCE8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303C7B3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1B4EF8C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5ECA61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05893270">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7B60A01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44EA956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767284C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225CC9D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5CB921F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4559C6A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20276D3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239550F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3250BF5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2211FE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5" w:hRule="exact"/>
          <w:jc w:val="center"/>
        </w:trPr>
        <w:tc>
          <w:tcPr>
            <w:tcW w:w="378" w:type="dxa"/>
            <w:vAlign w:val="center"/>
          </w:tcPr>
          <w:p w14:paraId="150F0C5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7D5A273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069E9A16">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0D89E74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7E7A6BD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39887AF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43E21771">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53AA2F5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42E77FB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461B582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401D0D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6" w:hRule="exact"/>
          <w:jc w:val="center"/>
        </w:trPr>
        <w:tc>
          <w:tcPr>
            <w:tcW w:w="1701" w:type="dxa"/>
            <w:gridSpan w:val="3"/>
            <w:vAlign w:val="center"/>
          </w:tcPr>
          <w:p w14:paraId="274D0F4C">
            <w:pPr>
              <w:autoSpaceDE w:val="0"/>
              <w:autoSpaceDN w:val="0"/>
              <w:adjustRightInd w:val="0"/>
              <w:snapToGrid w:val="0"/>
              <w:spacing w:line="360" w:lineRule="auto"/>
              <w:jc w:val="center"/>
              <w:rPr>
                <w:rFonts w:hint="eastAsia" w:ascii="宋体" w:hAnsi="宋体" w:cs="宋体"/>
                <w:snapToGrid w:val="0"/>
                <w:color w:val="000000" w:themeColor="text1"/>
                <w:kern w:val="0"/>
                <w:sz w:val="28"/>
                <w:szCs w:val="28"/>
                <w:highlight w:val="none"/>
                <w14:textFill>
                  <w14:solidFill>
                    <w14:schemeClr w14:val="tx1"/>
                  </w14:solidFill>
                </w14:textFill>
              </w:rPr>
            </w:pPr>
            <w:r>
              <w:rPr>
                <w:rFonts w:hint="eastAsia" w:ascii="宋体" w:hAnsi="宋体" w:cs="宋体"/>
                <w:snapToGrid w:val="0"/>
                <w:color w:val="000000" w:themeColor="text1"/>
                <w:kern w:val="0"/>
                <w:sz w:val="28"/>
                <w:szCs w:val="28"/>
                <w:highlight w:val="none"/>
                <w14:textFill>
                  <w14:solidFill>
                    <w14:schemeClr w14:val="tx1"/>
                  </w14:solidFill>
                </w14:textFill>
              </w:rPr>
              <w:t>最高限价</w:t>
            </w:r>
          </w:p>
        </w:tc>
        <w:tc>
          <w:tcPr>
            <w:tcW w:w="4232" w:type="dxa"/>
            <w:gridSpan w:val="5"/>
            <w:tcBorders>
              <w:right w:val="single" w:color="auto" w:sz="4" w:space="0"/>
            </w:tcBorders>
            <w:vAlign w:val="center"/>
          </w:tcPr>
          <w:p w14:paraId="52509BC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7974A12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0A56D45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bl>
    <w:p w14:paraId="35AD4F9D">
      <w:pPr>
        <w:tabs>
          <w:tab w:val="left" w:pos="2740"/>
          <w:tab w:val="left" w:pos="4940"/>
          <w:tab w:val="left" w:pos="7140"/>
        </w:tabs>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p>
    <w:p w14:paraId="54D40B2E">
      <w:pPr>
        <w:tabs>
          <w:tab w:val="left" w:pos="2740"/>
          <w:tab w:val="left" w:pos="4940"/>
          <w:tab w:val="left" w:pos="6930"/>
        </w:tabs>
        <w:autoSpaceDE w:val="0"/>
        <w:autoSpaceDN w:val="0"/>
        <w:adjustRightInd w:val="0"/>
        <w:snapToGrid w:val="0"/>
        <w:spacing w:line="360" w:lineRule="auto"/>
        <w:ind w:firstLine="420"/>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比选人代表：记录人： 监督人员：</w:t>
      </w:r>
    </w:p>
    <w:p w14:paraId="65BDD90C">
      <w:pPr>
        <w:autoSpaceDE w:val="0"/>
        <w:autoSpaceDN w:val="0"/>
        <w:adjustRightInd w:val="0"/>
        <w:snapToGrid w:val="0"/>
        <w:spacing w:before="62" w:beforeLines="20" w:line="360" w:lineRule="auto"/>
        <w:jc w:val="right"/>
        <w:rPr>
          <w:rFonts w:hint="eastAsia" w:ascii="宋体" w:hAnsi="宋体" w:cs="宋体"/>
          <w:snapToGrid w:val="0"/>
          <w:color w:val="000000" w:themeColor="text1"/>
          <w:kern w:val="0"/>
          <w:sz w:val="24"/>
          <w:highlight w:val="none"/>
          <w14:textFill>
            <w14:solidFill>
              <w14:schemeClr w14:val="tx1"/>
            </w14:solidFill>
          </w14:textFill>
        </w:rPr>
      </w:pPr>
    </w:p>
    <w:p w14:paraId="3F3C8C6F">
      <w:pPr>
        <w:autoSpaceDE w:val="0"/>
        <w:autoSpaceDN w:val="0"/>
        <w:adjustRightInd w:val="0"/>
        <w:snapToGrid w:val="0"/>
        <w:spacing w:before="62" w:beforeLines="20" w:line="360" w:lineRule="auto"/>
        <w:jc w:val="righ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年月日</w:t>
      </w:r>
    </w:p>
    <w:p w14:paraId="209611C6">
      <w:pPr>
        <w:widowControl/>
        <w:jc w:val="left"/>
        <w:rPr>
          <w:rFonts w:hint="eastAsia" w:ascii="宋体" w:hAnsi="宋体" w:cs="宋体"/>
          <w:b/>
          <w:snapToGrid w:val="0"/>
          <w:color w:val="000000" w:themeColor="text1"/>
          <w:kern w:val="0"/>
          <w:highlight w:val="none"/>
          <w14:textFill>
            <w14:solidFill>
              <w14:schemeClr w14:val="tx1"/>
            </w14:solidFill>
          </w14:textFill>
        </w:rPr>
      </w:pPr>
      <w:r>
        <w:rPr>
          <w:rFonts w:ascii="宋体" w:hAnsi="宋体" w:cs="宋体"/>
          <w:b/>
          <w:snapToGrid w:val="0"/>
          <w:color w:val="000000" w:themeColor="text1"/>
          <w:kern w:val="0"/>
          <w:highlight w:val="none"/>
          <w14:textFill>
            <w14:solidFill>
              <w14:schemeClr w14:val="tx1"/>
            </w14:solidFill>
          </w14:textFill>
        </w:rPr>
        <w:br w:type="page"/>
      </w:r>
      <w:r>
        <w:rPr>
          <w:rFonts w:hint="eastAsia" w:ascii="宋体" w:hAnsi="宋体" w:cs="宋体"/>
          <w:b/>
          <w:snapToGrid w:val="0"/>
          <w:color w:val="000000" w:themeColor="text1"/>
          <w:kern w:val="0"/>
          <w:highlight w:val="none"/>
          <w14:textFill>
            <w14:solidFill>
              <w14:schemeClr w14:val="tx1"/>
            </w14:solidFill>
          </w14:textFill>
        </w:rPr>
        <w:t>附表二：问题澄清通知</w:t>
      </w:r>
    </w:p>
    <w:p w14:paraId="38348A3C">
      <w:pPr>
        <w:autoSpaceDE w:val="0"/>
        <w:autoSpaceDN w:val="0"/>
        <w:adjustRightInd w:val="0"/>
        <w:snapToGrid w:val="0"/>
        <w:spacing w:line="360" w:lineRule="auto"/>
        <w:jc w:val="left"/>
        <w:rPr>
          <w:rFonts w:hint="eastAsia" w:ascii="宋体" w:hAnsi="宋体" w:cs="宋体"/>
          <w:b/>
          <w:snapToGrid w:val="0"/>
          <w:color w:val="000000" w:themeColor="text1"/>
          <w:kern w:val="0"/>
          <w:sz w:val="24"/>
          <w:highlight w:val="none"/>
          <w14:textFill>
            <w14:solidFill>
              <w14:schemeClr w14:val="tx1"/>
            </w14:solidFill>
          </w14:textFill>
        </w:rPr>
      </w:pPr>
    </w:p>
    <w:p w14:paraId="52A7E734">
      <w:pPr>
        <w:autoSpaceDE w:val="0"/>
        <w:autoSpaceDN w:val="0"/>
        <w:adjustRightInd w:val="0"/>
        <w:snapToGrid w:val="0"/>
        <w:spacing w:line="360" w:lineRule="auto"/>
        <w:jc w:val="center"/>
        <w:rPr>
          <w:rFonts w:hint="eastAsia" w:ascii="宋体" w:hAnsi="宋体" w:cs="宋体"/>
          <w:b/>
          <w:snapToGrid w:val="0"/>
          <w:color w:val="000000" w:themeColor="text1"/>
          <w:w w:val="99"/>
          <w:kern w:val="0"/>
          <w:sz w:val="32"/>
          <w:szCs w:val="32"/>
          <w:highlight w:val="none"/>
          <w14:textFill>
            <w14:solidFill>
              <w14:schemeClr w14:val="tx1"/>
            </w14:solidFill>
          </w14:textFill>
        </w:rPr>
      </w:pPr>
      <w:r>
        <w:rPr>
          <w:rFonts w:hint="eastAsia" w:ascii="宋体" w:hAnsi="宋体" w:cs="宋体"/>
          <w:b/>
          <w:snapToGrid w:val="0"/>
          <w:color w:val="000000" w:themeColor="text1"/>
          <w:w w:val="99"/>
          <w:kern w:val="0"/>
          <w:sz w:val="32"/>
          <w:szCs w:val="32"/>
          <w:highlight w:val="none"/>
          <w14:textFill>
            <w14:solidFill>
              <w14:schemeClr w14:val="tx1"/>
            </w14:solidFill>
          </w14:textFill>
        </w:rPr>
        <w:t>问题澄清通知</w:t>
      </w:r>
    </w:p>
    <w:p w14:paraId="0E5D93B4">
      <w:pPr>
        <w:autoSpaceDE w:val="0"/>
        <w:autoSpaceDN w:val="0"/>
        <w:adjustRightInd w:val="0"/>
        <w:snapToGrid w:val="0"/>
        <w:spacing w:line="360" w:lineRule="auto"/>
        <w:jc w:val="left"/>
        <w:rPr>
          <w:rFonts w:hint="eastAsia" w:ascii="宋体" w:hAnsi="宋体" w:cs="宋体"/>
          <w:b/>
          <w:snapToGrid w:val="0"/>
          <w:color w:val="000000" w:themeColor="text1"/>
          <w:kern w:val="0"/>
          <w:sz w:val="24"/>
          <w:highlight w:val="none"/>
          <w14:textFill>
            <w14:solidFill>
              <w14:schemeClr w14:val="tx1"/>
            </w14:solidFill>
          </w14:textFill>
        </w:rPr>
      </w:pPr>
    </w:p>
    <w:p w14:paraId="36F823C1">
      <w:pPr>
        <w:autoSpaceDE w:val="0"/>
        <w:autoSpaceDN w:val="0"/>
        <w:adjustRightInd w:val="0"/>
        <w:snapToGrid w:val="0"/>
        <w:spacing w:line="360" w:lineRule="auto"/>
        <w:ind w:firstLine="3255" w:firstLineChars="1550"/>
        <w:jc w:val="left"/>
        <w:rPr>
          <w:rFonts w:hint="eastAsia" w:ascii="宋体" w:hAnsi="宋体" w:cs="宋体"/>
          <w:snapToGrid w:val="0"/>
          <w:color w:val="000000" w:themeColor="text1"/>
          <w:kern w:val="0"/>
          <w:szCs w:val="21"/>
          <w:highlight w:val="none"/>
          <w:u w:val="singl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编号：</w:t>
      </w:r>
    </w:p>
    <w:p w14:paraId="688061E7">
      <w:pPr>
        <w:autoSpaceDE w:val="0"/>
        <w:autoSpaceDN w:val="0"/>
        <w:adjustRightInd w:val="0"/>
        <w:snapToGrid w:val="0"/>
        <w:spacing w:line="360" w:lineRule="auto"/>
        <w:jc w:val="left"/>
        <w:rPr>
          <w:rFonts w:hint="eastAsia" w:ascii="宋体" w:hAnsi="宋体" w:cs="宋体"/>
          <w:b/>
          <w:snapToGrid w:val="0"/>
          <w:color w:val="000000" w:themeColor="text1"/>
          <w:kern w:val="0"/>
          <w:sz w:val="24"/>
          <w:highlight w:val="none"/>
          <w14:textFill>
            <w14:solidFill>
              <w14:schemeClr w14:val="tx1"/>
            </w14:solidFill>
          </w14:textFill>
        </w:rPr>
      </w:pPr>
    </w:p>
    <w:p w14:paraId="2038BD00">
      <w:pPr>
        <w:autoSpaceDE w:val="0"/>
        <w:autoSpaceDN w:val="0"/>
        <w:adjustRightInd w:val="0"/>
        <w:snapToGrid w:val="0"/>
        <w:spacing w:line="360" w:lineRule="auto"/>
        <w:ind w:firstLine="140" w:firstLineChars="50"/>
        <w:rPr>
          <w:rFonts w:hint="eastAsia" w:ascii="宋体" w:hAnsi="宋体" w:cs="宋体"/>
          <w:snapToGrid w:val="0"/>
          <w:color w:val="000000" w:themeColor="text1"/>
          <w:kern w:val="0"/>
          <w:sz w:val="28"/>
          <w:szCs w:val="28"/>
          <w:highlight w:val="none"/>
          <w14:textFill>
            <w14:solidFill>
              <w14:schemeClr w14:val="tx1"/>
            </w14:solidFill>
          </w14:textFill>
        </w:rPr>
      </w:pPr>
    </w:p>
    <w:p w14:paraId="3BB779EC">
      <w:pPr>
        <w:tabs>
          <w:tab w:val="left" w:pos="1580"/>
        </w:tabs>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（竞选人名称）：</w:t>
      </w:r>
    </w:p>
    <w:p w14:paraId="08CD332C">
      <w:pPr>
        <w:tabs>
          <w:tab w:val="left" w:pos="2320"/>
        </w:tabs>
        <w:autoSpaceDE w:val="0"/>
        <w:autoSpaceDN w:val="0"/>
        <w:adjustRightInd w:val="0"/>
        <w:snapToGrid w:val="0"/>
        <w:spacing w:line="360" w:lineRule="auto"/>
        <w:ind w:firstLine="212" w:firstLineChars="101"/>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（项目名称）的评选委员会，对你方的竞选文件进行了仔细的审查，现需你方对下列问题以书面形式予以澄清：</w:t>
      </w:r>
    </w:p>
    <w:p w14:paraId="4330C9B2">
      <w:pPr>
        <w:autoSpaceDE w:val="0"/>
        <w:autoSpaceDN w:val="0"/>
        <w:adjustRightInd w:val="0"/>
        <w:snapToGrid w:val="0"/>
        <w:spacing w:line="360" w:lineRule="auto"/>
        <w:jc w:val="left"/>
        <w:rPr>
          <w:rFonts w:hint="eastAsia" w:ascii="宋体" w:hAnsi="宋体" w:cs="宋体"/>
          <w:snapToGrid w:val="0"/>
          <w:color w:val="000000" w:themeColor="text1"/>
          <w:kern w:val="0"/>
          <w:sz w:val="24"/>
          <w:highlight w:val="none"/>
          <w14:textFill>
            <w14:solidFill>
              <w14:schemeClr w14:val="tx1"/>
            </w14:solidFill>
          </w14:textFill>
        </w:rPr>
      </w:pPr>
    </w:p>
    <w:p w14:paraId="41B679AC">
      <w:pPr>
        <w:autoSpaceDE w:val="0"/>
        <w:autoSpaceDN w:val="0"/>
        <w:adjustRightInd w:val="0"/>
        <w:snapToGrid w:val="0"/>
        <w:spacing w:line="360" w:lineRule="auto"/>
        <w:jc w:val="left"/>
        <w:rPr>
          <w:rFonts w:hint="eastAsia" w:ascii="宋体" w:hAnsi="宋体" w:cs="宋体"/>
          <w:snapToGrid w:val="0"/>
          <w:color w:val="000000" w:themeColor="text1"/>
          <w:kern w:val="0"/>
          <w:sz w:val="24"/>
          <w:highlight w:val="none"/>
          <w14:textFill>
            <w14:solidFill>
              <w14:schemeClr w14:val="tx1"/>
            </w14:solidFill>
          </w14:textFill>
        </w:rPr>
      </w:pPr>
    </w:p>
    <w:p w14:paraId="10668451">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1. </w:t>
      </w:r>
    </w:p>
    <w:p w14:paraId="47EEE02E">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p>
    <w:p w14:paraId="321B2CDD">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p>
    <w:p w14:paraId="5794E031">
      <w:pPr>
        <w:autoSpaceDE w:val="0"/>
        <w:autoSpaceDN w:val="0"/>
        <w:adjustRightInd w:val="0"/>
        <w:snapToGrid w:val="0"/>
        <w:spacing w:line="360" w:lineRule="auto"/>
        <w:jc w:val="left"/>
        <w:rPr>
          <w:rFonts w:hint="eastAsia" w:ascii="宋体" w:hAnsi="宋体" w:cs="宋体"/>
          <w:snapToGrid w:val="0"/>
          <w:color w:val="000000" w:themeColor="text1"/>
          <w:kern w:val="0"/>
          <w:sz w:val="18"/>
          <w:szCs w:val="18"/>
          <w:highlight w:val="none"/>
          <w14:textFill>
            <w14:solidFill>
              <w14:schemeClr w14:val="tx1"/>
            </w14:solidFill>
          </w14:textFill>
        </w:rPr>
      </w:pPr>
    </w:p>
    <w:p w14:paraId="0569A3B4">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2. </w:t>
      </w:r>
    </w:p>
    <w:p w14:paraId="40B9D315">
      <w:pPr>
        <w:autoSpaceDE w:val="0"/>
        <w:autoSpaceDN w:val="0"/>
        <w:adjustRightInd w:val="0"/>
        <w:snapToGrid w:val="0"/>
        <w:spacing w:line="360" w:lineRule="auto"/>
        <w:jc w:val="left"/>
        <w:rPr>
          <w:rFonts w:hint="eastAsia" w:ascii="宋体" w:hAnsi="宋体" w:cs="宋体"/>
          <w:snapToGrid w:val="0"/>
          <w:color w:val="000000" w:themeColor="text1"/>
          <w:kern w:val="0"/>
          <w:sz w:val="18"/>
          <w:szCs w:val="18"/>
          <w:highlight w:val="none"/>
          <w14:textFill>
            <w14:solidFill>
              <w14:schemeClr w14:val="tx1"/>
            </w14:solidFill>
          </w14:textFill>
        </w:rPr>
      </w:pPr>
    </w:p>
    <w:p w14:paraId="33E3AA4A">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w:t>
      </w:r>
    </w:p>
    <w:p w14:paraId="4008B4AC">
      <w:pPr>
        <w:autoSpaceDE w:val="0"/>
        <w:autoSpaceDN w:val="0"/>
        <w:adjustRightInd w:val="0"/>
        <w:snapToGrid w:val="0"/>
        <w:spacing w:line="360" w:lineRule="auto"/>
        <w:jc w:val="left"/>
        <w:rPr>
          <w:rFonts w:hint="eastAsia" w:ascii="宋体" w:hAnsi="宋体" w:cs="宋体"/>
          <w:snapToGrid w:val="0"/>
          <w:color w:val="000000" w:themeColor="text1"/>
          <w:kern w:val="0"/>
          <w:sz w:val="14"/>
          <w:szCs w:val="14"/>
          <w:highlight w:val="none"/>
          <w14:textFill>
            <w14:solidFill>
              <w14:schemeClr w14:val="tx1"/>
            </w14:solidFill>
          </w14:textFill>
        </w:rPr>
      </w:pPr>
    </w:p>
    <w:p w14:paraId="2907F185">
      <w:pPr>
        <w:autoSpaceDE w:val="0"/>
        <w:autoSpaceDN w:val="0"/>
        <w:adjustRightInd w:val="0"/>
        <w:snapToGrid w:val="0"/>
        <w:spacing w:line="360" w:lineRule="auto"/>
        <w:jc w:val="left"/>
        <w:rPr>
          <w:rFonts w:hint="eastAsia" w:ascii="宋体" w:hAnsi="宋体" w:cs="宋体"/>
          <w:snapToGrid w:val="0"/>
          <w:color w:val="000000" w:themeColor="text1"/>
          <w:kern w:val="0"/>
          <w:sz w:val="14"/>
          <w:szCs w:val="14"/>
          <w:highlight w:val="none"/>
          <w14:textFill>
            <w14:solidFill>
              <w14:schemeClr w14:val="tx1"/>
            </w14:solidFill>
          </w14:textFill>
        </w:rPr>
      </w:pPr>
    </w:p>
    <w:p w14:paraId="30C93649">
      <w:pPr>
        <w:autoSpaceDE w:val="0"/>
        <w:autoSpaceDN w:val="0"/>
        <w:adjustRightInd w:val="0"/>
        <w:snapToGri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3234667D">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请将上述问题的澄清于年月日时前递交至（详细地址）或传真至（传真号码）。采用传真方式的，应在年月日时前将原件递交至</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（详细地址）。</w:t>
      </w:r>
    </w:p>
    <w:p w14:paraId="1F4C8654">
      <w:pPr>
        <w:autoSpaceDE w:val="0"/>
        <w:autoSpaceDN w:val="0"/>
        <w:adjustRightInd w:val="0"/>
        <w:snapToGri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55CA11D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p w14:paraId="441B5054">
      <w:pPr>
        <w:tabs>
          <w:tab w:val="left" w:pos="6400"/>
        </w:tabs>
        <w:autoSpaceDE w:val="0"/>
        <w:autoSpaceDN w:val="0"/>
        <w:adjustRightInd w:val="0"/>
        <w:snapToGrid w:val="0"/>
        <w:spacing w:line="360" w:lineRule="auto"/>
        <w:jc w:val="righ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                             评选委员会：（签字）</w:t>
      </w:r>
    </w:p>
    <w:p w14:paraId="66E57D95">
      <w:pPr>
        <w:autoSpaceDE w:val="0"/>
        <w:autoSpaceDN w:val="0"/>
        <w:adjustRightInd w:val="0"/>
        <w:snapToGrid w:val="0"/>
        <w:spacing w:line="360" w:lineRule="auto"/>
        <w:ind w:firstLine="315" w:firstLineChars="150"/>
        <w:jc w:val="right"/>
        <w:rPr>
          <w:rFonts w:hint="eastAsia" w:ascii="宋体" w:hAnsi="宋体" w:cs="宋体"/>
          <w:snapToGrid w:val="0"/>
          <w:color w:val="000000" w:themeColor="text1"/>
          <w:kern w:val="0"/>
          <w:szCs w:val="21"/>
          <w:highlight w:val="none"/>
          <w14:textFill>
            <w14:solidFill>
              <w14:schemeClr w14:val="tx1"/>
            </w14:solidFill>
          </w14:textFill>
        </w:rPr>
      </w:pPr>
    </w:p>
    <w:p w14:paraId="0D0F9985">
      <w:pPr>
        <w:wordWrap w:val="0"/>
        <w:autoSpaceDE w:val="0"/>
        <w:autoSpaceDN w:val="0"/>
        <w:adjustRightInd w:val="0"/>
        <w:snapToGrid w:val="0"/>
        <w:spacing w:line="360" w:lineRule="auto"/>
        <w:ind w:firstLine="850" w:firstLineChars="405"/>
        <w:jc w:val="righ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年月日  </w:t>
      </w:r>
    </w:p>
    <w:p w14:paraId="2A81355F">
      <w:pPr>
        <w:autoSpaceDE w:val="0"/>
        <w:autoSpaceDN w:val="0"/>
        <w:adjustRightInd w:val="0"/>
        <w:snapToGrid w:val="0"/>
        <w:spacing w:line="360" w:lineRule="auto"/>
        <w:jc w:val="left"/>
        <w:rPr>
          <w:rFonts w:hint="eastAsia" w:ascii="宋体" w:hAnsi="宋体" w:cs="宋体"/>
          <w:b/>
          <w:snapToGrid w:val="0"/>
          <w:color w:val="000000" w:themeColor="text1"/>
          <w:kern w:val="0"/>
          <w:highlight w:val="none"/>
          <w14:textFill>
            <w14:solidFill>
              <w14:schemeClr w14:val="tx1"/>
            </w14:solidFill>
          </w14:textFill>
        </w:rPr>
      </w:pPr>
    </w:p>
    <w:p w14:paraId="39E93DE0">
      <w:pPr>
        <w:autoSpaceDE w:val="0"/>
        <w:autoSpaceDN w:val="0"/>
        <w:adjustRightInd w:val="0"/>
        <w:snapToGrid w:val="0"/>
        <w:spacing w:line="360" w:lineRule="auto"/>
        <w:jc w:val="left"/>
        <w:rPr>
          <w:rFonts w:hint="eastAsia" w:ascii="宋体" w:hAnsi="宋体" w:cs="宋体"/>
          <w:b/>
          <w:snapToGrid w:val="0"/>
          <w:color w:val="000000" w:themeColor="text1"/>
          <w:kern w:val="0"/>
          <w:highlight w:val="none"/>
          <w14:textFill>
            <w14:solidFill>
              <w14:schemeClr w14:val="tx1"/>
            </w14:solidFill>
          </w14:textFill>
        </w:rPr>
      </w:pPr>
    </w:p>
    <w:p w14:paraId="43F79557">
      <w:pPr>
        <w:autoSpaceDE w:val="0"/>
        <w:autoSpaceDN w:val="0"/>
        <w:adjustRightInd w:val="0"/>
        <w:snapToGrid w:val="0"/>
        <w:spacing w:line="360" w:lineRule="auto"/>
        <w:jc w:val="left"/>
        <w:rPr>
          <w:rFonts w:hint="eastAsia" w:ascii="宋体" w:hAnsi="宋体" w:cs="宋体"/>
          <w:b/>
          <w:snapToGrid w:val="0"/>
          <w:color w:val="000000" w:themeColor="text1"/>
          <w:kern w:val="0"/>
          <w:highlight w:val="none"/>
          <w14:textFill>
            <w14:solidFill>
              <w14:schemeClr w14:val="tx1"/>
            </w14:solidFill>
          </w14:textFill>
        </w:rPr>
      </w:pPr>
    </w:p>
    <w:p w14:paraId="0C28F1B7">
      <w:pPr>
        <w:autoSpaceDE w:val="0"/>
        <w:autoSpaceDN w:val="0"/>
        <w:adjustRightInd w:val="0"/>
        <w:snapToGrid w:val="0"/>
        <w:spacing w:line="360" w:lineRule="auto"/>
        <w:jc w:val="left"/>
        <w:rPr>
          <w:rFonts w:hint="eastAsia" w:ascii="宋体" w:hAnsi="宋体" w:cs="宋体"/>
          <w:b/>
          <w:snapToGrid w:val="0"/>
          <w:color w:val="000000" w:themeColor="text1"/>
          <w:kern w:val="0"/>
          <w:highlight w:val="none"/>
          <w14:textFill>
            <w14:solidFill>
              <w14:schemeClr w14:val="tx1"/>
            </w14:solidFill>
          </w14:textFill>
        </w:rPr>
      </w:pPr>
    </w:p>
    <w:p w14:paraId="19CDBB6C">
      <w:pPr>
        <w:widowControl/>
        <w:jc w:val="left"/>
        <w:rPr>
          <w:rFonts w:hint="eastAsia" w:ascii="宋体" w:hAnsi="宋体" w:cs="宋体"/>
          <w:b/>
          <w:snapToGrid w:val="0"/>
          <w:color w:val="000000" w:themeColor="text1"/>
          <w:kern w:val="0"/>
          <w:highlight w:val="none"/>
          <w14:textFill>
            <w14:solidFill>
              <w14:schemeClr w14:val="tx1"/>
            </w14:solidFill>
          </w14:textFill>
        </w:rPr>
      </w:pPr>
      <w:r>
        <w:rPr>
          <w:rFonts w:ascii="宋体" w:hAnsi="宋体" w:cs="宋体"/>
          <w:b/>
          <w:snapToGrid w:val="0"/>
          <w:color w:val="000000" w:themeColor="text1"/>
          <w:kern w:val="0"/>
          <w:highlight w:val="none"/>
          <w14:textFill>
            <w14:solidFill>
              <w14:schemeClr w14:val="tx1"/>
            </w14:solidFill>
          </w14:textFill>
        </w:rPr>
        <w:br w:type="page"/>
      </w:r>
    </w:p>
    <w:p w14:paraId="049BCBB8">
      <w:pPr>
        <w:autoSpaceDE w:val="0"/>
        <w:autoSpaceDN w:val="0"/>
        <w:adjustRightInd w:val="0"/>
        <w:snapToGrid w:val="0"/>
        <w:spacing w:line="360" w:lineRule="auto"/>
        <w:jc w:val="left"/>
        <w:outlineLvl w:val="2"/>
        <w:rPr>
          <w:rFonts w:hint="eastAsia" w:ascii="宋体" w:hAnsi="宋体" w:cs="宋体"/>
          <w:b/>
          <w:snapToGrid w:val="0"/>
          <w:color w:val="000000" w:themeColor="text1"/>
          <w:kern w:val="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附表三：问题的澄清</w:t>
      </w:r>
    </w:p>
    <w:p w14:paraId="67E30F22">
      <w:pPr>
        <w:autoSpaceDE w:val="0"/>
        <w:autoSpaceDN w:val="0"/>
        <w:adjustRightInd w:val="0"/>
        <w:snapToGrid w:val="0"/>
        <w:spacing w:line="360" w:lineRule="auto"/>
        <w:jc w:val="left"/>
        <w:rPr>
          <w:rFonts w:hint="eastAsia" w:ascii="宋体" w:hAnsi="宋体" w:cs="宋体"/>
          <w:b/>
          <w:snapToGrid w:val="0"/>
          <w:color w:val="000000" w:themeColor="text1"/>
          <w:kern w:val="0"/>
          <w:sz w:val="10"/>
          <w:szCs w:val="10"/>
          <w:highlight w:val="none"/>
          <w14:textFill>
            <w14:solidFill>
              <w14:schemeClr w14:val="tx1"/>
            </w14:solidFill>
          </w14:textFill>
        </w:rPr>
      </w:pPr>
    </w:p>
    <w:p w14:paraId="0CC87B86">
      <w:pPr>
        <w:autoSpaceDE w:val="0"/>
        <w:autoSpaceDN w:val="0"/>
        <w:adjustRightInd w:val="0"/>
        <w:snapToGrid w:val="0"/>
        <w:spacing w:line="360" w:lineRule="auto"/>
        <w:jc w:val="center"/>
        <w:rPr>
          <w:rFonts w:hint="eastAsia" w:ascii="宋体" w:hAnsi="宋体" w:cs="宋体"/>
          <w:b/>
          <w:snapToGrid w:val="0"/>
          <w:color w:val="000000" w:themeColor="text1"/>
          <w:kern w:val="0"/>
          <w:sz w:val="32"/>
          <w:szCs w:val="32"/>
          <w:highlight w:val="none"/>
          <w14:textFill>
            <w14:solidFill>
              <w14:schemeClr w14:val="tx1"/>
            </w14:solidFill>
          </w14:textFill>
        </w:rPr>
      </w:pPr>
      <w:r>
        <w:rPr>
          <w:rFonts w:hint="eastAsia" w:ascii="宋体" w:hAnsi="宋体" w:cs="宋体"/>
          <w:b/>
          <w:snapToGrid w:val="0"/>
          <w:color w:val="000000" w:themeColor="text1"/>
          <w:w w:val="99"/>
          <w:kern w:val="0"/>
          <w:sz w:val="32"/>
          <w:szCs w:val="32"/>
          <w:highlight w:val="none"/>
          <w14:textFill>
            <w14:solidFill>
              <w14:schemeClr w14:val="tx1"/>
            </w14:solidFill>
          </w14:textFill>
        </w:rPr>
        <w:t>问题的澄清</w:t>
      </w:r>
    </w:p>
    <w:p w14:paraId="023773F0">
      <w:pPr>
        <w:autoSpaceDE w:val="0"/>
        <w:autoSpaceDN w:val="0"/>
        <w:adjustRightInd w:val="0"/>
        <w:snapToGrid w:val="0"/>
        <w:spacing w:line="360" w:lineRule="auto"/>
        <w:ind w:firstLine="3255" w:firstLineChars="1550"/>
        <w:jc w:val="left"/>
        <w:rPr>
          <w:rFonts w:hint="eastAsia" w:ascii="宋体" w:hAnsi="宋体" w:cs="宋体"/>
          <w:snapToGrid w:val="0"/>
          <w:color w:val="000000" w:themeColor="text1"/>
          <w:kern w:val="0"/>
          <w:szCs w:val="21"/>
          <w:highlight w:val="none"/>
          <w14:textFill>
            <w14:solidFill>
              <w14:schemeClr w14:val="tx1"/>
            </w14:solidFill>
          </w14:textFill>
        </w:rPr>
      </w:pPr>
    </w:p>
    <w:p w14:paraId="246770C4">
      <w:pPr>
        <w:autoSpaceDE w:val="0"/>
        <w:autoSpaceDN w:val="0"/>
        <w:adjustRightInd w:val="0"/>
        <w:snapToGrid w:val="0"/>
        <w:spacing w:line="360" w:lineRule="auto"/>
        <w:ind w:firstLine="3255" w:firstLineChars="1550"/>
        <w:jc w:val="left"/>
        <w:rPr>
          <w:rFonts w:hint="eastAsia" w:ascii="宋体" w:hAnsi="宋体" w:cs="宋体"/>
          <w:snapToGrid w:val="0"/>
          <w:color w:val="000000" w:themeColor="text1"/>
          <w:kern w:val="0"/>
          <w:szCs w:val="21"/>
          <w:highlight w:val="none"/>
          <w:u w:val="singl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编号：</w:t>
      </w:r>
    </w:p>
    <w:p w14:paraId="2F5DD9FC">
      <w:pPr>
        <w:autoSpaceDE w:val="0"/>
        <w:autoSpaceDN w:val="0"/>
        <w:adjustRightInd w:val="0"/>
        <w:snapToGrid w:val="0"/>
        <w:spacing w:line="360" w:lineRule="auto"/>
        <w:ind w:firstLine="3150" w:firstLineChars="1500"/>
        <w:rPr>
          <w:rFonts w:hint="eastAsia" w:ascii="宋体" w:hAnsi="宋体" w:cs="宋体"/>
          <w:snapToGrid w:val="0"/>
          <w:color w:val="000000" w:themeColor="text1"/>
          <w:kern w:val="0"/>
          <w:szCs w:val="21"/>
          <w:highlight w:val="none"/>
          <w14:textFill>
            <w14:solidFill>
              <w14:schemeClr w14:val="tx1"/>
            </w14:solidFill>
          </w14:textFill>
        </w:rPr>
      </w:pPr>
    </w:p>
    <w:p w14:paraId="3E806DAA">
      <w:pPr>
        <w:autoSpaceDE w:val="0"/>
        <w:autoSpaceDN w:val="0"/>
        <w:adjustRightInd w:val="0"/>
        <w:snapToGrid w:val="0"/>
        <w:spacing w:line="360" w:lineRule="auto"/>
        <w:ind w:firstLine="3150" w:firstLineChars="1500"/>
        <w:rPr>
          <w:rFonts w:hint="eastAsia" w:ascii="宋体" w:hAnsi="宋体" w:cs="宋体"/>
          <w:snapToGrid w:val="0"/>
          <w:color w:val="000000" w:themeColor="text1"/>
          <w:kern w:val="0"/>
          <w:szCs w:val="21"/>
          <w:highlight w:val="none"/>
          <w14:textFill>
            <w14:solidFill>
              <w14:schemeClr w14:val="tx1"/>
            </w14:solidFill>
          </w14:textFill>
        </w:rPr>
      </w:pPr>
    </w:p>
    <w:p w14:paraId="5FFBF9C8">
      <w:pPr>
        <w:tabs>
          <w:tab w:val="left" w:pos="2415"/>
          <w:tab w:val="left" w:pos="3480"/>
          <w:tab w:val="left" w:pos="4200"/>
        </w:tabs>
        <w:autoSpaceDE w:val="0"/>
        <w:autoSpaceDN w:val="0"/>
        <w:adjustRightInd w:val="0"/>
        <w:snapToGrid w:val="0"/>
        <w:spacing w:line="360" w:lineRule="auto"/>
        <w:ind w:firstLine="420" w:firstLineChars="200"/>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（项目名称）评选委员会：</w:t>
      </w:r>
    </w:p>
    <w:p w14:paraId="60AA647E">
      <w:pPr>
        <w:tabs>
          <w:tab w:val="left" w:pos="2000"/>
          <w:tab w:val="left" w:pos="3480"/>
          <w:tab w:val="left" w:pos="4200"/>
        </w:tabs>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问题澄清通知（编号：</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）已收悉，现澄清如下：</w:t>
      </w:r>
    </w:p>
    <w:p w14:paraId="03DE12C3">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1. </w:t>
      </w:r>
    </w:p>
    <w:p w14:paraId="79828646">
      <w:pPr>
        <w:autoSpaceDE w:val="0"/>
        <w:autoSpaceDN w:val="0"/>
        <w:adjustRightInd w:val="0"/>
        <w:snapToGrid w:val="0"/>
        <w:spacing w:line="360" w:lineRule="auto"/>
        <w:jc w:val="left"/>
        <w:rPr>
          <w:rFonts w:hint="eastAsia" w:ascii="宋体" w:hAnsi="宋体" w:cs="宋体"/>
          <w:snapToGrid w:val="0"/>
          <w:color w:val="000000" w:themeColor="text1"/>
          <w:kern w:val="0"/>
          <w:sz w:val="18"/>
          <w:szCs w:val="18"/>
          <w:highlight w:val="none"/>
          <w14:textFill>
            <w14:solidFill>
              <w14:schemeClr w14:val="tx1"/>
            </w14:solidFill>
          </w14:textFill>
        </w:rPr>
      </w:pPr>
    </w:p>
    <w:p w14:paraId="1F66178E">
      <w:pPr>
        <w:autoSpaceDE w:val="0"/>
        <w:autoSpaceDN w:val="0"/>
        <w:adjustRightInd w:val="0"/>
        <w:snapToGrid w:val="0"/>
        <w:spacing w:line="360" w:lineRule="auto"/>
        <w:jc w:val="left"/>
        <w:rPr>
          <w:rFonts w:hint="eastAsia" w:ascii="宋体" w:hAnsi="宋体" w:cs="宋体"/>
          <w:snapToGrid w:val="0"/>
          <w:color w:val="000000" w:themeColor="text1"/>
          <w:kern w:val="0"/>
          <w:sz w:val="18"/>
          <w:szCs w:val="18"/>
          <w:highlight w:val="none"/>
          <w14:textFill>
            <w14:solidFill>
              <w14:schemeClr w14:val="tx1"/>
            </w14:solidFill>
          </w14:textFill>
        </w:rPr>
      </w:pPr>
    </w:p>
    <w:p w14:paraId="2AA25A42">
      <w:pPr>
        <w:autoSpaceDE w:val="0"/>
        <w:autoSpaceDN w:val="0"/>
        <w:adjustRightInd w:val="0"/>
        <w:snapToGrid w:val="0"/>
        <w:spacing w:line="360" w:lineRule="auto"/>
        <w:jc w:val="left"/>
        <w:rPr>
          <w:rFonts w:hint="eastAsia" w:ascii="宋体" w:hAnsi="宋体" w:cs="宋体"/>
          <w:snapToGrid w:val="0"/>
          <w:color w:val="000000" w:themeColor="text1"/>
          <w:kern w:val="0"/>
          <w:sz w:val="18"/>
          <w:szCs w:val="18"/>
          <w:highlight w:val="none"/>
          <w14:textFill>
            <w14:solidFill>
              <w14:schemeClr w14:val="tx1"/>
            </w14:solidFill>
          </w14:textFill>
        </w:rPr>
      </w:pPr>
    </w:p>
    <w:p w14:paraId="316D6E3E">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2. </w:t>
      </w:r>
    </w:p>
    <w:p w14:paraId="4E2B1950">
      <w:pPr>
        <w:autoSpaceDE w:val="0"/>
        <w:autoSpaceDN w:val="0"/>
        <w:adjustRightInd w:val="0"/>
        <w:snapToGri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6676F544">
      <w:pPr>
        <w:autoSpaceDE w:val="0"/>
        <w:autoSpaceDN w:val="0"/>
        <w:adjustRightInd w:val="0"/>
        <w:snapToGri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7CAC1E6C">
      <w:pPr>
        <w:autoSpaceDE w:val="0"/>
        <w:autoSpaceDN w:val="0"/>
        <w:adjustRightInd w:val="0"/>
        <w:snapToGrid w:val="0"/>
        <w:spacing w:line="360" w:lineRule="auto"/>
        <w:jc w:val="left"/>
        <w:rPr>
          <w:rFonts w:hint="eastAsia" w:ascii="宋体" w:hAnsi="宋体" w:cs="宋体"/>
          <w:snapToGrid w:val="0"/>
          <w:color w:val="000000" w:themeColor="text1"/>
          <w:kern w:val="0"/>
          <w:sz w:val="22"/>
          <w:szCs w:val="22"/>
          <w:highlight w:val="none"/>
          <w14:textFill>
            <w14:solidFill>
              <w14:schemeClr w14:val="tx1"/>
            </w14:solidFill>
          </w14:textFill>
        </w:rPr>
      </w:pPr>
    </w:p>
    <w:p w14:paraId="72180493">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w:t>
      </w:r>
    </w:p>
    <w:p w14:paraId="1E74789C">
      <w:pPr>
        <w:autoSpaceDE w:val="0"/>
        <w:autoSpaceDN w:val="0"/>
        <w:adjustRightInd w:val="0"/>
        <w:snapToGrid w:val="0"/>
        <w:spacing w:line="360" w:lineRule="auto"/>
        <w:jc w:val="left"/>
        <w:rPr>
          <w:rFonts w:hint="eastAsia" w:ascii="宋体" w:hAnsi="宋体" w:cs="宋体"/>
          <w:snapToGrid w:val="0"/>
          <w:color w:val="000000" w:themeColor="text1"/>
          <w:kern w:val="0"/>
          <w:sz w:val="18"/>
          <w:szCs w:val="18"/>
          <w:highlight w:val="none"/>
          <w14:textFill>
            <w14:solidFill>
              <w14:schemeClr w14:val="tx1"/>
            </w14:solidFill>
          </w14:textFill>
        </w:rPr>
      </w:pPr>
    </w:p>
    <w:p w14:paraId="7543C03A">
      <w:pPr>
        <w:autoSpaceDE w:val="0"/>
        <w:autoSpaceDN w:val="0"/>
        <w:adjustRightInd w:val="0"/>
        <w:snapToGri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43325CD1">
      <w:pPr>
        <w:autoSpaceDE w:val="0"/>
        <w:autoSpaceDN w:val="0"/>
        <w:adjustRightInd w:val="0"/>
        <w:snapToGri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7E1F9F8E">
      <w:pPr>
        <w:autoSpaceDE w:val="0"/>
        <w:autoSpaceDN w:val="0"/>
        <w:adjustRightInd w:val="0"/>
        <w:snapToGri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1E38FE6D">
      <w:pPr>
        <w:autoSpaceDE w:val="0"/>
        <w:autoSpaceDN w:val="0"/>
        <w:adjustRightInd w:val="0"/>
        <w:snapToGri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0B856E8C">
      <w:pPr>
        <w:tabs>
          <w:tab w:val="left" w:pos="7035"/>
        </w:tabs>
        <w:autoSpaceDE w:val="0"/>
        <w:autoSpaceDN w:val="0"/>
        <w:adjustRightInd w:val="0"/>
        <w:snapToGrid w:val="0"/>
        <w:spacing w:line="360" w:lineRule="auto"/>
        <w:ind w:firstLine="2551" w:firstLineChars="1215"/>
        <w:jc w:val="righ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竞选人：（盖单位公章） </w:t>
      </w:r>
    </w:p>
    <w:p w14:paraId="18EEA743">
      <w:pPr>
        <w:tabs>
          <w:tab w:val="left" w:pos="6620"/>
          <w:tab w:val="left" w:pos="7040"/>
        </w:tabs>
        <w:autoSpaceDE w:val="0"/>
        <w:autoSpaceDN w:val="0"/>
        <w:adjustRightInd w:val="0"/>
        <w:snapToGrid w:val="0"/>
        <w:spacing w:line="360" w:lineRule="auto"/>
        <w:ind w:firstLine="2551" w:firstLineChars="1215"/>
        <w:jc w:val="righ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法定代表人或其委托代理人：</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（签字或盖章）</w:t>
      </w:r>
    </w:p>
    <w:p w14:paraId="169363E0">
      <w:pPr>
        <w:autoSpaceDE w:val="0"/>
        <w:autoSpaceDN w:val="0"/>
        <w:adjustRightInd w:val="0"/>
        <w:snapToGrid w:val="0"/>
        <w:spacing w:line="360" w:lineRule="auto"/>
        <w:jc w:val="right"/>
        <w:rPr>
          <w:rFonts w:hint="eastAsia" w:ascii="宋体" w:hAnsi="宋体" w:cs="宋体"/>
          <w:snapToGrid w:val="0"/>
          <w:color w:val="000000" w:themeColor="text1"/>
          <w:kern w:val="0"/>
          <w:sz w:val="20"/>
          <w:szCs w:val="20"/>
          <w:highlight w:val="none"/>
          <w14:textFill>
            <w14:solidFill>
              <w14:schemeClr w14:val="tx1"/>
            </w14:solidFill>
          </w14:textFill>
        </w:rPr>
      </w:pPr>
    </w:p>
    <w:p w14:paraId="2F6B3422">
      <w:pPr>
        <w:wordWrap w:val="0"/>
        <w:autoSpaceDE w:val="0"/>
        <w:autoSpaceDN w:val="0"/>
        <w:adjustRightInd w:val="0"/>
        <w:snapToGrid w:val="0"/>
        <w:spacing w:line="360" w:lineRule="auto"/>
        <w:ind w:firstLine="315" w:firstLineChars="150"/>
        <w:jc w:val="righ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年月日 </w:t>
      </w:r>
    </w:p>
    <w:p w14:paraId="3EBBD930">
      <w:pPr>
        <w:autoSpaceDE w:val="0"/>
        <w:autoSpaceDN w:val="0"/>
        <w:adjustRightInd w:val="0"/>
        <w:snapToGrid w:val="0"/>
        <w:spacing w:line="360" w:lineRule="auto"/>
        <w:jc w:val="left"/>
        <w:rPr>
          <w:rFonts w:hint="eastAsia" w:ascii="宋体" w:hAnsi="宋体" w:cs="宋体"/>
          <w:b/>
          <w:snapToGrid w:val="0"/>
          <w:color w:val="000000" w:themeColor="text1"/>
          <w:kern w:val="0"/>
          <w:sz w:val="24"/>
          <w:highlight w:val="none"/>
          <w14:textFill>
            <w14:solidFill>
              <w14:schemeClr w14:val="tx1"/>
            </w14:solidFill>
          </w14:textFill>
        </w:rPr>
      </w:pPr>
    </w:p>
    <w:p w14:paraId="4787E24D">
      <w:pPr>
        <w:autoSpaceDE w:val="0"/>
        <w:autoSpaceDN w:val="0"/>
        <w:adjustRightInd w:val="0"/>
        <w:snapToGrid w:val="0"/>
        <w:spacing w:line="360" w:lineRule="auto"/>
        <w:jc w:val="left"/>
        <w:rPr>
          <w:rFonts w:hint="eastAsia" w:ascii="宋体" w:hAnsi="宋体" w:cs="宋体"/>
          <w:b/>
          <w:snapToGrid w:val="0"/>
          <w:color w:val="000000" w:themeColor="text1"/>
          <w:kern w:val="0"/>
          <w:highlight w:val="none"/>
          <w14:textFill>
            <w14:solidFill>
              <w14:schemeClr w14:val="tx1"/>
            </w14:solidFill>
          </w14:textFill>
        </w:rPr>
      </w:pPr>
    </w:p>
    <w:p w14:paraId="430171F9">
      <w:pPr>
        <w:widowControl/>
        <w:jc w:val="left"/>
        <w:rPr>
          <w:rFonts w:hint="eastAsia" w:ascii="宋体" w:hAnsi="宋体" w:cs="宋体"/>
          <w:b/>
          <w:snapToGrid w:val="0"/>
          <w:color w:val="000000" w:themeColor="text1"/>
          <w:kern w:val="0"/>
          <w:highlight w:val="none"/>
          <w14:textFill>
            <w14:solidFill>
              <w14:schemeClr w14:val="tx1"/>
            </w14:solidFill>
          </w14:textFill>
        </w:rPr>
      </w:pPr>
      <w:r>
        <w:rPr>
          <w:rFonts w:ascii="宋体" w:hAnsi="宋体" w:cs="宋体"/>
          <w:b/>
          <w:snapToGrid w:val="0"/>
          <w:color w:val="000000" w:themeColor="text1"/>
          <w:kern w:val="0"/>
          <w:highlight w:val="none"/>
          <w14:textFill>
            <w14:solidFill>
              <w14:schemeClr w14:val="tx1"/>
            </w14:solidFill>
          </w14:textFill>
        </w:rPr>
        <w:br w:type="page"/>
      </w:r>
    </w:p>
    <w:p w14:paraId="297E3AAB">
      <w:pPr>
        <w:autoSpaceDE w:val="0"/>
        <w:autoSpaceDN w:val="0"/>
        <w:adjustRightInd w:val="0"/>
        <w:snapToGrid w:val="0"/>
        <w:spacing w:line="360" w:lineRule="auto"/>
        <w:jc w:val="left"/>
        <w:outlineLvl w:val="2"/>
        <w:rPr>
          <w:rFonts w:hint="eastAsia" w:ascii="宋体" w:hAnsi="宋体" w:cs="宋体"/>
          <w:snapToGrid w:val="0"/>
          <w:color w:val="000000" w:themeColor="text1"/>
          <w:kern w:val="0"/>
          <w:sz w:val="20"/>
          <w:szCs w:val="2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附表四：中选通知书</w:t>
      </w:r>
    </w:p>
    <w:p w14:paraId="6A9D8A76">
      <w:pPr>
        <w:autoSpaceDE w:val="0"/>
        <w:autoSpaceDN w:val="0"/>
        <w:adjustRightInd w:val="0"/>
        <w:snapToGrid w:val="0"/>
        <w:spacing w:line="360" w:lineRule="auto"/>
        <w:jc w:val="center"/>
        <w:rPr>
          <w:rFonts w:hint="eastAsia" w:ascii="宋体" w:hAnsi="宋体" w:cs="宋体"/>
          <w:b/>
          <w:snapToGrid w:val="0"/>
          <w:color w:val="000000" w:themeColor="text1"/>
          <w:w w:val="99"/>
          <w:kern w:val="0"/>
          <w:sz w:val="32"/>
          <w:szCs w:val="32"/>
          <w:highlight w:val="none"/>
          <w14:textFill>
            <w14:solidFill>
              <w14:schemeClr w14:val="tx1"/>
            </w14:solidFill>
          </w14:textFill>
        </w:rPr>
      </w:pPr>
    </w:p>
    <w:p w14:paraId="38D5B0A0">
      <w:pPr>
        <w:autoSpaceDE w:val="0"/>
        <w:autoSpaceDN w:val="0"/>
        <w:adjustRightInd w:val="0"/>
        <w:snapToGrid w:val="0"/>
        <w:spacing w:line="360" w:lineRule="auto"/>
        <w:jc w:val="center"/>
        <w:rPr>
          <w:rFonts w:hint="eastAsia" w:ascii="宋体" w:hAnsi="宋体" w:cs="宋体"/>
          <w:b/>
          <w:snapToGrid w:val="0"/>
          <w:color w:val="000000" w:themeColor="text1"/>
          <w:w w:val="99"/>
          <w:kern w:val="0"/>
          <w:sz w:val="32"/>
          <w:szCs w:val="32"/>
          <w:highlight w:val="none"/>
          <w14:textFill>
            <w14:solidFill>
              <w14:schemeClr w14:val="tx1"/>
            </w14:solidFill>
          </w14:textFill>
        </w:rPr>
      </w:pPr>
      <w:r>
        <w:rPr>
          <w:rFonts w:hint="eastAsia" w:ascii="宋体" w:hAnsi="宋体" w:cs="宋体"/>
          <w:b/>
          <w:snapToGrid w:val="0"/>
          <w:color w:val="000000" w:themeColor="text1"/>
          <w:w w:val="99"/>
          <w:kern w:val="0"/>
          <w:sz w:val="32"/>
          <w:szCs w:val="32"/>
          <w:highlight w:val="none"/>
          <w14:textFill>
            <w14:solidFill>
              <w14:schemeClr w14:val="tx1"/>
            </w14:solidFill>
          </w14:textFill>
        </w:rPr>
        <w:t>中选通知书</w:t>
      </w:r>
    </w:p>
    <w:p w14:paraId="78E5C935">
      <w:pPr>
        <w:autoSpaceDE w:val="0"/>
        <w:autoSpaceDN w:val="0"/>
        <w:adjustRightIn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2264E35A">
      <w:pPr>
        <w:spacing w:line="360" w:lineRule="auto"/>
        <w:rPr>
          <w:rFonts w:hint="eastAsia" w:ascii="宋体" w:hAnsi="宋体" w:cs="宋体"/>
          <w:bCs/>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中选单位</w:t>
      </w:r>
      <w:r>
        <w:rPr>
          <w:rFonts w:hint="eastAsia" w:ascii="宋体" w:hAnsi="宋体" w:cs="宋体"/>
          <w:bCs/>
          <w:color w:val="000000" w:themeColor="text1"/>
          <w:kern w:val="0"/>
          <w:szCs w:val="21"/>
          <w:highlight w:val="none"/>
          <w14:textFill>
            <w14:solidFill>
              <w14:schemeClr w14:val="tx1"/>
            </w14:solidFill>
          </w14:textFill>
        </w:rPr>
        <w:t>：</w:t>
      </w:r>
    </w:p>
    <w:p w14:paraId="1372B928">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我单位拟建的 于年月日进行竞争性比选，经评选委员会评定，确定你单位为中选人，中选暂定总价为</w:t>
      </w:r>
      <w:r>
        <w:rPr>
          <w:rFonts w:hint="eastAsia" w:ascii="宋体" w:hAnsi="宋体" w:cs="宋体"/>
          <w:bCs/>
          <w:color w:val="000000" w:themeColor="text1"/>
          <w:kern w:val="0"/>
          <w:szCs w:val="21"/>
          <w:highlight w:val="none"/>
          <w14:textFill>
            <w14:solidFill>
              <w14:schemeClr w14:val="tx1"/>
            </w14:solidFill>
          </w14:textFill>
        </w:rPr>
        <w:t xml:space="preserve"> ，取费折扣比例为，</w:t>
      </w:r>
      <w:r>
        <w:rPr>
          <w:rFonts w:hint="eastAsia" w:ascii="宋体" w:hAnsi="宋体" w:cs="宋体"/>
          <w:color w:val="000000" w:themeColor="text1"/>
          <w:kern w:val="0"/>
          <w:szCs w:val="21"/>
          <w:highlight w:val="none"/>
          <w14:textFill>
            <w14:solidFill>
              <w14:schemeClr w14:val="tx1"/>
            </w14:solidFill>
          </w14:textFill>
        </w:rPr>
        <w:t>中选项目范围：，工程规模为 ，中选服务期，质量要求：。</w:t>
      </w:r>
    </w:p>
    <w:p w14:paraId="3335F59E">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你单位收到中选通知书后，在 日内到我单位签订施工合同。</w:t>
      </w:r>
    </w:p>
    <w:p w14:paraId="381C902E">
      <w:pPr>
        <w:spacing w:line="360"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特此通知。</w:t>
      </w:r>
    </w:p>
    <w:p w14:paraId="3AD41020">
      <w:pPr>
        <w:spacing w:line="360" w:lineRule="auto"/>
        <w:rPr>
          <w:rFonts w:hint="eastAsia" w:ascii="宋体" w:hAnsi="宋体" w:cs="宋体"/>
          <w:color w:val="000000" w:themeColor="text1"/>
          <w:kern w:val="0"/>
          <w:sz w:val="24"/>
          <w:highlight w:val="none"/>
          <w14:textFill>
            <w14:solidFill>
              <w14:schemeClr w14:val="tx1"/>
            </w14:solidFill>
          </w14:textFill>
        </w:rPr>
      </w:pPr>
    </w:p>
    <w:p w14:paraId="747B662D">
      <w:pPr>
        <w:spacing w:line="360" w:lineRule="auto"/>
        <w:rPr>
          <w:rFonts w:hint="eastAsia" w:ascii="宋体" w:hAnsi="宋体" w:cs="宋体"/>
          <w:color w:val="000000" w:themeColor="text1"/>
          <w:kern w:val="0"/>
          <w:sz w:val="24"/>
          <w:highlight w:val="none"/>
          <w14:textFill>
            <w14:solidFill>
              <w14:schemeClr w14:val="tx1"/>
            </w14:solidFill>
          </w14:textFill>
        </w:rPr>
      </w:pPr>
    </w:p>
    <w:p w14:paraId="3D0BC249">
      <w:pPr>
        <w:spacing w:line="360" w:lineRule="auto"/>
        <w:rPr>
          <w:rFonts w:hint="eastAsia" w:ascii="宋体" w:hAnsi="宋体" w:cs="宋体"/>
          <w:color w:val="000000" w:themeColor="text1"/>
          <w:kern w:val="0"/>
          <w:sz w:val="24"/>
          <w:highlight w:val="none"/>
          <w14:textFill>
            <w14:solidFill>
              <w14:schemeClr w14:val="tx1"/>
            </w14:solidFill>
          </w14:textFill>
        </w:rPr>
      </w:pPr>
    </w:p>
    <w:p w14:paraId="072940C4">
      <w:pPr>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比选人</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盖单位公章</w:t>
      </w:r>
      <w:r>
        <w:rPr>
          <w:rFonts w:hint="eastAsia" w:ascii="宋体" w:hAnsi="宋体" w:cs="宋体"/>
          <w:color w:val="000000" w:themeColor="text1"/>
          <w:kern w:val="0"/>
          <w:szCs w:val="21"/>
          <w:highlight w:val="none"/>
          <w14:textFill>
            <w14:solidFill>
              <w14:schemeClr w14:val="tx1"/>
            </w14:solidFill>
          </w14:textFill>
        </w:rPr>
        <w:t>）</w:t>
      </w:r>
    </w:p>
    <w:p w14:paraId="54A6554D">
      <w:pPr>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比选代理机构：（</w:t>
      </w:r>
      <w:r>
        <w:rPr>
          <w:rFonts w:hint="eastAsia" w:ascii="宋体" w:hAnsi="宋体" w:cs="宋体"/>
          <w:snapToGrid w:val="0"/>
          <w:color w:val="000000" w:themeColor="text1"/>
          <w:kern w:val="0"/>
          <w:szCs w:val="21"/>
          <w:highlight w:val="none"/>
          <w14:textFill>
            <w14:solidFill>
              <w14:schemeClr w14:val="tx1"/>
            </w14:solidFill>
          </w14:textFill>
        </w:rPr>
        <w:t>盖单位公章</w:t>
      </w:r>
      <w:r>
        <w:rPr>
          <w:rFonts w:hint="eastAsia" w:ascii="宋体" w:hAnsi="宋体" w:cs="宋体"/>
          <w:color w:val="000000" w:themeColor="text1"/>
          <w:kern w:val="0"/>
          <w:szCs w:val="21"/>
          <w:highlight w:val="none"/>
          <w14:textFill>
            <w14:solidFill>
              <w14:schemeClr w14:val="tx1"/>
            </w14:solidFill>
          </w14:textFill>
        </w:rPr>
        <w:t xml:space="preserve">）                                    </w:t>
      </w:r>
    </w:p>
    <w:p w14:paraId="0C234A5C">
      <w:pPr>
        <w:spacing w:line="360" w:lineRule="auto"/>
        <w:ind w:firstLine="3780" w:firstLineChars="18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法定代表人</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（签字或盖章）</w:t>
      </w:r>
    </w:p>
    <w:p w14:paraId="40E867AA">
      <w:pPr>
        <w:spacing w:line="360" w:lineRule="auto"/>
        <w:jc w:val="left"/>
        <w:rPr>
          <w:rFonts w:hint="eastAsia"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联系人</w:t>
      </w:r>
      <w:r>
        <w:rPr>
          <w:rFonts w:hint="eastAsia" w:ascii="宋体" w:hAnsi="宋体" w:cs="宋体"/>
          <w:snapToGrid w:val="0"/>
          <w:color w:val="000000" w:themeColor="text1"/>
          <w:kern w:val="0"/>
          <w:szCs w:val="21"/>
          <w:highlight w:val="none"/>
          <w14:textFill>
            <w14:solidFill>
              <w14:schemeClr w14:val="tx1"/>
            </w14:solidFill>
          </w14:textFill>
        </w:rPr>
        <w:t>：</w:t>
      </w:r>
    </w:p>
    <w:p w14:paraId="2EDDC019">
      <w:pPr>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联系电话</w:t>
      </w:r>
      <w:r>
        <w:rPr>
          <w:rFonts w:hint="eastAsia" w:ascii="宋体" w:hAnsi="宋体" w:cs="宋体"/>
          <w:snapToGrid w:val="0"/>
          <w:color w:val="000000" w:themeColor="text1"/>
          <w:kern w:val="0"/>
          <w:szCs w:val="21"/>
          <w:highlight w:val="none"/>
          <w14:textFill>
            <w14:solidFill>
              <w14:schemeClr w14:val="tx1"/>
            </w14:solidFill>
          </w14:textFill>
        </w:rPr>
        <w:t>：</w:t>
      </w:r>
    </w:p>
    <w:p w14:paraId="0C1F42AC">
      <w:pPr>
        <w:spacing w:line="360" w:lineRule="auto"/>
        <w:ind w:firstLine="3780" w:firstLineChars="18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签发日期</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年月日</w:t>
      </w:r>
    </w:p>
    <w:p w14:paraId="264D6DD1">
      <w:pPr>
        <w:spacing w:line="360" w:lineRule="auto"/>
        <w:ind w:firstLine="883"/>
        <w:jc w:val="center"/>
        <w:rPr>
          <w:rFonts w:hint="eastAsia" w:ascii="宋体" w:hAnsi="宋体" w:cs="宋体"/>
          <w:color w:val="000000" w:themeColor="text1"/>
          <w:kern w:val="1"/>
          <w:highlight w:val="none"/>
          <w14:textFill>
            <w14:solidFill>
              <w14:schemeClr w14:val="tx1"/>
            </w14:solidFill>
          </w14:textFill>
        </w:rPr>
      </w:pPr>
      <w:bookmarkStart w:id="615" w:name="_Toc21320"/>
      <w:bookmarkStart w:id="616" w:name="_Toc29866"/>
    </w:p>
    <w:p w14:paraId="037AC0A6">
      <w:pPr>
        <w:spacing w:line="360" w:lineRule="auto"/>
        <w:ind w:firstLine="883"/>
        <w:jc w:val="center"/>
        <w:rPr>
          <w:rFonts w:hint="eastAsia" w:ascii="宋体" w:hAnsi="宋体" w:cs="宋体"/>
          <w:color w:val="000000" w:themeColor="text1"/>
          <w:kern w:val="1"/>
          <w:highlight w:val="none"/>
          <w14:textFill>
            <w14:solidFill>
              <w14:schemeClr w14:val="tx1"/>
            </w14:solidFill>
          </w14:textFill>
        </w:rPr>
      </w:pPr>
    </w:p>
    <w:p w14:paraId="173D4BFE">
      <w:pPr>
        <w:rPr>
          <w:rFonts w:hint="eastAsia" w:ascii="宋体" w:hAnsi="宋体" w:cs="宋体"/>
          <w:color w:val="000000" w:themeColor="text1"/>
          <w:kern w:val="1"/>
          <w:highlight w:val="none"/>
          <w14:textFill>
            <w14:solidFill>
              <w14:schemeClr w14:val="tx1"/>
            </w14:solidFill>
          </w14:textFill>
        </w:rPr>
      </w:pPr>
    </w:p>
    <w:p w14:paraId="2598FEC8">
      <w:pPr>
        <w:spacing w:line="360" w:lineRule="auto"/>
        <w:jc w:val="center"/>
        <w:rPr>
          <w:rFonts w:hint="eastAsia" w:ascii="宋体" w:hAnsi="宋体" w:cs="宋体"/>
          <w:color w:val="000000" w:themeColor="text1"/>
          <w:kern w:val="1"/>
          <w:highlight w:val="none"/>
          <w14:textFill>
            <w14:solidFill>
              <w14:schemeClr w14:val="tx1"/>
            </w14:solidFill>
          </w14:textFill>
        </w:rPr>
      </w:pPr>
    </w:p>
    <w:p w14:paraId="7972F846">
      <w:pPr>
        <w:rPr>
          <w:rFonts w:hint="eastAsia" w:ascii="宋体" w:hAnsi="宋体"/>
          <w:color w:val="000000" w:themeColor="text1"/>
          <w:highlight w:val="none"/>
          <w14:textFill>
            <w14:solidFill>
              <w14:schemeClr w14:val="tx1"/>
            </w14:solidFill>
          </w14:textFill>
        </w:rPr>
      </w:pPr>
    </w:p>
    <w:p w14:paraId="4AAB896B">
      <w:pPr>
        <w:rPr>
          <w:rFonts w:hint="eastAsia" w:ascii="宋体" w:hAnsi="宋体" w:cs="宋体"/>
          <w:color w:val="000000" w:themeColor="text1"/>
          <w:kern w:val="1"/>
          <w:highlight w:val="none"/>
          <w14:textFill>
            <w14:solidFill>
              <w14:schemeClr w14:val="tx1"/>
            </w14:solidFill>
          </w14:textFill>
        </w:rPr>
      </w:pPr>
    </w:p>
    <w:p w14:paraId="31C3AE9B">
      <w:pPr>
        <w:pStyle w:val="8"/>
        <w:rPr>
          <w:rFonts w:hint="eastAsia" w:ascii="宋体" w:hAnsi="宋体" w:cs="宋体"/>
          <w:color w:val="000000" w:themeColor="text1"/>
          <w:kern w:val="1"/>
          <w:highlight w:val="none"/>
          <w14:textFill>
            <w14:solidFill>
              <w14:schemeClr w14:val="tx1"/>
            </w14:solidFill>
          </w14:textFill>
        </w:rPr>
      </w:pPr>
    </w:p>
    <w:p w14:paraId="3B0E36E4">
      <w:pPr>
        <w:rPr>
          <w:rFonts w:hint="eastAsia" w:ascii="宋体" w:hAnsi="宋体"/>
          <w:color w:val="000000" w:themeColor="text1"/>
          <w:highlight w:val="none"/>
          <w14:textFill>
            <w14:solidFill>
              <w14:schemeClr w14:val="tx1"/>
            </w14:solidFill>
          </w14:textFill>
        </w:rPr>
      </w:pPr>
    </w:p>
    <w:p w14:paraId="2B5CA6B7">
      <w:pPr>
        <w:spacing w:line="360" w:lineRule="auto"/>
        <w:jc w:val="center"/>
        <w:rPr>
          <w:rFonts w:hint="eastAsia" w:ascii="宋体" w:hAnsi="宋体" w:cs="宋体"/>
          <w:color w:val="000000" w:themeColor="text1"/>
          <w:kern w:val="1"/>
          <w:highlight w:val="none"/>
          <w14:textFill>
            <w14:solidFill>
              <w14:schemeClr w14:val="tx1"/>
            </w14:solidFill>
          </w14:textFill>
        </w:rPr>
      </w:pPr>
    </w:p>
    <w:p w14:paraId="1C7484D0">
      <w:pPr>
        <w:pStyle w:val="8"/>
        <w:rPr>
          <w:rFonts w:hint="eastAsia" w:ascii="宋体" w:hAnsi="宋体" w:cs="宋体"/>
          <w:color w:val="000000" w:themeColor="text1"/>
          <w:kern w:val="1"/>
          <w:highlight w:val="none"/>
          <w14:textFill>
            <w14:solidFill>
              <w14:schemeClr w14:val="tx1"/>
            </w14:solidFill>
          </w14:textFill>
        </w:rPr>
      </w:pPr>
    </w:p>
    <w:p w14:paraId="3D17DA3B">
      <w:pPr>
        <w:rPr>
          <w:rFonts w:hint="eastAsia"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br w:type="page"/>
      </w:r>
    </w:p>
    <w:p w14:paraId="571BEBE3">
      <w:pPr>
        <w:pStyle w:val="2"/>
        <w:spacing w:line="360" w:lineRule="auto"/>
        <w:jc w:val="center"/>
        <w:rPr>
          <w:rFonts w:hint="eastAsia"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第三章  评选办法（综合评估法）</w:t>
      </w:r>
      <w:bookmarkEnd w:id="615"/>
      <w:bookmarkEnd w:id="616"/>
    </w:p>
    <w:p w14:paraId="6535573A">
      <w:pPr>
        <w:pStyle w:val="3"/>
        <w:spacing w:before="100" w:after="100"/>
        <w:rPr>
          <w:rFonts w:hint="eastAsia" w:ascii="宋体" w:hAnsi="宋体"/>
          <w:color w:val="000000" w:themeColor="text1"/>
          <w:highlight w:val="none"/>
          <w14:textFill>
            <w14:solidFill>
              <w14:schemeClr w14:val="tx1"/>
            </w14:solidFill>
          </w14:textFill>
        </w:rPr>
      </w:pPr>
      <w:bookmarkStart w:id="617" w:name="_Toc721"/>
      <w:bookmarkStart w:id="618" w:name="_Toc509218775"/>
      <w:bookmarkStart w:id="619" w:name="_Toc122515229"/>
      <w:bookmarkStart w:id="620" w:name="_Toc32462"/>
      <w:bookmarkStart w:id="621" w:name="_Toc29600"/>
      <w:r>
        <w:rPr>
          <w:rFonts w:hint="eastAsia" w:ascii="宋体" w:hAnsi="宋体"/>
          <w:color w:val="000000" w:themeColor="text1"/>
          <w:highlight w:val="none"/>
          <w14:textFill>
            <w14:solidFill>
              <w14:schemeClr w14:val="tx1"/>
            </w14:solidFill>
          </w14:textFill>
        </w:rPr>
        <w:t>评标办法前附表</w:t>
      </w:r>
      <w:bookmarkEnd w:id="617"/>
      <w:bookmarkEnd w:id="618"/>
      <w:bookmarkEnd w:id="619"/>
    </w:p>
    <w:p w14:paraId="4A603E43">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评标办法中的评审内容必须和竞选人须知中的对应内容一致，若竞选人须知中未作要求的内容，不得列入评标办法作为评定依据。</w:t>
      </w:r>
    </w:p>
    <w:tbl>
      <w:tblPr>
        <w:tblStyle w:val="29"/>
        <w:tblW w:w="988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08"/>
        <w:gridCol w:w="852"/>
        <w:gridCol w:w="2492"/>
        <w:gridCol w:w="5728"/>
      </w:tblGrid>
      <w:tr w14:paraId="7BE56B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60" w:type="dxa"/>
            <w:gridSpan w:val="2"/>
            <w:vAlign w:val="center"/>
          </w:tcPr>
          <w:p w14:paraId="69416349">
            <w:pPr>
              <w:spacing w:line="400" w:lineRule="exact"/>
              <w:jc w:val="center"/>
              <w:rPr>
                <w:rFonts w:hint="eastAsia"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条款号</w:t>
            </w:r>
          </w:p>
        </w:tc>
        <w:tc>
          <w:tcPr>
            <w:tcW w:w="2492" w:type="dxa"/>
            <w:vAlign w:val="center"/>
          </w:tcPr>
          <w:p w14:paraId="0C8AC449">
            <w:pPr>
              <w:spacing w:line="400" w:lineRule="exact"/>
              <w:jc w:val="center"/>
              <w:rPr>
                <w:rFonts w:hint="eastAsia"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评审因素</w:t>
            </w:r>
          </w:p>
        </w:tc>
        <w:tc>
          <w:tcPr>
            <w:tcW w:w="5728" w:type="dxa"/>
            <w:vAlign w:val="center"/>
          </w:tcPr>
          <w:p w14:paraId="4298D30D">
            <w:pPr>
              <w:spacing w:line="400" w:lineRule="exact"/>
              <w:jc w:val="center"/>
              <w:rPr>
                <w:rFonts w:hint="eastAsia"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评审标准</w:t>
            </w:r>
          </w:p>
        </w:tc>
      </w:tr>
      <w:tr w14:paraId="0FAD16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728" w:hRule="atLeast"/>
          <w:jc w:val="center"/>
        </w:trPr>
        <w:tc>
          <w:tcPr>
            <w:tcW w:w="808" w:type="dxa"/>
            <w:tcBorders>
              <w:right w:val="single" w:color="auto" w:sz="4" w:space="0"/>
            </w:tcBorders>
            <w:vAlign w:val="center"/>
          </w:tcPr>
          <w:p w14:paraId="2B671A4E">
            <w:pPr>
              <w:spacing w:line="400" w:lineRule="exact"/>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1</w:t>
            </w:r>
          </w:p>
        </w:tc>
        <w:tc>
          <w:tcPr>
            <w:tcW w:w="852" w:type="dxa"/>
            <w:tcBorders>
              <w:left w:val="single" w:color="auto" w:sz="4" w:space="0"/>
            </w:tcBorders>
            <w:vAlign w:val="center"/>
          </w:tcPr>
          <w:p w14:paraId="2D68FE46">
            <w:pPr>
              <w:spacing w:line="400" w:lineRule="exact"/>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评标办法</w:t>
            </w:r>
          </w:p>
        </w:tc>
        <w:tc>
          <w:tcPr>
            <w:tcW w:w="2492" w:type="dxa"/>
            <w:vAlign w:val="center"/>
          </w:tcPr>
          <w:p w14:paraId="2FEF9866">
            <w:pPr>
              <w:spacing w:line="400" w:lineRule="exact"/>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中标候选人排序方法</w:t>
            </w:r>
          </w:p>
        </w:tc>
        <w:tc>
          <w:tcPr>
            <w:tcW w:w="5728" w:type="dxa"/>
            <w:vAlign w:val="center"/>
          </w:tcPr>
          <w:p w14:paraId="15B65A26">
            <w:pP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本次评标采用综合评估法，评标委员会按照本章第 2.2 款规定的评分标准进行评分，按得分由高到低顺序推荐中标候选人，或根据招标人授权直接确定中选人。综合评分相等时，以报价低的优先；报价相等时以技术部分得分高的优先；技术部分得分相等的，，由评标委员会按照</w:t>
            </w:r>
            <w:r>
              <w:rPr>
                <w:rFonts w:hint="eastAsia" w:ascii="宋体" w:hAnsi="宋体"/>
                <w:color w:val="000000" w:themeColor="text1"/>
                <w:kern w:val="0"/>
                <w:highlight w:val="none"/>
                <w:u w:val="single"/>
                <w14:textFill>
                  <w14:solidFill>
                    <w14:schemeClr w14:val="tx1"/>
                  </w14:solidFill>
                </w14:textFill>
              </w:rPr>
              <w:t>资格审查资料中业绩金额较大的优先</w:t>
            </w:r>
            <w:r>
              <w:rPr>
                <w:rFonts w:hint="eastAsia" w:ascii="宋体" w:hAnsi="宋体"/>
                <w:color w:val="000000" w:themeColor="text1"/>
                <w:kern w:val="0"/>
                <w:highlight w:val="none"/>
                <w14:textFill>
                  <w14:solidFill>
                    <w14:schemeClr w14:val="tx1"/>
                  </w14:solidFill>
                </w14:textFill>
              </w:rPr>
              <w:t>原则排序。</w:t>
            </w:r>
          </w:p>
        </w:tc>
      </w:tr>
      <w:tr w14:paraId="37324A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808" w:type="dxa"/>
            <w:vMerge w:val="restart"/>
            <w:tcBorders>
              <w:right w:val="single" w:color="auto" w:sz="4" w:space="0"/>
            </w:tcBorders>
            <w:vAlign w:val="center"/>
          </w:tcPr>
          <w:p w14:paraId="7E37D8C4">
            <w:pPr>
              <w:spacing w:line="400" w:lineRule="exact"/>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2.1.</w:t>
            </w:r>
            <w:r>
              <w:rPr>
                <w:rFonts w:hint="eastAsia" w:ascii="宋体" w:hAnsi="宋体"/>
                <w:color w:val="000000" w:themeColor="text1"/>
                <w:kern w:val="0"/>
                <w:highlight w:val="none"/>
                <w14:textFill>
                  <w14:solidFill>
                    <w14:schemeClr w14:val="tx1"/>
                  </w14:solidFill>
                </w14:textFill>
              </w:rPr>
              <w:t>1</w:t>
            </w:r>
          </w:p>
        </w:tc>
        <w:tc>
          <w:tcPr>
            <w:tcW w:w="852" w:type="dxa"/>
            <w:vMerge w:val="restart"/>
            <w:tcBorders>
              <w:right w:val="single" w:color="auto" w:sz="4" w:space="0"/>
            </w:tcBorders>
            <w:vAlign w:val="center"/>
          </w:tcPr>
          <w:p w14:paraId="3F83C80C">
            <w:pPr>
              <w:spacing w:line="400" w:lineRule="exact"/>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资格评审标准</w:t>
            </w:r>
          </w:p>
        </w:tc>
        <w:tc>
          <w:tcPr>
            <w:tcW w:w="2492" w:type="dxa"/>
            <w:tcBorders>
              <w:left w:val="single" w:color="auto" w:sz="4" w:space="0"/>
            </w:tcBorders>
            <w:vAlign w:val="center"/>
          </w:tcPr>
          <w:p w14:paraId="3D9E3D1D">
            <w:pPr>
              <w:spacing w:line="400" w:lineRule="exact"/>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营业执照</w:t>
            </w:r>
          </w:p>
        </w:tc>
        <w:tc>
          <w:tcPr>
            <w:tcW w:w="5728" w:type="dxa"/>
            <w:vAlign w:val="center"/>
          </w:tcPr>
          <w:p w14:paraId="7A9B69AF">
            <w:pP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符合第二章“竞选人须知”第1.4.1项规定</w:t>
            </w:r>
          </w:p>
        </w:tc>
      </w:tr>
      <w:tr w14:paraId="333929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1F6E2C71">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60ABBB13">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492" w:type="dxa"/>
            <w:tcBorders>
              <w:left w:val="single" w:color="auto" w:sz="4" w:space="0"/>
            </w:tcBorders>
            <w:vAlign w:val="center"/>
          </w:tcPr>
          <w:p w14:paraId="3734A171">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财务</w:t>
            </w:r>
            <w:r>
              <w:rPr>
                <w:rFonts w:hint="eastAsia" w:ascii="宋体" w:hAnsi="宋体"/>
                <w:color w:val="000000" w:themeColor="text1"/>
                <w:kern w:val="0"/>
                <w:highlight w:val="none"/>
                <w14:textFill>
                  <w14:solidFill>
                    <w14:schemeClr w14:val="tx1"/>
                  </w14:solidFill>
                </w14:textFill>
              </w:rPr>
              <w:t>要求</w:t>
            </w:r>
          </w:p>
        </w:tc>
        <w:tc>
          <w:tcPr>
            <w:tcW w:w="5728" w:type="dxa"/>
            <w:vAlign w:val="center"/>
          </w:tcPr>
          <w:p w14:paraId="79224836">
            <w:pP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符合第二章“竞选人须知”第1.4.1项规定</w:t>
            </w:r>
          </w:p>
        </w:tc>
      </w:tr>
      <w:tr w14:paraId="468D37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32F99393">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2B9F4F36">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492" w:type="dxa"/>
            <w:tcBorders>
              <w:left w:val="single" w:color="auto" w:sz="4" w:space="0"/>
            </w:tcBorders>
            <w:vAlign w:val="center"/>
          </w:tcPr>
          <w:p w14:paraId="19AE982C">
            <w:pPr>
              <w:spacing w:line="400" w:lineRule="exact"/>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业绩要求</w:t>
            </w:r>
          </w:p>
        </w:tc>
        <w:tc>
          <w:tcPr>
            <w:tcW w:w="5728" w:type="dxa"/>
            <w:vAlign w:val="center"/>
          </w:tcPr>
          <w:p w14:paraId="5A108362">
            <w:pP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符合第二章“竞选人须知”第1.4.1项规定</w:t>
            </w:r>
          </w:p>
        </w:tc>
      </w:tr>
      <w:tr w14:paraId="3B78FE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329D78A2">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5E29ACB3">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492" w:type="dxa"/>
            <w:tcBorders>
              <w:left w:val="single" w:color="auto" w:sz="4" w:space="0"/>
            </w:tcBorders>
          </w:tcPr>
          <w:p w14:paraId="7FD344A9">
            <w:pPr>
              <w:spacing w:line="400" w:lineRule="exact"/>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比选截止日比选资格情况</w:t>
            </w:r>
          </w:p>
        </w:tc>
        <w:tc>
          <w:tcPr>
            <w:tcW w:w="5728" w:type="dxa"/>
            <w:vAlign w:val="center"/>
          </w:tcPr>
          <w:p w14:paraId="66FE0E57">
            <w:pP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符合第二章“竞选人须知”第1.4.1项规定</w:t>
            </w:r>
          </w:p>
        </w:tc>
      </w:tr>
      <w:tr w14:paraId="0CFCE6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2BCF9309">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554885BA">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492" w:type="dxa"/>
            <w:tcBorders>
              <w:left w:val="single" w:color="auto" w:sz="4" w:space="0"/>
            </w:tcBorders>
          </w:tcPr>
          <w:p w14:paraId="5A3F1905">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拟派项目人员</w:t>
            </w:r>
          </w:p>
        </w:tc>
        <w:tc>
          <w:tcPr>
            <w:tcW w:w="5728" w:type="dxa"/>
            <w:vAlign w:val="center"/>
          </w:tcPr>
          <w:p w14:paraId="41AFB699">
            <w:pP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符合第二章“竞选人须知”第1.4.1项规定</w:t>
            </w:r>
          </w:p>
        </w:tc>
      </w:tr>
      <w:tr w14:paraId="67C327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restart"/>
            <w:tcBorders>
              <w:right w:val="single" w:color="auto" w:sz="4" w:space="0"/>
            </w:tcBorders>
            <w:vAlign w:val="center"/>
          </w:tcPr>
          <w:p w14:paraId="5D368F30">
            <w:pPr>
              <w:spacing w:line="400" w:lineRule="exact"/>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2.1.</w:t>
            </w:r>
            <w:r>
              <w:rPr>
                <w:rFonts w:hint="eastAsia" w:ascii="宋体" w:hAnsi="宋体"/>
                <w:color w:val="000000" w:themeColor="text1"/>
                <w:kern w:val="0"/>
                <w:highlight w:val="none"/>
                <w14:textFill>
                  <w14:solidFill>
                    <w14:schemeClr w14:val="tx1"/>
                  </w14:solidFill>
                </w14:textFill>
              </w:rPr>
              <w:t>2</w:t>
            </w:r>
          </w:p>
        </w:tc>
        <w:tc>
          <w:tcPr>
            <w:tcW w:w="852" w:type="dxa"/>
            <w:vMerge w:val="restart"/>
            <w:tcBorders>
              <w:right w:val="single" w:color="auto" w:sz="4" w:space="0"/>
            </w:tcBorders>
            <w:vAlign w:val="center"/>
          </w:tcPr>
          <w:p w14:paraId="11201A61">
            <w:pPr>
              <w:spacing w:line="400" w:lineRule="exact"/>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形式评审标准</w:t>
            </w:r>
          </w:p>
        </w:tc>
        <w:tc>
          <w:tcPr>
            <w:tcW w:w="2492" w:type="dxa"/>
            <w:tcBorders>
              <w:left w:val="single" w:color="auto" w:sz="4" w:space="0"/>
            </w:tcBorders>
            <w:vAlign w:val="center"/>
          </w:tcPr>
          <w:p w14:paraId="17A0AAF8">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竞选人名称</w:t>
            </w:r>
          </w:p>
        </w:tc>
        <w:tc>
          <w:tcPr>
            <w:tcW w:w="5728" w:type="dxa"/>
            <w:vAlign w:val="center"/>
          </w:tcPr>
          <w:p w14:paraId="09CBBA9F">
            <w:pPr>
              <w:spacing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与营业执照、资质证书一致</w:t>
            </w:r>
            <w:r>
              <w:rPr>
                <w:rFonts w:hint="eastAsia" w:ascii="宋体" w:hAnsi="宋体"/>
                <w:color w:val="000000" w:themeColor="text1"/>
                <w:kern w:val="0"/>
                <w:highlight w:val="none"/>
                <w14:textFill>
                  <w14:solidFill>
                    <w14:schemeClr w14:val="tx1"/>
                  </w14:solidFill>
                </w14:textFill>
              </w:rPr>
              <w:t>，依法变更名称的应提交相应证明材料</w:t>
            </w:r>
            <w:r>
              <w:rPr>
                <w:rFonts w:ascii="宋体" w:hAnsi="宋体"/>
                <w:color w:val="000000" w:themeColor="text1"/>
                <w:kern w:val="0"/>
                <w:highlight w:val="none"/>
                <w14:textFill>
                  <w14:solidFill>
                    <w14:schemeClr w14:val="tx1"/>
                  </w14:solidFill>
                </w14:textFill>
              </w:rPr>
              <w:t>。</w:t>
            </w:r>
          </w:p>
        </w:tc>
      </w:tr>
      <w:tr w14:paraId="617935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14:paraId="44BCF309">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1FC482A7">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492" w:type="dxa"/>
            <w:tcBorders>
              <w:left w:val="single" w:color="auto" w:sz="4" w:space="0"/>
            </w:tcBorders>
            <w:vAlign w:val="center"/>
          </w:tcPr>
          <w:p w14:paraId="50D5071A">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竞选文件格式</w:t>
            </w:r>
          </w:p>
        </w:tc>
        <w:tc>
          <w:tcPr>
            <w:tcW w:w="5728" w:type="dxa"/>
            <w:vAlign w:val="center"/>
          </w:tcPr>
          <w:p w14:paraId="177E4066">
            <w:pPr>
              <w:spacing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w:t>
            </w:r>
            <w:r>
              <w:rPr>
                <w:rFonts w:hint="eastAsia" w:ascii="宋体" w:hAnsi="宋体"/>
                <w:color w:val="000000" w:themeColor="text1"/>
                <w:kern w:val="0"/>
                <w:highlight w:val="none"/>
                <w14:textFill>
                  <w14:solidFill>
                    <w14:schemeClr w14:val="tx1"/>
                  </w14:solidFill>
                </w14:textFill>
              </w:rPr>
              <w:t>二</w:t>
            </w:r>
            <w:r>
              <w:rPr>
                <w:rFonts w:ascii="宋体" w:hAnsi="宋体"/>
                <w:color w:val="000000" w:themeColor="text1"/>
                <w:kern w:val="0"/>
                <w:highlight w:val="none"/>
                <w14:textFill>
                  <w14:solidFill>
                    <w14:schemeClr w14:val="tx1"/>
                  </w14:solidFill>
                </w14:textFill>
              </w:rPr>
              <w:t>章“竞选人</w:t>
            </w:r>
            <w:r>
              <w:rPr>
                <w:rFonts w:hint="eastAsia" w:ascii="宋体" w:hAnsi="宋体"/>
                <w:color w:val="000000" w:themeColor="text1"/>
                <w:kern w:val="0"/>
                <w:highlight w:val="none"/>
                <w14:textFill>
                  <w14:solidFill>
                    <w14:schemeClr w14:val="tx1"/>
                  </w14:solidFill>
                </w14:textFill>
              </w:rPr>
              <w:t>须知</w:t>
            </w:r>
            <w:r>
              <w:rPr>
                <w:rFonts w:ascii="宋体" w:hAns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第3.7款</w:t>
            </w:r>
            <w:r>
              <w:rPr>
                <w:rFonts w:ascii="宋体" w:hAnsi="宋体"/>
                <w:color w:val="000000" w:themeColor="text1"/>
                <w:kern w:val="0"/>
                <w:highlight w:val="none"/>
                <w14:textFill>
                  <w14:solidFill>
                    <w14:schemeClr w14:val="tx1"/>
                  </w14:solidFill>
                </w14:textFill>
              </w:rPr>
              <w:t>的要求</w:t>
            </w:r>
            <w:r>
              <w:rPr>
                <w:rFonts w:hint="eastAsia" w:ascii="宋体" w:hAnsi="宋体"/>
                <w:color w:val="000000" w:themeColor="text1"/>
                <w:kern w:val="0"/>
                <w:highlight w:val="none"/>
                <w14:textFill>
                  <w14:solidFill>
                    <w14:schemeClr w14:val="tx1"/>
                  </w14:solidFill>
                </w14:textFill>
              </w:rPr>
              <w:t>（不含竞选函部分）</w:t>
            </w:r>
            <w:r>
              <w:rPr>
                <w:rFonts w:ascii="宋体" w:hAnsi="宋体"/>
                <w:color w:val="000000" w:themeColor="text1"/>
                <w:kern w:val="0"/>
                <w:highlight w:val="none"/>
                <w14:textFill>
                  <w14:solidFill>
                    <w14:schemeClr w14:val="tx1"/>
                  </w14:solidFill>
                </w14:textFill>
              </w:rPr>
              <w:t>。</w:t>
            </w:r>
          </w:p>
        </w:tc>
      </w:tr>
      <w:tr w14:paraId="642FFD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71" w:hRule="atLeast"/>
          <w:jc w:val="center"/>
        </w:trPr>
        <w:tc>
          <w:tcPr>
            <w:tcW w:w="808" w:type="dxa"/>
            <w:vMerge w:val="continue"/>
            <w:tcBorders>
              <w:right w:val="single" w:color="auto" w:sz="4" w:space="0"/>
            </w:tcBorders>
          </w:tcPr>
          <w:p w14:paraId="01FD2BA0">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687F5C42">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492" w:type="dxa"/>
            <w:tcBorders>
              <w:left w:val="single" w:color="auto" w:sz="4" w:space="0"/>
            </w:tcBorders>
            <w:vAlign w:val="center"/>
          </w:tcPr>
          <w:p w14:paraId="79034696">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竞选文件的签署</w:t>
            </w:r>
          </w:p>
        </w:tc>
        <w:tc>
          <w:tcPr>
            <w:tcW w:w="5728" w:type="dxa"/>
            <w:vAlign w:val="center"/>
          </w:tcPr>
          <w:p w14:paraId="0DB7EDF1">
            <w:pPr>
              <w:spacing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 xml:space="preserve">第六章 </w:t>
            </w:r>
            <w:r>
              <w:rPr>
                <w:rFonts w:ascii="宋体" w:hAnsi="宋体"/>
                <w:color w:val="000000" w:themeColor="text1"/>
                <w:kern w:val="0"/>
                <w:highlight w:val="none"/>
                <w14:textFill>
                  <w14:solidFill>
                    <w14:schemeClr w14:val="tx1"/>
                  </w14:solidFill>
                </w14:textFill>
              </w:rPr>
              <w:t>竞选文件</w:t>
            </w:r>
            <w:r>
              <w:rPr>
                <w:rFonts w:hint="eastAsia" w:ascii="宋体" w:hAnsi="宋体"/>
                <w:color w:val="000000" w:themeColor="text1"/>
                <w:kern w:val="0"/>
                <w:highlight w:val="none"/>
                <w14:textFill>
                  <w14:solidFill>
                    <w14:schemeClr w14:val="tx1"/>
                  </w14:solidFill>
                </w14:textFill>
              </w:rPr>
              <w:t>格式（不含竞选函部分）要求</w:t>
            </w:r>
            <w:r>
              <w:rPr>
                <w:rFonts w:ascii="宋体" w:hAnsi="宋体"/>
                <w:color w:val="000000" w:themeColor="text1"/>
                <w:kern w:val="0"/>
                <w:highlight w:val="none"/>
                <w14:textFill>
                  <w14:solidFill>
                    <w14:schemeClr w14:val="tx1"/>
                  </w14:solidFill>
                </w14:textFill>
              </w:rPr>
              <w:t>法定代表人或其委托代理人</w:t>
            </w:r>
            <w:r>
              <w:rPr>
                <w:rFonts w:hint="eastAsia" w:ascii="宋体" w:hAnsi="宋体"/>
                <w:color w:val="000000" w:themeColor="text1"/>
                <w:kern w:val="0"/>
                <w:highlight w:val="none"/>
                <w14:textFill>
                  <w14:solidFill>
                    <w14:schemeClr w14:val="tx1"/>
                  </w14:solidFill>
                </w14:textFill>
              </w:rPr>
              <w:t>签名</w:t>
            </w:r>
            <w:r>
              <w:rPr>
                <w:rFonts w:ascii="宋体" w:hAnsi="宋体"/>
                <w:color w:val="000000" w:themeColor="text1"/>
                <w:kern w:val="0"/>
                <w:highlight w:val="none"/>
                <w14:textFill>
                  <w14:solidFill>
                    <w14:schemeClr w14:val="tx1"/>
                  </w14:solidFill>
                </w14:textFill>
              </w:rPr>
              <w:t>（或盖章）</w:t>
            </w:r>
            <w:r>
              <w:rPr>
                <w:rFonts w:hint="eastAsia" w:ascii="宋体" w:hAnsi="宋体"/>
                <w:color w:val="000000" w:themeColor="text1"/>
                <w:kern w:val="0"/>
                <w:highlight w:val="none"/>
                <w14:textFill>
                  <w14:solidFill>
                    <w14:schemeClr w14:val="tx1"/>
                  </w14:solidFill>
                </w14:textFill>
              </w:rPr>
              <w:t>的须</w:t>
            </w:r>
            <w:r>
              <w:rPr>
                <w:rFonts w:ascii="宋体" w:hAnsi="宋体"/>
                <w:color w:val="000000" w:themeColor="text1"/>
                <w:kern w:val="0"/>
                <w:highlight w:val="none"/>
                <w14:textFill>
                  <w14:solidFill>
                    <w14:schemeClr w14:val="tx1"/>
                  </w14:solidFill>
                </w14:textFill>
              </w:rPr>
              <w:t>齐全。</w:t>
            </w:r>
            <w:r>
              <w:rPr>
                <w:rFonts w:hint="eastAsia" w:ascii="宋体" w:hAnsi="宋体"/>
                <w:color w:val="000000" w:themeColor="text1"/>
                <w:szCs w:val="21"/>
                <w:highlight w:val="none"/>
                <w14:textFill>
                  <w14:solidFill>
                    <w14:schemeClr w14:val="tx1"/>
                  </w14:solidFill>
                </w14:textFill>
              </w:rPr>
              <w:t>要求签名的，</w:t>
            </w:r>
            <w:r>
              <w:rPr>
                <w:rFonts w:hint="eastAsia" w:ascii="宋体" w:hAnsi="宋体"/>
                <w:color w:val="000000" w:themeColor="text1"/>
                <w:kern w:val="0"/>
                <w:highlight w:val="none"/>
                <w14:textFill>
                  <w14:solidFill>
                    <w14:schemeClr w14:val="tx1"/>
                  </w14:solidFill>
                </w14:textFill>
              </w:rPr>
              <w:t>签名采用手写签名</w:t>
            </w:r>
            <w:r>
              <w:rPr>
                <w:rFonts w:hint="eastAsia" w:ascii="宋体" w:hAnsi="宋体"/>
                <w:color w:val="000000" w:themeColor="text1"/>
                <w:szCs w:val="21"/>
                <w:highlight w:val="none"/>
                <w14:textFill>
                  <w14:solidFill>
                    <w14:schemeClr w14:val="tx1"/>
                  </w14:solidFill>
                </w14:textFill>
              </w:rPr>
              <w:t>或签章</w:t>
            </w:r>
            <w:r>
              <w:rPr>
                <w:rFonts w:hint="eastAsia" w:ascii="宋体" w:hAnsi="宋体"/>
                <w:color w:val="000000" w:themeColor="text1"/>
                <w:kern w:val="0"/>
                <w:highlight w:val="none"/>
                <w14:textFill>
                  <w14:solidFill>
                    <w14:schemeClr w14:val="tx1"/>
                  </w14:solidFill>
                </w14:textFill>
              </w:rPr>
              <w:t>均可。</w:t>
            </w:r>
          </w:p>
        </w:tc>
      </w:tr>
      <w:tr w14:paraId="1C662F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14:paraId="20177EDA">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406A2F29">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492" w:type="dxa"/>
            <w:tcBorders>
              <w:left w:val="single" w:color="auto" w:sz="4" w:space="0"/>
            </w:tcBorders>
            <w:vAlign w:val="center"/>
          </w:tcPr>
          <w:p w14:paraId="44A01A0D">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委托代理人</w:t>
            </w:r>
          </w:p>
        </w:tc>
        <w:tc>
          <w:tcPr>
            <w:tcW w:w="5728" w:type="dxa"/>
            <w:vAlign w:val="center"/>
          </w:tcPr>
          <w:p w14:paraId="4D143C9D">
            <w:pPr>
              <w:spacing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竞选人法定代表人的委托代理人有法定代表人签署的授权委托书</w:t>
            </w:r>
            <w:r>
              <w:rPr>
                <w:rFonts w:hint="eastAsia" w:ascii="宋体" w:hAnsi="宋体"/>
                <w:color w:val="000000" w:themeColor="text1"/>
                <w:kern w:val="0"/>
                <w:highlight w:val="none"/>
                <w14:textFill>
                  <w14:solidFill>
                    <w14:schemeClr w14:val="tx1"/>
                  </w14:solidFill>
                </w14:textFill>
              </w:rPr>
              <w:t>。</w:t>
            </w:r>
          </w:p>
        </w:tc>
      </w:tr>
      <w:tr w14:paraId="6656A0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14:paraId="17333AC8">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2362CF25">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492" w:type="dxa"/>
            <w:tcBorders>
              <w:left w:val="single" w:color="auto" w:sz="4" w:space="0"/>
            </w:tcBorders>
            <w:vAlign w:val="center"/>
          </w:tcPr>
          <w:p w14:paraId="20B172AB">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备选投标方案</w:t>
            </w:r>
          </w:p>
        </w:tc>
        <w:tc>
          <w:tcPr>
            <w:tcW w:w="5728" w:type="dxa"/>
            <w:vAlign w:val="center"/>
          </w:tcPr>
          <w:p w14:paraId="5288D4C0">
            <w:pPr>
              <w:spacing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除竞争性比选明确允许提交备选投标方案外，竞选人不得提交备选投标方案</w:t>
            </w:r>
          </w:p>
        </w:tc>
      </w:tr>
      <w:tr w14:paraId="51C2CB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808" w:type="dxa"/>
            <w:vMerge w:val="restart"/>
            <w:vAlign w:val="center"/>
          </w:tcPr>
          <w:p w14:paraId="24502F38">
            <w:pPr>
              <w:spacing w:line="400" w:lineRule="exact"/>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2.1.</w:t>
            </w:r>
            <w:r>
              <w:rPr>
                <w:rFonts w:hint="eastAsia" w:ascii="宋体" w:hAnsi="宋体"/>
                <w:color w:val="000000" w:themeColor="text1"/>
                <w:kern w:val="0"/>
                <w:highlight w:val="none"/>
                <w14:textFill>
                  <w14:solidFill>
                    <w14:schemeClr w14:val="tx1"/>
                  </w14:solidFill>
                </w14:textFill>
              </w:rPr>
              <w:t>3</w:t>
            </w:r>
          </w:p>
        </w:tc>
        <w:tc>
          <w:tcPr>
            <w:tcW w:w="852" w:type="dxa"/>
            <w:vMerge w:val="restart"/>
            <w:vAlign w:val="center"/>
          </w:tcPr>
          <w:p w14:paraId="3330463F">
            <w:pPr>
              <w:spacing w:line="400" w:lineRule="exact"/>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响应性</w:t>
            </w:r>
            <w:r>
              <w:rPr>
                <w:rFonts w:ascii="宋体" w:hAnsi="宋体"/>
                <w:color w:val="000000" w:themeColor="text1"/>
                <w:kern w:val="0"/>
                <w:highlight w:val="none"/>
                <w14:textFill>
                  <w14:solidFill>
                    <w14:schemeClr w14:val="tx1"/>
                  </w14:solidFill>
                </w14:textFill>
              </w:rPr>
              <w:t>评审标准</w:t>
            </w:r>
          </w:p>
        </w:tc>
        <w:tc>
          <w:tcPr>
            <w:tcW w:w="2492" w:type="dxa"/>
            <w:vAlign w:val="center"/>
          </w:tcPr>
          <w:p w14:paraId="5E039CA0">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投标内容</w:t>
            </w:r>
          </w:p>
        </w:tc>
        <w:tc>
          <w:tcPr>
            <w:tcW w:w="5728" w:type="dxa"/>
            <w:vAlign w:val="center"/>
          </w:tcPr>
          <w:p w14:paraId="4B9C99BD">
            <w:pP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符合第二章“竞选人须知”第1.3.1项规定</w:t>
            </w:r>
          </w:p>
        </w:tc>
      </w:tr>
      <w:tr w14:paraId="69496C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808" w:type="dxa"/>
            <w:vMerge w:val="continue"/>
            <w:vAlign w:val="center"/>
          </w:tcPr>
          <w:p w14:paraId="3915AB32">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852" w:type="dxa"/>
            <w:vMerge w:val="continue"/>
            <w:textDirection w:val="tbRlV"/>
            <w:vAlign w:val="center"/>
          </w:tcPr>
          <w:p w14:paraId="0F55792E">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492" w:type="dxa"/>
            <w:tcBorders>
              <w:top w:val="single" w:color="auto" w:sz="4" w:space="0"/>
            </w:tcBorders>
            <w:vAlign w:val="center"/>
          </w:tcPr>
          <w:p w14:paraId="5D168F49">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投标保证金</w:t>
            </w:r>
          </w:p>
        </w:tc>
        <w:tc>
          <w:tcPr>
            <w:tcW w:w="5728" w:type="dxa"/>
            <w:vAlign w:val="center"/>
          </w:tcPr>
          <w:p w14:paraId="4583B87D">
            <w:pPr>
              <w:tabs>
                <w:tab w:val="left" w:pos="601"/>
                <w:tab w:val="left" w:pos="669"/>
              </w:tabs>
              <w:snapToGrid w:val="0"/>
              <w:spacing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符合第二章“竞选人须知”</w:t>
            </w:r>
            <w:r>
              <w:rPr>
                <w:rFonts w:ascii="宋体" w:hAnsi="宋体"/>
                <w:color w:val="000000" w:themeColor="text1"/>
                <w:kern w:val="0"/>
                <w:szCs w:val="21"/>
                <w:highlight w:val="none"/>
                <w14:textFill>
                  <w14:solidFill>
                    <w14:schemeClr w14:val="tx1"/>
                  </w14:solidFill>
                </w14:textFill>
              </w:rPr>
              <w:t>第3.4</w:t>
            </w:r>
            <w:r>
              <w:rPr>
                <w:rFonts w:hint="eastAsia" w:ascii="宋体" w:hAnsi="宋体"/>
                <w:color w:val="000000" w:themeColor="text1"/>
                <w:kern w:val="0"/>
                <w:szCs w:val="21"/>
                <w:highlight w:val="none"/>
                <w14:textFill>
                  <w14:solidFill>
                    <w14:schemeClr w14:val="tx1"/>
                  </w14:solidFill>
                </w14:textFill>
              </w:rPr>
              <w:t>.1项</w:t>
            </w:r>
            <w:r>
              <w:rPr>
                <w:rFonts w:ascii="宋体" w:hAnsi="宋体"/>
                <w:color w:val="000000" w:themeColor="text1"/>
                <w:kern w:val="0"/>
                <w:highlight w:val="none"/>
                <w14:textFill>
                  <w14:solidFill>
                    <w14:schemeClr w14:val="tx1"/>
                  </w14:solidFill>
                </w14:textFill>
              </w:rPr>
              <w:t>规定</w:t>
            </w:r>
          </w:p>
        </w:tc>
      </w:tr>
      <w:tr w14:paraId="70127C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453" w:hRule="atLeast"/>
          <w:jc w:val="center"/>
        </w:trPr>
        <w:tc>
          <w:tcPr>
            <w:tcW w:w="808" w:type="dxa"/>
            <w:vMerge w:val="continue"/>
          </w:tcPr>
          <w:p w14:paraId="40D44337">
            <w:pPr>
              <w:spacing w:line="400" w:lineRule="exact"/>
              <w:jc w:val="center"/>
              <w:rPr>
                <w:rFonts w:hint="eastAsia" w:ascii="宋体" w:hAnsi="宋体"/>
                <w:color w:val="000000" w:themeColor="text1"/>
                <w:highlight w:val="none"/>
                <w14:textFill>
                  <w14:solidFill>
                    <w14:schemeClr w14:val="tx1"/>
                  </w14:solidFill>
                </w14:textFill>
              </w:rPr>
            </w:pPr>
          </w:p>
        </w:tc>
        <w:tc>
          <w:tcPr>
            <w:tcW w:w="852" w:type="dxa"/>
            <w:vMerge w:val="continue"/>
          </w:tcPr>
          <w:p w14:paraId="2A237138">
            <w:pPr>
              <w:spacing w:line="400" w:lineRule="exact"/>
              <w:jc w:val="center"/>
              <w:rPr>
                <w:rFonts w:hint="eastAsia" w:ascii="宋体" w:hAnsi="宋体"/>
                <w:color w:val="000000" w:themeColor="text1"/>
                <w:highlight w:val="none"/>
                <w14:textFill>
                  <w14:solidFill>
                    <w14:schemeClr w14:val="tx1"/>
                  </w14:solidFill>
                </w14:textFill>
              </w:rPr>
            </w:pPr>
          </w:p>
        </w:tc>
        <w:tc>
          <w:tcPr>
            <w:tcW w:w="2492" w:type="dxa"/>
            <w:vAlign w:val="center"/>
          </w:tcPr>
          <w:p w14:paraId="2CBB3BD3">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权利义务</w:t>
            </w:r>
          </w:p>
        </w:tc>
        <w:tc>
          <w:tcPr>
            <w:tcW w:w="5728" w:type="dxa"/>
            <w:vAlign w:val="center"/>
          </w:tcPr>
          <w:p w14:paraId="25F2D643">
            <w:pPr>
              <w:spacing w:after="62" w:afterLines="20"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符合第四章“合同条款及格式”规定，</w:t>
            </w:r>
            <w:r>
              <w:rPr>
                <w:rFonts w:hint="eastAsia" w:ascii="宋体" w:hAnsi="宋体"/>
                <w:color w:val="000000" w:themeColor="text1"/>
                <w:kern w:val="0"/>
                <w:highlight w:val="none"/>
                <w14:textFill>
                  <w14:solidFill>
                    <w14:schemeClr w14:val="tx1"/>
                  </w14:solidFill>
                </w14:textFill>
              </w:rPr>
              <w:t>竞选文件</w:t>
            </w:r>
            <w:r>
              <w:rPr>
                <w:rFonts w:ascii="宋体" w:hAnsi="宋体"/>
                <w:color w:val="000000" w:themeColor="text1"/>
                <w:kern w:val="0"/>
                <w:highlight w:val="none"/>
                <w14:textFill>
                  <w14:solidFill>
                    <w14:schemeClr w14:val="tx1"/>
                  </w14:solidFill>
                </w14:textFill>
              </w:rPr>
              <w:t>不应附有</w:t>
            </w:r>
            <w:r>
              <w:rPr>
                <w:rFonts w:hint="eastAsia" w:ascii="宋体" w:hAnsi="宋体"/>
                <w:color w:val="000000" w:themeColor="text1"/>
                <w:kern w:val="0"/>
                <w:highlight w:val="none"/>
                <w14:textFill>
                  <w14:solidFill>
                    <w14:schemeClr w14:val="tx1"/>
                  </w14:solidFill>
                </w14:textFill>
              </w:rPr>
              <w:t>比选人</w:t>
            </w:r>
            <w:r>
              <w:rPr>
                <w:rFonts w:ascii="宋体" w:hAnsi="宋体"/>
                <w:color w:val="000000" w:themeColor="text1"/>
                <w:kern w:val="0"/>
                <w:highlight w:val="none"/>
                <w14:textFill>
                  <w14:solidFill>
                    <w14:schemeClr w14:val="tx1"/>
                  </w14:solidFill>
                </w14:textFill>
              </w:rPr>
              <w:t>不能接受的条件。</w:t>
            </w:r>
            <w:r>
              <w:rPr>
                <w:rFonts w:hint="eastAsia" w:ascii="宋体" w:hAnsi="宋体" w:cs="宋体"/>
                <w:color w:val="000000" w:themeColor="text1"/>
                <w:kern w:val="0"/>
                <w:highlight w:val="none"/>
                <w14:textFill>
                  <w14:solidFill>
                    <w14:schemeClr w14:val="tx1"/>
                  </w14:solidFill>
                </w14:textFill>
              </w:rPr>
              <w:t>（由竞选人承诺，承诺书格式详见第六章竞选文件格式。）</w:t>
            </w:r>
          </w:p>
        </w:tc>
      </w:tr>
      <w:tr w14:paraId="60DE78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544" w:hRule="atLeast"/>
          <w:jc w:val="center"/>
        </w:trPr>
        <w:tc>
          <w:tcPr>
            <w:tcW w:w="808" w:type="dxa"/>
            <w:vMerge w:val="continue"/>
          </w:tcPr>
          <w:p w14:paraId="103331F4">
            <w:pPr>
              <w:spacing w:line="400" w:lineRule="exact"/>
              <w:rPr>
                <w:rFonts w:hint="eastAsia" w:ascii="宋体" w:hAnsi="宋体"/>
                <w:color w:val="000000" w:themeColor="text1"/>
                <w:highlight w:val="none"/>
                <w14:textFill>
                  <w14:solidFill>
                    <w14:schemeClr w14:val="tx1"/>
                  </w14:solidFill>
                </w14:textFill>
              </w:rPr>
            </w:pPr>
          </w:p>
        </w:tc>
        <w:tc>
          <w:tcPr>
            <w:tcW w:w="852" w:type="dxa"/>
            <w:vMerge w:val="continue"/>
          </w:tcPr>
          <w:p w14:paraId="17102281">
            <w:pPr>
              <w:spacing w:line="400" w:lineRule="exact"/>
              <w:rPr>
                <w:rFonts w:hint="eastAsia" w:ascii="宋体" w:hAnsi="宋体"/>
                <w:color w:val="000000" w:themeColor="text1"/>
                <w:highlight w:val="none"/>
                <w14:textFill>
                  <w14:solidFill>
                    <w14:schemeClr w14:val="tx1"/>
                  </w14:solidFill>
                </w14:textFill>
              </w:rPr>
            </w:pPr>
          </w:p>
        </w:tc>
        <w:tc>
          <w:tcPr>
            <w:tcW w:w="2492" w:type="dxa"/>
            <w:vAlign w:val="center"/>
          </w:tcPr>
          <w:p w14:paraId="61085F91">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实质性要求</w:t>
            </w:r>
          </w:p>
        </w:tc>
        <w:tc>
          <w:tcPr>
            <w:tcW w:w="5728" w:type="dxa"/>
            <w:vAlign w:val="center"/>
          </w:tcPr>
          <w:p w14:paraId="19471A11">
            <w:pPr>
              <w:spacing w:after="62" w:afterLines="20"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符合第二章“竞选人须知”第1.4.3项规定。</w:t>
            </w:r>
          </w:p>
          <w:p w14:paraId="57BFB03A">
            <w:pPr>
              <w:spacing w:after="62" w:afterLines="20"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本次投标不得有串通投标</w:t>
            </w:r>
            <w:r>
              <w:rPr>
                <w:rFonts w:ascii="宋体" w:hAnsi="宋体"/>
                <w:color w:val="000000" w:themeColor="text1"/>
                <w:kern w:val="0"/>
                <w:highlight w:val="none"/>
                <w14:textFill>
                  <w14:solidFill>
                    <w14:schemeClr w14:val="tx1"/>
                  </w14:solidFill>
                </w14:textFill>
              </w:rPr>
              <w:t>、弄虚作假等其他违反招投标相关法律、法规行为。</w:t>
            </w:r>
          </w:p>
          <w:p w14:paraId="6FD887CB">
            <w:pPr>
              <w:spacing w:after="62" w:afterLines="20"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按评标委员会要求澄清、说明或补正。</w:t>
            </w:r>
          </w:p>
        </w:tc>
      </w:tr>
      <w:tr w14:paraId="41B46F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1660" w:type="dxa"/>
            <w:gridSpan w:val="2"/>
            <w:vAlign w:val="center"/>
          </w:tcPr>
          <w:p w14:paraId="51B13829">
            <w:pPr>
              <w:spacing w:line="400" w:lineRule="exact"/>
              <w:jc w:val="center"/>
              <w:rPr>
                <w:rFonts w:hint="eastAsia"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条款号</w:t>
            </w:r>
          </w:p>
        </w:tc>
        <w:tc>
          <w:tcPr>
            <w:tcW w:w="2492" w:type="dxa"/>
            <w:vAlign w:val="center"/>
          </w:tcPr>
          <w:p w14:paraId="16C44CC5">
            <w:pPr>
              <w:spacing w:line="400" w:lineRule="exact"/>
              <w:jc w:val="center"/>
              <w:rPr>
                <w:rFonts w:hint="eastAsia"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条款内容</w:t>
            </w:r>
          </w:p>
        </w:tc>
        <w:tc>
          <w:tcPr>
            <w:tcW w:w="5728" w:type="dxa"/>
            <w:vAlign w:val="center"/>
          </w:tcPr>
          <w:p w14:paraId="03C1ED2C">
            <w:pPr>
              <w:spacing w:line="400" w:lineRule="exact"/>
              <w:jc w:val="center"/>
              <w:rPr>
                <w:rFonts w:hint="eastAsia"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编列内容</w:t>
            </w:r>
          </w:p>
        </w:tc>
      </w:tr>
      <w:tr w14:paraId="2BCC8D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1660" w:type="dxa"/>
            <w:gridSpan w:val="2"/>
            <w:vAlign w:val="center"/>
          </w:tcPr>
          <w:p w14:paraId="4214224E">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2.2.1</w:t>
            </w:r>
          </w:p>
        </w:tc>
        <w:tc>
          <w:tcPr>
            <w:tcW w:w="2492" w:type="dxa"/>
            <w:vAlign w:val="center"/>
          </w:tcPr>
          <w:p w14:paraId="1974DE1C">
            <w:pPr>
              <w:tabs>
                <w:tab w:val="left" w:pos="1875"/>
              </w:tabs>
              <w:spacing w:line="400" w:lineRule="exact"/>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分值构成</w:t>
            </w:r>
          </w:p>
          <w:p w14:paraId="33798E7F">
            <w:pPr>
              <w:tabs>
                <w:tab w:val="left" w:pos="1875"/>
              </w:tabs>
              <w:spacing w:line="400" w:lineRule="exact"/>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 xml:space="preserve"> （总分1</w:t>
            </w:r>
            <w:r>
              <w:rPr>
                <w:rFonts w:hint="eastAsia" w:ascii="宋体" w:hAnsi="宋体"/>
                <w:color w:val="000000" w:themeColor="text1"/>
                <w:kern w:val="0"/>
                <w:highlight w:val="none"/>
                <w14:textFill>
                  <w14:solidFill>
                    <w14:schemeClr w14:val="tx1"/>
                  </w14:solidFill>
                </w14:textFill>
              </w:rPr>
              <w:t>00</w:t>
            </w:r>
            <w:r>
              <w:rPr>
                <w:rFonts w:ascii="宋体" w:hAnsi="宋体"/>
                <w:color w:val="000000" w:themeColor="text1"/>
                <w:kern w:val="0"/>
                <w:highlight w:val="none"/>
                <w14:textFill>
                  <w14:solidFill>
                    <w14:schemeClr w14:val="tx1"/>
                  </w14:solidFill>
                </w14:textFill>
              </w:rPr>
              <w:t>分）</w:t>
            </w:r>
          </w:p>
        </w:tc>
        <w:tc>
          <w:tcPr>
            <w:tcW w:w="5728" w:type="dxa"/>
            <w:vAlign w:val="center"/>
          </w:tcPr>
          <w:p w14:paraId="595C6C10">
            <w:pPr>
              <w:snapToGrid w:val="0"/>
              <w:spacing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1</w:t>
            </w:r>
            <w:r>
              <w:rPr>
                <w:rFonts w:ascii="宋体" w:hAns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技术部分</w:t>
            </w:r>
            <w:r>
              <w:rPr>
                <w:rFonts w:hint="eastAsia" w:ascii="宋体" w:hAnsi="宋体"/>
                <w:color w:val="000000" w:themeColor="text1"/>
                <w:kern w:val="0"/>
                <w:highlight w:val="none"/>
                <w:u w:val="single"/>
                <w:lang w:val="en-US" w:eastAsia="zh-CN"/>
                <w14:textFill>
                  <w14:solidFill>
                    <w14:schemeClr w14:val="tx1"/>
                  </w14:solidFill>
                </w14:textFill>
              </w:rPr>
              <w:t>7</w:t>
            </w:r>
            <w:r>
              <w:rPr>
                <w:rFonts w:hint="eastAsia" w:ascii="宋体" w:hAnsi="宋体"/>
                <w:color w:val="000000" w:themeColor="text1"/>
                <w:kern w:val="0"/>
                <w:highlight w:val="none"/>
                <w:u w:val="single"/>
                <w14:textFill>
                  <w14:solidFill>
                    <w14:schemeClr w14:val="tx1"/>
                  </w14:solidFill>
                </w14:textFill>
              </w:rPr>
              <w:t>0</w:t>
            </w:r>
            <w:r>
              <w:rPr>
                <w:rFonts w:ascii="宋体" w:hAnsi="宋体"/>
                <w:color w:val="000000" w:themeColor="text1"/>
                <w:kern w:val="0"/>
                <w:highlight w:val="none"/>
                <w14:textFill>
                  <w14:solidFill>
                    <w14:schemeClr w14:val="tx1"/>
                  </w14:solidFill>
                </w14:textFill>
              </w:rPr>
              <w:t>分</w:t>
            </w:r>
            <w:r>
              <w:rPr>
                <w:rFonts w:hint="eastAsia" w:ascii="宋体" w:hAnsi="宋体"/>
                <w:color w:val="000000" w:themeColor="text1"/>
                <w:kern w:val="0"/>
                <w:highlight w:val="none"/>
                <w14:textFill>
                  <w14:solidFill>
                    <w14:schemeClr w14:val="tx1"/>
                  </w14:solidFill>
                </w14:textFill>
              </w:rPr>
              <w:t>；（服务方案）</w:t>
            </w:r>
          </w:p>
          <w:p w14:paraId="49AA780E">
            <w:pPr>
              <w:snapToGrid w:val="0"/>
              <w:spacing w:line="400" w:lineRule="exact"/>
              <w:ind w:firstLine="420" w:firstLineChars="200"/>
              <w:rPr>
                <w:rFonts w:hint="eastAsia" w:ascii="宋体" w:hAnsi="宋体"/>
                <w:i/>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w:t>
            </w:r>
            <w:r>
              <w:rPr>
                <w:rFonts w:hint="eastAsia" w:ascii="宋体" w:hAnsi="宋体"/>
                <w:color w:val="000000" w:themeColor="text1"/>
                <w:kern w:val="0"/>
                <w:highlight w:val="none"/>
                <w14:textFill>
                  <w14:solidFill>
                    <w14:schemeClr w14:val="tx1"/>
                  </w14:solidFill>
                </w14:textFill>
              </w:rPr>
              <w:t>.投标报价</w:t>
            </w:r>
            <w:r>
              <w:rPr>
                <w:rFonts w:hint="eastAsia" w:ascii="宋体" w:hAnsi="宋体"/>
                <w:color w:val="000000" w:themeColor="text1"/>
                <w:kern w:val="0"/>
                <w:highlight w:val="none"/>
                <w:u w:val="single"/>
                <w14:textFill>
                  <w14:solidFill>
                    <w14:schemeClr w14:val="tx1"/>
                  </w14:solidFill>
                </w14:textFill>
              </w:rPr>
              <w:t xml:space="preserve"> </w:t>
            </w:r>
            <w:r>
              <w:rPr>
                <w:rFonts w:hint="eastAsia" w:ascii="宋体" w:hAnsi="宋体"/>
                <w:color w:val="000000" w:themeColor="text1"/>
                <w:kern w:val="0"/>
                <w:highlight w:val="none"/>
                <w:u w:val="single"/>
                <w:lang w:val="en-US" w:eastAsia="zh-CN"/>
                <w14:textFill>
                  <w14:solidFill>
                    <w14:schemeClr w14:val="tx1"/>
                  </w14:solidFill>
                </w14:textFill>
              </w:rPr>
              <w:t>3</w:t>
            </w:r>
            <w:r>
              <w:rPr>
                <w:rFonts w:hint="eastAsia" w:ascii="宋体" w:hAnsi="宋体"/>
                <w:color w:val="000000" w:themeColor="text1"/>
                <w:kern w:val="0"/>
                <w:highlight w:val="none"/>
                <w:u w:val="single"/>
                <w14:textFill>
                  <w14:solidFill>
                    <w14:schemeClr w14:val="tx1"/>
                  </w14:solidFill>
                </w14:textFill>
              </w:rPr>
              <w:t xml:space="preserve">0 </w:t>
            </w:r>
            <w:r>
              <w:rPr>
                <w:rFonts w:hint="eastAsia" w:ascii="宋体" w:hAnsi="宋体"/>
                <w:color w:val="000000" w:themeColor="text1"/>
                <w:kern w:val="0"/>
                <w:highlight w:val="none"/>
                <w14:textFill>
                  <w14:solidFill>
                    <w14:schemeClr w14:val="tx1"/>
                  </w14:solidFill>
                </w14:textFill>
              </w:rPr>
              <w:t>分。</w:t>
            </w:r>
          </w:p>
        </w:tc>
      </w:tr>
      <w:tr w14:paraId="1FCFC4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660" w:type="dxa"/>
            <w:gridSpan w:val="2"/>
            <w:vAlign w:val="center"/>
          </w:tcPr>
          <w:p w14:paraId="615F133E">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w:t>
            </w:r>
            <w:r>
              <w:rPr>
                <w:rFonts w:ascii="宋体" w:hAnsi="宋体"/>
                <w:color w:val="000000" w:themeColor="text1"/>
                <w:kern w:val="0"/>
                <w:highlight w:val="none"/>
                <w14:textFill>
                  <w14:solidFill>
                    <w14:schemeClr w14:val="tx1"/>
                  </w14:solidFill>
                </w14:textFill>
              </w:rPr>
              <w:t>2</w:t>
            </w:r>
          </w:p>
        </w:tc>
        <w:tc>
          <w:tcPr>
            <w:tcW w:w="2492" w:type="dxa"/>
            <w:vAlign w:val="center"/>
          </w:tcPr>
          <w:p w14:paraId="17721422">
            <w:pPr>
              <w:tabs>
                <w:tab w:val="left" w:pos="1875"/>
              </w:tabs>
              <w:spacing w:line="400" w:lineRule="exact"/>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评标基准价计算方法</w:t>
            </w:r>
          </w:p>
        </w:tc>
        <w:tc>
          <w:tcPr>
            <w:tcW w:w="5728" w:type="dxa"/>
            <w:vAlign w:val="center"/>
          </w:tcPr>
          <w:p w14:paraId="0E7B1154">
            <w:pPr>
              <w:snapToGrid w:val="0"/>
              <w:spacing w:line="400" w:lineRule="exact"/>
              <w:ind w:firstLine="420" w:firstLineChars="200"/>
              <w:jc w:val="left"/>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所有通过初步评审</w:t>
            </w:r>
            <w:r>
              <w:rPr>
                <w:rFonts w:hint="eastAsia" w:ascii="宋体" w:hAnsi="宋体"/>
                <w:color w:val="000000" w:themeColor="text1"/>
                <w:highlight w:val="none"/>
                <w14:textFill>
                  <w14:solidFill>
                    <w14:schemeClr w14:val="tx1"/>
                  </w14:solidFill>
                </w14:textFill>
              </w:rPr>
              <w:t>和本章第2.2.</w:t>
            </w: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）目评审</w:t>
            </w:r>
            <w:r>
              <w:rPr>
                <w:rFonts w:ascii="宋体" w:hAnsi="宋体"/>
                <w:color w:val="000000" w:themeColor="text1"/>
                <w:highlight w:val="none"/>
                <w14:textFill>
                  <w14:solidFill>
                    <w14:schemeClr w14:val="tx1"/>
                  </w14:solidFill>
                </w14:textFill>
              </w:rPr>
              <w:t>合格的竞选人的投标总报价中去掉六分之一（不能整除的按小数点前整数取整，不足六家报价则不去掉）的最低价和相同家数的最高价后</w:t>
            </w:r>
            <w:r>
              <w:rPr>
                <w:rFonts w:hint="eastAsia" w:ascii="宋体" w:hAnsi="宋体"/>
                <w:color w:val="000000" w:themeColor="text1"/>
                <w:highlight w:val="none"/>
                <w14:textFill>
                  <w14:solidFill>
                    <w14:schemeClr w14:val="tx1"/>
                  </w14:solidFill>
                </w14:textFill>
              </w:rPr>
              <w:t>计算出</w:t>
            </w:r>
            <w:r>
              <w:rPr>
                <w:rFonts w:ascii="宋体" w:hAnsi="宋体"/>
                <w:color w:val="000000" w:themeColor="text1"/>
                <w:highlight w:val="none"/>
                <w14:textFill>
                  <w14:solidFill>
                    <w14:schemeClr w14:val="tx1"/>
                  </w14:solidFill>
                </w14:textFill>
              </w:rPr>
              <w:t>的算术平均值</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即为本项目投标总报价的评标基准价</w:t>
            </w:r>
            <w:r>
              <w:rPr>
                <w:rFonts w:hint="eastAsia" w:ascii="宋体" w:hAnsi="宋体"/>
                <w:color w:val="000000" w:themeColor="text1"/>
                <w:highlight w:val="none"/>
                <w14:textFill>
                  <w14:solidFill>
                    <w14:schemeClr w14:val="tx1"/>
                  </w14:solidFill>
                </w14:textFill>
              </w:rPr>
              <w:t>。</w:t>
            </w:r>
          </w:p>
          <w:p w14:paraId="2254871A">
            <w:pPr>
              <w:snapToGrid w:val="0"/>
              <w:spacing w:line="400" w:lineRule="exact"/>
              <w:ind w:firstLine="420" w:firstLineChars="200"/>
              <w:jc w:val="lef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评标基准价计算的最终</w:t>
            </w:r>
            <w:r>
              <w:rPr>
                <w:rFonts w:ascii="宋体" w:hAnsi="宋体"/>
                <w:color w:val="000000" w:themeColor="text1"/>
                <w:highlight w:val="none"/>
                <w14:textFill>
                  <w14:solidFill>
                    <w14:schemeClr w14:val="tx1"/>
                  </w14:solidFill>
                </w14:textFill>
              </w:rPr>
              <w:t>结果取小数点后两位，第三位四舍五入。在评标基准价计算完成后（除计算错误外），在后续的评审中不得再对其做出调整。</w:t>
            </w:r>
          </w:p>
        </w:tc>
      </w:tr>
      <w:tr w14:paraId="40DC34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93" w:hRule="atLeast"/>
          <w:jc w:val="center"/>
        </w:trPr>
        <w:tc>
          <w:tcPr>
            <w:tcW w:w="1660" w:type="dxa"/>
            <w:gridSpan w:val="2"/>
            <w:vAlign w:val="center"/>
          </w:tcPr>
          <w:p w14:paraId="00A46ECD">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w:t>
            </w:r>
            <w:r>
              <w:rPr>
                <w:rFonts w:ascii="宋体" w:hAnsi="宋体"/>
                <w:color w:val="000000" w:themeColor="text1"/>
                <w:kern w:val="0"/>
                <w:highlight w:val="none"/>
                <w14:textFill>
                  <w14:solidFill>
                    <w14:schemeClr w14:val="tx1"/>
                  </w14:solidFill>
                </w14:textFill>
              </w:rPr>
              <w:t>3</w:t>
            </w:r>
          </w:p>
        </w:tc>
        <w:tc>
          <w:tcPr>
            <w:tcW w:w="2492" w:type="dxa"/>
            <w:vAlign w:val="center"/>
          </w:tcPr>
          <w:p w14:paraId="3F3B5A28">
            <w:pPr>
              <w:tabs>
                <w:tab w:val="left" w:pos="1875"/>
              </w:tabs>
              <w:spacing w:line="400" w:lineRule="exact"/>
              <w:jc w:val="center"/>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投标报价的偏差率计算公式</w:t>
            </w:r>
          </w:p>
        </w:tc>
        <w:tc>
          <w:tcPr>
            <w:tcW w:w="5728" w:type="dxa"/>
            <w:vAlign w:val="center"/>
          </w:tcPr>
          <w:p w14:paraId="62FE8666">
            <w:pP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偏差率</w:t>
            </w:r>
            <w:r>
              <w:rPr>
                <w:rFonts w:ascii="宋体" w:hAnsi="宋体"/>
                <w:color w:val="000000" w:themeColor="text1"/>
                <w:kern w:val="0"/>
                <w:sz w:val="28"/>
                <w:szCs w:val="28"/>
                <w:highlight w:val="none"/>
                <w14:textFill>
                  <w14:solidFill>
                    <w14:schemeClr w14:val="tx1"/>
                  </w14:solidFill>
                </w14:textFill>
              </w:rPr>
              <w:t>=</w:t>
            </w:r>
            <w:r>
              <w:rPr>
                <w:rFonts w:ascii="宋体" w:hAnsi="宋体"/>
                <w:color w:val="000000" w:themeColor="text1"/>
                <w:kern w:val="0"/>
                <w:highlight w:val="none"/>
                <w14:textFill>
                  <w14:solidFill>
                    <w14:schemeClr w14:val="tx1"/>
                  </w14:solidFill>
                </w14:textFill>
              </w:rPr>
              <w:t>100％×（竞选人报价</w:t>
            </w:r>
            <w:r>
              <w:rPr>
                <w:rFonts w:hint="eastAsia" w:ascii="宋体" w:hAnsi="宋体"/>
                <w:color w:val="000000" w:themeColor="text1"/>
                <w:kern w:val="0"/>
                <w:highlight w:val="none"/>
                <w14:textFill>
                  <w14:solidFill>
                    <w14:schemeClr w14:val="tx1"/>
                  </w14:solidFill>
                </w14:textFill>
              </w:rPr>
              <w:t>-</w:t>
            </w:r>
            <w:r>
              <w:rPr>
                <w:rFonts w:ascii="宋体" w:hAnsi="宋体"/>
                <w:color w:val="000000" w:themeColor="text1"/>
                <w:kern w:val="0"/>
                <w:highlight w:val="none"/>
                <w14:textFill>
                  <w14:solidFill>
                    <w14:schemeClr w14:val="tx1"/>
                  </w14:solidFill>
                </w14:textFill>
              </w:rPr>
              <w:t>评标基准价）／评标基准价</w:t>
            </w:r>
          </w:p>
          <w:p w14:paraId="5976E280">
            <w:pPr>
              <w:snapToGrid w:val="0"/>
              <w:spacing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偏差率</w:t>
            </w:r>
            <w:r>
              <w:rPr>
                <w:rFonts w:ascii="宋体" w:hAnsi="宋体"/>
                <w:color w:val="000000" w:themeColor="text1"/>
                <w:kern w:val="0"/>
                <w:szCs w:val="21"/>
                <w:highlight w:val="none"/>
                <w14:textFill>
                  <w14:solidFill>
                    <w14:schemeClr w14:val="tx1"/>
                  </w14:solidFill>
                </w14:textFill>
              </w:rPr>
              <w:t>计算的最终结果</w:t>
            </w:r>
            <w:r>
              <w:rPr>
                <w:rFonts w:hint="eastAsia" w:ascii="宋体" w:hAnsi="宋体"/>
                <w:color w:val="000000" w:themeColor="text1"/>
                <w:kern w:val="0"/>
                <w:szCs w:val="21"/>
                <w:highlight w:val="none"/>
                <w14:textFill>
                  <w14:solidFill>
                    <w14:schemeClr w14:val="tx1"/>
                  </w14:solidFill>
                </w14:textFill>
              </w:rPr>
              <w:t>取</w:t>
            </w:r>
            <w:r>
              <w:rPr>
                <w:rFonts w:ascii="宋体" w:hAnsi="宋体"/>
                <w:color w:val="000000" w:themeColor="text1"/>
                <w:kern w:val="0"/>
                <w:szCs w:val="21"/>
                <w:highlight w:val="none"/>
                <w14:textFill>
                  <w14:solidFill>
                    <w14:schemeClr w14:val="tx1"/>
                  </w14:solidFill>
                </w14:textFill>
              </w:rPr>
              <w:t>小数点后两位，小数点后第三位“四舍五入”。</w:t>
            </w:r>
          </w:p>
        </w:tc>
      </w:tr>
      <w:tr w14:paraId="0848F0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660" w:type="dxa"/>
            <w:gridSpan w:val="2"/>
            <w:vAlign w:val="center"/>
          </w:tcPr>
          <w:p w14:paraId="5AD5D5FB">
            <w:pPr>
              <w:spacing w:line="400" w:lineRule="exact"/>
              <w:jc w:val="center"/>
              <w:rPr>
                <w:rFonts w:hint="eastAsia"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条款号</w:t>
            </w:r>
          </w:p>
        </w:tc>
        <w:tc>
          <w:tcPr>
            <w:tcW w:w="2492" w:type="dxa"/>
            <w:vAlign w:val="center"/>
          </w:tcPr>
          <w:p w14:paraId="587ED7B9">
            <w:pPr>
              <w:spacing w:line="400" w:lineRule="exact"/>
              <w:jc w:val="center"/>
              <w:rPr>
                <w:rFonts w:hint="eastAsia"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评分因素</w:t>
            </w:r>
          </w:p>
        </w:tc>
        <w:tc>
          <w:tcPr>
            <w:tcW w:w="5728" w:type="dxa"/>
            <w:vAlign w:val="center"/>
          </w:tcPr>
          <w:p w14:paraId="1526B05F">
            <w:pPr>
              <w:spacing w:line="400" w:lineRule="exact"/>
              <w:jc w:val="center"/>
              <w:rPr>
                <w:rFonts w:hint="eastAsia"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评分标准</w:t>
            </w:r>
          </w:p>
        </w:tc>
      </w:tr>
    </w:tbl>
    <w:p w14:paraId="712CE2E7">
      <w:pPr>
        <w:rPr>
          <w:rFonts w:hint="eastAsia" w:ascii="宋体" w:hAnsi="宋体"/>
          <w:color w:val="000000" w:themeColor="text1"/>
          <w:highlight w:val="none"/>
          <w14:textFill>
            <w14:solidFill>
              <w14:schemeClr w14:val="tx1"/>
            </w14:solidFill>
          </w14:textFill>
        </w:rPr>
      </w:pPr>
    </w:p>
    <w:tbl>
      <w:tblPr>
        <w:tblStyle w:val="29"/>
        <w:tblW w:w="998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08"/>
        <w:gridCol w:w="852"/>
        <w:gridCol w:w="2587"/>
        <w:gridCol w:w="5738"/>
      </w:tblGrid>
      <w:tr w14:paraId="4E47E5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restart"/>
            <w:tcBorders>
              <w:right w:val="single" w:color="auto" w:sz="4" w:space="0"/>
            </w:tcBorders>
            <w:vAlign w:val="center"/>
          </w:tcPr>
          <w:p w14:paraId="6209B81E">
            <w:pPr>
              <w:spacing w:line="400" w:lineRule="exact"/>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w:t>
            </w:r>
            <w:r>
              <w:rPr>
                <w:rFonts w:ascii="宋体" w:hAnsi="宋体"/>
                <w:color w:val="000000" w:themeColor="text1"/>
                <w:kern w:val="0"/>
                <w:highlight w:val="none"/>
                <w14:textFill>
                  <w14:solidFill>
                    <w14:schemeClr w14:val="tx1"/>
                  </w14:solidFill>
                </w14:textFill>
              </w:rPr>
              <w:t>4</w:t>
            </w:r>
            <w:r>
              <w:rPr>
                <w:rFonts w:hint="eastAsia" w:ascii="宋体" w:hAnsi="宋体"/>
                <w:color w:val="000000" w:themeColor="text1"/>
                <w:kern w:val="0"/>
                <w:highlight w:val="none"/>
                <w14:textFill>
                  <w14:solidFill>
                    <w14:schemeClr w14:val="tx1"/>
                  </w14:solidFill>
                </w14:textFill>
              </w:rPr>
              <w:t>（1）</w:t>
            </w:r>
          </w:p>
        </w:tc>
        <w:tc>
          <w:tcPr>
            <w:tcW w:w="852" w:type="dxa"/>
            <w:vMerge w:val="restart"/>
            <w:tcBorders>
              <w:left w:val="single" w:color="auto" w:sz="4" w:space="0"/>
            </w:tcBorders>
            <w:vAlign w:val="center"/>
          </w:tcPr>
          <w:p w14:paraId="29E94F03">
            <w:pPr>
              <w:pStyle w:val="8"/>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技术部分评分（</w:t>
            </w:r>
            <w:r>
              <w:rPr>
                <w:rFonts w:ascii="宋体" w:hAnsi="宋体"/>
                <w:color w:val="000000" w:themeColor="text1"/>
                <w:kern w:val="0"/>
                <w:highlight w:val="none"/>
                <w14:textFill>
                  <w14:solidFill>
                    <w14:schemeClr w14:val="tx1"/>
                  </w14:solidFill>
                </w14:textFill>
              </w:rPr>
              <w:t>A</w:t>
            </w:r>
            <w:r>
              <w:rPr>
                <w:rFonts w:hint="eastAsia" w:ascii="宋体" w:hAnsi="宋体"/>
                <w:color w:val="000000" w:themeColor="text1"/>
                <w:kern w:val="0"/>
                <w:highlight w:val="none"/>
                <w14:textFill>
                  <w14:solidFill>
                    <w14:schemeClr w14:val="tx1"/>
                  </w14:solidFill>
                </w14:textFill>
              </w:rPr>
              <w:t>）标准</w:t>
            </w:r>
          </w:p>
        </w:tc>
        <w:tc>
          <w:tcPr>
            <w:tcW w:w="2587" w:type="dxa"/>
            <w:tcBorders>
              <w:bottom w:val="single" w:color="auto" w:sz="4" w:space="0"/>
            </w:tcBorders>
            <w:vAlign w:val="center"/>
          </w:tcPr>
          <w:p w14:paraId="7688E015">
            <w:pPr>
              <w:tabs>
                <w:tab w:val="left" w:pos="1875"/>
              </w:tabs>
              <w:spacing w:line="400" w:lineRule="exact"/>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服务方案总体评审标准</w:t>
            </w:r>
          </w:p>
        </w:tc>
        <w:tc>
          <w:tcPr>
            <w:tcW w:w="5738" w:type="dxa"/>
            <w:vAlign w:val="center"/>
          </w:tcPr>
          <w:p w14:paraId="7C097618">
            <w:pPr>
              <w:spacing w:line="400" w:lineRule="exact"/>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评委</w:t>
            </w:r>
            <w:r>
              <w:rPr>
                <w:rFonts w:hint="eastAsia" w:ascii="宋体" w:hAnsi="宋体"/>
                <w:snapToGrid w:val="0"/>
                <w:color w:val="000000" w:themeColor="text1"/>
                <w:kern w:val="0"/>
                <w:szCs w:val="21"/>
                <w:highlight w:val="none"/>
                <w14:textFill>
                  <w14:solidFill>
                    <w14:schemeClr w14:val="tx1"/>
                  </w14:solidFill>
                </w14:textFill>
              </w:rPr>
              <w:t>评分</w:t>
            </w:r>
            <w:r>
              <w:rPr>
                <w:rFonts w:ascii="宋体" w:hAnsi="宋体"/>
                <w:snapToGrid w:val="0"/>
                <w:color w:val="000000" w:themeColor="text1"/>
                <w:kern w:val="0"/>
                <w:szCs w:val="21"/>
                <w:highlight w:val="none"/>
                <w14:textFill>
                  <w14:solidFill>
                    <w14:schemeClr w14:val="tx1"/>
                  </w14:solidFill>
                </w14:textFill>
              </w:rPr>
              <w:t>取算术平均值为该竞选人</w:t>
            </w:r>
            <w:r>
              <w:rPr>
                <w:rFonts w:hint="eastAsia" w:ascii="宋体" w:hAnsi="宋体"/>
                <w:snapToGrid w:val="0"/>
                <w:color w:val="000000" w:themeColor="text1"/>
                <w:kern w:val="0"/>
                <w:szCs w:val="21"/>
                <w:highlight w:val="none"/>
                <w14:textFill>
                  <w14:solidFill>
                    <w14:schemeClr w14:val="tx1"/>
                  </w14:solidFill>
                </w14:textFill>
              </w:rPr>
              <w:t>服务方案</w:t>
            </w:r>
            <w:r>
              <w:rPr>
                <w:rFonts w:ascii="宋体" w:hAnsi="宋体"/>
                <w:snapToGrid w:val="0"/>
                <w:color w:val="000000" w:themeColor="text1"/>
                <w:kern w:val="0"/>
                <w:szCs w:val="21"/>
                <w:highlight w:val="none"/>
                <w14:textFill>
                  <w14:solidFill>
                    <w14:schemeClr w14:val="tx1"/>
                  </w14:solidFill>
                </w14:textFill>
              </w:rPr>
              <w:t>得分。</w:t>
            </w:r>
          </w:p>
          <w:p w14:paraId="1204694A">
            <w:pPr>
              <w:snapToGrid w:val="0"/>
              <w:spacing w:line="400" w:lineRule="exact"/>
              <w:ind w:firstLine="420" w:firstLineChars="200"/>
              <w:rPr>
                <w:rFonts w:hint="eastAsia" w:ascii="宋体" w:hAnsi="宋体"/>
                <w:color w:val="000000" w:themeColor="text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服务</w:t>
            </w:r>
            <w:r>
              <w:rPr>
                <w:rFonts w:ascii="宋体" w:hAnsi="宋体"/>
                <w:color w:val="000000" w:themeColor="text1"/>
                <w:kern w:val="0"/>
                <w:szCs w:val="21"/>
                <w:highlight w:val="none"/>
                <w14:textFill>
                  <w14:solidFill>
                    <w14:schemeClr w14:val="tx1"/>
                  </w14:solidFill>
                </w14:textFill>
              </w:rPr>
              <w:t>方案得分的最终结果取小数点后两位，第三位四舍五入。</w:t>
            </w:r>
          </w:p>
        </w:tc>
      </w:tr>
      <w:tr w14:paraId="2F240C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808" w:type="dxa"/>
            <w:vMerge w:val="continue"/>
            <w:tcBorders>
              <w:right w:val="single" w:color="auto" w:sz="4" w:space="0"/>
            </w:tcBorders>
            <w:vAlign w:val="center"/>
          </w:tcPr>
          <w:p w14:paraId="3729BFF1">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57B55332">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2587" w:type="dxa"/>
            <w:vAlign w:val="center"/>
          </w:tcPr>
          <w:p w14:paraId="62458C6A">
            <w:pPr>
              <w:tabs>
                <w:tab w:val="left" w:pos="1875"/>
              </w:tabs>
              <w:spacing w:line="400" w:lineRule="exact"/>
              <w:jc w:val="center"/>
              <w:rPr>
                <w:rFonts w:hint="eastAsia" w:ascii="宋体" w:hAnsi="宋体" w:cs="宋体"/>
                <w:color w:val="000000" w:themeColor="text1"/>
                <w:kern w:val="0"/>
                <w:highlight w:val="none"/>
                <w14:textFill>
                  <w14:solidFill>
                    <w14:schemeClr w14:val="tx1"/>
                  </w14:solidFill>
                </w14:textFill>
              </w:rPr>
            </w:pPr>
            <w:r>
              <w:rPr>
                <w:rStyle w:val="56"/>
                <w:rFonts w:hint="eastAsia" w:ascii="宋体" w:hAnsi="宋体"/>
                <w:color w:val="000000" w:themeColor="text1"/>
                <w:szCs w:val="21"/>
                <w:highlight w:val="none"/>
                <w:lang w:val="en-US" w:eastAsia="zh-CN"/>
                <w14:textFill>
                  <w14:solidFill>
                    <w14:schemeClr w14:val="tx1"/>
                  </w14:solidFill>
                </w14:textFill>
              </w:rPr>
              <w:t>预算编制及</w:t>
            </w:r>
            <w:r>
              <w:rPr>
                <w:rStyle w:val="56"/>
                <w:rFonts w:ascii="宋体" w:hAnsi="宋体"/>
                <w:color w:val="000000" w:themeColor="text1"/>
                <w:szCs w:val="21"/>
                <w:highlight w:val="none"/>
                <w14:textFill>
                  <w14:solidFill>
                    <w14:schemeClr w14:val="tx1"/>
                  </w14:solidFill>
                </w14:textFill>
              </w:rPr>
              <w:t>全过程造价控制咨询工作大纲（</w:t>
            </w:r>
            <w:r>
              <w:rPr>
                <w:rStyle w:val="56"/>
                <w:rFonts w:hint="eastAsia" w:ascii="宋体" w:hAnsi="宋体"/>
                <w:color w:val="000000" w:themeColor="text1"/>
                <w:szCs w:val="21"/>
                <w:highlight w:val="none"/>
                <w:lang w:val="en-US" w:eastAsia="zh-CN"/>
                <w14:textFill>
                  <w14:solidFill>
                    <w14:schemeClr w14:val="tx1"/>
                  </w14:solidFill>
                </w14:textFill>
              </w:rPr>
              <w:t>10</w:t>
            </w:r>
            <w:r>
              <w:rPr>
                <w:rStyle w:val="56"/>
                <w:rFonts w:ascii="宋体" w:hAnsi="宋体"/>
                <w:color w:val="000000" w:themeColor="text1"/>
                <w:szCs w:val="21"/>
                <w:highlight w:val="none"/>
                <w14:textFill>
                  <w14:solidFill>
                    <w14:schemeClr w14:val="tx1"/>
                  </w14:solidFill>
                </w14:textFill>
              </w:rPr>
              <w:t>分）</w:t>
            </w:r>
          </w:p>
        </w:tc>
        <w:tc>
          <w:tcPr>
            <w:tcW w:w="5738" w:type="dxa"/>
            <w:vAlign w:val="center"/>
          </w:tcPr>
          <w:p w14:paraId="2128A3E3">
            <w:pPr>
              <w:snapToGrid w:val="0"/>
              <w:spacing w:line="400" w:lineRule="exact"/>
              <w:ind w:firstLine="420" w:firstLineChars="200"/>
              <w:rPr>
                <w:rFonts w:hint="eastAsia" w:ascii="宋体" w:hAnsi="宋体"/>
                <w:color w:val="000000" w:themeColor="text1"/>
                <w:highlight w:val="none"/>
                <w14:textFill>
                  <w14:solidFill>
                    <w14:schemeClr w14:val="tx1"/>
                  </w14:solidFill>
                </w14:textFill>
              </w:rPr>
            </w:pPr>
            <w:r>
              <w:rPr>
                <w:rStyle w:val="56"/>
                <w:rFonts w:hint="eastAsia" w:ascii="宋体" w:hAnsi="宋体"/>
                <w:color w:val="000000" w:themeColor="text1"/>
                <w:szCs w:val="21"/>
                <w:highlight w:val="none"/>
                <w14:textFill>
                  <w14:solidFill>
                    <w14:schemeClr w14:val="tx1"/>
                  </w14:solidFill>
                </w14:textFill>
              </w:rPr>
              <w:t>编制要点：各有效竞选人针对本项目</w:t>
            </w:r>
            <w:r>
              <w:rPr>
                <w:rStyle w:val="56"/>
                <w:rFonts w:hint="eastAsia" w:ascii="宋体" w:hAnsi="宋体"/>
                <w:color w:val="000000" w:themeColor="text1"/>
                <w:szCs w:val="21"/>
                <w:highlight w:val="none"/>
                <w:lang w:val="en-US" w:eastAsia="zh-CN"/>
                <w14:textFill>
                  <w14:solidFill>
                    <w14:schemeClr w14:val="tx1"/>
                  </w14:solidFill>
                </w14:textFill>
              </w:rPr>
              <w:t>预算编制及</w:t>
            </w:r>
            <w:r>
              <w:rPr>
                <w:rStyle w:val="56"/>
                <w:rFonts w:hint="eastAsia" w:ascii="宋体" w:hAnsi="宋体"/>
                <w:color w:val="000000" w:themeColor="text1"/>
                <w:szCs w:val="21"/>
                <w:highlight w:val="none"/>
                <w14:textFill>
                  <w14:solidFill>
                    <w14:schemeClr w14:val="tx1"/>
                  </w14:solidFill>
                </w14:textFill>
              </w:rPr>
              <w:t>全过程造价服务大纲编制内容的总体思路、内容是否完善等；优得</w:t>
            </w:r>
            <w:r>
              <w:rPr>
                <w:rStyle w:val="56"/>
                <w:rFonts w:ascii="宋体" w:hAnsi="宋体"/>
                <w:color w:val="000000" w:themeColor="text1"/>
                <w:szCs w:val="21"/>
                <w:highlight w:val="none"/>
                <w14:textFill>
                  <w14:solidFill>
                    <w14:schemeClr w14:val="tx1"/>
                  </w14:solidFill>
                </w14:textFill>
              </w:rPr>
              <w:t>7-</w:t>
            </w:r>
            <w:r>
              <w:rPr>
                <w:rStyle w:val="56"/>
                <w:rFonts w:hint="eastAsia" w:ascii="宋体" w:hAnsi="宋体"/>
                <w:color w:val="000000" w:themeColor="text1"/>
                <w:szCs w:val="21"/>
                <w:highlight w:val="none"/>
                <w:lang w:val="en-US" w:eastAsia="zh-CN"/>
                <w14:textFill>
                  <w14:solidFill>
                    <w14:schemeClr w14:val="tx1"/>
                  </w14:solidFill>
                </w14:textFill>
              </w:rPr>
              <w:t>10</w:t>
            </w:r>
            <w:r>
              <w:rPr>
                <w:rStyle w:val="56"/>
                <w:rFonts w:hint="eastAsia" w:ascii="宋体" w:hAnsi="宋体"/>
                <w:color w:val="000000" w:themeColor="text1"/>
                <w:szCs w:val="21"/>
                <w:highlight w:val="none"/>
                <w14:textFill>
                  <w14:solidFill>
                    <w14:schemeClr w14:val="tx1"/>
                  </w14:solidFill>
                </w14:textFill>
              </w:rPr>
              <w:t>分；良得</w:t>
            </w:r>
            <w:r>
              <w:rPr>
                <w:rStyle w:val="56"/>
                <w:rFonts w:ascii="宋体" w:hAnsi="宋体"/>
                <w:color w:val="000000" w:themeColor="text1"/>
                <w:szCs w:val="21"/>
                <w:highlight w:val="none"/>
                <w14:textFill>
                  <w14:solidFill>
                    <w14:schemeClr w14:val="tx1"/>
                  </w14:solidFill>
                </w14:textFill>
              </w:rPr>
              <w:t>3-6</w:t>
            </w:r>
            <w:r>
              <w:rPr>
                <w:rStyle w:val="56"/>
                <w:rFonts w:hint="eastAsia" w:ascii="宋体" w:hAnsi="宋体"/>
                <w:color w:val="000000" w:themeColor="text1"/>
                <w:szCs w:val="21"/>
                <w:highlight w:val="none"/>
                <w14:textFill>
                  <w14:solidFill>
                    <w14:schemeClr w14:val="tx1"/>
                  </w14:solidFill>
                </w14:textFill>
              </w:rPr>
              <w:t>分；一般得</w:t>
            </w:r>
            <w:r>
              <w:rPr>
                <w:rStyle w:val="56"/>
                <w:rFonts w:ascii="宋体" w:hAnsi="宋体"/>
                <w:color w:val="000000" w:themeColor="text1"/>
                <w:szCs w:val="21"/>
                <w:highlight w:val="none"/>
                <w14:textFill>
                  <w14:solidFill>
                    <w14:schemeClr w14:val="tx1"/>
                  </w14:solidFill>
                </w14:textFill>
              </w:rPr>
              <w:t>1-2</w:t>
            </w:r>
            <w:r>
              <w:rPr>
                <w:rStyle w:val="56"/>
                <w:rFonts w:hint="eastAsia" w:ascii="宋体" w:hAnsi="宋体"/>
                <w:color w:val="000000" w:themeColor="text1"/>
                <w:szCs w:val="21"/>
                <w:highlight w:val="none"/>
                <w14:textFill>
                  <w14:solidFill>
                    <w14:schemeClr w14:val="tx1"/>
                  </w14:solidFill>
                </w14:textFill>
              </w:rPr>
              <w:t>分；差不得分。</w:t>
            </w:r>
          </w:p>
        </w:tc>
      </w:tr>
      <w:tr w14:paraId="014DB0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2" w:hRule="atLeast"/>
          <w:jc w:val="center"/>
        </w:trPr>
        <w:tc>
          <w:tcPr>
            <w:tcW w:w="808" w:type="dxa"/>
            <w:vMerge w:val="continue"/>
            <w:tcBorders>
              <w:right w:val="single" w:color="auto" w:sz="4" w:space="0"/>
            </w:tcBorders>
            <w:vAlign w:val="center"/>
          </w:tcPr>
          <w:p w14:paraId="14F092EB">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6C40FC90">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2587" w:type="dxa"/>
            <w:tcBorders>
              <w:top w:val="single" w:color="auto" w:sz="4" w:space="0"/>
              <w:bottom w:val="single" w:color="auto" w:sz="4" w:space="0"/>
            </w:tcBorders>
            <w:vAlign w:val="center"/>
          </w:tcPr>
          <w:p w14:paraId="14260D30">
            <w:pPr>
              <w:tabs>
                <w:tab w:val="left" w:pos="1875"/>
              </w:tabs>
              <w:spacing w:line="400" w:lineRule="exact"/>
              <w:jc w:val="center"/>
              <w:rPr>
                <w:rFonts w:hint="eastAsia" w:ascii="宋体" w:hAnsi="宋体" w:cs="宋体"/>
                <w:color w:val="000000" w:themeColor="text1"/>
                <w:kern w:val="0"/>
                <w:highlight w:val="none"/>
                <w14:textFill>
                  <w14:solidFill>
                    <w14:schemeClr w14:val="tx1"/>
                  </w14:solidFill>
                </w14:textFill>
              </w:rPr>
            </w:pPr>
            <w:r>
              <w:rPr>
                <w:rStyle w:val="56"/>
                <w:rFonts w:hint="eastAsia" w:ascii="宋体" w:hAnsi="宋体"/>
                <w:color w:val="000000" w:themeColor="text1"/>
                <w:szCs w:val="21"/>
                <w:highlight w:val="none"/>
                <w:lang w:val="en-US" w:eastAsia="zh-CN"/>
                <w14:textFill>
                  <w14:solidFill>
                    <w14:schemeClr w14:val="tx1"/>
                  </w14:solidFill>
                </w14:textFill>
              </w:rPr>
              <w:t>预算编制及</w:t>
            </w:r>
            <w:r>
              <w:rPr>
                <w:rStyle w:val="56"/>
                <w:rFonts w:ascii="宋体" w:hAnsi="宋体"/>
                <w:color w:val="000000" w:themeColor="text1"/>
                <w:szCs w:val="21"/>
                <w:highlight w:val="none"/>
                <w14:textFill>
                  <w14:solidFill>
                    <w14:schemeClr w14:val="tx1"/>
                  </w14:solidFill>
                </w14:textFill>
              </w:rPr>
              <w:t>全过程造价控制岗位职责和职业守则（</w:t>
            </w:r>
            <w:r>
              <w:rPr>
                <w:rStyle w:val="56"/>
                <w:rFonts w:hint="eastAsia" w:ascii="宋体" w:hAnsi="宋体"/>
                <w:color w:val="000000" w:themeColor="text1"/>
                <w:szCs w:val="21"/>
                <w:highlight w:val="none"/>
                <w:lang w:val="en-US" w:eastAsia="zh-CN"/>
                <w14:textFill>
                  <w14:solidFill>
                    <w14:schemeClr w14:val="tx1"/>
                  </w14:solidFill>
                </w14:textFill>
              </w:rPr>
              <w:t>10</w:t>
            </w:r>
            <w:r>
              <w:rPr>
                <w:rStyle w:val="56"/>
                <w:rFonts w:ascii="宋体" w:hAnsi="宋体"/>
                <w:color w:val="000000" w:themeColor="text1"/>
                <w:szCs w:val="21"/>
                <w:highlight w:val="none"/>
                <w14:textFill>
                  <w14:solidFill>
                    <w14:schemeClr w14:val="tx1"/>
                  </w14:solidFill>
                </w14:textFill>
              </w:rPr>
              <w:t>分）</w:t>
            </w:r>
          </w:p>
        </w:tc>
        <w:tc>
          <w:tcPr>
            <w:tcW w:w="5738" w:type="dxa"/>
            <w:vAlign w:val="center"/>
          </w:tcPr>
          <w:p w14:paraId="12D49B12">
            <w:pPr>
              <w:snapToGrid w:val="0"/>
              <w:spacing w:line="400" w:lineRule="exact"/>
              <w:ind w:firstLine="420" w:firstLineChars="200"/>
              <w:rPr>
                <w:rFonts w:hint="eastAsia" w:ascii="宋体" w:hAnsi="宋体"/>
                <w:color w:val="000000" w:themeColor="text1"/>
                <w:highlight w:val="none"/>
                <w14:textFill>
                  <w14:solidFill>
                    <w14:schemeClr w14:val="tx1"/>
                  </w14:solidFill>
                </w14:textFill>
              </w:rPr>
            </w:pPr>
            <w:r>
              <w:rPr>
                <w:rStyle w:val="56"/>
                <w:rFonts w:hint="eastAsia" w:ascii="宋体" w:hAnsi="宋体"/>
                <w:color w:val="000000" w:themeColor="text1"/>
                <w:szCs w:val="21"/>
                <w:highlight w:val="none"/>
                <w14:textFill>
                  <w14:solidFill>
                    <w14:schemeClr w14:val="tx1"/>
                  </w14:solidFill>
                </w14:textFill>
              </w:rPr>
              <w:t>编制要点：各有效竞选人针对</w:t>
            </w:r>
            <w:r>
              <w:rPr>
                <w:rStyle w:val="56"/>
                <w:rFonts w:hint="eastAsia" w:ascii="宋体" w:hAnsi="宋体"/>
                <w:color w:val="000000" w:themeColor="text1"/>
                <w:szCs w:val="21"/>
                <w:highlight w:val="none"/>
                <w:lang w:val="en-US" w:eastAsia="zh-CN"/>
                <w14:textFill>
                  <w14:solidFill>
                    <w14:schemeClr w14:val="tx1"/>
                  </w14:solidFill>
                </w14:textFill>
              </w:rPr>
              <w:t>预算编制及</w:t>
            </w:r>
            <w:r>
              <w:rPr>
                <w:rStyle w:val="56"/>
                <w:rFonts w:hint="eastAsia" w:ascii="宋体" w:hAnsi="宋体"/>
                <w:color w:val="000000" w:themeColor="text1"/>
                <w:szCs w:val="21"/>
                <w:highlight w:val="none"/>
                <w14:textFill>
                  <w14:solidFill>
                    <w14:schemeClr w14:val="tx1"/>
                  </w14:solidFill>
                </w14:textFill>
              </w:rPr>
              <w:t>全过程造价控制咨询机构配置是否完整且合理，分工明确，</w:t>
            </w:r>
            <w:r>
              <w:rPr>
                <w:rStyle w:val="56"/>
                <w:rFonts w:hint="eastAsia" w:ascii="宋体" w:hAnsi="宋体"/>
                <w:color w:val="000000" w:themeColor="text1"/>
                <w:szCs w:val="21"/>
                <w:highlight w:val="none"/>
                <w:lang w:val="en-US" w:eastAsia="zh-CN"/>
                <w14:textFill>
                  <w14:solidFill>
                    <w14:schemeClr w14:val="tx1"/>
                  </w14:solidFill>
                </w14:textFill>
              </w:rPr>
              <w:t>预算编制及</w:t>
            </w:r>
            <w:r>
              <w:rPr>
                <w:rStyle w:val="56"/>
                <w:rFonts w:hint="eastAsia" w:ascii="宋体" w:hAnsi="宋体"/>
                <w:color w:val="000000" w:themeColor="text1"/>
                <w:szCs w:val="21"/>
                <w:highlight w:val="none"/>
                <w14:textFill>
                  <w14:solidFill>
                    <w14:schemeClr w14:val="tx1"/>
                  </w14:solidFill>
                </w14:textFill>
              </w:rPr>
              <w:t>全过程造价控制人员岗位职责及制度是否健全，专业人员是否配置合理，优得</w:t>
            </w:r>
            <w:r>
              <w:rPr>
                <w:rStyle w:val="56"/>
                <w:rFonts w:ascii="宋体" w:hAnsi="宋体"/>
                <w:color w:val="000000" w:themeColor="text1"/>
                <w:szCs w:val="21"/>
                <w:highlight w:val="none"/>
                <w14:textFill>
                  <w14:solidFill>
                    <w14:schemeClr w14:val="tx1"/>
                  </w14:solidFill>
                </w14:textFill>
              </w:rPr>
              <w:t>7-</w:t>
            </w:r>
            <w:r>
              <w:rPr>
                <w:rStyle w:val="56"/>
                <w:rFonts w:hint="eastAsia" w:ascii="宋体" w:hAnsi="宋体"/>
                <w:color w:val="000000" w:themeColor="text1"/>
                <w:szCs w:val="21"/>
                <w:highlight w:val="none"/>
                <w:lang w:val="en-US" w:eastAsia="zh-CN"/>
                <w14:textFill>
                  <w14:solidFill>
                    <w14:schemeClr w14:val="tx1"/>
                  </w14:solidFill>
                </w14:textFill>
              </w:rPr>
              <w:t>10</w:t>
            </w:r>
            <w:r>
              <w:rPr>
                <w:rStyle w:val="56"/>
                <w:rFonts w:hint="eastAsia" w:ascii="宋体" w:hAnsi="宋体"/>
                <w:color w:val="000000" w:themeColor="text1"/>
                <w:szCs w:val="21"/>
                <w:highlight w:val="none"/>
                <w14:textFill>
                  <w14:solidFill>
                    <w14:schemeClr w14:val="tx1"/>
                  </w14:solidFill>
                </w14:textFill>
              </w:rPr>
              <w:t>分；良得</w:t>
            </w:r>
            <w:r>
              <w:rPr>
                <w:rStyle w:val="56"/>
                <w:rFonts w:ascii="宋体" w:hAnsi="宋体"/>
                <w:color w:val="000000" w:themeColor="text1"/>
                <w:szCs w:val="21"/>
                <w:highlight w:val="none"/>
                <w14:textFill>
                  <w14:solidFill>
                    <w14:schemeClr w14:val="tx1"/>
                  </w14:solidFill>
                </w14:textFill>
              </w:rPr>
              <w:t>3-6</w:t>
            </w:r>
            <w:r>
              <w:rPr>
                <w:rStyle w:val="56"/>
                <w:rFonts w:hint="eastAsia" w:ascii="宋体" w:hAnsi="宋体"/>
                <w:color w:val="000000" w:themeColor="text1"/>
                <w:szCs w:val="21"/>
                <w:highlight w:val="none"/>
                <w14:textFill>
                  <w14:solidFill>
                    <w14:schemeClr w14:val="tx1"/>
                  </w14:solidFill>
                </w14:textFill>
              </w:rPr>
              <w:t>分；一般得</w:t>
            </w:r>
            <w:r>
              <w:rPr>
                <w:rStyle w:val="56"/>
                <w:rFonts w:ascii="宋体" w:hAnsi="宋体"/>
                <w:color w:val="000000" w:themeColor="text1"/>
                <w:szCs w:val="21"/>
                <w:highlight w:val="none"/>
                <w14:textFill>
                  <w14:solidFill>
                    <w14:schemeClr w14:val="tx1"/>
                  </w14:solidFill>
                </w14:textFill>
              </w:rPr>
              <w:t>1-2</w:t>
            </w:r>
            <w:r>
              <w:rPr>
                <w:rStyle w:val="56"/>
                <w:rFonts w:hint="eastAsia" w:ascii="宋体" w:hAnsi="宋体"/>
                <w:color w:val="000000" w:themeColor="text1"/>
                <w:szCs w:val="21"/>
                <w:highlight w:val="none"/>
                <w14:textFill>
                  <w14:solidFill>
                    <w14:schemeClr w14:val="tx1"/>
                  </w14:solidFill>
                </w14:textFill>
              </w:rPr>
              <w:t>分；差不得分。</w:t>
            </w:r>
          </w:p>
        </w:tc>
      </w:tr>
      <w:tr w14:paraId="1F9EDC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67" w:hRule="atLeast"/>
          <w:jc w:val="center"/>
        </w:trPr>
        <w:tc>
          <w:tcPr>
            <w:tcW w:w="808" w:type="dxa"/>
            <w:vMerge w:val="continue"/>
            <w:tcBorders>
              <w:right w:val="single" w:color="auto" w:sz="4" w:space="0"/>
            </w:tcBorders>
            <w:vAlign w:val="center"/>
          </w:tcPr>
          <w:p w14:paraId="1C7C93C2">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723D3977">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2587" w:type="dxa"/>
            <w:tcBorders>
              <w:top w:val="single" w:color="auto" w:sz="4" w:space="0"/>
              <w:bottom w:val="single" w:color="auto" w:sz="4" w:space="0"/>
            </w:tcBorders>
            <w:vAlign w:val="center"/>
          </w:tcPr>
          <w:p w14:paraId="31D27438">
            <w:pPr>
              <w:tabs>
                <w:tab w:val="left" w:pos="1875"/>
              </w:tabs>
              <w:spacing w:line="400" w:lineRule="exact"/>
              <w:jc w:val="center"/>
              <w:rPr>
                <w:rFonts w:hint="eastAsia" w:ascii="宋体" w:hAnsi="宋体" w:cs="宋体"/>
                <w:color w:val="000000" w:themeColor="text1"/>
                <w:kern w:val="0"/>
                <w:highlight w:val="none"/>
                <w14:textFill>
                  <w14:solidFill>
                    <w14:schemeClr w14:val="tx1"/>
                  </w14:solidFill>
                </w14:textFill>
              </w:rPr>
            </w:pPr>
            <w:r>
              <w:rPr>
                <w:rStyle w:val="56"/>
                <w:rFonts w:hint="eastAsia" w:ascii="宋体" w:hAnsi="宋体"/>
                <w:color w:val="000000" w:themeColor="text1"/>
                <w:szCs w:val="21"/>
                <w:highlight w:val="none"/>
                <w:lang w:val="en-US" w:eastAsia="zh-CN"/>
                <w14:textFill>
                  <w14:solidFill>
                    <w14:schemeClr w14:val="tx1"/>
                  </w14:solidFill>
                </w14:textFill>
              </w:rPr>
              <w:t>预算编制及</w:t>
            </w:r>
            <w:r>
              <w:rPr>
                <w:rStyle w:val="56"/>
                <w:rFonts w:ascii="宋体" w:hAnsi="宋体"/>
                <w:color w:val="000000" w:themeColor="text1"/>
                <w:szCs w:val="21"/>
                <w:highlight w:val="none"/>
                <w14:textFill>
                  <w14:solidFill>
                    <w14:schemeClr w14:val="tx1"/>
                  </w14:solidFill>
                </w14:textFill>
              </w:rPr>
              <w:t>全过程造价控制措施（含企业内部组织管理体系、对本工程全过程造价控制的重难点分析）（</w:t>
            </w:r>
            <w:r>
              <w:rPr>
                <w:rStyle w:val="56"/>
                <w:rFonts w:hint="eastAsia" w:ascii="宋体" w:hAnsi="宋体"/>
                <w:color w:val="000000" w:themeColor="text1"/>
                <w:szCs w:val="21"/>
                <w:highlight w:val="none"/>
                <w:lang w:val="en-US" w:eastAsia="zh-CN"/>
                <w14:textFill>
                  <w14:solidFill>
                    <w14:schemeClr w14:val="tx1"/>
                  </w14:solidFill>
                </w14:textFill>
              </w:rPr>
              <w:t>15</w:t>
            </w:r>
            <w:r>
              <w:rPr>
                <w:rStyle w:val="56"/>
                <w:rFonts w:ascii="宋体" w:hAnsi="宋体"/>
                <w:color w:val="000000" w:themeColor="text1"/>
                <w:szCs w:val="21"/>
                <w:highlight w:val="none"/>
                <w14:textFill>
                  <w14:solidFill>
                    <w14:schemeClr w14:val="tx1"/>
                  </w14:solidFill>
                </w14:textFill>
              </w:rPr>
              <w:t>分）</w:t>
            </w:r>
          </w:p>
        </w:tc>
        <w:tc>
          <w:tcPr>
            <w:tcW w:w="5738" w:type="dxa"/>
            <w:vAlign w:val="center"/>
          </w:tcPr>
          <w:p w14:paraId="71C14C73">
            <w:pPr>
              <w:snapToGrid w:val="0"/>
              <w:spacing w:line="400" w:lineRule="exact"/>
              <w:ind w:firstLine="420" w:firstLineChars="200"/>
              <w:rPr>
                <w:rFonts w:hint="eastAsia" w:ascii="宋体" w:hAnsi="宋体"/>
                <w:color w:val="000000" w:themeColor="text1"/>
                <w:highlight w:val="none"/>
                <w:u w:val="single"/>
                <w14:textFill>
                  <w14:solidFill>
                    <w14:schemeClr w14:val="tx1"/>
                  </w14:solidFill>
                </w14:textFill>
              </w:rPr>
            </w:pPr>
            <w:r>
              <w:rPr>
                <w:rStyle w:val="56"/>
                <w:rFonts w:hint="eastAsia" w:ascii="宋体" w:hAnsi="宋体"/>
                <w:color w:val="000000" w:themeColor="text1"/>
                <w:szCs w:val="21"/>
                <w:highlight w:val="none"/>
                <w14:textFill>
                  <w14:solidFill>
                    <w14:schemeClr w14:val="tx1"/>
                  </w14:solidFill>
                </w14:textFill>
              </w:rPr>
              <w:t>编制要点：各有效竞选人针对本工程</w:t>
            </w:r>
            <w:r>
              <w:rPr>
                <w:rStyle w:val="56"/>
                <w:rFonts w:hint="eastAsia" w:ascii="宋体" w:hAnsi="宋体"/>
                <w:color w:val="000000" w:themeColor="text1"/>
                <w:szCs w:val="21"/>
                <w:highlight w:val="none"/>
                <w:lang w:val="en-US" w:eastAsia="zh-CN"/>
                <w14:textFill>
                  <w14:solidFill>
                    <w14:schemeClr w14:val="tx1"/>
                  </w14:solidFill>
                </w14:textFill>
              </w:rPr>
              <w:t>预算编制及</w:t>
            </w:r>
            <w:r>
              <w:rPr>
                <w:rStyle w:val="56"/>
                <w:rFonts w:hint="eastAsia" w:ascii="宋体" w:hAnsi="宋体"/>
                <w:color w:val="000000" w:themeColor="text1"/>
                <w:szCs w:val="21"/>
                <w:highlight w:val="none"/>
                <w14:textFill>
                  <w14:solidFill>
                    <w14:schemeClr w14:val="tx1"/>
                  </w14:solidFill>
                </w14:textFill>
              </w:rPr>
              <w:t>全过程造价控制难点提出可行的措施，同时针对本工程分析重难点及合理化建议，提出问题的解决方法，以及企业内部组织管理体系</w:t>
            </w:r>
            <w:r>
              <w:rPr>
                <w:rStyle w:val="56"/>
                <w:rFonts w:hint="eastAsia" w:ascii="宋体" w:hAnsi="宋体" w:eastAsia="宋体" w:cs="Times New Roman"/>
                <w:color w:val="000000" w:themeColor="text1"/>
                <w:szCs w:val="21"/>
                <w:highlight w:val="none"/>
                <w14:textFill>
                  <w14:solidFill>
                    <w14:schemeClr w14:val="tx1"/>
                  </w14:solidFill>
                </w14:textFill>
              </w:rPr>
              <w:t>等；优得</w:t>
            </w:r>
            <w:r>
              <w:rPr>
                <w:rStyle w:val="56"/>
                <w:rFonts w:hint="eastAsia" w:ascii="宋体" w:hAnsi="宋体" w:eastAsia="宋体" w:cs="Times New Roman"/>
                <w:color w:val="000000" w:themeColor="text1"/>
                <w:szCs w:val="21"/>
                <w:highlight w:val="none"/>
                <w:lang w:val="en-US" w:eastAsia="zh-CN"/>
                <w14:textFill>
                  <w14:solidFill>
                    <w14:schemeClr w14:val="tx1"/>
                  </w14:solidFill>
                </w14:textFill>
              </w:rPr>
              <w:t>10</w:t>
            </w:r>
            <w:r>
              <w:rPr>
                <w:rStyle w:val="56"/>
                <w:rFonts w:hint="eastAsia" w:ascii="宋体" w:hAnsi="宋体" w:eastAsia="宋体" w:cs="Times New Roman"/>
                <w:color w:val="000000" w:themeColor="text1"/>
                <w:szCs w:val="21"/>
                <w:highlight w:val="none"/>
                <w14:textFill>
                  <w14:solidFill>
                    <w14:schemeClr w14:val="tx1"/>
                  </w14:solidFill>
                </w14:textFill>
              </w:rPr>
              <w:t>-</w:t>
            </w:r>
            <w:r>
              <w:rPr>
                <w:rStyle w:val="56"/>
                <w:rFonts w:hint="eastAsia" w:ascii="宋体" w:hAnsi="宋体" w:eastAsia="宋体" w:cs="Times New Roman"/>
                <w:color w:val="000000" w:themeColor="text1"/>
                <w:szCs w:val="21"/>
                <w:highlight w:val="none"/>
                <w:lang w:val="en-US" w:eastAsia="zh-CN"/>
                <w14:textFill>
                  <w14:solidFill>
                    <w14:schemeClr w14:val="tx1"/>
                  </w14:solidFill>
                </w14:textFill>
              </w:rPr>
              <w:t>15</w:t>
            </w:r>
            <w:r>
              <w:rPr>
                <w:rStyle w:val="56"/>
                <w:rFonts w:hint="eastAsia" w:ascii="宋体" w:hAnsi="宋体" w:eastAsia="宋体" w:cs="Times New Roman"/>
                <w:color w:val="000000" w:themeColor="text1"/>
                <w:szCs w:val="21"/>
                <w:highlight w:val="none"/>
                <w14:textFill>
                  <w14:solidFill>
                    <w14:schemeClr w14:val="tx1"/>
                  </w14:solidFill>
                </w14:textFill>
              </w:rPr>
              <w:t>分；良得</w:t>
            </w:r>
            <w:r>
              <w:rPr>
                <w:rStyle w:val="56"/>
                <w:rFonts w:hint="eastAsia" w:ascii="宋体" w:hAnsi="宋体" w:eastAsia="宋体" w:cs="Times New Roman"/>
                <w:color w:val="000000" w:themeColor="text1"/>
                <w:szCs w:val="21"/>
                <w:highlight w:val="none"/>
                <w:lang w:val="en-US" w:eastAsia="zh-CN"/>
                <w14:textFill>
                  <w14:solidFill>
                    <w14:schemeClr w14:val="tx1"/>
                  </w14:solidFill>
                </w14:textFill>
              </w:rPr>
              <w:t>5</w:t>
            </w:r>
            <w:r>
              <w:rPr>
                <w:rStyle w:val="56"/>
                <w:rFonts w:hint="eastAsia" w:ascii="宋体" w:hAnsi="宋体" w:eastAsia="宋体" w:cs="Times New Roman"/>
                <w:color w:val="000000" w:themeColor="text1"/>
                <w:szCs w:val="21"/>
                <w:highlight w:val="none"/>
                <w14:textFill>
                  <w14:solidFill>
                    <w14:schemeClr w14:val="tx1"/>
                  </w14:solidFill>
                </w14:textFill>
              </w:rPr>
              <w:t>-</w:t>
            </w:r>
            <w:r>
              <w:rPr>
                <w:rStyle w:val="56"/>
                <w:rFonts w:hint="eastAsia" w:ascii="宋体" w:hAnsi="宋体" w:eastAsia="宋体" w:cs="Times New Roman"/>
                <w:color w:val="000000" w:themeColor="text1"/>
                <w:szCs w:val="21"/>
                <w:highlight w:val="none"/>
                <w:lang w:val="en-US" w:eastAsia="zh-CN"/>
                <w14:textFill>
                  <w14:solidFill>
                    <w14:schemeClr w14:val="tx1"/>
                  </w14:solidFill>
                </w14:textFill>
              </w:rPr>
              <w:t>9</w:t>
            </w:r>
            <w:r>
              <w:rPr>
                <w:rStyle w:val="56"/>
                <w:rFonts w:hint="eastAsia" w:ascii="宋体" w:hAnsi="宋体" w:eastAsia="宋体" w:cs="Times New Roman"/>
                <w:color w:val="000000" w:themeColor="text1"/>
                <w:szCs w:val="21"/>
                <w:highlight w:val="none"/>
                <w14:textFill>
                  <w14:solidFill>
                    <w14:schemeClr w14:val="tx1"/>
                  </w14:solidFill>
                </w14:textFill>
              </w:rPr>
              <w:t>分；一般得1-</w:t>
            </w:r>
            <w:r>
              <w:rPr>
                <w:rStyle w:val="56"/>
                <w:rFonts w:hint="eastAsia" w:ascii="宋体" w:hAnsi="宋体" w:eastAsia="宋体" w:cs="Times New Roman"/>
                <w:color w:val="000000" w:themeColor="text1"/>
                <w:szCs w:val="21"/>
                <w:highlight w:val="none"/>
                <w:lang w:val="en-US" w:eastAsia="zh-CN"/>
                <w14:textFill>
                  <w14:solidFill>
                    <w14:schemeClr w14:val="tx1"/>
                  </w14:solidFill>
                </w14:textFill>
              </w:rPr>
              <w:t>4</w:t>
            </w:r>
            <w:r>
              <w:rPr>
                <w:rStyle w:val="56"/>
                <w:rFonts w:hint="eastAsia" w:ascii="宋体" w:hAnsi="宋体" w:eastAsia="宋体" w:cs="Times New Roman"/>
                <w:color w:val="000000" w:themeColor="text1"/>
                <w:szCs w:val="21"/>
                <w:highlight w:val="none"/>
                <w14:textFill>
                  <w14:solidFill>
                    <w14:schemeClr w14:val="tx1"/>
                  </w14:solidFill>
                </w14:textFill>
              </w:rPr>
              <w:t>分；差不得分。</w:t>
            </w:r>
          </w:p>
        </w:tc>
      </w:tr>
      <w:tr w14:paraId="706522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675" w:hRule="atLeast"/>
          <w:jc w:val="center"/>
        </w:trPr>
        <w:tc>
          <w:tcPr>
            <w:tcW w:w="808" w:type="dxa"/>
            <w:vMerge w:val="continue"/>
            <w:tcBorders>
              <w:right w:val="single" w:color="auto" w:sz="4" w:space="0"/>
            </w:tcBorders>
            <w:vAlign w:val="center"/>
          </w:tcPr>
          <w:p w14:paraId="2C74627C">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07F303B8">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2587" w:type="dxa"/>
            <w:tcBorders>
              <w:top w:val="single" w:color="auto" w:sz="4" w:space="0"/>
              <w:bottom w:val="single" w:color="auto" w:sz="4" w:space="0"/>
            </w:tcBorders>
            <w:vAlign w:val="center"/>
          </w:tcPr>
          <w:p w14:paraId="10E26710">
            <w:pPr>
              <w:tabs>
                <w:tab w:val="left" w:pos="1875"/>
              </w:tabs>
              <w:spacing w:line="400" w:lineRule="exact"/>
              <w:jc w:val="center"/>
              <w:rPr>
                <w:rFonts w:hint="eastAsia" w:ascii="宋体" w:hAnsi="宋体" w:cs="宋体"/>
                <w:color w:val="000000" w:themeColor="text1"/>
                <w:kern w:val="0"/>
                <w:highlight w:val="none"/>
                <w14:textFill>
                  <w14:solidFill>
                    <w14:schemeClr w14:val="tx1"/>
                  </w14:solidFill>
                </w14:textFill>
              </w:rPr>
            </w:pPr>
            <w:r>
              <w:rPr>
                <w:rStyle w:val="56"/>
                <w:rFonts w:ascii="宋体" w:hAnsi="宋体"/>
                <w:color w:val="000000" w:themeColor="text1"/>
                <w:szCs w:val="21"/>
                <w:highlight w:val="none"/>
                <w14:textFill>
                  <w14:solidFill>
                    <w14:schemeClr w14:val="tx1"/>
                  </w14:solidFill>
                </w14:textFill>
              </w:rPr>
              <w:t>工程投资的控制措施（</w:t>
            </w:r>
            <w:r>
              <w:rPr>
                <w:rStyle w:val="56"/>
                <w:rFonts w:hint="eastAsia" w:ascii="宋体" w:hAnsi="宋体"/>
                <w:color w:val="000000" w:themeColor="text1"/>
                <w:szCs w:val="21"/>
                <w:highlight w:val="none"/>
                <w:lang w:val="en-US" w:eastAsia="zh-CN"/>
                <w14:textFill>
                  <w14:solidFill>
                    <w14:schemeClr w14:val="tx1"/>
                  </w14:solidFill>
                </w14:textFill>
              </w:rPr>
              <w:t>15</w:t>
            </w:r>
            <w:r>
              <w:rPr>
                <w:rStyle w:val="56"/>
                <w:rFonts w:ascii="宋体" w:hAnsi="宋体"/>
                <w:color w:val="000000" w:themeColor="text1"/>
                <w:szCs w:val="21"/>
                <w:highlight w:val="none"/>
                <w14:textFill>
                  <w14:solidFill>
                    <w14:schemeClr w14:val="tx1"/>
                  </w14:solidFill>
                </w14:textFill>
              </w:rPr>
              <w:t xml:space="preserve"> 分）</w:t>
            </w:r>
          </w:p>
        </w:tc>
        <w:tc>
          <w:tcPr>
            <w:tcW w:w="5738" w:type="dxa"/>
            <w:vAlign w:val="center"/>
          </w:tcPr>
          <w:p w14:paraId="589893A6">
            <w:pPr>
              <w:snapToGrid w:val="0"/>
              <w:spacing w:line="400" w:lineRule="exact"/>
              <w:ind w:firstLine="420" w:firstLineChars="200"/>
              <w:rPr>
                <w:rFonts w:hint="eastAsia" w:ascii="宋体" w:hAnsi="宋体"/>
                <w:color w:val="000000" w:themeColor="text1"/>
                <w:highlight w:val="none"/>
                <w14:textFill>
                  <w14:solidFill>
                    <w14:schemeClr w14:val="tx1"/>
                  </w14:solidFill>
                </w14:textFill>
              </w:rPr>
            </w:pPr>
            <w:r>
              <w:rPr>
                <w:rStyle w:val="56"/>
                <w:rFonts w:hint="eastAsia" w:ascii="宋体" w:hAnsi="宋体"/>
                <w:color w:val="000000" w:themeColor="text1"/>
                <w:szCs w:val="21"/>
                <w:highlight w:val="none"/>
                <w14:textFill>
                  <w14:solidFill>
                    <w14:schemeClr w14:val="tx1"/>
                  </w14:solidFill>
                </w14:textFill>
              </w:rPr>
              <w:t>编制要点：各有效竞选人针对本工程全过程造价</w:t>
            </w:r>
            <w:r>
              <w:rPr>
                <w:rStyle w:val="56"/>
                <w:rFonts w:ascii="宋体" w:hAnsi="宋体"/>
                <w:color w:val="000000" w:themeColor="text1"/>
                <w:szCs w:val="21"/>
                <w:highlight w:val="none"/>
                <w14:textFill>
                  <w14:solidFill>
                    <w14:schemeClr w14:val="tx1"/>
                  </w14:solidFill>
                </w14:textFill>
              </w:rPr>
              <w:t>控制措施</w:t>
            </w:r>
            <w:r>
              <w:rPr>
                <w:rStyle w:val="56"/>
                <w:rFonts w:hint="eastAsia" w:ascii="宋体" w:hAnsi="宋体"/>
                <w:color w:val="000000" w:themeColor="text1"/>
                <w:szCs w:val="21"/>
                <w:highlight w:val="none"/>
                <w14:textFill>
                  <w14:solidFill>
                    <w14:schemeClr w14:val="tx1"/>
                  </w14:solidFill>
                </w14:textFill>
              </w:rPr>
              <w:t>，合理管理、控制在施工过程中的投资，分析本项目的重要节点投资控制 、控制方法路线切实可行、理念思路清晰的；优得</w:t>
            </w:r>
            <w:r>
              <w:rPr>
                <w:rStyle w:val="56"/>
                <w:rFonts w:hint="eastAsia" w:ascii="宋体" w:hAnsi="宋体"/>
                <w:color w:val="000000" w:themeColor="text1"/>
                <w:szCs w:val="21"/>
                <w:highlight w:val="none"/>
                <w:lang w:val="en-US" w:eastAsia="zh-CN"/>
                <w14:textFill>
                  <w14:solidFill>
                    <w14:schemeClr w14:val="tx1"/>
                  </w14:solidFill>
                </w14:textFill>
              </w:rPr>
              <w:t>10</w:t>
            </w:r>
            <w:r>
              <w:rPr>
                <w:rStyle w:val="56"/>
                <w:rFonts w:ascii="宋体" w:hAnsi="宋体"/>
                <w:color w:val="000000" w:themeColor="text1"/>
                <w:szCs w:val="21"/>
                <w:highlight w:val="none"/>
                <w14:textFill>
                  <w14:solidFill>
                    <w14:schemeClr w14:val="tx1"/>
                  </w14:solidFill>
                </w14:textFill>
              </w:rPr>
              <w:t>-</w:t>
            </w:r>
            <w:r>
              <w:rPr>
                <w:rStyle w:val="56"/>
                <w:rFonts w:hint="eastAsia" w:ascii="宋体" w:hAnsi="宋体"/>
                <w:color w:val="000000" w:themeColor="text1"/>
                <w:szCs w:val="21"/>
                <w:highlight w:val="none"/>
                <w:lang w:val="en-US" w:eastAsia="zh-CN"/>
                <w14:textFill>
                  <w14:solidFill>
                    <w14:schemeClr w14:val="tx1"/>
                  </w14:solidFill>
                </w14:textFill>
              </w:rPr>
              <w:t>15</w:t>
            </w:r>
            <w:r>
              <w:rPr>
                <w:rStyle w:val="56"/>
                <w:rFonts w:hint="eastAsia" w:ascii="宋体" w:hAnsi="宋体"/>
                <w:color w:val="000000" w:themeColor="text1"/>
                <w:szCs w:val="21"/>
                <w:highlight w:val="none"/>
                <w14:textFill>
                  <w14:solidFill>
                    <w14:schemeClr w14:val="tx1"/>
                  </w14:solidFill>
                </w14:textFill>
              </w:rPr>
              <w:t>分；良得</w:t>
            </w:r>
            <w:r>
              <w:rPr>
                <w:rStyle w:val="56"/>
                <w:rFonts w:hint="eastAsia" w:ascii="宋体" w:hAnsi="宋体"/>
                <w:color w:val="000000" w:themeColor="text1"/>
                <w:szCs w:val="21"/>
                <w:highlight w:val="none"/>
                <w:lang w:val="en-US" w:eastAsia="zh-CN"/>
                <w14:textFill>
                  <w14:solidFill>
                    <w14:schemeClr w14:val="tx1"/>
                  </w14:solidFill>
                </w14:textFill>
              </w:rPr>
              <w:t>5</w:t>
            </w:r>
            <w:r>
              <w:rPr>
                <w:rStyle w:val="56"/>
                <w:rFonts w:ascii="宋体" w:hAnsi="宋体"/>
                <w:color w:val="000000" w:themeColor="text1"/>
                <w:szCs w:val="21"/>
                <w:highlight w:val="none"/>
                <w14:textFill>
                  <w14:solidFill>
                    <w14:schemeClr w14:val="tx1"/>
                  </w14:solidFill>
                </w14:textFill>
              </w:rPr>
              <w:t>-</w:t>
            </w:r>
            <w:r>
              <w:rPr>
                <w:rStyle w:val="56"/>
                <w:rFonts w:hint="eastAsia" w:ascii="宋体" w:hAnsi="宋体"/>
                <w:color w:val="000000" w:themeColor="text1"/>
                <w:szCs w:val="21"/>
                <w:highlight w:val="none"/>
                <w:lang w:val="en-US" w:eastAsia="zh-CN"/>
                <w14:textFill>
                  <w14:solidFill>
                    <w14:schemeClr w14:val="tx1"/>
                  </w14:solidFill>
                </w14:textFill>
              </w:rPr>
              <w:t>9</w:t>
            </w:r>
            <w:r>
              <w:rPr>
                <w:rStyle w:val="56"/>
                <w:rFonts w:hint="eastAsia" w:ascii="宋体" w:hAnsi="宋体"/>
                <w:color w:val="000000" w:themeColor="text1"/>
                <w:szCs w:val="21"/>
                <w:highlight w:val="none"/>
                <w14:textFill>
                  <w14:solidFill>
                    <w14:schemeClr w14:val="tx1"/>
                  </w14:solidFill>
                </w14:textFill>
              </w:rPr>
              <w:t>分；一般得</w:t>
            </w:r>
            <w:r>
              <w:rPr>
                <w:rStyle w:val="56"/>
                <w:rFonts w:ascii="宋体" w:hAnsi="宋体"/>
                <w:color w:val="000000" w:themeColor="text1"/>
                <w:szCs w:val="21"/>
                <w:highlight w:val="none"/>
                <w14:textFill>
                  <w14:solidFill>
                    <w14:schemeClr w14:val="tx1"/>
                  </w14:solidFill>
                </w14:textFill>
              </w:rPr>
              <w:t>1-</w:t>
            </w:r>
            <w:r>
              <w:rPr>
                <w:rStyle w:val="56"/>
                <w:rFonts w:hint="eastAsia" w:ascii="宋体" w:hAnsi="宋体"/>
                <w:color w:val="000000" w:themeColor="text1"/>
                <w:szCs w:val="21"/>
                <w:highlight w:val="none"/>
                <w:lang w:val="en-US" w:eastAsia="zh-CN"/>
                <w14:textFill>
                  <w14:solidFill>
                    <w14:schemeClr w14:val="tx1"/>
                  </w14:solidFill>
                </w14:textFill>
              </w:rPr>
              <w:t>4</w:t>
            </w:r>
            <w:r>
              <w:rPr>
                <w:rStyle w:val="56"/>
                <w:rFonts w:hint="eastAsia" w:ascii="宋体" w:hAnsi="宋体"/>
                <w:color w:val="000000" w:themeColor="text1"/>
                <w:szCs w:val="21"/>
                <w:highlight w:val="none"/>
                <w14:textFill>
                  <w14:solidFill>
                    <w14:schemeClr w14:val="tx1"/>
                  </w14:solidFill>
                </w14:textFill>
              </w:rPr>
              <w:t>分；差不得分。</w:t>
            </w:r>
          </w:p>
        </w:tc>
      </w:tr>
      <w:tr w14:paraId="7522FD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675" w:hRule="atLeast"/>
          <w:jc w:val="center"/>
        </w:trPr>
        <w:tc>
          <w:tcPr>
            <w:tcW w:w="808" w:type="dxa"/>
            <w:vMerge w:val="continue"/>
            <w:tcBorders>
              <w:right w:val="single" w:color="auto" w:sz="4" w:space="0"/>
            </w:tcBorders>
            <w:vAlign w:val="center"/>
          </w:tcPr>
          <w:p w14:paraId="72D7D88F">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5D9BDAC3">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2587" w:type="dxa"/>
            <w:tcBorders>
              <w:top w:val="single" w:color="auto" w:sz="4" w:space="0"/>
              <w:bottom w:val="single" w:color="auto" w:sz="4" w:space="0"/>
            </w:tcBorders>
            <w:vAlign w:val="center"/>
          </w:tcPr>
          <w:p w14:paraId="3F244B93">
            <w:pPr>
              <w:tabs>
                <w:tab w:val="left" w:pos="1875"/>
              </w:tabs>
              <w:spacing w:line="400" w:lineRule="exact"/>
              <w:jc w:val="center"/>
              <w:rPr>
                <w:rFonts w:hint="eastAsia" w:ascii="宋体" w:hAnsi="宋体"/>
                <w:color w:val="000000" w:themeColor="text1"/>
                <w:highlight w:val="none"/>
                <w14:textFill>
                  <w14:solidFill>
                    <w14:schemeClr w14:val="tx1"/>
                  </w14:solidFill>
                </w14:textFill>
              </w:rPr>
            </w:pPr>
            <w:r>
              <w:rPr>
                <w:rStyle w:val="56"/>
                <w:rFonts w:hint="eastAsia" w:ascii="宋体" w:hAnsi="宋体"/>
                <w:color w:val="000000" w:themeColor="text1"/>
                <w:szCs w:val="21"/>
                <w:highlight w:val="none"/>
                <w:lang w:val="en-US" w:eastAsia="zh-CN"/>
                <w14:textFill>
                  <w14:solidFill>
                    <w14:schemeClr w14:val="tx1"/>
                  </w14:solidFill>
                </w14:textFill>
              </w:rPr>
              <w:t>预算编制及</w:t>
            </w:r>
            <w:r>
              <w:rPr>
                <w:rStyle w:val="56"/>
                <w:rFonts w:ascii="宋体" w:hAnsi="宋体"/>
                <w:color w:val="000000" w:themeColor="text1"/>
                <w:szCs w:val="21"/>
                <w:highlight w:val="none"/>
                <w14:textFill>
                  <w14:solidFill>
                    <w14:schemeClr w14:val="tx1"/>
                  </w14:solidFill>
                </w14:textFill>
              </w:rPr>
              <w:t>全过程造价控制进度控制的措施（</w:t>
            </w:r>
            <w:r>
              <w:rPr>
                <w:rStyle w:val="56"/>
                <w:rFonts w:hint="eastAsia" w:ascii="宋体" w:hAnsi="宋体"/>
                <w:color w:val="000000" w:themeColor="text1"/>
                <w:szCs w:val="21"/>
                <w:highlight w:val="none"/>
                <w:lang w:val="en-US" w:eastAsia="zh-CN"/>
                <w14:textFill>
                  <w14:solidFill>
                    <w14:schemeClr w14:val="tx1"/>
                  </w14:solidFill>
                </w14:textFill>
              </w:rPr>
              <w:t>10</w:t>
            </w:r>
            <w:r>
              <w:rPr>
                <w:rStyle w:val="56"/>
                <w:rFonts w:ascii="宋体" w:hAnsi="宋体"/>
                <w:color w:val="000000" w:themeColor="text1"/>
                <w:szCs w:val="21"/>
                <w:highlight w:val="none"/>
                <w14:textFill>
                  <w14:solidFill>
                    <w14:schemeClr w14:val="tx1"/>
                  </w14:solidFill>
                </w14:textFill>
              </w:rPr>
              <w:t>分）</w:t>
            </w:r>
          </w:p>
        </w:tc>
        <w:tc>
          <w:tcPr>
            <w:tcW w:w="5738" w:type="dxa"/>
            <w:vAlign w:val="center"/>
          </w:tcPr>
          <w:p w14:paraId="6E740CFB">
            <w:pPr>
              <w:snapToGrid w:val="0"/>
              <w:spacing w:line="400" w:lineRule="exact"/>
              <w:ind w:firstLine="420" w:firstLineChars="200"/>
              <w:rPr>
                <w:rFonts w:hint="eastAsia" w:ascii="宋体" w:hAnsi="宋体"/>
                <w:color w:val="000000" w:themeColor="text1"/>
                <w:highlight w:val="none"/>
                <w:u w:val="single"/>
                <w14:textFill>
                  <w14:solidFill>
                    <w14:schemeClr w14:val="tx1"/>
                  </w14:solidFill>
                </w14:textFill>
              </w:rPr>
            </w:pPr>
            <w:r>
              <w:rPr>
                <w:rStyle w:val="56"/>
                <w:rFonts w:hint="eastAsia" w:ascii="宋体" w:hAnsi="宋体"/>
                <w:color w:val="000000" w:themeColor="text1"/>
                <w:szCs w:val="21"/>
                <w:highlight w:val="none"/>
                <w14:textFill>
                  <w14:solidFill>
                    <w14:schemeClr w14:val="tx1"/>
                  </w14:solidFill>
                </w14:textFill>
              </w:rPr>
              <w:t>编制要点：各有效竞选人针对本工程</w:t>
            </w:r>
            <w:r>
              <w:rPr>
                <w:rStyle w:val="56"/>
                <w:rFonts w:hint="eastAsia" w:ascii="宋体" w:hAnsi="宋体"/>
                <w:color w:val="000000" w:themeColor="text1"/>
                <w:szCs w:val="21"/>
                <w:highlight w:val="none"/>
                <w:lang w:val="en-US" w:eastAsia="zh-CN"/>
                <w14:textFill>
                  <w14:solidFill>
                    <w14:schemeClr w14:val="tx1"/>
                  </w14:solidFill>
                </w14:textFill>
              </w:rPr>
              <w:t>预算编制及</w:t>
            </w:r>
            <w:r>
              <w:rPr>
                <w:rStyle w:val="56"/>
                <w:rFonts w:hint="eastAsia" w:ascii="宋体" w:hAnsi="宋体"/>
                <w:color w:val="000000" w:themeColor="text1"/>
                <w:szCs w:val="21"/>
                <w:highlight w:val="none"/>
                <w14:textFill>
                  <w14:solidFill>
                    <w14:schemeClr w14:val="tx1"/>
                  </w14:solidFill>
                </w14:textFill>
              </w:rPr>
              <w:t>全过程造价</w:t>
            </w:r>
            <w:r>
              <w:rPr>
                <w:rStyle w:val="56"/>
                <w:rFonts w:ascii="宋体" w:hAnsi="宋体"/>
                <w:color w:val="000000" w:themeColor="text1"/>
                <w:szCs w:val="21"/>
                <w:highlight w:val="none"/>
                <w14:textFill>
                  <w14:solidFill>
                    <w14:schemeClr w14:val="tx1"/>
                  </w14:solidFill>
                </w14:textFill>
              </w:rPr>
              <w:t>控制</w:t>
            </w:r>
            <w:r>
              <w:rPr>
                <w:rStyle w:val="56"/>
                <w:rFonts w:hint="eastAsia" w:ascii="宋体" w:hAnsi="宋体"/>
                <w:color w:val="000000" w:themeColor="text1"/>
                <w:szCs w:val="21"/>
                <w:highlight w:val="none"/>
                <w14:textFill>
                  <w14:solidFill>
                    <w14:schemeClr w14:val="tx1"/>
                  </w14:solidFill>
                </w14:textFill>
              </w:rPr>
              <w:t>进度，合理管理造价在施工过程中的进度控制，拟定整个方案和计划安排合理可行的；优得</w:t>
            </w:r>
            <w:r>
              <w:rPr>
                <w:rStyle w:val="56"/>
                <w:rFonts w:ascii="宋体" w:hAnsi="宋体"/>
                <w:color w:val="000000" w:themeColor="text1"/>
                <w:szCs w:val="21"/>
                <w:highlight w:val="none"/>
                <w14:textFill>
                  <w14:solidFill>
                    <w14:schemeClr w14:val="tx1"/>
                  </w14:solidFill>
                </w14:textFill>
              </w:rPr>
              <w:t>7-</w:t>
            </w:r>
            <w:r>
              <w:rPr>
                <w:rStyle w:val="56"/>
                <w:rFonts w:hint="eastAsia" w:ascii="宋体" w:hAnsi="宋体"/>
                <w:color w:val="000000" w:themeColor="text1"/>
                <w:szCs w:val="21"/>
                <w:highlight w:val="none"/>
                <w:lang w:val="en-US" w:eastAsia="zh-CN"/>
                <w14:textFill>
                  <w14:solidFill>
                    <w14:schemeClr w14:val="tx1"/>
                  </w14:solidFill>
                </w14:textFill>
              </w:rPr>
              <w:t>10</w:t>
            </w:r>
            <w:r>
              <w:rPr>
                <w:rStyle w:val="56"/>
                <w:rFonts w:hint="eastAsia" w:ascii="宋体" w:hAnsi="宋体"/>
                <w:color w:val="000000" w:themeColor="text1"/>
                <w:szCs w:val="21"/>
                <w:highlight w:val="none"/>
                <w14:textFill>
                  <w14:solidFill>
                    <w14:schemeClr w14:val="tx1"/>
                  </w14:solidFill>
                </w14:textFill>
              </w:rPr>
              <w:t>分；良得</w:t>
            </w:r>
            <w:r>
              <w:rPr>
                <w:rStyle w:val="56"/>
                <w:rFonts w:ascii="宋体" w:hAnsi="宋体"/>
                <w:color w:val="000000" w:themeColor="text1"/>
                <w:szCs w:val="21"/>
                <w:highlight w:val="none"/>
                <w14:textFill>
                  <w14:solidFill>
                    <w14:schemeClr w14:val="tx1"/>
                  </w14:solidFill>
                </w14:textFill>
              </w:rPr>
              <w:t>3-6</w:t>
            </w:r>
            <w:r>
              <w:rPr>
                <w:rStyle w:val="56"/>
                <w:rFonts w:hint="eastAsia" w:ascii="宋体" w:hAnsi="宋体"/>
                <w:color w:val="000000" w:themeColor="text1"/>
                <w:szCs w:val="21"/>
                <w:highlight w:val="none"/>
                <w14:textFill>
                  <w14:solidFill>
                    <w14:schemeClr w14:val="tx1"/>
                  </w14:solidFill>
                </w14:textFill>
              </w:rPr>
              <w:t>分；一般得</w:t>
            </w:r>
            <w:r>
              <w:rPr>
                <w:rStyle w:val="56"/>
                <w:rFonts w:ascii="宋体" w:hAnsi="宋体"/>
                <w:color w:val="000000" w:themeColor="text1"/>
                <w:szCs w:val="21"/>
                <w:highlight w:val="none"/>
                <w14:textFill>
                  <w14:solidFill>
                    <w14:schemeClr w14:val="tx1"/>
                  </w14:solidFill>
                </w14:textFill>
              </w:rPr>
              <w:t>1-2</w:t>
            </w:r>
            <w:r>
              <w:rPr>
                <w:rStyle w:val="56"/>
                <w:rFonts w:hint="eastAsia" w:ascii="宋体" w:hAnsi="宋体"/>
                <w:color w:val="000000" w:themeColor="text1"/>
                <w:szCs w:val="21"/>
                <w:highlight w:val="none"/>
                <w14:textFill>
                  <w14:solidFill>
                    <w14:schemeClr w14:val="tx1"/>
                  </w14:solidFill>
                </w14:textFill>
              </w:rPr>
              <w:t>分；差不得分。</w:t>
            </w:r>
          </w:p>
        </w:tc>
      </w:tr>
      <w:tr w14:paraId="71AACE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14:paraId="5A6155BA">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6322A8A5">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2587" w:type="dxa"/>
            <w:tcBorders>
              <w:top w:val="single" w:color="auto" w:sz="4" w:space="0"/>
            </w:tcBorders>
            <w:vAlign w:val="center"/>
          </w:tcPr>
          <w:p w14:paraId="43ACA73F">
            <w:pPr>
              <w:tabs>
                <w:tab w:val="left" w:pos="1875"/>
              </w:tabs>
              <w:spacing w:line="400" w:lineRule="exact"/>
              <w:jc w:val="center"/>
              <w:rPr>
                <w:rFonts w:hint="eastAsia" w:ascii="宋体" w:hAnsi="宋体"/>
                <w:color w:val="000000" w:themeColor="text1"/>
                <w:szCs w:val="21"/>
                <w:highlight w:val="none"/>
                <w14:textFill>
                  <w14:solidFill>
                    <w14:schemeClr w14:val="tx1"/>
                  </w14:solidFill>
                </w14:textFill>
              </w:rPr>
            </w:pPr>
            <w:r>
              <w:rPr>
                <w:rStyle w:val="56"/>
                <w:rFonts w:ascii="宋体" w:hAnsi="宋体"/>
                <w:color w:val="000000" w:themeColor="text1"/>
                <w:szCs w:val="21"/>
                <w:highlight w:val="none"/>
                <w14:textFill>
                  <w14:solidFill>
                    <w14:schemeClr w14:val="tx1"/>
                  </w14:solidFill>
                </w14:textFill>
              </w:rPr>
              <w:t>成本管控方案（</w:t>
            </w:r>
            <w:r>
              <w:rPr>
                <w:rStyle w:val="56"/>
                <w:rFonts w:hint="eastAsia" w:ascii="宋体" w:hAnsi="宋体"/>
                <w:color w:val="000000" w:themeColor="text1"/>
                <w:szCs w:val="21"/>
                <w:highlight w:val="none"/>
                <w:lang w:val="en-US" w:eastAsia="zh-CN"/>
                <w14:textFill>
                  <w14:solidFill>
                    <w14:schemeClr w14:val="tx1"/>
                  </w14:solidFill>
                </w14:textFill>
              </w:rPr>
              <w:t>10</w:t>
            </w:r>
            <w:r>
              <w:rPr>
                <w:rStyle w:val="56"/>
                <w:rFonts w:ascii="宋体" w:hAnsi="宋体"/>
                <w:color w:val="000000" w:themeColor="text1"/>
                <w:szCs w:val="21"/>
                <w:highlight w:val="none"/>
                <w14:textFill>
                  <w14:solidFill>
                    <w14:schemeClr w14:val="tx1"/>
                  </w14:solidFill>
                </w14:textFill>
              </w:rPr>
              <w:t>分）</w:t>
            </w:r>
          </w:p>
        </w:tc>
        <w:tc>
          <w:tcPr>
            <w:tcW w:w="5738" w:type="dxa"/>
            <w:vAlign w:val="center"/>
          </w:tcPr>
          <w:p w14:paraId="5198E58A">
            <w:pPr>
              <w:snapToGrid w:val="0"/>
              <w:spacing w:line="380" w:lineRule="exact"/>
              <w:ind w:firstLine="420" w:firstLineChars="200"/>
              <w:jc w:val="left"/>
              <w:rPr>
                <w:rFonts w:hint="eastAsia" w:ascii="宋体" w:hAnsi="宋体"/>
                <w:color w:val="000000" w:themeColor="text1"/>
                <w:highlight w:val="none"/>
                <w:u w:val="single"/>
                <w14:textFill>
                  <w14:solidFill>
                    <w14:schemeClr w14:val="tx1"/>
                  </w14:solidFill>
                </w14:textFill>
              </w:rPr>
            </w:pPr>
            <w:r>
              <w:rPr>
                <w:rStyle w:val="56"/>
                <w:rFonts w:hint="eastAsia" w:ascii="宋体" w:hAnsi="宋体"/>
                <w:color w:val="000000" w:themeColor="text1"/>
                <w:szCs w:val="21"/>
                <w:highlight w:val="none"/>
                <w14:textFill>
                  <w14:solidFill>
                    <w14:schemeClr w14:val="tx1"/>
                  </w14:solidFill>
                </w14:textFill>
              </w:rPr>
              <w:t>编制要点：各有效竞选人针对本工程</w:t>
            </w:r>
            <w:r>
              <w:rPr>
                <w:rStyle w:val="56"/>
                <w:rFonts w:hint="eastAsia" w:ascii="宋体" w:hAnsi="宋体"/>
                <w:color w:val="000000" w:themeColor="text1"/>
                <w:szCs w:val="21"/>
                <w:highlight w:val="none"/>
                <w:lang w:val="en-US" w:eastAsia="zh-CN"/>
                <w14:textFill>
                  <w14:solidFill>
                    <w14:schemeClr w14:val="tx1"/>
                  </w14:solidFill>
                </w14:textFill>
              </w:rPr>
              <w:t>预算编制及</w:t>
            </w:r>
            <w:r>
              <w:rPr>
                <w:rStyle w:val="56"/>
                <w:rFonts w:hint="eastAsia" w:ascii="宋体" w:hAnsi="宋体"/>
                <w:color w:val="000000" w:themeColor="text1"/>
                <w:szCs w:val="21"/>
                <w:highlight w:val="none"/>
                <w14:textFill>
                  <w14:solidFill>
                    <w14:schemeClr w14:val="tx1"/>
                  </w14:solidFill>
                </w14:textFill>
              </w:rPr>
              <w:t>全过程造价</w:t>
            </w:r>
            <w:r>
              <w:rPr>
                <w:rStyle w:val="56"/>
                <w:rFonts w:ascii="宋体" w:hAnsi="宋体"/>
                <w:color w:val="000000" w:themeColor="text1"/>
                <w:szCs w:val="21"/>
                <w:highlight w:val="none"/>
                <w14:textFill>
                  <w14:solidFill>
                    <w14:schemeClr w14:val="tx1"/>
                  </w14:solidFill>
                </w14:textFill>
              </w:rPr>
              <w:t>成本管控方案</w:t>
            </w:r>
            <w:r>
              <w:rPr>
                <w:rStyle w:val="56"/>
                <w:rFonts w:hint="eastAsia" w:ascii="宋体" w:hAnsi="宋体"/>
                <w:color w:val="000000" w:themeColor="text1"/>
                <w:szCs w:val="21"/>
                <w:highlight w:val="none"/>
                <w14:textFill>
                  <w14:solidFill>
                    <w14:schemeClr w14:val="tx1"/>
                  </w14:solidFill>
                </w14:textFill>
              </w:rPr>
              <w:t>，提出合理化建议、拟定</w:t>
            </w:r>
            <w:r>
              <w:rPr>
                <w:rStyle w:val="56"/>
                <w:rFonts w:ascii="宋体" w:hAnsi="宋体"/>
                <w:color w:val="000000" w:themeColor="text1"/>
                <w:szCs w:val="21"/>
                <w:highlight w:val="none"/>
                <w14:textFill>
                  <w14:solidFill>
                    <w14:schemeClr w14:val="tx1"/>
                  </w14:solidFill>
                </w14:textFill>
              </w:rPr>
              <w:t>成本管控</w:t>
            </w:r>
            <w:r>
              <w:rPr>
                <w:rStyle w:val="56"/>
                <w:rFonts w:hint="eastAsia" w:ascii="宋体" w:hAnsi="宋体"/>
                <w:color w:val="000000" w:themeColor="text1"/>
                <w:szCs w:val="21"/>
                <w:highlight w:val="none"/>
                <w14:textFill>
                  <w14:solidFill>
                    <w14:schemeClr w14:val="tx1"/>
                  </w14:solidFill>
                </w14:textFill>
              </w:rPr>
              <w:t>的方案和切实可行的；优得</w:t>
            </w:r>
            <w:r>
              <w:rPr>
                <w:rStyle w:val="56"/>
                <w:rFonts w:ascii="宋体" w:hAnsi="宋体"/>
                <w:color w:val="000000" w:themeColor="text1"/>
                <w:szCs w:val="21"/>
                <w:highlight w:val="none"/>
                <w14:textFill>
                  <w14:solidFill>
                    <w14:schemeClr w14:val="tx1"/>
                  </w14:solidFill>
                </w14:textFill>
              </w:rPr>
              <w:t>7-</w:t>
            </w:r>
            <w:r>
              <w:rPr>
                <w:rStyle w:val="56"/>
                <w:rFonts w:hint="eastAsia" w:ascii="宋体" w:hAnsi="宋体"/>
                <w:color w:val="000000" w:themeColor="text1"/>
                <w:szCs w:val="21"/>
                <w:highlight w:val="none"/>
                <w:lang w:val="en-US" w:eastAsia="zh-CN"/>
                <w14:textFill>
                  <w14:solidFill>
                    <w14:schemeClr w14:val="tx1"/>
                  </w14:solidFill>
                </w14:textFill>
              </w:rPr>
              <w:t>10</w:t>
            </w:r>
            <w:r>
              <w:rPr>
                <w:rStyle w:val="56"/>
                <w:rFonts w:hint="eastAsia" w:ascii="宋体" w:hAnsi="宋体"/>
                <w:color w:val="000000" w:themeColor="text1"/>
                <w:szCs w:val="21"/>
                <w:highlight w:val="none"/>
                <w14:textFill>
                  <w14:solidFill>
                    <w14:schemeClr w14:val="tx1"/>
                  </w14:solidFill>
                </w14:textFill>
              </w:rPr>
              <w:t>分；良得</w:t>
            </w:r>
            <w:r>
              <w:rPr>
                <w:rStyle w:val="56"/>
                <w:rFonts w:ascii="宋体" w:hAnsi="宋体"/>
                <w:color w:val="000000" w:themeColor="text1"/>
                <w:szCs w:val="21"/>
                <w:highlight w:val="none"/>
                <w14:textFill>
                  <w14:solidFill>
                    <w14:schemeClr w14:val="tx1"/>
                  </w14:solidFill>
                </w14:textFill>
              </w:rPr>
              <w:t>3-6</w:t>
            </w:r>
            <w:r>
              <w:rPr>
                <w:rStyle w:val="56"/>
                <w:rFonts w:hint="eastAsia" w:ascii="宋体" w:hAnsi="宋体"/>
                <w:color w:val="000000" w:themeColor="text1"/>
                <w:szCs w:val="21"/>
                <w:highlight w:val="none"/>
                <w14:textFill>
                  <w14:solidFill>
                    <w14:schemeClr w14:val="tx1"/>
                  </w14:solidFill>
                </w14:textFill>
              </w:rPr>
              <w:t>分；一般得</w:t>
            </w:r>
            <w:r>
              <w:rPr>
                <w:rStyle w:val="56"/>
                <w:rFonts w:ascii="宋体" w:hAnsi="宋体"/>
                <w:color w:val="000000" w:themeColor="text1"/>
                <w:szCs w:val="21"/>
                <w:highlight w:val="none"/>
                <w14:textFill>
                  <w14:solidFill>
                    <w14:schemeClr w14:val="tx1"/>
                  </w14:solidFill>
                </w14:textFill>
              </w:rPr>
              <w:t>1-2</w:t>
            </w:r>
            <w:r>
              <w:rPr>
                <w:rStyle w:val="56"/>
                <w:rFonts w:hint="eastAsia" w:ascii="宋体" w:hAnsi="宋体"/>
                <w:color w:val="000000" w:themeColor="text1"/>
                <w:szCs w:val="21"/>
                <w:highlight w:val="none"/>
                <w14:textFill>
                  <w14:solidFill>
                    <w14:schemeClr w14:val="tx1"/>
                  </w14:solidFill>
                </w14:textFill>
              </w:rPr>
              <w:t>分；差不得分。</w:t>
            </w:r>
          </w:p>
        </w:tc>
      </w:tr>
      <w:tr w14:paraId="55D5D9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08" w:type="dxa"/>
            <w:vAlign w:val="center"/>
          </w:tcPr>
          <w:p w14:paraId="40B47588">
            <w:pPr>
              <w:spacing w:line="40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r>
              <w:rPr>
                <w:rFonts w:ascii="宋体" w:hAnsi="宋体"/>
                <w:color w:val="000000" w:themeColor="text1"/>
                <w:highlight w:val="none"/>
                <w14:textFill>
                  <w14:solidFill>
                    <w14:schemeClr w14:val="tx1"/>
                  </w14:solidFill>
                </w14:textFill>
              </w:rPr>
              <w:t>.2.4（2）</w:t>
            </w:r>
          </w:p>
        </w:tc>
        <w:tc>
          <w:tcPr>
            <w:tcW w:w="852" w:type="dxa"/>
            <w:vAlign w:val="center"/>
          </w:tcPr>
          <w:p w14:paraId="660DAC82">
            <w:pPr>
              <w:spacing w:line="400" w:lineRule="exact"/>
              <w:jc w:val="center"/>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投标报价</w:t>
            </w:r>
            <w:r>
              <w:rPr>
                <w:rFonts w:hint="eastAsia" w:ascii="宋体" w:hAnsi="宋体"/>
                <w:color w:val="000000" w:themeColor="text1"/>
                <w:highlight w:val="none"/>
                <w14:textFill>
                  <w14:solidFill>
                    <w14:schemeClr w14:val="tx1"/>
                  </w14:solidFill>
                </w14:textFill>
              </w:rPr>
              <w:t>评分（</w:t>
            </w:r>
            <w:r>
              <w:rPr>
                <w:rFonts w:ascii="宋体" w:hAnsi="宋体"/>
                <w:color w:val="000000" w:themeColor="text1"/>
                <w:highlight w:val="none"/>
                <w14:textFill>
                  <w14:solidFill>
                    <w14:schemeClr w14:val="tx1"/>
                  </w14:solidFill>
                </w14:textFill>
              </w:rPr>
              <w:t>B</w:t>
            </w:r>
            <w:r>
              <w:rPr>
                <w:rFonts w:hint="eastAsia" w:ascii="宋体" w:hAnsi="宋体"/>
                <w:color w:val="000000" w:themeColor="text1"/>
                <w:highlight w:val="none"/>
                <w14:textFill>
                  <w14:solidFill>
                    <w14:schemeClr w14:val="tx1"/>
                  </w14:solidFill>
                </w14:textFill>
              </w:rPr>
              <w:t>）标准</w:t>
            </w:r>
          </w:p>
        </w:tc>
        <w:tc>
          <w:tcPr>
            <w:tcW w:w="2587" w:type="dxa"/>
            <w:tcBorders>
              <w:top w:val="single" w:color="auto" w:sz="4" w:space="0"/>
              <w:bottom w:val="single" w:color="auto" w:sz="4" w:space="0"/>
            </w:tcBorders>
            <w:vAlign w:val="center"/>
          </w:tcPr>
          <w:p w14:paraId="359FE9B8">
            <w:pPr>
              <w:spacing w:line="400" w:lineRule="exact"/>
              <w:jc w:val="center"/>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投标报价</w:t>
            </w:r>
          </w:p>
        </w:tc>
        <w:tc>
          <w:tcPr>
            <w:tcW w:w="5738" w:type="dxa"/>
            <w:vAlign w:val="center"/>
          </w:tcPr>
          <w:p w14:paraId="386DDDB1">
            <w:pPr>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所有通过初步评审和本章第2.2.</w:t>
            </w: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）目评审合格的竞选人，投标总报价得本附表第2.2.1项规定分值的满分。</w:t>
            </w:r>
            <w:r>
              <w:rPr>
                <w:rFonts w:ascii="宋体" w:hAnsi="宋体"/>
                <w:color w:val="000000" w:themeColor="text1"/>
                <w:highlight w:val="none"/>
                <w14:textFill>
                  <w14:solidFill>
                    <w14:schemeClr w14:val="tx1"/>
                  </w14:solidFill>
                </w14:textFill>
              </w:rPr>
              <w:t>在此基础上，</w:t>
            </w:r>
            <w:r>
              <w:rPr>
                <w:color w:val="000000" w:themeColor="text1"/>
                <w:highlight w:val="none"/>
                <w14:textFill>
                  <w14:solidFill>
                    <w14:schemeClr w14:val="tx1"/>
                  </w14:solidFill>
                </w14:textFill>
              </w:rPr>
              <w:t>投标总报价与评标基准价相比，每增加1%扣</w:t>
            </w:r>
            <w:r>
              <w:rPr>
                <w:rFonts w:hint="eastAsia"/>
                <w:color w:val="000000" w:themeColor="text1"/>
                <w:highlight w:val="none"/>
                <w:u w:val="single"/>
                <w:lang w:val="en-US" w:eastAsia="zh-CN"/>
                <w14:textFill>
                  <w14:solidFill>
                    <w14:schemeClr w14:val="tx1"/>
                  </w14:solidFill>
                </w14:textFill>
              </w:rPr>
              <w:t xml:space="preserve">0.5 </w:t>
            </w:r>
            <w:r>
              <w:rPr>
                <w:color w:val="000000" w:themeColor="text1"/>
                <w:highlight w:val="none"/>
                <w14:textFill>
                  <w14:solidFill>
                    <w14:schemeClr w14:val="tx1"/>
                  </w14:solidFill>
                </w14:textFill>
              </w:rPr>
              <w:t>分，每减少1%扣</w:t>
            </w:r>
            <w:r>
              <w:rPr>
                <w:rFonts w:hint="eastAsia"/>
                <w:color w:val="000000" w:themeColor="text1"/>
                <w:highlight w:val="none"/>
                <w:u w:val="single"/>
                <w:lang w:val="en-US" w:eastAsia="zh-CN"/>
                <w14:textFill>
                  <w14:solidFill>
                    <w14:schemeClr w14:val="tx1"/>
                  </w14:solidFill>
                </w14:textFill>
              </w:rPr>
              <w:t>0.25</w:t>
            </w:r>
            <w:r>
              <w:rPr>
                <w:rFonts w:hint="eastAsia"/>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分</w:t>
            </w:r>
            <w:r>
              <w:rPr>
                <w:rFonts w:ascii="宋体" w:hAnsi="宋体"/>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最多扣</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5 </w:t>
            </w:r>
            <w:r>
              <w:rPr>
                <w:rFonts w:hint="eastAsia"/>
                <w:color w:val="000000" w:themeColor="text1"/>
                <w:highlight w:val="none"/>
                <w14:textFill>
                  <w14:solidFill>
                    <w14:schemeClr w14:val="tx1"/>
                  </w14:solidFill>
                </w14:textFill>
              </w:rPr>
              <w:t>分</w:t>
            </w:r>
            <w:r>
              <w:rPr>
                <w:color w:val="000000" w:themeColor="text1"/>
                <w:highlight w:val="none"/>
                <w14:textFill>
                  <w14:solidFill>
                    <w14:schemeClr w14:val="tx1"/>
                  </w14:solidFill>
                </w14:textFill>
              </w:rPr>
              <w:t>。</w:t>
            </w:r>
          </w:p>
          <w:p w14:paraId="76D6563F">
            <w:pPr>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按插入法计算得分。</w:t>
            </w:r>
          </w:p>
          <w:p w14:paraId="17B7ABA5">
            <w:pPr>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未参与评标基准价计算的投标</w:t>
            </w:r>
            <w:r>
              <w:rPr>
                <w:rFonts w:hint="eastAsia" w:ascii="宋体" w:hAnsi="宋体"/>
                <w:color w:val="000000" w:themeColor="text1"/>
                <w:highlight w:val="none"/>
                <w14:textFill>
                  <w14:solidFill>
                    <w14:schemeClr w14:val="tx1"/>
                  </w14:solidFill>
                </w14:textFill>
              </w:rPr>
              <w:t>总</w:t>
            </w:r>
            <w:r>
              <w:rPr>
                <w:rFonts w:ascii="宋体" w:hAnsi="宋体"/>
                <w:color w:val="000000" w:themeColor="text1"/>
                <w:highlight w:val="none"/>
                <w14:textFill>
                  <w14:solidFill>
                    <w14:schemeClr w14:val="tx1"/>
                  </w14:solidFill>
                </w14:textFill>
              </w:rPr>
              <w:t>报价，仍应参加计算相应分值。</w:t>
            </w:r>
          </w:p>
          <w:p w14:paraId="7C409D0C">
            <w:pPr>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投标总报价得分最终结果</w:t>
            </w:r>
            <w:r>
              <w:rPr>
                <w:rFonts w:ascii="宋体" w:hAnsi="宋体"/>
                <w:color w:val="000000" w:themeColor="text1"/>
                <w:highlight w:val="none"/>
                <w14:textFill>
                  <w14:solidFill>
                    <w14:schemeClr w14:val="tx1"/>
                  </w14:solidFill>
                </w14:textFill>
              </w:rPr>
              <w:t>取小数点后两位，第三位四舍五入。</w:t>
            </w:r>
          </w:p>
        </w:tc>
      </w:tr>
      <w:tr w14:paraId="7176BE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14:paraId="08129F9E">
            <w:pPr>
              <w:spacing w:line="40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w:t>
            </w:r>
          </w:p>
        </w:tc>
        <w:tc>
          <w:tcPr>
            <w:tcW w:w="2587" w:type="dxa"/>
            <w:tcBorders>
              <w:top w:val="single" w:color="auto" w:sz="4" w:space="0"/>
              <w:bottom w:val="single" w:color="auto" w:sz="4" w:space="0"/>
            </w:tcBorders>
            <w:vAlign w:val="center"/>
          </w:tcPr>
          <w:p w14:paraId="4D821EB4">
            <w:pPr>
              <w:spacing w:line="40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评标程序</w:t>
            </w:r>
          </w:p>
        </w:tc>
        <w:tc>
          <w:tcPr>
            <w:tcW w:w="5738" w:type="dxa"/>
            <w:vAlign w:val="center"/>
          </w:tcPr>
          <w:p w14:paraId="13E0C2F9">
            <w:pPr>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1.按本章评标办法第3.1款进行初步评审。未通过初步评审或评标委员会认定为无效的竞选文件的不再进行后续评审。</w:t>
            </w:r>
          </w:p>
          <w:p w14:paraId="30A48D4B">
            <w:pPr>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2.按本章评标办法前附表第2.2.</w:t>
            </w:r>
            <w:r>
              <w:rPr>
                <w:rFonts w:ascii="宋体" w:hAnsi="宋体"/>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（1）目的规定对技术部分进行评审。</w:t>
            </w:r>
          </w:p>
          <w:p w14:paraId="33CD50FC">
            <w:pPr>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因评标委员会作否决投标处理导致有效竞选人不足三个的，评标委员会应当否决所有投标。但是有效竞选人的经济、技术等指标仍然具有市场竞争力，能够满足竞争性比选要求的，评标委员会可以继续评标并确定中标候选人。</w:t>
            </w:r>
          </w:p>
          <w:p w14:paraId="66A8AC1C">
            <w:pPr>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.经评审合格的竞选人按照本章第2.2.</w:t>
            </w: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项计算方法计算评标基准价，并按本附表第2.2.</w:t>
            </w:r>
            <w:r>
              <w:rPr>
                <w:rFonts w:ascii="宋体" w:hAnsi="宋体"/>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）目规定的评分方法对投标报价进行评分。</w:t>
            </w:r>
          </w:p>
          <w:p w14:paraId="6FDFA2D5">
            <w:pPr>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w:t>
            </w:r>
            <w:r>
              <w:rPr>
                <w:rFonts w:hint="eastAsia" w:ascii="宋体" w:hAnsi="宋体"/>
                <w:color w:val="000000" w:themeColor="text1"/>
                <w:kern w:val="0"/>
                <w:szCs w:val="21"/>
                <w:highlight w:val="none"/>
                <w14:textFill>
                  <w14:solidFill>
                    <w14:schemeClr w14:val="tx1"/>
                  </w14:solidFill>
                </w14:textFill>
              </w:rPr>
              <w:t>.对技术部分、投标报价得分进行汇总，确定得分由高至低前三名竞选人为中标候选人。</w:t>
            </w:r>
          </w:p>
        </w:tc>
      </w:tr>
      <w:tr w14:paraId="7983EE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14:paraId="7375A315">
            <w:pPr>
              <w:spacing w:line="40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3.2.3</w:t>
            </w:r>
          </w:p>
        </w:tc>
        <w:tc>
          <w:tcPr>
            <w:tcW w:w="2587" w:type="dxa"/>
            <w:tcBorders>
              <w:top w:val="single" w:color="auto" w:sz="4" w:space="0"/>
              <w:bottom w:val="single" w:color="auto" w:sz="4" w:space="0"/>
            </w:tcBorders>
            <w:vAlign w:val="center"/>
          </w:tcPr>
          <w:p w14:paraId="02FE6454">
            <w:pPr>
              <w:spacing w:line="40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竞选人得分</w:t>
            </w:r>
          </w:p>
        </w:tc>
        <w:tc>
          <w:tcPr>
            <w:tcW w:w="5738" w:type="dxa"/>
            <w:vAlign w:val="center"/>
          </w:tcPr>
          <w:p w14:paraId="745B9C31">
            <w:pPr>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竞选人得分=</w:t>
            </w:r>
            <w:r>
              <w:rPr>
                <w:rFonts w:hint="eastAsia" w:ascii="宋体" w:hAnsi="宋体"/>
                <w:color w:val="000000" w:themeColor="text1"/>
                <w:kern w:val="0"/>
                <w:szCs w:val="21"/>
                <w:highlight w:val="none"/>
                <w14:textFill>
                  <w14:solidFill>
                    <w14:schemeClr w14:val="tx1"/>
                  </w14:solidFill>
                </w14:textFill>
              </w:rPr>
              <w:t>A+</w:t>
            </w:r>
            <w:r>
              <w:rPr>
                <w:rFonts w:ascii="宋体" w:hAnsi="宋体"/>
                <w:color w:val="000000" w:themeColor="text1"/>
                <w:kern w:val="0"/>
                <w:szCs w:val="21"/>
                <w:highlight w:val="none"/>
                <w14:textFill>
                  <w14:solidFill>
                    <w14:schemeClr w14:val="tx1"/>
                  </w14:solidFill>
                </w14:textFill>
              </w:rPr>
              <w:t>B</w:t>
            </w:r>
          </w:p>
        </w:tc>
      </w:tr>
      <w:tr w14:paraId="68F740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14:paraId="55504901">
            <w:pPr>
              <w:spacing w:line="40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3.4</w:t>
            </w:r>
          </w:p>
        </w:tc>
        <w:tc>
          <w:tcPr>
            <w:tcW w:w="2587" w:type="dxa"/>
            <w:tcBorders>
              <w:top w:val="single" w:color="auto" w:sz="4" w:space="0"/>
            </w:tcBorders>
            <w:vAlign w:val="center"/>
          </w:tcPr>
          <w:p w14:paraId="040D94F1">
            <w:pPr>
              <w:spacing w:line="40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评标结果</w:t>
            </w:r>
          </w:p>
        </w:tc>
        <w:tc>
          <w:tcPr>
            <w:tcW w:w="5738" w:type="dxa"/>
            <w:vAlign w:val="center"/>
          </w:tcPr>
          <w:p w14:paraId="18179268">
            <w:pPr>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3.4.1</w:t>
            </w:r>
            <w:r>
              <w:rPr>
                <w:rFonts w:ascii="宋体" w:hAnsi="宋体"/>
                <w:color w:val="000000" w:themeColor="text1"/>
                <w:highlight w:val="none"/>
                <w14:textFill>
                  <w14:solidFill>
                    <w14:schemeClr w14:val="tx1"/>
                  </w14:solidFill>
                </w14:textFill>
              </w:rPr>
              <w:t>除第二章“竞选人须知”前附表授权直接确定中选人外，评标委员会按照得分由高到低的顺序推荐中标候选人，并标明排序。</w:t>
            </w:r>
          </w:p>
          <w:p w14:paraId="5B5863BD">
            <w:pPr>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3.4.2 评标委员会完成评标后，应当向招标人提交书面评标报告和中标候选人名单。</w:t>
            </w:r>
          </w:p>
        </w:tc>
      </w:tr>
    </w:tbl>
    <w:p w14:paraId="7066A5A3">
      <w:pPr>
        <w:pStyle w:val="3"/>
        <w:rPr>
          <w:rFonts w:hint="eastAsia" w:ascii="宋体" w:hAnsi="宋体"/>
          <w:b w:val="0"/>
          <w:snapToGrid w:val="0"/>
          <w:color w:val="000000" w:themeColor="text1"/>
          <w:highlight w:val="none"/>
          <w14:textFill>
            <w14:solidFill>
              <w14:schemeClr w14:val="tx1"/>
            </w14:solidFill>
          </w14:textFill>
        </w:rPr>
      </w:pPr>
      <w:bookmarkStart w:id="622" w:name="_Toc509218776"/>
      <w:r>
        <w:rPr>
          <w:rFonts w:ascii="宋体" w:hAnsi="宋体"/>
          <w:b w:val="0"/>
          <w:snapToGrid w:val="0"/>
          <w:color w:val="000000" w:themeColor="text1"/>
          <w:highlight w:val="none"/>
          <w14:textFill>
            <w14:solidFill>
              <w14:schemeClr w14:val="tx1"/>
            </w14:solidFill>
          </w14:textFill>
        </w:rPr>
        <w:br w:type="page"/>
      </w:r>
      <w:bookmarkStart w:id="623" w:name="_Toc2468"/>
      <w:bookmarkStart w:id="624" w:name="_Toc122515230"/>
      <w:r>
        <w:rPr>
          <w:rFonts w:ascii="宋体" w:hAnsi="宋体"/>
          <w:b w:val="0"/>
          <w:snapToGrid w:val="0"/>
          <w:color w:val="000000" w:themeColor="text1"/>
          <w:highlight w:val="none"/>
          <w14:textFill>
            <w14:solidFill>
              <w14:schemeClr w14:val="tx1"/>
            </w14:solidFill>
          </w14:textFill>
        </w:rPr>
        <w:t>1.  评标方法</w:t>
      </w:r>
      <w:bookmarkEnd w:id="622"/>
      <w:bookmarkEnd w:id="623"/>
      <w:bookmarkEnd w:id="624"/>
    </w:p>
    <w:p w14:paraId="2CED5880">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本次评标采用综合评估法</w:t>
      </w:r>
      <w:r>
        <w:rPr>
          <w:rFonts w:ascii="宋体" w:hAnsi="宋体"/>
          <w:color w:val="000000" w:themeColor="text1"/>
          <w:spacing w:val="-47"/>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 xml:space="preserve">评标委员会对满足竞争性比选实质性要求的竞选文件，按照本章第 </w:t>
      </w:r>
      <w:r>
        <w:rPr>
          <w:rFonts w:ascii="宋体" w:hAnsi="宋体"/>
          <w:color w:val="000000" w:themeColor="text1"/>
          <w:spacing w:val="1"/>
          <w:kern w:val="0"/>
          <w:szCs w:val="21"/>
          <w:highlight w:val="none"/>
          <w14:textFill>
            <w14:solidFill>
              <w14:schemeClr w14:val="tx1"/>
            </w14:solidFill>
          </w14:textFill>
        </w:rPr>
        <w:t>2</w:t>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2款</w:t>
      </w:r>
      <w:r>
        <w:rPr>
          <w:rFonts w:ascii="宋体" w:hAnsi="宋体"/>
          <w:color w:val="000000" w:themeColor="text1"/>
          <w:spacing w:val="-1"/>
          <w:kern w:val="0"/>
          <w:szCs w:val="21"/>
          <w:highlight w:val="none"/>
          <w14:textFill>
            <w14:solidFill>
              <w14:schemeClr w14:val="tx1"/>
            </w14:solidFill>
          </w14:textFill>
        </w:rPr>
        <w:t>规</w:t>
      </w:r>
      <w:r>
        <w:rPr>
          <w:rFonts w:ascii="宋体" w:hAnsi="宋体"/>
          <w:color w:val="000000" w:themeColor="text1"/>
          <w:kern w:val="0"/>
          <w:szCs w:val="21"/>
          <w:highlight w:val="none"/>
          <w14:textFill>
            <w14:solidFill>
              <w14:schemeClr w14:val="tx1"/>
            </w14:solidFill>
          </w14:textFill>
        </w:rPr>
        <w:t>定的评分标准进行</w:t>
      </w:r>
      <w:r>
        <w:rPr>
          <w:rFonts w:hint="eastAsia" w:ascii="宋体" w:hAnsi="宋体"/>
          <w:color w:val="000000" w:themeColor="text1"/>
          <w:kern w:val="0"/>
          <w:szCs w:val="21"/>
          <w:highlight w:val="none"/>
          <w14:textFill>
            <w14:solidFill>
              <w14:schemeClr w14:val="tx1"/>
            </w14:solidFill>
          </w14:textFill>
        </w:rPr>
        <w:t>评分</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并</w:t>
      </w:r>
      <w:r>
        <w:rPr>
          <w:rFonts w:ascii="宋体" w:hAnsi="宋体"/>
          <w:color w:val="000000" w:themeColor="text1"/>
          <w:kern w:val="0"/>
          <w:szCs w:val="21"/>
          <w:highlight w:val="none"/>
          <w14:textFill>
            <w14:solidFill>
              <w14:schemeClr w14:val="tx1"/>
            </w14:solidFill>
          </w14:textFill>
        </w:rPr>
        <w:t>按得分由高到低顺序推荐中标候选人</w:t>
      </w:r>
      <w:r>
        <w:rPr>
          <w:rFonts w:ascii="宋体" w:hAnsi="宋体"/>
          <w:color w:val="000000" w:themeColor="text1"/>
          <w:spacing w:val="-20"/>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或根据招标人授权直接确定中选人。综合评分相等时，</w:t>
      </w:r>
      <w:r>
        <w:rPr>
          <w:rFonts w:hint="eastAsia" w:ascii="宋体" w:hAnsi="宋体"/>
          <w:color w:val="000000" w:themeColor="text1"/>
          <w:kern w:val="0"/>
          <w:szCs w:val="21"/>
          <w:highlight w:val="none"/>
          <w14:textFill>
            <w14:solidFill>
              <w14:schemeClr w14:val="tx1"/>
            </w14:solidFill>
          </w14:textFill>
        </w:rPr>
        <w:t>以评标办法前附表约定的原则确定</w:t>
      </w:r>
      <w:r>
        <w:rPr>
          <w:rFonts w:ascii="宋体" w:hAnsi="宋体"/>
          <w:color w:val="000000" w:themeColor="text1"/>
          <w:highlight w:val="none"/>
          <w14:textFill>
            <w14:solidFill>
              <w14:schemeClr w14:val="tx1"/>
            </w14:solidFill>
          </w14:textFill>
        </w:rPr>
        <w:t>中标候选人顺序</w:t>
      </w:r>
      <w:r>
        <w:rPr>
          <w:rFonts w:ascii="宋体" w:hAnsi="宋体"/>
          <w:color w:val="000000" w:themeColor="text1"/>
          <w:spacing w:val="-31"/>
          <w:kern w:val="0"/>
          <w:szCs w:val="21"/>
          <w:highlight w:val="none"/>
          <w14:textFill>
            <w14:solidFill>
              <w14:schemeClr w14:val="tx1"/>
            </w14:solidFill>
          </w14:textFill>
        </w:rPr>
        <w:t>。</w:t>
      </w:r>
    </w:p>
    <w:p w14:paraId="2868EAC3">
      <w:pPr>
        <w:pStyle w:val="3"/>
        <w:rPr>
          <w:rFonts w:hint="eastAsia" w:ascii="宋体" w:hAnsi="宋体"/>
          <w:b w:val="0"/>
          <w:snapToGrid w:val="0"/>
          <w:color w:val="000000" w:themeColor="text1"/>
          <w:highlight w:val="none"/>
          <w14:textFill>
            <w14:solidFill>
              <w14:schemeClr w14:val="tx1"/>
            </w14:solidFill>
          </w14:textFill>
        </w:rPr>
      </w:pPr>
      <w:bookmarkStart w:id="625" w:name="_Toc122515231"/>
      <w:bookmarkStart w:id="626" w:name="_Toc8451"/>
      <w:bookmarkStart w:id="627" w:name="_Toc509218777"/>
      <w:r>
        <w:rPr>
          <w:rFonts w:ascii="宋体" w:hAnsi="宋体"/>
          <w:b w:val="0"/>
          <w:snapToGrid w:val="0"/>
          <w:color w:val="000000" w:themeColor="text1"/>
          <w:highlight w:val="none"/>
          <w14:textFill>
            <w14:solidFill>
              <w14:schemeClr w14:val="tx1"/>
            </w14:solidFill>
          </w14:textFill>
        </w:rPr>
        <w:t>2.  评审标准</w:t>
      </w:r>
      <w:bookmarkEnd w:id="625"/>
      <w:bookmarkEnd w:id="626"/>
      <w:bookmarkEnd w:id="627"/>
    </w:p>
    <w:p w14:paraId="5C030086">
      <w:pPr>
        <w:pStyle w:val="4"/>
        <w:snapToGrid w:val="0"/>
        <w:spacing w:before="0" w:line="360" w:lineRule="auto"/>
        <w:rPr>
          <w:rFonts w:hint="eastAsia" w:ascii="宋体" w:hAnsi="宋体"/>
          <w:b w:val="0"/>
          <w:snapToGrid w:val="0"/>
          <w:color w:val="000000" w:themeColor="text1"/>
          <w:szCs w:val="24"/>
          <w:highlight w:val="none"/>
          <w14:textFill>
            <w14:solidFill>
              <w14:schemeClr w14:val="tx1"/>
            </w14:solidFill>
          </w14:textFill>
        </w:rPr>
      </w:pPr>
      <w:bookmarkStart w:id="628" w:name="_Toc11473"/>
      <w:bookmarkStart w:id="629" w:name="_Toc122515232"/>
      <w:bookmarkStart w:id="630" w:name="_Toc509218778"/>
      <w:r>
        <w:rPr>
          <w:rFonts w:ascii="宋体" w:hAnsi="宋体"/>
          <w:b w:val="0"/>
          <w:snapToGrid w:val="0"/>
          <w:color w:val="000000" w:themeColor="text1"/>
          <w:szCs w:val="24"/>
          <w:highlight w:val="none"/>
          <w14:textFill>
            <w14:solidFill>
              <w14:schemeClr w14:val="tx1"/>
            </w14:solidFill>
          </w14:textFill>
        </w:rPr>
        <w:t>2.1  初步评审标准</w:t>
      </w:r>
      <w:bookmarkEnd w:id="628"/>
      <w:bookmarkEnd w:id="629"/>
      <w:bookmarkEnd w:id="630"/>
    </w:p>
    <w:p w14:paraId="7A37EBAB">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w:t>
      </w: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 xml:space="preserve">  资格评审标准：见评标办法前附表（适用于未进行资格预审的）。</w:t>
      </w:r>
    </w:p>
    <w:p w14:paraId="4E58FAE7">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 xml:space="preserve">  形式评审标准：见评标办法前附表。</w:t>
      </w:r>
    </w:p>
    <w:p w14:paraId="469E4C74">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2.1.3  响应性评审标准：见评标办法前附表。</w:t>
      </w:r>
    </w:p>
    <w:p w14:paraId="41E7E47E">
      <w:pPr>
        <w:pStyle w:val="4"/>
        <w:snapToGrid w:val="0"/>
        <w:spacing w:before="0" w:line="360" w:lineRule="auto"/>
        <w:rPr>
          <w:rFonts w:hint="eastAsia" w:ascii="宋体" w:hAnsi="宋体"/>
          <w:b w:val="0"/>
          <w:snapToGrid w:val="0"/>
          <w:color w:val="000000" w:themeColor="text1"/>
          <w:szCs w:val="24"/>
          <w:highlight w:val="none"/>
          <w14:textFill>
            <w14:solidFill>
              <w14:schemeClr w14:val="tx1"/>
            </w14:solidFill>
          </w14:textFill>
        </w:rPr>
      </w:pPr>
      <w:bookmarkStart w:id="631" w:name="_Toc21330"/>
      <w:bookmarkStart w:id="632" w:name="_Toc509218779"/>
      <w:bookmarkStart w:id="633" w:name="_Toc122515233"/>
      <w:r>
        <w:rPr>
          <w:rFonts w:ascii="宋体" w:hAnsi="宋体"/>
          <w:b w:val="0"/>
          <w:snapToGrid w:val="0"/>
          <w:color w:val="000000" w:themeColor="text1"/>
          <w:szCs w:val="24"/>
          <w:highlight w:val="none"/>
          <w14:textFill>
            <w14:solidFill>
              <w14:schemeClr w14:val="tx1"/>
            </w14:solidFill>
          </w14:textFill>
        </w:rPr>
        <w:t>2.2  分值构成与</w:t>
      </w:r>
      <w:r>
        <w:rPr>
          <w:rFonts w:hint="eastAsia" w:ascii="宋体" w:hAnsi="宋体"/>
          <w:b w:val="0"/>
          <w:snapToGrid w:val="0"/>
          <w:color w:val="000000" w:themeColor="text1"/>
          <w:szCs w:val="24"/>
          <w:highlight w:val="none"/>
          <w14:textFill>
            <w14:solidFill>
              <w14:schemeClr w14:val="tx1"/>
            </w14:solidFill>
          </w14:textFill>
        </w:rPr>
        <w:t>评审</w:t>
      </w:r>
      <w:r>
        <w:rPr>
          <w:rFonts w:ascii="宋体" w:hAnsi="宋体"/>
          <w:b w:val="0"/>
          <w:snapToGrid w:val="0"/>
          <w:color w:val="000000" w:themeColor="text1"/>
          <w:szCs w:val="24"/>
          <w:highlight w:val="none"/>
          <w14:textFill>
            <w14:solidFill>
              <w14:schemeClr w14:val="tx1"/>
            </w14:solidFill>
          </w14:textFill>
        </w:rPr>
        <w:t>标准</w:t>
      </w:r>
      <w:bookmarkEnd w:id="631"/>
      <w:bookmarkEnd w:id="632"/>
      <w:bookmarkEnd w:id="633"/>
    </w:p>
    <w:p w14:paraId="78359441">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2.2.1  分值构成</w:t>
      </w:r>
    </w:p>
    <w:p w14:paraId="3A8583B0">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）技术</w:t>
      </w:r>
      <w:r>
        <w:rPr>
          <w:rFonts w:hint="eastAsia" w:ascii="宋体" w:hAnsi="宋体"/>
          <w:color w:val="000000" w:themeColor="text1"/>
          <w:kern w:val="0"/>
          <w:szCs w:val="21"/>
          <w:highlight w:val="none"/>
          <w14:textFill>
            <w14:solidFill>
              <w14:schemeClr w14:val="tx1"/>
            </w14:solidFill>
          </w14:textFill>
        </w:rPr>
        <w:t>部分</w:t>
      </w:r>
      <w:r>
        <w:rPr>
          <w:rFonts w:ascii="宋体" w:hAnsi="宋体"/>
          <w:color w:val="000000" w:themeColor="text1"/>
          <w:kern w:val="0"/>
          <w:szCs w:val="21"/>
          <w:highlight w:val="none"/>
          <w14:textFill>
            <w14:solidFill>
              <w14:schemeClr w14:val="tx1"/>
            </w14:solidFill>
          </w14:textFill>
        </w:rPr>
        <w:t>：见评标办法前附表</w:t>
      </w:r>
      <w:r>
        <w:rPr>
          <w:rFonts w:hint="eastAsia" w:ascii="宋体" w:hAnsi="宋体"/>
          <w:color w:val="000000" w:themeColor="text1"/>
          <w:kern w:val="0"/>
          <w:szCs w:val="21"/>
          <w:highlight w:val="none"/>
          <w14:textFill>
            <w14:solidFill>
              <w14:schemeClr w14:val="tx1"/>
            </w14:solidFill>
          </w14:textFill>
        </w:rPr>
        <w:t>；</w:t>
      </w:r>
    </w:p>
    <w:p w14:paraId="2F19DD5E">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）投标</w:t>
      </w:r>
      <w:r>
        <w:rPr>
          <w:rFonts w:ascii="宋体" w:hAnsi="宋体"/>
          <w:color w:val="000000" w:themeColor="text1"/>
          <w:spacing w:val="-1"/>
          <w:kern w:val="0"/>
          <w:szCs w:val="21"/>
          <w:highlight w:val="none"/>
          <w14:textFill>
            <w14:solidFill>
              <w14:schemeClr w14:val="tx1"/>
            </w14:solidFill>
          </w14:textFill>
        </w:rPr>
        <w:t>报</w:t>
      </w:r>
      <w:r>
        <w:rPr>
          <w:rFonts w:ascii="宋体" w:hAnsi="宋体"/>
          <w:color w:val="000000" w:themeColor="text1"/>
          <w:kern w:val="0"/>
          <w:szCs w:val="21"/>
          <w:highlight w:val="none"/>
          <w14:textFill>
            <w14:solidFill>
              <w14:schemeClr w14:val="tx1"/>
            </w14:solidFill>
          </w14:textFill>
        </w:rPr>
        <w:t>价：见评标办法前附表</w:t>
      </w:r>
      <w:r>
        <w:rPr>
          <w:rFonts w:hint="eastAsia" w:ascii="宋体" w:hAnsi="宋体"/>
          <w:color w:val="000000" w:themeColor="text1"/>
          <w:kern w:val="0"/>
          <w:szCs w:val="21"/>
          <w:highlight w:val="none"/>
          <w14:textFill>
            <w14:solidFill>
              <w14:schemeClr w14:val="tx1"/>
            </w14:solidFill>
          </w14:textFill>
        </w:rPr>
        <w:t>。</w:t>
      </w:r>
    </w:p>
    <w:p w14:paraId="0E4E1E3E">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w:t>
      </w:r>
      <w:r>
        <w:rPr>
          <w:rFonts w:hint="eastAsia" w:ascii="宋体" w:hAnsi="宋体"/>
          <w:color w:val="000000" w:themeColor="text1"/>
          <w:kern w:val="0"/>
          <w:szCs w:val="21"/>
          <w:highlight w:val="none"/>
          <w14:textFill>
            <w14:solidFill>
              <w14:schemeClr w14:val="tx1"/>
            </w14:solidFill>
          </w14:textFill>
        </w:rPr>
        <w:t xml:space="preserve">2  </w:t>
      </w:r>
      <w:r>
        <w:rPr>
          <w:rFonts w:ascii="宋体" w:hAnsi="宋体"/>
          <w:color w:val="000000" w:themeColor="text1"/>
          <w:kern w:val="0"/>
          <w:szCs w:val="21"/>
          <w:highlight w:val="none"/>
          <w14:textFill>
            <w14:solidFill>
              <w14:schemeClr w14:val="tx1"/>
            </w14:solidFill>
          </w14:textFill>
        </w:rPr>
        <w:t>评标基准价计算</w:t>
      </w:r>
    </w:p>
    <w:p w14:paraId="65EAE1C0">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评标基准价计算方法：见评标办法前附表。</w:t>
      </w:r>
    </w:p>
    <w:p w14:paraId="7EE3698C">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2.2.3 投标报价的偏差率计算</w:t>
      </w:r>
    </w:p>
    <w:p w14:paraId="75552827">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投标报价的偏差率计算公式：见评标办法前附表</w:t>
      </w:r>
      <w:r>
        <w:rPr>
          <w:rFonts w:hint="eastAsia" w:ascii="宋体" w:hAnsi="宋体"/>
          <w:color w:val="000000" w:themeColor="text1"/>
          <w:kern w:val="0"/>
          <w:szCs w:val="21"/>
          <w:highlight w:val="none"/>
          <w14:textFill>
            <w14:solidFill>
              <w14:schemeClr w14:val="tx1"/>
            </w14:solidFill>
          </w14:textFill>
        </w:rPr>
        <w:t>；</w:t>
      </w:r>
    </w:p>
    <w:p w14:paraId="5EF24997">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.2.4  评</w:t>
      </w:r>
      <w:r>
        <w:rPr>
          <w:rFonts w:hint="eastAsia" w:ascii="宋体" w:hAnsi="宋体"/>
          <w:color w:val="000000" w:themeColor="text1"/>
          <w:kern w:val="0"/>
          <w:szCs w:val="21"/>
          <w:highlight w:val="none"/>
          <w14:textFill>
            <w14:solidFill>
              <w14:schemeClr w14:val="tx1"/>
            </w14:solidFill>
          </w14:textFill>
        </w:rPr>
        <w:t>审</w:t>
      </w:r>
      <w:r>
        <w:rPr>
          <w:rFonts w:ascii="宋体" w:hAnsi="宋体"/>
          <w:color w:val="000000" w:themeColor="text1"/>
          <w:kern w:val="0"/>
          <w:szCs w:val="21"/>
          <w:highlight w:val="none"/>
          <w14:textFill>
            <w14:solidFill>
              <w14:schemeClr w14:val="tx1"/>
            </w14:solidFill>
          </w14:textFill>
        </w:rPr>
        <w:t>标准</w:t>
      </w:r>
    </w:p>
    <w:p w14:paraId="0FFE1594">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技术部分</w:t>
      </w:r>
      <w:r>
        <w:rPr>
          <w:rFonts w:ascii="宋体" w:hAnsi="宋体"/>
          <w:color w:val="000000" w:themeColor="text1"/>
          <w:kern w:val="0"/>
          <w:szCs w:val="21"/>
          <w:highlight w:val="none"/>
          <w14:textFill>
            <w14:solidFill>
              <w14:schemeClr w14:val="tx1"/>
            </w14:solidFill>
          </w14:textFill>
        </w:rPr>
        <w:t>评分标准：见评标办法前附表；</w:t>
      </w:r>
    </w:p>
    <w:p w14:paraId="218E7B93">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投标报价</w:t>
      </w:r>
      <w:r>
        <w:rPr>
          <w:rFonts w:ascii="宋体" w:hAnsi="宋体"/>
          <w:color w:val="000000" w:themeColor="text1"/>
          <w:kern w:val="0"/>
          <w:szCs w:val="21"/>
          <w:highlight w:val="none"/>
          <w14:textFill>
            <w14:solidFill>
              <w14:schemeClr w14:val="tx1"/>
            </w14:solidFill>
          </w14:textFill>
        </w:rPr>
        <w:t>评分标准：见评标办法前附表。</w:t>
      </w:r>
    </w:p>
    <w:p w14:paraId="722781B4">
      <w:pPr>
        <w:pStyle w:val="3"/>
        <w:rPr>
          <w:rFonts w:hint="eastAsia" w:ascii="宋体" w:hAnsi="宋体"/>
          <w:b w:val="0"/>
          <w:snapToGrid w:val="0"/>
          <w:color w:val="000000" w:themeColor="text1"/>
          <w:highlight w:val="none"/>
          <w14:textFill>
            <w14:solidFill>
              <w14:schemeClr w14:val="tx1"/>
            </w14:solidFill>
          </w14:textFill>
        </w:rPr>
      </w:pPr>
      <w:bookmarkStart w:id="634" w:name="_Toc122515234"/>
      <w:bookmarkStart w:id="635" w:name="_Toc765"/>
      <w:bookmarkStart w:id="636" w:name="_Toc509218780"/>
      <w:r>
        <w:rPr>
          <w:rFonts w:ascii="宋体" w:hAnsi="宋体"/>
          <w:b w:val="0"/>
          <w:snapToGrid w:val="0"/>
          <w:color w:val="000000" w:themeColor="text1"/>
          <w:highlight w:val="none"/>
          <w14:textFill>
            <w14:solidFill>
              <w14:schemeClr w14:val="tx1"/>
            </w14:solidFill>
          </w14:textFill>
        </w:rPr>
        <w:t>3.  评标程序</w:t>
      </w:r>
      <w:bookmarkEnd w:id="634"/>
      <w:bookmarkEnd w:id="635"/>
      <w:bookmarkEnd w:id="636"/>
    </w:p>
    <w:p w14:paraId="70A7C548">
      <w:pPr>
        <w:pStyle w:val="4"/>
        <w:snapToGrid w:val="0"/>
        <w:spacing w:before="0" w:line="360" w:lineRule="auto"/>
        <w:rPr>
          <w:rFonts w:hint="eastAsia" w:ascii="宋体" w:hAnsi="宋体"/>
          <w:b w:val="0"/>
          <w:snapToGrid w:val="0"/>
          <w:color w:val="000000" w:themeColor="text1"/>
          <w:szCs w:val="24"/>
          <w:highlight w:val="none"/>
          <w14:textFill>
            <w14:solidFill>
              <w14:schemeClr w14:val="tx1"/>
            </w14:solidFill>
          </w14:textFill>
        </w:rPr>
      </w:pPr>
      <w:bookmarkStart w:id="637" w:name="_Toc122515235"/>
      <w:bookmarkStart w:id="638" w:name="_Toc509218781"/>
      <w:bookmarkStart w:id="639" w:name="_Toc18340"/>
      <w:r>
        <w:rPr>
          <w:rFonts w:ascii="宋体" w:hAnsi="宋体"/>
          <w:b w:val="0"/>
          <w:snapToGrid w:val="0"/>
          <w:color w:val="000000" w:themeColor="text1"/>
          <w:szCs w:val="24"/>
          <w:highlight w:val="none"/>
          <w14:textFill>
            <w14:solidFill>
              <w14:schemeClr w14:val="tx1"/>
            </w14:solidFill>
          </w14:textFill>
        </w:rPr>
        <w:t>3.1  初步评审</w:t>
      </w:r>
      <w:bookmarkEnd w:id="637"/>
      <w:bookmarkEnd w:id="638"/>
      <w:bookmarkEnd w:id="639"/>
    </w:p>
    <w:p w14:paraId="6F4854C3">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3.1.1  评标委员会依据本章第 2.1 款规定的标准对竞选文件进行初步评审。有一项不符合评审标准的，作否决投标处理。（适用于未进行资格预审的）</w:t>
      </w:r>
    </w:p>
    <w:p w14:paraId="44E8B58D">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3.1.1  评标委员会依据本章第2.1.2项</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第2.1.3项规定的评审标准对竞选文件进行初步评审。有一项不符合评审标准的，作否决投标处理。当竞选人资格预审申请文件的内容发生重大变化时，评标委员会依据本章第2.1.1项规定的标准对其更新资料进行评审。（适用于已进行资格预审的）</w:t>
      </w:r>
    </w:p>
    <w:p w14:paraId="2E89ADAD">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3.1.2  竞选人有以下情形之一的，其投标作否决投标处理：</w:t>
      </w:r>
    </w:p>
    <w:p w14:paraId="72D89C50">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有串通投标、弄虚作假等其他违反招投标相关法律、法规行为的</w:t>
      </w:r>
      <w:r>
        <w:rPr>
          <w:rFonts w:ascii="宋体" w:hAnsi="宋体"/>
          <w:color w:val="000000" w:themeColor="text1"/>
          <w:kern w:val="0"/>
          <w:szCs w:val="21"/>
          <w:highlight w:val="none"/>
          <w14:textFill>
            <w14:solidFill>
              <w14:schemeClr w14:val="tx1"/>
            </w14:solidFill>
          </w14:textFill>
        </w:rPr>
        <w:t>；</w:t>
      </w:r>
    </w:p>
    <w:p w14:paraId="7AF19A6D">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拒绝</w:t>
      </w:r>
      <w:r>
        <w:rPr>
          <w:rFonts w:ascii="宋体" w:hAnsi="宋体"/>
          <w:color w:val="000000" w:themeColor="text1"/>
          <w:kern w:val="0"/>
          <w:szCs w:val="21"/>
          <w:highlight w:val="none"/>
          <w14:textFill>
            <w14:solidFill>
              <w14:schemeClr w14:val="tx1"/>
            </w14:solidFill>
          </w14:textFill>
        </w:rPr>
        <w:t>按</w:t>
      </w:r>
      <w:r>
        <w:rPr>
          <w:rFonts w:ascii="宋体" w:hAnsi="宋体"/>
          <w:color w:val="000000" w:themeColor="text1"/>
          <w:spacing w:val="-1"/>
          <w:kern w:val="0"/>
          <w:szCs w:val="21"/>
          <w:highlight w:val="none"/>
          <w14:textFill>
            <w14:solidFill>
              <w14:schemeClr w14:val="tx1"/>
            </w14:solidFill>
          </w14:textFill>
        </w:rPr>
        <w:t>评</w:t>
      </w:r>
      <w:r>
        <w:rPr>
          <w:rFonts w:ascii="宋体" w:hAnsi="宋体"/>
          <w:color w:val="000000" w:themeColor="text1"/>
          <w:kern w:val="0"/>
          <w:szCs w:val="21"/>
          <w:highlight w:val="none"/>
          <w14:textFill>
            <w14:solidFill>
              <w14:schemeClr w14:val="tx1"/>
            </w14:solidFill>
          </w14:textFill>
        </w:rPr>
        <w:t>标委员会要求澄清、说明或补正的</w:t>
      </w:r>
      <w:r>
        <w:rPr>
          <w:rFonts w:hint="eastAsia" w:ascii="宋体" w:hAnsi="宋体"/>
          <w:color w:val="000000" w:themeColor="text1"/>
          <w:kern w:val="0"/>
          <w:szCs w:val="21"/>
          <w:highlight w:val="none"/>
          <w14:textFill>
            <w14:solidFill>
              <w14:schemeClr w14:val="tx1"/>
            </w14:solidFill>
          </w14:textFill>
        </w:rPr>
        <w:t>。</w:t>
      </w:r>
    </w:p>
    <w:p w14:paraId="21BE410F">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3.1.3  投标报价有算术错误及其他错误的，评标委员会按以下原则要求竞选人对投标报价进行修正，并要求竞选人书面澄清确认。竞选人拒不澄清确认的，评标委员会应当否决其投标：</w:t>
      </w:r>
    </w:p>
    <w:p w14:paraId="1AD2A0DD">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（1）竞选文件中的大写金额与小写金额不一致的，以大写金额为准；</w:t>
      </w:r>
    </w:p>
    <w:p w14:paraId="1D71EB8B">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bookmarkStart w:id="640" w:name="_Toc509218782"/>
      <w:bookmarkStart w:id="641" w:name="_Toc1832"/>
      <w:r>
        <w:rPr>
          <w:rFonts w:hint="eastAsia" w:ascii="宋体" w:hAnsi="宋体"/>
          <w:color w:val="000000" w:themeColor="text1"/>
          <w:szCs w:val="21"/>
          <w:highlight w:val="none"/>
          <w14:textFill>
            <w14:solidFill>
              <w14:schemeClr w14:val="tx1"/>
            </w14:solidFill>
          </w14:textFill>
        </w:rPr>
        <w:t>（2）竞选文件中用数字表示的数额与用文字表示的数额不一致时，以文字数额为准；</w:t>
      </w:r>
    </w:p>
    <w:p w14:paraId="3666023F">
      <w:pPr>
        <w:pStyle w:val="4"/>
        <w:snapToGrid w:val="0"/>
        <w:spacing w:before="0" w:line="360" w:lineRule="auto"/>
        <w:rPr>
          <w:rFonts w:hint="eastAsia" w:ascii="宋体" w:hAnsi="宋体"/>
          <w:b w:val="0"/>
          <w:snapToGrid w:val="0"/>
          <w:color w:val="000000" w:themeColor="text1"/>
          <w:szCs w:val="24"/>
          <w:highlight w:val="none"/>
          <w14:textFill>
            <w14:solidFill>
              <w14:schemeClr w14:val="tx1"/>
            </w14:solidFill>
          </w14:textFill>
        </w:rPr>
      </w:pPr>
      <w:bookmarkStart w:id="642" w:name="_Toc122515236"/>
      <w:r>
        <w:rPr>
          <w:rFonts w:ascii="宋体" w:hAnsi="宋体"/>
          <w:b w:val="0"/>
          <w:snapToGrid w:val="0"/>
          <w:color w:val="000000" w:themeColor="text1"/>
          <w:szCs w:val="24"/>
          <w:highlight w:val="none"/>
          <w14:textFill>
            <w14:solidFill>
              <w14:schemeClr w14:val="tx1"/>
            </w14:solidFill>
          </w14:textFill>
        </w:rPr>
        <w:t>3.2  详细评审</w:t>
      </w:r>
      <w:bookmarkEnd w:id="640"/>
      <w:bookmarkEnd w:id="641"/>
      <w:bookmarkEnd w:id="642"/>
    </w:p>
    <w:p w14:paraId="0271010F">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3.2.1  评标委员会按本章第2.2款规定的量化因素和分值进行</w:t>
      </w:r>
      <w:r>
        <w:rPr>
          <w:rFonts w:hint="eastAsia" w:ascii="宋体" w:hAnsi="宋体"/>
          <w:color w:val="000000" w:themeColor="text1"/>
          <w:kern w:val="0"/>
          <w:szCs w:val="21"/>
          <w:highlight w:val="none"/>
          <w14:textFill>
            <w14:solidFill>
              <w14:schemeClr w14:val="tx1"/>
            </w14:solidFill>
          </w14:textFill>
        </w:rPr>
        <w:t>评分</w:t>
      </w:r>
      <w:r>
        <w:rPr>
          <w:rFonts w:ascii="宋体" w:hAnsi="宋体"/>
          <w:color w:val="000000" w:themeColor="text1"/>
          <w:kern w:val="0"/>
          <w:szCs w:val="21"/>
          <w:highlight w:val="none"/>
          <w14:textFill>
            <w14:solidFill>
              <w14:schemeClr w14:val="tx1"/>
            </w14:solidFill>
          </w14:textFill>
        </w:rPr>
        <w:t>，并计算出综合评估得分。</w:t>
      </w:r>
    </w:p>
    <w:p w14:paraId="44424B94">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（1）按本章第 2.2.4（1）目规定的评审因素和分值对</w:t>
      </w:r>
      <w:r>
        <w:rPr>
          <w:rFonts w:hint="eastAsia" w:ascii="宋体" w:hAnsi="宋体"/>
          <w:color w:val="000000" w:themeColor="text1"/>
          <w:kern w:val="0"/>
          <w:szCs w:val="21"/>
          <w:highlight w:val="none"/>
          <w14:textFill>
            <w14:solidFill>
              <w14:schemeClr w14:val="tx1"/>
            </w14:solidFill>
          </w14:textFill>
        </w:rPr>
        <w:t>技术</w:t>
      </w:r>
      <w:r>
        <w:rPr>
          <w:rFonts w:ascii="宋体" w:hAnsi="宋体"/>
          <w:color w:val="000000" w:themeColor="text1"/>
          <w:kern w:val="0"/>
          <w:szCs w:val="21"/>
          <w:highlight w:val="none"/>
          <w14:textFill>
            <w14:solidFill>
              <w14:schemeClr w14:val="tx1"/>
            </w14:solidFill>
          </w14:textFill>
        </w:rPr>
        <w:t>部分计算出得分 A；</w:t>
      </w:r>
    </w:p>
    <w:p w14:paraId="3E5A5046">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）按本章第 2.2.4（2）目规定的评审因素和分值对投标报价计算出得分 B；</w:t>
      </w:r>
    </w:p>
    <w:p w14:paraId="29C6604D">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3.2.2  各类评分分值的最终计算结果保留小数点后两位，小数点后第三位“四舍五入”。</w:t>
      </w:r>
    </w:p>
    <w:p w14:paraId="3A693FC4">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3.2.3  竞选人得分=A</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B</w:t>
      </w:r>
      <w:r>
        <w:rPr>
          <w:rFonts w:hint="eastAsia" w:ascii="宋体" w:hAnsi="宋体"/>
          <w:color w:val="000000" w:themeColor="text1"/>
          <w:kern w:val="0"/>
          <w:szCs w:val="21"/>
          <w:highlight w:val="none"/>
          <w14:textFill>
            <w14:solidFill>
              <w14:schemeClr w14:val="tx1"/>
            </w14:solidFill>
          </w14:textFill>
        </w:rPr>
        <w:t>。</w:t>
      </w:r>
    </w:p>
    <w:p w14:paraId="72C01B37">
      <w:pPr>
        <w:pStyle w:val="4"/>
        <w:snapToGrid w:val="0"/>
        <w:spacing w:before="0" w:line="360" w:lineRule="auto"/>
        <w:rPr>
          <w:rFonts w:hint="eastAsia" w:ascii="宋体" w:hAnsi="宋体"/>
          <w:b w:val="0"/>
          <w:snapToGrid w:val="0"/>
          <w:color w:val="000000" w:themeColor="text1"/>
          <w:szCs w:val="24"/>
          <w:highlight w:val="none"/>
          <w14:textFill>
            <w14:solidFill>
              <w14:schemeClr w14:val="tx1"/>
            </w14:solidFill>
          </w14:textFill>
        </w:rPr>
      </w:pPr>
      <w:bookmarkStart w:id="643" w:name="_Toc18143"/>
      <w:bookmarkStart w:id="644" w:name="_Toc122515237"/>
      <w:bookmarkStart w:id="645" w:name="_Toc509218783"/>
      <w:r>
        <w:rPr>
          <w:rFonts w:ascii="宋体" w:hAnsi="宋体"/>
          <w:b w:val="0"/>
          <w:snapToGrid w:val="0"/>
          <w:color w:val="000000" w:themeColor="text1"/>
          <w:szCs w:val="24"/>
          <w:highlight w:val="none"/>
          <w14:textFill>
            <w14:solidFill>
              <w14:schemeClr w14:val="tx1"/>
            </w14:solidFill>
          </w14:textFill>
        </w:rPr>
        <w:t>3.3  竞选文件的澄清</w:t>
      </w:r>
      <w:bookmarkEnd w:id="643"/>
      <w:bookmarkEnd w:id="644"/>
      <w:bookmarkEnd w:id="645"/>
    </w:p>
    <w:p w14:paraId="4EE10517">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bookmarkStart w:id="646" w:name="_Hlk71569932"/>
      <w:r>
        <w:rPr>
          <w:rFonts w:ascii="宋体" w:hAnsi="宋体"/>
          <w:color w:val="000000" w:themeColor="text1"/>
          <w:kern w:val="0"/>
          <w:szCs w:val="21"/>
          <w:highlight w:val="none"/>
          <w14:textFill>
            <w14:solidFill>
              <w14:schemeClr w14:val="tx1"/>
            </w14:solidFill>
          </w14:textFill>
        </w:rPr>
        <w:t>3.3.1  在评标过程中，评标委员会可以书面形式要求竞选人对所提交竞选文件中</w:t>
      </w:r>
      <w:r>
        <w:rPr>
          <w:rFonts w:hint="eastAsia" w:ascii="宋体" w:hAnsi="宋体"/>
          <w:color w:val="000000" w:themeColor="text1"/>
          <w:kern w:val="0"/>
          <w:szCs w:val="21"/>
          <w:highlight w:val="none"/>
          <w14:textFill>
            <w14:solidFill>
              <w14:schemeClr w14:val="tx1"/>
            </w14:solidFill>
          </w14:textFill>
        </w:rPr>
        <w:t>含义不明确、对同类问题表述不一致或者有明显文字和计算错误的内容作必要的澄清、说明或补正。澄清、说明或补正应以书面方式进行。评标委员会不接受竞选人主动提出的澄清、说明或补正。</w:t>
      </w:r>
    </w:p>
    <w:p w14:paraId="298D23CA">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3.3.2  澄清、说明或补正不得超出竞选文件的范围且不得改变竞选文件的实质性内容，并构成竞选文件的组成部分。</w:t>
      </w:r>
    </w:p>
    <w:p w14:paraId="26A2CD75">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3.3.3  评标委员会对竞选人提交的澄清、说明或补正有疑问的，可以要求竞选人进一步澄清、说明或补正，直至满足评标委员会的要求。</w:t>
      </w:r>
      <w:bookmarkEnd w:id="646"/>
    </w:p>
    <w:p w14:paraId="4EB0C982">
      <w:pPr>
        <w:pStyle w:val="4"/>
        <w:snapToGrid w:val="0"/>
        <w:spacing w:before="0" w:line="360" w:lineRule="auto"/>
        <w:rPr>
          <w:rFonts w:hint="eastAsia" w:ascii="宋体" w:hAnsi="宋体"/>
          <w:b w:val="0"/>
          <w:snapToGrid w:val="0"/>
          <w:color w:val="000000" w:themeColor="text1"/>
          <w:szCs w:val="24"/>
          <w:highlight w:val="none"/>
          <w14:textFill>
            <w14:solidFill>
              <w14:schemeClr w14:val="tx1"/>
            </w14:solidFill>
          </w14:textFill>
        </w:rPr>
      </w:pPr>
      <w:bookmarkStart w:id="647" w:name="_Toc122515238"/>
      <w:bookmarkStart w:id="648" w:name="_Toc509218784"/>
      <w:bookmarkStart w:id="649" w:name="_Toc22756"/>
      <w:r>
        <w:rPr>
          <w:rFonts w:ascii="宋体" w:hAnsi="宋体"/>
          <w:b w:val="0"/>
          <w:snapToGrid w:val="0"/>
          <w:color w:val="000000" w:themeColor="text1"/>
          <w:szCs w:val="24"/>
          <w:highlight w:val="none"/>
          <w14:textFill>
            <w14:solidFill>
              <w14:schemeClr w14:val="tx1"/>
            </w14:solidFill>
          </w14:textFill>
        </w:rPr>
        <w:t>3.4  评标结果</w:t>
      </w:r>
      <w:bookmarkEnd w:id="647"/>
      <w:bookmarkEnd w:id="648"/>
      <w:bookmarkEnd w:id="649"/>
    </w:p>
    <w:p w14:paraId="6F2F6F6B">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w:t>
      </w:r>
      <w:r>
        <w:rPr>
          <w:rFonts w:ascii="宋体" w:hAnsi="宋体"/>
          <w:color w:val="000000" w:themeColor="text1"/>
          <w:spacing w:val="-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.1 除第二章“竞选人须知”前</w:t>
      </w:r>
      <w:r>
        <w:rPr>
          <w:rFonts w:ascii="宋体" w:hAnsi="宋体"/>
          <w:color w:val="000000" w:themeColor="text1"/>
          <w:spacing w:val="1"/>
          <w:kern w:val="0"/>
          <w:szCs w:val="21"/>
          <w:highlight w:val="none"/>
          <w14:textFill>
            <w14:solidFill>
              <w14:schemeClr w14:val="tx1"/>
            </w14:solidFill>
          </w14:textFill>
        </w:rPr>
        <w:t>附</w:t>
      </w:r>
      <w:r>
        <w:rPr>
          <w:rFonts w:ascii="宋体" w:hAnsi="宋体"/>
          <w:color w:val="000000" w:themeColor="text1"/>
          <w:kern w:val="0"/>
          <w:szCs w:val="21"/>
          <w:highlight w:val="none"/>
          <w14:textFill>
            <w14:solidFill>
              <w14:schemeClr w14:val="tx1"/>
            </w14:solidFill>
          </w14:textFill>
        </w:rPr>
        <w:t>表授权直</w:t>
      </w:r>
      <w:r>
        <w:rPr>
          <w:rFonts w:ascii="宋体" w:hAnsi="宋体"/>
          <w:color w:val="000000" w:themeColor="text1"/>
          <w:spacing w:val="1"/>
          <w:kern w:val="0"/>
          <w:szCs w:val="21"/>
          <w:highlight w:val="none"/>
          <w14:textFill>
            <w14:solidFill>
              <w14:schemeClr w14:val="tx1"/>
            </w14:solidFill>
          </w14:textFill>
        </w:rPr>
        <w:t>接</w:t>
      </w:r>
      <w:r>
        <w:rPr>
          <w:rFonts w:ascii="宋体" w:hAnsi="宋体"/>
          <w:color w:val="000000" w:themeColor="text1"/>
          <w:kern w:val="0"/>
          <w:szCs w:val="21"/>
          <w:highlight w:val="none"/>
          <w14:textFill>
            <w14:solidFill>
              <w14:schemeClr w14:val="tx1"/>
            </w14:solidFill>
          </w14:textFill>
        </w:rPr>
        <w:t>确定中选人外，评标</w:t>
      </w:r>
      <w:r>
        <w:rPr>
          <w:rFonts w:ascii="宋体" w:hAnsi="宋体"/>
          <w:color w:val="000000" w:themeColor="text1"/>
          <w:spacing w:val="1"/>
          <w:kern w:val="0"/>
          <w:szCs w:val="21"/>
          <w:highlight w:val="none"/>
          <w14:textFill>
            <w14:solidFill>
              <w14:schemeClr w14:val="tx1"/>
            </w14:solidFill>
          </w14:textFill>
        </w:rPr>
        <w:t>委</w:t>
      </w:r>
      <w:r>
        <w:rPr>
          <w:rFonts w:ascii="宋体" w:hAnsi="宋体"/>
          <w:color w:val="000000" w:themeColor="text1"/>
          <w:kern w:val="0"/>
          <w:szCs w:val="21"/>
          <w:highlight w:val="none"/>
          <w14:textFill>
            <w14:solidFill>
              <w14:schemeClr w14:val="tx1"/>
            </w14:solidFill>
          </w14:textFill>
        </w:rPr>
        <w:t>员会按照</w:t>
      </w:r>
      <w:r>
        <w:rPr>
          <w:rFonts w:ascii="宋体" w:hAnsi="宋体"/>
          <w:color w:val="000000" w:themeColor="text1"/>
          <w:spacing w:val="1"/>
          <w:kern w:val="0"/>
          <w:szCs w:val="21"/>
          <w:highlight w:val="none"/>
          <w14:textFill>
            <w14:solidFill>
              <w14:schemeClr w14:val="tx1"/>
            </w14:solidFill>
          </w14:textFill>
        </w:rPr>
        <w:t>得分</w:t>
      </w:r>
      <w:r>
        <w:rPr>
          <w:rFonts w:ascii="宋体" w:hAnsi="宋体"/>
          <w:color w:val="000000" w:themeColor="text1"/>
          <w:kern w:val="0"/>
          <w:szCs w:val="21"/>
          <w:highlight w:val="none"/>
          <w14:textFill>
            <w14:solidFill>
              <w14:schemeClr w14:val="tx1"/>
            </w14:solidFill>
          </w14:textFill>
        </w:rPr>
        <w:t>由高到低的顺序推荐中标候选人，并标明排序。</w:t>
      </w:r>
    </w:p>
    <w:p w14:paraId="09D24AFE">
      <w:pPr>
        <w:autoSpaceDE w:val="0"/>
        <w:autoSpaceDN w:val="0"/>
        <w:adjustRightInd w:val="0"/>
        <w:snapToGrid w:val="0"/>
        <w:spacing w:line="360" w:lineRule="auto"/>
        <w:ind w:firstLine="424" w:firstLineChars="200"/>
        <w:rPr>
          <w:rFonts w:hint="eastAsia" w:ascii="宋体" w:hAnsi="宋体"/>
          <w:color w:val="000000" w:themeColor="text1"/>
          <w:kern w:val="0"/>
          <w:sz w:val="20"/>
          <w:szCs w:val="20"/>
          <w:highlight w:val="none"/>
          <w14:textFill>
            <w14:solidFill>
              <w14:schemeClr w14:val="tx1"/>
            </w14:solidFill>
          </w14:textFill>
        </w:rPr>
      </w:pPr>
      <w:r>
        <w:rPr>
          <w:rFonts w:ascii="宋体" w:hAnsi="宋体"/>
          <w:color w:val="000000" w:themeColor="text1"/>
          <w:spacing w:val="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.4.2  评标委员会完成评标后，应当向招标人提交书面评标报告和中标候选人名单。</w:t>
      </w:r>
    </w:p>
    <w:p w14:paraId="6393B422">
      <w:pPr>
        <w:pStyle w:val="8"/>
        <w:rPr>
          <w:rFonts w:hint="eastAsia" w:ascii="宋体" w:hAnsi="宋体"/>
          <w:color w:val="000000" w:themeColor="text1"/>
          <w:highlight w:val="none"/>
          <w14:textFill>
            <w14:solidFill>
              <w14:schemeClr w14:val="tx1"/>
            </w14:solidFill>
          </w14:textFill>
        </w:rPr>
      </w:pPr>
    </w:p>
    <w:p w14:paraId="34726F98">
      <w:pPr>
        <w:spacing w:line="400" w:lineRule="atLeast"/>
        <w:rPr>
          <w:rFonts w:hint="eastAsia" w:ascii="宋体" w:hAnsi="宋体"/>
          <w:color w:val="000000" w:themeColor="text1"/>
          <w:szCs w:val="20"/>
          <w:highlight w:val="none"/>
          <w14:textFill>
            <w14:solidFill>
              <w14:schemeClr w14:val="tx1"/>
            </w14:solidFill>
          </w14:textFill>
        </w:rPr>
      </w:pPr>
      <w:r>
        <w:rPr>
          <w:rFonts w:hint="eastAsia" w:ascii="宋体" w:hAnsi="宋体"/>
          <w:color w:val="000000" w:themeColor="text1"/>
          <w:kern w:val="0"/>
          <w:sz w:val="20"/>
          <w:szCs w:val="20"/>
          <w:highlight w:val="none"/>
          <w14:textFill>
            <w14:solidFill>
              <w14:schemeClr w14:val="tx1"/>
            </w14:solidFill>
          </w14:textFill>
        </w:rPr>
        <w:br w:type="page"/>
      </w:r>
      <w:r>
        <w:rPr>
          <w:rFonts w:hint="eastAsia" w:ascii="宋体" w:hAnsi="宋体"/>
          <w:color w:val="000000" w:themeColor="text1"/>
          <w:szCs w:val="20"/>
          <w:highlight w:val="none"/>
          <w14:textFill>
            <w14:solidFill>
              <w14:schemeClr w14:val="tx1"/>
            </w14:solidFill>
          </w14:textFill>
        </w:rPr>
        <w:t>附件A：否决竞选条件</w:t>
      </w:r>
    </w:p>
    <w:p w14:paraId="252FDBA2">
      <w:pPr>
        <w:pStyle w:val="21"/>
        <w:spacing w:line="360" w:lineRule="auto"/>
        <w:rPr>
          <w:rFonts w:hint="eastAsia" w:ascii="宋体" w:hAnsi="宋体"/>
          <w:color w:val="000000" w:themeColor="text1"/>
          <w:sz w:val="28"/>
          <w:szCs w:val="28"/>
          <w:highlight w:val="none"/>
          <w:lang w:eastAsia="zh-CN"/>
          <w14:textFill>
            <w14:solidFill>
              <w14:schemeClr w14:val="tx1"/>
            </w14:solidFill>
          </w14:textFill>
        </w:rPr>
      </w:pPr>
      <w:bookmarkStart w:id="650" w:name="招标文件03章02评标办法综合评估法02附件02"/>
      <w:bookmarkEnd w:id="650"/>
      <w:bookmarkStart w:id="651" w:name="招标文件04章合同条款及格式"/>
      <w:bookmarkEnd w:id="651"/>
      <w:bookmarkStart w:id="652" w:name="_Toc230410480"/>
      <w:bookmarkStart w:id="653" w:name="_Toc277082627"/>
      <w:r>
        <w:rPr>
          <w:rFonts w:hint="eastAsia" w:ascii="宋体" w:hAnsi="宋体"/>
          <w:color w:val="000000" w:themeColor="text1"/>
          <w:sz w:val="28"/>
          <w:szCs w:val="28"/>
          <w:highlight w:val="none"/>
          <w:lang w:eastAsia="zh-CN"/>
          <w14:textFill>
            <w14:solidFill>
              <w14:schemeClr w14:val="tx1"/>
            </w14:solidFill>
          </w14:textFill>
        </w:rPr>
        <w:t>附件A：综合评估法否决竞选情况一览表</w:t>
      </w:r>
      <w:bookmarkEnd w:id="652"/>
    </w:p>
    <w:p w14:paraId="38099F48">
      <w:pPr>
        <w:pStyle w:val="21"/>
        <w:spacing w:line="360" w:lineRule="auto"/>
        <w:jc w:val="both"/>
        <w:rPr>
          <w:rFonts w:hint="eastAsia" w:ascii="宋体" w:hAnsi="宋体"/>
          <w:b/>
          <w:color w:val="000000" w:themeColor="text1"/>
          <w:sz w:val="24"/>
          <w:highlight w:val="none"/>
          <w:lang w:eastAsia="zh-CN"/>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一览表否决竞选条件之外的评选委员会不得判为重大偏差。</w:t>
      </w:r>
    </w:p>
    <w:tbl>
      <w:tblPr>
        <w:tblStyle w:val="29"/>
        <w:tblW w:w="90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559"/>
        <w:gridCol w:w="6376"/>
      </w:tblGrid>
      <w:tr w14:paraId="00F4B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tcPr>
          <w:p w14:paraId="6430674B">
            <w:pPr>
              <w:spacing w:line="360" w:lineRule="auto"/>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比选文件章节号</w:t>
            </w:r>
          </w:p>
        </w:tc>
        <w:tc>
          <w:tcPr>
            <w:tcW w:w="1559" w:type="dxa"/>
            <w:tcBorders>
              <w:top w:val="single" w:color="000000" w:sz="4" w:space="0"/>
              <w:left w:val="single" w:color="000000" w:sz="4" w:space="0"/>
              <w:bottom w:val="single" w:color="000000" w:sz="4" w:space="0"/>
              <w:right w:val="single" w:color="000000" w:sz="4" w:space="0"/>
            </w:tcBorders>
            <w:vAlign w:val="center"/>
          </w:tcPr>
          <w:p w14:paraId="2FF795CB">
            <w:pPr>
              <w:spacing w:line="360" w:lineRule="auto"/>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条款名称</w:t>
            </w:r>
          </w:p>
        </w:tc>
        <w:tc>
          <w:tcPr>
            <w:tcW w:w="6376" w:type="dxa"/>
            <w:tcBorders>
              <w:top w:val="single" w:color="000000" w:sz="4" w:space="0"/>
              <w:left w:val="single" w:color="000000" w:sz="4" w:space="0"/>
              <w:bottom w:val="single" w:color="000000" w:sz="4" w:space="0"/>
              <w:right w:val="single" w:color="000000" w:sz="4" w:space="0"/>
            </w:tcBorders>
            <w:vAlign w:val="center"/>
          </w:tcPr>
          <w:p w14:paraId="483A55A7">
            <w:pPr>
              <w:spacing w:line="360" w:lineRule="auto"/>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否决竞选条件</w:t>
            </w:r>
          </w:p>
        </w:tc>
      </w:tr>
      <w:tr w14:paraId="0627D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472C5B5B">
            <w:pPr>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14:paraId="0BB99EB6">
            <w:pPr>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竞选人资质条件、能力和信誉</w:t>
            </w:r>
          </w:p>
        </w:tc>
        <w:tc>
          <w:tcPr>
            <w:tcW w:w="6376" w:type="dxa"/>
            <w:tcBorders>
              <w:top w:val="single" w:color="000000" w:sz="4" w:space="0"/>
              <w:left w:val="single" w:color="000000" w:sz="4" w:space="0"/>
              <w:bottom w:val="single" w:color="000000" w:sz="4" w:space="0"/>
              <w:right w:val="single" w:color="000000" w:sz="4" w:space="0"/>
            </w:tcBorders>
            <w:vAlign w:val="center"/>
          </w:tcPr>
          <w:p w14:paraId="6B0A533A">
            <w:pPr>
              <w:autoSpaceDE w:val="0"/>
              <w:autoSpaceDN w:val="0"/>
              <w:adjustRightInd w:val="0"/>
              <w:spacing w:line="360" w:lineRule="auto"/>
              <w:ind w:firstLine="415" w:firstLineChars="198"/>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只要有一条不满足比选文件第二章竞选人须知前附表要求即为否决竞选。</w:t>
            </w:r>
          </w:p>
        </w:tc>
      </w:tr>
      <w:tr w14:paraId="7EDD4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40929355">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14:paraId="522B07FB">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竞选报价</w:t>
            </w:r>
          </w:p>
        </w:tc>
        <w:tc>
          <w:tcPr>
            <w:tcW w:w="6376" w:type="dxa"/>
            <w:tcBorders>
              <w:top w:val="single" w:color="auto" w:sz="4" w:space="0"/>
              <w:left w:val="single" w:color="000000" w:sz="4" w:space="0"/>
              <w:bottom w:val="single" w:color="000000" w:sz="4" w:space="0"/>
              <w:right w:val="single" w:color="000000" w:sz="4" w:space="0"/>
            </w:tcBorders>
            <w:vAlign w:val="center"/>
          </w:tcPr>
          <w:p w14:paraId="57DE1BCC">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各竞选人所填报的竞选报价不得超过最高限价，否则将作否决竞选处理。</w:t>
            </w:r>
          </w:p>
        </w:tc>
      </w:tr>
      <w:tr w14:paraId="5D248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09BADBFA">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14:paraId="6095BB8B">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签字盖章要求</w:t>
            </w:r>
          </w:p>
        </w:tc>
        <w:tc>
          <w:tcPr>
            <w:tcW w:w="6376" w:type="dxa"/>
            <w:tcBorders>
              <w:top w:val="single" w:color="000000" w:sz="4" w:space="0"/>
              <w:left w:val="single" w:color="000000" w:sz="4" w:space="0"/>
              <w:bottom w:val="single" w:color="000000" w:sz="4" w:space="0"/>
              <w:right w:val="single" w:color="000000" w:sz="4" w:space="0"/>
            </w:tcBorders>
            <w:vAlign w:val="center"/>
          </w:tcPr>
          <w:p w14:paraId="6B48A666">
            <w:pPr>
              <w:autoSpaceDE w:val="0"/>
              <w:autoSpaceDN w:val="0"/>
              <w:adjustRightInd w:val="0"/>
              <w:spacing w:line="360" w:lineRule="auto"/>
              <w:ind w:firstLine="415" w:firstLineChars="198"/>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按本章竞选人须知前附表执行</w:t>
            </w:r>
            <w:r>
              <w:rPr>
                <w:rFonts w:hint="eastAsia" w:ascii="宋体" w:hAnsi="宋体"/>
                <w:color w:val="000000" w:themeColor="text1"/>
                <w:kern w:val="0"/>
                <w:szCs w:val="21"/>
                <w:highlight w:val="none"/>
                <w14:textFill>
                  <w14:solidFill>
                    <w14:schemeClr w14:val="tx1"/>
                  </w14:solidFill>
                </w14:textFill>
              </w:rPr>
              <w:t>，否则，按</w:t>
            </w:r>
            <w:r>
              <w:rPr>
                <w:rFonts w:hint="eastAsia" w:ascii="宋体" w:hAnsi="宋体"/>
                <w:b/>
                <w:color w:val="000000" w:themeColor="text1"/>
                <w:kern w:val="0"/>
                <w:szCs w:val="21"/>
                <w:highlight w:val="none"/>
                <w14:textFill>
                  <w14:solidFill>
                    <w14:schemeClr w14:val="tx1"/>
                  </w14:solidFill>
                </w14:textFill>
              </w:rPr>
              <w:t>否决竞选</w:t>
            </w:r>
            <w:r>
              <w:rPr>
                <w:rFonts w:hint="eastAsia" w:ascii="宋体" w:hAnsi="宋体"/>
                <w:color w:val="000000" w:themeColor="text1"/>
                <w:kern w:val="0"/>
                <w:szCs w:val="21"/>
                <w:highlight w:val="none"/>
                <w14:textFill>
                  <w14:solidFill>
                    <w14:schemeClr w14:val="tx1"/>
                  </w14:solidFill>
                </w14:textFill>
              </w:rPr>
              <w:t>处理。</w:t>
            </w:r>
          </w:p>
        </w:tc>
      </w:tr>
      <w:tr w14:paraId="0536B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5E72A03E">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14:paraId="6E7A46AF">
            <w:pPr>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竞选保证金</w:t>
            </w:r>
          </w:p>
        </w:tc>
        <w:tc>
          <w:tcPr>
            <w:tcW w:w="6376" w:type="dxa"/>
            <w:tcBorders>
              <w:top w:val="single" w:color="000000" w:sz="4" w:space="0"/>
              <w:left w:val="single" w:color="000000" w:sz="4" w:space="0"/>
              <w:bottom w:val="single" w:color="000000" w:sz="4" w:space="0"/>
              <w:right w:val="single" w:color="000000" w:sz="4" w:space="0"/>
            </w:tcBorders>
            <w:vAlign w:val="center"/>
          </w:tcPr>
          <w:p w14:paraId="63F69172">
            <w:pPr>
              <w:autoSpaceDE w:val="0"/>
              <w:autoSpaceDN w:val="0"/>
              <w:adjustRightInd w:val="0"/>
              <w:spacing w:line="360" w:lineRule="auto"/>
              <w:ind w:firstLine="415" w:firstLineChars="198"/>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按本章竞选人须知前附表执行</w:t>
            </w:r>
            <w:r>
              <w:rPr>
                <w:rFonts w:hint="eastAsia" w:ascii="宋体" w:hAnsi="宋体"/>
                <w:color w:val="000000" w:themeColor="text1"/>
                <w:kern w:val="0"/>
                <w:szCs w:val="21"/>
                <w:highlight w:val="none"/>
                <w14:textFill>
                  <w14:solidFill>
                    <w14:schemeClr w14:val="tx1"/>
                  </w14:solidFill>
                </w14:textFill>
              </w:rPr>
              <w:t>，否则，按</w:t>
            </w:r>
            <w:r>
              <w:rPr>
                <w:rFonts w:hint="eastAsia" w:ascii="宋体" w:hAnsi="宋体"/>
                <w:b/>
                <w:color w:val="000000" w:themeColor="text1"/>
                <w:kern w:val="0"/>
                <w:szCs w:val="21"/>
                <w:highlight w:val="none"/>
                <w14:textFill>
                  <w14:solidFill>
                    <w14:schemeClr w14:val="tx1"/>
                  </w14:solidFill>
                </w14:textFill>
              </w:rPr>
              <w:t>否决竞选</w:t>
            </w:r>
            <w:r>
              <w:rPr>
                <w:rFonts w:hint="eastAsia" w:ascii="宋体" w:hAnsi="宋体"/>
                <w:color w:val="000000" w:themeColor="text1"/>
                <w:kern w:val="0"/>
                <w:szCs w:val="21"/>
                <w:highlight w:val="none"/>
                <w14:textFill>
                  <w14:solidFill>
                    <w14:schemeClr w14:val="tx1"/>
                  </w14:solidFill>
                </w14:textFill>
              </w:rPr>
              <w:t>处理。</w:t>
            </w:r>
          </w:p>
        </w:tc>
      </w:tr>
      <w:tr w14:paraId="17DCA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restart"/>
            <w:tcBorders>
              <w:top w:val="single" w:color="000000" w:sz="4" w:space="0"/>
              <w:left w:val="single" w:color="000000" w:sz="4" w:space="0"/>
              <w:bottom w:val="single" w:color="000000" w:sz="4" w:space="0"/>
              <w:right w:val="single" w:color="000000" w:sz="4" w:space="0"/>
            </w:tcBorders>
            <w:vAlign w:val="center"/>
          </w:tcPr>
          <w:p w14:paraId="1EE0CF93">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第三章</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14:paraId="318807F4">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初步评审</w:t>
            </w:r>
          </w:p>
        </w:tc>
        <w:tc>
          <w:tcPr>
            <w:tcW w:w="6376" w:type="dxa"/>
            <w:tcBorders>
              <w:top w:val="single" w:color="000000" w:sz="4" w:space="0"/>
              <w:left w:val="single" w:color="000000" w:sz="4" w:space="0"/>
              <w:bottom w:val="single" w:color="000000" w:sz="4" w:space="0"/>
              <w:right w:val="single" w:color="000000" w:sz="4" w:space="0"/>
            </w:tcBorders>
          </w:tcPr>
          <w:p w14:paraId="4AA5F568">
            <w:pPr>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竞选人有以下情形之一的，</w:t>
            </w:r>
            <w:r>
              <w:rPr>
                <w:rFonts w:hint="eastAsia" w:ascii="宋体" w:hAnsi="宋体"/>
                <w:color w:val="000000" w:themeColor="text1"/>
                <w:kern w:val="0"/>
                <w:szCs w:val="21"/>
                <w:highlight w:val="none"/>
                <w14:textFill>
                  <w14:solidFill>
                    <w14:schemeClr w14:val="tx1"/>
                  </w14:solidFill>
                </w14:textFill>
              </w:rPr>
              <w:t>评选</w:t>
            </w:r>
            <w:r>
              <w:rPr>
                <w:rFonts w:ascii="宋体" w:hAnsi="宋体"/>
                <w:color w:val="000000" w:themeColor="text1"/>
                <w:kern w:val="0"/>
                <w:szCs w:val="21"/>
                <w:highlight w:val="none"/>
                <w14:textFill>
                  <w14:solidFill>
                    <w14:schemeClr w14:val="tx1"/>
                  </w14:solidFill>
                </w14:textFill>
              </w:rPr>
              <w:t>委员会应当否决其竞选：</w:t>
            </w:r>
          </w:p>
          <w:p w14:paraId="5BC4617C">
            <w:pPr>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竞选文件没有对比选文件的实质性要求和条件作出响应，或者对比选文件的偏差超出比选文件规定的偏差范围；</w:t>
            </w:r>
          </w:p>
        </w:tc>
      </w:tr>
      <w:tr w14:paraId="5F4E3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tcBorders>
              <w:top w:val="single" w:color="000000" w:sz="4" w:space="0"/>
              <w:left w:val="single" w:color="000000" w:sz="4" w:space="0"/>
              <w:bottom w:val="single" w:color="000000" w:sz="4" w:space="0"/>
              <w:right w:val="single" w:color="000000" w:sz="4" w:space="0"/>
            </w:tcBorders>
            <w:vAlign w:val="center"/>
          </w:tcPr>
          <w:p w14:paraId="0847CECE">
            <w:pPr>
              <w:widowControl/>
              <w:jc w:val="left"/>
              <w:rPr>
                <w:rFonts w:hint="eastAsia" w:ascii="宋体" w:hAnsi="宋体"/>
                <w:color w:val="000000" w:themeColor="text1"/>
                <w:szCs w:val="21"/>
                <w:highlight w:val="none"/>
                <w14:textFill>
                  <w14:solidFill>
                    <w14:schemeClr w14:val="tx1"/>
                  </w14:solidFill>
                </w14:textFill>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14:paraId="45D55DBF">
            <w:pPr>
              <w:widowControl/>
              <w:jc w:val="left"/>
              <w:rPr>
                <w:rFonts w:hint="eastAsia" w:ascii="宋体" w:hAnsi="宋体"/>
                <w:color w:val="000000" w:themeColor="text1"/>
                <w:szCs w:val="21"/>
                <w:highlight w:val="none"/>
                <w14:textFill>
                  <w14:solidFill>
                    <w14:schemeClr w14:val="tx1"/>
                  </w14:solidFill>
                </w14:textFill>
              </w:rPr>
            </w:pPr>
          </w:p>
        </w:tc>
        <w:tc>
          <w:tcPr>
            <w:tcW w:w="6376" w:type="dxa"/>
            <w:tcBorders>
              <w:top w:val="single" w:color="000000" w:sz="4" w:space="0"/>
              <w:left w:val="single" w:color="000000" w:sz="4" w:space="0"/>
              <w:bottom w:val="single" w:color="000000" w:sz="4" w:space="0"/>
              <w:right w:val="single" w:color="000000" w:sz="4" w:space="0"/>
            </w:tcBorders>
          </w:tcPr>
          <w:p w14:paraId="257A48F9">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竞选报价有算术错误的，评选委员会按以下原则对竞选报价进行修正，修正的价格经竞选人书面确认后具有约束力。竞选人不接受修正价格的，其竞选作无效竞选处理。</w:t>
            </w:r>
          </w:p>
        </w:tc>
      </w:tr>
      <w:tr w14:paraId="5925A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tcBorders>
              <w:top w:val="single" w:color="000000" w:sz="4" w:space="0"/>
              <w:left w:val="single" w:color="000000" w:sz="4" w:space="0"/>
              <w:bottom w:val="single" w:color="000000" w:sz="4" w:space="0"/>
              <w:right w:val="single" w:color="000000" w:sz="4" w:space="0"/>
            </w:tcBorders>
            <w:vAlign w:val="center"/>
          </w:tcPr>
          <w:p w14:paraId="55BE9892">
            <w:pPr>
              <w:widowControl/>
              <w:jc w:val="left"/>
              <w:rPr>
                <w:rFonts w:hint="eastAsia" w:ascii="宋体" w:hAnsi="宋体"/>
                <w:color w:val="000000" w:themeColor="text1"/>
                <w:szCs w:val="21"/>
                <w:highlight w:val="none"/>
                <w14:textFill>
                  <w14:solidFill>
                    <w14:schemeClr w14:val="tx1"/>
                  </w14:solidFill>
                </w14:textFill>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14:paraId="0BF008FC">
            <w:pPr>
              <w:widowControl/>
              <w:jc w:val="left"/>
              <w:rPr>
                <w:rFonts w:hint="eastAsia" w:ascii="宋体" w:hAnsi="宋体"/>
                <w:color w:val="000000" w:themeColor="text1"/>
                <w:szCs w:val="21"/>
                <w:highlight w:val="none"/>
                <w14:textFill>
                  <w14:solidFill>
                    <w14:schemeClr w14:val="tx1"/>
                  </w14:solidFill>
                </w14:textFill>
              </w:rPr>
            </w:pPr>
          </w:p>
        </w:tc>
        <w:tc>
          <w:tcPr>
            <w:tcW w:w="6376" w:type="dxa"/>
            <w:tcBorders>
              <w:top w:val="single" w:color="000000" w:sz="4" w:space="0"/>
              <w:left w:val="single" w:color="000000" w:sz="4" w:space="0"/>
              <w:bottom w:val="single" w:color="000000" w:sz="4" w:space="0"/>
              <w:right w:val="single" w:color="000000" w:sz="4" w:space="0"/>
            </w:tcBorders>
          </w:tcPr>
          <w:p w14:paraId="12956D43">
            <w:pPr>
              <w:autoSpaceDE w:val="0"/>
              <w:autoSpaceDN w:val="0"/>
              <w:adjustRightInd w:val="0"/>
              <w:snapToGrid w:val="0"/>
              <w:spacing w:line="360" w:lineRule="auto"/>
              <w:ind w:firstLine="420" w:firstLineChars="200"/>
              <w:jc w:val="left"/>
              <w:rPr>
                <w:rFonts w:hint="eastAsia"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竞选人有以下情形之一的，其竞选作否决竞选处理：</w:t>
            </w:r>
          </w:p>
          <w:p w14:paraId="098D6249">
            <w:pPr>
              <w:autoSpaceDE w:val="0"/>
              <w:autoSpaceDN w:val="0"/>
              <w:adjustRightInd w:val="0"/>
              <w:snapToGrid w:val="0"/>
              <w:spacing w:line="360" w:lineRule="auto"/>
              <w:ind w:firstLine="315" w:firstLineChars="150"/>
              <w:jc w:val="left"/>
              <w:rPr>
                <w:rFonts w:hint="eastAsia"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1</w:t>
            </w:r>
            <w:r>
              <w:rPr>
                <w:rFonts w:hint="eastAsia" w:ascii="宋体" w:hAnsi="宋体" w:cs="MingLiU"/>
                <w:color w:val="000000" w:themeColor="text1"/>
                <w:kern w:val="0"/>
                <w:szCs w:val="21"/>
                <w:highlight w:val="none"/>
                <w14:textFill>
                  <w14:solidFill>
                    <w14:schemeClr w14:val="tx1"/>
                  </w14:solidFill>
                </w14:textFill>
              </w:rPr>
              <w:t>）第二</w:t>
            </w:r>
            <w:r>
              <w:rPr>
                <w:rFonts w:hint="eastAsia" w:ascii="宋体" w:hAnsi="宋体" w:cs="MingLiU"/>
                <w:color w:val="000000" w:themeColor="text1"/>
                <w:spacing w:val="-1"/>
                <w:kern w:val="0"/>
                <w:szCs w:val="21"/>
                <w:highlight w:val="none"/>
                <w14:textFill>
                  <w14:solidFill>
                    <w14:schemeClr w14:val="tx1"/>
                  </w14:solidFill>
                </w14:textFill>
              </w:rPr>
              <w:t>章</w:t>
            </w:r>
            <w:r>
              <w:rPr>
                <w:rFonts w:hint="eastAsia" w:ascii="宋体" w:hAnsi="宋体" w:cs="MingLiU"/>
                <w:color w:val="000000" w:themeColor="text1"/>
                <w:kern w:val="0"/>
                <w:szCs w:val="21"/>
                <w:highlight w:val="none"/>
                <w14:textFill>
                  <w14:solidFill>
                    <w14:schemeClr w14:val="tx1"/>
                  </w14:solidFill>
                </w14:textFill>
              </w:rPr>
              <w:t>“竞选人须知前附表”规定的任何一种情形的；</w:t>
            </w:r>
          </w:p>
          <w:p w14:paraId="10002DD0">
            <w:pPr>
              <w:autoSpaceDE w:val="0"/>
              <w:autoSpaceDN w:val="0"/>
              <w:adjustRightInd w:val="0"/>
              <w:snapToGrid w:val="0"/>
              <w:spacing w:line="360" w:lineRule="auto"/>
              <w:ind w:firstLine="315" w:firstLineChars="150"/>
              <w:jc w:val="left"/>
              <w:rPr>
                <w:rFonts w:hint="eastAsia"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2</w:t>
            </w:r>
            <w:r>
              <w:rPr>
                <w:rFonts w:hint="eastAsia" w:ascii="宋体" w:hAnsi="宋体" w:cs="MingLiU"/>
                <w:color w:val="000000" w:themeColor="text1"/>
                <w:kern w:val="0"/>
                <w:szCs w:val="21"/>
                <w:highlight w:val="none"/>
                <w14:textFill>
                  <w14:solidFill>
                    <w14:schemeClr w14:val="tx1"/>
                  </w14:solidFill>
                </w14:textFill>
              </w:rPr>
              <w:t>）串通</w:t>
            </w:r>
            <w:r>
              <w:rPr>
                <w:rFonts w:hint="eastAsia" w:ascii="宋体" w:hAnsi="宋体" w:cs="MingLiU"/>
                <w:color w:val="000000" w:themeColor="text1"/>
                <w:spacing w:val="-1"/>
                <w:kern w:val="0"/>
                <w:szCs w:val="21"/>
                <w:highlight w:val="none"/>
                <w14:textFill>
                  <w14:solidFill>
                    <w14:schemeClr w14:val="tx1"/>
                  </w14:solidFill>
                </w14:textFill>
              </w:rPr>
              <w:t>竞选</w:t>
            </w:r>
            <w:r>
              <w:rPr>
                <w:rFonts w:hint="eastAsia" w:ascii="宋体" w:hAnsi="宋体" w:cs="MingLiU"/>
                <w:color w:val="000000" w:themeColor="text1"/>
                <w:kern w:val="0"/>
                <w:szCs w:val="21"/>
                <w:highlight w:val="none"/>
                <w14:textFill>
                  <w14:solidFill>
                    <w14:schemeClr w14:val="tx1"/>
                  </w14:solidFill>
                </w14:textFill>
              </w:rPr>
              <w:t>或弄虚作假或有其他违法行为的；</w:t>
            </w:r>
          </w:p>
          <w:p w14:paraId="71EA4D3D">
            <w:pPr>
              <w:spacing w:line="360" w:lineRule="auto"/>
              <w:ind w:firstLine="315" w:firstLineChars="150"/>
              <w:rPr>
                <w:rFonts w:hint="eastAsia"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3</w:t>
            </w:r>
            <w:r>
              <w:rPr>
                <w:rFonts w:hint="eastAsia" w:ascii="宋体" w:hAnsi="宋体" w:cs="MingLiU"/>
                <w:color w:val="000000" w:themeColor="text1"/>
                <w:kern w:val="0"/>
                <w:szCs w:val="21"/>
                <w:highlight w:val="none"/>
                <w14:textFill>
                  <w14:solidFill>
                    <w14:schemeClr w14:val="tx1"/>
                  </w14:solidFill>
                </w14:textFill>
              </w:rPr>
              <w:t>）不按</w:t>
            </w:r>
            <w:r>
              <w:rPr>
                <w:rFonts w:hint="eastAsia" w:ascii="宋体" w:hAnsi="宋体" w:cs="MingLiU"/>
                <w:color w:val="000000" w:themeColor="text1"/>
                <w:spacing w:val="-1"/>
                <w:kern w:val="0"/>
                <w:szCs w:val="21"/>
                <w:highlight w:val="none"/>
                <w14:textFill>
                  <w14:solidFill>
                    <w14:schemeClr w14:val="tx1"/>
                  </w14:solidFill>
                </w14:textFill>
              </w:rPr>
              <w:t>评选</w:t>
            </w:r>
            <w:r>
              <w:rPr>
                <w:rFonts w:hint="eastAsia" w:ascii="宋体" w:hAnsi="宋体" w:cs="MingLiU"/>
                <w:color w:val="000000" w:themeColor="text1"/>
                <w:kern w:val="0"/>
                <w:szCs w:val="21"/>
                <w:highlight w:val="none"/>
                <w14:textFill>
                  <w14:solidFill>
                    <w14:schemeClr w14:val="tx1"/>
                  </w14:solidFill>
                </w14:textFill>
              </w:rPr>
              <w:t>委员会要求澄清、说明或补正的。</w:t>
            </w:r>
          </w:p>
          <w:p w14:paraId="44A224B5">
            <w:pPr>
              <w:spacing w:line="360" w:lineRule="auto"/>
              <w:ind w:firstLine="315" w:firstLineChars="150"/>
              <w:rPr>
                <w:rFonts w:hint="eastAsia"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（4）恶意低价竞选的</w:t>
            </w:r>
          </w:p>
          <w:p w14:paraId="1B66FDDC">
            <w:pPr>
              <w:spacing w:line="360" w:lineRule="auto"/>
              <w:ind w:firstLine="315" w:firstLineChars="150"/>
              <w:rPr>
                <w:rFonts w:hint="eastAsia" w:ascii="宋体" w:hAnsi="宋体"/>
                <w:color w:val="000000" w:themeColor="text1"/>
                <w:sz w:val="18"/>
                <w:szCs w:val="18"/>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评选委员会发现竞选人的报价明显低于其他竞选报价，或者在设有标底时明显低于标底，使得其竞选报价可能低于其个别成本的，应当要求该竞选人做出书面说明并提供相应的证明材料。竞选人不能合理说明或者不能提供相应证明材料的，由评选委员会认定该竞选人以低于成本报价</w:t>
            </w:r>
            <w:r>
              <w:rPr>
                <w:rFonts w:hint="eastAsia" w:ascii="宋体" w:hAnsi="宋体"/>
                <w:color w:val="000000" w:themeColor="text1"/>
                <w:highlight w:val="none"/>
                <w14:textFill>
                  <w14:solidFill>
                    <w14:schemeClr w14:val="tx1"/>
                  </w14:solidFill>
                </w14:textFill>
              </w:rPr>
              <w:t>竞选</w:t>
            </w:r>
            <w:r>
              <w:rPr>
                <w:rFonts w:hint="eastAsia" w:ascii="宋体" w:hAnsi="宋体" w:cs="MingLiU"/>
                <w:color w:val="000000" w:themeColor="text1"/>
                <w:kern w:val="0"/>
                <w:szCs w:val="21"/>
                <w:highlight w:val="none"/>
                <w14:textFill>
                  <w14:solidFill>
                    <w14:schemeClr w14:val="tx1"/>
                  </w14:solidFill>
                </w14:textFill>
              </w:rPr>
              <w:t>，其竞选作否决竞选处理。</w:t>
            </w:r>
          </w:p>
        </w:tc>
      </w:tr>
      <w:tr w14:paraId="5B2C4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156C942E">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第三章</w:t>
            </w:r>
          </w:p>
        </w:tc>
        <w:tc>
          <w:tcPr>
            <w:tcW w:w="1559" w:type="dxa"/>
            <w:tcBorders>
              <w:top w:val="single" w:color="000000" w:sz="4" w:space="0"/>
              <w:left w:val="single" w:color="000000" w:sz="4" w:space="0"/>
              <w:bottom w:val="single" w:color="000000" w:sz="4" w:space="0"/>
              <w:right w:val="single" w:color="000000" w:sz="4" w:space="0"/>
            </w:tcBorders>
            <w:vAlign w:val="center"/>
          </w:tcPr>
          <w:p w14:paraId="017D74FE">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详细评审</w:t>
            </w:r>
          </w:p>
        </w:tc>
        <w:tc>
          <w:tcPr>
            <w:tcW w:w="6376" w:type="dxa"/>
            <w:tcBorders>
              <w:top w:val="single" w:color="000000" w:sz="4" w:space="0"/>
              <w:left w:val="single" w:color="000000" w:sz="4" w:space="0"/>
              <w:bottom w:val="single" w:color="000000" w:sz="4" w:space="0"/>
              <w:right w:val="single" w:color="000000" w:sz="4" w:space="0"/>
            </w:tcBorders>
          </w:tcPr>
          <w:p w14:paraId="44FDE44D">
            <w:pPr>
              <w:autoSpaceDE w:val="0"/>
              <w:autoSpaceDN w:val="0"/>
              <w:adjustRightInd w:val="0"/>
              <w:snapToGrid w:val="0"/>
              <w:spacing w:line="360" w:lineRule="auto"/>
              <w:ind w:firstLine="420" w:firstLineChars="200"/>
              <w:jc w:val="left"/>
              <w:rPr>
                <w:rFonts w:hint="eastAsia" w:ascii="宋体" w:hAnsi="宋体" w:cs="MingLiU"/>
                <w:color w:val="000000" w:themeColor="text1"/>
                <w:kern w:val="0"/>
                <w:sz w:val="18"/>
                <w:szCs w:val="18"/>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选委员会发现竞选人的报价明显低于其他竞选报价，或者在设有标底时明显低于标底，使得其竞选报价可能低于其个别成本的，应当要求该竞选人做出书面说明并提供相应的证明材料。竞选人不能合理说明或者不能提供相应证明材料的，由评选委员会认定该竞选人以低于成本报价</w:t>
            </w:r>
            <w:r>
              <w:rPr>
                <w:rFonts w:hint="eastAsia" w:ascii="宋体" w:hAnsi="宋体"/>
                <w:color w:val="000000" w:themeColor="text1"/>
                <w:highlight w:val="none"/>
                <w14:textFill>
                  <w14:solidFill>
                    <w14:schemeClr w14:val="tx1"/>
                  </w14:solidFill>
                </w14:textFill>
              </w:rPr>
              <w:t>竞选</w:t>
            </w:r>
            <w:r>
              <w:rPr>
                <w:rFonts w:hint="eastAsia" w:ascii="宋体" w:hAnsi="宋体"/>
                <w:color w:val="000000" w:themeColor="text1"/>
                <w:szCs w:val="21"/>
                <w:highlight w:val="none"/>
                <w14:textFill>
                  <w14:solidFill>
                    <w14:schemeClr w14:val="tx1"/>
                  </w14:solidFill>
                </w14:textFill>
              </w:rPr>
              <w:t>，其竞选作否决竞选处理。</w:t>
            </w:r>
          </w:p>
        </w:tc>
      </w:tr>
      <w:bookmarkEnd w:id="653"/>
    </w:tbl>
    <w:p w14:paraId="4CE1471E">
      <w:pPr>
        <w:pStyle w:val="2"/>
        <w:jc w:val="center"/>
        <w:rPr>
          <w:rFonts w:hint="eastAsia" w:ascii="宋体" w:hAnsi="宋体"/>
          <w:color w:val="000000" w:themeColor="text1"/>
          <w:sz w:val="21"/>
          <w:szCs w:val="21"/>
          <w:highlight w:val="none"/>
          <w14:textFill>
            <w14:solidFill>
              <w14:schemeClr w14:val="tx1"/>
            </w14:solidFill>
          </w14:textFill>
        </w:rPr>
      </w:pPr>
    </w:p>
    <w:p w14:paraId="7972253C">
      <w:pPr>
        <w:pStyle w:val="2"/>
        <w:jc w:val="center"/>
        <w:rPr>
          <w:rFonts w:hint="eastAsia" w:ascii="宋体" w:hAnsi="宋体"/>
          <w:color w:val="000000" w:themeColor="text1"/>
          <w:sz w:val="21"/>
          <w:szCs w:val="21"/>
          <w:highlight w:val="none"/>
          <w14:textFill>
            <w14:solidFill>
              <w14:schemeClr w14:val="tx1"/>
            </w14:solidFill>
          </w14:textFill>
        </w:rPr>
      </w:pPr>
    </w:p>
    <w:p w14:paraId="2B0B58BF">
      <w:pPr>
        <w:pStyle w:val="2"/>
        <w:jc w:val="center"/>
        <w:rPr>
          <w:rFonts w:hint="eastAsia" w:ascii="宋体" w:hAnsi="宋体"/>
          <w:color w:val="000000" w:themeColor="text1"/>
          <w:sz w:val="21"/>
          <w:szCs w:val="21"/>
          <w:highlight w:val="none"/>
          <w14:textFill>
            <w14:solidFill>
              <w14:schemeClr w14:val="tx1"/>
            </w14:solidFill>
          </w14:textFill>
        </w:rPr>
      </w:pPr>
    </w:p>
    <w:p w14:paraId="6D586B3B">
      <w:pPr>
        <w:pStyle w:val="2"/>
        <w:jc w:val="center"/>
        <w:rPr>
          <w:rFonts w:hint="eastAsia" w:ascii="宋体" w:hAnsi="宋体"/>
          <w:color w:val="000000" w:themeColor="text1"/>
          <w:sz w:val="21"/>
          <w:szCs w:val="21"/>
          <w:highlight w:val="none"/>
          <w14:textFill>
            <w14:solidFill>
              <w14:schemeClr w14:val="tx1"/>
            </w14:solidFill>
          </w14:textFill>
        </w:rPr>
      </w:pPr>
    </w:p>
    <w:p w14:paraId="74169A16">
      <w:pPr>
        <w:pStyle w:val="2"/>
        <w:jc w:val="center"/>
        <w:rPr>
          <w:rFonts w:hint="eastAsia" w:ascii="宋体" w:hAnsi="宋体"/>
          <w:color w:val="000000" w:themeColor="text1"/>
          <w:sz w:val="21"/>
          <w:szCs w:val="21"/>
          <w:highlight w:val="none"/>
          <w14:textFill>
            <w14:solidFill>
              <w14:schemeClr w14:val="tx1"/>
            </w14:solidFill>
          </w14:textFill>
        </w:rPr>
      </w:pPr>
    </w:p>
    <w:p w14:paraId="22222E50">
      <w:pPr>
        <w:pStyle w:val="2"/>
        <w:jc w:val="center"/>
        <w:rPr>
          <w:rFonts w:hint="eastAsia" w:ascii="宋体" w:hAnsi="宋体"/>
          <w:color w:val="000000" w:themeColor="text1"/>
          <w:sz w:val="21"/>
          <w:szCs w:val="21"/>
          <w:highlight w:val="none"/>
          <w14:textFill>
            <w14:solidFill>
              <w14:schemeClr w14:val="tx1"/>
            </w14:solidFill>
          </w14:textFill>
        </w:rPr>
      </w:pPr>
    </w:p>
    <w:p w14:paraId="14577155">
      <w:pPr>
        <w:pStyle w:val="2"/>
        <w:jc w:val="center"/>
        <w:rPr>
          <w:rFonts w:hint="eastAsia" w:ascii="宋体" w:hAnsi="宋体"/>
          <w:color w:val="000000" w:themeColor="text1"/>
          <w:sz w:val="21"/>
          <w:szCs w:val="21"/>
          <w:highlight w:val="none"/>
          <w14:textFill>
            <w14:solidFill>
              <w14:schemeClr w14:val="tx1"/>
            </w14:solidFill>
          </w14:textFill>
        </w:rPr>
      </w:pPr>
    </w:p>
    <w:p w14:paraId="79A37B2E">
      <w:pPr>
        <w:rPr>
          <w:rFonts w:hint="eastAsia" w:ascii="宋体" w:hAnsi="宋体"/>
          <w:color w:val="000000" w:themeColor="text1"/>
          <w:highlight w:val="none"/>
          <w14:textFill>
            <w14:solidFill>
              <w14:schemeClr w14:val="tx1"/>
            </w14:solidFill>
          </w14:textFill>
        </w:rPr>
      </w:pPr>
    </w:p>
    <w:p w14:paraId="0FB9817C">
      <w:pPr>
        <w:pStyle w:val="2"/>
        <w:jc w:val="center"/>
        <w:rPr>
          <w:rFonts w:hint="eastAsia" w:ascii="宋体" w:hAnsi="宋体"/>
          <w:color w:val="000000" w:themeColor="text1"/>
          <w:sz w:val="21"/>
          <w:szCs w:val="21"/>
          <w:highlight w:val="none"/>
          <w14:textFill>
            <w14:solidFill>
              <w14:schemeClr w14:val="tx1"/>
            </w14:solidFill>
          </w14:textFill>
        </w:rPr>
      </w:pPr>
    </w:p>
    <w:p w14:paraId="5AA92991">
      <w:pPr>
        <w:rPr>
          <w:rFonts w:hint="eastAsia" w:ascii="宋体" w:hAnsi="宋体"/>
          <w:color w:val="000000" w:themeColor="text1"/>
          <w:szCs w:val="21"/>
          <w:highlight w:val="none"/>
          <w14:textFill>
            <w14:solidFill>
              <w14:schemeClr w14:val="tx1"/>
            </w14:solidFill>
          </w14:textFill>
        </w:rPr>
      </w:pPr>
    </w:p>
    <w:p w14:paraId="26AC905F">
      <w:pPr>
        <w:pStyle w:val="8"/>
        <w:rPr>
          <w:rFonts w:hint="eastAsia" w:ascii="宋体" w:hAnsi="宋体"/>
          <w:color w:val="000000" w:themeColor="text1"/>
          <w:szCs w:val="21"/>
          <w:highlight w:val="none"/>
          <w14:textFill>
            <w14:solidFill>
              <w14:schemeClr w14:val="tx1"/>
            </w14:solidFill>
          </w14:textFill>
        </w:rPr>
      </w:pPr>
    </w:p>
    <w:p w14:paraId="452B472E">
      <w:pPr>
        <w:rPr>
          <w:rFonts w:hint="eastAsia" w:ascii="宋体" w:hAnsi="宋体"/>
          <w:color w:val="000000" w:themeColor="text1"/>
          <w:highlight w:val="none"/>
          <w14:textFill>
            <w14:solidFill>
              <w14:schemeClr w14:val="tx1"/>
            </w14:solidFill>
          </w14:textFill>
        </w:rPr>
      </w:pPr>
    </w:p>
    <w:p w14:paraId="2856922B">
      <w:pPr>
        <w:pStyle w:val="2"/>
        <w:jc w:val="center"/>
        <w:rPr>
          <w:rFonts w:hint="eastAsia" w:ascii="宋体" w:hAnsi="宋体"/>
          <w:color w:val="000000" w:themeColor="text1"/>
          <w:sz w:val="21"/>
          <w:szCs w:val="21"/>
          <w:highlight w:val="none"/>
          <w14:textFill>
            <w14:solidFill>
              <w14:schemeClr w14:val="tx1"/>
            </w14:solidFill>
          </w14:textFill>
        </w:rPr>
      </w:pPr>
    </w:p>
    <w:p w14:paraId="1C324906">
      <w:pPr>
        <w:pStyle w:val="2"/>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第四章  合同条款及格式</w:t>
      </w:r>
    </w:p>
    <w:p w14:paraId="6E6788FF">
      <w:pPr>
        <w:wordWrap w:val="0"/>
        <w:ind w:right="1440" w:firstLine="720"/>
        <w:rPr>
          <w:color w:val="000000" w:themeColor="text1"/>
          <w:sz w:val="36"/>
          <w:szCs w:val="36"/>
          <w:highlight w:val="none"/>
          <w:u w:val="single"/>
          <w14:textFill>
            <w14:solidFill>
              <w14:schemeClr w14:val="tx1"/>
            </w14:solidFill>
          </w14:textFill>
        </w:rPr>
      </w:pPr>
      <w:r>
        <w:rPr>
          <w:rFonts w:hint="eastAsia"/>
          <w:color w:val="000000" w:themeColor="text1"/>
          <w:sz w:val="36"/>
          <w:szCs w:val="36"/>
          <w:highlight w:val="none"/>
          <w14:textFill>
            <w14:solidFill>
              <w14:schemeClr w14:val="tx1"/>
            </w14:solidFill>
          </w14:textFill>
        </w:rPr>
        <w:t>合同编号：</w:t>
      </w:r>
    </w:p>
    <w:p w14:paraId="2A6C2192">
      <w:pPr>
        <w:ind w:firstLine="720"/>
        <w:jc w:val="center"/>
        <w:rPr>
          <w:color w:val="000000" w:themeColor="text1"/>
          <w:sz w:val="36"/>
          <w:szCs w:val="36"/>
          <w:highlight w:val="none"/>
          <w14:textFill>
            <w14:solidFill>
              <w14:schemeClr w14:val="tx1"/>
            </w14:solidFill>
          </w14:textFill>
        </w:rPr>
      </w:pPr>
    </w:p>
    <w:p w14:paraId="55FA0118">
      <w:pPr>
        <w:ind w:firstLine="1440"/>
        <w:jc w:val="center"/>
        <w:rPr>
          <w:color w:val="000000" w:themeColor="text1"/>
          <w:sz w:val="72"/>
          <w:szCs w:val="72"/>
          <w:highlight w:val="none"/>
          <w14:textFill>
            <w14:solidFill>
              <w14:schemeClr w14:val="tx1"/>
            </w14:solidFill>
          </w14:textFill>
        </w:rPr>
      </w:pPr>
    </w:p>
    <w:p w14:paraId="7C270A2D">
      <w:pPr>
        <w:ind w:firstLine="1440"/>
        <w:jc w:val="center"/>
        <w:rPr>
          <w:color w:val="000000" w:themeColor="text1"/>
          <w:sz w:val="72"/>
          <w:szCs w:val="72"/>
          <w:highlight w:val="none"/>
          <w14:textFill>
            <w14:solidFill>
              <w14:schemeClr w14:val="tx1"/>
            </w14:solidFill>
          </w14:textFill>
        </w:rPr>
      </w:pPr>
    </w:p>
    <w:p w14:paraId="3DE65B7B">
      <w:pPr>
        <w:ind w:firstLine="1440"/>
        <w:jc w:val="center"/>
        <w:rPr>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建设工程造价咨询合同</w:t>
      </w:r>
    </w:p>
    <w:p w14:paraId="5C86E044">
      <w:pPr>
        <w:ind w:firstLine="880"/>
        <w:jc w:val="center"/>
        <w:rPr>
          <w:color w:val="000000" w:themeColor="text1"/>
          <w:sz w:val="44"/>
          <w:szCs w:val="44"/>
          <w:highlight w:val="none"/>
          <w14:textFill>
            <w14:solidFill>
              <w14:schemeClr w14:val="tx1"/>
            </w14:solidFill>
          </w14:textFill>
        </w:rPr>
      </w:pPr>
    </w:p>
    <w:p w14:paraId="6DC93534">
      <w:pPr>
        <w:ind w:firstLine="880"/>
        <w:jc w:val="center"/>
        <w:rPr>
          <w:color w:val="000000" w:themeColor="text1"/>
          <w:sz w:val="44"/>
          <w:szCs w:val="44"/>
          <w:highlight w:val="none"/>
          <w14:textFill>
            <w14:solidFill>
              <w14:schemeClr w14:val="tx1"/>
            </w14:solidFill>
          </w14:textFill>
        </w:rPr>
      </w:pPr>
    </w:p>
    <w:p w14:paraId="0D9485C4">
      <w:pPr>
        <w:ind w:firstLine="880"/>
        <w:jc w:val="center"/>
        <w:rPr>
          <w:color w:val="000000" w:themeColor="text1"/>
          <w:sz w:val="44"/>
          <w:szCs w:val="44"/>
          <w:highlight w:val="none"/>
          <w14:textFill>
            <w14:solidFill>
              <w14:schemeClr w14:val="tx1"/>
            </w14:solidFill>
          </w14:textFill>
        </w:rPr>
      </w:pPr>
    </w:p>
    <w:p w14:paraId="3A53B820">
      <w:pPr>
        <w:ind w:firstLine="880"/>
        <w:jc w:val="center"/>
        <w:rPr>
          <w:color w:val="000000" w:themeColor="text1"/>
          <w:sz w:val="44"/>
          <w:szCs w:val="44"/>
          <w:highlight w:val="none"/>
          <w14:textFill>
            <w14:solidFill>
              <w14:schemeClr w14:val="tx1"/>
            </w14:solidFill>
          </w14:textFill>
        </w:rPr>
      </w:pPr>
    </w:p>
    <w:p w14:paraId="1AEAF035">
      <w:pPr>
        <w:ind w:firstLine="880"/>
        <w:jc w:val="center"/>
        <w:rPr>
          <w:color w:val="000000" w:themeColor="text1"/>
          <w:sz w:val="44"/>
          <w:szCs w:val="44"/>
          <w:highlight w:val="none"/>
          <w14:textFill>
            <w14:solidFill>
              <w14:schemeClr w14:val="tx1"/>
            </w14:solidFill>
          </w14:textFill>
        </w:rPr>
      </w:pPr>
    </w:p>
    <w:p w14:paraId="735818B0">
      <w:pPr>
        <w:ind w:firstLine="880"/>
        <w:jc w:val="center"/>
        <w:rPr>
          <w:color w:val="000000" w:themeColor="text1"/>
          <w:sz w:val="44"/>
          <w:szCs w:val="44"/>
          <w:highlight w:val="none"/>
          <w14:textFill>
            <w14:solidFill>
              <w14:schemeClr w14:val="tx1"/>
            </w14:solidFill>
          </w14:textFill>
        </w:rPr>
      </w:pPr>
    </w:p>
    <w:p w14:paraId="50730F49">
      <w:pPr>
        <w:pStyle w:val="13"/>
        <w:tabs>
          <w:tab w:val="left" w:pos="0"/>
          <w:tab w:val="left" w:pos="6300"/>
        </w:tabs>
        <w:spacing w:line="800" w:lineRule="exact"/>
        <w:ind w:right="-414" w:rightChars="-197" w:firstLine="255" w:firstLineChars="71"/>
        <w:rPr>
          <w:rFonts w:ascii="宋体" w:eastAsia="宋体" w:cs="宋体"/>
          <w:color w:val="000000" w:themeColor="text1"/>
          <w:sz w:val="36"/>
          <w:szCs w:val="36"/>
          <w:highlight w:val="none"/>
          <w:u w:val="single"/>
          <w:lang w:eastAsia="zh-CN"/>
          <w14:textFill>
            <w14:solidFill>
              <w14:schemeClr w14:val="tx1"/>
            </w14:solidFill>
          </w14:textFill>
        </w:rPr>
      </w:pPr>
      <w:r>
        <w:rPr>
          <w:rFonts w:hint="eastAsia" w:ascii="宋体" w:eastAsia="宋体" w:cs="宋体"/>
          <w:color w:val="000000" w:themeColor="text1"/>
          <w:sz w:val="36"/>
          <w:szCs w:val="36"/>
          <w:highlight w:val="none"/>
          <w:lang w:eastAsia="zh-CN"/>
          <w14:textFill>
            <w14:solidFill>
              <w14:schemeClr w14:val="tx1"/>
            </w14:solidFill>
          </w14:textFill>
        </w:rPr>
        <w:t>项目名称：</w:t>
      </w:r>
      <w:r>
        <w:rPr>
          <w:rFonts w:ascii="宋体" w:eastAsia="宋体" w:cs="宋体"/>
          <w:color w:val="000000" w:themeColor="text1"/>
          <w:sz w:val="36"/>
          <w:szCs w:val="36"/>
          <w:highlight w:val="none"/>
          <w:u w:val="single"/>
          <w:lang w:eastAsia="zh-CN"/>
          <w14:textFill>
            <w14:solidFill>
              <w14:schemeClr w14:val="tx1"/>
            </w14:solidFill>
          </w14:textFill>
        </w:rPr>
        <w:t xml:space="preserve">                            </w:t>
      </w:r>
    </w:p>
    <w:p w14:paraId="4FA7D987">
      <w:pPr>
        <w:pStyle w:val="13"/>
        <w:tabs>
          <w:tab w:val="left" w:pos="1575"/>
        </w:tabs>
        <w:spacing w:line="800" w:lineRule="exact"/>
        <w:ind w:right="-414" w:rightChars="-197" w:firstLine="255" w:firstLineChars="71"/>
        <w:rPr>
          <w:rFonts w:ascii="宋体" w:eastAsia="宋体" w:cs="宋体"/>
          <w:color w:val="000000" w:themeColor="text1"/>
          <w:sz w:val="36"/>
          <w:szCs w:val="36"/>
          <w:highlight w:val="none"/>
          <w:u w:val="single"/>
          <w:lang w:eastAsia="zh-CN"/>
          <w14:textFill>
            <w14:solidFill>
              <w14:schemeClr w14:val="tx1"/>
            </w14:solidFill>
          </w14:textFill>
        </w:rPr>
      </w:pPr>
      <w:r>
        <w:rPr>
          <w:rFonts w:hint="eastAsia" w:ascii="宋体" w:eastAsia="宋体" w:cs="宋体"/>
          <w:color w:val="000000" w:themeColor="text1"/>
          <w:sz w:val="36"/>
          <w:szCs w:val="36"/>
          <w:highlight w:val="none"/>
          <w:lang w:eastAsia="zh-CN"/>
          <w14:textFill>
            <w14:solidFill>
              <w14:schemeClr w14:val="tx1"/>
            </w14:solidFill>
          </w14:textFill>
        </w:rPr>
        <w:t>委</w:t>
      </w:r>
      <w:r>
        <w:rPr>
          <w:rFonts w:ascii="宋体" w:eastAsia="宋体" w:cs="宋体"/>
          <w:color w:val="000000" w:themeColor="text1"/>
          <w:sz w:val="36"/>
          <w:szCs w:val="36"/>
          <w:highlight w:val="none"/>
          <w:lang w:eastAsia="zh-CN"/>
          <w14:textFill>
            <w14:solidFill>
              <w14:schemeClr w14:val="tx1"/>
            </w14:solidFill>
          </w14:textFill>
        </w:rPr>
        <w:t xml:space="preserve"> </w:t>
      </w:r>
      <w:r>
        <w:rPr>
          <w:rFonts w:hint="eastAsia" w:ascii="宋体" w:eastAsia="宋体" w:cs="宋体"/>
          <w:color w:val="000000" w:themeColor="text1"/>
          <w:sz w:val="36"/>
          <w:szCs w:val="36"/>
          <w:highlight w:val="none"/>
          <w:lang w:eastAsia="zh-CN"/>
          <w14:textFill>
            <w14:solidFill>
              <w14:schemeClr w14:val="tx1"/>
            </w14:solidFill>
          </w14:textFill>
        </w:rPr>
        <w:t>托</w:t>
      </w:r>
      <w:r>
        <w:rPr>
          <w:rFonts w:ascii="宋体" w:eastAsia="宋体" w:cs="宋体"/>
          <w:color w:val="000000" w:themeColor="text1"/>
          <w:sz w:val="36"/>
          <w:szCs w:val="36"/>
          <w:highlight w:val="none"/>
          <w:lang w:eastAsia="zh-CN"/>
          <w14:textFill>
            <w14:solidFill>
              <w14:schemeClr w14:val="tx1"/>
            </w14:solidFill>
          </w14:textFill>
        </w:rPr>
        <w:t xml:space="preserve"> </w:t>
      </w:r>
      <w:r>
        <w:rPr>
          <w:rFonts w:hint="eastAsia" w:ascii="宋体" w:eastAsia="宋体" w:cs="宋体"/>
          <w:color w:val="000000" w:themeColor="text1"/>
          <w:sz w:val="36"/>
          <w:szCs w:val="36"/>
          <w:highlight w:val="none"/>
          <w:lang w:eastAsia="zh-CN"/>
          <w14:textFill>
            <w14:solidFill>
              <w14:schemeClr w14:val="tx1"/>
            </w14:solidFill>
          </w14:textFill>
        </w:rPr>
        <w:t>人：</w:t>
      </w:r>
      <w:r>
        <w:rPr>
          <w:rFonts w:ascii="宋体" w:eastAsia="宋体" w:cs="宋体"/>
          <w:color w:val="000000" w:themeColor="text1"/>
          <w:sz w:val="36"/>
          <w:szCs w:val="36"/>
          <w:highlight w:val="none"/>
          <w:u w:val="single"/>
          <w:lang w:eastAsia="zh-CN"/>
          <w14:textFill>
            <w14:solidFill>
              <w14:schemeClr w14:val="tx1"/>
            </w14:solidFill>
          </w14:textFill>
        </w:rPr>
        <w:t xml:space="preserve">                            </w:t>
      </w:r>
    </w:p>
    <w:p w14:paraId="161302D6">
      <w:pPr>
        <w:pStyle w:val="13"/>
        <w:tabs>
          <w:tab w:val="left" w:pos="1470"/>
        </w:tabs>
        <w:spacing w:line="800" w:lineRule="exact"/>
        <w:ind w:right="-414" w:rightChars="-197" w:firstLine="255" w:firstLineChars="71"/>
        <w:rPr>
          <w:rFonts w:ascii="宋体" w:eastAsia="宋体" w:cs="宋体"/>
          <w:color w:val="000000" w:themeColor="text1"/>
          <w:sz w:val="36"/>
          <w:szCs w:val="36"/>
          <w:highlight w:val="none"/>
          <w:u w:val="single"/>
          <w:lang w:eastAsia="zh-CN"/>
          <w14:textFill>
            <w14:solidFill>
              <w14:schemeClr w14:val="tx1"/>
            </w14:solidFill>
          </w14:textFill>
        </w:rPr>
      </w:pPr>
      <w:r>
        <w:rPr>
          <w:rFonts w:hint="eastAsia" w:ascii="宋体" w:eastAsia="宋体" w:cs="宋体"/>
          <w:color w:val="000000" w:themeColor="text1"/>
          <w:sz w:val="36"/>
          <w:szCs w:val="36"/>
          <w:highlight w:val="none"/>
          <w:lang w:eastAsia="zh-CN"/>
          <w14:textFill>
            <w14:solidFill>
              <w14:schemeClr w14:val="tx1"/>
            </w14:solidFill>
          </w14:textFill>
        </w:rPr>
        <w:t>咨 询 人：</w:t>
      </w:r>
      <w:r>
        <w:rPr>
          <w:rFonts w:ascii="宋体" w:eastAsia="宋体" w:cs="宋体"/>
          <w:color w:val="000000" w:themeColor="text1"/>
          <w:sz w:val="36"/>
          <w:szCs w:val="36"/>
          <w:highlight w:val="none"/>
          <w:u w:val="single"/>
          <w:lang w:eastAsia="zh-CN"/>
          <w14:textFill>
            <w14:solidFill>
              <w14:schemeClr w14:val="tx1"/>
            </w14:solidFill>
          </w14:textFill>
        </w:rPr>
        <w:t xml:space="preserve">                            </w:t>
      </w:r>
    </w:p>
    <w:p w14:paraId="0322C9B8">
      <w:pPr>
        <w:pStyle w:val="13"/>
        <w:tabs>
          <w:tab w:val="left" w:pos="1575"/>
        </w:tabs>
        <w:spacing w:line="800" w:lineRule="exact"/>
        <w:ind w:right="-414" w:rightChars="-197" w:firstLine="255" w:firstLineChars="71"/>
        <w:rPr>
          <w:rFonts w:ascii="宋体" w:eastAsia="宋体" w:cs="宋体"/>
          <w:color w:val="000000" w:themeColor="text1"/>
          <w:sz w:val="36"/>
          <w:szCs w:val="36"/>
          <w:highlight w:val="none"/>
          <w:lang w:eastAsia="zh-CN"/>
          <w14:textFill>
            <w14:solidFill>
              <w14:schemeClr w14:val="tx1"/>
            </w14:solidFill>
          </w14:textFill>
        </w:rPr>
      </w:pPr>
      <w:r>
        <w:rPr>
          <w:rFonts w:hint="eastAsia" w:ascii="宋体" w:eastAsia="宋体" w:cs="宋体"/>
          <w:color w:val="000000" w:themeColor="text1"/>
          <w:sz w:val="36"/>
          <w:szCs w:val="36"/>
          <w:highlight w:val="none"/>
          <w:lang w:eastAsia="zh-CN"/>
          <w14:textFill>
            <w14:solidFill>
              <w14:schemeClr w14:val="tx1"/>
            </w14:solidFill>
          </w14:textFill>
        </w:rPr>
        <w:t>日</w:t>
      </w:r>
      <w:r>
        <w:rPr>
          <w:rFonts w:ascii="宋体" w:eastAsia="宋体" w:cs="宋体"/>
          <w:color w:val="000000" w:themeColor="text1"/>
          <w:sz w:val="36"/>
          <w:szCs w:val="36"/>
          <w:highlight w:val="none"/>
          <w:lang w:eastAsia="zh-CN"/>
          <w14:textFill>
            <w14:solidFill>
              <w14:schemeClr w14:val="tx1"/>
            </w14:solidFill>
          </w14:textFill>
        </w:rPr>
        <w:t xml:space="preserve">    </w:t>
      </w:r>
      <w:r>
        <w:rPr>
          <w:rFonts w:hint="eastAsia" w:ascii="宋体" w:eastAsia="宋体" w:cs="宋体"/>
          <w:color w:val="000000" w:themeColor="text1"/>
          <w:sz w:val="36"/>
          <w:szCs w:val="36"/>
          <w:highlight w:val="none"/>
          <w:lang w:eastAsia="zh-CN"/>
          <w14:textFill>
            <w14:solidFill>
              <w14:schemeClr w14:val="tx1"/>
            </w14:solidFill>
          </w14:textFill>
        </w:rPr>
        <w:t>期：</w:t>
      </w:r>
      <w:r>
        <w:rPr>
          <w:rFonts w:ascii="宋体" w:eastAsia="宋体" w:cs="宋体"/>
          <w:color w:val="000000" w:themeColor="text1"/>
          <w:sz w:val="36"/>
          <w:szCs w:val="36"/>
          <w:highlight w:val="none"/>
          <w:u w:val="single"/>
          <w:lang w:eastAsia="zh-CN"/>
          <w14:textFill>
            <w14:solidFill>
              <w14:schemeClr w14:val="tx1"/>
            </w14:solidFill>
          </w14:textFill>
        </w:rPr>
        <w:t xml:space="preserve">     </w:t>
      </w:r>
      <w:r>
        <w:rPr>
          <w:rFonts w:hint="eastAsia" w:ascii="宋体" w:eastAsia="宋体" w:cs="宋体"/>
          <w:color w:val="000000" w:themeColor="text1"/>
          <w:sz w:val="36"/>
          <w:szCs w:val="36"/>
          <w:highlight w:val="none"/>
          <w:lang w:eastAsia="zh-CN"/>
          <w14:textFill>
            <w14:solidFill>
              <w14:schemeClr w14:val="tx1"/>
            </w14:solidFill>
          </w14:textFill>
        </w:rPr>
        <w:t>年</w:t>
      </w:r>
      <w:r>
        <w:rPr>
          <w:rFonts w:ascii="宋体" w:eastAsia="宋体" w:cs="宋体"/>
          <w:color w:val="000000" w:themeColor="text1"/>
          <w:sz w:val="36"/>
          <w:szCs w:val="36"/>
          <w:highlight w:val="none"/>
          <w:u w:val="single"/>
          <w:lang w:eastAsia="zh-CN"/>
          <w14:textFill>
            <w14:solidFill>
              <w14:schemeClr w14:val="tx1"/>
            </w14:solidFill>
          </w14:textFill>
        </w:rPr>
        <w:t xml:space="preserve">    </w:t>
      </w:r>
      <w:r>
        <w:rPr>
          <w:rFonts w:hint="eastAsia" w:ascii="宋体" w:eastAsia="宋体" w:cs="宋体"/>
          <w:color w:val="000000" w:themeColor="text1"/>
          <w:sz w:val="36"/>
          <w:szCs w:val="36"/>
          <w:highlight w:val="none"/>
          <w:lang w:eastAsia="zh-CN"/>
          <w14:textFill>
            <w14:solidFill>
              <w14:schemeClr w14:val="tx1"/>
            </w14:solidFill>
          </w14:textFill>
        </w:rPr>
        <w:t>月</w:t>
      </w:r>
      <w:r>
        <w:rPr>
          <w:rFonts w:ascii="宋体" w:eastAsia="宋体" w:cs="宋体"/>
          <w:color w:val="000000" w:themeColor="text1"/>
          <w:sz w:val="36"/>
          <w:szCs w:val="36"/>
          <w:highlight w:val="none"/>
          <w:u w:val="single"/>
          <w:lang w:eastAsia="zh-CN"/>
          <w14:textFill>
            <w14:solidFill>
              <w14:schemeClr w14:val="tx1"/>
            </w14:solidFill>
          </w14:textFill>
        </w:rPr>
        <w:t xml:space="preserve">     </w:t>
      </w:r>
      <w:r>
        <w:rPr>
          <w:rFonts w:hint="eastAsia" w:ascii="宋体" w:eastAsia="宋体" w:cs="宋体"/>
          <w:color w:val="000000" w:themeColor="text1"/>
          <w:sz w:val="36"/>
          <w:szCs w:val="36"/>
          <w:highlight w:val="none"/>
          <w:lang w:eastAsia="zh-CN"/>
          <w14:textFill>
            <w14:solidFill>
              <w14:schemeClr w14:val="tx1"/>
            </w14:solidFill>
          </w14:textFill>
        </w:rPr>
        <w:t>日</w:t>
      </w:r>
    </w:p>
    <w:p w14:paraId="2205244B">
      <w:pPr>
        <w:rPr>
          <w:color w:val="000000" w:themeColor="text1"/>
          <w:highlight w:val="none"/>
          <w14:textFill>
            <w14:solidFill>
              <w14:schemeClr w14:val="tx1"/>
            </w14:solidFill>
          </w14:textFill>
        </w:rPr>
      </w:pPr>
    </w:p>
    <w:p w14:paraId="07273EC4">
      <w:pPr>
        <w:rPr>
          <w:color w:val="000000" w:themeColor="text1"/>
          <w:highlight w:val="none"/>
          <w14:textFill>
            <w14:solidFill>
              <w14:schemeClr w14:val="tx1"/>
            </w14:solidFill>
          </w14:textFill>
        </w:rPr>
      </w:pPr>
    </w:p>
    <w:p w14:paraId="5D1A8E02">
      <w:pPr>
        <w:rPr>
          <w:color w:val="000000" w:themeColor="text1"/>
          <w:highlight w:val="none"/>
          <w14:textFill>
            <w14:solidFill>
              <w14:schemeClr w14:val="tx1"/>
            </w14:solidFill>
          </w14:textFill>
        </w:rPr>
      </w:pPr>
    </w:p>
    <w:p w14:paraId="22D4A0D1">
      <w:pPr>
        <w:rPr>
          <w:color w:val="000000" w:themeColor="text1"/>
          <w:highlight w:val="none"/>
          <w14:textFill>
            <w14:solidFill>
              <w14:schemeClr w14:val="tx1"/>
            </w14:solidFill>
          </w14:textFill>
        </w:rPr>
      </w:pPr>
    </w:p>
    <w:p w14:paraId="21C2801F">
      <w:pPr>
        <w:rPr>
          <w:color w:val="000000" w:themeColor="text1"/>
          <w:highlight w:val="none"/>
          <w14:textFill>
            <w14:solidFill>
              <w14:schemeClr w14:val="tx1"/>
            </w14:solidFill>
          </w14:textFill>
        </w:rPr>
      </w:pPr>
    </w:p>
    <w:p w14:paraId="1EE786F4">
      <w:pPr>
        <w:rPr>
          <w:color w:val="000000" w:themeColor="text1"/>
          <w:highlight w:val="none"/>
          <w14:textFill>
            <w14:solidFill>
              <w14:schemeClr w14:val="tx1"/>
            </w14:solidFill>
          </w14:textFill>
        </w:rPr>
      </w:pPr>
    </w:p>
    <w:p w14:paraId="55C79292">
      <w:pPr>
        <w:ind w:firstLine="880"/>
        <w:jc w:val="center"/>
        <w:rPr>
          <w:rFonts w:asciiTheme="minorEastAsia" w:hAnsiTheme="minorEastAsia"/>
          <w:color w:val="000000" w:themeColor="text1"/>
          <w:sz w:val="44"/>
          <w:szCs w:val="44"/>
          <w:highlight w:val="none"/>
          <w14:textFill>
            <w14:solidFill>
              <w14:schemeClr w14:val="tx1"/>
            </w14:solidFill>
          </w14:textFill>
        </w:rPr>
        <w:sectPr>
          <w:footerReference r:id="rId3" w:type="default"/>
          <w:pgSz w:w="11906" w:h="16838"/>
          <w:pgMar w:top="1247" w:right="1588" w:bottom="1134" w:left="1588" w:header="851" w:footer="992" w:gutter="0"/>
          <w:cols w:space="425" w:num="1"/>
          <w:docGrid w:type="lines" w:linePitch="312" w:charSpace="0"/>
        </w:sectPr>
      </w:pPr>
    </w:p>
    <w:sdt>
      <w:sdtPr>
        <w:rPr>
          <w:rFonts w:ascii="宋体" w:hAnsi="宋体" w:eastAsia="宋体"/>
          <w:color w:val="000000" w:themeColor="text1"/>
          <w:highlight w:val="none"/>
          <w14:textFill>
            <w14:solidFill>
              <w14:schemeClr w14:val="tx1"/>
            </w14:solidFill>
          </w14:textFill>
        </w:rPr>
        <w:id w:val="147464851"/>
        <w:docPartObj>
          <w:docPartGallery w:val="Table of Contents"/>
          <w:docPartUnique/>
        </w:docPartObj>
      </w:sdtPr>
      <w:sdtEndPr>
        <w:rPr>
          <w:rFonts w:ascii="宋体" w:hAnsi="宋体" w:eastAsia="宋体"/>
          <w:color w:val="000000" w:themeColor="text1"/>
          <w:sz w:val="24"/>
          <w:szCs w:val="24"/>
          <w:highlight w:val="none"/>
          <w14:textFill>
            <w14:solidFill>
              <w14:schemeClr w14:val="tx1"/>
            </w14:solidFill>
          </w14:textFill>
        </w:rPr>
      </w:sdtEndPr>
      <w:sdtContent>
        <w:p w14:paraId="7F125006">
          <w:pPr>
            <w:jc w:val="center"/>
            <w:rPr>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目录</w:t>
          </w:r>
        </w:p>
        <w:p w14:paraId="4EE6A3D2">
          <w:pPr>
            <w:pStyle w:val="19"/>
            <w:tabs>
              <w:tab w:val="right" w:leader="dot" w:pos="8720"/>
            </w:tabs>
            <w:rPr>
              <w:color w:val="000000" w:themeColor="text1"/>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TOC \o "1-3" \h \u </w:instrText>
          </w:r>
          <w:r>
            <w:rPr>
              <w:color w:val="000000" w:themeColor="text1"/>
              <w:sz w:val="24"/>
              <w:szCs w:val="24"/>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"_Toc76398630" </w:instrText>
          </w:r>
          <w:r>
            <w:rPr>
              <w:color w:val="000000" w:themeColor="text1"/>
              <w:highlight w:val="none"/>
              <w14:textFill>
                <w14:solidFill>
                  <w14:schemeClr w14:val="tx1"/>
                </w14:solidFill>
              </w14:textFill>
            </w:rPr>
            <w:fldChar w:fldCharType="separate"/>
          </w:r>
          <w:r>
            <w:rPr>
              <w:rStyle w:val="39"/>
              <w:rFonts w:hint="eastAsia"/>
              <w:b/>
              <w:color w:val="000000" w:themeColor="text1"/>
              <w:highlight w:val="none"/>
              <w14:textFill>
                <w14:solidFill>
                  <w14:schemeClr w14:val="tx1"/>
                </w14:solidFill>
              </w14:textFill>
            </w:rPr>
            <w:t>第一部分协议书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A64163C">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"_Toc76398631"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color w:val="000000" w:themeColor="text1"/>
              <w:highlight w:val="none"/>
              <w14:textFill>
                <w14:solidFill>
                  <w14:schemeClr w14:val="tx1"/>
                </w14:solidFill>
              </w14:textFill>
            </w:rPr>
            <w:t>一、工程概况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60D433D">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"_Toc76398632"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color w:val="000000" w:themeColor="text1"/>
              <w:highlight w:val="none"/>
              <w14:textFill>
                <w14:solidFill>
                  <w14:schemeClr w14:val="tx1"/>
                </w14:solidFill>
              </w14:textFill>
            </w:rPr>
            <w:t>二、服务范围及工作内容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C098306">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"_Toc76398633"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color w:val="000000" w:themeColor="text1"/>
              <w:highlight w:val="none"/>
              <w14:textFill>
                <w14:solidFill>
                  <w14:schemeClr w14:val="tx1"/>
                </w14:solidFill>
              </w14:textFill>
            </w:rPr>
            <w:t>三、服务期限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9F2E2D2">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"_Toc76398634"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color w:val="000000" w:themeColor="text1"/>
              <w:highlight w:val="none"/>
              <w14:textFill>
                <w14:solidFill>
                  <w14:schemeClr w14:val="tx1"/>
                </w14:solidFill>
              </w14:textFill>
            </w:rPr>
            <w:t>四、质量标准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C715B67">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"_Toc76398635"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color w:val="000000" w:themeColor="text1"/>
              <w:highlight w:val="none"/>
              <w14:textFill>
                <w14:solidFill>
                  <w14:schemeClr w14:val="tx1"/>
                </w14:solidFill>
              </w14:textFill>
            </w:rPr>
            <w:t>五、酬金或计取方式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3675128">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"_Toc76398636"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color w:val="000000" w:themeColor="text1"/>
              <w:highlight w:val="none"/>
              <w14:textFill>
                <w14:solidFill>
                  <w14:schemeClr w14:val="tx1"/>
                </w14:solidFill>
              </w14:textFill>
            </w:rPr>
            <w:t>六、合同文件的构成本协议书与下列文件一起构成合同文件</w:t>
          </w:r>
          <w:r>
            <w:rPr>
              <w:rStyle w:val="39"/>
              <w:rFonts w:asciiTheme="minorEastAsia" w:hAnsiTheme="minor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E724B38">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"_Toc76398637"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color w:val="000000" w:themeColor="text1"/>
              <w:highlight w:val="none"/>
              <w14:textFill>
                <w14:solidFill>
                  <w14:schemeClr w14:val="tx1"/>
                </w14:solidFill>
              </w14:textFill>
            </w:rPr>
            <w:t>七、词语定义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3F4F0D4">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"_Toc76398638"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color w:val="000000" w:themeColor="text1"/>
              <w:highlight w:val="none"/>
              <w14:textFill>
                <w14:solidFill>
                  <w14:schemeClr w14:val="tx1"/>
                </w14:solidFill>
              </w14:textFill>
            </w:rPr>
            <w:t>八、合同订立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ED2D043">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"_Toc76398639"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color w:val="000000" w:themeColor="text1"/>
              <w:highlight w:val="none"/>
              <w14:textFill>
                <w14:solidFill>
                  <w14:schemeClr w14:val="tx1"/>
                </w14:solidFill>
              </w14:textFill>
            </w:rPr>
            <w:t>九、合同生效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57CE82E">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"_Toc76398640"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color w:val="000000" w:themeColor="text1"/>
              <w:highlight w:val="none"/>
              <w14:textFill>
                <w14:solidFill>
                  <w14:schemeClr w14:val="tx1"/>
                </w14:solidFill>
              </w14:textFill>
            </w:rPr>
            <w:t>十、合同份数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8910F60">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"_Toc76398641"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b/>
              <w:color w:val="000000" w:themeColor="text1"/>
              <w:highlight w:val="none"/>
              <w14:textFill>
                <w14:solidFill>
                  <w14:schemeClr w14:val="tx1"/>
                </w14:solidFill>
              </w14:textFill>
            </w:rPr>
            <w:t>第二部分通用条件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88CF4B6">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"_Toc76398642"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1.</w:t>
          </w:r>
          <w:r>
            <w:rPr>
              <w:rStyle w:val="39"/>
              <w:rFonts w:hint="eastAsia" w:asciiTheme="minorEastAsia" w:hAnsiTheme="minorEastAsia"/>
              <w:color w:val="000000" w:themeColor="text1"/>
              <w:highlight w:val="none"/>
              <w14:textFill>
                <w14:solidFill>
                  <w14:schemeClr w14:val="tx1"/>
                </w14:solidFill>
              </w14:textFill>
            </w:rPr>
            <w:t>词语定义、语言、解释顺序与适用法律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DEB0497">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"_Toc76398643"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1.1 </w:t>
          </w:r>
          <w:r>
            <w:rPr>
              <w:rStyle w:val="39"/>
              <w:rFonts w:hint="eastAsia" w:asciiTheme="minorEastAsia" w:hAnsiTheme="minorEastAsia"/>
              <w:color w:val="000000" w:themeColor="text1"/>
              <w:highlight w:val="none"/>
              <w14:textFill>
                <w14:solidFill>
                  <w14:schemeClr w14:val="tx1"/>
                </w14:solidFill>
              </w14:textFill>
            </w:rPr>
            <w:t>词语定义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6EF7D29">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"_Toc76398644"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1.2 </w:t>
          </w:r>
          <w:r>
            <w:rPr>
              <w:rStyle w:val="39"/>
              <w:rFonts w:hint="eastAsia" w:asciiTheme="minorEastAsia" w:hAnsiTheme="minorEastAsia"/>
              <w:color w:val="000000" w:themeColor="text1"/>
              <w:highlight w:val="none"/>
              <w14:textFill>
                <w14:solidFill>
                  <w14:schemeClr w14:val="tx1"/>
                </w14:solidFill>
              </w14:textFill>
            </w:rPr>
            <w:t>语言</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4B8D04A">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"_Toc76398645"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1.3 </w:t>
          </w:r>
          <w:r>
            <w:rPr>
              <w:rStyle w:val="39"/>
              <w:rFonts w:hint="eastAsia" w:asciiTheme="minorEastAsia" w:hAnsiTheme="minorEastAsia"/>
              <w:color w:val="000000" w:themeColor="text1"/>
              <w:highlight w:val="none"/>
              <w14:textFill>
                <w14:solidFill>
                  <w14:schemeClr w14:val="tx1"/>
                </w14:solidFill>
              </w14:textFill>
            </w:rPr>
            <w:t>合同文件的优先顺序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EEEE1B3">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"_Toc76398646"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1.4 </w:t>
          </w:r>
          <w:r>
            <w:rPr>
              <w:rStyle w:val="39"/>
              <w:rFonts w:hint="eastAsia" w:asciiTheme="minorEastAsia" w:hAnsiTheme="minorEastAsia"/>
              <w:color w:val="000000" w:themeColor="text1"/>
              <w:highlight w:val="none"/>
              <w14:textFill>
                <w14:solidFill>
                  <w14:schemeClr w14:val="tx1"/>
                </w14:solidFill>
              </w14:textFill>
            </w:rPr>
            <w:t>适用法律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12EC81A">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"_Toc76398647"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2.</w:t>
          </w:r>
          <w:r>
            <w:rPr>
              <w:rStyle w:val="39"/>
              <w:rFonts w:hint="eastAsia" w:asciiTheme="minorEastAsia" w:hAnsiTheme="minorEastAsia"/>
              <w:color w:val="000000" w:themeColor="text1"/>
              <w:highlight w:val="none"/>
              <w14:textFill>
                <w14:solidFill>
                  <w14:schemeClr w14:val="tx1"/>
                </w14:solidFill>
              </w14:textFill>
            </w:rPr>
            <w:t>委托人的义务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84826F5">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"_Toc76398648"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2.1 </w:t>
          </w:r>
          <w:r>
            <w:rPr>
              <w:rStyle w:val="39"/>
              <w:rFonts w:hint="eastAsia" w:asciiTheme="minorEastAsia" w:hAnsiTheme="minorEastAsia"/>
              <w:color w:val="000000" w:themeColor="text1"/>
              <w:highlight w:val="none"/>
              <w14:textFill>
                <w14:solidFill>
                  <w14:schemeClr w14:val="tx1"/>
                </w14:solidFill>
              </w14:textFill>
            </w:rPr>
            <w:t>提供资料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CEAC091">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"_Toc76398649"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2.2 </w:t>
          </w:r>
          <w:r>
            <w:rPr>
              <w:rStyle w:val="39"/>
              <w:rFonts w:hint="eastAsia" w:asciiTheme="minorEastAsia" w:hAnsiTheme="minorEastAsia"/>
              <w:color w:val="000000" w:themeColor="text1"/>
              <w:highlight w:val="none"/>
              <w14:textFill>
                <w14:solidFill>
                  <w14:schemeClr w14:val="tx1"/>
                </w14:solidFill>
              </w14:textFill>
            </w:rPr>
            <w:t>提供工作条件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9A8257F">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"_Toc76398650"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2.3 </w:t>
          </w:r>
          <w:r>
            <w:rPr>
              <w:rStyle w:val="39"/>
              <w:rFonts w:hint="eastAsia" w:asciiTheme="minorEastAsia" w:hAnsiTheme="minorEastAsia"/>
              <w:color w:val="000000" w:themeColor="text1"/>
              <w:highlight w:val="none"/>
              <w14:textFill>
                <w14:solidFill>
                  <w14:schemeClr w14:val="tx1"/>
                </w14:solidFill>
              </w14:textFill>
            </w:rPr>
            <w:t>合理工作时限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1E537C2">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"_Toc76398651"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2.4 </w:t>
          </w:r>
          <w:r>
            <w:rPr>
              <w:rStyle w:val="39"/>
              <w:rFonts w:hint="eastAsia" w:asciiTheme="minorEastAsia" w:hAnsiTheme="minorEastAsia"/>
              <w:color w:val="000000" w:themeColor="text1"/>
              <w:highlight w:val="none"/>
              <w14:textFill>
                <w14:solidFill>
                  <w14:schemeClr w14:val="tx1"/>
                </w14:solidFill>
              </w14:textFill>
            </w:rPr>
            <w:t>委托人代表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EA9D81A">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"_Toc76398652"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2.5 </w:t>
          </w:r>
          <w:r>
            <w:rPr>
              <w:rStyle w:val="39"/>
              <w:rFonts w:hint="eastAsia" w:asciiTheme="minorEastAsia" w:hAnsiTheme="minorEastAsia"/>
              <w:color w:val="000000" w:themeColor="text1"/>
              <w:highlight w:val="none"/>
              <w14:textFill>
                <w14:solidFill>
                  <w14:schemeClr w14:val="tx1"/>
                </w14:solidFill>
              </w14:textFill>
            </w:rPr>
            <w:t>答复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41167CF">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"_Toc76398653"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2.6 </w:t>
          </w:r>
          <w:r>
            <w:rPr>
              <w:rStyle w:val="39"/>
              <w:rFonts w:hint="eastAsia" w:asciiTheme="minorEastAsia" w:hAnsiTheme="minorEastAsia"/>
              <w:color w:val="000000" w:themeColor="text1"/>
              <w:highlight w:val="none"/>
              <w14:textFill>
                <w14:solidFill>
                  <w14:schemeClr w14:val="tx1"/>
                </w14:solidFill>
              </w14:textFill>
            </w:rPr>
            <w:t>支付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237C583">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"_Toc76398654"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3.</w:t>
          </w:r>
          <w:r>
            <w:rPr>
              <w:rStyle w:val="39"/>
              <w:rFonts w:hint="eastAsia" w:asciiTheme="minorEastAsia" w:hAnsiTheme="minorEastAsia"/>
              <w:color w:val="000000" w:themeColor="text1"/>
              <w:highlight w:val="none"/>
              <w14:textFill>
                <w14:solidFill>
                  <w14:schemeClr w14:val="tx1"/>
                </w14:solidFill>
              </w14:textFill>
            </w:rPr>
            <w:t>咨询人的义务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9D461FA">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"_Toc76398655"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3.1 </w:t>
          </w:r>
          <w:r>
            <w:rPr>
              <w:rStyle w:val="39"/>
              <w:rFonts w:hint="eastAsia" w:asciiTheme="minorEastAsia" w:hAnsiTheme="minorEastAsia"/>
              <w:color w:val="000000" w:themeColor="text1"/>
              <w:highlight w:val="none"/>
              <w14:textFill>
                <w14:solidFill>
                  <w14:schemeClr w14:val="tx1"/>
                </w14:solidFill>
              </w14:textFill>
            </w:rPr>
            <w:t>项目咨询团队及人员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EDB6B31">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"_Toc76398656"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3.2 </w:t>
          </w:r>
          <w:r>
            <w:rPr>
              <w:rStyle w:val="39"/>
              <w:rFonts w:hint="eastAsia" w:asciiTheme="minorEastAsia" w:hAnsiTheme="minorEastAsia"/>
              <w:color w:val="000000" w:themeColor="text1"/>
              <w:highlight w:val="none"/>
              <w14:textFill>
                <w14:solidFill>
                  <w14:schemeClr w14:val="tx1"/>
                </w14:solidFill>
              </w14:textFill>
            </w:rPr>
            <w:t>咨询人的工作要求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8B281E1">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"_Toc76398657"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3.3 </w:t>
          </w:r>
          <w:r>
            <w:rPr>
              <w:rStyle w:val="39"/>
              <w:rFonts w:hint="eastAsia" w:asciiTheme="minorEastAsia" w:hAnsiTheme="minorEastAsia"/>
              <w:color w:val="000000" w:themeColor="text1"/>
              <w:highlight w:val="none"/>
              <w14:textFill>
                <w14:solidFill>
                  <w14:schemeClr w14:val="tx1"/>
                </w14:solidFill>
              </w14:textFill>
            </w:rPr>
            <w:t>咨询人的工作依据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36A2786">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"_Toc76398658"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3.4 </w:t>
          </w:r>
          <w:r>
            <w:rPr>
              <w:rStyle w:val="39"/>
              <w:rFonts w:hint="eastAsia" w:asciiTheme="minorEastAsia" w:hAnsiTheme="minorEastAsia"/>
              <w:color w:val="000000" w:themeColor="text1"/>
              <w:highlight w:val="none"/>
              <w14:textFill>
                <w14:solidFill>
                  <w14:schemeClr w14:val="tx1"/>
                </w14:solidFill>
              </w14:textFill>
            </w:rPr>
            <w:t>使用委托人房屋及设备的返还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FF56E18">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"_Toc76398659"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4.</w:t>
          </w:r>
          <w:r>
            <w:rPr>
              <w:rStyle w:val="39"/>
              <w:rFonts w:hint="eastAsia" w:asciiTheme="minorEastAsia" w:hAnsiTheme="minorEastAsia"/>
              <w:color w:val="000000" w:themeColor="text1"/>
              <w:highlight w:val="none"/>
              <w14:textFill>
                <w14:solidFill>
                  <w14:schemeClr w14:val="tx1"/>
                </w14:solidFill>
              </w14:textFill>
            </w:rPr>
            <w:t>违约责任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A97E6C0">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"_Toc76398660"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4.1 </w:t>
          </w:r>
          <w:r>
            <w:rPr>
              <w:rStyle w:val="39"/>
              <w:rFonts w:hint="eastAsia" w:asciiTheme="minorEastAsia" w:hAnsiTheme="minorEastAsia"/>
              <w:color w:val="000000" w:themeColor="text1"/>
              <w:highlight w:val="none"/>
              <w14:textFill>
                <w14:solidFill>
                  <w14:schemeClr w14:val="tx1"/>
                </w14:solidFill>
              </w14:textFill>
            </w:rPr>
            <w:t>委托人的违约责任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CECBBAA">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"_Toc76398661"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4.2 </w:t>
          </w:r>
          <w:r>
            <w:rPr>
              <w:rStyle w:val="39"/>
              <w:rFonts w:hint="eastAsia" w:asciiTheme="minorEastAsia" w:hAnsiTheme="minorEastAsia"/>
              <w:color w:val="000000" w:themeColor="text1"/>
              <w:highlight w:val="none"/>
              <w14:textFill>
                <w14:solidFill>
                  <w14:schemeClr w14:val="tx1"/>
                </w14:solidFill>
              </w14:textFill>
            </w:rPr>
            <w:t>咨询人的违约责任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1C77E43">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"_Toc76398662"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5.</w:t>
          </w:r>
          <w:r>
            <w:rPr>
              <w:rStyle w:val="39"/>
              <w:rFonts w:hint="eastAsia" w:asciiTheme="minorEastAsia" w:hAnsiTheme="minorEastAsia"/>
              <w:color w:val="000000" w:themeColor="text1"/>
              <w:highlight w:val="none"/>
              <w14:textFill>
                <w14:solidFill>
                  <w14:schemeClr w14:val="tx1"/>
                </w14:solidFill>
              </w14:textFill>
            </w:rPr>
            <w:t>支付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D19784A">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"_Toc76398663"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5.1 </w:t>
          </w:r>
          <w:r>
            <w:rPr>
              <w:rStyle w:val="39"/>
              <w:rFonts w:hint="eastAsia" w:asciiTheme="minorEastAsia" w:hAnsiTheme="minorEastAsia"/>
              <w:color w:val="000000" w:themeColor="text1"/>
              <w:highlight w:val="none"/>
              <w14:textFill>
                <w14:solidFill>
                  <w14:schemeClr w14:val="tx1"/>
                </w14:solidFill>
              </w14:textFill>
            </w:rPr>
            <w:t>支付货币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F4B7301">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"_Toc76398664"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5.2 </w:t>
          </w:r>
          <w:r>
            <w:rPr>
              <w:rStyle w:val="39"/>
              <w:rFonts w:hint="eastAsia" w:asciiTheme="minorEastAsia" w:hAnsiTheme="minorEastAsia"/>
              <w:color w:val="000000" w:themeColor="text1"/>
              <w:highlight w:val="none"/>
              <w14:textFill>
                <w14:solidFill>
                  <w14:schemeClr w14:val="tx1"/>
                </w14:solidFill>
              </w14:textFill>
            </w:rPr>
            <w:t>支付申请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875D133">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"_Toc76398665"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5.3 </w:t>
          </w:r>
          <w:r>
            <w:rPr>
              <w:rStyle w:val="39"/>
              <w:rFonts w:hint="eastAsia" w:asciiTheme="minorEastAsia" w:hAnsiTheme="minorEastAsia"/>
              <w:color w:val="000000" w:themeColor="text1"/>
              <w:highlight w:val="none"/>
              <w14:textFill>
                <w14:solidFill>
                  <w14:schemeClr w14:val="tx1"/>
                </w14:solidFill>
              </w14:textFill>
            </w:rPr>
            <w:t>支付酬金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45C4184">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"_Toc76398666"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5.4 </w:t>
          </w:r>
          <w:r>
            <w:rPr>
              <w:rStyle w:val="39"/>
              <w:rFonts w:hint="eastAsia" w:asciiTheme="minorEastAsia" w:hAnsiTheme="minorEastAsia"/>
              <w:color w:val="000000" w:themeColor="text1"/>
              <w:highlight w:val="none"/>
              <w14:textFill>
                <w14:solidFill>
                  <w14:schemeClr w14:val="tx1"/>
                </w14:solidFill>
              </w14:textFill>
            </w:rPr>
            <w:t>有异议部分的支付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A2975F3">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"_Toc76398667"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6.</w:t>
          </w:r>
          <w:r>
            <w:rPr>
              <w:rStyle w:val="39"/>
              <w:rFonts w:hint="eastAsia" w:asciiTheme="minorEastAsia" w:hAnsiTheme="minorEastAsia"/>
              <w:color w:val="000000" w:themeColor="text1"/>
              <w:highlight w:val="none"/>
              <w14:textFill>
                <w14:solidFill>
                  <w14:schemeClr w14:val="tx1"/>
                </w14:solidFill>
              </w14:textFill>
            </w:rPr>
            <w:t>合同变更、解除与终止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444F517">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"_Toc76398668"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6.1 </w:t>
          </w:r>
          <w:r>
            <w:rPr>
              <w:rStyle w:val="39"/>
              <w:rFonts w:hint="eastAsia" w:asciiTheme="minorEastAsia" w:hAnsiTheme="minorEastAsia"/>
              <w:color w:val="000000" w:themeColor="text1"/>
              <w:highlight w:val="none"/>
              <w14:textFill>
                <w14:solidFill>
                  <w14:schemeClr w14:val="tx1"/>
                </w14:solidFill>
              </w14:textFill>
            </w:rPr>
            <w:t>合同变更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EA48F6D">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"_Toc76398669"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6.2 </w:t>
          </w:r>
          <w:r>
            <w:rPr>
              <w:rStyle w:val="39"/>
              <w:rFonts w:hint="eastAsia" w:asciiTheme="minorEastAsia" w:hAnsiTheme="minorEastAsia"/>
              <w:color w:val="000000" w:themeColor="text1"/>
              <w:highlight w:val="none"/>
              <w14:textFill>
                <w14:solidFill>
                  <w14:schemeClr w14:val="tx1"/>
                </w14:solidFill>
              </w14:textFill>
            </w:rPr>
            <w:t>合同解除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6894FF3">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"_Toc76398670"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6.3 </w:t>
          </w:r>
          <w:r>
            <w:rPr>
              <w:rStyle w:val="39"/>
              <w:rFonts w:hint="eastAsia" w:asciiTheme="minorEastAsia" w:hAnsiTheme="minorEastAsia"/>
              <w:color w:val="000000" w:themeColor="text1"/>
              <w:highlight w:val="none"/>
              <w14:textFill>
                <w14:solidFill>
                  <w14:schemeClr w14:val="tx1"/>
                </w14:solidFill>
              </w14:textFill>
            </w:rPr>
            <w:t>合同终止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9E3FF01">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"_Toc76398671"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7.</w:t>
          </w:r>
          <w:r>
            <w:rPr>
              <w:rStyle w:val="39"/>
              <w:rFonts w:hint="eastAsia" w:asciiTheme="minorEastAsia" w:hAnsiTheme="minorEastAsia"/>
              <w:color w:val="000000" w:themeColor="text1"/>
              <w:highlight w:val="none"/>
              <w14:textFill>
                <w14:solidFill>
                  <w14:schemeClr w14:val="tx1"/>
                </w14:solidFill>
              </w14:textFill>
            </w:rPr>
            <w:t>争议解决</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1F1D4E5">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"_Toc76398672"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7.1 </w:t>
          </w:r>
          <w:r>
            <w:rPr>
              <w:rStyle w:val="39"/>
              <w:rFonts w:hint="eastAsia" w:asciiTheme="minorEastAsia" w:hAnsiTheme="minorEastAsia"/>
              <w:color w:val="000000" w:themeColor="text1"/>
              <w:highlight w:val="none"/>
              <w14:textFill>
                <w14:solidFill>
                  <w14:schemeClr w14:val="tx1"/>
                </w14:solidFill>
              </w14:textFill>
            </w:rPr>
            <w:t>协商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4CF637D">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"_Toc76398673"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7.2 </w:t>
          </w:r>
          <w:r>
            <w:rPr>
              <w:rStyle w:val="39"/>
              <w:rFonts w:hint="eastAsia" w:asciiTheme="minorEastAsia" w:hAnsiTheme="minorEastAsia"/>
              <w:color w:val="000000" w:themeColor="text1"/>
              <w:highlight w:val="none"/>
              <w14:textFill>
                <w14:solidFill>
                  <w14:schemeClr w14:val="tx1"/>
                </w14:solidFill>
              </w14:textFill>
            </w:rPr>
            <w:t>调解</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D73CD92">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"_Toc76398674"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7.3 </w:t>
          </w:r>
          <w:r>
            <w:rPr>
              <w:rStyle w:val="39"/>
              <w:rFonts w:hint="eastAsia" w:asciiTheme="minorEastAsia" w:hAnsiTheme="minorEastAsia"/>
              <w:color w:val="000000" w:themeColor="text1"/>
              <w:highlight w:val="none"/>
              <w14:textFill>
                <w14:solidFill>
                  <w14:schemeClr w14:val="tx1"/>
                </w14:solidFill>
              </w14:textFill>
            </w:rPr>
            <w:t>仲裁或诉讼</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C3B85DB">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"_Toc76398675"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8.</w:t>
          </w:r>
          <w:r>
            <w:rPr>
              <w:rStyle w:val="39"/>
              <w:rFonts w:hint="eastAsia" w:asciiTheme="minorEastAsia" w:hAnsiTheme="minorEastAsia"/>
              <w:color w:val="000000" w:themeColor="text1"/>
              <w:highlight w:val="none"/>
              <w14:textFill>
                <w14:solidFill>
                  <w14:schemeClr w14:val="tx1"/>
                </w14:solidFill>
              </w14:textFill>
            </w:rPr>
            <w:t>其他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974D94A">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"_Toc76398676"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8.1 </w:t>
          </w:r>
          <w:r>
            <w:rPr>
              <w:rStyle w:val="39"/>
              <w:rFonts w:hint="eastAsia" w:asciiTheme="minorEastAsia" w:hAnsiTheme="minorEastAsia"/>
              <w:color w:val="000000" w:themeColor="text1"/>
              <w:highlight w:val="none"/>
              <w14:textFill>
                <w14:solidFill>
                  <w14:schemeClr w14:val="tx1"/>
                </w14:solidFill>
              </w14:textFill>
            </w:rPr>
            <w:t>考察及相关费用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F99E537">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"_Toc76398677"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8.2 </w:t>
          </w:r>
          <w:r>
            <w:rPr>
              <w:rStyle w:val="39"/>
              <w:rFonts w:hint="eastAsia" w:asciiTheme="minorEastAsia" w:hAnsiTheme="minorEastAsia"/>
              <w:color w:val="000000" w:themeColor="text1"/>
              <w:highlight w:val="none"/>
              <w14:textFill>
                <w14:solidFill>
                  <w14:schemeClr w14:val="tx1"/>
                </w14:solidFill>
              </w14:textFill>
            </w:rPr>
            <w:t>奖励</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C4244B9">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"_Toc76398678"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8.3 </w:t>
          </w:r>
          <w:r>
            <w:rPr>
              <w:rStyle w:val="39"/>
              <w:rFonts w:hint="eastAsia" w:asciiTheme="minorEastAsia" w:hAnsiTheme="minorEastAsia"/>
              <w:color w:val="000000" w:themeColor="text1"/>
              <w:highlight w:val="none"/>
              <w14:textFill>
                <w14:solidFill>
                  <w14:schemeClr w14:val="tx1"/>
                </w14:solidFill>
              </w14:textFill>
            </w:rPr>
            <w:t>保密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96AA5A8">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"_Toc76398679"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8.4 </w:t>
          </w:r>
          <w:r>
            <w:rPr>
              <w:rStyle w:val="39"/>
              <w:rFonts w:hint="eastAsia" w:asciiTheme="minorEastAsia" w:hAnsiTheme="minorEastAsia"/>
              <w:color w:val="000000" w:themeColor="text1"/>
              <w:highlight w:val="none"/>
              <w14:textFill>
                <w14:solidFill>
                  <w14:schemeClr w14:val="tx1"/>
                </w14:solidFill>
              </w14:textFill>
            </w:rPr>
            <w:t>联络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1A3C38B">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"_Toc76398680"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8.5 </w:t>
          </w:r>
          <w:r>
            <w:rPr>
              <w:rStyle w:val="39"/>
              <w:rFonts w:hint="eastAsia" w:asciiTheme="minorEastAsia" w:hAnsiTheme="minorEastAsia"/>
              <w:color w:val="000000" w:themeColor="text1"/>
              <w:highlight w:val="none"/>
              <w14:textFill>
                <w14:solidFill>
                  <w14:schemeClr w14:val="tx1"/>
                </w14:solidFill>
              </w14:textFill>
            </w:rPr>
            <w:t>知识产权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097539A">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"_Toc76398681"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b/>
              <w:color w:val="000000" w:themeColor="text1"/>
              <w:highlight w:val="none"/>
              <w14:textFill>
                <w14:solidFill>
                  <w14:schemeClr w14:val="tx1"/>
                </w14:solidFill>
              </w14:textFill>
            </w:rPr>
            <w:t>第三部分专用条件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E9EF8EB">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"_Toc76398682"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1.</w:t>
          </w:r>
          <w:r>
            <w:rPr>
              <w:rStyle w:val="39"/>
              <w:rFonts w:hint="eastAsia" w:asciiTheme="minorEastAsia" w:hAnsiTheme="minorEastAsia"/>
              <w:color w:val="000000" w:themeColor="text1"/>
              <w:highlight w:val="none"/>
              <w14:textFill>
                <w14:solidFill>
                  <w14:schemeClr w14:val="tx1"/>
                </w14:solidFill>
              </w14:textFill>
            </w:rPr>
            <w:t>词语定义、语言、解释顺序与适用法律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2C84FD6">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"_Toc76398683"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1.2 </w:t>
          </w:r>
          <w:r>
            <w:rPr>
              <w:rStyle w:val="39"/>
              <w:rFonts w:hint="eastAsia" w:asciiTheme="minorEastAsia" w:hAnsiTheme="minorEastAsia"/>
              <w:color w:val="000000" w:themeColor="text1"/>
              <w:highlight w:val="none"/>
              <w14:textFill>
                <w14:solidFill>
                  <w14:schemeClr w14:val="tx1"/>
                </w14:solidFill>
              </w14:textFill>
            </w:rPr>
            <w:t>语言</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E1D7A41">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"_Toc76398684"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1.3 </w:t>
          </w:r>
          <w:r>
            <w:rPr>
              <w:rStyle w:val="39"/>
              <w:rFonts w:hint="eastAsia" w:asciiTheme="minorEastAsia" w:hAnsiTheme="minorEastAsia"/>
              <w:color w:val="000000" w:themeColor="text1"/>
              <w:highlight w:val="none"/>
              <w14:textFill>
                <w14:solidFill>
                  <w14:schemeClr w14:val="tx1"/>
                </w14:solidFill>
              </w14:textFill>
            </w:rPr>
            <w:t>合同文件的优先顺序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047AAC2">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"_Toc76398685"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1.4 </w:t>
          </w:r>
          <w:r>
            <w:rPr>
              <w:rStyle w:val="39"/>
              <w:rFonts w:hint="eastAsia" w:asciiTheme="minorEastAsia" w:hAnsiTheme="minorEastAsia"/>
              <w:color w:val="000000" w:themeColor="text1"/>
              <w:highlight w:val="none"/>
              <w14:textFill>
                <w14:solidFill>
                  <w14:schemeClr w14:val="tx1"/>
                </w14:solidFill>
              </w14:textFill>
            </w:rPr>
            <w:t>适用法律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51C7194">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"_Toc76398686"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2.</w:t>
          </w:r>
          <w:r>
            <w:rPr>
              <w:rStyle w:val="39"/>
              <w:rFonts w:hint="eastAsia" w:asciiTheme="minorEastAsia" w:hAnsiTheme="minorEastAsia"/>
              <w:color w:val="000000" w:themeColor="text1"/>
              <w:highlight w:val="none"/>
              <w14:textFill>
                <w14:solidFill>
                  <w14:schemeClr w14:val="tx1"/>
                </w14:solidFill>
              </w14:textFill>
            </w:rPr>
            <w:t>委托人的义务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824D04C">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"_Toc76398687"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2.1 </w:t>
          </w:r>
          <w:r>
            <w:rPr>
              <w:rStyle w:val="39"/>
              <w:rFonts w:hint="eastAsia" w:asciiTheme="minorEastAsia" w:hAnsiTheme="minorEastAsia"/>
              <w:color w:val="000000" w:themeColor="text1"/>
              <w:highlight w:val="none"/>
              <w14:textFill>
                <w14:solidFill>
                  <w14:schemeClr w14:val="tx1"/>
                </w14:solidFill>
              </w14:textFill>
            </w:rPr>
            <w:t>提供资料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470833E">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"_Toc76398688"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2.2 </w:t>
          </w:r>
          <w:r>
            <w:rPr>
              <w:rStyle w:val="39"/>
              <w:rFonts w:hint="eastAsia" w:asciiTheme="minorEastAsia" w:hAnsiTheme="minorEastAsia"/>
              <w:color w:val="000000" w:themeColor="text1"/>
              <w:highlight w:val="none"/>
              <w14:textFill>
                <w14:solidFill>
                  <w14:schemeClr w14:val="tx1"/>
                </w14:solidFill>
              </w14:textFill>
            </w:rPr>
            <w:t>提供工作条件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B14A3BD">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"_Toc76398689"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2.4 </w:t>
          </w:r>
          <w:r>
            <w:rPr>
              <w:rStyle w:val="39"/>
              <w:rFonts w:hint="eastAsia" w:asciiTheme="minorEastAsia" w:hAnsiTheme="minorEastAsia"/>
              <w:color w:val="000000" w:themeColor="text1"/>
              <w:highlight w:val="none"/>
              <w14:textFill>
                <w14:solidFill>
                  <w14:schemeClr w14:val="tx1"/>
                </w14:solidFill>
              </w14:textFill>
            </w:rPr>
            <w:t>委托人代表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C85E213">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"_Toc76398690"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2.5 </w:t>
          </w:r>
          <w:r>
            <w:rPr>
              <w:rStyle w:val="39"/>
              <w:rFonts w:hint="eastAsia" w:asciiTheme="minorEastAsia" w:hAnsiTheme="minorEastAsia"/>
              <w:color w:val="000000" w:themeColor="text1"/>
              <w:highlight w:val="none"/>
              <w14:textFill>
                <w14:solidFill>
                  <w14:schemeClr w14:val="tx1"/>
                </w14:solidFill>
              </w14:textFill>
            </w:rPr>
            <w:t>答复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1C1E6C5">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"_Toc76398691"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3.</w:t>
          </w:r>
          <w:r>
            <w:rPr>
              <w:rStyle w:val="39"/>
              <w:rFonts w:hint="eastAsia" w:asciiTheme="minorEastAsia" w:hAnsiTheme="minorEastAsia"/>
              <w:color w:val="000000" w:themeColor="text1"/>
              <w:highlight w:val="none"/>
              <w14:textFill>
                <w14:solidFill>
                  <w14:schemeClr w14:val="tx1"/>
                </w14:solidFill>
              </w14:textFill>
            </w:rPr>
            <w:t>咨询人的义务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87E618D">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"_Toc76398692"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3.1 </w:t>
          </w:r>
          <w:r>
            <w:rPr>
              <w:rStyle w:val="39"/>
              <w:rFonts w:hint="eastAsia" w:asciiTheme="minorEastAsia" w:hAnsiTheme="minorEastAsia"/>
              <w:color w:val="000000" w:themeColor="text1"/>
              <w:highlight w:val="none"/>
              <w14:textFill>
                <w14:solidFill>
                  <w14:schemeClr w14:val="tx1"/>
                </w14:solidFill>
              </w14:textFill>
            </w:rPr>
            <w:t>项目咨询团队及人员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75C67D9">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"_Toc76398693"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3.2 </w:t>
          </w:r>
          <w:r>
            <w:rPr>
              <w:rStyle w:val="39"/>
              <w:rFonts w:hint="eastAsia" w:asciiTheme="minorEastAsia" w:hAnsiTheme="minorEastAsia"/>
              <w:color w:val="000000" w:themeColor="text1"/>
              <w:highlight w:val="none"/>
              <w14:textFill>
                <w14:solidFill>
                  <w14:schemeClr w14:val="tx1"/>
                </w14:solidFill>
              </w14:textFill>
            </w:rPr>
            <w:t>咨询人的工作要求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47D75B6">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"_Toc76398694"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3.3 </w:t>
          </w:r>
          <w:r>
            <w:rPr>
              <w:rStyle w:val="39"/>
              <w:rFonts w:hint="eastAsia" w:asciiTheme="minorEastAsia" w:hAnsiTheme="minorEastAsia"/>
              <w:color w:val="000000" w:themeColor="text1"/>
              <w:highlight w:val="none"/>
              <w14:textFill>
                <w14:solidFill>
                  <w14:schemeClr w14:val="tx1"/>
                </w14:solidFill>
              </w14:textFill>
            </w:rPr>
            <w:t>咨询人的工作依据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8219D6F">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"_Toc76398695"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3.4 </w:t>
          </w:r>
          <w:r>
            <w:rPr>
              <w:rStyle w:val="39"/>
              <w:rFonts w:hint="eastAsia" w:asciiTheme="minorEastAsia" w:hAnsiTheme="minorEastAsia"/>
              <w:color w:val="000000" w:themeColor="text1"/>
              <w:highlight w:val="none"/>
              <w14:textFill>
                <w14:solidFill>
                  <w14:schemeClr w14:val="tx1"/>
                </w14:solidFill>
              </w14:textFill>
            </w:rPr>
            <w:t>使用委托人房屋及设备的返还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11E05C7">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"_Toc76398696"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4. </w:t>
          </w:r>
          <w:r>
            <w:rPr>
              <w:rStyle w:val="39"/>
              <w:rFonts w:hint="eastAsia" w:asciiTheme="minorEastAsia" w:hAnsiTheme="minorEastAsia"/>
              <w:color w:val="000000" w:themeColor="text1"/>
              <w:highlight w:val="none"/>
              <w14:textFill>
                <w14:solidFill>
                  <w14:schemeClr w14:val="tx1"/>
                </w14:solidFill>
              </w14:textFill>
            </w:rPr>
            <w:t>违约责任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BDD12A1">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"_Toc76398697"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4.1 </w:t>
          </w:r>
          <w:r>
            <w:rPr>
              <w:rStyle w:val="39"/>
              <w:rFonts w:hint="eastAsia" w:asciiTheme="minorEastAsia" w:hAnsiTheme="minorEastAsia"/>
              <w:color w:val="000000" w:themeColor="text1"/>
              <w:highlight w:val="none"/>
              <w14:textFill>
                <w14:solidFill>
                  <w14:schemeClr w14:val="tx1"/>
                </w14:solidFill>
              </w14:textFill>
            </w:rPr>
            <w:t>委托人的违约责任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015BD99">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"_Toc76398698"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4.2 </w:t>
          </w:r>
          <w:r>
            <w:rPr>
              <w:rStyle w:val="39"/>
              <w:rFonts w:hint="eastAsia" w:asciiTheme="minorEastAsia" w:hAnsiTheme="minorEastAsia"/>
              <w:color w:val="000000" w:themeColor="text1"/>
              <w:highlight w:val="none"/>
              <w14:textFill>
                <w14:solidFill>
                  <w14:schemeClr w14:val="tx1"/>
                </w14:solidFill>
              </w14:textFill>
            </w:rPr>
            <w:t>咨询人的违约责任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12BBF1B">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"_Toc76398699"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5. </w:t>
          </w:r>
          <w:r>
            <w:rPr>
              <w:rStyle w:val="39"/>
              <w:rFonts w:hint="eastAsia" w:asciiTheme="minorEastAsia" w:hAnsiTheme="minorEastAsia"/>
              <w:color w:val="000000" w:themeColor="text1"/>
              <w:highlight w:val="none"/>
              <w14:textFill>
                <w14:solidFill>
                  <w14:schemeClr w14:val="tx1"/>
                </w14:solidFill>
              </w14:textFill>
            </w:rPr>
            <w:t>支付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1F97244">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"_Toc76398700"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5.1 </w:t>
          </w:r>
          <w:r>
            <w:rPr>
              <w:rStyle w:val="39"/>
              <w:rFonts w:hint="eastAsia" w:asciiTheme="minorEastAsia" w:hAnsiTheme="minorEastAsia"/>
              <w:color w:val="000000" w:themeColor="text1"/>
              <w:highlight w:val="none"/>
              <w14:textFill>
                <w14:solidFill>
                  <w14:schemeClr w14:val="tx1"/>
                </w14:solidFill>
              </w14:textFill>
            </w:rPr>
            <w:t>支付货币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9CB23A2">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"_Toc76398701"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5.2 </w:t>
          </w:r>
          <w:r>
            <w:rPr>
              <w:rStyle w:val="39"/>
              <w:rFonts w:hint="eastAsia" w:asciiTheme="minorEastAsia" w:hAnsiTheme="minorEastAsia"/>
              <w:color w:val="000000" w:themeColor="text1"/>
              <w:highlight w:val="none"/>
              <w14:textFill>
                <w14:solidFill>
                  <w14:schemeClr w14:val="tx1"/>
                </w14:solidFill>
              </w14:textFill>
            </w:rPr>
            <w:t>支付申请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06C954A">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"_Toc76398702"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5.3 </w:t>
          </w:r>
          <w:r>
            <w:rPr>
              <w:rStyle w:val="39"/>
              <w:rFonts w:hint="eastAsia" w:asciiTheme="minorEastAsia" w:hAnsiTheme="minorEastAsia"/>
              <w:color w:val="000000" w:themeColor="text1"/>
              <w:highlight w:val="none"/>
              <w14:textFill>
                <w14:solidFill>
                  <w14:schemeClr w14:val="tx1"/>
                </w14:solidFill>
              </w14:textFill>
            </w:rPr>
            <w:t>支付酬金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D018852">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"_Toc76398703"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6. </w:t>
          </w:r>
          <w:r>
            <w:rPr>
              <w:rStyle w:val="39"/>
              <w:rFonts w:hint="eastAsia" w:asciiTheme="minorEastAsia" w:hAnsiTheme="minorEastAsia"/>
              <w:color w:val="000000" w:themeColor="text1"/>
              <w:highlight w:val="none"/>
              <w14:textFill>
                <w14:solidFill>
                  <w14:schemeClr w14:val="tx1"/>
                </w14:solidFill>
              </w14:textFill>
            </w:rPr>
            <w:t>合同变更、解除与终止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720C0C3">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"_Toc76398704"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6.1 </w:t>
          </w:r>
          <w:r>
            <w:rPr>
              <w:rStyle w:val="39"/>
              <w:rFonts w:hint="eastAsia" w:asciiTheme="minorEastAsia" w:hAnsiTheme="minorEastAsia"/>
              <w:color w:val="000000" w:themeColor="text1"/>
              <w:highlight w:val="none"/>
              <w14:textFill>
                <w14:solidFill>
                  <w14:schemeClr w14:val="tx1"/>
                </w14:solidFill>
              </w14:textFill>
            </w:rPr>
            <w:t>合同变更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E475697">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"_Toc76398705"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6.2 </w:t>
          </w:r>
          <w:r>
            <w:rPr>
              <w:rStyle w:val="39"/>
              <w:rFonts w:hint="eastAsia" w:asciiTheme="minorEastAsia" w:hAnsiTheme="minorEastAsia"/>
              <w:color w:val="000000" w:themeColor="text1"/>
              <w:highlight w:val="none"/>
              <w14:textFill>
                <w14:solidFill>
                  <w14:schemeClr w14:val="tx1"/>
                </w14:solidFill>
              </w14:textFill>
            </w:rPr>
            <w:t>合同解除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FE48A04">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"_Toc76398706"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7. </w:t>
          </w:r>
          <w:r>
            <w:rPr>
              <w:rStyle w:val="39"/>
              <w:rFonts w:hint="eastAsia" w:asciiTheme="minorEastAsia" w:hAnsiTheme="minorEastAsia"/>
              <w:color w:val="000000" w:themeColor="text1"/>
              <w:highlight w:val="none"/>
              <w14:textFill>
                <w14:solidFill>
                  <w14:schemeClr w14:val="tx1"/>
                </w14:solidFill>
              </w14:textFill>
            </w:rPr>
            <w:t>争议解决</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26BA52D">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"_Toc76398707"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7.2 </w:t>
          </w:r>
          <w:r>
            <w:rPr>
              <w:rStyle w:val="39"/>
              <w:rFonts w:hint="eastAsia" w:asciiTheme="minorEastAsia" w:hAnsiTheme="minorEastAsia"/>
              <w:color w:val="000000" w:themeColor="text1"/>
              <w:highlight w:val="none"/>
              <w14:textFill>
                <w14:solidFill>
                  <w14:schemeClr w14:val="tx1"/>
                </w14:solidFill>
              </w14:textFill>
            </w:rPr>
            <w:t>调解</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50666AB">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"_Toc76398708"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7.3 </w:t>
          </w:r>
          <w:r>
            <w:rPr>
              <w:rStyle w:val="39"/>
              <w:rFonts w:hint="eastAsia" w:asciiTheme="minorEastAsia" w:hAnsiTheme="minorEastAsia"/>
              <w:color w:val="000000" w:themeColor="text1"/>
              <w:highlight w:val="none"/>
              <w14:textFill>
                <w14:solidFill>
                  <w14:schemeClr w14:val="tx1"/>
                </w14:solidFill>
              </w14:textFill>
            </w:rPr>
            <w:t>仲裁或诉讼</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18FBB2D">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"_Toc76398709"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 </w:t>
          </w:r>
          <w:r>
            <w:rPr>
              <w:rStyle w:val="39"/>
              <w:rFonts w:hint="eastAsia" w:asciiTheme="minorEastAsia" w:hAnsiTheme="minorEastAsia"/>
              <w:color w:val="000000" w:themeColor="text1"/>
              <w:highlight w:val="none"/>
              <w14:textFill>
                <w14:solidFill>
                  <w14:schemeClr w14:val="tx1"/>
                </w14:solidFill>
              </w14:textFill>
            </w:rPr>
            <w:t>其他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B40B4A5">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"_Toc76398710"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8.1 </w:t>
          </w:r>
          <w:r>
            <w:rPr>
              <w:rStyle w:val="39"/>
              <w:rFonts w:hint="eastAsia" w:asciiTheme="minorEastAsia" w:hAnsiTheme="minorEastAsia"/>
              <w:color w:val="000000" w:themeColor="text1"/>
              <w:highlight w:val="none"/>
              <w14:textFill>
                <w14:solidFill>
                  <w14:schemeClr w14:val="tx1"/>
                </w14:solidFill>
              </w14:textFill>
            </w:rPr>
            <w:t>考察及相关费用咨询人经委托人同意进行考察发生的费用由</w:t>
          </w:r>
          <w:r>
            <w:rPr>
              <w:rStyle w:val="39"/>
              <w:rFonts w:asciiTheme="minorEastAsia" w:hAnsiTheme="minorEastAsia"/>
              <w:color w:val="000000" w:themeColor="text1"/>
              <w:highlight w:val="none"/>
              <w14:textFill>
                <w14:solidFill>
                  <w14:schemeClr w14:val="tx1"/>
                </w14:solidFill>
              </w14:textFill>
            </w:rPr>
            <w:t xml:space="preserve">  /  </w:t>
          </w:r>
          <w:r>
            <w:rPr>
              <w:rStyle w:val="39"/>
              <w:rFonts w:hint="eastAsia" w:asciiTheme="minorEastAsia" w:hAnsiTheme="minorEastAsia"/>
              <w:color w:val="000000" w:themeColor="text1"/>
              <w:highlight w:val="none"/>
              <w14:textFill>
                <w14:solidFill>
                  <w14:schemeClr w14:val="tx1"/>
                </w14:solidFill>
              </w14:textFill>
            </w:rPr>
            <w:t>支付。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BCF5C87">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"_Toc76398711"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8.2 </w:t>
          </w:r>
          <w:r>
            <w:rPr>
              <w:rStyle w:val="39"/>
              <w:rFonts w:hint="eastAsia" w:asciiTheme="minorEastAsia" w:hAnsiTheme="minorEastAsia"/>
              <w:color w:val="000000" w:themeColor="text1"/>
              <w:highlight w:val="none"/>
              <w14:textFill>
                <w14:solidFill>
                  <w14:schemeClr w14:val="tx1"/>
                </w14:solidFill>
              </w14:textFill>
            </w:rPr>
            <w:t>奖励</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DBC39DC">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"_Toc76398712"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8.3 </w:t>
          </w:r>
          <w:r>
            <w:rPr>
              <w:rStyle w:val="39"/>
              <w:rFonts w:hint="eastAsia" w:asciiTheme="minorEastAsia" w:hAnsiTheme="minorEastAsia"/>
              <w:color w:val="000000" w:themeColor="text1"/>
              <w:highlight w:val="none"/>
              <w14:textFill>
                <w14:solidFill>
                  <w14:schemeClr w14:val="tx1"/>
                </w14:solidFill>
              </w14:textFill>
            </w:rPr>
            <w:t>保密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5D6B401">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"_Toc76398713"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8.4 </w:t>
          </w:r>
          <w:r>
            <w:rPr>
              <w:rStyle w:val="39"/>
              <w:rFonts w:hint="eastAsia" w:asciiTheme="minorEastAsia" w:hAnsiTheme="minorEastAsia"/>
              <w:color w:val="000000" w:themeColor="text1"/>
              <w:highlight w:val="none"/>
              <w14:textFill>
                <w14:solidFill>
                  <w14:schemeClr w14:val="tx1"/>
                </w14:solidFill>
              </w14:textFill>
            </w:rPr>
            <w:t>联络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1FA9792">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"_Toc76398714"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8.5 </w:t>
          </w:r>
          <w:r>
            <w:rPr>
              <w:rStyle w:val="39"/>
              <w:rFonts w:hint="eastAsia" w:asciiTheme="minorEastAsia" w:hAnsiTheme="minorEastAsia"/>
              <w:color w:val="000000" w:themeColor="text1"/>
              <w:highlight w:val="none"/>
              <w14:textFill>
                <w14:solidFill>
                  <w14:schemeClr w14:val="tx1"/>
                </w14:solidFill>
              </w14:textFill>
            </w:rPr>
            <w:t>知识产权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B2B220F">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"_Toc76398715"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9.</w:t>
          </w:r>
          <w:r>
            <w:rPr>
              <w:rStyle w:val="39"/>
              <w:rFonts w:hint="eastAsia" w:asciiTheme="minorEastAsia" w:hAnsiTheme="minorEastAsia"/>
              <w:color w:val="000000" w:themeColor="text1"/>
              <w:highlight w:val="none"/>
              <w14:textFill>
                <w14:solidFill>
                  <w14:schemeClr w14:val="tx1"/>
                </w14:solidFill>
              </w14:textFill>
            </w:rPr>
            <w:t>补充条款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0623874">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"_Toc76398716" </w:instrText>
          </w:r>
          <w:r>
            <w:rPr>
              <w:color w:val="000000" w:themeColor="text1"/>
              <w:highlight w:val="none"/>
              <w14:textFill>
                <w14:solidFill>
                  <w14:schemeClr w14:val="tx1"/>
                </w14:solidFill>
              </w14:textFill>
            </w:rPr>
            <w:fldChar w:fldCharType="separate"/>
          </w:r>
          <w:r>
            <w:rPr>
              <w:rStyle w:val="39"/>
              <w:rFonts w:hint="eastAsia"/>
              <w:color w:val="000000" w:themeColor="text1"/>
              <w:highlight w:val="none"/>
              <w14:textFill>
                <w14:solidFill>
                  <w14:schemeClr w14:val="tx1"/>
                </w14:solidFill>
              </w14:textFill>
            </w:rPr>
            <w:t>附录</w:t>
          </w:r>
          <w:r>
            <w:rPr>
              <w:rStyle w:val="39"/>
              <w:color w:val="000000" w:themeColor="text1"/>
              <w:highlight w:val="none"/>
              <w14:textFill>
                <w14:solidFill>
                  <w14:schemeClr w14:val="tx1"/>
                </w14:solidFill>
              </w14:textFill>
            </w:rPr>
            <w:t xml:space="preserve"> A</w:t>
          </w:r>
          <w:r>
            <w:rPr>
              <w:rFonts w:hint="eastAsia"/>
              <w:color w:val="000000" w:themeColor="text1"/>
              <w:highlight w:val="none"/>
              <w14:textFill>
                <w14:solidFill>
                  <w14:schemeClr w14:val="tx1"/>
                </w14:solidFill>
              </w14:textFill>
            </w:rPr>
            <w:t>咨询人人员配置一览表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84DBDCB">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"_Toc76398717" </w:instrText>
          </w:r>
          <w:r>
            <w:rPr>
              <w:color w:val="000000" w:themeColor="text1"/>
              <w:highlight w:val="none"/>
              <w14:textFill>
                <w14:solidFill>
                  <w14:schemeClr w14:val="tx1"/>
                </w14:solidFill>
              </w14:textFill>
            </w:rPr>
            <w:fldChar w:fldCharType="separate"/>
          </w:r>
          <w:r>
            <w:rPr>
              <w:rStyle w:val="39"/>
              <w:rFonts w:hint="eastAsia"/>
              <w:color w:val="000000" w:themeColor="text1"/>
              <w:highlight w:val="none"/>
              <w14:textFill>
                <w14:solidFill>
                  <w14:schemeClr w14:val="tx1"/>
                </w14:solidFill>
              </w14:textFill>
            </w:rPr>
            <w:t>附录</w:t>
          </w:r>
          <w:r>
            <w:rPr>
              <w:rStyle w:val="39"/>
              <w:color w:val="000000" w:themeColor="text1"/>
              <w:highlight w:val="none"/>
              <w14:textFill>
                <w14:solidFill>
                  <w14:schemeClr w14:val="tx1"/>
                </w14:solidFill>
              </w14:textFill>
            </w:rPr>
            <w:t xml:space="preserve"> B </w:t>
          </w:r>
          <w:r>
            <w:rPr>
              <w:rStyle w:val="39"/>
              <w:rFonts w:hint="eastAsia"/>
              <w:color w:val="000000" w:themeColor="text1"/>
              <w:highlight w:val="none"/>
              <w14:textFill>
                <w14:solidFill>
                  <w14:schemeClr w14:val="tx1"/>
                </w14:solidFill>
              </w14:textFill>
            </w:rPr>
            <w:t>咨询人提交成果文件一览表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E910F9A">
          <w:pPr>
            <w:pStyle w:val="19"/>
            <w:tabs>
              <w:tab w:val="right" w:leader="dot" w:pos="8720"/>
            </w:tabs>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"_Toc76398718" </w:instrText>
          </w:r>
          <w:r>
            <w:rPr>
              <w:color w:val="000000" w:themeColor="text1"/>
              <w:highlight w:val="none"/>
              <w14:textFill>
                <w14:solidFill>
                  <w14:schemeClr w14:val="tx1"/>
                </w14:solidFill>
              </w14:textFill>
            </w:rPr>
            <w:fldChar w:fldCharType="separate"/>
          </w:r>
          <w:r>
            <w:rPr>
              <w:rStyle w:val="39"/>
              <w:rFonts w:hint="eastAsia"/>
              <w:color w:val="000000" w:themeColor="text1"/>
              <w:highlight w:val="none"/>
              <w14:textFill>
                <w14:solidFill>
                  <w14:schemeClr w14:val="tx1"/>
                </w14:solidFill>
              </w14:textFill>
            </w:rPr>
            <w:t>附录</w:t>
          </w:r>
          <w:r>
            <w:rPr>
              <w:rStyle w:val="39"/>
              <w:color w:val="000000" w:themeColor="text1"/>
              <w:highlight w:val="none"/>
              <w14:textFill>
                <w14:solidFill>
                  <w14:schemeClr w14:val="tx1"/>
                </w14:solidFill>
              </w14:textFill>
            </w:rPr>
            <w:t xml:space="preserve"> C</w:t>
          </w:r>
          <w:r>
            <w:rPr>
              <w:rStyle w:val="39"/>
              <w:rFonts w:hint="eastAsia"/>
              <w:color w:val="000000" w:themeColor="text1"/>
              <w:highlight w:val="none"/>
              <w14:textFill>
                <w14:solidFill>
                  <w14:schemeClr w14:val="tx1"/>
                </w14:solidFill>
              </w14:textFill>
            </w:rPr>
            <w:t>委托人提供资料一览表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sdtContent>
    </w:sdt>
    <w:p w14:paraId="419BF61D">
      <w:pPr>
        <w:spacing w:line="360" w:lineRule="auto"/>
        <w:ind w:firstLine="643"/>
        <w:jc w:val="center"/>
        <w:outlineLvl w:val="0"/>
        <w:rPr>
          <w:b/>
          <w:color w:val="000000" w:themeColor="text1"/>
          <w:sz w:val="32"/>
          <w:szCs w:val="32"/>
          <w:highlight w:val="none"/>
          <w14:textFill>
            <w14:solidFill>
              <w14:schemeClr w14:val="tx1"/>
            </w14:solidFill>
          </w14:textFill>
        </w:rPr>
      </w:pPr>
      <w:bookmarkStart w:id="654" w:name="_Toc76398630"/>
      <w:r>
        <w:rPr>
          <w:rFonts w:hint="eastAsia"/>
          <w:b/>
          <w:color w:val="000000" w:themeColor="text1"/>
          <w:sz w:val="32"/>
          <w:szCs w:val="32"/>
          <w:highlight w:val="none"/>
          <w14:textFill>
            <w14:solidFill>
              <w14:schemeClr w14:val="tx1"/>
            </w14:solidFill>
          </w14:textFill>
        </w:rPr>
        <w:t>第一部分 协议书</w:t>
      </w:r>
      <w:bookmarkEnd w:id="654"/>
    </w:p>
    <w:p w14:paraId="17890656">
      <w:pPr>
        <w:spacing w:line="360" w:lineRule="auto"/>
        <w:ind w:firstLine="480" w:firstLineChars="200"/>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委托人（全称）：</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p>
    <w:p w14:paraId="1660047B">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咨询人（全称）：</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p>
    <w:p w14:paraId="37A0454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根据《中华人民共和国民法典》及其他有关法律、法规，遵循平等、自愿、公平和诚实信用的原则，双方就下述建设工程委托造价咨询与其他服务事项协商一致，订立本合同。</w:t>
      </w:r>
    </w:p>
    <w:p w14:paraId="09C4849F">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55" w:name="_Toc76398631"/>
      <w:r>
        <w:rPr>
          <w:rFonts w:hint="eastAsia" w:asciiTheme="minorEastAsia" w:hAnsiTheme="minorEastAsia"/>
          <w:color w:val="000000" w:themeColor="text1"/>
          <w:sz w:val="24"/>
          <w:szCs w:val="24"/>
          <w:highlight w:val="none"/>
          <w14:textFill>
            <w14:solidFill>
              <w14:schemeClr w14:val="tx1"/>
            </w14:solidFill>
          </w14:textFill>
        </w:rPr>
        <w:t>一、工程概况</w:t>
      </w:r>
      <w:bookmarkEnd w:id="655"/>
    </w:p>
    <w:p w14:paraId="7AFC76D0">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1.工程名称：</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 xml:space="preserve">     </w:t>
      </w:r>
    </w:p>
    <w:p w14:paraId="245D01C0">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2.工程地点：</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宋体" w:hAnsi="宋体"/>
          <w:snapToGrid w:val="0"/>
          <w:color w:val="000000" w:themeColor="text1"/>
          <w:kern w:val="0"/>
          <w:sz w:val="24"/>
          <w:highlight w:val="none"/>
          <w14:textFill>
            <w14:solidFill>
              <w14:schemeClr w14:val="tx1"/>
            </w14:solidFill>
          </w14:textFill>
        </w:rPr>
        <w:t xml:space="preserve">                         </w:t>
      </w:r>
    </w:p>
    <w:p w14:paraId="15434D39">
      <w:pPr>
        <w:adjustRightInd w:val="0"/>
        <w:snapToGrid w:val="0"/>
        <w:spacing w:line="360" w:lineRule="auto"/>
        <w:ind w:firstLine="475" w:firstLineChars="198"/>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3.工程规模：</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宋体" w:hAnsi="宋体"/>
          <w:snapToGrid w:val="0"/>
          <w:color w:val="000000" w:themeColor="text1"/>
          <w:kern w:val="0"/>
          <w:sz w:val="24"/>
          <w:highlight w:val="none"/>
          <w14:textFill>
            <w14:solidFill>
              <w14:schemeClr w14:val="tx1"/>
            </w14:solidFill>
          </w14:textFill>
        </w:rPr>
        <w:t xml:space="preserve">                          。</w:t>
      </w:r>
    </w:p>
    <w:p w14:paraId="4025A583">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4.投资金额：</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万元。</w:t>
      </w:r>
    </w:p>
    <w:p w14:paraId="1B1B2902">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5.资金来源：</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p>
    <w:p w14:paraId="2346659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6.建设工期或周期：</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日历天。</w:t>
      </w:r>
    </w:p>
    <w:p w14:paraId="0C40773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7.其他：</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w:t>
      </w:r>
    </w:p>
    <w:p w14:paraId="0144B81F">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56" w:name="_Toc76398632"/>
      <w:r>
        <w:rPr>
          <w:rFonts w:hint="eastAsia" w:asciiTheme="minorEastAsia" w:hAnsiTheme="minorEastAsia"/>
          <w:color w:val="000000" w:themeColor="text1"/>
          <w:sz w:val="24"/>
          <w:szCs w:val="24"/>
          <w:highlight w:val="none"/>
          <w14:textFill>
            <w14:solidFill>
              <w14:schemeClr w14:val="tx1"/>
            </w14:solidFill>
          </w14:textFill>
        </w:rPr>
        <w:t>二、服务范围及工作内容</w:t>
      </w:r>
      <w:bookmarkEnd w:id="656"/>
    </w:p>
    <w:p w14:paraId="3DB0EA9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双方约定的服务范围及工作内容：</w:t>
      </w:r>
      <w:r>
        <w:rPr>
          <w:rFonts w:hint="eastAsia" w:asciiTheme="minorEastAsia" w:hAnsiTheme="minorEastAsia"/>
          <w:color w:val="000000" w:themeColor="text1"/>
          <w:sz w:val="24"/>
          <w:szCs w:val="24"/>
          <w:highlight w:val="none"/>
          <w:u w:val="single"/>
          <w14:textFill>
            <w14:solidFill>
              <w14:schemeClr w14:val="tx1"/>
            </w14:solidFill>
          </w14:textFill>
        </w:rPr>
        <w:t>根据委托项目有关资料，依据国家及行业现行规定、规范、设计图纸、合同等资料文件完成本项目的工程量清单及组价编制（审核）、施工阶段工程造价全过程控制服务。内容包括但不限于完成：</w:t>
      </w:r>
    </w:p>
    <w:p w14:paraId="7526A0C7">
      <w:pPr>
        <w:spacing w:line="360" w:lineRule="auto"/>
        <w:ind w:firstLine="480" w:firstLineChars="200"/>
        <w:outlineLvl w:val="0"/>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A:工程量清单及组价编制（审核）或招标控制价编制（审核）：</w:t>
      </w:r>
      <w:r>
        <w:rPr>
          <w:rFonts w:hint="eastAsia" w:asciiTheme="minorEastAsia" w:hAnsiTheme="minorEastAsia"/>
          <w:color w:val="000000" w:themeColor="text1"/>
          <w:sz w:val="24"/>
          <w:szCs w:val="24"/>
          <w:highlight w:val="none"/>
          <w:u w:val="single"/>
          <w14:textFill>
            <w14:solidFill>
              <w14:schemeClr w14:val="tx1"/>
            </w14:solidFill>
          </w14:textFill>
        </w:rPr>
        <w:t>本工程的工程量清单及组价编制（审核）并核对成果；建筑安装材料设备认（审）价、施工方案的经济评价（如有时）</w:t>
      </w:r>
      <w:r>
        <w:rPr>
          <w:rFonts w:asciiTheme="minorEastAsia" w:hAnsiTheme="minorEastAsia"/>
          <w:color w:val="000000" w:themeColor="text1"/>
          <w:sz w:val="24"/>
          <w:szCs w:val="24"/>
          <w:highlight w:val="none"/>
          <w:u w:val="single"/>
          <w14:textFill>
            <w14:solidFill>
              <w14:schemeClr w14:val="tx1"/>
            </w14:solidFill>
          </w14:textFill>
        </w:rPr>
        <w:t>;</w:t>
      </w:r>
      <w:r>
        <w:rPr>
          <w:rFonts w:hint="eastAsia" w:asciiTheme="minorEastAsia" w:hAnsiTheme="minorEastAsia"/>
          <w:color w:val="000000" w:themeColor="text1"/>
          <w:sz w:val="24"/>
          <w:szCs w:val="24"/>
          <w:highlight w:val="none"/>
          <w:u w:val="single"/>
          <w14:textFill>
            <w14:solidFill>
              <w14:schemeClr w14:val="tx1"/>
            </w14:solidFill>
          </w14:textFill>
        </w:rPr>
        <w:t>配合招标采购；优化设计方案和二次设计后预算编制（审核或评审）；设计图纸的优化建议。接受造价方面的口头咨询和委托人要求咨询的其它事项。</w:t>
      </w:r>
    </w:p>
    <w:p w14:paraId="1BADC75F">
      <w:pPr>
        <w:spacing w:line="360" w:lineRule="auto"/>
        <w:ind w:firstLine="480" w:firstLineChars="200"/>
        <w:outlineLvl w:val="0"/>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B：</w:t>
      </w:r>
      <w:r>
        <w:rPr>
          <w:rFonts w:hint="eastAsia" w:asciiTheme="minorEastAsia" w:hAnsiTheme="minorEastAsia"/>
          <w:color w:val="000000" w:themeColor="text1"/>
          <w:sz w:val="24"/>
          <w:szCs w:val="24"/>
          <w:highlight w:val="none"/>
          <w14:textFill>
            <w14:solidFill>
              <w14:schemeClr w14:val="tx1"/>
            </w14:solidFill>
          </w14:textFill>
        </w:rPr>
        <w:t>施工阶段工程造价全过程控制：</w:t>
      </w:r>
      <w:r>
        <w:rPr>
          <w:rFonts w:hint="eastAsia" w:asciiTheme="minorEastAsia" w:hAnsiTheme="minorEastAsia"/>
          <w:color w:val="000000" w:themeColor="text1"/>
          <w:sz w:val="24"/>
          <w:szCs w:val="24"/>
          <w:highlight w:val="none"/>
          <w:u w:val="single"/>
          <w14:textFill>
            <w14:solidFill>
              <w14:schemeClr w14:val="tx1"/>
            </w14:solidFill>
          </w14:textFill>
        </w:rPr>
        <w:t>编制工程造价咨询（计划）方案，编制工程造价报表包括跟踪审核、月报、季报和年报，每周书面汇报施工投资进度进展情况；工程洽谈、施工方案的经济评价、进行投资分析、风险控制、提出合理化方案建议；设计变更的经济分析、造价测算、招标采购项目限价编制；参与施工阶段的现场计量、现场签证、新增项目的价格审核及评价、建筑安装材料设备认（审）价；工程进度款审核、提供工程索赔和反索赔咨询；办理工程结算，结算办理原则上应钻芯取样，结合现场实施情况出具结算审核报告；提供编制审核依据及对工程造价进行全过程控制的工作总结和有关工程造价的相关信息；根据结算审核报告分析工程经济指标和进行后评估分析；建立相应的台账、有关工程造价信息及法规等咨询、完工后结算审核等与造价控制有关的其他服务工作及配合项目审计。接受造价方面的口头咨询和委托人要求咨询的其它事项。</w:t>
      </w:r>
    </w:p>
    <w:p w14:paraId="1FEDDA78">
      <w:pPr>
        <w:spacing w:line="360" w:lineRule="auto"/>
        <w:ind w:firstLine="480" w:firstLineChars="200"/>
        <w:outlineLvl w:val="0"/>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C：施工阶段工程造价全过程控制合同范围内应完成的其他工作：工程建设其他费结算审核（如有）</w:t>
      </w:r>
      <w:r>
        <w:rPr>
          <w:rFonts w:hint="eastAsia" w:asciiTheme="minorEastAsia" w:hAnsiTheme="minorEastAsia"/>
          <w:color w:val="000000" w:themeColor="text1"/>
          <w:sz w:val="24"/>
          <w:szCs w:val="24"/>
          <w:highlight w:val="none"/>
          <w:u w:val="single"/>
          <w14:textFill>
            <w14:solidFill>
              <w14:schemeClr w14:val="tx1"/>
            </w14:solidFill>
          </w14:textFill>
        </w:rPr>
        <w:t>。</w:t>
      </w:r>
    </w:p>
    <w:p w14:paraId="0B3CC680">
      <w:pPr>
        <w:spacing w:line="360" w:lineRule="auto"/>
        <w:ind w:firstLine="480" w:firstLineChars="200"/>
        <w:outlineLvl w:val="0"/>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u w:val="single"/>
          <w14:textFill>
            <w14:solidFill>
              <w14:schemeClr w14:val="tx1"/>
            </w14:solidFill>
          </w14:textFill>
        </w:rPr>
        <w:t>咨询服务单位应熟悉并按照区城建集团相关制度执行，包含但不限于《重庆市南岸区城市建设发展（集团）有限公司认质核价实施细则》、《工程变更管理办法》、《预算编制（审核）工作须知》、《施工阶段全过程咨询工作须知》</w:t>
      </w:r>
      <w:r>
        <w:rPr>
          <w:rFonts w:hint="eastAsia" w:asciiTheme="minorEastAsia" w:hAnsiTheme="minorEastAsia"/>
          <w:color w:val="000000" w:themeColor="text1"/>
          <w:sz w:val="24"/>
          <w:szCs w:val="24"/>
          <w:highlight w:val="none"/>
          <w:u w:val="single"/>
          <w14:textFill>
            <w14:solidFill>
              <w14:schemeClr w14:val="tx1"/>
            </w14:solidFill>
          </w14:textFill>
        </w:rPr>
        <w:t>。</w:t>
      </w:r>
    </w:p>
    <w:p w14:paraId="12400D39">
      <w:pPr>
        <w:spacing w:line="360" w:lineRule="auto"/>
        <w:ind w:firstLine="482" w:firstLineChars="200"/>
        <w:outlineLvl w:val="0"/>
        <w:rPr>
          <w:b/>
          <w:bCs/>
          <w:color w:val="000000" w:themeColor="text1"/>
          <w:highlight w:val="none"/>
          <w14:textFill>
            <w14:solidFill>
              <w14:schemeClr w14:val="tx1"/>
            </w14:solidFill>
          </w14:textFill>
        </w:rPr>
      </w:pPr>
      <w:r>
        <w:rPr>
          <w:rFonts w:asciiTheme="minorEastAsia" w:hAnsiTheme="minorEastAsia"/>
          <w:b/>
          <w:bCs/>
          <w:color w:val="000000" w:themeColor="text1"/>
          <w:sz w:val="24"/>
          <w:szCs w:val="24"/>
          <w:highlight w:val="none"/>
          <w:u w:val="single"/>
          <w14:textFill>
            <w14:solidFill>
              <w14:schemeClr w14:val="tx1"/>
            </w14:solidFill>
          </w14:textFill>
        </w:rPr>
        <w:t>注：若需委托人给咨询人提供工作条件，产生的费用由咨询人承担，委托人与第三方另有约定按照约定执行。</w:t>
      </w:r>
    </w:p>
    <w:p w14:paraId="76B74433">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57" w:name="_Toc76398633"/>
      <w:r>
        <w:rPr>
          <w:rFonts w:hint="eastAsia" w:asciiTheme="minorEastAsia" w:hAnsiTheme="minorEastAsia"/>
          <w:color w:val="000000" w:themeColor="text1"/>
          <w:sz w:val="24"/>
          <w:szCs w:val="24"/>
          <w:highlight w:val="none"/>
          <w14:textFill>
            <w14:solidFill>
              <w14:schemeClr w14:val="tx1"/>
            </w14:solidFill>
          </w14:textFill>
        </w:rPr>
        <w:t>三、服务期限</w:t>
      </w:r>
      <w:bookmarkEnd w:id="657"/>
    </w:p>
    <w:p w14:paraId="1DDBC39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本合同约定的建设工程造价咨询服务自</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年</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月</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日开始实施，暂定至</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年</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月</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日终结。</w:t>
      </w:r>
    </w:p>
    <w:p w14:paraId="5509272E">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58" w:name="_Toc76398634"/>
      <w:r>
        <w:rPr>
          <w:rFonts w:hint="eastAsia" w:asciiTheme="minorEastAsia" w:hAnsiTheme="minorEastAsia"/>
          <w:color w:val="000000" w:themeColor="text1"/>
          <w:sz w:val="24"/>
          <w:szCs w:val="24"/>
          <w:highlight w:val="none"/>
          <w14:textFill>
            <w14:solidFill>
              <w14:schemeClr w14:val="tx1"/>
            </w14:solidFill>
          </w14:textFill>
        </w:rPr>
        <w:t>四、质量标准</w:t>
      </w:r>
      <w:bookmarkEnd w:id="658"/>
    </w:p>
    <w:p w14:paraId="2CD65243">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工程造价咨询成果文件应符合：</w:t>
      </w:r>
      <w:r>
        <w:rPr>
          <w:rFonts w:hint="eastAsia" w:asciiTheme="minorEastAsia" w:hAnsiTheme="minorEastAsia"/>
          <w:color w:val="000000" w:themeColor="text1"/>
          <w:sz w:val="24"/>
          <w:szCs w:val="24"/>
          <w:highlight w:val="none"/>
          <w:u w:val="single"/>
          <w14:textFill>
            <w14:solidFill>
              <w14:schemeClr w14:val="tx1"/>
            </w14:solidFill>
          </w14:textFill>
        </w:rPr>
        <w:t>《建设工程造价咨询成果文件质量标准》</w:t>
      </w:r>
      <w:r>
        <w:rPr>
          <w:rFonts w:asciiTheme="minorEastAsia" w:hAnsiTheme="minorEastAsia"/>
          <w:color w:val="000000" w:themeColor="text1"/>
          <w:sz w:val="24"/>
          <w:szCs w:val="24"/>
          <w:highlight w:val="none"/>
          <w:u w:val="single"/>
          <w14:textFill>
            <w14:solidFill>
              <w14:schemeClr w14:val="tx1"/>
            </w14:solidFill>
          </w14:textFill>
        </w:rPr>
        <w:t>CECA/GC7-2012</w:t>
      </w:r>
      <w:r>
        <w:rPr>
          <w:rFonts w:hint="eastAsia" w:asciiTheme="minorEastAsia" w:hAnsiTheme="minorEastAsia"/>
          <w:color w:val="000000" w:themeColor="text1"/>
          <w:sz w:val="24"/>
          <w:szCs w:val="24"/>
          <w:highlight w:val="none"/>
          <w:u w:val="single"/>
          <w14:textFill>
            <w14:solidFill>
              <w14:schemeClr w14:val="tx1"/>
            </w14:solidFill>
          </w14:textFill>
        </w:rPr>
        <w:t>；《建设工程招标控制价编审规程》</w:t>
      </w:r>
      <w:r>
        <w:rPr>
          <w:rFonts w:asciiTheme="minorEastAsia" w:hAnsiTheme="minorEastAsia"/>
          <w:color w:val="000000" w:themeColor="text1"/>
          <w:sz w:val="24"/>
          <w:szCs w:val="24"/>
          <w:highlight w:val="none"/>
          <w:u w:val="single"/>
          <w14:textFill>
            <w14:solidFill>
              <w14:schemeClr w14:val="tx1"/>
            </w14:solidFill>
          </w14:textFill>
        </w:rPr>
        <w:t>CECA/GC6-2011；《建设项目施工图预算编审规程》CECA／GC 5—2010</w:t>
      </w:r>
      <w:r>
        <w:rPr>
          <w:rFonts w:hint="eastAsia" w:asciiTheme="minorEastAsia" w:hAnsiTheme="minorEastAsia"/>
          <w:color w:val="000000" w:themeColor="text1"/>
          <w:sz w:val="24"/>
          <w:szCs w:val="24"/>
          <w:highlight w:val="none"/>
          <w:u w:val="single"/>
          <w14:textFill>
            <w14:solidFill>
              <w14:schemeClr w14:val="tx1"/>
            </w14:solidFill>
          </w14:textFill>
        </w:rPr>
        <w:t>文件、渝建发〔</w:t>
      </w:r>
      <w:r>
        <w:rPr>
          <w:rFonts w:asciiTheme="minorEastAsia" w:hAnsiTheme="minorEastAsia"/>
          <w:color w:val="000000" w:themeColor="text1"/>
          <w:sz w:val="24"/>
          <w:szCs w:val="24"/>
          <w:highlight w:val="none"/>
          <w:u w:val="single"/>
          <w14:textFill>
            <w14:solidFill>
              <w14:schemeClr w14:val="tx1"/>
            </w14:solidFill>
          </w14:textFill>
        </w:rPr>
        <w:t>2016〕67号《重庆市国有资金投资建设工程施工招标控制价编制与确定程序的规定》</w:t>
      </w:r>
      <w:r>
        <w:rPr>
          <w:rFonts w:hint="eastAsia" w:asciiTheme="minorEastAsia" w:hAnsiTheme="minorEastAsia"/>
          <w:color w:val="000000" w:themeColor="text1"/>
          <w:sz w:val="24"/>
          <w:szCs w:val="24"/>
          <w:highlight w:val="none"/>
          <w:u w:val="single"/>
          <w14:textFill>
            <w14:solidFill>
              <w14:schemeClr w14:val="tx1"/>
            </w14:solidFill>
          </w14:textFill>
        </w:rPr>
        <w:t>规定及委托人的要求。</w:t>
      </w:r>
    </w:p>
    <w:p w14:paraId="1C8CE126">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59" w:name="_Toc76398635"/>
      <w:r>
        <w:rPr>
          <w:rFonts w:hint="eastAsia" w:asciiTheme="minorEastAsia" w:hAnsiTheme="minorEastAsia"/>
          <w:color w:val="000000" w:themeColor="text1"/>
          <w:sz w:val="24"/>
          <w:szCs w:val="24"/>
          <w:highlight w:val="none"/>
          <w14:textFill>
            <w14:solidFill>
              <w14:schemeClr w14:val="tx1"/>
            </w14:solidFill>
          </w14:textFill>
        </w:rPr>
        <w:t>五、酬金或计取方式</w:t>
      </w:r>
      <w:bookmarkEnd w:id="659"/>
    </w:p>
    <w:p w14:paraId="23AE042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1.签约酬金：</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元（大写：          ）；中标费率/签约费率：     %，税率：     %。</w:t>
      </w:r>
    </w:p>
    <w:p w14:paraId="2797677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2.计取方式：</w:t>
      </w:r>
      <w:r>
        <w:rPr>
          <w:rFonts w:hint="eastAsia" w:asciiTheme="minorEastAsia" w:hAnsiTheme="minorEastAsia"/>
          <w:color w:val="000000" w:themeColor="text1"/>
          <w:sz w:val="24"/>
          <w:szCs w:val="24"/>
          <w:highlight w:val="none"/>
          <w:u w:val="single"/>
          <w14:textFill>
            <w14:solidFill>
              <w14:schemeClr w14:val="tx1"/>
            </w14:solidFill>
          </w14:textFill>
        </w:rPr>
        <w:t>固定酬金/固定费率</w:t>
      </w:r>
      <w:r>
        <w:rPr>
          <w:rFonts w:hint="eastAsia" w:asciiTheme="minorEastAsia" w:hAnsiTheme="minorEastAsia"/>
          <w:color w:val="000000" w:themeColor="text1"/>
          <w:sz w:val="24"/>
          <w:szCs w:val="24"/>
          <w:highlight w:val="none"/>
          <w14:textFill>
            <w14:solidFill>
              <w14:schemeClr w14:val="tx1"/>
            </w14:solidFill>
          </w14:textFill>
        </w:rPr>
        <w:t>。</w:t>
      </w:r>
    </w:p>
    <w:p w14:paraId="3FD541F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3.</w:t>
      </w:r>
      <w:r>
        <w:rPr>
          <w:rFonts w:hint="eastAsia" w:asciiTheme="minorEastAsia" w:hAnsiTheme="minorEastAsia"/>
          <w:color w:val="000000" w:themeColor="text1"/>
          <w:sz w:val="24"/>
          <w:szCs w:val="24"/>
          <w:highlight w:val="none"/>
          <w:u w:val="single"/>
          <w14:textFill>
            <w14:solidFill>
              <w14:schemeClr w14:val="tx1"/>
            </w14:solidFill>
          </w14:textFill>
        </w:rPr>
        <w:t xml:space="preserve"> （本条固定费率合同使用）</w:t>
      </w:r>
      <w:r>
        <w:rPr>
          <w:rFonts w:asciiTheme="minorEastAsia" w:hAnsiTheme="minorEastAsia"/>
          <w:color w:val="000000" w:themeColor="text1"/>
          <w:sz w:val="24"/>
          <w:szCs w:val="24"/>
          <w:highlight w:val="none"/>
          <w14:textFill>
            <w14:solidFill>
              <w14:schemeClr w14:val="tx1"/>
            </w14:solidFill>
          </w14:textFill>
        </w:rPr>
        <w:t>完成本合同</w:t>
      </w:r>
      <w:r>
        <w:rPr>
          <w:rFonts w:hint="eastAsia" w:asciiTheme="minorEastAsia" w:hAnsiTheme="minorEastAsia"/>
          <w:color w:val="000000" w:themeColor="text1"/>
          <w:sz w:val="24"/>
          <w:szCs w:val="24"/>
          <w:highlight w:val="none"/>
          <w14:textFill>
            <w14:solidFill>
              <w14:schemeClr w14:val="tx1"/>
            </w14:solidFill>
          </w14:textFill>
        </w:rPr>
        <w:t>服务范围及工作内容，</w:t>
      </w:r>
      <w:r>
        <w:rPr>
          <w:rFonts w:asciiTheme="minorEastAsia" w:hAnsiTheme="minorEastAsia"/>
          <w:color w:val="000000" w:themeColor="text1"/>
          <w:sz w:val="24"/>
          <w:szCs w:val="24"/>
          <w:highlight w:val="none"/>
          <w14:textFill>
            <w14:solidFill>
              <w14:schemeClr w14:val="tx1"/>
            </w14:solidFill>
          </w14:textFill>
        </w:rPr>
        <w:t>该费用包括但不限于咨询人认为履行本合同项下所有义务可能支付的费用、承担的税费、人工费、资料费、交通费、保险费等及应享有的合理利润。除本合同约定的暂定总金额外，委托人不另行支付任何费用，且最终咨询费金额不能超过暂定</w:t>
      </w:r>
      <w:r>
        <w:rPr>
          <w:rFonts w:hint="eastAsia" w:asciiTheme="minorEastAsia" w:hAnsiTheme="minorEastAsia"/>
          <w:color w:val="000000" w:themeColor="text1"/>
          <w:sz w:val="24"/>
          <w:szCs w:val="24"/>
          <w:highlight w:val="none"/>
          <w14:textFill>
            <w14:solidFill>
              <w14:schemeClr w14:val="tx1"/>
            </w14:solidFill>
          </w14:textFill>
        </w:rPr>
        <w:t>签约</w:t>
      </w:r>
      <w:r>
        <w:rPr>
          <w:rFonts w:asciiTheme="minorEastAsia" w:hAnsiTheme="minorEastAsia"/>
          <w:color w:val="000000" w:themeColor="text1"/>
          <w:sz w:val="24"/>
          <w:szCs w:val="24"/>
          <w:highlight w:val="none"/>
          <w14:textFill>
            <w14:solidFill>
              <w14:schemeClr w14:val="tx1"/>
            </w14:solidFill>
          </w14:textFill>
        </w:rPr>
        <w:t>金额</w:t>
      </w:r>
      <w:r>
        <w:rPr>
          <w:rFonts w:hint="eastAsia" w:asciiTheme="minorEastAsia" w:hAnsiTheme="minorEastAsia"/>
          <w:color w:val="000000" w:themeColor="text1"/>
          <w:sz w:val="24"/>
          <w:szCs w:val="24"/>
          <w:highlight w:val="none"/>
          <w14:textFill>
            <w14:solidFill>
              <w14:schemeClr w14:val="tx1"/>
            </w14:solidFill>
          </w14:textFill>
        </w:rPr>
        <w:t>。</w:t>
      </w:r>
    </w:p>
    <w:p w14:paraId="77A8BD55">
      <w:pPr>
        <w:pStyle w:val="8"/>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3.1工程量清单及组价审核：</w:t>
      </w:r>
      <w:r>
        <w:rPr>
          <w:rFonts w:hint="eastAsia" w:asciiTheme="minorEastAsia" w:hAnsiTheme="minorEastAsia"/>
          <w:color w:val="000000" w:themeColor="text1"/>
          <w:sz w:val="24"/>
          <w:highlight w:val="none"/>
          <w14:textFill>
            <w14:solidFill>
              <w14:schemeClr w14:val="tx1"/>
            </w14:solidFill>
          </w14:textFill>
        </w:rPr>
        <w:t>以预算审定的建安工程费金额为基数</w:t>
      </w:r>
      <w:r>
        <w:rPr>
          <w:rFonts w:hint="eastAsia" w:asciiTheme="minorEastAsia" w:hAnsiTheme="minorEastAsia" w:eastAsiaTheme="minorEastAsia"/>
          <w:color w:val="000000" w:themeColor="text1"/>
          <w:sz w:val="24"/>
          <w:highlight w:val="none"/>
          <w14:textFill>
            <w14:solidFill>
              <w14:schemeClr w14:val="tx1"/>
            </w14:solidFill>
          </w14:textFill>
        </w:rPr>
        <w:t>乘以</w:t>
      </w:r>
      <w:r>
        <w:rPr>
          <w:rFonts w:hint="eastAsia" w:asciiTheme="minorEastAsia" w:hAnsiTheme="minorEastAsia"/>
          <w:color w:val="000000" w:themeColor="text1"/>
          <w:sz w:val="24"/>
          <w:highlight w:val="none"/>
          <w14:textFill>
            <w14:solidFill>
              <w14:schemeClr w14:val="tx1"/>
            </w14:solidFill>
          </w14:textFill>
        </w:rPr>
        <w:t>中标费率/签约费率</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计算</w:t>
      </w:r>
      <w:r>
        <w:rPr>
          <w:rFonts w:hint="eastAsia" w:asciiTheme="minorEastAsia" w:hAnsiTheme="minorEastAsia" w:eastAsiaTheme="minorEastAsia"/>
          <w:color w:val="000000" w:themeColor="text1"/>
          <w:sz w:val="24"/>
          <w:highlight w:val="none"/>
          <w14:textFill>
            <w14:solidFill>
              <w14:schemeClr w14:val="tx1"/>
            </w14:solidFill>
          </w14:textFill>
        </w:rPr>
        <w:t>，暂定金额为</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元；</w:t>
      </w:r>
    </w:p>
    <w:p w14:paraId="3E14A87F">
      <w:pPr>
        <w:pStyle w:val="8"/>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3.2施工阶段工程造价全过程控制（含出具结算审核报告）：</w:t>
      </w:r>
      <w:r>
        <w:rPr>
          <w:rFonts w:hint="eastAsia" w:asciiTheme="minorEastAsia" w:hAnsiTheme="minorEastAsia"/>
          <w:color w:val="000000" w:themeColor="text1"/>
          <w:sz w:val="24"/>
          <w:highlight w:val="none"/>
          <w14:textFill>
            <w14:solidFill>
              <w14:schemeClr w14:val="tx1"/>
            </w14:solidFill>
          </w14:textFill>
        </w:rPr>
        <w:t>以最终审定的建安工程费金额为基数</w:t>
      </w:r>
      <w:r>
        <w:rPr>
          <w:rFonts w:hint="eastAsia" w:asciiTheme="minorEastAsia" w:hAnsiTheme="minorEastAsia" w:eastAsiaTheme="minorEastAsia"/>
          <w:color w:val="000000" w:themeColor="text1"/>
          <w:sz w:val="24"/>
          <w:highlight w:val="none"/>
          <w14:textFill>
            <w14:solidFill>
              <w14:schemeClr w14:val="tx1"/>
            </w14:solidFill>
          </w14:textFill>
        </w:rPr>
        <w:t>乘以</w:t>
      </w:r>
      <w:r>
        <w:rPr>
          <w:rFonts w:hint="eastAsia" w:asciiTheme="minorEastAsia" w:hAnsiTheme="minorEastAsia"/>
          <w:color w:val="000000" w:themeColor="text1"/>
          <w:sz w:val="24"/>
          <w:highlight w:val="none"/>
          <w14:textFill>
            <w14:solidFill>
              <w14:schemeClr w14:val="tx1"/>
            </w14:solidFill>
          </w14:textFill>
        </w:rPr>
        <w:t>中标费率/签约费率</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计算，</w:t>
      </w:r>
      <w:r>
        <w:rPr>
          <w:rFonts w:hint="eastAsia" w:asciiTheme="minorEastAsia" w:hAnsiTheme="minorEastAsia" w:eastAsiaTheme="minorEastAsia"/>
          <w:color w:val="000000" w:themeColor="text1"/>
          <w:sz w:val="24"/>
          <w:highlight w:val="none"/>
          <w14:textFill>
            <w14:solidFill>
              <w14:schemeClr w14:val="tx1"/>
            </w14:solidFill>
          </w14:textFill>
        </w:rPr>
        <w:t>暂定金额为</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元；</w:t>
      </w:r>
    </w:p>
    <w:p w14:paraId="1274CF1A">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60" w:name="_Toc76398636"/>
      <w:r>
        <w:rPr>
          <w:rFonts w:hint="eastAsia" w:asciiTheme="minorEastAsia" w:hAnsiTheme="minorEastAsia"/>
          <w:color w:val="000000" w:themeColor="text1"/>
          <w:sz w:val="24"/>
          <w:szCs w:val="24"/>
          <w:highlight w:val="none"/>
          <w14:textFill>
            <w14:solidFill>
              <w14:schemeClr w14:val="tx1"/>
            </w14:solidFill>
          </w14:textFill>
        </w:rPr>
        <w:t>六、合同文件的构成本协议书与下列文件一起构成合同文件:</w:t>
      </w:r>
      <w:bookmarkEnd w:id="660"/>
    </w:p>
    <w:p w14:paraId="239F0BB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1.本合同协议书；</w:t>
      </w:r>
    </w:p>
    <w:p w14:paraId="18D67E2A">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2.招标文件或比选文件（包括但不限于本工程的招标或比选文件、图纸、其他技术资料及招标人发出的对招标或比选文件所作的澄清、修改、补遗等资料）（若有）；</w:t>
      </w:r>
    </w:p>
    <w:p w14:paraId="7CB6E7A1">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3.中标通知书或委托书（如果有）；</w:t>
      </w:r>
    </w:p>
    <w:p w14:paraId="12CD6082">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4.投标函及投标函附录或造价咨询服务建议书（如果有）；</w:t>
      </w:r>
    </w:p>
    <w:p w14:paraId="4552ED1F">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5.专用条件及附录；</w:t>
      </w:r>
    </w:p>
    <w:p w14:paraId="3FE9F283">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6.通用条件；</w:t>
      </w:r>
    </w:p>
    <w:p w14:paraId="1A535C22">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7.投标文件（如果有）</w:t>
      </w:r>
    </w:p>
    <w:p w14:paraId="0A08BBF1">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8.其他合同文件。</w:t>
      </w:r>
    </w:p>
    <w:p w14:paraId="5658E50A">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包括补充协议）均构成合同文件的组成部分。</w:t>
      </w:r>
    </w:p>
    <w:p w14:paraId="0D744F3C">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61" w:name="_Toc76398637"/>
      <w:r>
        <w:rPr>
          <w:rFonts w:hint="eastAsia" w:asciiTheme="minorEastAsia" w:hAnsiTheme="minorEastAsia"/>
          <w:color w:val="000000" w:themeColor="text1"/>
          <w:sz w:val="24"/>
          <w:szCs w:val="24"/>
          <w:highlight w:val="none"/>
          <w14:textFill>
            <w14:solidFill>
              <w14:schemeClr w14:val="tx1"/>
            </w14:solidFill>
          </w14:textFill>
        </w:rPr>
        <w:t>七、词语定义</w:t>
      </w:r>
      <w:bookmarkEnd w:id="661"/>
    </w:p>
    <w:p w14:paraId="4A8CA9B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协议书中相关词语的含义与通用条件中的定义与解释相同。</w:t>
      </w:r>
    </w:p>
    <w:p w14:paraId="11C31241">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62" w:name="_Toc76398638"/>
      <w:r>
        <w:rPr>
          <w:rFonts w:hint="eastAsia" w:asciiTheme="minorEastAsia" w:hAnsiTheme="minorEastAsia"/>
          <w:color w:val="000000" w:themeColor="text1"/>
          <w:sz w:val="24"/>
          <w:szCs w:val="24"/>
          <w:highlight w:val="none"/>
          <w14:textFill>
            <w14:solidFill>
              <w14:schemeClr w14:val="tx1"/>
            </w14:solidFill>
          </w14:textFill>
        </w:rPr>
        <w:t>八、其他</w:t>
      </w:r>
    </w:p>
    <w:p w14:paraId="576C828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w:t>
      </w:r>
    </w:p>
    <w:p w14:paraId="3305CD81">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九合同订立</w:t>
      </w:r>
      <w:bookmarkEnd w:id="662"/>
    </w:p>
    <w:p w14:paraId="176D3043">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订立地点：</w:t>
      </w:r>
      <w:r>
        <w:rPr>
          <w:rFonts w:hint="eastAsia" w:asciiTheme="minorEastAsia" w:hAnsiTheme="minorEastAsia"/>
          <w:color w:val="000000" w:themeColor="text1"/>
          <w:sz w:val="24"/>
          <w:szCs w:val="24"/>
          <w:highlight w:val="none"/>
          <w:u w:val="single"/>
          <w14:textFill>
            <w14:solidFill>
              <w14:schemeClr w14:val="tx1"/>
            </w14:solidFill>
          </w14:textFill>
        </w:rPr>
        <w:t xml:space="preserve"> 重庆市南岸区行政服务中心B区3号楼 </w:t>
      </w:r>
      <w:r>
        <w:rPr>
          <w:rFonts w:hint="eastAsia" w:asciiTheme="minorEastAsia" w:hAnsiTheme="minorEastAsia"/>
          <w:color w:val="000000" w:themeColor="text1"/>
          <w:sz w:val="24"/>
          <w:szCs w:val="24"/>
          <w:highlight w:val="none"/>
          <w14:textFill>
            <w14:solidFill>
              <w14:schemeClr w14:val="tx1"/>
            </w14:solidFill>
          </w14:textFill>
        </w:rPr>
        <w:t>。</w:t>
      </w:r>
    </w:p>
    <w:p w14:paraId="109A85B8">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63" w:name="_Toc76398639"/>
      <w:r>
        <w:rPr>
          <w:rFonts w:hint="eastAsia" w:asciiTheme="minorEastAsia" w:hAnsiTheme="minorEastAsia"/>
          <w:color w:val="000000" w:themeColor="text1"/>
          <w:sz w:val="24"/>
          <w:szCs w:val="24"/>
          <w:highlight w:val="none"/>
          <w14:textFill>
            <w14:solidFill>
              <w14:schemeClr w14:val="tx1"/>
            </w14:solidFill>
          </w14:textFill>
        </w:rPr>
        <w:t>十、合同生效</w:t>
      </w:r>
      <w:bookmarkEnd w:id="663"/>
    </w:p>
    <w:p w14:paraId="231B6CC0">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本合同自</w:t>
      </w:r>
      <w:r>
        <w:rPr>
          <w:rFonts w:hint="eastAsia" w:asciiTheme="minorEastAsia" w:hAnsiTheme="minorEastAsia"/>
          <w:color w:val="000000" w:themeColor="text1"/>
          <w:sz w:val="24"/>
          <w:szCs w:val="24"/>
          <w:highlight w:val="none"/>
          <w:u w:val="single"/>
          <w14:textFill>
            <w14:solidFill>
              <w14:schemeClr w14:val="tx1"/>
            </w14:solidFill>
          </w14:textFill>
        </w:rPr>
        <w:t>盖章完成之日起</w:t>
      </w:r>
      <w:r>
        <w:rPr>
          <w:rFonts w:hint="eastAsia" w:asciiTheme="minorEastAsia" w:hAnsiTheme="minorEastAsia"/>
          <w:color w:val="000000" w:themeColor="text1"/>
          <w:sz w:val="24"/>
          <w:szCs w:val="24"/>
          <w:highlight w:val="none"/>
          <w14:textFill>
            <w14:solidFill>
              <w14:schemeClr w14:val="tx1"/>
            </w14:solidFill>
          </w14:textFill>
        </w:rPr>
        <w:t>生效。</w:t>
      </w:r>
    </w:p>
    <w:p w14:paraId="6AA26320">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64" w:name="_Toc76398640"/>
      <w:r>
        <w:rPr>
          <w:rFonts w:hint="eastAsia" w:asciiTheme="minorEastAsia" w:hAnsiTheme="minorEastAsia"/>
          <w:color w:val="000000" w:themeColor="text1"/>
          <w:sz w:val="24"/>
          <w:szCs w:val="24"/>
          <w:highlight w:val="none"/>
          <w14:textFill>
            <w14:solidFill>
              <w14:schemeClr w14:val="tx1"/>
            </w14:solidFill>
          </w14:textFill>
        </w:rPr>
        <w:t>十、合同份数</w:t>
      </w:r>
      <w:bookmarkEnd w:id="664"/>
    </w:p>
    <w:p w14:paraId="4A8A992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本合同一式</w:t>
      </w:r>
      <w:r>
        <w:rPr>
          <w:rFonts w:hint="eastAsia" w:asciiTheme="minorEastAsia" w:hAnsiTheme="minorEastAsia"/>
          <w:color w:val="000000" w:themeColor="text1"/>
          <w:sz w:val="24"/>
          <w:szCs w:val="24"/>
          <w:highlight w:val="none"/>
          <w:u w:val="single"/>
          <w14:textFill>
            <w14:solidFill>
              <w14:schemeClr w14:val="tx1"/>
            </w14:solidFill>
          </w14:textFill>
        </w:rPr>
        <w:t>陆</w:t>
      </w:r>
      <w:r>
        <w:rPr>
          <w:rFonts w:hint="eastAsia" w:asciiTheme="minorEastAsia" w:hAnsiTheme="minorEastAsia"/>
          <w:color w:val="000000" w:themeColor="text1"/>
          <w:sz w:val="24"/>
          <w:szCs w:val="24"/>
          <w:highlight w:val="none"/>
          <w14:textFill>
            <w14:solidFill>
              <w14:schemeClr w14:val="tx1"/>
            </w14:solidFill>
          </w14:textFill>
        </w:rPr>
        <w:t>份，具有同等法律效力，双方各持叁份。</w:t>
      </w:r>
      <w:r>
        <w:rPr>
          <w:rFonts w:hint="eastAsia" w:asciiTheme="minorEastAsia" w:hAnsiTheme="minorEastAsia"/>
          <w:color w:val="000000" w:themeColor="text1"/>
          <w:sz w:val="24"/>
          <w:szCs w:val="24"/>
          <w:highlight w:val="none"/>
          <w:lang w:val="zh-CN"/>
          <w14:textFill>
            <w14:solidFill>
              <w14:schemeClr w14:val="tx1"/>
            </w14:solidFill>
          </w14:textFill>
        </w:rPr>
        <w:t>本合同正文若出现手写内容，手写内容未经双方盖章确认则无效。本合同载明的</w:t>
      </w:r>
      <w:r>
        <w:rPr>
          <w:rFonts w:hint="eastAsia" w:asciiTheme="minorEastAsia" w:hAnsiTheme="minorEastAsia"/>
          <w:color w:val="000000" w:themeColor="text1"/>
          <w:sz w:val="24"/>
          <w:szCs w:val="24"/>
          <w:highlight w:val="none"/>
          <w14:textFill>
            <w14:solidFill>
              <w14:schemeClr w14:val="tx1"/>
            </w14:solidFill>
          </w14:textFill>
        </w:rPr>
        <w:t>委托代理人</w:t>
      </w:r>
      <w:r>
        <w:rPr>
          <w:rFonts w:hint="eastAsia" w:asciiTheme="minorEastAsia" w:hAnsiTheme="minorEastAsia"/>
          <w:color w:val="000000" w:themeColor="text1"/>
          <w:sz w:val="24"/>
          <w:szCs w:val="24"/>
          <w:highlight w:val="none"/>
          <w:lang w:val="zh-CN"/>
          <w14:textFill>
            <w14:solidFill>
              <w14:schemeClr w14:val="tx1"/>
            </w14:solidFill>
          </w14:textFill>
        </w:rPr>
        <w:t>未经书面授权，仅代表在本合同签名，其他单方承诺和认可内容无效。</w:t>
      </w:r>
    </w:p>
    <w:p w14:paraId="2A81FDF8">
      <w:pPr>
        <w:spacing w:line="360" w:lineRule="auto"/>
        <w:ind w:left="5280" w:hanging="5280" w:hangingChars="2200"/>
        <w:rPr>
          <w:rFonts w:asciiTheme="minorEastAsia" w:hAnsiTheme="minorEastAsia"/>
          <w:color w:val="000000" w:themeColor="text1"/>
          <w:sz w:val="24"/>
          <w:szCs w:val="24"/>
          <w:highlight w:val="none"/>
          <w14:textFill>
            <w14:solidFill>
              <w14:schemeClr w14:val="tx1"/>
            </w14:solidFill>
          </w14:textFill>
        </w:rPr>
      </w:pPr>
    </w:p>
    <w:tbl>
      <w:tblPr>
        <w:tblStyle w:val="29"/>
        <w:tblpPr w:leftFromText="180" w:rightFromText="180" w:vertAnchor="text" w:horzAnchor="page" w:tblpX="1374" w:tblpY="-5"/>
        <w:tblOverlap w:val="never"/>
        <w:tblW w:w="9351" w:type="dxa"/>
        <w:tblInd w:w="0" w:type="dxa"/>
        <w:tblLayout w:type="fixed"/>
        <w:tblCellMar>
          <w:top w:w="0" w:type="dxa"/>
          <w:left w:w="108" w:type="dxa"/>
          <w:bottom w:w="0" w:type="dxa"/>
          <w:right w:w="108" w:type="dxa"/>
        </w:tblCellMar>
      </w:tblPr>
      <w:tblGrid>
        <w:gridCol w:w="4752"/>
        <w:gridCol w:w="4599"/>
      </w:tblGrid>
      <w:tr w14:paraId="70C20E42">
        <w:tblPrEx>
          <w:tblCellMar>
            <w:top w:w="0" w:type="dxa"/>
            <w:left w:w="108" w:type="dxa"/>
            <w:bottom w:w="0" w:type="dxa"/>
            <w:right w:w="108" w:type="dxa"/>
          </w:tblCellMar>
        </w:tblPrEx>
        <w:trPr>
          <w:trHeight w:val="884" w:hRule="atLeast"/>
        </w:trPr>
        <w:tc>
          <w:tcPr>
            <w:tcW w:w="4752" w:type="dxa"/>
          </w:tcPr>
          <w:p w14:paraId="77BAFBD8">
            <w:pPr>
              <w:spacing w:line="560" w:lineRule="exact"/>
              <w:ind w:left="1010" w:hanging="1010" w:hangingChars="421"/>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甲</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方：</w:t>
            </w:r>
            <w:r>
              <w:rPr>
                <w:rFonts w:asciiTheme="minorEastAsia" w:hAnsiTheme="minorEastAsia"/>
                <w:color w:val="000000" w:themeColor="text1"/>
                <w:sz w:val="24"/>
                <w:szCs w:val="24"/>
                <w:highlight w:val="none"/>
                <w14:textFill>
                  <w14:solidFill>
                    <w14:schemeClr w14:val="tx1"/>
                  </w14:solidFill>
                </w14:textFill>
              </w:rPr>
              <w:t xml:space="preserve"> </w:t>
            </w:r>
          </w:p>
        </w:tc>
        <w:tc>
          <w:tcPr>
            <w:tcW w:w="4599" w:type="dxa"/>
          </w:tcPr>
          <w:p w14:paraId="79E8938F">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乙</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方：</w:t>
            </w:r>
            <w:r>
              <w:rPr>
                <w:rFonts w:asciiTheme="minorEastAsia" w:hAnsiTheme="minorEastAsia"/>
                <w:color w:val="000000" w:themeColor="text1"/>
                <w:sz w:val="24"/>
                <w:szCs w:val="24"/>
                <w:highlight w:val="none"/>
                <w14:textFill>
                  <w14:solidFill>
                    <w14:schemeClr w14:val="tx1"/>
                  </w14:solidFill>
                </w14:textFill>
              </w:rPr>
              <w:t xml:space="preserve"> </w:t>
            </w:r>
          </w:p>
        </w:tc>
      </w:tr>
      <w:tr w14:paraId="48E6C32D">
        <w:tblPrEx>
          <w:tblCellMar>
            <w:top w:w="0" w:type="dxa"/>
            <w:left w:w="108" w:type="dxa"/>
            <w:bottom w:w="0" w:type="dxa"/>
            <w:right w:w="108" w:type="dxa"/>
          </w:tblCellMar>
        </w:tblPrEx>
        <w:tc>
          <w:tcPr>
            <w:tcW w:w="4752" w:type="dxa"/>
          </w:tcPr>
          <w:p w14:paraId="5ADCAAFD">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法定代表人：</w:t>
            </w:r>
          </w:p>
          <w:p w14:paraId="116CDB17">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或</w:t>
            </w:r>
          </w:p>
          <w:p w14:paraId="7D9F43E6">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委托代理人：</w:t>
            </w:r>
          </w:p>
        </w:tc>
        <w:tc>
          <w:tcPr>
            <w:tcW w:w="4599" w:type="dxa"/>
          </w:tcPr>
          <w:p w14:paraId="0330924F">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法定代表人：</w:t>
            </w:r>
          </w:p>
          <w:p w14:paraId="39260240">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或</w:t>
            </w:r>
          </w:p>
          <w:p w14:paraId="5E975011">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 xml:space="preserve">委托代理人： </w:t>
            </w:r>
          </w:p>
        </w:tc>
      </w:tr>
      <w:tr w14:paraId="64DA6361">
        <w:tblPrEx>
          <w:tblCellMar>
            <w:top w:w="0" w:type="dxa"/>
            <w:left w:w="108" w:type="dxa"/>
            <w:bottom w:w="0" w:type="dxa"/>
            <w:right w:w="108" w:type="dxa"/>
          </w:tblCellMar>
        </w:tblPrEx>
        <w:trPr>
          <w:trHeight w:val="1834" w:hRule="atLeast"/>
        </w:trPr>
        <w:tc>
          <w:tcPr>
            <w:tcW w:w="4752" w:type="dxa"/>
            <w:vAlign w:val="center"/>
          </w:tcPr>
          <w:p w14:paraId="5A4D549C">
            <w:pPr>
              <w:spacing w:line="560" w:lineRule="exact"/>
              <w:ind w:left="1000" w:hanging="1000" w:hangingChars="5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pacing w:val="-20"/>
                <w:sz w:val="24"/>
                <w:szCs w:val="24"/>
                <w:highlight w:val="none"/>
                <w14:textFill>
                  <w14:solidFill>
                    <w14:schemeClr w14:val="tx1"/>
                  </w14:solidFill>
                </w14:textFill>
              </w:rPr>
              <w:t>统</w:t>
            </w:r>
            <w:r>
              <w:rPr>
                <w:rFonts w:hint="eastAsia" w:asciiTheme="minorEastAsia" w:hAnsiTheme="minorEastAsia"/>
                <w:color w:val="000000" w:themeColor="text1"/>
                <w:spacing w:val="-18"/>
                <w:sz w:val="24"/>
                <w:szCs w:val="24"/>
                <w:highlight w:val="none"/>
                <w14:textFill>
                  <w14:solidFill>
                    <w14:schemeClr w14:val="tx1"/>
                  </w14:solidFill>
                </w14:textFill>
              </w:rPr>
              <w:t>一社会信用代码：</w:t>
            </w:r>
          </w:p>
        </w:tc>
        <w:tc>
          <w:tcPr>
            <w:tcW w:w="4599" w:type="dxa"/>
          </w:tcPr>
          <w:p w14:paraId="1DA70EC3">
            <w:pPr>
              <w:spacing w:before="156" w:beforeLines="50" w:line="560" w:lineRule="exact"/>
              <w:ind w:left="1000" w:hanging="10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pacing w:val="-20"/>
                <w:sz w:val="24"/>
                <w:szCs w:val="24"/>
                <w:highlight w:val="none"/>
                <w14:textFill>
                  <w14:solidFill>
                    <w14:schemeClr w14:val="tx1"/>
                  </w14:solidFill>
                </w14:textFill>
              </w:rPr>
              <w:t>统</w:t>
            </w:r>
            <w:r>
              <w:rPr>
                <w:rFonts w:hint="eastAsia" w:asciiTheme="minorEastAsia" w:hAnsiTheme="minorEastAsia"/>
                <w:color w:val="000000" w:themeColor="text1"/>
                <w:spacing w:val="-18"/>
                <w:sz w:val="24"/>
                <w:szCs w:val="24"/>
                <w:highlight w:val="none"/>
                <w14:textFill>
                  <w14:solidFill>
                    <w14:schemeClr w14:val="tx1"/>
                  </w14:solidFill>
                </w14:textFill>
              </w:rPr>
              <w:t>一社会信用代码：</w:t>
            </w:r>
          </w:p>
          <w:p w14:paraId="112DD572">
            <w:pPr>
              <w:spacing w:line="560" w:lineRule="exact"/>
              <w:ind w:left="1200" w:hanging="1200" w:hangingChars="5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开</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户</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行：</w:t>
            </w:r>
          </w:p>
          <w:p w14:paraId="5C2234C9">
            <w:pPr>
              <w:spacing w:line="560" w:lineRule="exact"/>
              <w:ind w:left="1200" w:hanging="1200" w:hangingChars="5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账    号：</w:t>
            </w:r>
            <w:r>
              <w:rPr>
                <w:rFonts w:asciiTheme="minorEastAsia" w:hAnsiTheme="minorEastAsia"/>
                <w:color w:val="000000" w:themeColor="text1"/>
                <w:sz w:val="24"/>
                <w:szCs w:val="24"/>
                <w:highlight w:val="none"/>
                <w14:textFill>
                  <w14:solidFill>
                    <w14:schemeClr w14:val="tx1"/>
                  </w14:solidFill>
                </w14:textFill>
              </w:rPr>
              <w:t xml:space="preserve"> </w:t>
            </w:r>
          </w:p>
        </w:tc>
      </w:tr>
      <w:tr w14:paraId="4FEB5725">
        <w:tblPrEx>
          <w:tblCellMar>
            <w:top w:w="0" w:type="dxa"/>
            <w:left w:w="108" w:type="dxa"/>
            <w:bottom w:w="0" w:type="dxa"/>
            <w:right w:w="108" w:type="dxa"/>
          </w:tblCellMar>
        </w:tblPrEx>
        <w:trPr>
          <w:trHeight w:val="1120" w:hRule="atLeast"/>
        </w:trPr>
        <w:tc>
          <w:tcPr>
            <w:tcW w:w="4752" w:type="dxa"/>
          </w:tcPr>
          <w:p w14:paraId="76C29757">
            <w:pPr>
              <w:spacing w:line="560" w:lineRule="exact"/>
              <w:ind w:left="1200" w:hanging="1200" w:hangingChars="5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经办人：</w:t>
            </w:r>
          </w:p>
        </w:tc>
        <w:tc>
          <w:tcPr>
            <w:tcW w:w="4599" w:type="dxa"/>
          </w:tcPr>
          <w:p w14:paraId="528C20B3">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 xml:space="preserve">经办人：         </w:t>
            </w:r>
          </w:p>
        </w:tc>
      </w:tr>
      <w:tr w14:paraId="4D1D08F3">
        <w:tblPrEx>
          <w:tblCellMar>
            <w:top w:w="0" w:type="dxa"/>
            <w:left w:w="108" w:type="dxa"/>
            <w:bottom w:w="0" w:type="dxa"/>
            <w:right w:w="108" w:type="dxa"/>
          </w:tblCellMar>
        </w:tblPrEx>
        <w:trPr>
          <w:trHeight w:val="572" w:hRule="atLeast"/>
        </w:trPr>
        <w:tc>
          <w:tcPr>
            <w:tcW w:w="4752" w:type="dxa"/>
          </w:tcPr>
          <w:p w14:paraId="50C36F0B">
            <w:pPr>
              <w:spacing w:line="560" w:lineRule="exact"/>
              <w:ind w:left="1200" w:hanging="1200" w:hangingChars="5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 xml:space="preserve">地    址： </w:t>
            </w:r>
          </w:p>
        </w:tc>
        <w:tc>
          <w:tcPr>
            <w:tcW w:w="4599" w:type="dxa"/>
          </w:tcPr>
          <w:p w14:paraId="453E607A">
            <w:pPr>
              <w:spacing w:line="560" w:lineRule="exact"/>
              <w:ind w:left="1183" w:hanging="1183" w:hangingChars="493"/>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地</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址：</w:t>
            </w:r>
            <w:r>
              <w:rPr>
                <w:rFonts w:asciiTheme="minorEastAsia" w:hAnsiTheme="minorEastAsia"/>
                <w:color w:val="000000" w:themeColor="text1"/>
                <w:sz w:val="24"/>
                <w:szCs w:val="24"/>
                <w:highlight w:val="none"/>
                <w14:textFill>
                  <w14:solidFill>
                    <w14:schemeClr w14:val="tx1"/>
                  </w14:solidFill>
                </w14:textFill>
              </w:rPr>
              <w:t xml:space="preserve"> </w:t>
            </w:r>
          </w:p>
        </w:tc>
      </w:tr>
    </w:tbl>
    <w:p w14:paraId="0D61A086">
      <w:pPr>
        <w:pStyle w:val="4"/>
        <w:ind w:firstLine="72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4611C6C3">
      <w:pPr>
        <w:widowControl/>
        <w:ind w:firstLine="643"/>
        <w:jc w:val="center"/>
        <w:rPr>
          <w:rFonts w:asciiTheme="minorEastAsia" w:hAnsiTheme="minorEastAsia"/>
          <w:b/>
          <w:color w:val="000000" w:themeColor="text1"/>
          <w:sz w:val="32"/>
          <w:szCs w:val="32"/>
          <w:highlight w:val="none"/>
          <w14:textFill>
            <w14:solidFill>
              <w14:schemeClr w14:val="tx1"/>
            </w14:solidFill>
          </w14:textFill>
        </w:rPr>
      </w:pPr>
      <w:bookmarkStart w:id="665" w:name="_Toc76398641"/>
      <w:r>
        <w:rPr>
          <w:rFonts w:hint="eastAsia" w:asciiTheme="minorEastAsia" w:hAnsiTheme="minorEastAsia"/>
          <w:b/>
          <w:color w:val="000000" w:themeColor="text1"/>
          <w:sz w:val="32"/>
          <w:szCs w:val="32"/>
          <w:highlight w:val="none"/>
          <w14:textFill>
            <w14:solidFill>
              <w14:schemeClr w14:val="tx1"/>
            </w14:solidFill>
          </w14:textFill>
        </w:rPr>
        <w:t>第二部分通用条件</w:t>
      </w:r>
      <w:bookmarkEnd w:id="665"/>
    </w:p>
    <w:p w14:paraId="23629948">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66" w:name="_Toc76398642"/>
      <w:r>
        <w:rPr>
          <w:rFonts w:hint="eastAsia" w:asciiTheme="minorEastAsia" w:hAnsiTheme="minorEastAsia"/>
          <w:color w:val="000000" w:themeColor="text1"/>
          <w:sz w:val="24"/>
          <w:szCs w:val="24"/>
          <w:highlight w:val="none"/>
          <w14:textFill>
            <w14:solidFill>
              <w14:schemeClr w14:val="tx1"/>
            </w14:solidFill>
          </w14:textFill>
        </w:rPr>
        <w:t>1.词语定义、语言、解释顺序与适用法律</w:t>
      </w:r>
      <w:bookmarkEnd w:id="666"/>
    </w:p>
    <w:p w14:paraId="139D9E8D">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67" w:name="_Toc76398643"/>
      <w:r>
        <w:rPr>
          <w:rFonts w:hint="eastAsia" w:asciiTheme="minorEastAsia" w:hAnsiTheme="minorEastAsia"/>
          <w:color w:val="000000" w:themeColor="text1"/>
          <w:sz w:val="24"/>
          <w:szCs w:val="24"/>
          <w:highlight w:val="none"/>
          <w14:textFill>
            <w14:solidFill>
              <w14:schemeClr w14:val="tx1"/>
            </w14:solidFill>
          </w14:textFill>
        </w:rPr>
        <w:t>1.1 词语定义</w:t>
      </w:r>
      <w:bookmarkEnd w:id="667"/>
    </w:p>
    <w:p w14:paraId="3C22E582">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组成本合同的全部文件中的下列名词和用语应具有本款所赋予的含义：</w:t>
      </w:r>
    </w:p>
    <w:p w14:paraId="318675E4">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1.1.1“工程”是指按照本合同约定实施造价咨询与其他服务的建设工程。</w:t>
      </w:r>
    </w:p>
    <w:p w14:paraId="5D1C0EE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1.1.2“工程造价”是指工程项目建设过程中预计或实际支出的全部费用。</w:t>
      </w:r>
    </w:p>
    <w:p w14:paraId="7DB427C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1.1.3“委托人”是指本合同中委托造价咨询与其他服务的一方，及其合法的继承人或受让人。</w:t>
      </w:r>
    </w:p>
    <w:p w14:paraId="652A441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1.1.4“咨询人”是指本合同中提供造价咨询与其他服务的一方，及其合法的继承人。</w:t>
      </w:r>
    </w:p>
    <w:p w14:paraId="22D753D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1.1.5“第三人”是指除委托人、咨询人以外与本咨询业务有关的当事人。</w:t>
      </w:r>
    </w:p>
    <w:p w14:paraId="4DBE021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1.1.6“正常工作”是指本合同订立时通用条件和专用条件中约定的咨询人的工作。</w:t>
      </w:r>
    </w:p>
    <w:p w14:paraId="31928456">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1.1.7“附加工作”是指咨询人根据合同条件完成的正常工作以外的工作。</w:t>
      </w:r>
    </w:p>
    <w:p w14:paraId="49A5AA6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1.1.8“项目咨询团队”是指咨询人指派负责履行本合同的团队，其团队成员为本合同的项目咨询人员。</w:t>
      </w:r>
    </w:p>
    <w:p w14:paraId="1CEA312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1.1.9“项目负责人”是指由咨询人的法定代表人书面授权，在授权范围内负责履行本合同、主持项目咨询团队工作的负责人。</w:t>
      </w:r>
    </w:p>
    <w:p w14:paraId="737F42A1">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1.1.10“委托人代表”是指由委托人的法定代表人书面授权，在授权范围内行使委托人权利的人。</w:t>
      </w:r>
    </w:p>
    <w:p w14:paraId="580D37C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1.1.11“酬金”是指咨询人履行本合同义务，委托人按照本合同约定给付咨询人的金额。</w:t>
      </w:r>
    </w:p>
    <w:p w14:paraId="698645C4">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1.1.12“正常工作酬金”是指在协议书中载明的，咨询人完成正常工作，委托人应给付咨询人的酬金。</w:t>
      </w:r>
    </w:p>
    <w:p w14:paraId="029404F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1.1.13“附加工作酬金”是指咨询人完成附加工作，委托人应给付咨询人的酬金。</w:t>
      </w:r>
    </w:p>
    <w:p w14:paraId="70C59CC3">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1.1.14 “书面形式”是指合同书、信件和数据电文（包括电报、电传、传真、电子数据交换和电子邮件）等可以有形地表现所载内容的形式。</w:t>
      </w:r>
    </w:p>
    <w:p w14:paraId="0111BDD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1.1.15 “不可抗力”是指委托人和咨询人在订立本合同时不可预见，在合同履行过程中不可避免并不能克服的自然灾害、社会性突发事件和政策变化，如地震、海啸、瘟疫、水灾、骚乱、暴动、战争、行政主管部门的要求等情形。</w:t>
      </w:r>
    </w:p>
    <w:p w14:paraId="7C19374E">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68" w:name="_Toc76398644"/>
      <w:r>
        <w:rPr>
          <w:rFonts w:hint="eastAsia" w:asciiTheme="minorEastAsia" w:hAnsiTheme="minorEastAsia"/>
          <w:color w:val="000000" w:themeColor="text1"/>
          <w:sz w:val="24"/>
          <w:szCs w:val="24"/>
          <w:highlight w:val="none"/>
          <w14:textFill>
            <w14:solidFill>
              <w14:schemeClr w14:val="tx1"/>
            </w14:solidFill>
          </w14:textFill>
        </w:rPr>
        <w:t>1.2 语言</w:t>
      </w:r>
      <w:bookmarkEnd w:id="668"/>
    </w:p>
    <w:p w14:paraId="2E2550E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本合同使用中文书写、解释和说明。如专用条件约定使用两种及以上语言文字时，应以中文为准。</w:t>
      </w:r>
    </w:p>
    <w:p w14:paraId="2A6ABBE2">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69" w:name="_Toc76398645"/>
      <w:r>
        <w:rPr>
          <w:rFonts w:hint="eastAsia" w:asciiTheme="minorEastAsia" w:hAnsiTheme="minorEastAsia"/>
          <w:color w:val="000000" w:themeColor="text1"/>
          <w:sz w:val="24"/>
          <w:szCs w:val="24"/>
          <w:highlight w:val="none"/>
          <w14:textFill>
            <w14:solidFill>
              <w14:schemeClr w14:val="tx1"/>
            </w14:solidFill>
          </w14:textFill>
        </w:rPr>
        <w:t>1.3 合同文件的优先顺序</w:t>
      </w:r>
      <w:bookmarkEnd w:id="669"/>
    </w:p>
    <w:p w14:paraId="70F11F3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组成本合同的下列文件彼此应能相互解释、互为说明。除专用条件另有约定外，本合同文件的解释顺序如下：</w:t>
      </w:r>
    </w:p>
    <w:p w14:paraId="075DC29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1.协议书</w:t>
      </w:r>
    </w:p>
    <w:p w14:paraId="2961B210">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2.中标通知书或委托书（如果有）；</w:t>
      </w:r>
    </w:p>
    <w:p w14:paraId="39D65B70">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3.专用条件及附录；</w:t>
      </w:r>
    </w:p>
    <w:p w14:paraId="2A03A77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4.通用条件；</w:t>
      </w:r>
    </w:p>
    <w:p w14:paraId="6A61D1F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5.投标函及投标函附录或造价咨询服务建议书（如果有）；</w:t>
      </w:r>
    </w:p>
    <w:p w14:paraId="1125137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6.其他合同文件。</w:t>
      </w:r>
    </w:p>
    <w:p w14:paraId="442CFA4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上述各项合同文件包括合同当事人就该项合同文件所作出的补充和修改，属于同一类内容的文件，应以最新签署的为准。在合同订立及履行过程中形成的与合同有关的文件均构成合同文件的组成部分。</w:t>
      </w:r>
    </w:p>
    <w:p w14:paraId="035A1DEE">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70" w:name="_Toc76398646"/>
      <w:r>
        <w:rPr>
          <w:rFonts w:hint="eastAsia" w:asciiTheme="minorEastAsia" w:hAnsiTheme="minorEastAsia"/>
          <w:color w:val="000000" w:themeColor="text1"/>
          <w:sz w:val="24"/>
          <w:szCs w:val="24"/>
          <w:highlight w:val="none"/>
          <w14:textFill>
            <w14:solidFill>
              <w14:schemeClr w14:val="tx1"/>
            </w14:solidFill>
          </w14:textFill>
        </w:rPr>
        <w:t>1.4 适用法律</w:t>
      </w:r>
      <w:bookmarkEnd w:id="670"/>
    </w:p>
    <w:p w14:paraId="03874C33">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本合同适用中华人民共和国法律、行政法规、部门规章以及工程所在地的地方性法规、自治条例、单行条例和地方政府规章等。</w:t>
      </w:r>
    </w:p>
    <w:p w14:paraId="62B11DBF">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合同当事人可以在专用条件中约定本合同适用的其他规范、规程、定额、技术标准等规范性文件。</w:t>
      </w:r>
    </w:p>
    <w:p w14:paraId="6181CB28">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71" w:name="_Toc76398647"/>
      <w:r>
        <w:rPr>
          <w:rFonts w:hint="eastAsia" w:asciiTheme="minorEastAsia" w:hAnsiTheme="minorEastAsia"/>
          <w:color w:val="000000" w:themeColor="text1"/>
          <w:sz w:val="24"/>
          <w:szCs w:val="24"/>
          <w:highlight w:val="none"/>
          <w14:textFill>
            <w14:solidFill>
              <w14:schemeClr w14:val="tx1"/>
            </w14:solidFill>
          </w14:textFill>
        </w:rPr>
        <w:t>2.委托人的义务</w:t>
      </w:r>
      <w:bookmarkEnd w:id="671"/>
    </w:p>
    <w:p w14:paraId="12B9271A">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72" w:name="_Toc76398648"/>
      <w:r>
        <w:rPr>
          <w:rFonts w:hint="eastAsia" w:asciiTheme="minorEastAsia" w:hAnsiTheme="minorEastAsia"/>
          <w:color w:val="000000" w:themeColor="text1"/>
          <w:sz w:val="24"/>
          <w:szCs w:val="24"/>
          <w:highlight w:val="none"/>
          <w14:textFill>
            <w14:solidFill>
              <w14:schemeClr w14:val="tx1"/>
            </w14:solidFill>
          </w14:textFill>
        </w:rPr>
        <w:t>2.1 提供资料</w:t>
      </w:r>
      <w:bookmarkEnd w:id="672"/>
    </w:p>
    <w:p w14:paraId="6C1D3B1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委托人应当在专用条件约定的时间内，按照附录 C 的约定无偿向咨询人提供与本合同咨询业务有关的资料。在本合同履行过程中，委托人应及时向咨询人提供最新的与本合同咨询业务有关的资料。委托人应对所提供资料的真实性、准确性、合法性与完整性负责。</w:t>
      </w:r>
    </w:p>
    <w:p w14:paraId="1EB166B0">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73" w:name="_Toc76398649"/>
      <w:r>
        <w:rPr>
          <w:rFonts w:hint="eastAsia" w:asciiTheme="minorEastAsia" w:hAnsiTheme="minorEastAsia"/>
          <w:color w:val="000000" w:themeColor="text1"/>
          <w:sz w:val="24"/>
          <w:szCs w:val="24"/>
          <w:highlight w:val="none"/>
          <w14:textFill>
            <w14:solidFill>
              <w14:schemeClr w14:val="tx1"/>
            </w14:solidFill>
          </w14:textFill>
        </w:rPr>
        <w:t>2.2 提供工作条件</w:t>
      </w:r>
      <w:bookmarkEnd w:id="673"/>
    </w:p>
    <w:p w14:paraId="4ED74BA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委托人应为咨询人完成造价咨询提供必要的条件。</w:t>
      </w:r>
    </w:p>
    <w:p w14:paraId="0D90A5F0">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2.2.1 委托人需要咨询人派驻项目现场咨询人员的，除专用条件另有约定</w:t>
      </w:r>
    </w:p>
    <w:p w14:paraId="3C3EE4B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外，不提供的房屋及设备。</w:t>
      </w:r>
    </w:p>
    <w:p w14:paraId="2CC62EC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2.2.2 委托人应负责与本工程造价咨询业务有关的外部关系的协调，为咨询人履行本合同提供必要的外部条件；需要咨询人联系的由咨询人自行协调。</w:t>
      </w:r>
    </w:p>
    <w:p w14:paraId="149E40DD">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74" w:name="_Toc76398650"/>
      <w:r>
        <w:rPr>
          <w:rFonts w:hint="eastAsia" w:asciiTheme="minorEastAsia" w:hAnsiTheme="minorEastAsia"/>
          <w:color w:val="000000" w:themeColor="text1"/>
          <w:sz w:val="24"/>
          <w:szCs w:val="24"/>
          <w:highlight w:val="none"/>
          <w14:textFill>
            <w14:solidFill>
              <w14:schemeClr w14:val="tx1"/>
            </w14:solidFill>
          </w14:textFill>
        </w:rPr>
        <w:t>2.3 合理工作时限</w:t>
      </w:r>
      <w:bookmarkEnd w:id="674"/>
    </w:p>
    <w:p w14:paraId="4077459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委托人应当为咨询人完成其咨询工作，设定合理的工作时限。</w:t>
      </w:r>
    </w:p>
    <w:p w14:paraId="6EBAD168">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75" w:name="_Toc76398651"/>
      <w:r>
        <w:rPr>
          <w:rFonts w:hint="eastAsia" w:asciiTheme="minorEastAsia" w:hAnsiTheme="minorEastAsia"/>
          <w:color w:val="000000" w:themeColor="text1"/>
          <w:sz w:val="24"/>
          <w:szCs w:val="24"/>
          <w:highlight w:val="none"/>
          <w14:textFill>
            <w14:solidFill>
              <w14:schemeClr w14:val="tx1"/>
            </w14:solidFill>
          </w14:textFill>
        </w:rPr>
        <w:t>2.4 委托人代表</w:t>
      </w:r>
      <w:bookmarkEnd w:id="675"/>
    </w:p>
    <w:p w14:paraId="181F429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委托人应授权一名代表负责本合同的履行。委托人应在双方签订本合同 7日内，将委托人代表的姓名和权限范围书面告知咨询人。委托人更换委托人代表时，应提前 7 日书面通知咨询人。</w:t>
      </w:r>
    </w:p>
    <w:p w14:paraId="744C9CAF">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76" w:name="_Toc76398652"/>
      <w:r>
        <w:rPr>
          <w:rFonts w:hint="eastAsia" w:asciiTheme="minorEastAsia" w:hAnsiTheme="minorEastAsia"/>
          <w:color w:val="000000" w:themeColor="text1"/>
          <w:sz w:val="24"/>
          <w:szCs w:val="24"/>
          <w:highlight w:val="none"/>
          <w14:textFill>
            <w14:solidFill>
              <w14:schemeClr w14:val="tx1"/>
            </w14:solidFill>
          </w14:textFill>
        </w:rPr>
        <w:t>2.5 答复</w:t>
      </w:r>
      <w:bookmarkEnd w:id="676"/>
    </w:p>
    <w:p w14:paraId="1224602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委托人应当在专用条件约定的时间内就咨询人以书面形式提交并要求做出答复的事宜给予书面答复。</w:t>
      </w:r>
    </w:p>
    <w:p w14:paraId="2CD59CFA">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77" w:name="_Toc76398653"/>
      <w:r>
        <w:rPr>
          <w:rFonts w:hint="eastAsia" w:asciiTheme="minorEastAsia" w:hAnsiTheme="minorEastAsia"/>
          <w:color w:val="000000" w:themeColor="text1"/>
          <w:sz w:val="24"/>
          <w:szCs w:val="24"/>
          <w:highlight w:val="none"/>
          <w14:textFill>
            <w14:solidFill>
              <w14:schemeClr w14:val="tx1"/>
            </w14:solidFill>
          </w14:textFill>
        </w:rPr>
        <w:t>2.6 支付</w:t>
      </w:r>
      <w:bookmarkEnd w:id="677"/>
    </w:p>
    <w:p w14:paraId="2B37C2B2">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委托人应当按照合同的约定，向咨询人支付酬金。</w:t>
      </w:r>
    </w:p>
    <w:p w14:paraId="30B358B0">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78" w:name="_Toc76398654"/>
      <w:r>
        <w:rPr>
          <w:rFonts w:hint="eastAsia" w:asciiTheme="minorEastAsia" w:hAnsiTheme="minorEastAsia"/>
          <w:color w:val="000000" w:themeColor="text1"/>
          <w:sz w:val="24"/>
          <w:szCs w:val="24"/>
          <w:highlight w:val="none"/>
          <w14:textFill>
            <w14:solidFill>
              <w14:schemeClr w14:val="tx1"/>
            </w14:solidFill>
          </w14:textFill>
        </w:rPr>
        <w:t>3.咨询人的义务</w:t>
      </w:r>
      <w:bookmarkEnd w:id="678"/>
    </w:p>
    <w:p w14:paraId="3E42E351">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79" w:name="_Toc76398655"/>
      <w:r>
        <w:rPr>
          <w:rFonts w:hint="eastAsia" w:asciiTheme="minorEastAsia" w:hAnsiTheme="minorEastAsia"/>
          <w:color w:val="000000" w:themeColor="text1"/>
          <w:sz w:val="24"/>
          <w:szCs w:val="24"/>
          <w:highlight w:val="none"/>
          <w14:textFill>
            <w14:solidFill>
              <w14:schemeClr w14:val="tx1"/>
            </w14:solidFill>
          </w14:textFill>
        </w:rPr>
        <w:t>3.1 项目咨询团队及人员</w:t>
      </w:r>
      <w:bookmarkEnd w:id="679"/>
    </w:p>
    <w:p w14:paraId="038230A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3.1.1 项目咨询团队的主要人员应具有专用条件约定的资格条件，团队人员的数量应符合专用条件的约定。</w:t>
      </w:r>
    </w:p>
    <w:p w14:paraId="14FF46A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3.1.2 项目负责人</w:t>
      </w:r>
    </w:p>
    <w:p w14:paraId="115F4B9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咨询人应以书面形式授权一名项目负责人负责履行本合同、主持项目咨询团队工作。采用招标程序签署本合同的，项目负责人应当与投标文件载明的一致。</w:t>
      </w:r>
    </w:p>
    <w:p w14:paraId="6C29071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3.1.3 在本合同履行过程中，咨询人员应保持相对稳定，以保证咨询工作正常进行。未经委托人同意，咨询人不得擅自更换人员名单，若擅自更换，委托人有权解除本合同，咨询人承担给委托人造成的一切损失。咨询人更换项目负责人时，应提前 7 日向委托人书面报告，经委托人同意后方可更换。除专用条件另有约定外，咨询人更换项目咨询团队其他咨询人员，应提前5 日向委托人书面报告，经委托人同意后以相当资格与能力的人员替换。咨询人免费为委托人提供口头或现场咨询，若拒绝提供口头或现场咨询，委托人有权解除本合同，咨询人承担给委托人造成的一切损失。</w:t>
      </w:r>
    </w:p>
    <w:p w14:paraId="4EDA50A0">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3.1.4 咨询人员有下列情形之一，委托人要求咨询人更换的，咨询人应当更换：</w:t>
      </w:r>
    </w:p>
    <w:p w14:paraId="4B3B669F">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（1）存在严重过失行为的；</w:t>
      </w:r>
    </w:p>
    <w:p w14:paraId="2A98D1F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（2）存在违法行为不能履行职责的；</w:t>
      </w:r>
    </w:p>
    <w:p w14:paraId="3D9CB79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（3）涉嫌犯罪的；</w:t>
      </w:r>
    </w:p>
    <w:p w14:paraId="3166DCF6">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（4）不能胜任岗位职责的；</w:t>
      </w:r>
    </w:p>
    <w:p w14:paraId="71C3EE0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（5）严重违反职业道德的；</w:t>
      </w:r>
    </w:p>
    <w:p w14:paraId="2156B33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w:t>
      </w:r>
      <w:r>
        <w:rPr>
          <w:rFonts w:asciiTheme="minorEastAsia" w:hAnsiTheme="minorEastAsia"/>
          <w:color w:val="000000" w:themeColor="text1"/>
          <w:sz w:val="24"/>
          <w:szCs w:val="24"/>
          <w:highlight w:val="none"/>
          <w14:textFill>
            <w14:solidFill>
              <w14:schemeClr w14:val="tx1"/>
            </w14:solidFill>
          </w14:textFill>
        </w:rPr>
        <w:t>6</w:t>
      </w:r>
      <w:r>
        <w:rPr>
          <w:rFonts w:hint="eastAsia" w:asciiTheme="minorEastAsia" w:hAnsiTheme="minorEastAsia"/>
          <w:color w:val="000000" w:themeColor="text1"/>
          <w:sz w:val="24"/>
          <w:szCs w:val="24"/>
          <w:highlight w:val="none"/>
          <w14:textFill>
            <w14:solidFill>
              <w14:schemeClr w14:val="tx1"/>
            </w14:solidFill>
          </w14:textFill>
        </w:rPr>
        <w:t>）不满意的；</w:t>
      </w:r>
    </w:p>
    <w:p w14:paraId="25008EC2">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（7）专用条件约定的其他情形。</w:t>
      </w:r>
    </w:p>
    <w:p w14:paraId="2D5D8871">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80" w:name="_Toc76398656"/>
      <w:r>
        <w:rPr>
          <w:rFonts w:hint="eastAsia" w:asciiTheme="minorEastAsia" w:hAnsiTheme="minorEastAsia"/>
          <w:color w:val="000000" w:themeColor="text1"/>
          <w:sz w:val="24"/>
          <w:szCs w:val="24"/>
          <w:highlight w:val="none"/>
          <w14:textFill>
            <w14:solidFill>
              <w14:schemeClr w14:val="tx1"/>
            </w14:solidFill>
          </w14:textFill>
        </w:rPr>
        <w:t>3.2 咨询人的工作要求</w:t>
      </w:r>
      <w:bookmarkEnd w:id="680"/>
    </w:p>
    <w:p w14:paraId="4D763BBF">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 xml:space="preserve">3.2.1 </w:t>
      </w:r>
      <w:r>
        <w:rPr>
          <w:rFonts w:hint="eastAsia" w:asciiTheme="minorEastAsia" w:hAnsiTheme="minorEastAsia"/>
          <w:color w:val="000000" w:themeColor="text1"/>
          <w:sz w:val="24"/>
          <w:szCs w:val="24"/>
          <w:highlight w:val="none"/>
          <w14:textFill>
            <w14:solidFill>
              <w14:schemeClr w14:val="tx1"/>
            </w14:solidFill>
          </w14:textFill>
        </w:rPr>
        <w:t>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6761385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3.2.2 咨询人应当在专用条件约定的时间内，按照专用条件约定的份数、组成向委托人提交咨询成果文件。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w:t>
      </w:r>
    </w:p>
    <w:p w14:paraId="78F950A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3.2.3 咨询人提交的工程造价咨询成果文件，除加盖咨询人单位公章、工程造价咨询企业执业印章外，还必须按要求加盖参加咨询工作人员的执业（从业）资格印章。</w:t>
      </w:r>
    </w:p>
    <w:p w14:paraId="482C59C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3.2.4 咨询人应在专用条件约定的时间内，对委托人以书面形式提出的建议或者异议给予书面答复。</w:t>
      </w:r>
    </w:p>
    <w:p w14:paraId="44096F86">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3.2.5 咨询人从事工程造价咨询活动，应当遵循独立、客观、公正、诚实信用的原则，不得损害社会公共利益和他人的合法权益。</w:t>
      </w:r>
    </w:p>
    <w:p w14:paraId="19B21F0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3.2.6 咨询人承诺按照法律规定及合同约定，完成合同范围内的建设工程造价咨询服务，不转包承接的造价咨询服务业务。</w:t>
      </w:r>
    </w:p>
    <w:p w14:paraId="4DF61809">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81" w:name="_Toc76398657"/>
      <w:r>
        <w:rPr>
          <w:rFonts w:hint="eastAsia" w:asciiTheme="minorEastAsia" w:hAnsiTheme="minorEastAsia"/>
          <w:color w:val="000000" w:themeColor="text1"/>
          <w:sz w:val="24"/>
          <w:szCs w:val="24"/>
          <w:highlight w:val="none"/>
          <w14:textFill>
            <w14:solidFill>
              <w14:schemeClr w14:val="tx1"/>
            </w14:solidFill>
          </w14:textFill>
        </w:rPr>
        <w:t>3.3 咨询人的工作依据</w:t>
      </w:r>
      <w:bookmarkEnd w:id="681"/>
    </w:p>
    <w:p w14:paraId="3E57493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应在专用条件内与委托人协商明确履行本合同约定的咨询服务需要适用的技术标准、规范、定额等工作依据，但不得违反国家及工程所在地的强制性标准、规范。咨询人应自行配备本条所述的技术标准、规范、定额等相关资料。必须由委托人提供的资料，应在附录 C 中载明。需要委托人协助才能获得的资料，委托人应予以协助。</w:t>
      </w:r>
    </w:p>
    <w:p w14:paraId="563D7F92">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82" w:name="_Toc76398658"/>
      <w:r>
        <w:rPr>
          <w:rFonts w:hint="eastAsia" w:asciiTheme="minorEastAsia" w:hAnsiTheme="minorEastAsia"/>
          <w:color w:val="000000" w:themeColor="text1"/>
          <w:sz w:val="24"/>
          <w:szCs w:val="24"/>
          <w:highlight w:val="none"/>
          <w14:textFill>
            <w14:solidFill>
              <w14:schemeClr w14:val="tx1"/>
            </w14:solidFill>
          </w14:textFill>
        </w:rPr>
        <w:t>3.4 使用委托人房屋及设备的返还</w:t>
      </w:r>
      <w:bookmarkEnd w:id="682"/>
    </w:p>
    <w:p w14:paraId="7CF9574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项目咨询人员使用委托人提供的房屋及设备的，咨询人应妥善使用和保管，在本合同终止时将上述房屋及设备按专用条件约定的时间和方式返还委托人。</w:t>
      </w:r>
    </w:p>
    <w:p w14:paraId="328C2A12">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83" w:name="_Toc76398659"/>
      <w:r>
        <w:rPr>
          <w:rFonts w:hint="eastAsia" w:asciiTheme="minorEastAsia" w:hAnsiTheme="minorEastAsia"/>
          <w:color w:val="000000" w:themeColor="text1"/>
          <w:sz w:val="24"/>
          <w:szCs w:val="24"/>
          <w:highlight w:val="none"/>
          <w14:textFill>
            <w14:solidFill>
              <w14:schemeClr w14:val="tx1"/>
            </w14:solidFill>
          </w14:textFill>
        </w:rPr>
        <w:t>4.违约责任</w:t>
      </w:r>
      <w:bookmarkEnd w:id="683"/>
    </w:p>
    <w:p w14:paraId="337B888E">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84" w:name="_Toc76398660"/>
      <w:r>
        <w:rPr>
          <w:rFonts w:hint="eastAsia" w:asciiTheme="minorEastAsia" w:hAnsiTheme="minorEastAsia"/>
          <w:color w:val="000000" w:themeColor="text1"/>
          <w:sz w:val="24"/>
          <w:szCs w:val="24"/>
          <w:highlight w:val="none"/>
          <w14:textFill>
            <w14:solidFill>
              <w14:schemeClr w14:val="tx1"/>
            </w14:solidFill>
          </w14:textFill>
        </w:rPr>
        <w:t>4.1 委托人的违约责任</w:t>
      </w:r>
      <w:bookmarkEnd w:id="684"/>
    </w:p>
    <w:p w14:paraId="3670520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4.1.1 委托人不履行本合同义务或者履行义务不符合本合同约定的，应承担违约责任。双方可在专用条件中约定违约金的计算及支付方法。</w:t>
      </w:r>
    </w:p>
    <w:p w14:paraId="76675D1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4.1.2 委托人违反本合同约定造成咨询人损失的，委托人应予以赔偿。双方可在专用条件中约定赔偿金额的确定及支付方法。</w:t>
      </w:r>
    </w:p>
    <w:p w14:paraId="7C0285F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4.1.3 委托人未能按期支付酬金超过 28 天，应按下列方法计算并支付逾期付款利息。逾期付款利息=当期应付款总额×中国人民银行公布的同期活期存款利率÷365天×逾期支付天数（自逾期之日起计算）。双方也可在专用条件中另行约定逾期付款利息的计算及支付方法。</w:t>
      </w:r>
    </w:p>
    <w:p w14:paraId="5FA4A1C9">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85" w:name="_Toc76398661"/>
      <w:r>
        <w:rPr>
          <w:rFonts w:hint="eastAsia" w:asciiTheme="minorEastAsia" w:hAnsiTheme="minorEastAsia"/>
          <w:color w:val="000000" w:themeColor="text1"/>
          <w:sz w:val="24"/>
          <w:szCs w:val="24"/>
          <w:highlight w:val="none"/>
          <w14:textFill>
            <w14:solidFill>
              <w14:schemeClr w14:val="tx1"/>
            </w14:solidFill>
          </w14:textFill>
        </w:rPr>
        <w:t>4.2 咨询人的违约责任</w:t>
      </w:r>
      <w:bookmarkEnd w:id="685"/>
    </w:p>
    <w:p w14:paraId="55F281B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4.2.1 咨询人不履行本合同义务或者履行义务不符合本合同约定的，应承担违约责任。双方可在专用条件中约定违约金的计算及支付方法。</w:t>
      </w:r>
    </w:p>
    <w:p w14:paraId="04F87E4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4.2.2 因咨询人违反本合同约定给委托人造成损失的，咨询人应当赔偿委托人损失。双方可在专用条件中约定赔偿金额的确定及支付方法。</w:t>
      </w:r>
    </w:p>
    <w:p w14:paraId="27B7FCB5">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86" w:name="_Toc76398662"/>
      <w:r>
        <w:rPr>
          <w:rFonts w:hint="eastAsia" w:asciiTheme="minorEastAsia" w:hAnsiTheme="minorEastAsia"/>
          <w:color w:val="000000" w:themeColor="text1"/>
          <w:sz w:val="24"/>
          <w:szCs w:val="24"/>
          <w:highlight w:val="none"/>
          <w14:textFill>
            <w14:solidFill>
              <w14:schemeClr w14:val="tx1"/>
            </w14:solidFill>
          </w14:textFill>
        </w:rPr>
        <w:t>5.支付</w:t>
      </w:r>
      <w:bookmarkEnd w:id="686"/>
    </w:p>
    <w:p w14:paraId="5951D718">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87" w:name="_Toc76398663"/>
      <w:r>
        <w:rPr>
          <w:rFonts w:hint="eastAsia" w:asciiTheme="minorEastAsia" w:hAnsiTheme="minorEastAsia"/>
          <w:color w:val="000000" w:themeColor="text1"/>
          <w:sz w:val="24"/>
          <w:szCs w:val="24"/>
          <w:highlight w:val="none"/>
          <w14:textFill>
            <w14:solidFill>
              <w14:schemeClr w14:val="tx1"/>
            </w14:solidFill>
          </w14:textFill>
        </w:rPr>
        <w:t>5.1 支付货币</w:t>
      </w:r>
      <w:bookmarkEnd w:id="687"/>
    </w:p>
    <w:p w14:paraId="55CF0A36">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除专用条件另有约定外，酬金均以人民币支付。涉及外币支付的，所采用的货币种类和汇率等在专用条件中约定。</w:t>
      </w:r>
    </w:p>
    <w:p w14:paraId="4E84F91B">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88" w:name="_Toc76398664"/>
      <w:r>
        <w:rPr>
          <w:rFonts w:hint="eastAsia" w:asciiTheme="minorEastAsia" w:hAnsiTheme="minorEastAsia"/>
          <w:color w:val="000000" w:themeColor="text1"/>
          <w:sz w:val="24"/>
          <w:szCs w:val="24"/>
          <w:highlight w:val="none"/>
          <w14:textFill>
            <w14:solidFill>
              <w14:schemeClr w14:val="tx1"/>
            </w14:solidFill>
          </w14:textFill>
        </w:rPr>
        <w:t>5.2 支付申请</w:t>
      </w:r>
      <w:bookmarkEnd w:id="688"/>
    </w:p>
    <w:p w14:paraId="0F831001">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咨询人应在本合同约定的每次应付款日期前，向委托人提交支付申请书，支付申请书的提交日期由双方在专用条件中约定。支付申请书应当说明当期应付款总额，并列出当期应支付的款项及其金额。</w:t>
      </w:r>
    </w:p>
    <w:p w14:paraId="013547EC">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89" w:name="_Toc76398665"/>
      <w:r>
        <w:rPr>
          <w:rFonts w:hint="eastAsia" w:asciiTheme="minorEastAsia" w:hAnsiTheme="minorEastAsia"/>
          <w:color w:val="000000" w:themeColor="text1"/>
          <w:sz w:val="24"/>
          <w:szCs w:val="24"/>
          <w:highlight w:val="none"/>
          <w14:textFill>
            <w14:solidFill>
              <w14:schemeClr w14:val="tx1"/>
            </w14:solidFill>
          </w14:textFill>
        </w:rPr>
        <w:t>5.3 支付酬金</w:t>
      </w:r>
      <w:bookmarkEnd w:id="689"/>
    </w:p>
    <w:p w14:paraId="0089C50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支付酬金包括正常工作酬金、附加工作酬金、合理化建议奖励金额及费用。</w:t>
      </w:r>
    </w:p>
    <w:p w14:paraId="1F0352EF">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90" w:name="_Toc76398666"/>
      <w:r>
        <w:rPr>
          <w:rFonts w:hint="eastAsia" w:asciiTheme="minorEastAsia" w:hAnsiTheme="minorEastAsia"/>
          <w:color w:val="000000" w:themeColor="text1"/>
          <w:sz w:val="24"/>
          <w:szCs w:val="24"/>
          <w:highlight w:val="none"/>
          <w14:textFill>
            <w14:solidFill>
              <w14:schemeClr w14:val="tx1"/>
            </w14:solidFill>
          </w14:textFill>
        </w:rPr>
        <w:t>5.4 有异议部分的支付</w:t>
      </w:r>
      <w:bookmarkEnd w:id="690"/>
    </w:p>
    <w:p w14:paraId="54DDC6BA">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委托人对咨询人提交的支付申请书有异议时，应当在收到咨询人提交的支付申请书后 7 日内，以书面形式向咨询人发出异议通知。无异议部分的款项应按期支付，有异议部分的款项按第 7 条约定办理。</w:t>
      </w:r>
    </w:p>
    <w:p w14:paraId="5A05AC8B">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91" w:name="_Toc76398667"/>
      <w:r>
        <w:rPr>
          <w:rFonts w:hint="eastAsia" w:asciiTheme="minorEastAsia" w:hAnsiTheme="minorEastAsia"/>
          <w:color w:val="000000" w:themeColor="text1"/>
          <w:sz w:val="24"/>
          <w:szCs w:val="24"/>
          <w:highlight w:val="none"/>
          <w14:textFill>
            <w14:solidFill>
              <w14:schemeClr w14:val="tx1"/>
            </w14:solidFill>
          </w14:textFill>
        </w:rPr>
        <w:t>6.合同变更、解除与终止</w:t>
      </w:r>
      <w:bookmarkEnd w:id="691"/>
    </w:p>
    <w:p w14:paraId="1CD0890A">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92" w:name="_Toc76398668"/>
      <w:r>
        <w:rPr>
          <w:rFonts w:hint="eastAsia" w:asciiTheme="minorEastAsia" w:hAnsiTheme="minorEastAsia"/>
          <w:color w:val="000000" w:themeColor="text1"/>
          <w:sz w:val="24"/>
          <w:szCs w:val="24"/>
          <w:highlight w:val="none"/>
          <w14:textFill>
            <w14:solidFill>
              <w14:schemeClr w14:val="tx1"/>
            </w14:solidFill>
          </w14:textFill>
        </w:rPr>
        <w:t>6.1 合同变更</w:t>
      </w:r>
      <w:bookmarkEnd w:id="692"/>
    </w:p>
    <w:p w14:paraId="6902E24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6.1.1 任何一方以书面形式提出变更请求时，双方经协商一致后可进行变更。</w:t>
      </w:r>
    </w:p>
    <w:p w14:paraId="3974FE9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6.1.2 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30C54F71">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6.1.3 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14:paraId="6A16964F">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6.1.4 因工程规模、服务范围及工作内容的变化等导致咨询人的工作量增减时，服务酬金应作相应调整，调整方法由双方在专用条件中约定。</w:t>
      </w:r>
    </w:p>
    <w:p w14:paraId="17626222">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93" w:name="_Toc76398669"/>
      <w:r>
        <w:rPr>
          <w:rFonts w:hint="eastAsia" w:asciiTheme="minorEastAsia" w:hAnsiTheme="minorEastAsia"/>
          <w:color w:val="000000" w:themeColor="text1"/>
          <w:sz w:val="24"/>
          <w:szCs w:val="24"/>
          <w:highlight w:val="none"/>
          <w14:textFill>
            <w14:solidFill>
              <w14:schemeClr w14:val="tx1"/>
            </w14:solidFill>
          </w14:textFill>
        </w:rPr>
        <w:t>6.2 合同解除</w:t>
      </w:r>
      <w:bookmarkEnd w:id="693"/>
    </w:p>
    <w:p w14:paraId="4BD5E6D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6.2.1 委托人与咨询人协商一致，可以解除合同。</w:t>
      </w:r>
    </w:p>
    <w:p w14:paraId="225E4BB6">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6.2.2 有下列情形之一的，合同当事人一方或双方可以解除合同：</w:t>
      </w:r>
    </w:p>
    <w:p w14:paraId="17D6D32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（1）咨询人将本合同约定的工程造价咨询服务工作全部或部分转包给他人，委托人可以解除合同；</w:t>
      </w:r>
    </w:p>
    <w:p w14:paraId="2B24A8F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（2）咨询人提供的造价咨询服务不符合合同约定的要求，经委托人催告仍不能达到合同约定要求的，委托人可以解除合同；</w:t>
      </w:r>
    </w:p>
    <w:p w14:paraId="444BEC10">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（3）因不可抗力致使合同无法履行；</w:t>
      </w:r>
    </w:p>
    <w:p w14:paraId="5C7505A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（4）因一方违约致使合同无法实际履行或实际履行已无必要。</w:t>
      </w:r>
    </w:p>
    <w:p w14:paraId="50481F0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除上述情形外，双方可以根据委托的服务范围及工作内容，在专用条件中约定解除合同的其他条件。</w:t>
      </w:r>
    </w:p>
    <w:p w14:paraId="46E097E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6.2.3 任何一方提出解除合同的，应提前 30 天书面通知对方，无法提前通知解除的情形除外。</w:t>
      </w:r>
    </w:p>
    <w:p w14:paraId="28B4336A">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6.2.4 合同解除后，委托人应按照合同约定向咨询人支付已完成部分的咨询服务酬金。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14:paraId="29CC6983">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6.2.5 本合同解除后，本合同约定的有关结算、争议解决方式的条款仍然有效。</w:t>
      </w:r>
    </w:p>
    <w:p w14:paraId="137F3805">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94" w:name="_Toc76398670"/>
      <w:r>
        <w:rPr>
          <w:rFonts w:hint="eastAsia" w:asciiTheme="minorEastAsia" w:hAnsiTheme="minorEastAsia"/>
          <w:color w:val="000000" w:themeColor="text1"/>
          <w:sz w:val="24"/>
          <w:szCs w:val="24"/>
          <w:highlight w:val="none"/>
          <w14:textFill>
            <w14:solidFill>
              <w14:schemeClr w14:val="tx1"/>
            </w14:solidFill>
          </w14:textFill>
        </w:rPr>
        <w:t>6.3 合同终止</w:t>
      </w:r>
      <w:bookmarkEnd w:id="694"/>
    </w:p>
    <w:p w14:paraId="18B6362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除合同解除外，以下条件全部满足时，本合同终止：</w:t>
      </w:r>
    </w:p>
    <w:p w14:paraId="4B63F7EF">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（1）咨询人完成本合同约定的全部工作；</w:t>
      </w:r>
    </w:p>
    <w:p w14:paraId="7E377E4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（2）委托人与咨询人结清并支付酬金；</w:t>
      </w:r>
    </w:p>
    <w:p w14:paraId="0AB29A24">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（3）咨询人将委托人提供的资料交还。</w:t>
      </w:r>
    </w:p>
    <w:p w14:paraId="52046C52">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95" w:name="_Toc76398671"/>
      <w:r>
        <w:rPr>
          <w:rFonts w:hint="eastAsia" w:asciiTheme="minorEastAsia" w:hAnsiTheme="minorEastAsia"/>
          <w:color w:val="000000" w:themeColor="text1"/>
          <w:sz w:val="24"/>
          <w:szCs w:val="24"/>
          <w:highlight w:val="none"/>
          <w14:textFill>
            <w14:solidFill>
              <w14:schemeClr w14:val="tx1"/>
            </w14:solidFill>
          </w14:textFill>
        </w:rPr>
        <w:t>7.争议解决</w:t>
      </w:r>
      <w:bookmarkEnd w:id="695"/>
    </w:p>
    <w:p w14:paraId="0A6D8F29">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96" w:name="_Toc76398672"/>
      <w:r>
        <w:rPr>
          <w:rFonts w:hint="eastAsia" w:asciiTheme="minorEastAsia" w:hAnsiTheme="minorEastAsia"/>
          <w:color w:val="000000" w:themeColor="text1"/>
          <w:sz w:val="24"/>
          <w:szCs w:val="24"/>
          <w:highlight w:val="none"/>
          <w14:textFill>
            <w14:solidFill>
              <w14:schemeClr w14:val="tx1"/>
            </w14:solidFill>
          </w14:textFill>
        </w:rPr>
        <w:t>7.1 协商</w:t>
      </w:r>
      <w:bookmarkEnd w:id="696"/>
    </w:p>
    <w:p w14:paraId="220CB70A">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双方应本着诚实信用的原则协商解决本合同履行过程中发生的争议。</w:t>
      </w:r>
    </w:p>
    <w:p w14:paraId="6BC5599B">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97" w:name="_Toc76398673"/>
      <w:r>
        <w:rPr>
          <w:rFonts w:hint="eastAsia" w:asciiTheme="minorEastAsia" w:hAnsiTheme="minorEastAsia"/>
          <w:color w:val="000000" w:themeColor="text1"/>
          <w:sz w:val="24"/>
          <w:szCs w:val="24"/>
          <w:highlight w:val="none"/>
          <w14:textFill>
            <w14:solidFill>
              <w14:schemeClr w14:val="tx1"/>
            </w14:solidFill>
          </w14:textFill>
        </w:rPr>
        <w:t>7.2 调解</w:t>
      </w:r>
      <w:bookmarkEnd w:id="697"/>
    </w:p>
    <w:p w14:paraId="7B02594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如果双方不能在 14 日内或双方商定的其他时间内解决本合同争议，可以将其提交给专用条件约定的或事后达成协议的调解人进行调解。</w:t>
      </w:r>
    </w:p>
    <w:p w14:paraId="79E183D6">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98" w:name="_Toc76398674"/>
      <w:r>
        <w:rPr>
          <w:rFonts w:hint="eastAsia" w:asciiTheme="minorEastAsia" w:hAnsiTheme="minorEastAsia"/>
          <w:color w:val="000000" w:themeColor="text1"/>
          <w:sz w:val="24"/>
          <w:szCs w:val="24"/>
          <w:highlight w:val="none"/>
          <w14:textFill>
            <w14:solidFill>
              <w14:schemeClr w14:val="tx1"/>
            </w14:solidFill>
          </w14:textFill>
        </w:rPr>
        <w:t>7.3 仲裁或诉讼</w:t>
      </w:r>
      <w:bookmarkEnd w:id="698"/>
    </w:p>
    <w:p w14:paraId="198E176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双方均有权不经调解直接向专用条件约定的仲裁机构申请仲裁或向有管辖权的人民法院提起诉讼。</w:t>
      </w:r>
    </w:p>
    <w:p w14:paraId="3A4F445E">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99" w:name="_Toc76398675"/>
      <w:r>
        <w:rPr>
          <w:rFonts w:hint="eastAsia" w:asciiTheme="minorEastAsia" w:hAnsiTheme="minorEastAsia"/>
          <w:color w:val="000000" w:themeColor="text1"/>
          <w:sz w:val="24"/>
          <w:szCs w:val="24"/>
          <w:highlight w:val="none"/>
          <w14:textFill>
            <w14:solidFill>
              <w14:schemeClr w14:val="tx1"/>
            </w14:solidFill>
          </w14:textFill>
        </w:rPr>
        <w:t>8.其他</w:t>
      </w:r>
      <w:bookmarkEnd w:id="699"/>
    </w:p>
    <w:p w14:paraId="20F7D34C">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00" w:name="_Toc76398676"/>
      <w:r>
        <w:rPr>
          <w:rFonts w:hint="eastAsia" w:asciiTheme="minorEastAsia" w:hAnsiTheme="minorEastAsia"/>
          <w:color w:val="000000" w:themeColor="text1"/>
          <w:sz w:val="24"/>
          <w:szCs w:val="24"/>
          <w:highlight w:val="none"/>
          <w14:textFill>
            <w14:solidFill>
              <w14:schemeClr w14:val="tx1"/>
            </w14:solidFill>
          </w14:textFill>
        </w:rPr>
        <w:t>8.1 考察及相关费用</w:t>
      </w:r>
      <w:bookmarkEnd w:id="700"/>
    </w:p>
    <w:p w14:paraId="0C35B4B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除专用条件另有约定外，咨询人经委托人同意进行考察发生的费用由委托人审核后另行支付。差旅费及相关费用的承担由双方在专用条件中约定。</w:t>
      </w:r>
    </w:p>
    <w:p w14:paraId="0EDACDA1">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01" w:name="_Toc76398677"/>
      <w:r>
        <w:rPr>
          <w:rFonts w:hint="eastAsia" w:asciiTheme="minorEastAsia" w:hAnsiTheme="minorEastAsia"/>
          <w:color w:val="000000" w:themeColor="text1"/>
          <w:sz w:val="24"/>
          <w:szCs w:val="24"/>
          <w:highlight w:val="none"/>
          <w14:textFill>
            <w14:solidFill>
              <w14:schemeClr w14:val="tx1"/>
            </w14:solidFill>
          </w14:textFill>
        </w:rPr>
        <w:t>8.2 奖励</w:t>
      </w:r>
      <w:bookmarkEnd w:id="701"/>
    </w:p>
    <w:p w14:paraId="54AB68A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对于咨询人在服务过程中提出合理化建议，使委托人获得效益的，双方在专用条件中约定奖励金额的确定方法。奖励金额在合理化建议被采纳后，与最近一期的正常工作酬金同期支付。</w:t>
      </w:r>
    </w:p>
    <w:p w14:paraId="5520204D">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02" w:name="_Toc76398678"/>
      <w:r>
        <w:rPr>
          <w:rFonts w:hint="eastAsia" w:asciiTheme="minorEastAsia" w:hAnsiTheme="minorEastAsia"/>
          <w:color w:val="000000" w:themeColor="text1"/>
          <w:sz w:val="24"/>
          <w:szCs w:val="24"/>
          <w:highlight w:val="none"/>
          <w14:textFill>
            <w14:solidFill>
              <w14:schemeClr w14:val="tx1"/>
            </w14:solidFill>
          </w14:textFill>
        </w:rPr>
        <w:t>8.3 保密</w:t>
      </w:r>
      <w:bookmarkEnd w:id="702"/>
    </w:p>
    <w:p w14:paraId="7E66F532">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在本合同履行期间或专用条件约定的期限内，双方不得泄露对方申明的保密资料，亦不得泄露与实施工程有关的第三人所提供的保密资料。保密事项在专用条件中约定。</w:t>
      </w:r>
    </w:p>
    <w:p w14:paraId="7CA5E611">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03" w:name="_Toc76398679"/>
      <w:r>
        <w:rPr>
          <w:rFonts w:hint="eastAsia" w:asciiTheme="minorEastAsia" w:hAnsiTheme="minorEastAsia"/>
          <w:color w:val="000000" w:themeColor="text1"/>
          <w:sz w:val="24"/>
          <w:szCs w:val="24"/>
          <w:highlight w:val="none"/>
          <w14:textFill>
            <w14:solidFill>
              <w14:schemeClr w14:val="tx1"/>
            </w14:solidFill>
          </w14:textFill>
        </w:rPr>
        <w:t>8.4 联络</w:t>
      </w:r>
      <w:bookmarkEnd w:id="703"/>
    </w:p>
    <w:p w14:paraId="24FFC84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8.4.1 与合同有关的通知、指示、要求、决定等，均应采用书面形式，并应在专用条件约定的期限内送达接收人和送达地点。</w:t>
      </w:r>
    </w:p>
    <w:p w14:paraId="01A2D16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8.4.2 委托人和咨询人应在专用条件中约定各自的送达接收人、送达地点、电子邮箱。任何一方指定的接收人或送达地点或电子邮箱发生变动的，应提前 3 天以书面形式通知对方，否则视为未发生变动。</w:t>
      </w:r>
    </w:p>
    <w:p w14:paraId="66EC6A2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8.4.3 委托人和咨询人应当及时签收另一方送达至送达地点和指定接收人的往来函件，如确有充分证据证明一方无正当理由拒不签收的，视为认可往来函件的内容。</w:t>
      </w:r>
    </w:p>
    <w:p w14:paraId="14F872E4">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04" w:name="_Toc76398680"/>
      <w:r>
        <w:rPr>
          <w:rFonts w:hint="eastAsia" w:asciiTheme="minorEastAsia" w:hAnsiTheme="minorEastAsia"/>
          <w:color w:val="000000" w:themeColor="text1"/>
          <w:sz w:val="24"/>
          <w:szCs w:val="24"/>
          <w:highlight w:val="none"/>
          <w14:textFill>
            <w14:solidFill>
              <w14:schemeClr w14:val="tx1"/>
            </w14:solidFill>
          </w14:textFill>
        </w:rPr>
        <w:t>8.5 知识产权</w:t>
      </w:r>
      <w:bookmarkEnd w:id="704"/>
    </w:p>
    <w:p w14:paraId="7C2070F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31AB7AA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2A34443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双方保证在履行本合同过程中不侵犯对方及第三方的知识产权。因咨询人侵犯他人知识产权所引起的责任，由咨询人承担；因委托人提供的基础资料导致侵权的，由委托人承担责任。</w:t>
      </w:r>
    </w:p>
    <w:p w14:paraId="5A025F9A">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除专用条件另有约定外，双方均有权在履行本合同保密义务并且不损害对方利益的情况下，将履行本合同形成的有关成果文件用于企业宣传、申报奖项以及接受上级主管部门的检查。</w:t>
      </w:r>
    </w:p>
    <w:p w14:paraId="6AF7C6CA">
      <w:pPr>
        <w:widowControl/>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br w:type="page"/>
      </w:r>
    </w:p>
    <w:p w14:paraId="33994860">
      <w:pPr>
        <w:spacing w:line="360" w:lineRule="auto"/>
        <w:ind w:firstLine="643"/>
        <w:jc w:val="center"/>
        <w:outlineLvl w:val="0"/>
        <w:rPr>
          <w:rFonts w:asciiTheme="minorEastAsia" w:hAnsiTheme="minorEastAsia"/>
          <w:b/>
          <w:color w:val="000000" w:themeColor="text1"/>
          <w:sz w:val="32"/>
          <w:szCs w:val="32"/>
          <w:highlight w:val="none"/>
          <w14:textFill>
            <w14:solidFill>
              <w14:schemeClr w14:val="tx1"/>
            </w14:solidFill>
          </w14:textFill>
        </w:rPr>
      </w:pPr>
      <w:bookmarkStart w:id="705" w:name="_Toc76398681"/>
      <w:r>
        <w:rPr>
          <w:rFonts w:hint="eastAsia" w:asciiTheme="minorEastAsia" w:hAnsiTheme="minorEastAsia"/>
          <w:b/>
          <w:color w:val="000000" w:themeColor="text1"/>
          <w:sz w:val="32"/>
          <w:szCs w:val="32"/>
          <w:highlight w:val="none"/>
          <w14:textFill>
            <w14:solidFill>
              <w14:schemeClr w14:val="tx1"/>
            </w14:solidFill>
          </w14:textFill>
        </w:rPr>
        <w:t>第三部分专用条件</w:t>
      </w:r>
      <w:bookmarkEnd w:id="705"/>
    </w:p>
    <w:p w14:paraId="527D6224">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706" w:name="_Toc76398682"/>
      <w:r>
        <w:rPr>
          <w:rFonts w:hint="eastAsia" w:asciiTheme="minorEastAsia" w:hAnsiTheme="minorEastAsia"/>
          <w:color w:val="000000" w:themeColor="text1"/>
          <w:sz w:val="24"/>
          <w:szCs w:val="24"/>
          <w:highlight w:val="none"/>
          <w14:textFill>
            <w14:solidFill>
              <w14:schemeClr w14:val="tx1"/>
            </w14:solidFill>
          </w14:textFill>
        </w:rPr>
        <w:t>1.词语定义、语言、解释顺序与适用法律</w:t>
      </w:r>
      <w:bookmarkEnd w:id="706"/>
    </w:p>
    <w:p w14:paraId="5157ADA3">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07" w:name="_Toc76398683"/>
      <w:r>
        <w:rPr>
          <w:rFonts w:hint="eastAsia" w:asciiTheme="minorEastAsia" w:hAnsiTheme="minorEastAsia"/>
          <w:color w:val="000000" w:themeColor="text1"/>
          <w:sz w:val="24"/>
          <w:szCs w:val="24"/>
          <w:highlight w:val="none"/>
          <w14:textFill>
            <w14:solidFill>
              <w14:schemeClr w14:val="tx1"/>
            </w14:solidFill>
          </w14:textFill>
        </w:rPr>
        <w:t>1.2 语言</w:t>
      </w:r>
      <w:bookmarkEnd w:id="707"/>
    </w:p>
    <w:p w14:paraId="51E7F7F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本合同文件除使用中文外，还可用</w:t>
      </w:r>
      <w:r>
        <w:rPr>
          <w:rFonts w:hint="eastAsia" w:asciiTheme="minorEastAsia" w:hAnsiTheme="minorEastAsia"/>
          <w:color w:val="000000" w:themeColor="text1"/>
          <w:sz w:val="24"/>
          <w:szCs w:val="24"/>
          <w:highlight w:val="none"/>
          <w:u w:val="single"/>
          <w14:textFill>
            <w14:solidFill>
              <w14:schemeClr w14:val="tx1"/>
            </w14:solidFill>
          </w14:textFill>
        </w:rPr>
        <w:t xml:space="preserve">   /    </w:t>
      </w:r>
      <w:r>
        <w:rPr>
          <w:rFonts w:hint="eastAsia" w:asciiTheme="minorEastAsia" w:hAnsiTheme="minorEastAsia"/>
          <w:color w:val="000000" w:themeColor="text1"/>
          <w:sz w:val="24"/>
          <w:szCs w:val="24"/>
          <w:highlight w:val="none"/>
          <w14:textFill>
            <w14:solidFill>
              <w14:schemeClr w14:val="tx1"/>
            </w14:solidFill>
          </w14:textFill>
        </w:rPr>
        <w:t>。</w:t>
      </w:r>
    </w:p>
    <w:p w14:paraId="25F9D2B1">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08" w:name="_Toc76398684"/>
      <w:r>
        <w:rPr>
          <w:rFonts w:hint="eastAsia" w:asciiTheme="minorEastAsia" w:hAnsiTheme="minorEastAsia"/>
          <w:color w:val="000000" w:themeColor="text1"/>
          <w:sz w:val="24"/>
          <w:szCs w:val="24"/>
          <w:highlight w:val="none"/>
          <w14:textFill>
            <w14:solidFill>
              <w14:schemeClr w14:val="tx1"/>
            </w14:solidFill>
          </w14:textFill>
        </w:rPr>
        <w:t>1.3 合同文件的优先顺序</w:t>
      </w:r>
      <w:bookmarkEnd w:id="708"/>
    </w:p>
    <w:p w14:paraId="6178C4FC">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本合同文件的解释顺序为：</w:t>
      </w:r>
    </w:p>
    <w:p w14:paraId="21FFFBF9">
      <w:pPr>
        <w:pStyle w:val="69"/>
        <w:spacing w:line="360" w:lineRule="auto"/>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1.3.1.协议书；</w:t>
      </w:r>
    </w:p>
    <w:p w14:paraId="2BD586B1">
      <w:pPr>
        <w:pStyle w:val="69"/>
        <w:spacing w:line="360" w:lineRule="auto"/>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1.3.2. 招标文件或比选文件（包括但不限于本工程的招标或比选文件、图纸、其他技术资料及招标人发出的对招标或比选文件所作的澄清、修改、补遗等资料）（若有）；</w:t>
      </w:r>
    </w:p>
    <w:p w14:paraId="1902362E">
      <w:pPr>
        <w:pStyle w:val="69"/>
        <w:spacing w:line="360" w:lineRule="auto"/>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1.3.3.中标通知书或委托书（如果有）；</w:t>
      </w:r>
    </w:p>
    <w:p w14:paraId="58E027EE">
      <w:pPr>
        <w:pStyle w:val="69"/>
        <w:spacing w:line="360" w:lineRule="auto"/>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1.3.3.专用条件及附录；</w:t>
      </w:r>
    </w:p>
    <w:p w14:paraId="7BAE3ED5">
      <w:pPr>
        <w:pStyle w:val="69"/>
        <w:spacing w:line="360" w:lineRule="auto"/>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1.3.4.通用条件；</w:t>
      </w:r>
    </w:p>
    <w:p w14:paraId="2179A2F3">
      <w:pPr>
        <w:pStyle w:val="69"/>
        <w:spacing w:line="360" w:lineRule="auto"/>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1.3.6.投标函及投标函附录或造价咨询服务建议书（如果有）；</w:t>
      </w:r>
    </w:p>
    <w:p w14:paraId="423DDD1F">
      <w:pPr>
        <w:pStyle w:val="69"/>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1.3.7.其他合同文件。</w:t>
      </w:r>
    </w:p>
    <w:p w14:paraId="6E2F7566">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09" w:name="_Toc76398685"/>
      <w:r>
        <w:rPr>
          <w:rFonts w:hint="eastAsia" w:asciiTheme="minorEastAsia" w:hAnsiTheme="minorEastAsia"/>
          <w:color w:val="000000" w:themeColor="text1"/>
          <w:sz w:val="24"/>
          <w:szCs w:val="24"/>
          <w:highlight w:val="none"/>
          <w14:textFill>
            <w14:solidFill>
              <w14:schemeClr w14:val="tx1"/>
            </w14:solidFill>
          </w14:textFill>
        </w:rPr>
        <w:t>1.4 适用法律</w:t>
      </w:r>
      <w:bookmarkEnd w:id="709"/>
    </w:p>
    <w:p w14:paraId="27C3FBD6">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本合同适用的其他规范性文件包括:</w:t>
      </w:r>
      <w:r>
        <w:rPr>
          <w:rFonts w:hint="eastAsia" w:asciiTheme="minorEastAsia" w:hAnsiTheme="minorEastAsia"/>
          <w:color w:val="000000" w:themeColor="text1"/>
          <w:sz w:val="24"/>
          <w:szCs w:val="24"/>
          <w:highlight w:val="none"/>
          <w:u w:val="single"/>
          <w14:textFill>
            <w14:solidFill>
              <w14:schemeClr w14:val="tx1"/>
            </w14:solidFill>
          </w14:textFill>
        </w:rPr>
        <w:t xml:space="preserve">   重庆市现行的工程量清单计算规则、定额、规程、技术标准等规范性文件</w:t>
      </w:r>
      <w:r>
        <w:rPr>
          <w:rFonts w:hint="eastAsia" w:asciiTheme="minorEastAsia" w:hAnsiTheme="minorEastAsia"/>
          <w:color w:val="000000" w:themeColor="text1"/>
          <w:sz w:val="24"/>
          <w:szCs w:val="24"/>
          <w:highlight w:val="none"/>
          <w14:textFill>
            <w14:solidFill>
              <w14:schemeClr w14:val="tx1"/>
            </w14:solidFill>
          </w14:textFill>
        </w:rPr>
        <w:t>。</w:t>
      </w:r>
    </w:p>
    <w:p w14:paraId="32143CA6">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710" w:name="_Toc76398686"/>
      <w:r>
        <w:rPr>
          <w:rFonts w:hint="eastAsia" w:asciiTheme="minorEastAsia" w:hAnsiTheme="minorEastAsia"/>
          <w:color w:val="000000" w:themeColor="text1"/>
          <w:sz w:val="24"/>
          <w:szCs w:val="24"/>
          <w:highlight w:val="none"/>
          <w14:textFill>
            <w14:solidFill>
              <w14:schemeClr w14:val="tx1"/>
            </w14:solidFill>
          </w14:textFill>
        </w:rPr>
        <w:t>2.委托人的义务</w:t>
      </w:r>
      <w:bookmarkEnd w:id="710"/>
    </w:p>
    <w:p w14:paraId="06074EDC">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11" w:name="_Toc76398687"/>
      <w:r>
        <w:rPr>
          <w:rFonts w:hint="eastAsia" w:asciiTheme="minorEastAsia" w:hAnsiTheme="minorEastAsia"/>
          <w:color w:val="000000" w:themeColor="text1"/>
          <w:sz w:val="24"/>
          <w:szCs w:val="24"/>
          <w:highlight w:val="none"/>
          <w14:textFill>
            <w14:solidFill>
              <w14:schemeClr w14:val="tx1"/>
            </w14:solidFill>
          </w14:textFill>
        </w:rPr>
        <w:t>2.1 提供资料</w:t>
      </w:r>
      <w:bookmarkEnd w:id="711"/>
    </w:p>
    <w:p w14:paraId="7D54A2E0">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委托人按照附录 C 约定无偿向咨询人提供与本合同咨询业务有关资料的时间为：</w:t>
      </w:r>
      <w:r>
        <w:rPr>
          <w:rFonts w:hint="eastAsia" w:asciiTheme="minorEastAsia" w:hAnsiTheme="minorEastAsia"/>
          <w:color w:val="000000" w:themeColor="text1"/>
          <w:sz w:val="24"/>
          <w:szCs w:val="24"/>
          <w:highlight w:val="none"/>
          <w:u w:val="single"/>
          <w14:textFill>
            <w14:solidFill>
              <w14:schemeClr w14:val="tx1"/>
            </w14:solidFill>
          </w14:textFill>
        </w:rPr>
        <w:t>签订合同后7日内</w:t>
      </w:r>
      <w:r>
        <w:rPr>
          <w:rFonts w:hint="eastAsia" w:asciiTheme="minorEastAsia" w:hAnsiTheme="minorEastAsia"/>
          <w:color w:val="000000" w:themeColor="text1"/>
          <w:sz w:val="24"/>
          <w:szCs w:val="24"/>
          <w:highlight w:val="none"/>
          <w14:textFill>
            <w14:solidFill>
              <w14:schemeClr w14:val="tx1"/>
            </w14:solidFill>
          </w14:textFill>
        </w:rPr>
        <w:t>。</w:t>
      </w:r>
    </w:p>
    <w:p w14:paraId="504D999C">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12" w:name="_Toc76398688"/>
      <w:r>
        <w:rPr>
          <w:rFonts w:hint="eastAsia" w:asciiTheme="minorEastAsia" w:hAnsiTheme="minorEastAsia"/>
          <w:color w:val="000000" w:themeColor="text1"/>
          <w:sz w:val="24"/>
          <w:szCs w:val="24"/>
          <w:highlight w:val="none"/>
          <w14:textFill>
            <w14:solidFill>
              <w14:schemeClr w14:val="tx1"/>
            </w14:solidFill>
          </w14:textFill>
        </w:rPr>
        <w:t>2.2 提供工作条件</w:t>
      </w:r>
      <w:bookmarkEnd w:id="712"/>
    </w:p>
    <w:p w14:paraId="14CE0B1F">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2.2.1 本合同履行中，委托人不需要向项目咨询人员提供的房屋及设备。</w:t>
      </w:r>
    </w:p>
    <w:p w14:paraId="30193001">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13" w:name="_Toc76398689"/>
      <w:r>
        <w:rPr>
          <w:rFonts w:hint="eastAsia" w:asciiTheme="minorEastAsia" w:hAnsiTheme="minorEastAsia"/>
          <w:color w:val="000000" w:themeColor="text1"/>
          <w:sz w:val="24"/>
          <w:szCs w:val="24"/>
          <w:highlight w:val="none"/>
          <w14:textFill>
            <w14:solidFill>
              <w14:schemeClr w14:val="tx1"/>
            </w14:solidFill>
          </w14:textFill>
        </w:rPr>
        <w:t>2.4 委托人代表</w:t>
      </w:r>
      <w:bookmarkEnd w:id="713"/>
    </w:p>
    <w:p w14:paraId="69AADB1F">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项目管理代表为：</w:t>
      </w:r>
      <w:r>
        <w:rPr>
          <w:rFonts w:asciiTheme="minorEastAsia" w:hAnsiTheme="minorEastAsia"/>
          <w:color w:val="000000" w:themeColor="text1"/>
          <w:sz w:val="24"/>
          <w:szCs w:val="24"/>
          <w:highlight w:val="none"/>
          <w:u w:val="single"/>
          <w14:textFill>
            <w14:solidFill>
              <w14:schemeClr w14:val="tx1"/>
            </w14:solidFill>
          </w14:textFill>
        </w:rPr>
        <w:t>_   __</w:t>
      </w:r>
      <w:r>
        <w:rPr>
          <w:rFonts w:hint="eastAsia" w:asciiTheme="minorEastAsia" w:hAnsiTheme="minorEastAsia"/>
          <w:color w:val="000000" w:themeColor="text1"/>
          <w:sz w:val="24"/>
          <w:szCs w:val="24"/>
          <w:highlight w:val="none"/>
          <w14:textFill>
            <w14:solidFill>
              <w14:schemeClr w14:val="tx1"/>
            </w14:solidFill>
          </w14:textFill>
        </w:rPr>
        <w:t>，其权限范围：</w:t>
      </w:r>
      <w:r>
        <w:rPr>
          <w:rFonts w:asciiTheme="minorEastAsia" w:hAnsiTheme="minorEastAsia"/>
          <w:color w:val="000000" w:themeColor="text1"/>
          <w:sz w:val="24"/>
          <w:szCs w:val="24"/>
          <w:highlight w:val="none"/>
          <w:u w:val="single"/>
          <w14:textFill>
            <w14:solidFill>
              <w14:schemeClr w14:val="tx1"/>
            </w14:solidFill>
          </w14:textFill>
        </w:rPr>
        <w:t>_      __</w:t>
      </w:r>
      <w:r>
        <w:rPr>
          <w:rFonts w:hint="eastAsia" w:asciiTheme="minorEastAsia" w:hAnsiTheme="minorEastAsia"/>
          <w:color w:val="000000" w:themeColor="text1"/>
          <w:sz w:val="24"/>
          <w:szCs w:val="24"/>
          <w:highlight w:val="none"/>
          <w14:textFill>
            <w14:solidFill>
              <w14:schemeClr w14:val="tx1"/>
            </w14:solidFill>
          </w14:textFill>
        </w:rPr>
        <w:t>。</w:t>
      </w:r>
    </w:p>
    <w:p w14:paraId="522079B2">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成本控制代表：</w:t>
      </w:r>
      <w:r>
        <w:rPr>
          <w:rFonts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，其权限范围：</w:t>
      </w:r>
      <w:r>
        <w:rPr>
          <w:rFonts w:asciiTheme="minorEastAsia" w:hAnsiTheme="minorEastAsia"/>
          <w:color w:val="000000" w:themeColor="text1"/>
          <w:sz w:val="24"/>
          <w:szCs w:val="24"/>
          <w:highlight w:val="none"/>
          <w:u w:val="single"/>
          <w14:textFill>
            <w14:solidFill>
              <w14:schemeClr w14:val="tx1"/>
            </w14:solidFill>
          </w14:textFill>
        </w:rPr>
        <w:t>_      __</w:t>
      </w:r>
      <w:r>
        <w:rPr>
          <w:rFonts w:hint="eastAsia" w:asciiTheme="minorEastAsia" w:hAnsiTheme="minorEastAsia"/>
          <w:color w:val="000000" w:themeColor="text1"/>
          <w:sz w:val="24"/>
          <w:szCs w:val="24"/>
          <w:highlight w:val="none"/>
          <w14:textFill>
            <w14:solidFill>
              <w14:schemeClr w14:val="tx1"/>
            </w14:solidFill>
          </w14:textFill>
        </w:rPr>
        <w:t>。</w:t>
      </w:r>
    </w:p>
    <w:p w14:paraId="6FF1A883">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14" w:name="_Toc76398690"/>
      <w:r>
        <w:rPr>
          <w:rFonts w:hint="eastAsia" w:asciiTheme="minorEastAsia" w:hAnsiTheme="minorEastAsia"/>
          <w:color w:val="000000" w:themeColor="text1"/>
          <w:sz w:val="24"/>
          <w:szCs w:val="24"/>
          <w:highlight w:val="none"/>
          <w14:textFill>
            <w14:solidFill>
              <w14:schemeClr w14:val="tx1"/>
            </w14:solidFill>
          </w14:textFill>
        </w:rPr>
        <w:t>2.5 答复</w:t>
      </w:r>
      <w:bookmarkEnd w:id="714"/>
    </w:p>
    <w:p w14:paraId="05666A6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委托人同意在</w:t>
      </w:r>
      <w:r>
        <w:rPr>
          <w:rFonts w:hint="eastAsia" w:asciiTheme="minorEastAsia" w:hAnsiTheme="minorEastAsia"/>
          <w:color w:val="000000" w:themeColor="text1"/>
          <w:sz w:val="24"/>
          <w:szCs w:val="24"/>
          <w:highlight w:val="none"/>
          <w:u w:val="single"/>
          <w14:textFill>
            <w14:solidFill>
              <w14:schemeClr w14:val="tx1"/>
            </w14:solidFill>
          </w14:textFill>
        </w:rPr>
        <w:t xml:space="preserve"> 7 </w:t>
      </w:r>
      <w:r>
        <w:rPr>
          <w:rFonts w:hint="eastAsia" w:asciiTheme="minorEastAsia" w:hAnsiTheme="minorEastAsia"/>
          <w:color w:val="000000" w:themeColor="text1"/>
          <w:sz w:val="24"/>
          <w:szCs w:val="24"/>
          <w:highlight w:val="none"/>
          <w14:textFill>
            <w14:solidFill>
              <w14:schemeClr w14:val="tx1"/>
            </w14:solidFill>
          </w14:textFill>
        </w:rPr>
        <w:t>日内，对咨询人书面提交并要求做出决定的事宜给予书面答复。</w:t>
      </w:r>
    </w:p>
    <w:p w14:paraId="16A2F34C">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715" w:name="_Toc76398691"/>
      <w:r>
        <w:rPr>
          <w:rFonts w:hint="eastAsia" w:asciiTheme="minorEastAsia" w:hAnsiTheme="minorEastAsia"/>
          <w:color w:val="000000" w:themeColor="text1"/>
          <w:sz w:val="24"/>
          <w:szCs w:val="24"/>
          <w:highlight w:val="none"/>
          <w14:textFill>
            <w14:solidFill>
              <w14:schemeClr w14:val="tx1"/>
            </w14:solidFill>
          </w14:textFill>
        </w:rPr>
        <w:t>3.咨询人的义务</w:t>
      </w:r>
      <w:bookmarkEnd w:id="715"/>
    </w:p>
    <w:p w14:paraId="2CEE0119">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16" w:name="_Toc76398692"/>
      <w:r>
        <w:rPr>
          <w:rFonts w:hint="eastAsia" w:asciiTheme="minorEastAsia" w:hAnsiTheme="minorEastAsia"/>
          <w:color w:val="000000" w:themeColor="text1"/>
          <w:sz w:val="24"/>
          <w:szCs w:val="24"/>
          <w:highlight w:val="none"/>
          <w14:textFill>
            <w14:solidFill>
              <w14:schemeClr w14:val="tx1"/>
            </w14:solidFill>
          </w14:textFill>
        </w:rPr>
        <w:t>3.1 项目咨询团队及人员</w:t>
      </w:r>
      <w:bookmarkEnd w:id="716"/>
    </w:p>
    <w:p w14:paraId="493EC642">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3.1.1 项目咨询团队的主要人员应具有资格条件，团队人员的数量为</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人，具体见附录A。</w:t>
      </w:r>
    </w:p>
    <w:p w14:paraId="2CD40FD4">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3.1.2 项目负责人为：</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；电话：</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w:t>
      </w:r>
    </w:p>
    <w:p w14:paraId="3EA44AB4">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3.1.3 咨询人更换项目咨询团队其他咨询人员的约定：</w:t>
      </w:r>
      <w:r>
        <w:rPr>
          <w:rFonts w:hint="eastAsia" w:asciiTheme="minorEastAsia" w:hAnsiTheme="minorEastAsia"/>
          <w:color w:val="000000" w:themeColor="text1"/>
          <w:sz w:val="24"/>
          <w:szCs w:val="24"/>
          <w:highlight w:val="none"/>
          <w:u w:val="single"/>
          <w14:textFill>
            <w14:solidFill>
              <w14:schemeClr w14:val="tx1"/>
            </w14:solidFill>
          </w14:textFill>
        </w:rPr>
        <w:t xml:space="preserve">  未经委托人同意，咨询人不得擅自更换人员，否则，视为咨询人违约 </w:t>
      </w:r>
      <w:r>
        <w:rPr>
          <w:rFonts w:hint="eastAsia" w:asciiTheme="minorEastAsia" w:hAnsiTheme="minorEastAsia"/>
          <w:color w:val="000000" w:themeColor="text1"/>
          <w:sz w:val="24"/>
          <w:szCs w:val="24"/>
          <w:highlight w:val="none"/>
          <w14:textFill>
            <w14:solidFill>
              <w14:schemeClr w14:val="tx1"/>
            </w14:solidFill>
          </w14:textFill>
        </w:rPr>
        <w:t>。</w:t>
      </w:r>
    </w:p>
    <w:p w14:paraId="1095D64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3.1.4 委托人要求更换咨询人员的情形还包括：</w:t>
      </w:r>
      <w:r>
        <w:rPr>
          <w:rFonts w:hint="eastAsia" w:asciiTheme="minorEastAsia" w:hAnsiTheme="minorEastAsia"/>
          <w:color w:val="000000" w:themeColor="text1"/>
          <w:sz w:val="24"/>
          <w:szCs w:val="24"/>
          <w:highlight w:val="none"/>
          <w:u w:val="single"/>
          <w14:textFill>
            <w14:solidFill>
              <w14:schemeClr w14:val="tx1"/>
            </w14:solidFill>
          </w14:textFill>
        </w:rPr>
        <w:t xml:space="preserve">  委托人要求更换时，咨询人应当无条件更换，否则，视为咨询人违约 </w:t>
      </w:r>
      <w:r>
        <w:rPr>
          <w:rFonts w:hint="eastAsia" w:asciiTheme="minorEastAsia" w:hAnsiTheme="minorEastAsia"/>
          <w:color w:val="000000" w:themeColor="text1"/>
          <w:sz w:val="24"/>
          <w:szCs w:val="24"/>
          <w:highlight w:val="none"/>
          <w14:textFill>
            <w14:solidFill>
              <w14:schemeClr w14:val="tx1"/>
            </w14:solidFill>
          </w14:textFill>
        </w:rPr>
        <w:t>。</w:t>
      </w:r>
    </w:p>
    <w:p w14:paraId="64C4178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施工阶段工程造价全过程控制补充3.1.5条</w:t>
      </w:r>
    </w:p>
    <w:p w14:paraId="70B858B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委派的本工程项目负责人，代表咨询人执行本工程全过程跟踪审计管理工作；咨询人投标时所报人员（项目负责人除外）均须按委托人要求配置及驻场办公并接受委托人考勤，未经委托人同意不得减少和更换人员，否则委托人将按合同相关条款进行处理。</w:t>
      </w:r>
    </w:p>
    <w:p w14:paraId="273DB503">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本合同中约定的拟派人员无法满足现场管理的实际需要，特别是在抢工期间时段，咨询人必须按委托人要求无条件增加驻场人员，且不调整合同价。</w:t>
      </w:r>
    </w:p>
    <w:p w14:paraId="2F14B87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咨询人擅自更换人员，视为咨询人违约，委托人有权解除本合同，且咨询人按照本合同约定总服务费用的30%向委托人承担违约金。</w:t>
      </w:r>
    </w:p>
    <w:p w14:paraId="3846B41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咨询人未按照本协议约定更换人员，视为咨询人违约，委托人有权解除本合同，且咨询人按照本合同约定总服务费用的30%向委托人承担违约金。</w:t>
      </w:r>
    </w:p>
    <w:p w14:paraId="07AF168F">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17" w:name="_Toc76398693"/>
      <w:r>
        <w:rPr>
          <w:rFonts w:hint="eastAsia" w:asciiTheme="minorEastAsia" w:hAnsiTheme="minorEastAsia"/>
          <w:color w:val="000000" w:themeColor="text1"/>
          <w:sz w:val="24"/>
          <w:szCs w:val="24"/>
          <w:highlight w:val="none"/>
          <w14:textFill>
            <w14:solidFill>
              <w14:schemeClr w14:val="tx1"/>
            </w14:solidFill>
          </w14:textFill>
        </w:rPr>
        <w:t>3.2 咨询人的工作要求</w:t>
      </w:r>
      <w:bookmarkEnd w:id="717"/>
    </w:p>
    <w:p w14:paraId="36DCF165">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3.2.1 咨询人向委托人提供有关资料的时间：</w:t>
      </w:r>
    </w:p>
    <w:p w14:paraId="5217AD12">
      <w:pPr>
        <w:spacing w:line="360" w:lineRule="auto"/>
        <w:ind w:firstLine="480" w:firstLineChars="200"/>
        <w:outlineLvl w:val="0"/>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A:工程量清单</w:t>
      </w:r>
      <w:r>
        <w:rPr>
          <w:rFonts w:hint="eastAsia" w:asciiTheme="minorEastAsia" w:hAnsiTheme="minorEastAsia"/>
          <w:color w:val="000000" w:themeColor="text1"/>
          <w:sz w:val="24"/>
          <w:szCs w:val="24"/>
          <w:highlight w:val="none"/>
          <w14:textFill>
            <w14:solidFill>
              <w14:schemeClr w14:val="tx1"/>
            </w14:solidFill>
          </w14:textFill>
        </w:rPr>
        <w:t>及组价编制（审核）或招标控制价编制（审核）：</w:t>
      </w:r>
      <w:r>
        <w:rPr>
          <w:rFonts w:asciiTheme="minorEastAsia" w:hAnsiTheme="minorEastAsia"/>
          <w:color w:val="000000" w:themeColor="text1"/>
          <w:sz w:val="24"/>
          <w:szCs w:val="24"/>
          <w:highlight w:val="none"/>
          <w14:textFill>
            <w14:solidFill>
              <w14:schemeClr w14:val="tx1"/>
            </w14:solidFill>
          </w14:textFill>
        </w:rPr>
        <w:t xml:space="preserve">    年   月  日前提交</w:t>
      </w:r>
      <w:r>
        <w:rPr>
          <w:rFonts w:hint="eastAsia" w:asciiTheme="minorEastAsia" w:hAnsiTheme="minorEastAsia"/>
          <w:color w:val="000000" w:themeColor="text1"/>
          <w:sz w:val="24"/>
          <w:szCs w:val="24"/>
          <w:highlight w:val="none"/>
          <w14:textFill>
            <w14:solidFill>
              <w14:schemeClr w14:val="tx1"/>
            </w14:solidFill>
          </w14:textFill>
        </w:rPr>
        <w:t>编制成果资料；</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年</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月</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日前完成工程量清单及组价核对并提交最终报告。</w:t>
      </w:r>
    </w:p>
    <w:p w14:paraId="40909FCD">
      <w:pPr>
        <w:pStyle w:val="4"/>
        <w:ind w:firstLine="480"/>
        <w:jc w:val="left"/>
        <w:rPr>
          <w:color w:val="000000" w:themeColor="text1"/>
          <w:highlight w:val="none"/>
          <w14:textFill>
            <w14:solidFill>
              <w14:schemeClr w14:val="tx1"/>
            </w14:solidFill>
          </w14:textFill>
        </w:rPr>
      </w:pPr>
      <w:r>
        <w:rPr>
          <w:rFonts w:hint="eastAsia" w:asciiTheme="minorEastAsia" w:hAnsiTheme="minorEastAsia"/>
          <w:b w:val="0"/>
          <w:bCs w:val="0"/>
          <w:color w:val="000000" w:themeColor="text1"/>
          <w:sz w:val="24"/>
          <w:szCs w:val="24"/>
          <w:highlight w:val="none"/>
          <w14:textFill>
            <w14:solidFill>
              <w14:schemeClr w14:val="tx1"/>
            </w14:solidFill>
          </w14:textFill>
        </w:rPr>
        <w:t>B：施工阶段工程造价全过程控制：</w:t>
      </w:r>
      <w:r>
        <w:rPr>
          <w:color w:val="000000" w:themeColor="text1"/>
          <w:highlight w:val="none"/>
          <w14:textFill>
            <w14:solidFill>
              <w14:schemeClr w14:val="tx1"/>
            </w14:solidFill>
          </w14:textFill>
        </w:rPr>
        <w:t xml:space="preserve"> </w:t>
      </w:r>
    </w:p>
    <w:p w14:paraId="2635D511">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及时完成工程造价过程控制并提交成果资料不影响工程进度，按照施工合同条款，在约定的时间内完成工程进度报表审核。按照施工合同条款，在约定的时间内提交相关报告及结算审核报告。</w:t>
      </w:r>
    </w:p>
    <w:p w14:paraId="1823724A">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应在签订本协议后的3日内向委托人提供与工程造价咨询业务有关的资料，包括但不限于工程造价咨询的资质证书及承担本合同业务的专业人员名单、咨询工作计划等，并按合同专用条件中约定的范围实施咨询业务。</w:t>
      </w:r>
    </w:p>
    <w:p w14:paraId="6D1C97A1">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逾期提供前述书面资料，每逾期一日向委托人承担违约金</w:t>
      </w:r>
      <w:r>
        <w:rPr>
          <w:rFonts w:asciiTheme="minorEastAsia" w:hAnsiTheme="minorEastAsia"/>
          <w:color w:val="000000" w:themeColor="text1"/>
          <w:sz w:val="24"/>
          <w:szCs w:val="24"/>
          <w:highlight w:val="none"/>
          <w:u w:val="single"/>
          <w14:textFill>
            <w14:solidFill>
              <w14:schemeClr w14:val="tx1"/>
            </w14:solidFill>
          </w14:textFill>
        </w:rPr>
        <w:t xml:space="preserve"> 1000-10000 </w:t>
      </w:r>
      <w:r>
        <w:rPr>
          <w:rFonts w:hint="eastAsia" w:asciiTheme="minorEastAsia" w:hAnsiTheme="minorEastAsia"/>
          <w:color w:val="000000" w:themeColor="text1"/>
          <w:sz w:val="24"/>
          <w:szCs w:val="24"/>
          <w:highlight w:val="none"/>
          <w14:textFill>
            <w14:solidFill>
              <w14:schemeClr w14:val="tx1"/>
            </w14:solidFill>
          </w14:textFill>
        </w:rPr>
        <w:t>元，逾期</w:t>
      </w:r>
      <w:r>
        <w:rPr>
          <w:rFonts w:asciiTheme="minorEastAsia" w:hAnsiTheme="minorEastAsia"/>
          <w:color w:val="000000" w:themeColor="text1"/>
          <w:sz w:val="24"/>
          <w:szCs w:val="24"/>
          <w:highlight w:val="none"/>
          <w14:textFill>
            <w14:solidFill>
              <w14:schemeClr w14:val="tx1"/>
            </w14:solidFill>
          </w14:textFill>
        </w:rPr>
        <w:t>10</w:t>
      </w:r>
      <w:r>
        <w:rPr>
          <w:rFonts w:hint="eastAsia" w:asciiTheme="minorEastAsia" w:hAnsiTheme="minorEastAsia"/>
          <w:color w:val="000000" w:themeColor="text1"/>
          <w:sz w:val="24"/>
          <w:szCs w:val="24"/>
          <w:highlight w:val="none"/>
          <w14:textFill>
            <w14:solidFill>
              <w14:schemeClr w14:val="tx1"/>
            </w14:solidFill>
          </w14:textFill>
        </w:rPr>
        <w:t>日未提交，委托人有权解除本合同，咨询人按照本合同约定金额的30%委托人承担违约金，同时，咨询人承担给委托人造成的一切损失。</w:t>
      </w:r>
    </w:p>
    <w:p w14:paraId="5D9C32E0">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咨询人向委托人提供的资料还包括：</w:t>
      </w:r>
      <w:r>
        <w:rPr>
          <w:rFonts w:hint="eastAsia" w:asciiTheme="minorEastAsia" w:hAnsiTheme="minorEastAsia"/>
          <w:color w:val="000000" w:themeColor="text1"/>
          <w:sz w:val="24"/>
          <w:szCs w:val="24"/>
          <w:highlight w:val="none"/>
          <w:u w:val="single"/>
          <w14:textFill>
            <w14:solidFill>
              <w14:schemeClr w14:val="tx1"/>
            </w14:solidFill>
          </w14:textFill>
        </w:rPr>
        <w:t>详见</w:t>
      </w:r>
      <w:r>
        <w:rPr>
          <w:rFonts w:asciiTheme="minorEastAsia" w:hAnsiTheme="minorEastAsia"/>
          <w:color w:val="000000" w:themeColor="text1"/>
          <w:sz w:val="24"/>
          <w:szCs w:val="24"/>
          <w:highlight w:val="none"/>
          <w:u w:val="single"/>
          <w14:textFill>
            <w14:solidFill>
              <w14:schemeClr w14:val="tx1"/>
            </w14:solidFill>
          </w14:textFill>
        </w:rPr>
        <w:t>附</w:t>
      </w:r>
      <w:r>
        <w:rPr>
          <w:rFonts w:hint="eastAsia" w:asciiTheme="minorEastAsia" w:hAnsiTheme="minorEastAsia"/>
          <w:color w:val="000000" w:themeColor="text1"/>
          <w:sz w:val="24"/>
          <w:szCs w:val="24"/>
          <w:highlight w:val="none"/>
          <w:u w:val="single"/>
          <w14:textFill>
            <w14:solidFill>
              <w14:schemeClr w14:val="tx1"/>
            </w14:solidFill>
          </w14:textFill>
        </w:rPr>
        <w:t>录B</w:t>
      </w:r>
      <w:r>
        <w:rPr>
          <w:rFonts w:asciiTheme="minorEastAsia" w:hAnsiTheme="minorEastAsia"/>
          <w:color w:val="000000" w:themeColor="text1"/>
          <w:sz w:val="24"/>
          <w:szCs w:val="24"/>
          <w:highlight w:val="none"/>
          <w:u w:val="single"/>
          <w14:textFill>
            <w14:solidFill>
              <w14:schemeClr w14:val="tx1"/>
            </w14:solidFill>
          </w14:textFill>
        </w:rPr>
        <w:t>。</w:t>
      </w:r>
    </w:p>
    <w:p w14:paraId="411EA22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3.2.2 咨询人向委托人提供咨询成果文件的名称、组成、时间、份数及质量标准：</w:t>
      </w:r>
      <w:r>
        <w:rPr>
          <w:rFonts w:hint="eastAsia" w:asciiTheme="minorEastAsia" w:hAnsiTheme="minorEastAsia"/>
          <w:color w:val="000000" w:themeColor="text1"/>
          <w:sz w:val="24"/>
          <w:szCs w:val="24"/>
          <w:highlight w:val="none"/>
          <w:u w:val="single"/>
          <w14:textFill>
            <w14:solidFill>
              <w14:schemeClr w14:val="tx1"/>
            </w14:solidFill>
          </w14:textFill>
        </w:rPr>
        <w:t>相关报告纸质档和电子档各一式贰份，具体见附录B。</w:t>
      </w:r>
      <w:r>
        <w:rPr>
          <w:rFonts w:hint="eastAsia" w:ascii="宋体" w:hAnsi="宋体"/>
          <w:color w:val="000000" w:themeColor="text1"/>
          <w:sz w:val="24"/>
          <w:szCs w:val="24"/>
          <w:highlight w:val="none"/>
          <w:u w:val="single"/>
          <w14:textFill>
            <w14:solidFill>
              <w14:schemeClr w14:val="tx1"/>
            </w14:solidFill>
          </w14:textFill>
        </w:rPr>
        <w:t>若委托人要求额外提供时，咨询人免费提供</w:t>
      </w:r>
      <w:r>
        <w:rPr>
          <w:rFonts w:hint="eastAsia" w:asciiTheme="minorEastAsia" w:hAnsiTheme="minorEastAsia"/>
          <w:color w:val="000000" w:themeColor="text1"/>
          <w:sz w:val="24"/>
          <w:szCs w:val="24"/>
          <w:highlight w:val="none"/>
          <w14:textFill>
            <w14:solidFill>
              <w14:schemeClr w14:val="tx1"/>
            </w14:solidFill>
          </w14:textFill>
        </w:rPr>
        <w:t>。</w:t>
      </w:r>
    </w:p>
    <w:p w14:paraId="01CADA76">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3.2.4 咨询人应在收到委托人提出的建议或者异议后</w:t>
      </w:r>
      <w:r>
        <w:rPr>
          <w:rFonts w:hint="eastAsia" w:asciiTheme="minorEastAsia" w:hAnsiTheme="minorEastAsia"/>
          <w:color w:val="000000" w:themeColor="text1"/>
          <w:sz w:val="24"/>
          <w:szCs w:val="24"/>
          <w:highlight w:val="none"/>
          <w:u w:val="single"/>
          <w14:textFill>
            <w14:solidFill>
              <w14:schemeClr w14:val="tx1"/>
            </w14:solidFill>
          </w14:textFill>
        </w:rPr>
        <w:t xml:space="preserve">  3  </w:t>
      </w:r>
      <w:r>
        <w:rPr>
          <w:rFonts w:hint="eastAsia" w:asciiTheme="minorEastAsia" w:hAnsiTheme="minorEastAsia"/>
          <w:color w:val="000000" w:themeColor="text1"/>
          <w:sz w:val="24"/>
          <w:szCs w:val="24"/>
          <w:highlight w:val="none"/>
          <w14:textFill>
            <w14:solidFill>
              <w14:schemeClr w14:val="tx1"/>
            </w14:solidFill>
          </w14:textFill>
        </w:rPr>
        <w:t>日内给予书面答复和（或）修改。</w:t>
      </w:r>
    </w:p>
    <w:p w14:paraId="127BFA8A">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18" w:name="_Toc76398694"/>
      <w:r>
        <w:rPr>
          <w:rFonts w:hint="eastAsia" w:asciiTheme="minorEastAsia" w:hAnsiTheme="minorEastAsia"/>
          <w:color w:val="000000" w:themeColor="text1"/>
          <w:sz w:val="24"/>
          <w:szCs w:val="24"/>
          <w:highlight w:val="none"/>
          <w14:textFill>
            <w14:solidFill>
              <w14:schemeClr w14:val="tx1"/>
            </w14:solidFill>
          </w14:textFill>
        </w:rPr>
        <w:t>3.3 咨询人的工作依据</w:t>
      </w:r>
      <w:bookmarkEnd w:id="718"/>
    </w:p>
    <w:p w14:paraId="73D4F81B">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经双方协商，本合同约定的造价咨询服务适用的技术标准、规范、定额等工作依据为：</w:t>
      </w:r>
      <w:r>
        <w:rPr>
          <w:rFonts w:hint="eastAsia" w:asciiTheme="minorEastAsia" w:hAnsiTheme="minorEastAsia"/>
          <w:color w:val="000000" w:themeColor="text1"/>
          <w:sz w:val="24"/>
          <w:szCs w:val="24"/>
          <w:highlight w:val="none"/>
          <w:u w:val="single"/>
          <w14:textFill>
            <w14:solidFill>
              <w14:schemeClr w14:val="tx1"/>
            </w14:solidFill>
          </w14:textFill>
        </w:rPr>
        <w:t>《建设工程工程量清单计价规范》（GB50500-2013）、现行重庆市工程量计算规则、计价定额及相关配套定额、施工合同文件、造价信息、市场询价信息等</w:t>
      </w:r>
      <w:r>
        <w:rPr>
          <w:rFonts w:hint="eastAsia" w:asciiTheme="minorEastAsia" w:hAnsiTheme="minorEastAsia"/>
          <w:color w:val="000000" w:themeColor="text1"/>
          <w:sz w:val="24"/>
          <w:szCs w:val="24"/>
          <w:highlight w:val="none"/>
          <w14:textFill>
            <w14:solidFill>
              <w14:schemeClr w14:val="tx1"/>
            </w14:solidFill>
          </w14:textFill>
        </w:rPr>
        <w:t>。</w:t>
      </w:r>
    </w:p>
    <w:p w14:paraId="19AFBA9C">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19" w:name="_Toc76398695"/>
      <w:r>
        <w:rPr>
          <w:rFonts w:hint="eastAsia" w:asciiTheme="minorEastAsia" w:hAnsiTheme="minorEastAsia"/>
          <w:color w:val="000000" w:themeColor="text1"/>
          <w:sz w:val="24"/>
          <w:szCs w:val="24"/>
          <w:highlight w:val="none"/>
          <w14:textFill>
            <w14:solidFill>
              <w14:schemeClr w14:val="tx1"/>
            </w14:solidFill>
          </w14:textFill>
        </w:rPr>
        <w:t>3.4 使用委托人房屋及设备的返还</w:t>
      </w:r>
      <w:bookmarkEnd w:id="719"/>
      <w:r>
        <w:rPr>
          <w:rFonts w:hint="eastAsia" w:asciiTheme="minorEastAsia" w:hAnsiTheme="minorEastAsia"/>
          <w:color w:val="000000" w:themeColor="text1"/>
          <w:sz w:val="24"/>
          <w:szCs w:val="24"/>
          <w:highlight w:val="none"/>
          <w14:textFill>
            <w14:solidFill>
              <w14:schemeClr w14:val="tx1"/>
            </w14:solidFill>
          </w14:textFill>
        </w:rPr>
        <w:t>。</w:t>
      </w:r>
    </w:p>
    <w:p w14:paraId="4A01BAC5">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委托人不提供房屋及设备，因进度需要或咨询人不能满足进度要求时，在委托人指定地点办公，结束后</w:t>
      </w:r>
      <w:r>
        <w:rPr>
          <w:rFonts w:asciiTheme="minorEastAsia" w:hAnsiTheme="minorEastAsia"/>
          <w:color w:val="000000" w:themeColor="text1"/>
          <w:sz w:val="24"/>
          <w:szCs w:val="24"/>
          <w:highlight w:val="none"/>
          <w14:textFill>
            <w14:solidFill>
              <w14:schemeClr w14:val="tx1"/>
            </w14:solidFill>
          </w14:textFill>
        </w:rPr>
        <w:t>3日内</w:t>
      </w:r>
      <w:r>
        <w:rPr>
          <w:rFonts w:hint="eastAsia" w:asciiTheme="minorEastAsia" w:hAnsiTheme="minorEastAsia"/>
          <w:color w:val="000000" w:themeColor="text1"/>
          <w:sz w:val="24"/>
          <w:szCs w:val="24"/>
          <w:highlight w:val="none"/>
          <w14:textFill>
            <w14:solidFill>
              <w14:schemeClr w14:val="tx1"/>
            </w14:solidFill>
          </w14:textFill>
        </w:rPr>
        <w:t>返还，逾期返还，委托人有权强制返还，场地内留有咨询人的物品视为遗弃物，委托人有权任意处置。</w:t>
      </w:r>
    </w:p>
    <w:p w14:paraId="07AB195F">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720" w:name="_Toc76398696"/>
      <w:r>
        <w:rPr>
          <w:rFonts w:hint="eastAsia" w:asciiTheme="minorEastAsia" w:hAnsiTheme="minorEastAsia"/>
          <w:color w:val="000000" w:themeColor="text1"/>
          <w:sz w:val="24"/>
          <w:szCs w:val="24"/>
          <w:highlight w:val="none"/>
          <w14:textFill>
            <w14:solidFill>
              <w14:schemeClr w14:val="tx1"/>
            </w14:solidFill>
          </w14:textFill>
        </w:rPr>
        <w:t>4. 违约责任</w:t>
      </w:r>
      <w:bookmarkEnd w:id="720"/>
    </w:p>
    <w:p w14:paraId="744301D6">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21" w:name="_Toc76398697"/>
      <w:r>
        <w:rPr>
          <w:rFonts w:hint="eastAsia" w:asciiTheme="minorEastAsia" w:hAnsiTheme="minorEastAsia"/>
          <w:color w:val="000000" w:themeColor="text1"/>
          <w:sz w:val="24"/>
          <w:szCs w:val="24"/>
          <w:highlight w:val="none"/>
          <w14:textFill>
            <w14:solidFill>
              <w14:schemeClr w14:val="tx1"/>
            </w14:solidFill>
          </w14:textFill>
        </w:rPr>
        <w:t>4.1 委托人的违约责任</w:t>
      </w:r>
      <w:bookmarkEnd w:id="721"/>
    </w:p>
    <w:p w14:paraId="3B8ED9A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4.1.1 委托人违约金的计算及支付方法：</w:t>
      </w:r>
      <w:r>
        <w:rPr>
          <w:rFonts w:hint="eastAsia" w:asciiTheme="minorEastAsia" w:hAnsiTheme="minorEastAsia"/>
          <w:color w:val="000000" w:themeColor="text1"/>
          <w:sz w:val="24"/>
          <w:szCs w:val="24"/>
          <w:highlight w:val="none"/>
          <w:u w:val="single"/>
          <w14:textFill>
            <w14:solidFill>
              <w14:schemeClr w14:val="tx1"/>
            </w14:solidFill>
          </w14:textFill>
        </w:rPr>
        <w:t xml:space="preserve"> 无 </w:t>
      </w:r>
      <w:r>
        <w:rPr>
          <w:rFonts w:hint="eastAsia" w:asciiTheme="minorEastAsia" w:hAnsiTheme="minorEastAsia"/>
          <w:color w:val="000000" w:themeColor="text1"/>
          <w:sz w:val="24"/>
          <w:szCs w:val="24"/>
          <w:highlight w:val="none"/>
          <w14:textFill>
            <w14:solidFill>
              <w14:schemeClr w14:val="tx1"/>
            </w14:solidFill>
          </w14:textFill>
        </w:rPr>
        <w:t>。</w:t>
      </w:r>
    </w:p>
    <w:p w14:paraId="1D5DF4C4">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4.1.2 委托人赔偿金额按下列方法确定并支付：</w:t>
      </w:r>
      <w:r>
        <w:rPr>
          <w:rFonts w:hint="eastAsia" w:asciiTheme="minorEastAsia" w:hAnsiTheme="minorEastAsia"/>
          <w:color w:val="000000" w:themeColor="text1"/>
          <w:sz w:val="24"/>
          <w:szCs w:val="24"/>
          <w:highlight w:val="none"/>
          <w:u w:val="single"/>
          <w14:textFill>
            <w14:solidFill>
              <w14:schemeClr w14:val="tx1"/>
            </w14:solidFill>
          </w14:textFill>
        </w:rPr>
        <w:t xml:space="preserve"> 无 </w:t>
      </w:r>
      <w:r>
        <w:rPr>
          <w:rFonts w:hint="eastAsia" w:asciiTheme="minorEastAsia" w:hAnsiTheme="minorEastAsia"/>
          <w:color w:val="000000" w:themeColor="text1"/>
          <w:sz w:val="24"/>
          <w:szCs w:val="24"/>
          <w:highlight w:val="none"/>
          <w14:textFill>
            <w14:solidFill>
              <w14:schemeClr w14:val="tx1"/>
            </w14:solidFill>
          </w14:textFill>
        </w:rPr>
        <w:t>。</w:t>
      </w:r>
    </w:p>
    <w:p w14:paraId="614E4F1E">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4.1.3 委托人逾期付款利息按下列方法计算并支付：</w:t>
      </w:r>
      <w:r>
        <w:rPr>
          <w:rFonts w:hint="eastAsia" w:asciiTheme="minorEastAsia" w:hAnsiTheme="minorEastAsia"/>
          <w:color w:val="000000" w:themeColor="text1"/>
          <w:sz w:val="24"/>
          <w:szCs w:val="24"/>
          <w:highlight w:val="none"/>
          <w:u w:val="single"/>
          <w14:textFill>
            <w14:solidFill>
              <w14:schemeClr w14:val="tx1"/>
            </w14:solidFill>
          </w14:textFill>
        </w:rPr>
        <w:t xml:space="preserve">  逾期付款利息=当期应付款总额×中国人民银行公布的同期活期存款利率/365×逾期支付天数（自逾期之日起计算）</w:t>
      </w:r>
      <w:r>
        <w:rPr>
          <w:rFonts w:hint="eastAsia" w:asciiTheme="minorEastAsia" w:hAnsiTheme="minorEastAsia"/>
          <w:color w:val="000000" w:themeColor="text1"/>
          <w:sz w:val="24"/>
          <w:szCs w:val="24"/>
          <w:highlight w:val="none"/>
          <w14:textFill>
            <w14:solidFill>
              <w14:schemeClr w14:val="tx1"/>
            </w14:solidFill>
          </w14:textFill>
        </w:rPr>
        <w:t>。</w:t>
      </w:r>
    </w:p>
    <w:p w14:paraId="0770A226">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22" w:name="_Toc76398698"/>
      <w:r>
        <w:rPr>
          <w:rFonts w:hint="eastAsia" w:asciiTheme="minorEastAsia" w:hAnsiTheme="minorEastAsia"/>
          <w:color w:val="000000" w:themeColor="text1"/>
          <w:sz w:val="24"/>
          <w:szCs w:val="24"/>
          <w:highlight w:val="none"/>
          <w14:textFill>
            <w14:solidFill>
              <w14:schemeClr w14:val="tx1"/>
            </w14:solidFill>
          </w14:textFill>
        </w:rPr>
        <w:t>4.2 咨询人的违约责任</w:t>
      </w:r>
      <w:bookmarkEnd w:id="722"/>
    </w:p>
    <w:p w14:paraId="79E3DA4F">
      <w:pPr>
        <w:spacing w:line="360" w:lineRule="auto"/>
        <w:ind w:firstLine="480" w:firstLineChars="200"/>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4.2.1 咨询人违约金的计算及支付方法</w:t>
      </w:r>
      <w:r>
        <w:rPr>
          <w:rFonts w:hint="eastAsia" w:asciiTheme="minorEastAsia" w:hAnsiTheme="minorEastAsia"/>
          <w:color w:val="000000" w:themeColor="text1"/>
          <w:sz w:val="24"/>
          <w:szCs w:val="24"/>
          <w:highlight w:val="none"/>
          <w:u w:val="single"/>
          <w14:textFill>
            <w14:solidFill>
              <w14:schemeClr w14:val="tx1"/>
            </w14:solidFill>
          </w14:textFill>
        </w:rPr>
        <w:t>：除本合同其他条款约定外，若咨询人违约，咨询人按酬金的30%向委托人承担违约金。未履行协议书规定的服务范围及工作内容，咨询人按（酬金的30%）/每项向委托人承担违约金。</w:t>
      </w:r>
    </w:p>
    <w:p w14:paraId="70A09478">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4.2.2 咨询人成果误差赔偿金额按下列方法确定并支付：</w:t>
      </w:r>
    </w:p>
    <w:p w14:paraId="7B56C15E">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①</w:t>
      </w:r>
      <w:r>
        <w:rPr>
          <w:rFonts w:hint="eastAsia" w:asciiTheme="minorEastAsia" w:hAnsiTheme="minorEastAsia"/>
          <w:color w:val="000000" w:themeColor="text1"/>
          <w:sz w:val="24"/>
          <w:szCs w:val="24"/>
          <w:highlight w:val="none"/>
          <w:u w:val="single"/>
          <w14:textFill>
            <w14:solidFill>
              <w14:schemeClr w14:val="tx1"/>
            </w14:solidFill>
          </w14:textFill>
        </w:rPr>
        <w:t>材料、设备等的市场询价充分、定价或核价合理、符合市场行情、证明资料齐全、定价或核价超过国家审计或委托人抽查了解的同规格、同档次材料或设备市场价格的 5 % 的误差,视情节轻重每发生一次处 2000元的违约金。</w:t>
      </w:r>
    </w:p>
    <w:p w14:paraId="3C680B13">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②</w:t>
      </w:r>
      <w:r>
        <w:rPr>
          <w:rFonts w:hint="eastAsia" w:asciiTheme="minorEastAsia" w:hAnsiTheme="minorEastAsia"/>
          <w:color w:val="000000" w:themeColor="text1"/>
          <w:sz w:val="24"/>
          <w:szCs w:val="24"/>
          <w:highlight w:val="none"/>
          <w:u w:val="single"/>
          <w14:textFill>
            <w14:solidFill>
              <w14:schemeClr w14:val="tx1"/>
            </w14:solidFill>
          </w14:textFill>
        </w:rPr>
        <w:t>咨询人成果文件误差率在5%（不含5%）-10%（含10%），咨询人向委托人付咨询酬金的20%作为赔偿。咨询人成果文件误差率在10%（不含10%）-20%（含20%），咨询人向委托人付咨询酬金的40%作为赔偿。咨询人成果文件误差率超过20%，赔偿经济损失按实际损失进行赔偿。</w:t>
      </w:r>
    </w:p>
    <w:p w14:paraId="05D7F32B">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u w:val="single"/>
          <w14:textFill>
            <w14:solidFill>
              <w14:schemeClr w14:val="tx1"/>
            </w14:solidFill>
          </w14:textFill>
        </w:rPr>
        <w:t>③在项目结算评审阶段，相关部门提出招标清单不合理，要求修改中标清单单价而导致审减率提高的，由招标清单评审单位负责向相关部门解释并承担相应的后果。</w:t>
      </w:r>
    </w:p>
    <w:p w14:paraId="248BD63E">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4.2.3</w:t>
      </w:r>
      <w:r>
        <w:rPr>
          <w:rFonts w:hint="eastAsia" w:asciiTheme="minorEastAsia" w:hAnsiTheme="minorEastAsia"/>
          <w:color w:val="000000" w:themeColor="text1"/>
          <w:sz w:val="24"/>
          <w:szCs w:val="24"/>
          <w:highlight w:val="none"/>
          <w14:textFill>
            <w14:solidFill>
              <w14:schemeClr w14:val="tx1"/>
            </w14:solidFill>
          </w14:textFill>
        </w:rPr>
        <w:t xml:space="preserve"> 经济责任</w:t>
      </w:r>
    </w:p>
    <w:p w14:paraId="157BFC38">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4.2.3.1</w:t>
      </w:r>
      <w:r>
        <w:rPr>
          <w:rFonts w:hint="eastAsia" w:asciiTheme="minorEastAsia" w:hAnsiTheme="minorEastAsia"/>
          <w:color w:val="000000" w:themeColor="text1"/>
          <w:sz w:val="24"/>
          <w:szCs w:val="24"/>
          <w:highlight w:val="none"/>
          <w:u w:val="single"/>
          <w14:textFill>
            <w14:solidFill>
              <w14:schemeClr w14:val="tx1"/>
            </w14:solidFill>
          </w14:textFill>
        </w:rPr>
        <w:t>咨询人未提供完成的工程量清单、工程量计算过程的计算式给委托人，则扣减咨询费用的20% 。</w:t>
      </w:r>
    </w:p>
    <w:p w14:paraId="1DD439C7">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4.2.3.2</w:t>
      </w:r>
      <w:r>
        <w:rPr>
          <w:rFonts w:hint="eastAsia" w:asciiTheme="minorEastAsia" w:hAnsiTheme="minorEastAsia"/>
          <w:color w:val="000000" w:themeColor="text1"/>
          <w:sz w:val="24"/>
          <w:szCs w:val="24"/>
          <w:highlight w:val="none"/>
          <w:u w:val="single"/>
          <w14:textFill>
            <w14:solidFill>
              <w14:schemeClr w14:val="tx1"/>
            </w14:solidFill>
          </w14:textFill>
        </w:rPr>
        <w:t>咨询人未按委托人要求完成时间完成工作，延迟一天扣减咨询费用的2%，与其他条款可同时适用；如因委托人原因导致工作未按时完成的，经委托人确认后时间可顺延，但委托人不另行向咨询人支付任何费用，其他条款另有约定同时适用。</w:t>
      </w:r>
    </w:p>
    <w:p w14:paraId="59BFBA9D">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4.2.3.3</w:t>
      </w:r>
      <w:r>
        <w:rPr>
          <w:rFonts w:hint="eastAsia" w:asciiTheme="minorEastAsia" w:hAnsiTheme="minorEastAsia"/>
          <w:color w:val="000000" w:themeColor="text1"/>
          <w:sz w:val="24"/>
          <w:szCs w:val="24"/>
          <w:highlight w:val="none"/>
          <w:u w:val="single"/>
          <w14:textFill>
            <w14:solidFill>
              <w14:schemeClr w14:val="tx1"/>
            </w14:solidFill>
          </w14:textFill>
        </w:rPr>
        <w:t>未经委托人同意咨询人擅自变更委派的人员（委托人要求或经委托人书面同意更换的除外），委托人扣减咨询人不低于咨询费用的20%，其他条款另有约定同时适用。</w:t>
      </w:r>
    </w:p>
    <w:p w14:paraId="54A7A0D2">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 xml:space="preserve">4.2.4 </w:t>
      </w:r>
      <w:r>
        <w:rPr>
          <w:rFonts w:hint="eastAsia" w:asciiTheme="minorEastAsia" w:hAnsiTheme="minorEastAsia"/>
          <w:color w:val="000000" w:themeColor="text1"/>
          <w:sz w:val="24"/>
          <w:szCs w:val="24"/>
          <w:highlight w:val="none"/>
          <w14:textFill>
            <w14:solidFill>
              <w14:schemeClr w14:val="tx1"/>
            </w14:solidFill>
          </w14:textFill>
        </w:rPr>
        <w:t>法律责任：咨询人有下列情形之一的，委托人不予支付咨询费用，给委托人造成的损失，委托人保留向咨询人索赔的权利，触犯法律的将追究法律责任。</w:t>
      </w:r>
    </w:p>
    <w:p w14:paraId="75AEA7D2">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4.2.4.1</w:t>
      </w:r>
      <w:r>
        <w:rPr>
          <w:rFonts w:hint="eastAsia" w:asciiTheme="minorEastAsia" w:hAnsiTheme="minorEastAsia"/>
          <w:color w:val="000000" w:themeColor="text1"/>
          <w:sz w:val="24"/>
          <w:szCs w:val="24"/>
          <w:highlight w:val="none"/>
          <w:u w:val="single"/>
          <w14:textFill>
            <w14:solidFill>
              <w14:schemeClr w14:val="tx1"/>
            </w14:solidFill>
          </w14:textFill>
        </w:rPr>
        <w:t>咨询人未执行相关法律、法规和执业规范；</w:t>
      </w:r>
    </w:p>
    <w:p w14:paraId="755E2D5A">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4.2.4.2</w:t>
      </w:r>
      <w:r>
        <w:rPr>
          <w:rFonts w:hint="eastAsia" w:asciiTheme="minorEastAsia" w:hAnsiTheme="minorEastAsia"/>
          <w:color w:val="000000" w:themeColor="text1"/>
          <w:sz w:val="24"/>
          <w:szCs w:val="24"/>
          <w:highlight w:val="none"/>
          <w:u w:val="single"/>
          <w14:textFill>
            <w14:solidFill>
              <w14:schemeClr w14:val="tx1"/>
            </w14:solidFill>
          </w14:textFill>
        </w:rPr>
        <w:t>咨询人或咨询人委派的人员与投标单位有串通行为；</w:t>
      </w:r>
    </w:p>
    <w:p w14:paraId="5039FA6F">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4.2.4.3</w:t>
      </w:r>
      <w:r>
        <w:rPr>
          <w:rFonts w:hint="eastAsia" w:asciiTheme="minorEastAsia" w:hAnsiTheme="minorEastAsia"/>
          <w:color w:val="000000" w:themeColor="text1"/>
          <w:sz w:val="24"/>
          <w:szCs w:val="24"/>
          <w:highlight w:val="none"/>
          <w:u w:val="single"/>
          <w14:textFill>
            <w14:solidFill>
              <w14:schemeClr w14:val="tx1"/>
            </w14:solidFill>
          </w14:textFill>
        </w:rPr>
        <w:t>咨询人有法律法规规定的其他违法、违规的情形；</w:t>
      </w:r>
    </w:p>
    <w:p w14:paraId="355022A4">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4.2.4.4</w:t>
      </w:r>
      <w:r>
        <w:rPr>
          <w:rFonts w:hint="eastAsia" w:asciiTheme="minorEastAsia" w:hAnsiTheme="minorEastAsia"/>
          <w:color w:val="000000" w:themeColor="text1"/>
          <w:sz w:val="24"/>
          <w:szCs w:val="24"/>
          <w:highlight w:val="none"/>
          <w:u w:val="single"/>
          <w14:textFill>
            <w14:solidFill>
              <w14:schemeClr w14:val="tx1"/>
            </w14:solidFill>
          </w14:textFill>
        </w:rPr>
        <w:t>咨询人不按合同履行责任单方面违约。</w:t>
      </w:r>
    </w:p>
    <w:p w14:paraId="2FFFED30">
      <w:pPr>
        <w:pStyle w:val="4"/>
        <w:ind w:firstLine="480" w:firstLineChars="200"/>
        <w:jc w:val="left"/>
        <w:rPr>
          <w:rFonts w:asciiTheme="minorEastAsia" w:hAnsiTheme="minorEastAsia"/>
          <w:b w:val="0"/>
          <w:bCs w:val="0"/>
          <w:color w:val="000000" w:themeColor="text1"/>
          <w:sz w:val="24"/>
          <w:szCs w:val="24"/>
          <w:highlight w:val="none"/>
          <w14:textFill>
            <w14:solidFill>
              <w14:schemeClr w14:val="tx1"/>
            </w14:solidFill>
          </w14:textFill>
        </w:rPr>
      </w:pPr>
      <w:r>
        <w:rPr>
          <w:rFonts w:asciiTheme="minorEastAsia" w:hAnsiTheme="minorEastAsia"/>
          <w:b w:val="0"/>
          <w:bCs w:val="0"/>
          <w:color w:val="000000" w:themeColor="text1"/>
          <w:sz w:val="24"/>
          <w:szCs w:val="24"/>
          <w:highlight w:val="none"/>
          <w14:textFill>
            <w14:solidFill>
              <w14:schemeClr w14:val="tx1"/>
            </w14:solidFill>
          </w14:textFill>
        </w:rPr>
        <w:t>4.2.</w:t>
      </w:r>
      <w:r>
        <w:rPr>
          <w:rFonts w:hint="eastAsia" w:asciiTheme="minorEastAsia" w:hAnsiTheme="minorEastAsia"/>
          <w:b w:val="0"/>
          <w:bCs w:val="0"/>
          <w:color w:val="000000" w:themeColor="text1"/>
          <w:sz w:val="24"/>
          <w:szCs w:val="24"/>
          <w:highlight w:val="none"/>
          <w14:textFill>
            <w14:solidFill>
              <w14:schemeClr w14:val="tx1"/>
            </w14:solidFill>
          </w14:textFill>
        </w:rPr>
        <w:t>5</w:t>
      </w:r>
      <w:r>
        <w:rPr>
          <w:rFonts w:asciiTheme="minorEastAsia" w:hAnsiTheme="minorEastAsia"/>
          <w:b w:val="0"/>
          <w:bCs w:val="0"/>
          <w:color w:val="000000" w:themeColor="text1"/>
          <w:sz w:val="24"/>
          <w:szCs w:val="24"/>
          <w:highlight w:val="none"/>
          <w14:textFill>
            <w14:solidFill>
              <w14:schemeClr w14:val="tx1"/>
            </w14:solidFill>
          </w14:textFill>
        </w:rPr>
        <w:t xml:space="preserve"> </w:t>
      </w:r>
      <w:r>
        <w:rPr>
          <w:rFonts w:hint="eastAsia" w:asciiTheme="minorEastAsia" w:hAnsiTheme="minorEastAsia"/>
          <w:b w:val="0"/>
          <w:bCs w:val="0"/>
          <w:color w:val="000000" w:themeColor="text1"/>
          <w:sz w:val="24"/>
          <w:szCs w:val="24"/>
          <w:highlight w:val="none"/>
          <w14:textFill>
            <w14:solidFill>
              <w14:schemeClr w14:val="tx1"/>
            </w14:solidFill>
          </w14:textFill>
        </w:rPr>
        <w:t>组织责任：</w:t>
      </w:r>
    </w:p>
    <w:p w14:paraId="3AF1C149">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w:t>
      </w:r>
      <w:r>
        <w:rPr>
          <w:rFonts w:hint="eastAsia" w:asciiTheme="minorEastAsia" w:hAnsiTheme="minorEastAsia"/>
          <w:b/>
          <w:bCs/>
          <w:color w:val="000000" w:themeColor="text1"/>
          <w:sz w:val="24"/>
          <w:szCs w:val="24"/>
          <w:highlight w:val="none"/>
          <w14:textFill>
            <w14:solidFill>
              <w14:schemeClr w14:val="tx1"/>
            </w14:solidFill>
          </w14:textFill>
        </w:rPr>
        <w:t>5.1</w:t>
      </w:r>
      <w:r>
        <w:rPr>
          <w:rFonts w:hint="eastAsia" w:asciiTheme="minorEastAsia" w:hAnsiTheme="minorEastAsia"/>
          <w:color w:val="000000" w:themeColor="text1"/>
          <w:sz w:val="24"/>
          <w:szCs w:val="24"/>
          <w:highlight w:val="none"/>
          <w14:textFill>
            <w14:solidFill>
              <w14:schemeClr w14:val="tx1"/>
            </w14:solidFill>
          </w14:textFill>
        </w:rPr>
        <w:t xml:space="preserve">未取得委托人同意咨询人项目人员缺席现场收方、验收、例会等，每出现一次处1000元违约金，累计发生3次时（含本数），视为咨询人违约。 </w:t>
      </w:r>
    </w:p>
    <w:p w14:paraId="3F7D8B65">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w:t>
      </w:r>
      <w:r>
        <w:rPr>
          <w:rFonts w:hint="eastAsia" w:asciiTheme="minorEastAsia" w:hAnsiTheme="minorEastAsia"/>
          <w:b/>
          <w:bCs/>
          <w:color w:val="000000" w:themeColor="text1"/>
          <w:sz w:val="24"/>
          <w:szCs w:val="24"/>
          <w:highlight w:val="none"/>
          <w14:textFill>
            <w14:solidFill>
              <w14:schemeClr w14:val="tx1"/>
            </w14:solidFill>
          </w14:textFill>
        </w:rPr>
        <w:t>5.2</w:t>
      </w:r>
      <w:r>
        <w:rPr>
          <w:rFonts w:hint="eastAsia" w:asciiTheme="minorEastAsia" w:hAnsiTheme="minorEastAsia"/>
          <w:color w:val="000000" w:themeColor="text1"/>
          <w:sz w:val="24"/>
          <w:szCs w:val="24"/>
          <w:highlight w:val="none"/>
          <w14:textFill>
            <w14:solidFill>
              <w14:schemeClr w14:val="tx1"/>
            </w14:solidFill>
          </w14:textFill>
        </w:rPr>
        <w:t>咨询人项目负责人一周至少到现场办公一天（当委托人另有安排时，须按时到场办公）；如未经委托人事先同意缺席现场办公，每出现一次处2000元违约金</w:t>
      </w:r>
      <w:r>
        <w:rPr>
          <w:rFonts w:hint="eastAsia" w:ascii="宋体" w:hAnsi="宋体"/>
          <w:color w:val="000000" w:themeColor="text1"/>
          <w:sz w:val="24"/>
          <w:szCs w:val="24"/>
          <w:highlight w:val="none"/>
          <w14:textFill>
            <w14:solidFill>
              <w14:schemeClr w14:val="tx1"/>
            </w14:solidFill>
          </w14:textFill>
        </w:rPr>
        <w:t>，累计发生3次时（含本数），视为咨询人违约</w:t>
      </w:r>
      <w:r>
        <w:rPr>
          <w:rFonts w:hint="eastAsia" w:asciiTheme="minorEastAsia" w:hAnsiTheme="minorEastAsia"/>
          <w:color w:val="000000" w:themeColor="text1"/>
          <w:sz w:val="24"/>
          <w:szCs w:val="24"/>
          <w:highlight w:val="none"/>
          <w14:textFill>
            <w14:solidFill>
              <w14:schemeClr w14:val="tx1"/>
            </w14:solidFill>
          </w14:textFill>
        </w:rPr>
        <w:t xml:space="preserve">。 </w:t>
      </w:r>
    </w:p>
    <w:p w14:paraId="5FBC41CF">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w:t>
      </w:r>
      <w:r>
        <w:rPr>
          <w:rFonts w:hint="eastAsia" w:asciiTheme="minorEastAsia" w:hAnsiTheme="minorEastAsia"/>
          <w:b/>
          <w:bCs/>
          <w:color w:val="000000" w:themeColor="text1"/>
          <w:sz w:val="24"/>
          <w:szCs w:val="24"/>
          <w:highlight w:val="none"/>
          <w14:textFill>
            <w14:solidFill>
              <w14:schemeClr w14:val="tx1"/>
            </w14:solidFill>
          </w14:textFill>
        </w:rPr>
        <w:t>5.3</w:t>
      </w:r>
      <w:r>
        <w:rPr>
          <w:rFonts w:hint="eastAsia" w:asciiTheme="minorEastAsia" w:hAnsiTheme="minorEastAsia"/>
          <w:color w:val="000000" w:themeColor="text1"/>
          <w:sz w:val="24"/>
          <w:szCs w:val="24"/>
          <w:highlight w:val="none"/>
          <w14:textFill>
            <w14:solidFill>
              <w14:schemeClr w14:val="tx1"/>
            </w14:solidFill>
          </w14:textFill>
        </w:rPr>
        <w:t xml:space="preserve">咨询人驻场办公人员须按时接受委托人考勤监督，每发生一次旷工处 1000 元/人次违约金，每发生一次迟到或早退处 200 元/人次违约金，前述任一情形累计发生3次时（含本数），视为咨询人违约。 </w:t>
      </w:r>
    </w:p>
    <w:p w14:paraId="71DD67A3">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w:t>
      </w:r>
      <w:r>
        <w:rPr>
          <w:rFonts w:hint="eastAsia" w:asciiTheme="minorEastAsia" w:hAnsiTheme="minorEastAsia"/>
          <w:b/>
          <w:bCs/>
          <w:color w:val="000000" w:themeColor="text1"/>
          <w:sz w:val="24"/>
          <w:szCs w:val="24"/>
          <w:highlight w:val="none"/>
          <w14:textFill>
            <w14:solidFill>
              <w14:schemeClr w14:val="tx1"/>
            </w14:solidFill>
          </w14:textFill>
        </w:rPr>
        <w:t>5.4</w:t>
      </w:r>
      <w:r>
        <w:rPr>
          <w:rFonts w:hint="eastAsia" w:asciiTheme="minorEastAsia" w:hAnsiTheme="minorEastAsia"/>
          <w:color w:val="000000" w:themeColor="text1"/>
          <w:sz w:val="24"/>
          <w:szCs w:val="24"/>
          <w:highlight w:val="none"/>
          <w14:textFill>
            <w14:solidFill>
              <w14:schemeClr w14:val="tx1"/>
            </w14:solidFill>
          </w14:textFill>
        </w:rPr>
        <w:t xml:space="preserve">审核变更造价：咨询人收到完整资料后，5 个工作日内向委托人书面提交审核结果，每延迟 1 日处 1000 元违约金以后依次按前次违约金双倍递增，逾期5日未交付，则视为咨询人违约。 </w:t>
      </w:r>
    </w:p>
    <w:p w14:paraId="73C9C4A1">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w:t>
      </w:r>
      <w:r>
        <w:rPr>
          <w:rFonts w:hint="eastAsia" w:asciiTheme="minorEastAsia" w:hAnsiTheme="minorEastAsia"/>
          <w:b/>
          <w:bCs/>
          <w:color w:val="000000" w:themeColor="text1"/>
          <w:sz w:val="24"/>
          <w:szCs w:val="24"/>
          <w:highlight w:val="none"/>
          <w14:textFill>
            <w14:solidFill>
              <w14:schemeClr w14:val="tx1"/>
            </w14:solidFill>
          </w14:textFill>
        </w:rPr>
        <w:t>5.5</w:t>
      </w:r>
      <w:r>
        <w:rPr>
          <w:rFonts w:hint="eastAsia" w:asciiTheme="minorEastAsia" w:hAnsiTheme="minorEastAsia"/>
          <w:color w:val="000000" w:themeColor="text1"/>
          <w:sz w:val="24"/>
          <w:szCs w:val="24"/>
          <w:highlight w:val="none"/>
          <w14:textFill>
            <w14:solidFill>
              <w14:schemeClr w14:val="tx1"/>
            </w14:solidFill>
          </w14:textFill>
        </w:rPr>
        <w:t xml:space="preserve">材料核价：咨询人收到完整资料后，5 个工作日内向委托人提交书面审核结果至委托人，每延迟 1 日处 1000 元违约金以后依次按前次违约金双倍递增，逾期5日未交付，则视为咨询人违约。 </w:t>
      </w:r>
    </w:p>
    <w:p w14:paraId="68940236">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w:t>
      </w:r>
      <w:r>
        <w:rPr>
          <w:rFonts w:hint="eastAsia" w:asciiTheme="minorEastAsia" w:hAnsiTheme="minorEastAsia"/>
          <w:b/>
          <w:bCs/>
          <w:color w:val="000000" w:themeColor="text1"/>
          <w:sz w:val="24"/>
          <w:szCs w:val="24"/>
          <w:highlight w:val="none"/>
          <w14:textFill>
            <w14:solidFill>
              <w14:schemeClr w14:val="tx1"/>
            </w14:solidFill>
          </w14:textFill>
        </w:rPr>
        <w:t>5.6</w:t>
      </w:r>
      <w:r>
        <w:rPr>
          <w:rFonts w:hint="eastAsia" w:asciiTheme="minorEastAsia" w:hAnsiTheme="minorEastAsia"/>
          <w:color w:val="000000" w:themeColor="text1"/>
          <w:sz w:val="24"/>
          <w:szCs w:val="24"/>
          <w:highlight w:val="none"/>
          <w14:textFill>
            <w14:solidFill>
              <w14:schemeClr w14:val="tx1"/>
            </w14:solidFill>
          </w14:textFill>
        </w:rPr>
        <w:t xml:space="preserve">工程往来函件：咨询人收到交办的函件后，5 个工作日内向委托人书面回复，每延迟 1 日处 1000 元违约金以后依次按前次违约金双倍递增，逾期5日未交付，则视为咨询人违约。 </w:t>
      </w:r>
    </w:p>
    <w:p w14:paraId="30B181DA">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w:t>
      </w:r>
      <w:r>
        <w:rPr>
          <w:rFonts w:hint="eastAsia" w:asciiTheme="minorEastAsia" w:hAnsiTheme="minorEastAsia"/>
          <w:b/>
          <w:bCs/>
          <w:color w:val="000000" w:themeColor="text1"/>
          <w:sz w:val="24"/>
          <w:szCs w:val="24"/>
          <w:highlight w:val="none"/>
          <w14:textFill>
            <w14:solidFill>
              <w14:schemeClr w14:val="tx1"/>
            </w14:solidFill>
          </w14:textFill>
        </w:rPr>
        <w:t>5.7</w:t>
      </w:r>
      <w:r>
        <w:rPr>
          <w:rFonts w:hint="eastAsia" w:asciiTheme="minorEastAsia" w:hAnsiTheme="minorEastAsia"/>
          <w:color w:val="000000" w:themeColor="text1"/>
          <w:sz w:val="24"/>
          <w:szCs w:val="24"/>
          <w:highlight w:val="none"/>
          <w14:textFill>
            <w14:solidFill>
              <w14:schemeClr w14:val="tx1"/>
            </w14:solidFill>
          </w14:textFill>
        </w:rPr>
        <w:t>工程进度审核：咨询人收到完整资料后，约定的时间内完成审核并交委托人，每延迟 1 日处 1000 元违约金以后依次按前次违约金双倍递增，逾期5日未交付，则视为咨询人违约。</w:t>
      </w:r>
    </w:p>
    <w:p w14:paraId="41A5F1AC">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4.2.5.8因咨询人交付的成果资料存在遗漏或错误，咨询人有义务进行修改，并承担给委托人造成的一切损失。若咨询人拒绝修改，则委托人有权委托第三方履行本合同义务，产生的费用由咨询人承担。</w:t>
      </w:r>
      <w:bookmarkStart w:id="723" w:name="_Toc76398699"/>
    </w:p>
    <w:p w14:paraId="15566A51">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4.3若出现咨询人员工因欠付工资向委托人讨薪或信访、上访情形的，视为咨询人违约，同时，委托人有权选择将咨询人欠付的工资支付并有权从应支付给设咨询人的费用中扣除。</w:t>
      </w:r>
    </w:p>
    <w:p w14:paraId="11330301">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 支付</w:t>
      </w:r>
      <w:bookmarkEnd w:id="723"/>
    </w:p>
    <w:p w14:paraId="27647A84">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24" w:name="_Toc76398700"/>
      <w:r>
        <w:rPr>
          <w:rFonts w:hint="eastAsia" w:asciiTheme="minorEastAsia" w:hAnsiTheme="minorEastAsia"/>
          <w:color w:val="000000" w:themeColor="text1"/>
          <w:sz w:val="24"/>
          <w:szCs w:val="24"/>
          <w:highlight w:val="none"/>
          <w14:textFill>
            <w14:solidFill>
              <w14:schemeClr w14:val="tx1"/>
            </w14:solidFill>
          </w14:textFill>
        </w:rPr>
        <w:t>5.1 支付货币</w:t>
      </w:r>
      <w:bookmarkEnd w:id="724"/>
    </w:p>
    <w:p w14:paraId="387F31C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币种为：</w:t>
      </w:r>
      <w:r>
        <w:rPr>
          <w:rFonts w:hint="eastAsia" w:asciiTheme="minorEastAsia" w:hAnsiTheme="minorEastAsia"/>
          <w:color w:val="000000" w:themeColor="text1"/>
          <w:sz w:val="24"/>
          <w:szCs w:val="24"/>
          <w:highlight w:val="none"/>
          <w:u w:val="single"/>
          <w14:textFill>
            <w14:solidFill>
              <w14:schemeClr w14:val="tx1"/>
            </w14:solidFill>
          </w14:textFill>
        </w:rPr>
        <w:t>人民币</w:t>
      </w:r>
      <w:r>
        <w:rPr>
          <w:rFonts w:hint="eastAsia" w:asciiTheme="minorEastAsia" w:hAnsiTheme="minorEastAsia"/>
          <w:color w:val="000000" w:themeColor="text1"/>
          <w:sz w:val="24"/>
          <w:szCs w:val="24"/>
          <w:highlight w:val="none"/>
          <w14:textFill>
            <w14:solidFill>
              <w14:schemeClr w14:val="tx1"/>
            </w14:solidFill>
          </w14:textFill>
        </w:rPr>
        <w:t>，汇率为：</w:t>
      </w:r>
      <w:r>
        <w:rPr>
          <w:rFonts w:hint="eastAsia" w:asciiTheme="minorEastAsia" w:hAnsiTheme="minorEastAsia"/>
          <w:color w:val="000000" w:themeColor="text1"/>
          <w:sz w:val="24"/>
          <w:szCs w:val="24"/>
          <w:highlight w:val="none"/>
          <w:u w:val="single"/>
          <w14:textFill>
            <w14:solidFill>
              <w14:schemeClr w14:val="tx1"/>
            </w14:solidFill>
          </w14:textFill>
        </w:rPr>
        <w:t xml:space="preserve">  /  </w:t>
      </w:r>
      <w:r>
        <w:rPr>
          <w:rFonts w:hint="eastAsia" w:asciiTheme="minorEastAsia" w:hAnsiTheme="minorEastAsia"/>
          <w:color w:val="000000" w:themeColor="text1"/>
          <w:sz w:val="24"/>
          <w:szCs w:val="24"/>
          <w:highlight w:val="none"/>
          <w14:textFill>
            <w14:solidFill>
              <w14:schemeClr w14:val="tx1"/>
            </w14:solidFill>
          </w14:textFill>
        </w:rPr>
        <w:t>，其他约定：</w:t>
      </w:r>
      <w:r>
        <w:rPr>
          <w:rFonts w:hint="eastAsia" w:asciiTheme="minorEastAsia" w:hAnsiTheme="minorEastAsia"/>
          <w:color w:val="000000" w:themeColor="text1"/>
          <w:sz w:val="24"/>
          <w:szCs w:val="24"/>
          <w:highlight w:val="none"/>
          <w:u w:val="single"/>
          <w14:textFill>
            <w14:solidFill>
              <w14:schemeClr w14:val="tx1"/>
            </w14:solidFill>
          </w14:textFill>
        </w:rPr>
        <w:t xml:space="preserve">  /  </w:t>
      </w:r>
      <w:r>
        <w:rPr>
          <w:rFonts w:hint="eastAsia" w:asciiTheme="minorEastAsia" w:hAnsiTheme="minorEastAsia"/>
          <w:color w:val="000000" w:themeColor="text1"/>
          <w:sz w:val="24"/>
          <w:szCs w:val="24"/>
          <w:highlight w:val="none"/>
          <w14:textFill>
            <w14:solidFill>
              <w14:schemeClr w14:val="tx1"/>
            </w14:solidFill>
          </w14:textFill>
        </w:rPr>
        <w:t>。</w:t>
      </w:r>
    </w:p>
    <w:p w14:paraId="7BD2A03C">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25" w:name="_Toc76398701"/>
      <w:r>
        <w:rPr>
          <w:rFonts w:hint="eastAsia" w:asciiTheme="minorEastAsia" w:hAnsiTheme="minorEastAsia"/>
          <w:color w:val="000000" w:themeColor="text1"/>
          <w:sz w:val="24"/>
          <w:szCs w:val="24"/>
          <w:highlight w:val="none"/>
          <w14:textFill>
            <w14:solidFill>
              <w14:schemeClr w14:val="tx1"/>
            </w14:solidFill>
          </w14:textFill>
        </w:rPr>
        <w:t>5.2 支付申请</w:t>
      </w:r>
      <w:bookmarkEnd w:id="725"/>
    </w:p>
    <w:p w14:paraId="14962B5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咨询人应在</w:t>
      </w:r>
      <w:r>
        <w:rPr>
          <w:rFonts w:hint="eastAsia" w:cs="Times New Roman" w:asciiTheme="minorEastAsia" w:hAnsiTheme="minorEastAsia"/>
          <w:color w:val="000000" w:themeColor="text1"/>
          <w:sz w:val="24"/>
          <w:szCs w:val="24"/>
          <w:highlight w:val="none"/>
          <w14:textFill>
            <w14:solidFill>
              <w14:schemeClr w14:val="tx1"/>
            </w14:solidFill>
          </w14:textFill>
        </w:rPr>
        <w:t>提交正式报告7天后</w:t>
      </w:r>
      <w:r>
        <w:rPr>
          <w:rFonts w:hint="eastAsia" w:asciiTheme="minorEastAsia" w:hAnsiTheme="minorEastAsia"/>
          <w:color w:val="000000" w:themeColor="text1"/>
          <w:sz w:val="24"/>
          <w:szCs w:val="24"/>
          <w:highlight w:val="none"/>
          <w14:textFill>
            <w14:solidFill>
              <w14:schemeClr w14:val="tx1"/>
            </w14:solidFill>
          </w14:textFill>
        </w:rPr>
        <w:t>，向委托人提交支付申请书。</w:t>
      </w:r>
    </w:p>
    <w:p w14:paraId="3E245364">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26" w:name="_Toc76398702"/>
      <w:r>
        <w:rPr>
          <w:rFonts w:hint="eastAsia" w:asciiTheme="minorEastAsia" w:hAnsiTheme="minorEastAsia"/>
          <w:color w:val="000000" w:themeColor="text1"/>
          <w:sz w:val="24"/>
          <w:szCs w:val="24"/>
          <w:highlight w:val="none"/>
          <w14:textFill>
            <w14:solidFill>
              <w14:schemeClr w14:val="tx1"/>
            </w14:solidFill>
          </w14:textFill>
        </w:rPr>
        <w:t>5.3 支付酬金</w:t>
      </w:r>
      <w:bookmarkEnd w:id="726"/>
    </w:p>
    <w:p w14:paraId="2A8CD06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5.3.1正常工作酬金的支付：本委托合同无预付款。</w:t>
      </w:r>
    </w:p>
    <w:p w14:paraId="1CC0C8F2">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5.3.2付款参考：工程量清单及组价审核（或审核）：工程合同范围内的工程量清单及组价编制（或审核）在完成报告且委托人收到咨询人开具的等额增值税发票后60日内支付该工程量清单及组价编制（或审核）酬金的80%，剩余20%待相关部门评审完成后无息支付。</w:t>
      </w:r>
    </w:p>
    <w:p w14:paraId="5E246DF3">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5.3.3双方确认付款按照下列【     】方式付款。</w:t>
      </w:r>
    </w:p>
    <w:p w14:paraId="022263E1">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付款参考①：施工阶段工程造价全过程控制：工程完工通过验收后，咨询人交付成果报告、项目完成项目结算审计、咨询人提交付款申请且委托人收到咨询人开具的等额增值税专用发票后30日内一次性结清。</w:t>
      </w:r>
    </w:p>
    <w:p w14:paraId="6766D684">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 xml:space="preserve">付款参考②：施工阶段工程造价全过程控制：在工程开工后，按每季度支付一次施工阶段过程控制造价咨询费，施工阶段过程控制造价咨询费每次按每季度建筑安装工程费计算的咨询费×70%、咨询人提交付款申请、付款金额确认且委托人收到咨询人开具的等额增值税专用发票后30日内支付；完成工程竣工结算、咨询人提交付款申请、付款金额确认且委托人收到咨询人开具的等额增值税专用发票支付至造价咨询费85%。余款在咨询人交付成果报告、项目工程费结算算审计、咨询人提交付款申请且委托人收到咨询人开具的等额增值税专用发票后 30 日内一次性结清。 </w:t>
      </w:r>
    </w:p>
    <w:p w14:paraId="31F17613">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5.3.4委托人支付任何款项前，咨询人应先行开具符合财务会计要求的增值税专用发票并提交支付申请，否则委托人有权拒绝付款，且不承担任何逾期付款的责任。由此产生的责任由咨询人自行承担。</w:t>
      </w:r>
    </w:p>
    <w:p w14:paraId="7C0A021B">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注：若存在下列情形时，下列情形作为付款条件之一，同时适用，若涉及进度款则不包括下列情形第3种：</w:t>
      </w:r>
    </w:p>
    <w:p w14:paraId="7E673559">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（1）若合同计算酬金在支付款项时尚无法确定，则以         标准计算酬金；</w:t>
      </w:r>
    </w:p>
    <w:p w14:paraId="32E99102">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（2）若本合同涉及财政资金或专项资金支持，在委托人未收到财政资金或专项资金的情形下，委托人有权迟延付款且不承担违约责任，在符合其他付款条件且收到财政资金或专项资金后付款；</w:t>
      </w:r>
    </w:p>
    <w:p w14:paraId="68078DBD">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（3）若需对工程进行审计或财评，则在审计或财评结果未出之前，委托人有权迟延付款且不承担违约责任。</w:t>
      </w:r>
    </w:p>
    <w:p w14:paraId="45D3AE89">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的审计包括委托人委托第三方审计、重庆市南岸区财政局审计或重庆市南岸区审计局审计，若需重庆市南岸区财政局审计或重庆市南岸区审计局审计，则以重庆市南岸区财政局审计或重庆市南岸区审计局审计结果为准。</w:t>
      </w:r>
      <w:bookmarkStart w:id="727" w:name="_Toc76398703"/>
    </w:p>
    <w:p w14:paraId="2AE791F8">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 合同变更、解除与终止</w:t>
      </w:r>
      <w:bookmarkEnd w:id="727"/>
    </w:p>
    <w:p w14:paraId="5DC84679">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28" w:name="_Toc76398704"/>
      <w:r>
        <w:rPr>
          <w:rFonts w:hint="eastAsia" w:asciiTheme="minorEastAsia" w:hAnsiTheme="minorEastAsia"/>
          <w:color w:val="000000" w:themeColor="text1"/>
          <w:sz w:val="24"/>
          <w:szCs w:val="24"/>
          <w:highlight w:val="none"/>
          <w14:textFill>
            <w14:solidFill>
              <w14:schemeClr w14:val="tx1"/>
            </w14:solidFill>
          </w14:textFill>
        </w:rPr>
        <w:t>6.1 合同变更</w:t>
      </w:r>
      <w:bookmarkEnd w:id="728"/>
    </w:p>
    <w:p w14:paraId="22757699">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6.1.2 除不可抗力外，因非咨询人原因导致本合同履行期限延长、内容增加时，附加工作酬金按下列方法确定：</w:t>
      </w:r>
      <w:r>
        <w:rPr>
          <w:rFonts w:hint="eastAsia" w:ascii="宋体" w:hAnsi="宋体" w:cs="宋体"/>
          <w:color w:val="000000" w:themeColor="text1"/>
          <w:kern w:val="0"/>
          <w:sz w:val="24"/>
          <w:highlight w:val="none"/>
          <w:u w:val="single"/>
          <w14:textFill>
            <w14:solidFill>
              <w14:schemeClr w14:val="tx1"/>
            </w14:solidFill>
          </w14:textFill>
        </w:rPr>
        <w:t>无</w:t>
      </w:r>
      <w:r>
        <w:rPr>
          <w:rFonts w:hint="eastAsia" w:asciiTheme="minorEastAsia" w:hAnsiTheme="minorEastAsia"/>
          <w:color w:val="000000" w:themeColor="text1"/>
          <w:sz w:val="24"/>
          <w:szCs w:val="24"/>
          <w:highlight w:val="none"/>
          <w14:textFill>
            <w14:solidFill>
              <w14:schemeClr w14:val="tx1"/>
            </w14:solidFill>
          </w14:textFill>
        </w:rPr>
        <w:t>。且在前述情形下，委托人不因此另行向咨询人支付任何补偿或赔偿。</w:t>
      </w:r>
    </w:p>
    <w:p w14:paraId="11BAA2A3">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6.1.4 因工程规模、服务范围及内容的变化等导致咨询人的工作量增减时，服务酬金的调整方法：</w:t>
      </w:r>
      <w:r>
        <w:rPr>
          <w:rFonts w:hint="eastAsia" w:ascii="宋体" w:hAnsi="宋体" w:cs="宋体"/>
          <w:color w:val="000000" w:themeColor="text1"/>
          <w:kern w:val="0"/>
          <w:sz w:val="24"/>
          <w:highlight w:val="none"/>
          <w:u w:val="single"/>
          <w14:textFill>
            <w14:solidFill>
              <w14:schemeClr w14:val="tx1"/>
            </w14:solidFill>
          </w14:textFill>
        </w:rPr>
        <w:t xml:space="preserve">   固定费率不调整  </w:t>
      </w:r>
      <w:r>
        <w:rPr>
          <w:rFonts w:hint="eastAsia" w:asciiTheme="minorEastAsia" w:hAnsiTheme="minorEastAsia"/>
          <w:color w:val="000000" w:themeColor="text1"/>
          <w:sz w:val="24"/>
          <w:szCs w:val="24"/>
          <w:highlight w:val="none"/>
          <w14:textFill>
            <w14:solidFill>
              <w14:schemeClr w14:val="tx1"/>
            </w14:solidFill>
          </w14:textFill>
        </w:rPr>
        <w:t>。</w:t>
      </w:r>
    </w:p>
    <w:p w14:paraId="47B30E0E">
      <w:pPr>
        <w:spacing w:line="360" w:lineRule="auto"/>
        <w:ind w:firstLine="480" w:firstLineChars="200"/>
        <w:outlineLvl w:val="1"/>
        <w:rPr>
          <w:rFonts w:ascii="宋体" w:hAnsi="宋体"/>
          <w:color w:val="000000" w:themeColor="text1"/>
          <w:sz w:val="24"/>
          <w:szCs w:val="24"/>
          <w:highlight w:val="none"/>
          <w14:textFill>
            <w14:solidFill>
              <w14:schemeClr w14:val="tx1"/>
            </w14:solidFill>
          </w14:textFill>
        </w:rPr>
      </w:pPr>
      <w:bookmarkStart w:id="729" w:name="_Toc76398705"/>
      <w:r>
        <w:rPr>
          <w:rFonts w:hint="eastAsia" w:ascii="宋体" w:hAnsi="宋体"/>
          <w:color w:val="000000" w:themeColor="text1"/>
          <w:sz w:val="24"/>
          <w:szCs w:val="24"/>
          <w:highlight w:val="none"/>
          <w14:textFill>
            <w14:solidFill>
              <w14:schemeClr w14:val="tx1"/>
            </w14:solidFill>
          </w14:textFill>
        </w:rPr>
        <w:t>6.2 合同解除</w:t>
      </w:r>
    </w:p>
    <w:p w14:paraId="44AB81F2">
      <w:pPr>
        <w:spacing w:line="360" w:lineRule="auto"/>
        <w:ind w:firstLine="480" w:firstLineChars="200"/>
        <w:jc w:val="left"/>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6.2.2 除其他条款约定外，如出现下列情形时，委托人有权单方解除本合同，且视为咨询人违约，咨询人按照本合同约定酬金的30%向委托人承担违约金，并承担给委托人造成的一切损失（该损失包括但不限于委托人另行委托第三方履行义务产生的费用、委托人给第三方造成的损失、给委托人造成实际损失、委托人的可期待利益损失等）：</w:t>
      </w:r>
    </w:p>
    <w:p w14:paraId="1770FEAA">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6.2.2.1咨询人擅自将本合同约定事项转委托或再次分包；</w:t>
      </w:r>
    </w:p>
    <w:p w14:paraId="413E75CE">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6.2.2.2委托人提出整改意见，咨询人拒不履行的；</w:t>
      </w:r>
    </w:p>
    <w:p w14:paraId="016037AF">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6.2.2.3咨询人的员工到委托人处投诉咨询人拖欠工资的；</w:t>
      </w:r>
    </w:p>
    <w:p w14:paraId="130FD215">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6.2.2.4咨询人员工因咨询人拖欠工资上访、信访的；</w:t>
      </w:r>
    </w:p>
    <w:p w14:paraId="38B30135">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6.2.2.5咨询人应免费向委托人提供口头或现场咨询服务，咨询人未履行咨询服务的；</w:t>
      </w:r>
    </w:p>
    <w:p w14:paraId="63331188">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6.2.2.6咨询人未按照合同约定履行其他义务的。</w:t>
      </w:r>
    </w:p>
    <w:p w14:paraId="7C3B1360">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6.2.3在本合同履行期间，除咨询人违约外，委托人希望提前解除本合同的，自解除通知书到达咨询人之日本合同解除，委托人不承担违约责任，双方据实结算费用，咨询人交付资料、费用确认、咨询人提出支付申请且委托人收到咨询人开具的等额增值税专用发票后60日一次性支付费用。未收到发票，委托人有权拒绝付款，一切责任由咨询人承担。</w:t>
      </w:r>
    </w:p>
    <w:p w14:paraId="5D8F38D4">
      <w:pPr>
        <w:spacing w:line="360" w:lineRule="auto"/>
        <w:ind w:firstLine="480" w:firstLineChars="200"/>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6.2.4 因不可抗力导致的合同解除，双方约定损失的分担如下：</w:t>
      </w:r>
      <w:r>
        <w:rPr>
          <w:rFonts w:hint="eastAsia" w:ascii="宋体" w:hAnsi="宋体" w:cs="宋体"/>
          <w:color w:val="000000" w:themeColor="text1"/>
          <w:kern w:val="0"/>
          <w:sz w:val="24"/>
          <w:highlight w:val="none"/>
          <w:u w:val="single"/>
          <w14:textFill>
            <w14:solidFill>
              <w14:schemeClr w14:val="tx1"/>
            </w14:solidFill>
          </w14:textFill>
        </w:rPr>
        <w:t xml:space="preserve">  自行承担各自损失  。</w:t>
      </w:r>
    </w:p>
    <w:p w14:paraId="7594BCCE">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6.2.5合同终止后2日内，咨询人人应退场，逾期退场，委托人有权强制咨询人退场，若场地内留有咨询人物品，视为遗弃物，委托人有权任意处置，处置费用由咨询人承担，处置所得款项归委托人所有，场地内留有的咨询人物品，委托人有权无偿使用；逾期退场，每逾期一日，咨询人按照10000元/日向委托人承担损失。同时，合同终止后2日内，咨询人负责将本合同有关资料整理一套交付委托人，逾期交付的，每逾期一日，监理人按照10000元/日向委托人承担损失。</w:t>
      </w:r>
    </w:p>
    <w:bookmarkEnd w:id="729"/>
    <w:p w14:paraId="14B149C7">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730" w:name="_Toc76398706"/>
      <w:r>
        <w:rPr>
          <w:rFonts w:hint="eastAsia" w:asciiTheme="minorEastAsia" w:hAnsiTheme="minorEastAsia"/>
          <w:color w:val="000000" w:themeColor="text1"/>
          <w:sz w:val="24"/>
          <w:szCs w:val="24"/>
          <w:highlight w:val="none"/>
          <w14:textFill>
            <w14:solidFill>
              <w14:schemeClr w14:val="tx1"/>
            </w14:solidFill>
          </w14:textFill>
        </w:rPr>
        <w:t>7. 争议解决</w:t>
      </w:r>
      <w:bookmarkEnd w:id="730"/>
    </w:p>
    <w:p w14:paraId="78024D74">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31" w:name="_Toc76398707"/>
      <w:r>
        <w:rPr>
          <w:rFonts w:hint="eastAsia" w:asciiTheme="minorEastAsia" w:hAnsiTheme="minorEastAsia"/>
          <w:color w:val="000000" w:themeColor="text1"/>
          <w:sz w:val="24"/>
          <w:szCs w:val="24"/>
          <w:highlight w:val="none"/>
          <w14:textFill>
            <w14:solidFill>
              <w14:schemeClr w14:val="tx1"/>
            </w14:solidFill>
          </w14:textFill>
        </w:rPr>
        <w:t>7.2 调解</w:t>
      </w:r>
      <w:bookmarkEnd w:id="731"/>
    </w:p>
    <w:p w14:paraId="4E187164">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如果双方不能在</w:t>
      </w:r>
      <w:r>
        <w:rPr>
          <w:rFonts w:hint="eastAsia" w:asciiTheme="minorEastAsia" w:hAnsiTheme="minorEastAsia"/>
          <w:color w:val="000000" w:themeColor="text1"/>
          <w:sz w:val="24"/>
          <w:szCs w:val="24"/>
          <w:highlight w:val="none"/>
          <w:u w:val="single"/>
          <w14:textFill>
            <w14:solidFill>
              <w14:schemeClr w14:val="tx1"/>
            </w14:solidFill>
          </w14:textFill>
        </w:rPr>
        <w:t xml:space="preserve">  30  </w:t>
      </w:r>
      <w:r>
        <w:rPr>
          <w:rFonts w:hint="eastAsia" w:asciiTheme="minorEastAsia" w:hAnsiTheme="minorEastAsia"/>
          <w:color w:val="000000" w:themeColor="text1"/>
          <w:sz w:val="24"/>
          <w:szCs w:val="24"/>
          <w:highlight w:val="none"/>
          <w14:textFill>
            <w14:solidFill>
              <w14:schemeClr w14:val="tx1"/>
            </w14:solidFill>
          </w14:textFill>
        </w:rPr>
        <w:t>日内解决本合同争议，可以将其提交</w:t>
      </w:r>
      <w:r>
        <w:rPr>
          <w:rFonts w:hint="eastAsia" w:asciiTheme="minorEastAsia" w:hAnsiTheme="minorEastAsia"/>
          <w:color w:val="000000" w:themeColor="text1"/>
          <w:sz w:val="24"/>
          <w:szCs w:val="24"/>
          <w:highlight w:val="none"/>
          <w:u w:val="single"/>
          <w14:textFill>
            <w14:solidFill>
              <w14:schemeClr w14:val="tx1"/>
            </w14:solidFill>
          </w14:textFill>
        </w:rPr>
        <w:t>有关主管部门</w:t>
      </w:r>
      <w:r>
        <w:rPr>
          <w:rFonts w:hint="eastAsia" w:asciiTheme="minorEastAsia" w:hAnsiTheme="minorEastAsia"/>
          <w:color w:val="000000" w:themeColor="text1"/>
          <w:sz w:val="24"/>
          <w:szCs w:val="24"/>
          <w:highlight w:val="none"/>
          <w14:textFill>
            <w14:solidFill>
              <w14:schemeClr w14:val="tx1"/>
            </w14:solidFill>
          </w14:textFill>
        </w:rPr>
        <w:t>进行调解。双方确认，调解并非诉讼的前置程序。</w:t>
      </w:r>
    </w:p>
    <w:p w14:paraId="75195992">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32" w:name="_Toc76398708"/>
      <w:r>
        <w:rPr>
          <w:rFonts w:hint="eastAsia" w:asciiTheme="minorEastAsia" w:hAnsiTheme="minorEastAsia"/>
          <w:color w:val="000000" w:themeColor="text1"/>
          <w:sz w:val="24"/>
          <w:szCs w:val="24"/>
          <w:highlight w:val="none"/>
          <w14:textFill>
            <w14:solidFill>
              <w14:schemeClr w14:val="tx1"/>
            </w14:solidFill>
          </w14:textFill>
        </w:rPr>
        <w:t>7.3 仲裁或诉讼</w:t>
      </w:r>
      <w:bookmarkEnd w:id="732"/>
    </w:p>
    <w:p w14:paraId="3E7667FA">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合同争议的最终解决方式为下列第</w:t>
      </w:r>
      <w:r>
        <w:rPr>
          <w:rFonts w:hint="eastAsia" w:asciiTheme="minorEastAsia" w:hAnsiTheme="minorEastAsia"/>
          <w:color w:val="000000" w:themeColor="text1"/>
          <w:sz w:val="24"/>
          <w:szCs w:val="24"/>
          <w:highlight w:val="none"/>
          <w:u w:val="single"/>
          <w14:textFill>
            <w14:solidFill>
              <w14:schemeClr w14:val="tx1"/>
            </w14:solidFill>
          </w14:textFill>
        </w:rPr>
        <w:t>（2）</w:t>
      </w:r>
      <w:r>
        <w:rPr>
          <w:rFonts w:hint="eastAsia" w:asciiTheme="minorEastAsia" w:hAnsiTheme="minorEastAsia"/>
          <w:color w:val="000000" w:themeColor="text1"/>
          <w:sz w:val="24"/>
          <w:szCs w:val="24"/>
          <w:highlight w:val="none"/>
          <w14:textFill>
            <w14:solidFill>
              <w14:schemeClr w14:val="tx1"/>
            </w14:solidFill>
          </w14:textFill>
        </w:rPr>
        <w:t>种方式：</w:t>
      </w:r>
    </w:p>
    <w:p w14:paraId="2DC67BF8">
      <w:pPr>
        <w:spacing w:line="360" w:lineRule="auto"/>
        <w:ind w:firstLine="480" w:firstLineChars="200"/>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u w:val="single"/>
          <w14:textFill>
            <w14:solidFill>
              <w14:schemeClr w14:val="tx1"/>
            </w14:solidFill>
          </w14:textFill>
        </w:rPr>
        <w:t>（1）提请</w:t>
      </w:r>
      <w:r>
        <w:rPr>
          <w:rFonts w:ascii="宋体" w:hAnsi="宋体" w:cs="宋体"/>
          <w:color w:val="000000" w:themeColor="text1"/>
          <w:kern w:val="0"/>
          <w:sz w:val="24"/>
          <w:highlight w:val="none"/>
          <w:u w:val="single"/>
          <w14:textFill>
            <w14:solidFill>
              <w14:schemeClr w14:val="tx1"/>
            </w14:solidFill>
          </w14:textFill>
        </w:rPr>
        <w:t>重庆</w:t>
      </w:r>
      <w:r>
        <w:rPr>
          <w:rFonts w:hint="eastAsia" w:asciiTheme="minorEastAsia" w:hAnsiTheme="minorEastAsia"/>
          <w:color w:val="000000" w:themeColor="text1"/>
          <w:sz w:val="24"/>
          <w:szCs w:val="24"/>
          <w:highlight w:val="none"/>
          <w:u w:val="single"/>
          <w14:textFill>
            <w14:solidFill>
              <w14:schemeClr w14:val="tx1"/>
            </w14:solidFill>
          </w14:textFill>
        </w:rPr>
        <w:t>仲裁委员会进行仲裁。</w:t>
      </w:r>
    </w:p>
    <w:p w14:paraId="03BB21C1">
      <w:pPr>
        <w:spacing w:line="360" w:lineRule="auto"/>
        <w:ind w:firstLine="480" w:firstLineChars="200"/>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u w:val="single"/>
          <w14:textFill>
            <w14:solidFill>
              <w14:schemeClr w14:val="tx1"/>
            </w14:solidFill>
          </w14:textFill>
        </w:rPr>
        <w:t>（2）</w:t>
      </w:r>
      <w:r>
        <w:rPr>
          <w:rFonts w:ascii="宋体" w:hAnsi="宋体" w:cs="宋体"/>
          <w:color w:val="000000" w:themeColor="text1"/>
          <w:kern w:val="0"/>
          <w:sz w:val="24"/>
          <w:highlight w:val="none"/>
          <w:u w:val="single"/>
          <w14:textFill>
            <w14:solidFill>
              <w14:schemeClr w14:val="tx1"/>
            </w14:solidFill>
          </w14:textFill>
        </w:rPr>
        <w:t>依法向</w:t>
      </w:r>
      <w:r>
        <w:rPr>
          <w:rFonts w:hint="eastAsia" w:ascii="宋体" w:hAnsi="宋体" w:cs="宋体"/>
          <w:color w:val="000000" w:themeColor="text1"/>
          <w:kern w:val="0"/>
          <w:sz w:val="24"/>
          <w:highlight w:val="none"/>
          <w:u w:val="single"/>
          <w14:textFill>
            <w14:solidFill>
              <w14:schemeClr w14:val="tx1"/>
            </w14:solidFill>
          </w14:textFill>
        </w:rPr>
        <w:t>工程所在地</w:t>
      </w:r>
      <w:r>
        <w:rPr>
          <w:rFonts w:ascii="宋体" w:hAnsi="宋体" w:cs="宋体"/>
          <w:color w:val="000000" w:themeColor="text1"/>
          <w:kern w:val="0"/>
          <w:sz w:val="24"/>
          <w:highlight w:val="none"/>
          <w:u w:val="single"/>
          <w14:textFill>
            <w14:solidFill>
              <w14:schemeClr w14:val="tx1"/>
            </w14:solidFill>
          </w14:textFill>
        </w:rPr>
        <w:t>人民法院起诉</w:t>
      </w:r>
      <w:r>
        <w:rPr>
          <w:rFonts w:hint="eastAsia" w:asciiTheme="minorEastAsia" w:hAnsiTheme="minorEastAsia"/>
          <w:color w:val="000000" w:themeColor="text1"/>
          <w:sz w:val="24"/>
          <w:szCs w:val="24"/>
          <w:highlight w:val="none"/>
          <w:u w:val="single"/>
          <w14:textFill>
            <w14:solidFill>
              <w14:schemeClr w14:val="tx1"/>
            </w14:solidFill>
          </w14:textFill>
        </w:rPr>
        <w:t>。</w:t>
      </w:r>
    </w:p>
    <w:p w14:paraId="3C1F452C">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733" w:name="_Toc76398709"/>
      <w:r>
        <w:rPr>
          <w:rFonts w:hint="eastAsia" w:asciiTheme="minorEastAsia" w:hAnsiTheme="minorEastAsia"/>
          <w:color w:val="000000" w:themeColor="text1"/>
          <w:sz w:val="24"/>
          <w:szCs w:val="24"/>
          <w:highlight w:val="none"/>
          <w14:textFill>
            <w14:solidFill>
              <w14:schemeClr w14:val="tx1"/>
            </w14:solidFill>
          </w14:textFill>
        </w:rPr>
        <w:t>8. 其他</w:t>
      </w:r>
      <w:bookmarkEnd w:id="733"/>
    </w:p>
    <w:p w14:paraId="3342BA30">
      <w:pPr>
        <w:spacing w:line="360" w:lineRule="auto"/>
        <w:ind w:firstLine="480" w:firstLineChars="200"/>
        <w:jc w:val="left"/>
        <w:outlineLvl w:val="1"/>
        <w:rPr>
          <w:rFonts w:asciiTheme="minorEastAsia" w:hAnsiTheme="minorEastAsia"/>
          <w:color w:val="000000" w:themeColor="text1"/>
          <w:sz w:val="24"/>
          <w:szCs w:val="24"/>
          <w:highlight w:val="none"/>
          <w14:textFill>
            <w14:solidFill>
              <w14:schemeClr w14:val="tx1"/>
            </w14:solidFill>
          </w14:textFill>
        </w:rPr>
      </w:pPr>
      <w:bookmarkStart w:id="734" w:name="_Toc76398710"/>
      <w:r>
        <w:rPr>
          <w:rFonts w:hint="eastAsia" w:asciiTheme="minorEastAsia" w:hAnsiTheme="minorEastAsia"/>
          <w:color w:val="000000" w:themeColor="text1"/>
          <w:sz w:val="24"/>
          <w:szCs w:val="24"/>
          <w:highlight w:val="none"/>
          <w14:textFill>
            <w14:solidFill>
              <w14:schemeClr w14:val="tx1"/>
            </w14:solidFill>
          </w14:textFill>
        </w:rPr>
        <w:t>8.1 考察及相关费用咨询人经委托人同意进行考察发生的费用在</w:t>
      </w:r>
      <w:r>
        <w:rPr>
          <w:rFonts w:hint="eastAsia" w:asciiTheme="minorEastAsia" w:hAnsiTheme="minorEastAsia"/>
          <w:color w:val="000000" w:themeColor="text1"/>
          <w:sz w:val="24"/>
          <w:szCs w:val="24"/>
          <w:highlight w:val="none"/>
          <w:u w:val="single"/>
          <w14:textFill>
            <w14:solidFill>
              <w14:schemeClr w14:val="tx1"/>
            </w14:solidFill>
          </w14:textFill>
        </w:rPr>
        <w:t xml:space="preserve">重庆市范围内由咨询人  </w:t>
      </w:r>
      <w:r>
        <w:rPr>
          <w:rFonts w:hint="eastAsia" w:asciiTheme="minorEastAsia" w:hAnsiTheme="minorEastAsia"/>
          <w:color w:val="000000" w:themeColor="text1"/>
          <w:sz w:val="24"/>
          <w:szCs w:val="24"/>
          <w:highlight w:val="none"/>
          <w14:textFill>
            <w14:solidFill>
              <w14:schemeClr w14:val="tx1"/>
            </w14:solidFill>
          </w14:textFill>
        </w:rPr>
        <w:t>支付，相关费用已包含在合同费用中，委托人不另行支付。</w:t>
      </w:r>
    </w:p>
    <w:p w14:paraId="78D8063B">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差旅费及相关费用的支付：</w:t>
      </w:r>
      <w:r>
        <w:rPr>
          <w:rFonts w:hint="eastAsia" w:asciiTheme="minorEastAsia" w:hAnsiTheme="minorEastAsia"/>
          <w:color w:val="000000" w:themeColor="text1"/>
          <w:sz w:val="24"/>
          <w:szCs w:val="24"/>
          <w:highlight w:val="none"/>
          <w:u w:val="single"/>
          <w14:textFill>
            <w14:solidFill>
              <w14:schemeClr w14:val="tx1"/>
            </w14:solidFill>
          </w14:textFill>
        </w:rPr>
        <w:t xml:space="preserve">  重庆市范围内由咨询人自行解决  ，相关费用已包含在合同费用中，委托人不另行支付</w:t>
      </w:r>
      <w:r>
        <w:rPr>
          <w:rFonts w:hint="eastAsia" w:asciiTheme="minorEastAsia" w:hAnsiTheme="minorEastAsia"/>
          <w:color w:val="000000" w:themeColor="text1"/>
          <w:sz w:val="24"/>
          <w:szCs w:val="24"/>
          <w:highlight w:val="none"/>
          <w14:textFill>
            <w14:solidFill>
              <w14:schemeClr w14:val="tx1"/>
            </w14:solidFill>
          </w14:textFill>
        </w:rPr>
        <w:t>。</w:t>
      </w:r>
    </w:p>
    <w:bookmarkEnd w:id="734"/>
    <w:p w14:paraId="37369022">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35" w:name="_Toc76398711"/>
      <w:r>
        <w:rPr>
          <w:rFonts w:hint="eastAsia" w:asciiTheme="minorEastAsia" w:hAnsiTheme="minorEastAsia"/>
          <w:color w:val="000000" w:themeColor="text1"/>
          <w:sz w:val="24"/>
          <w:szCs w:val="24"/>
          <w:highlight w:val="none"/>
          <w14:textFill>
            <w14:solidFill>
              <w14:schemeClr w14:val="tx1"/>
            </w14:solidFill>
          </w14:textFill>
        </w:rPr>
        <w:t>8.2奖励</w:t>
      </w:r>
      <w:bookmarkEnd w:id="735"/>
    </w:p>
    <w:p w14:paraId="5BDF9733">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合理化建议的奖励金额按下列方法确定：</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w:t>
      </w:r>
    </w:p>
    <w:p w14:paraId="38AAB597">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36" w:name="_Toc76398712"/>
      <w:r>
        <w:rPr>
          <w:rFonts w:hint="eastAsia" w:asciiTheme="minorEastAsia" w:hAnsiTheme="minorEastAsia"/>
          <w:color w:val="000000" w:themeColor="text1"/>
          <w:sz w:val="24"/>
          <w:szCs w:val="24"/>
          <w:highlight w:val="none"/>
          <w14:textFill>
            <w14:solidFill>
              <w14:schemeClr w14:val="tx1"/>
            </w14:solidFill>
          </w14:textFill>
        </w:rPr>
        <w:t>8.3 保密</w:t>
      </w:r>
      <w:bookmarkEnd w:id="736"/>
    </w:p>
    <w:p w14:paraId="52598BE7">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委托人申明的保密事项和期限：</w:t>
      </w:r>
      <w:r>
        <w:rPr>
          <w:rFonts w:hint="eastAsia" w:asciiTheme="minorEastAsia" w:hAnsiTheme="minorEastAsia"/>
          <w:color w:val="000000" w:themeColor="text1"/>
          <w:sz w:val="24"/>
          <w:szCs w:val="24"/>
          <w:highlight w:val="none"/>
          <w:u w:val="single"/>
          <w14:textFill>
            <w14:solidFill>
              <w14:schemeClr w14:val="tx1"/>
            </w14:solidFill>
          </w14:textFill>
        </w:rPr>
        <w:t xml:space="preserve"> （本项目的所有资料长期保密）  </w:t>
      </w:r>
      <w:r>
        <w:rPr>
          <w:rFonts w:hint="eastAsia" w:asciiTheme="minorEastAsia" w:hAnsiTheme="minorEastAsia"/>
          <w:color w:val="000000" w:themeColor="text1"/>
          <w:sz w:val="24"/>
          <w:szCs w:val="24"/>
          <w:highlight w:val="none"/>
          <w14:textFill>
            <w14:solidFill>
              <w14:schemeClr w14:val="tx1"/>
            </w14:solidFill>
          </w14:textFill>
        </w:rPr>
        <w:t>。未经委托人事先书面同意，咨询人不得对外透露本项目的任何信息，否则咨询人应赔偿委托人的一切损失。</w:t>
      </w:r>
    </w:p>
    <w:p w14:paraId="2DA97F3A">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咨询人申明的保密事项和期限：</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w:t>
      </w:r>
    </w:p>
    <w:p w14:paraId="7599344A">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第三人申明的保密事项和期限：</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w:t>
      </w:r>
    </w:p>
    <w:p w14:paraId="0DC40D15">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37" w:name="_Toc76398713"/>
      <w:r>
        <w:rPr>
          <w:rFonts w:hint="eastAsia" w:asciiTheme="minorEastAsia" w:hAnsiTheme="minorEastAsia"/>
          <w:color w:val="000000" w:themeColor="text1"/>
          <w:sz w:val="24"/>
          <w:szCs w:val="24"/>
          <w:highlight w:val="none"/>
          <w14:textFill>
            <w14:solidFill>
              <w14:schemeClr w14:val="tx1"/>
            </w14:solidFill>
          </w14:textFill>
        </w:rPr>
        <w:t>8.4 联络</w:t>
      </w:r>
      <w:bookmarkEnd w:id="737"/>
    </w:p>
    <w:p w14:paraId="5DD232B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8.4.1 任何一方与合同有关的通知、指示、要求、决定等，均应在日内送达对方指定的接收人和送达地点。</w:t>
      </w:r>
    </w:p>
    <w:p w14:paraId="2B810BA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8.4.2 委托人指定的送达接收人：</w:t>
      </w:r>
      <w:r>
        <w:rPr>
          <w:rFonts w:hint="eastAsia" w:asciiTheme="minorEastAsia" w:hAnsiTheme="minorEastAsia"/>
          <w:color w:val="000000" w:themeColor="text1"/>
          <w:sz w:val="24"/>
          <w:szCs w:val="24"/>
          <w:highlight w:val="none"/>
          <w:u w:val="single"/>
          <w14:textFill>
            <w14:solidFill>
              <w14:schemeClr w14:val="tx1"/>
            </w14:solidFill>
          </w14:textFill>
        </w:rPr>
        <w:t>_    _</w:t>
      </w:r>
      <w:r>
        <w:rPr>
          <w:rFonts w:hint="eastAsia" w:asciiTheme="minorEastAsia" w:hAnsiTheme="minorEastAsia"/>
          <w:color w:val="000000" w:themeColor="text1"/>
          <w:sz w:val="24"/>
          <w:szCs w:val="24"/>
          <w:highlight w:val="none"/>
          <w14:textFill>
            <w14:solidFill>
              <w14:schemeClr w14:val="tx1"/>
            </w14:solidFill>
          </w14:textFill>
        </w:rPr>
        <w:t>，送达地点：</w:t>
      </w:r>
      <w:r>
        <w:rPr>
          <w:rFonts w:hint="eastAsia" w:asciiTheme="minorEastAsia" w:hAnsiTheme="minorEastAsia"/>
          <w:color w:val="000000" w:themeColor="text1"/>
          <w:sz w:val="24"/>
          <w:szCs w:val="24"/>
          <w:highlight w:val="none"/>
          <w:u w:val="single"/>
          <w14:textFill>
            <w14:solidFill>
              <w14:schemeClr w14:val="tx1"/>
            </w14:solidFill>
          </w14:textFill>
        </w:rPr>
        <w:t>__   _</w:t>
      </w:r>
      <w:r>
        <w:rPr>
          <w:rFonts w:hint="eastAsia" w:asciiTheme="minorEastAsia" w:hAnsiTheme="minorEastAsia"/>
          <w:color w:val="000000" w:themeColor="text1"/>
          <w:sz w:val="24"/>
          <w:szCs w:val="24"/>
          <w:highlight w:val="none"/>
          <w14:textFill>
            <w14:solidFill>
              <w14:schemeClr w14:val="tx1"/>
            </w14:solidFill>
          </w14:textFill>
        </w:rPr>
        <w:t>，电子邮箱：</w:t>
      </w:r>
      <w:r>
        <w:rPr>
          <w:rFonts w:hint="eastAsia" w:asciiTheme="minorEastAsia" w:hAnsiTheme="minorEastAsia"/>
          <w:color w:val="000000" w:themeColor="text1"/>
          <w:sz w:val="24"/>
          <w:szCs w:val="24"/>
          <w:highlight w:val="none"/>
          <w:u w:val="single"/>
          <w14:textFill>
            <w14:solidFill>
              <w14:schemeClr w14:val="tx1"/>
            </w14:solidFill>
          </w14:textFill>
        </w:rPr>
        <w:t>_   _</w:t>
      </w:r>
      <w:r>
        <w:rPr>
          <w:rFonts w:hint="eastAsia" w:asciiTheme="minorEastAsia" w:hAnsiTheme="minorEastAsia"/>
          <w:color w:val="000000" w:themeColor="text1"/>
          <w:sz w:val="24"/>
          <w:szCs w:val="24"/>
          <w:highlight w:val="none"/>
          <w14:textFill>
            <w14:solidFill>
              <w14:schemeClr w14:val="tx1"/>
            </w14:solidFill>
          </w14:textFill>
        </w:rPr>
        <w:t>。</w:t>
      </w:r>
    </w:p>
    <w:p w14:paraId="491E18C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咨询人指定的送达接收人：</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，送达地点：</w:t>
      </w:r>
      <w:r>
        <w:rPr>
          <w:rFonts w:hint="eastAsia" w:asciiTheme="minorEastAsia" w:hAnsi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，电子邮箱：</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w:t>
      </w:r>
    </w:p>
    <w:p w14:paraId="4EEB200A">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bookmarkStart w:id="738" w:name="_Toc76398714"/>
      <w:r>
        <w:rPr>
          <w:rFonts w:hint="eastAsia" w:asciiTheme="minorEastAsia" w:hAnsiTheme="minorEastAsia"/>
          <w:color w:val="000000" w:themeColor="text1"/>
          <w:sz w:val="24"/>
          <w:szCs w:val="24"/>
          <w:highlight w:val="none"/>
          <w14:textFill>
            <w14:solidFill>
              <w14:schemeClr w14:val="tx1"/>
            </w14:solidFill>
          </w14:textFill>
        </w:rPr>
        <w:t>若一方送达地址、联系人、联系电话发生变更，应书面告知另一方。变更通知送达前，另一方按前述方式送达的文书均视为有效送达，并产生相应法律效力。按照前述方式送达时，自寄出三日起，则视为有效送达。在因本合同及本合同相关事宜发生诉讼</w:t>
      </w:r>
      <w:r>
        <w:rPr>
          <w:rFonts w:asciiTheme="minorEastAsia" w:hAnsiTheme="minorEastAsia"/>
          <w:color w:val="000000" w:themeColor="text1"/>
          <w:sz w:val="24"/>
          <w:szCs w:val="24"/>
          <w:highlight w:val="none"/>
          <w14:textFill>
            <w14:solidFill>
              <w14:schemeClr w14:val="tx1"/>
            </w14:solidFill>
          </w14:textFill>
        </w:rPr>
        <w:t>/</w:t>
      </w:r>
      <w:r>
        <w:rPr>
          <w:rFonts w:hint="eastAsia" w:asciiTheme="minorEastAsia" w:hAnsiTheme="minorEastAsia"/>
          <w:color w:val="000000" w:themeColor="text1"/>
          <w:sz w:val="24"/>
          <w:szCs w:val="24"/>
          <w:highlight w:val="none"/>
          <w14:textFill>
            <w14:solidFill>
              <w14:schemeClr w14:val="tx1"/>
            </w14:solidFill>
          </w14:textFill>
        </w:rPr>
        <w:t>仲裁的情形下，上述约定的各方通信地址，同时作为各方的诉讼</w:t>
      </w:r>
      <w:r>
        <w:rPr>
          <w:rFonts w:asciiTheme="minorEastAsia" w:hAnsiTheme="minorEastAsia"/>
          <w:color w:val="000000" w:themeColor="text1"/>
          <w:sz w:val="24"/>
          <w:szCs w:val="24"/>
          <w:highlight w:val="none"/>
          <w14:textFill>
            <w14:solidFill>
              <w14:schemeClr w14:val="tx1"/>
            </w14:solidFill>
          </w14:textFill>
        </w:rPr>
        <w:t>/</w:t>
      </w:r>
      <w:r>
        <w:rPr>
          <w:rFonts w:hint="eastAsia" w:asciiTheme="minorEastAsia" w:hAnsiTheme="minorEastAsia"/>
          <w:color w:val="000000" w:themeColor="text1"/>
          <w:sz w:val="24"/>
          <w:szCs w:val="24"/>
          <w:highlight w:val="none"/>
          <w14:textFill>
            <w14:solidFill>
              <w14:schemeClr w14:val="tx1"/>
            </w14:solidFill>
          </w14:textFill>
        </w:rPr>
        <w:t>仲裁文书送达地址，该通信地址用于接收诉讼</w:t>
      </w:r>
      <w:r>
        <w:rPr>
          <w:rFonts w:asciiTheme="minorEastAsia" w:hAnsiTheme="minorEastAsia"/>
          <w:color w:val="000000" w:themeColor="text1"/>
          <w:sz w:val="24"/>
          <w:szCs w:val="24"/>
          <w:highlight w:val="none"/>
          <w14:textFill>
            <w14:solidFill>
              <w14:schemeClr w14:val="tx1"/>
            </w14:solidFill>
          </w14:textFill>
        </w:rPr>
        <w:t>/</w:t>
      </w:r>
      <w:r>
        <w:rPr>
          <w:rFonts w:hint="eastAsia" w:asciiTheme="minorEastAsia" w:hAnsiTheme="minorEastAsia"/>
          <w:color w:val="000000" w:themeColor="text1"/>
          <w:sz w:val="24"/>
          <w:szCs w:val="24"/>
          <w:highlight w:val="none"/>
          <w14:textFill>
            <w14:solidFill>
              <w14:schemeClr w14:val="tx1"/>
            </w14:solidFill>
          </w14:textFill>
        </w:rPr>
        <w:t>仲裁文书（包括但不限于传票、判决书、裁决书、权利义务告知书等法律文书）；法院</w:t>
      </w:r>
      <w:r>
        <w:rPr>
          <w:rFonts w:asciiTheme="minorEastAsia" w:hAnsiTheme="minorEastAsia"/>
          <w:color w:val="000000" w:themeColor="text1"/>
          <w:sz w:val="24"/>
          <w:szCs w:val="24"/>
          <w:highlight w:val="none"/>
          <w14:textFill>
            <w14:solidFill>
              <w14:schemeClr w14:val="tx1"/>
            </w14:solidFill>
          </w14:textFill>
        </w:rPr>
        <w:t>/</w:t>
      </w:r>
      <w:r>
        <w:rPr>
          <w:rFonts w:hint="eastAsia" w:asciiTheme="minorEastAsia" w:hAnsiTheme="minorEastAsia"/>
          <w:color w:val="000000" w:themeColor="text1"/>
          <w:sz w:val="24"/>
          <w:szCs w:val="24"/>
          <w:highlight w:val="none"/>
          <w14:textFill>
            <w14:solidFill>
              <w14:schemeClr w14:val="tx1"/>
            </w14:solidFill>
          </w14:textFill>
        </w:rPr>
        <w:t>仲裁机构按该地址送达的法律文书（包括但不限于传票、判决书、裁决书、权利义务告知书等法律文书），即视为当事人签收，受送达人拒收或无法送达的，不影响送达的效力。</w:t>
      </w:r>
    </w:p>
    <w:p w14:paraId="62E75E4E">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8.4.3若地址为空白，则以国家企业信用信息公示系统查询的住所作为通讯地址。。</w:t>
      </w:r>
    </w:p>
    <w:p w14:paraId="5C2B431F">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8.5 知识产权</w:t>
      </w:r>
      <w:bookmarkEnd w:id="738"/>
    </w:p>
    <w:p w14:paraId="54A3327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委托人提供给咨询人的图纸、委托人为实施工程自行编制或委托编制的技术规范以及反映委托人要求的或其他类似性质文件的著作权属于</w:t>
      </w:r>
      <w:r>
        <w:rPr>
          <w:rFonts w:hint="eastAsia" w:asciiTheme="minorEastAsia" w:hAnsiTheme="minorEastAsia"/>
          <w:color w:val="000000" w:themeColor="text1"/>
          <w:sz w:val="24"/>
          <w:szCs w:val="24"/>
          <w:highlight w:val="none"/>
          <w:u w:val="single"/>
          <w14:textFill>
            <w14:solidFill>
              <w14:schemeClr w14:val="tx1"/>
            </w14:solidFill>
          </w14:textFill>
        </w:rPr>
        <w:t>委托人</w:t>
      </w:r>
      <w:r>
        <w:rPr>
          <w:rFonts w:hint="eastAsia" w:asciiTheme="minorEastAsia" w:hAnsiTheme="minorEastAsia"/>
          <w:color w:val="000000" w:themeColor="text1"/>
          <w:sz w:val="24"/>
          <w:szCs w:val="24"/>
          <w:highlight w:val="none"/>
          <w14:textFill>
            <w14:solidFill>
              <w14:schemeClr w14:val="tx1"/>
            </w14:solidFill>
          </w14:textFill>
        </w:rPr>
        <w:t>。</w:t>
      </w:r>
    </w:p>
    <w:p w14:paraId="332CC19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咨询人为履行本合同约定而编制的成果文件，其著作权属于</w:t>
      </w:r>
      <w:r>
        <w:rPr>
          <w:rFonts w:hint="eastAsia" w:asciiTheme="minorEastAsia" w:hAnsiTheme="minorEastAsia"/>
          <w:color w:val="000000" w:themeColor="text1"/>
          <w:sz w:val="24"/>
          <w:szCs w:val="24"/>
          <w:highlight w:val="none"/>
          <w:u w:val="single"/>
          <w14:textFill>
            <w14:solidFill>
              <w14:schemeClr w14:val="tx1"/>
            </w14:solidFill>
          </w14:textFill>
        </w:rPr>
        <w:t>委托人</w:t>
      </w:r>
      <w:r>
        <w:rPr>
          <w:rFonts w:hint="eastAsia" w:asciiTheme="minorEastAsia" w:hAnsiTheme="minorEastAsia"/>
          <w:color w:val="000000" w:themeColor="text1"/>
          <w:sz w:val="24"/>
          <w:szCs w:val="24"/>
          <w:highlight w:val="none"/>
          <w14:textFill>
            <w14:solidFill>
              <w14:schemeClr w14:val="tx1"/>
            </w14:solidFill>
          </w14:textFill>
        </w:rPr>
        <w:t>。</w:t>
      </w:r>
    </w:p>
    <w:p w14:paraId="1D823616">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双方将履行本合同形成的有关成果文件用于企业宣传、申报奖项以及接受上级主管部门的检查须遵守以下约定：</w:t>
      </w:r>
      <w:r>
        <w:rPr>
          <w:rFonts w:hint="eastAsia" w:asciiTheme="minorEastAsia" w:hAnsiTheme="minorEastAsia"/>
          <w:color w:val="000000" w:themeColor="text1"/>
          <w:sz w:val="24"/>
          <w:szCs w:val="24"/>
          <w:highlight w:val="none"/>
          <w:u w:val="single"/>
          <w14:textFill>
            <w14:solidFill>
              <w14:schemeClr w14:val="tx1"/>
            </w14:solidFill>
          </w14:textFill>
        </w:rPr>
        <w:t>未经委托人同意，咨询人不得将与本合同履行有关的知识成果擅自使用或泄露</w:t>
      </w:r>
      <w:r>
        <w:rPr>
          <w:rFonts w:hint="eastAsia" w:asciiTheme="minorEastAsia" w:hAnsiTheme="minorEastAsia"/>
          <w:color w:val="000000" w:themeColor="text1"/>
          <w:sz w:val="24"/>
          <w:szCs w:val="24"/>
          <w:highlight w:val="none"/>
          <w14:textFill>
            <w14:solidFill>
              <w14:schemeClr w14:val="tx1"/>
            </w14:solidFill>
          </w14:textFill>
        </w:rPr>
        <w:t>。</w:t>
      </w:r>
    </w:p>
    <w:p w14:paraId="70FF2EC3">
      <w:pPr>
        <w:numPr>
          <w:ilvl w:val="255"/>
          <w:numId w:val="0"/>
        </w:num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739" w:name="_Toc76398715"/>
      <w:r>
        <w:rPr>
          <w:rFonts w:hint="eastAsia" w:asciiTheme="minorEastAsia" w:hAnsiTheme="minorEastAsia"/>
          <w:color w:val="000000" w:themeColor="text1"/>
          <w:sz w:val="24"/>
          <w:szCs w:val="24"/>
          <w:highlight w:val="none"/>
          <w14:textFill>
            <w14:solidFill>
              <w14:schemeClr w14:val="tx1"/>
            </w14:solidFill>
          </w14:textFill>
        </w:rPr>
        <w:t>9.补充条款</w:t>
      </w:r>
      <w:bookmarkEnd w:id="739"/>
    </w:p>
    <w:p w14:paraId="35C92A4C">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9.1因咨询人原因，导致委托人解除本合同时，咨询人承担委托人为维护其合法权益产生的一切费用，该费用包括但不限于律师费、诉讼费、财产保全费、财产保全担保费、评估费、审计费、鉴定费、公证费、公告费、差旅费等费用。</w:t>
      </w:r>
    </w:p>
    <w:p w14:paraId="7E8C6392">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9.2咨询人向委托人提出赔偿要求不能成立时，则应补偿由于该赔偿或其他要求所导致委托人的各种费用的支出。</w:t>
      </w:r>
    </w:p>
    <w:p w14:paraId="3D9E11E2">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9.3对从委托人处获取的资料予以保密。为履行本合同义务的工作人员办理社会保险，承担一切安全责任。若其工作人员给委托人或第三人造成损失，责任由咨询人承担。</w:t>
      </w:r>
    </w:p>
    <w:p w14:paraId="712E40C5">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9.4</w:t>
      </w:r>
      <w:r>
        <w:rPr>
          <w:rFonts w:hint="eastAsia" w:asciiTheme="minorEastAsia" w:hAnsiTheme="minorEastAsia"/>
          <w:color w:val="000000" w:themeColor="text1"/>
          <w:sz w:val="24"/>
          <w:szCs w:val="24"/>
          <w:highlight w:val="none"/>
          <w14:textFill>
            <w14:solidFill>
              <w14:schemeClr w14:val="tx1"/>
            </w14:solidFill>
          </w14:textFill>
        </w:rPr>
        <w:t>咨询人免费为委托人提供口头或现场咨询</w:t>
      </w:r>
      <w:r>
        <w:rPr>
          <w:rFonts w:hint="eastAsia" w:ascii="宋体" w:hAnsi="宋体"/>
          <w:color w:val="000000" w:themeColor="text1"/>
          <w:sz w:val="24"/>
          <w:szCs w:val="24"/>
          <w:highlight w:val="none"/>
          <w14:textFill>
            <w14:solidFill>
              <w14:schemeClr w14:val="tx1"/>
            </w14:solidFill>
          </w14:textFill>
        </w:rPr>
        <w:t>，否则视为咨询人违约</w:t>
      </w:r>
      <w:r>
        <w:rPr>
          <w:rFonts w:hint="eastAsia" w:asciiTheme="minorEastAsia" w:hAnsiTheme="minorEastAsia"/>
          <w:color w:val="000000" w:themeColor="text1"/>
          <w:sz w:val="24"/>
          <w:szCs w:val="24"/>
          <w:highlight w:val="none"/>
          <w14:textFill>
            <w14:solidFill>
              <w14:schemeClr w14:val="tx1"/>
            </w14:solidFill>
          </w14:textFill>
        </w:rPr>
        <w:t>。</w:t>
      </w:r>
    </w:p>
    <w:p w14:paraId="2581AE39">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9.5咨询人未按照本合同约定履行义务时，视为咨询人违约，</w:t>
      </w:r>
      <w:r>
        <w:rPr>
          <w:rFonts w:hint="eastAsia" w:ascii="宋体" w:hAnsi="宋体"/>
          <w:color w:val="000000" w:themeColor="text1"/>
          <w:sz w:val="24"/>
          <w:szCs w:val="24"/>
          <w:highlight w:val="none"/>
          <w14:textFill>
            <w14:solidFill>
              <w14:schemeClr w14:val="tx1"/>
            </w14:solidFill>
          </w14:textFill>
        </w:rPr>
        <w:t>咨询人违约时，</w:t>
      </w:r>
      <w:r>
        <w:rPr>
          <w:rFonts w:hint="eastAsia" w:asciiTheme="minorEastAsia" w:hAnsiTheme="minorEastAsia"/>
          <w:color w:val="000000" w:themeColor="text1"/>
          <w:sz w:val="24"/>
          <w:szCs w:val="24"/>
          <w:highlight w:val="none"/>
          <w14:textFill>
            <w14:solidFill>
              <w14:schemeClr w14:val="tx1"/>
            </w14:solidFill>
          </w14:textFill>
        </w:rPr>
        <w:t>委托人有权解除本合同</w:t>
      </w:r>
      <w:r>
        <w:rPr>
          <w:rFonts w:hint="eastAsia" w:ascii="宋体" w:hAnsi="宋体"/>
          <w:color w:val="000000" w:themeColor="text1"/>
          <w:sz w:val="24"/>
          <w:szCs w:val="24"/>
          <w:highlight w:val="none"/>
          <w14:textFill>
            <w14:solidFill>
              <w14:schemeClr w14:val="tx1"/>
            </w14:solidFill>
          </w14:textFill>
        </w:rPr>
        <w:t>，不予支付任何费用，除其他条款约定外，咨询人按照合同约定总金额的30%向委托人承担违约金</w:t>
      </w:r>
      <w:r>
        <w:rPr>
          <w:rFonts w:hint="eastAsia" w:asciiTheme="minorEastAsia" w:hAnsiTheme="minorEastAsia"/>
          <w:color w:val="000000" w:themeColor="text1"/>
          <w:sz w:val="24"/>
          <w:szCs w:val="24"/>
          <w:highlight w:val="none"/>
          <w14:textFill>
            <w14:solidFill>
              <w14:schemeClr w14:val="tx1"/>
            </w14:solidFill>
          </w14:textFill>
        </w:rPr>
        <w:t>。咨询人承担给委托人造成的一切损失。</w:t>
      </w:r>
    </w:p>
    <w:p w14:paraId="560021FD">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9.6</w:t>
      </w:r>
      <w:r>
        <w:rPr>
          <w:rFonts w:hint="eastAsia" w:asciiTheme="minorEastAsia" w:hAnsiTheme="minorEastAsia"/>
          <w:color w:val="000000" w:themeColor="text1"/>
          <w:sz w:val="24"/>
          <w:szCs w:val="24"/>
          <w:highlight w:val="none"/>
          <w14:textFill>
            <w14:solidFill>
              <w14:schemeClr w14:val="tx1"/>
            </w14:solidFill>
          </w14:textFill>
        </w:rPr>
        <w:t>咨询人保证因履行本合同形成的知识成果，未侵害第三人权益，否则应赔偿给委托人造成的全部损失，若委托人因此对外承担责任，有权向咨询人进行全额追偿。</w:t>
      </w:r>
    </w:p>
    <w:p w14:paraId="4C5DC9C1">
      <w:pPr>
        <w:spacing w:line="360" w:lineRule="auto"/>
        <w:ind w:firstLine="480" w:firstLineChars="200"/>
        <w:jc w:val="left"/>
        <w:rPr>
          <w:color w:val="000000" w:themeColor="text1"/>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9.7禁止咨询人将本合同约定事项再进行分包或转委托，否则，视为咨询人违约。</w:t>
      </w:r>
    </w:p>
    <w:p w14:paraId="2B776445">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10如有时，咨询人承担万分之二且不少于500元的建设智慧平台管理费。</w:t>
      </w:r>
    </w:p>
    <w:p w14:paraId="6B04B9E9">
      <w:pPr>
        <w:numPr>
          <w:ilvl w:val="255"/>
          <w:numId w:val="0"/>
        </w:num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bookmarkStart w:id="740" w:name="_Toc76398716"/>
      <w:r>
        <w:rPr>
          <w:rFonts w:hint="eastAsia" w:asciiTheme="minorEastAsia" w:hAnsiTheme="minorEastAsia"/>
          <w:color w:val="000000" w:themeColor="text1"/>
          <w:sz w:val="24"/>
          <w:szCs w:val="24"/>
          <w:highlight w:val="none"/>
          <w14:textFill>
            <w14:solidFill>
              <w14:schemeClr w14:val="tx1"/>
            </w14:solidFill>
          </w14:textFill>
        </w:rPr>
        <w:t>11履约担保：</w:t>
      </w:r>
      <w:r>
        <w:rPr>
          <w:rFonts w:hint="eastAsia" w:asciiTheme="minorEastAsia" w:hAnsiTheme="minorEastAsia"/>
          <w:color w:val="000000" w:themeColor="text1"/>
          <w:sz w:val="24"/>
          <w:szCs w:val="24"/>
          <w:highlight w:val="none"/>
          <w:u w:val="single"/>
          <w14:textFill>
            <w14:solidFill>
              <w14:schemeClr w14:val="tx1"/>
            </w14:solidFill>
          </w14:textFill>
        </w:rPr>
        <w:t xml:space="preserve"> 中标金额10%  </w:t>
      </w:r>
      <w:r>
        <w:rPr>
          <w:rFonts w:hint="eastAsia" w:asciiTheme="minorEastAsia" w:hAnsiTheme="minorEastAsia"/>
          <w:color w:val="000000" w:themeColor="text1"/>
          <w:sz w:val="24"/>
          <w:szCs w:val="24"/>
          <w:highlight w:val="none"/>
          <w14:textFill>
            <w14:solidFill>
              <w14:schemeClr w14:val="tx1"/>
            </w14:solidFill>
          </w14:textFill>
        </w:rPr>
        <w:t>。（20万元以上的合同金额需要履约担保）</w:t>
      </w:r>
    </w:p>
    <w:p w14:paraId="41B7982D">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工程咨询人应按工程咨询合同约定向委托人提交履约担保，履约担保的提交形式、提交时间及退还约定为：现金或咨询人认可的单位出具的履约保函，中标通知书发出后10日内，签订合同之前，逾期未提供，委托人有权终止双方的合同关系，一切责任由咨询人承担；退还约定为工程办理完结算、且咨询人无违约的情形下60日内一次性解保或无息退还。</w:t>
      </w:r>
    </w:p>
    <w:p w14:paraId="51981DA4">
      <w:pPr>
        <w:pStyle w:val="4"/>
        <w:ind w:firstLine="723"/>
        <w:rPr>
          <w:color w:val="000000" w:themeColor="text1"/>
          <w:highlight w:val="none"/>
          <w14:textFill>
            <w14:solidFill>
              <w14:schemeClr w14:val="tx1"/>
            </w14:solidFill>
          </w14:textFill>
        </w:rPr>
      </w:pPr>
    </w:p>
    <w:p w14:paraId="59B75153">
      <w:pPr>
        <w:jc w:val="center"/>
        <w:outlineLvl w:val="0"/>
        <w:rPr>
          <w:color w:val="000000" w:themeColor="text1"/>
          <w:highlight w:val="none"/>
          <w14:textFill>
            <w14:solidFill>
              <w14:schemeClr w14:val="tx1"/>
            </w14:solidFill>
          </w14:textFill>
        </w:rPr>
      </w:pPr>
    </w:p>
    <w:p w14:paraId="48488ECD">
      <w:pPr>
        <w:jc w:val="center"/>
        <w:outlineLvl w:val="0"/>
        <w:rPr>
          <w:color w:val="000000" w:themeColor="text1"/>
          <w:highlight w:val="none"/>
          <w14:textFill>
            <w14:solidFill>
              <w14:schemeClr w14:val="tx1"/>
            </w14:solidFill>
          </w14:textFill>
        </w:rPr>
      </w:pPr>
    </w:p>
    <w:p w14:paraId="58CA1022">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7D729C6D">
      <w:pPr>
        <w:jc w:val="center"/>
        <w:outlineLvl w:val="0"/>
        <w:rPr>
          <w:color w:val="000000" w:themeColor="text1"/>
          <w:highlight w:val="none"/>
          <w14:textFill>
            <w14:solidFill>
              <w14:schemeClr w14:val="tx1"/>
            </w14:solidFill>
          </w14:textFill>
        </w:rPr>
      </w:pPr>
    </w:p>
    <w:p w14:paraId="7D46D892">
      <w:pPr>
        <w:jc w:val="center"/>
        <w:outlineLvl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附录 A 咨询人人员配置一览表</w:t>
      </w:r>
      <w:bookmarkEnd w:id="740"/>
    </w:p>
    <w:tbl>
      <w:tblPr>
        <w:tblStyle w:val="3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58"/>
        <w:gridCol w:w="1525"/>
        <w:gridCol w:w="1348"/>
        <w:gridCol w:w="1359"/>
        <w:gridCol w:w="1623"/>
        <w:gridCol w:w="1633"/>
      </w:tblGrid>
      <w:tr w14:paraId="5C1F69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58" w:type="dxa"/>
          </w:tcPr>
          <w:p w14:paraId="03C6F2E3">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姓名</w:t>
            </w:r>
          </w:p>
        </w:tc>
        <w:tc>
          <w:tcPr>
            <w:tcW w:w="1525" w:type="dxa"/>
          </w:tcPr>
          <w:p w14:paraId="4EB5027E">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职务</w:t>
            </w:r>
          </w:p>
        </w:tc>
        <w:tc>
          <w:tcPr>
            <w:tcW w:w="1348" w:type="dxa"/>
          </w:tcPr>
          <w:p w14:paraId="5DB4EE1D">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专业</w:t>
            </w:r>
          </w:p>
        </w:tc>
        <w:tc>
          <w:tcPr>
            <w:tcW w:w="1359" w:type="dxa"/>
          </w:tcPr>
          <w:p w14:paraId="66A63DA8">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职业资格证</w:t>
            </w:r>
          </w:p>
        </w:tc>
        <w:tc>
          <w:tcPr>
            <w:tcW w:w="1623" w:type="dxa"/>
          </w:tcPr>
          <w:p w14:paraId="2024141C">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联系电话</w:t>
            </w:r>
          </w:p>
        </w:tc>
        <w:tc>
          <w:tcPr>
            <w:tcW w:w="1633" w:type="dxa"/>
          </w:tcPr>
          <w:p w14:paraId="3AC3FA2F">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备注</w:t>
            </w:r>
          </w:p>
        </w:tc>
      </w:tr>
      <w:tr w14:paraId="1940AB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vAlign w:val="center"/>
          </w:tcPr>
          <w:p w14:paraId="52142DAD">
            <w:pPr>
              <w:jc w:val="center"/>
              <w:rPr>
                <w:color w:val="000000" w:themeColor="text1"/>
                <w:sz w:val="24"/>
                <w:szCs w:val="24"/>
                <w:highlight w:val="none"/>
                <w14:textFill>
                  <w14:solidFill>
                    <w14:schemeClr w14:val="tx1"/>
                  </w14:solidFill>
                </w14:textFill>
              </w:rPr>
            </w:pPr>
          </w:p>
        </w:tc>
        <w:tc>
          <w:tcPr>
            <w:tcW w:w="1525" w:type="dxa"/>
            <w:vAlign w:val="center"/>
          </w:tcPr>
          <w:p w14:paraId="559A96B1">
            <w:pPr>
              <w:jc w:val="center"/>
              <w:rPr>
                <w:color w:val="000000" w:themeColor="text1"/>
                <w:highlight w:val="none"/>
                <w14:textFill>
                  <w14:solidFill>
                    <w14:schemeClr w14:val="tx1"/>
                  </w14:solidFill>
                </w14:textFill>
              </w:rPr>
            </w:pPr>
          </w:p>
        </w:tc>
        <w:tc>
          <w:tcPr>
            <w:tcW w:w="1348" w:type="dxa"/>
          </w:tcPr>
          <w:p w14:paraId="08DBB914">
            <w:pPr>
              <w:jc w:val="center"/>
              <w:rPr>
                <w:color w:val="000000" w:themeColor="text1"/>
                <w:highlight w:val="none"/>
                <w14:textFill>
                  <w14:solidFill>
                    <w14:schemeClr w14:val="tx1"/>
                  </w14:solidFill>
                </w14:textFill>
              </w:rPr>
            </w:pPr>
          </w:p>
        </w:tc>
        <w:tc>
          <w:tcPr>
            <w:tcW w:w="1359" w:type="dxa"/>
            <w:vAlign w:val="center"/>
          </w:tcPr>
          <w:p w14:paraId="0969C2F9">
            <w:pPr>
              <w:jc w:val="center"/>
              <w:rPr>
                <w:color w:val="000000" w:themeColor="text1"/>
                <w:sz w:val="24"/>
                <w:szCs w:val="24"/>
                <w:highlight w:val="none"/>
                <w14:textFill>
                  <w14:solidFill>
                    <w14:schemeClr w14:val="tx1"/>
                  </w14:solidFill>
                </w14:textFill>
              </w:rPr>
            </w:pPr>
          </w:p>
        </w:tc>
        <w:tc>
          <w:tcPr>
            <w:tcW w:w="1623" w:type="dxa"/>
            <w:vAlign w:val="center"/>
          </w:tcPr>
          <w:p w14:paraId="604209D5">
            <w:pPr>
              <w:jc w:val="center"/>
              <w:rPr>
                <w:color w:val="000000" w:themeColor="text1"/>
                <w:highlight w:val="none"/>
                <w14:textFill>
                  <w14:solidFill>
                    <w14:schemeClr w14:val="tx1"/>
                  </w14:solidFill>
                </w14:textFill>
              </w:rPr>
            </w:pPr>
          </w:p>
        </w:tc>
        <w:tc>
          <w:tcPr>
            <w:tcW w:w="1633" w:type="dxa"/>
          </w:tcPr>
          <w:p w14:paraId="4888DFCD">
            <w:pPr>
              <w:jc w:val="center"/>
              <w:rPr>
                <w:color w:val="000000" w:themeColor="text1"/>
                <w:highlight w:val="none"/>
                <w14:textFill>
                  <w14:solidFill>
                    <w14:schemeClr w14:val="tx1"/>
                  </w14:solidFill>
                </w14:textFill>
              </w:rPr>
            </w:pPr>
          </w:p>
        </w:tc>
      </w:tr>
      <w:tr w14:paraId="7E8A7B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vAlign w:val="center"/>
          </w:tcPr>
          <w:p w14:paraId="3ED1FEED">
            <w:pPr>
              <w:jc w:val="center"/>
              <w:rPr>
                <w:color w:val="000000" w:themeColor="text1"/>
                <w:sz w:val="24"/>
                <w:szCs w:val="24"/>
                <w:highlight w:val="none"/>
                <w14:textFill>
                  <w14:solidFill>
                    <w14:schemeClr w14:val="tx1"/>
                  </w14:solidFill>
                </w14:textFill>
              </w:rPr>
            </w:pPr>
          </w:p>
        </w:tc>
        <w:tc>
          <w:tcPr>
            <w:tcW w:w="1525" w:type="dxa"/>
            <w:vAlign w:val="center"/>
          </w:tcPr>
          <w:p w14:paraId="32145918">
            <w:pPr>
              <w:jc w:val="center"/>
              <w:rPr>
                <w:color w:val="000000" w:themeColor="text1"/>
                <w:highlight w:val="none"/>
                <w14:textFill>
                  <w14:solidFill>
                    <w14:schemeClr w14:val="tx1"/>
                  </w14:solidFill>
                </w14:textFill>
              </w:rPr>
            </w:pPr>
          </w:p>
        </w:tc>
        <w:tc>
          <w:tcPr>
            <w:tcW w:w="1348" w:type="dxa"/>
          </w:tcPr>
          <w:p w14:paraId="09AA21BD">
            <w:pPr>
              <w:jc w:val="center"/>
              <w:rPr>
                <w:color w:val="000000" w:themeColor="text1"/>
                <w:highlight w:val="none"/>
                <w14:textFill>
                  <w14:solidFill>
                    <w14:schemeClr w14:val="tx1"/>
                  </w14:solidFill>
                </w14:textFill>
              </w:rPr>
            </w:pPr>
          </w:p>
        </w:tc>
        <w:tc>
          <w:tcPr>
            <w:tcW w:w="1359" w:type="dxa"/>
            <w:vAlign w:val="center"/>
          </w:tcPr>
          <w:p w14:paraId="44141D06">
            <w:pPr>
              <w:jc w:val="center"/>
              <w:rPr>
                <w:color w:val="000000" w:themeColor="text1"/>
                <w:sz w:val="24"/>
                <w:szCs w:val="24"/>
                <w:highlight w:val="none"/>
                <w14:textFill>
                  <w14:solidFill>
                    <w14:schemeClr w14:val="tx1"/>
                  </w14:solidFill>
                </w14:textFill>
              </w:rPr>
            </w:pPr>
          </w:p>
        </w:tc>
        <w:tc>
          <w:tcPr>
            <w:tcW w:w="1623" w:type="dxa"/>
            <w:vAlign w:val="center"/>
          </w:tcPr>
          <w:p w14:paraId="2F5DCA75">
            <w:pPr>
              <w:jc w:val="center"/>
              <w:rPr>
                <w:color w:val="000000" w:themeColor="text1"/>
                <w:highlight w:val="none"/>
                <w14:textFill>
                  <w14:solidFill>
                    <w14:schemeClr w14:val="tx1"/>
                  </w14:solidFill>
                </w14:textFill>
              </w:rPr>
            </w:pPr>
          </w:p>
        </w:tc>
        <w:tc>
          <w:tcPr>
            <w:tcW w:w="1633" w:type="dxa"/>
          </w:tcPr>
          <w:p w14:paraId="060F24B9">
            <w:pPr>
              <w:jc w:val="center"/>
              <w:rPr>
                <w:color w:val="000000" w:themeColor="text1"/>
                <w:highlight w:val="none"/>
                <w14:textFill>
                  <w14:solidFill>
                    <w14:schemeClr w14:val="tx1"/>
                  </w14:solidFill>
                </w14:textFill>
              </w:rPr>
            </w:pPr>
          </w:p>
        </w:tc>
      </w:tr>
      <w:tr w14:paraId="727BB9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vAlign w:val="center"/>
          </w:tcPr>
          <w:p w14:paraId="1D4C1D2A">
            <w:pPr>
              <w:jc w:val="center"/>
              <w:rPr>
                <w:color w:val="000000" w:themeColor="text1"/>
                <w:sz w:val="24"/>
                <w:szCs w:val="24"/>
                <w:highlight w:val="none"/>
                <w14:textFill>
                  <w14:solidFill>
                    <w14:schemeClr w14:val="tx1"/>
                  </w14:solidFill>
                </w14:textFill>
              </w:rPr>
            </w:pPr>
          </w:p>
        </w:tc>
        <w:tc>
          <w:tcPr>
            <w:tcW w:w="1525" w:type="dxa"/>
            <w:vAlign w:val="center"/>
          </w:tcPr>
          <w:p w14:paraId="4C0EAEF7">
            <w:pPr>
              <w:jc w:val="center"/>
              <w:rPr>
                <w:color w:val="000000" w:themeColor="text1"/>
                <w:highlight w:val="none"/>
                <w14:textFill>
                  <w14:solidFill>
                    <w14:schemeClr w14:val="tx1"/>
                  </w14:solidFill>
                </w14:textFill>
              </w:rPr>
            </w:pPr>
          </w:p>
        </w:tc>
        <w:tc>
          <w:tcPr>
            <w:tcW w:w="1348" w:type="dxa"/>
          </w:tcPr>
          <w:p w14:paraId="26C06366">
            <w:pPr>
              <w:jc w:val="center"/>
              <w:rPr>
                <w:color w:val="000000" w:themeColor="text1"/>
                <w:highlight w:val="none"/>
                <w14:textFill>
                  <w14:solidFill>
                    <w14:schemeClr w14:val="tx1"/>
                  </w14:solidFill>
                </w14:textFill>
              </w:rPr>
            </w:pPr>
          </w:p>
        </w:tc>
        <w:tc>
          <w:tcPr>
            <w:tcW w:w="1359" w:type="dxa"/>
            <w:vAlign w:val="center"/>
          </w:tcPr>
          <w:p w14:paraId="2C600FC0">
            <w:pPr>
              <w:jc w:val="center"/>
              <w:rPr>
                <w:color w:val="000000" w:themeColor="text1"/>
                <w:sz w:val="24"/>
                <w:szCs w:val="24"/>
                <w:highlight w:val="none"/>
                <w14:textFill>
                  <w14:solidFill>
                    <w14:schemeClr w14:val="tx1"/>
                  </w14:solidFill>
                </w14:textFill>
              </w:rPr>
            </w:pPr>
          </w:p>
        </w:tc>
        <w:tc>
          <w:tcPr>
            <w:tcW w:w="1623" w:type="dxa"/>
            <w:vAlign w:val="center"/>
          </w:tcPr>
          <w:p w14:paraId="7BF5B7D2">
            <w:pPr>
              <w:jc w:val="center"/>
              <w:rPr>
                <w:color w:val="000000" w:themeColor="text1"/>
                <w:highlight w:val="none"/>
                <w14:textFill>
                  <w14:solidFill>
                    <w14:schemeClr w14:val="tx1"/>
                  </w14:solidFill>
                </w14:textFill>
              </w:rPr>
            </w:pPr>
          </w:p>
        </w:tc>
        <w:tc>
          <w:tcPr>
            <w:tcW w:w="1633" w:type="dxa"/>
          </w:tcPr>
          <w:p w14:paraId="6EB0DE0D">
            <w:pPr>
              <w:jc w:val="center"/>
              <w:rPr>
                <w:color w:val="000000" w:themeColor="text1"/>
                <w:highlight w:val="none"/>
                <w14:textFill>
                  <w14:solidFill>
                    <w14:schemeClr w14:val="tx1"/>
                  </w14:solidFill>
                </w14:textFill>
              </w:rPr>
            </w:pPr>
          </w:p>
        </w:tc>
      </w:tr>
      <w:tr w14:paraId="441CCF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99" w:hRule="atLeast"/>
        </w:trPr>
        <w:tc>
          <w:tcPr>
            <w:tcW w:w="1458" w:type="dxa"/>
          </w:tcPr>
          <w:p w14:paraId="5741AADD">
            <w:pPr>
              <w:jc w:val="center"/>
              <w:rPr>
                <w:color w:val="000000" w:themeColor="text1"/>
                <w:highlight w:val="none"/>
                <w14:textFill>
                  <w14:solidFill>
                    <w14:schemeClr w14:val="tx1"/>
                  </w14:solidFill>
                </w14:textFill>
              </w:rPr>
            </w:pPr>
          </w:p>
        </w:tc>
        <w:tc>
          <w:tcPr>
            <w:tcW w:w="1525" w:type="dxa"/>
          </w:tcPr>
          <w:p w14:paraId="773791A1">
            <w:pPr>
              <w:jc w:val="center"/>
              <w:rPr>
                <w:color w:val="000000" w:themeColor="text1"/>
                <w:highlight w:val="none"/>
                <w14:textFill>
                  <w14:solidFill>
                    <w14:schemeClr w14:val="tx1"/>
                  </w14:solidFill>
                </w14:textFill>
              </w:rPr>
            </w:pPr>
          </w:p>
        </w:tc>
        <w:tc>
          <w:tcPr>
            <w:tcW w:w="1348" w:type="dxa"/>
          </w:tcPr>
          <w:p w14:paraId="65DBAB51">
            <w:pPr>
              <w:jc w:val="center"/>
              <w:rPr>
                <w:color w:val="000000" w:themeColor="text1"/>
                <w:highlight w:val="none"/>
                <w14:textFill>
                  <w14:solidFill>
                    <w14:schemeClr w14:val="tx1"/>
                  </w14:solidFill>
                </w14:textFill>
              </w:rPr>
            </w:pPr>
          </w:p>
        </w:tc>
        <w:tc>
          <w:tcPr>
            <w:tcW w:w="1359" w:type="dxa"/>
          </w:tcPr>
          <w:p w14:paraId="69D359FB">
            <w:pPr>
              <w:jc w:val="center"/>
              <w:rPr>
                <w:color w:val="000000" w:themeColor="text1"/>
                <w:highlight w:val="none"/>
                <w14:textFill>
                  <w14:solidFill>
                    <w14:schemeClr w14:val="tx1"/>
                  </w14:solidFill>
                </w14:textFill>
              </w:rPr>
            </w:pPr>
          </w:p>
        </w:tc>
        <w:tc>
          <w:tcPr>
            <w:tcW w:w="1623" w:type="dxa"/>
          </w:tcPr>
          <w:p w14:paraId="53479B89">
            <w:pPr>
              <w:jc w:val="center"/>
              <w:rPr>
                <w:color w:val="000000" w:themeColor="text1"/>
                <w:highlight w:val="none"/>
                <w14:textFill>
                  <w14:solidFill>
                    <w14:schemeClr w14:val="tx1"/>
                  </w14:solidFill>
                </w14:textFill>
              </w:rPr>
            </w:pPr>
          </w:p>
        </w:tc>
        <w:tc>
          <w:tcPr>
            <w:tcW w:w="1633" w:type="dxa"/>
          </w:tcPr>
          <w:p w14:paraId="456C0792">
            <w:pPr>
              <w:jc w:val="center"/>
              <w:rPr>
                <w:color w:val="000000" w:themeColor="text1"/>
                <w:highlight w:val="none"/>
                <w14:textFill>
                  <w14:solidFill>
                    <w14:schemeClr w14:val="tx1"/>
                  </w14:solidFill>
                </w14:textFill>
              </w:rPr>
            </w:pPr>
          </w:p>
        </w:tc>
      </w:tr>
      <w:tr w14:paraId="10539C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tcPr>
          <w:p w14:paraId="3B00E85E">
            <w:pPr>
              <w:jc w:val="center"/>
              <w:rPr>
                <w:color w:val="000000" w:themeColor="text1"/>
                <w:highlight w:val="none"/>
                <w14:textFill>
                  <w14:solidFill>
                    <w14:schemeClr w14:val="tx1"/>
                  </w14:solidFill>
                </w14:textFill>
              </w:rPr>
            </w:pPr>
          </w:p>
        </w:tc>
        <w:tc>
          <w:tcPr>
            <w:tcW w:w="1525" w:type="dxa"/>
          </w:tcPr>
          <w:p w14:paraId="6C28B22A">
            <w:pPr>
              <w:jc w:val="center"/>
              <w:rPr>
                <w:color w:val="000000" w:themeColor="text1"/>
                <w:highlight w:val="none"/>
                <w14:textFill>
                  <w14:solidFill>
                    <w14:schemeClr w14:val="tx1"/>
                  </w14:solidFill>
                </w14:textFill>
              </w:rPr>
            </w:pPr>
          </w:p>
        </w:tc>
        <w:tc>
          <w:tcPr>
            <w:tcW w:w="1348" w:type="dxa"/>
          </w:tcPr>
          <w:p w14:paraId="1EBD5BFC">
            <w:pPr>
              <w:jc w:val="center"/>
              <w:rPr>
                <w:color w:val="000000" w:themeColor="text1"/>
                <w:highlight w:val="none"/>
                <w14:textFill>
                  <w14:solidFill>
                    <w14:schemeClr w14:val="tx1"/>
                  </w14:solidFill>
                </w14:textFill>
              </w:rPr>
            </w:pPr>
          </w:p>
        </w:tc>
        <w:tc>
          <w:tcPr>
            <w:tcW w:w="1359" w:type="dxa"/>
          </w:tcPr>
          <w:p w14:paraId="2D01000C">
            <w:pPr>
              <w:jc w:val="center"/>
              <w:rPr>
                <w:color w:val="000000" w:themeColor="text1"/>
                <w:highlight w:val="none"/>
                <w14:textFill>
                  <w14:solidFill>
                    <w14:schemeClr w14:val="tx1"/>
                  </w14:solidFill>
                </w14:textFill>
              </w:rPr>
            </w:pPr>
          </w:p>
        </w:tc>
        <w:tc>
          <w:tcPr>
            <w:tcW w:w="1623" w:type="dxa"/>
          </w:tcPr>
          <w:p w14:paraId="429AB2CD">
            <w:pPr>
              <w:jc w:val="center"/>
              <w:rPr>
                <w:color w:val="000000" w:themeColor="text1"/>
                <w:highlight w:val="none"/>
                <w14:textFill>
                  <w14:solidFill>
                    <w14:schemeClr w14:val="tx1"/>
                  </w14:solidFill>
                </w14:textFill>
              </w:rPr>
            </w:pPr>
          </w:p>
        </w:tc>
        <w:tc>
          <w:tcPr>
            <w:tcW w:w="1633" w:type="dxa"/>
          </w:tcPr>
          <w:p w14:paraId="7694DA42">
            <w:pPr>
              <w:jc w:val="center"/>
              <w:rPr>
                <w:color w:val="000000" w:themeColor="text1"/>
                <w:highlight w:val="none"/>
                <w14:textFill>
                  <w14:solidFill>
                    <w14:schemeClr w14:val="tx1"/>
                  </w14:solidFill>
                </w14:textFill>
              </w:rPr>
            </w:pPr>
          </w:p>
        </w:tc>
      </w:tr>
    </w:tbl>
    <w:p w14:paraId="47C79C75">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注：1.合同签订时，出具以上人员任命书，并附身份证、职业资格证书等复印件（两套）。</w:t>
      </w:r>
    </w:p>
    <w:p w14:paraId="3B3ED9B1">
      <w:pPr>
        <w:jc w:val="center"/>
        <w:rPr>
          <w:color w:val="000000" w:themeColor="text1"/>
          <w:highlight w:val="none"/>
          <w14:textFill>
            <w14:solidFill>
              <w14:schemeClr w14:val="tx1"/>
            </w14:solidFill>
          </w14:textFill>
        </w:rPr>
      </w:pPr>
    </w:p>
    <w:p w14:paraId="28BC3E7C">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2B219EC5">
      <w:pPr>
        <w:jc w:val="center"/>
        <w:rPr>
          <w:color w:val="000000" w:themeColor="text1"/>
          <w:highlight w:val="none"/>
          <w14:textFill>
            <w14:solidFill>
              <w14:schemeClr w14:val="tx1"/>
            </w14:solidFill>
          </w14:textFill>
        </w:rPr>
      </w:pPr>
    </w:p>
    <w:p w14:paraId="0C5BCEE3">
      <w:pPr>
        <w:jc w:val="center"/>
        <w:outlineLvl w:val="0"/>
        <w:rPr>
          <w:color w:val="000000" w:themeColor="text1"/>
          <w:highlight w:val="none"/>
          <w14:textFill>
            <w14:solidFill>
              <w14:schemeClr w14:val="tx1"/>
            </w14:solidFill>
          </w14:textFill>
        </w:rPr>
      </w:pPr>
      <w:bookmarkStart w:id="741" w:name="_Toc76398717"/>
      <w:r>
        <w:rPr>
          <w:rFonts w:hint="eastAsia"/>
          <w:color w:val="000000" w:themeColor="text1"/>
          <w:highlight w:val="none"/>
          <w14:textFill>
            <w14:solidFill>
              <w14:schemeClr w14:val="tx1"/>
            </w14:solidFill>
          </w14:textFill>
        </w:rPr>
        <w:t>附录 B 咨询人提交成果文件一览表</w:t>
      </w:r>
      <w:bookmarkEnd w:id="741"/>
    </w:p>
    <w:tbl>
      <w:tblPr>
        <w:tblStyle w:val="3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82"/>
        <w:gridCol w:w="1483"/>
        <w:gridCol w:w="1483"/>
        <w:gridCol w:w="1483"/>
        <w:gridCol w:w="1483"/>
        <w:gridCol w:w="1483"/>
      </w:tblGrid>
      <w:tr w14:paraId="001BAD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tcPr>
          <w:p w14:paraId="535686DF">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服务阶段</w:t>
            </w:r>
          </w:p>
        </w:tc>
        <w:tc>
          <w:tcPr>
            <w:tcW w:w="1483" w:type="dxa"/>
          </w:tcPr>
          <w:p w14:paraId="6B3F5F10">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成果文件名称</w:t>
            </w:r>
          </w:p>
        </w:tc>
        <w:tc>
          <w:tcPr>
            <w:tcW w:w="1483" w:type="dxa"/>
          </w:tcPr>
          <w:p w14:paraId="02069DF5">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成果文件组成</w:t>
            </w:r>
          </w:p>
        </w:tc>
        <w:tc>
          <w:tcPr>
            <w:tcW w:w="1483" w:type="dxa"/>
          </w:tcPr>
          <w:p w14:paraId="352558BE">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提交时间</w:t>
            </w:r>
          </w:p>
        </w:tc>
        <w:tc>
          <w:tcPr>
            <w:tcW w:w="1483" w:type="dxa"/>
          </w:tcPr>
          <w:p w14:paraId="19A20160">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份数</w:t>
            </w:r>
          </w:p>
        </w:tc>
        <w:tc>
          <w:tcPr>
            <w:tcW w:w="1483" w:type="dxa"/>
          </w:tcPr>
          <w:p w14:paraId="0AAC4EED">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质量标准</w:t>
            </w:r>
          </w:p>
        </w:tc>
      </w:tr>
      <w:tr w14:paraId="03C281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restart"/>
            <w:vAlign w:val="center"/>
          </w:tcPr>
          <w:p w14:paraId="28692552">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实施阶段</w:t>
            </w:r>
          </w:p>
        </w:tc>
        <w:tc>
          <w:tcPr>
            <w:tcW w:w="1483" w:type="dxa"/>
            <w:vAlign w:val="center"/>
          </w:tcPr>
          <w:p w14:paraId="4743CBD3">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全过程造价咨询控制方案</w:t>
            </w:r>
          </w:p>
        </w:tc>
        <w:tc>
          <w:tcPr>
            <w:tcW w:w="1483" w:type="dxa"/>
            <w:vAlign w:val="center"/>
          </w:tcPr>
          <w:p w14:paraId="3BDF43C6">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全过程造价咨询控制方案</w:t>
            </w:r>
          </w:p>
        </w:tc>
        <w:tc>
          <w:tcPr>
            <w:tcW w:w="1483" w:type="dxa"/>
            <w:vAlign w:val="center"/>
          </w:tcPr>
          <w:p w14:paraId="2DFEC1AF">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项目开工前</w:t>
            </w:r>
          </w:p>
        </w:tc>
        <w:tc>
          <w:tcPr>
            <w:tcW w:w="1483" w:type="dxa"/>
            <w:vAlign w:val="center"/>
          </w:tcPr>
          <w:p w14:paraId="76FA2568">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2C647CCE">
            <w:pPr>
              <w:jc w:val="center"/>
              <w:rPr>
                <w:rFonts w:asciiTheme="minorEastAsia" w:hAnsiTheme="minorEastAsia"/>
                <w:color w:val="000000" w:themeColor="text1"/>
                <w:szCs w:val="21"/>
                <w:highlight w:val="none"/>
                <w14:textFill>
                  <w14:solidFill>
                    <w14:schemeClr w14:val="tx1"/>
                  </w14:solidFill>
                </w14:textFill>
              </w:rPr>
            </w:pPr>
          </w:p>
        </w:tc>
      </w:tr>
      <w:tr w14:paraId="0889C0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54AC9AE9">
            <w:pPr>
              <w:jc w:val="center"/>
              <w:rPr>
                <w:color w:val="000000" w:themeColor="text1"/>
                <w:highlight w:val="none"/>
                <w14:textFill>
                  <w14:solidFill>
                    <w14:schemeClr w14:val="tx1"/>
                  </w14:solidFill>
                </w14:textFill>
              </w:rPr>
            </w:pPr>
          </w:p>
        </w:tc>
        <w:tc>
          <w:tcPr>
            <w:tcW w:w="1483" w:type="dxa"/>
            <w:vAlign w:val="center"/>
          </w:tcPr>
          <w:p w14:paraId="2DDDDAF9">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收方签证单</w:t>
            </w:r>
          </w:p>
        </w:tc>
        <w:tc>
          <w:tcPr>
            <w:tcW w:w="1483" w:type="dxa"/>
            <w:vAlign w:val="center"/>
          </w:tcPr>
          <w:p w14:paraId="0AE5373C">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收方单、签证单</w:t>
            </w:r>
          </w:p>
        </w:tc>
        <w:tc>
          <w:tcPr>
            <w:tcW w:w="1483" w:type="dxa"/>
            <w:vAlign w:val="center"/>
          </w:tcPr>
          <w:p w14:paraId="27681E02">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施工单位提交收方签证单之日起三日内</w:t>
            </w:r>
          </w:p>
        </w:tc>
        <w:tc>
          <w:tcPr>
            <w:tcW w:w="1483" w:type="dxa"/>
            <w:vAlign w:val="center"/>
          </w:tcPr>
          <w:p w14:paraId="173FC573">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7899EE10">
            <w:pPr>
              <w:jc w:val="center"/>
              <w:rPr>
                <w:rFonts w:asciiTheme="minorEastAsia" w:hAnsiTheme="minorEastAsia"/>
                <w:color w:val="000000" w:themeColor="text1"/>
                <w:szCs w:val="21"/>
                <w:highlight w:val="none"/>
                <w14:textFill>
                  <w14:solidFill>
                    <w14:schemeClr w14:val="tx1"/>
                  </w14:solidFill>
                </w14:textFill>
              </w:rPr>
            </w:pPr>
          </w:p>
        </w:tc>
      </w:tr>
      <w:tr w14:paraId="02A281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468C64A5">
            <w:pPr>
              <w:jc w:val="center"/>
              <w:rPr>
                <w:color w:val="000000" w:themeColor="text1"/>
                <w:highlight w:val="none"/>
                <w14:textFill>
                  <w14:solidFill>
                    <w14:schemeClr w14:val="tx1"/>
                  </w14:solidFill>
                </w14:textFill>
              </w:rPr>
            </w:pPr>
          </w:p>
        </w:tc>
        <w:tc>
          <w:tcPr>
            <w:tcW w:w="1483" w:type="dxa"/>
            <w:vAlign w:val="center"/>
          </w:tcPr>
          <w:p w14:paraId="78D24D30">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认质核价单</w:t>
            </w:r>
          </w:p>
        </w:tc>
        <w:tc>
          <w:tcPr>
            <w:tcW w:w="1483" w:type="dxa"/>
            <w:vAlign w:val="center"/>
          </w:tcPr>
          <w:p w14:paraId="4FA53471">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认质核价单</w:t>
            </w:r>
          </w:p>
        </w:tc>
        <w:tc>
          <w:tcPr>
            <w:tcW w:w="1483" w:type="dxa"/>
            <w:vAlign w:val="center"/>
          </w:tcPr>
          <w:p w14:paraId="23B8472D">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施工单位提交认质核价单之日起七日内</w:t>
            </w:r>
          </w:p>
        </w:tc>
        <w:tc>
          <w:tcPr>
            <w:tcW w:w="1483" w:type="dxa"/>
            <w:vAlign w:val="center"/>
          </w:tcPr>
          <w:p w14:paraId="11CA2CCE">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7A39FB4A">
            <w:pPr>
              <w:jc w:val="center"/>
              <w:rPr>
                <w:rFonts w:asciiTheme="minorEastAsia" w:hAnsiTheme="minorEastAsia"/>
                <w:color w:val="000000" w:themeColor="text1"/>
                <w:szCs w:val="21"/>
                <w:highlight w:val="none"/>
                <w14:textFill>
                  <w14:solidFill>
                    <w14:schemeClr w14:val="tx1"/>
                  </w14:solidFill>
                </w14:textFill>
              </w:rPr>
            </w:pPr>
          </w:p>
        </w:tc>
      </w:tr>
      <w:tr w14:paraId="6299DB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3DE6AF6D">
            <w:pPr>
              <w:jc w:val="center"/>
              <w:rPr>
                <w:color w:val="000000" w:themeColor="text1"/>
                <w:highlight w:val="none"/>
                <w14:textFill>
                  <w14:solidFill>
                    <w14:schemeClr w14:val="tx1"/>
                  </w14:solidFill>
                </w14:textFill>
              </w:rPr>
            </w:pPr>
          </w:p>
        </w:tc>
        <w:tc>
          <w:tcPr>
            <w:tcW w:w="1483" w:type="dxa"/>
            <w:vAlign w:val="center"/>
          </w:tcPr>
          <w:p w14:paraId="560AA215">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变更核算</w:t>
            </w:r>
          </w:p>
        </w:tc>
        <w:tc>
          <w:tcPr>
            <w:tcW w:w="1483" w:type="dxa"/>
            <w:vAlign w:val="center"/>
          </w:tcPr>
          <w:p w14:paraId="5FBF10E5">
            <w:pP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预算书</w:t>
            </w:r>
          </w:p>
        </w:tc>
        <w:tc>
          <w:tcPr>
            <w:tcW w:w="1483" w:type="dxa"/>
            <w:vAlign w:val="center"/>
          </w:tcPr>
          <w:p w14:paraId="24894337">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施工单位提交变更预算书之日起七日内</w:t>
            </w:r>
          </w:p>
        </w:tc>
        <w:tc>
          <w:tcPr>
            <w:tcW w:w="1483" w:type="dxa"/>
            <w:vAlign w:val="center"/>
          </w:tcPr>
          <w:p w14:paraId="735B2505">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027FB5AD">
            <w:pPr>
              <w:jc w:val="center"/>
              <w:rPr>
                <w:rFonts w:asciiTheme="minorEastAsia" w:hAnsiTheme="minorEastAsia"/>
                <w:color w:val="000000" w:themeColor="text1"/>
                <w:szCs w:val="21"/>
                <w:highlight w:val="none"/>
                <w14:textFill>
                  <w14:solidFill>
                    <w14:schemeClr w14:val="tx1"/>
                  </w14:solidFill>
                </w14:textFill>
              </w:rPr>
            </w:pPr>
          </w:p>
        </w:tc>
      </w:tr>
      <w:tr w14:paraId="398259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4AEFB3F6">
            <w:pPr>
              <w:jc w:val="center"/>
              <w:rPr>
                <w:color w:val="000000" w:themeColor="text1"/>
                <w:highlight w:val="none"/>
                <w14:textFill>
                  <w14:solidFill>
                    <w14:schemeClr w14:val="tx1"/>
                  </w14:solidFill>
                </w14:textFill>
              </w:rPr>
            </w:pPr>
          </w:p>
        </w:tc>
        <w:tc>
          <w:tcPr>
            <w:tcW w:w="1483" w:type="dxa"/>
            <w:vAlign w:val="center"/>
          </w:tcPr>
          <w:p w14:paraId="79A2B7A1">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进度款支付情况表</w:t>
            </w:r>
          </w:p>
        </w:tc>
        <w:tc>
          <w:tcPr>
            <w:tcW w:w="1483" w:type="dxa"/>
            <w:vAlign w:val="center"/>
          </w:tcPr>
          <w:p w14:paraId="79E1C03B">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进度款审批表及附件</w:t>
            </w:r>
          </w:p>
        </w:tc>
        <w:tc>
          <w:tcPr>
            <w:tcW w:w="1483" w:type="dxa"/>
            <w:vAlign w:val="center"/>
          </w:tcPr>
          <w:p w14:paraId="6555CAFC">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施工单位提交进度款支付申请之日起七日内</w:t>
            </w:r>
          </w:p>
        </w:tc>
        <w:tc>
          <w:tcPr>
            <w:tcW w:w="1483" w:type="dxa"/>
            <w:vAlign w:val="center"/>
          </w:tcPr>
          <w:p w14:paraId="7BBBC070">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76F3356C">
            <w:pPr>
              <w:jc w:val="center"/>
              <w:rPr>
                <w:rFonts w:asciiTheme="minorEastAsia" w:hAnsiTheme="minorEastAsia"/>
                <w:color w:val="000000" w:themeColor="text1"/>
                <w:szCs w:val="21"/>
                <w:highlight w:val="none"/>
                <w14:textFill>
                  <w14:solidFill>
                    <w14:schemeClr w14:val="tx1"/>
                  </w14:solidFill>
                </w14:textFill>
              </w:rPr>
            </w:pPr>
          </w:p>
        </w:tc>
      </w:tr>
      <w:tr w14:paraId="04286B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17AB554F">
            <w:pPr>
              <w:jc w:val="center"/>
              <w:rPr>
                <w:color w:val="000000" w:themeColor="text1"/>
                <w:highlight w:val="none"/>
                <w14:textFill>
                  <w14:solidFill>
                    <w14:schemeClr w14:val="tx1"/>
                  </w14:solidFill>
                </w14:textFill>
              </w:rPr>
            </w:pPr>
          </w:p>
        </w:tc>
        <w:tc>
          <w:tcPr>
            <w:tcW w:w="1483" w:type="dxa"/>
            <w:vAlign w:val="center"/>
          </w:tcPr>
          <w:p w14:paraId="719DB3A5">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月度情况报告书</w:t>
            </w:r>
          </w:p>
        </w:tc>
        <w:tc>
          <w:tcPr>
            <w:tcW w:w="1483" w:type="dxa"/>
            <w:vAlign w:val="center"/>
          </w:tcPr>
          <w:p w14:paraId="412B5696">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月度情况报告书</w:t>
            </w:r>
          </w:p>
        </w:tc>
        <w:tc>
          <w:tcPr>
            <w:tcW w:w="1483" w:type="dxa"/>
            <w:vAlign w:val="center"/>
          </w:tcPr>
          <w:p w14:paraId="25F8ED6B">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每月28号</w:t>
            </w:r>
          </w:p>
        </w:tc>
        <w:tc>
          <w:tcPr>
            <w:tcW w:w="1483" w:type="dxa"/>
            <w:vAlign w:val="center"/>
          </w:tcPr>
          <w:p w14:paraId="2A7C98D4">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541F9250">
            <w:pPr>
              <w:jc w:val="center"/>
              <w:rPr>
                <w:rFonts w:asciiTheme="minorEastAsia" w:hAnsiTheme="minorEastAsia"/>
                <w:color w:val="000000" w:themeColor="text1"/>
                <w:szCs w:val="21"/>
                <w:highlight w:val="none"/>
                <w14:textFill>
                  <w14:solidFill>
                    <w14:schemeClr w14:val="tx1"/>
                  </w14:solidFill>
                </w14:textFill>
              </w:rPr>
            </w:pPr>
          </w:p>
        </w:tc>
      </w:tr>
      <w:tr w14:paraId="6ACA2A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4571FB22">
            <w:pPr>
              <w:jc w:val="center"/>
              <w:rPr>
                <w:color w:val="000000" w:themeColor="text1"/>
                <w:highlight w:val="none"/>
                <w14:textFill>
                  <w14:solidFill>
                    <w14:schemeClr w14:val="tx1"/>
                  </w14:solidFill>
                </w14:textFill>
              </w:rPr>
            </w:pPr>
          </w:p>
        </w:tc>
        <w:tc>
          <w:tcPr>
            <w:tcW w:w="1483" w:type="dxa"/>
            <w:vAlign w:val="center"/>
          </w:tcPr>
          <w:p w14:paraId="0C45AAD8">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364A1B13">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61A3C9A6">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17D6491E">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53A4BE07">
            <w:pPr>
              <w:jc w:val="center"/>
              <w:rPr>
                <w:rFonts w:asciiTheme="minorEastAsia" w:hAnsiTheme="minorEastAsia"/>
                <w:color w:val="000000" w:themeColor="text1"/>
                <w:szCs w:val="21"/>
                <w:highlight w:val="none"/>
                <w14:textFill>
                  <w14:solidFill>
                    <w14:schemeClr w14:val="tx1"/>
                  </w14:solidFill>
                </w14:textFill>
              </w:rPr>
            </w:pPr>
          </w:p>
        </w:tc>
      </w:tr>
      <w:tr w14:paraId="72D263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7CA1D013">
            <w:pPr>
              <w:jc w:val="center"/>
              <w:rPr>
                <w:color w:val="000000" w:themeColor="text1"/>
                <w:highlight w:val="none"/>
                <w14:textFill>
                  <w14:solidFill>
                    <w14:schemeClr w14:val="tx1"/>
                  </w14:solidFill>
                </w14:textFill>
              </w:rPr>
            </w:pPr>
          </w:p>
        </w:tc>
        <w:tc>
          <w:tcPr>
            <w:tcW w:w="1483" w:type="dxa"/>
            <w:vAlign w:val="center"/>
          </w:tcPr>
          <w:p w14:paraId="492A838F">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5C8D31CC">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59DEB08B">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0C684CB7">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2C787316">
            <w:pPr>
              <w:jc w:val="center"/>
              <w:rPr>
                <w:rFonts w:asciiTheme="minorEastAsia" w:hAnsiTheme="minorEastAsia"/>
                <w:color w:val="000000" w:themeColor="text1"/>
                <w:szCs w:val="21"/>
                <w:highlight w:val="none"/>
                <w14:textFill>
                  <w14:solidFill>
                    <w14:schemeClr w14:val="tx1"/>
                  </w14:solidFill>
                </w14:textFill>
              </w:rPr>
            </w:pPr>
          </w:p>
        </w:tc>
      </w:tr>
      <w:tr w14:paraId="7DF7A6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037A7D80">
            <w:pPr>
              <w:jc w:val="center"/>
              <w:rPr>
                <w:color w:val="000000" w:themeColor="text1"/>
                <w:highlight w:val="none"/>
                <w14:textFill>
                  <w14:solidFill>
                    <w14:schemeClr w14:val="tx1"/>
                  </w14:solidFill>
                </w14:textFill>
              </w:rPr>
            </w:pPr>
          </w:p>
        </w:tc>
        <w:tc>
          <w:tcPr>
            <w:tcW w:w="1483" w:type="dxa"/>
            <w:vAlign w:val="center"/>
          </w:tcPr>
          <w:p w14:paraId="093DD217">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74B114A2">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27B0B1C0">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79369E32">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45C6A414">
            <w:pPr>
              <w:jc w:val="center"/>
              <w:rPr>
                <w:rFonts w:asciiTheme="minorEastAsia" w:hAnsiTheme="minorEastAsia"/>
                <w:color w:val="000000" w:themeColor="text1"/>
                <w:szCs w:val="21"/>
                <w:highlight w:val="none"/>
                <w14:textFill>
                  <w14:solidFill>
                    <w14:schemeClr w14:val="tx1"/>
                  </w14:solidFill>
                </w14:textFill>
              </w:rPr>
            </w:pPr>
          </w:p>
        </w:tc>
      </w:tr>
      <w:tr w14:paraId="515982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7C8C61C5">
            <w:pPr>
              <w:jc w:val="center"/>
              <w:rPr>
                <w:color w:val="000000" w:themeColor="text1"/>
                <w:highlight w:val="none"/>
                <w14:textFill>
                  <w14:solidFill>
                    <w14:schemeClr w14:val="tx1"/>
                  </w14:solidFill>
                </w14:textFill>
              </w:rPr>
            </w:pPr>
          </w:p>
        </w:tc>
        <w:tc>
          <w:tcPr>
            <w:tcW w:w="1483" w:type="dxa"/>
            <w:vAlign w:val="center"/>
          </w:tcPr>
          <w:p w14:paraId="12130557">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11D7796B">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7968836D">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0B0236D0">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207A44B2">
            <w:pPr>
              <w:jc w:val="center"/>
              <w:rPr>
                <w:rFonts w:asciiTheme="minorEastAsia" w:hAnsiTheme="minorEastAsia"/>
                <w:color w:val="000000" w:themeColor="text1"/>
                <w:szCs w:val="21"/>
                <w:highlight w:val="none"/>
                <w14:textFill>
                  <w14:solidFill>
                    <w14:schemeClr w14:val="tx1"/>
                  </w14:solidFill>
                </w14:textFill>
              </w:rPr>
            </w:pPr>
          </w:p>
        </w:tc>
      </w:tr>
      <w:tr w14:paraId="7C842B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27192A0C">
            <w:pPr>
              <w:jc w:val="center"/>
              <w:rPr>
                <w:color w:val="000000" w:themeColor="text1"/>
                <w:highlight w:val="none"/>
                <w14:textFill>
                  <w14:solidFill>
                    <w14:schemeClr w14:val="tx1"/>
                  </w14:solidFill>
                </w14:textFill>
              </w:rPr>
            </w:pPr>
          </w:p>
        </w:tc>
        <w:tc>
          <w:tcPr>
            <w:tcW w:w="1483" w:type="dxa"/>
            <w:vAlign w:val="center"/>
          </w:tcPr>
          <w:p w14:paraId="769D8010">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4368FC83">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77F71DE8">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354487B1">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6CF5CB48">
            <w:pPr>
              <w:jc w:val="center"/>
              <w:rPr>
                <w:rFonts w:asciiTheme="minorEastAsia" w:hAnsiTheme="minorEastAsia"/>
                <w:color w:val="000000" w:themeColor="text1"/>
                <w:szCs w:val="21"/>
                <w:highlight w:val="none"/>
                <w14:textFill>
                  <w14:solidFill>
                    <w14:schemeClr w14:val="tx1"/>
                  </w14:solidFill>
                </w14:textFill>
              </w:rPr>
            </w:pPr>
          </w:p>
        </w:tc>
      </w:tr>
      <w:tr w14:paraId="40BD51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restart"/>
            <w:vAlign w:val="center"/>
          </w:tcPr>
          <w:p w14:paraId="04167D64">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竣工阶段</w:t>
            </w:r>
          </w:p>
        </w:tc>
        <w:tc>
          <w:tcPr>
            <w:tcW w:w="1483" w:type="dxa"/>
            <w:vAlign w:val="center"/>
          </w:tcPr>
          <w:p w14:paraId="1623DAC4">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竣工结算报告</w:t>
            </w:r>
          </w:p>
        </w:tc>
        <w:tc>
          <w:tcPr>
            <w:tcW w:w="1483" w:type="dxa"/>
            <w:vAlign w:val="center"/>
          </w:tcPr>
          <w:p w14:paraId="1F63CF1C">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竣工结算报告、结算书、营业执照、造价资质证书</w:t>
            </w:r>
          </w:p>
        </w:tc>
        <w:tc>
          <w:tcPr>
            <w:tcW w:w="1483" w:type="dxa"/>
            <w:vAlign w:val="center"/>
          </w:tcPr>
          <w:p w14:paraId="6081BC63">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施工单位提交竣工结算资料之日起14日内</w:t>
            </w:r>
          </w:p>
        </w:tc>
        <w:tc>
          <w:tcPr>
            <w:tcW w:w="1483" w:type="dxa"/>
            <w:vAlign w:val="center"/>
          </w:tcPr>
          <w:p w14:paraId="7E66ACBE">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265D9BE5">
            <w:pPr>
              <w:jc w:val="center"/>
              <w:rPr>
                <w:rFonts w:asciiTheme="minorEastAsia" w:hAnsiTheme="minorEastAsia"/>
                <w:color w:val="000000" w:themeColor="text1"/>
                <w:szCs w:val="21"/>
                <w:highlight w:val="none"/>
                <w14:textFill>
                  <w14:solidFill>
                    <w14:schemeClr w14:val="tx1"/>
                  </w14:solidFill>
                </w14:textFill>
              </w:rPr>
            </w:pPr>
          </w:p>
        </w:tc>
      </w:tr>
      <w:tr w14:paraId="592108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113764FC">
            <w:pPr>
              <w:jc w:val="center"/>
              <w:rPr>
                <w:color w:val="000000" w:themeColor="text1"/>
                <w:highlight w:val="none"/>
                <w14:textFill>
                  <w14:solidFill>
                    <w14:schemeClr w14:val="tx1"/>
                  </w14:solidFill>
                </w14:textFill>
              </w:rPr>
            </w:pPr>
          </w:p>
        </w:tc>
        <w:tc>
          <w:tcPr>
            <w:tcW w:w="1483" w:type="dxa"/>
          </w:tcPr>
          <w:p w14:paraId="416C64E6">
            <w:pPr>
              <w:jc w:val="center"/>
              <w:rPr>
                <w:color w:val="000000" w:themeColor="text1"/>
                <w:highlight w:val="none"/>
                <w14:textFill>
                  <w14:solidFill>
                    <w14:schemeClr w14:val="tx1"/>
                  </w14:solidFill>
                </w14:textFill>
              </w:rPr>
            </w:pPr>
          </w:p>
        </w:tc>
        <w:tc>
          <w:tcPr>
            <w:tcW w:w="1483" w:type="dxa"/>
          </w:tcPr>
          <w:p w14:paraId="465DBC23">
            <w:pPr>
              <w:jc w:val="center"/>
              <w:rPr>
                <w:color w:val="000000" w:themeColor="text1"/>
                <w:highlight w:val="none"/>
                <w14:textFill>
                  <w14:solidFill>
                    <w14:schemeClr w14:val="tx1"/>
                  </w14:solidFill>
                </w14:textFill>
              </w:rPr>
            </w:pPr>
          </w:p>
        </w:tc>
        <w:tc>
          <w:tcPr>
            <w:tcW w:w="1483" w:type="dxa"/>
          </w:tcPr>
          <w:p w14:paraId="74D82348">
            <w:pPr>
              <w:jc w:val="center"/>
              <w:rPr>
                <w:color w:val="000000" w:themeColor="text1"/>
                <w:highlight w:val="none"/>
                <w14:textFill>
                  <w14:solidFill>
                    <w14:schemeClr w14:val="tx1"/>
                  </w14:solidFill>
                </w14:textFill>
              </w:rPr>
            </w:pPr>
          </w:p>
        </w:tc>
        <w:tc>
          <w:tcPr>
            <w:tcW w:w="1483" w:type="dxa"/>
          </w:tcPr>
          <w:p w14:paraId="0237A77B">
            <w:pPr>
              <w:jc w:val="center"/>
              <w:rPr>
                <w:color w:val="000000" w:themeColor="text1"/>
                <w:highlight w:val="none"/>
                <w14:textFill>
                  <w14:solidFill>
                    <w14:schemeClr w14:val="tx1"/>
                  </w14:solidFill>
                </w14:textFill>
              </w:rPr>
            </w:pPr>
          </w:p>
        </w:tc>
        <w:tc>
          <w:tcPr>
            <w:tcW w:w="1483" w:type="dxa"/>
          </w:tcPr>
          <w:p w14:paraId="24097823">
            <w:pPr>
              <w:jc w:val="center"/>
              <w:rPr>
                <w:color w:val="000000" w:themeColor="text1"/>
                <w:highlight w:val="none"/>
                <w14:textFill>
                  <w14:solidFill>
                    <w14:schemeClr w14:val="tx1"/>
                  </w14:solidFill>
                </w14:textFill>
              </w:rPr>
            </w:pPr>
          </w:p>
        </w:tc>
      </w:tr>
      <w:tr w14:paraId="256366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04C608EC">
            <w:pPr>
              <w:jc w:val="center"/>
              <w:rPr>
                <w:color w:val="000000" w:themeColor="text1"/>
                <w:highlight w:val="none"/>
                <w14:textFill>
                  <w14:solidFill>
                    <w14:schemeClr w14:val="tx1"/>
                  </w14:solidFill>
                </w14:textFill>
              </w:rPr>
            </w:pPr>
          </w:p>
        </w:tc>
        <w:tc>
          <w:tcPr>
            <w:tcW w:w="1483" w:type="dxa"/>
          </w:tcPr>
          <w:p w14:paraId="3EE7ED61">
            <w:pPr>
              <w:jc w:val="center"/>
              <w:rPr>
                <w:color w:val="000000" w:themeColor="text1"/>
                <w:highlight w:val="none"/>
                <w14:textFill>
                  <w14:solidFill>
                    <w14:schemeClr w14:val="tx1"/>
                  </w14:solidFill>
                </w14:textFill>
              </w:rPr>
            </w:pPr>
          </w:p>
        </w:tc>
        <w:tc>
          <w:tcPr>
            <w:tcW w:w="1483" w:type="dxa"/>
          </w:tcPr>
          <w:p w14:paraId="15F553B4">
            <w:pPr>
              <w:jc w:val="center"/>
              <w:rPr>
                <w:color w:val="000000" w:themeColor="text1"/>
                <w:highlight w:val="none"/>
                <w14:textFill>
                  <w14:solidFill>
                    <w14:schemeClr w14:val="tx1"/>
                  </w14:solidFill>
                </w14:textFill>
              </w:rPr>
            </w:pPr>
          </w:p>
        </w:tc>
        <w:tc>
          <w:tcPr>
            <w:tcW w:w="1483" w:type="dxa"/>
          </w:tcPr>
          <w:p w14:paraId="05C12A9C">
            <w:pPr>
              <w:jc w:val="center"/>
              <w:rPr>
                <w:color w:val="000000" w:themeColor="text1"/>
                <w:highlight w:val="none"/>
                <w14:textFill>
                  <w14:solidFill>
                    <w14:schemeClr w14:val="tx1"/>
                  </w14:solidFill>
                </w14:textFill>
              </w:rPr>
            </w:pPr>
          </w:p>
        </w:tc>
        <w:tc>
          <w:tcPr>
            <w:tcW w:w="1483" w:type="dxa"/>
          </w:tcPr>
          <w:p w14:paraId="07C8A233">
            <w:pPr>
              <w:jc w:val="center"/>
              <w:rPr>
                <w:color w:val="000000" w:themeColor="text1"/>
                <w:highlight w:val="none"/>
                <w14:textFill>
                  <w14:solidFill>
                    <w14:schemeClr w14:val="tx1"/>
                  </w14:solidFill>
                </w14:textFill>
              </w:rPr>
            </w:pPr>
          </w:p>
        </w:tc>
        <w:tc>
          <w:tcPr>
            <w:tcW w:w="1483" w:type="dxa"/>
          </w:tcPr>
          <w:p w14:paraId="400DDA49">
            <w:pPr>
              <w:jc w:val="center"/>
              <w:rPr>
                <w:color w:val="000000" w:themeColor="text1"/>
                <w:highlight w:val="none"/>
                <w14:textFill>
                  <w14:solidFill>
                    <w14:schemeClr w14:val="tx1"/>
                  </w14:solidFill>
                </w14:textFill>
              </w:rPr>
            </w:pPr>
          </w:p>
        </w:tc>
      </w:tr>
      <w:tr w14:paraId="528952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Align w:val="center"/>
          </w:tcPr>
          <w:p w14:paraId="5BDA0586">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其他服务</w:t>
            </w:r>
          </w:p>
        </w:tc>
        <w:tc>
          <w:tcPr>
            <w:tcW w:w="1483" w:type="dxa"/>
          </w:tcPr>
          <w:p w14:paraId="16E82AFF">
            <w:pPr>
              <w:jc w:val="center"/>
              <w:rPr>
                <w:color w:val="000000" w:themeColor="text1"/>
                <w:highlight w:val="none"/>
                <w14:textFill>
                  <w14:solidFill>
                    <w14:schemeClr w14:val="tx1"/>
                  </w14:solidFill>
                </w14:textFill>
              </w:rPr>
            </w:pPr>
          </w:p>
        </w:tc>
        <w:tc>
          <w:tcPr>
            <w:tcW w:w="1483" w:type="dxa"/>
          </w:tcPr>
          <w:p w14:paraId="43397F45">
            <w:pPr>
              <w:jc w:val="center"/>
              <w:rPr>
                <w:color w:val="000000" w:themeColor="text1"/>
                <w:highlight w:val="none"/>
                <w14:textFill>
                  <w14:solidFill>
                    <w14:schemeClr w14:val="tx1"/>
                  </w14:solidFill>
                </w14:textFill>
              </w:rPr>
            </w:pPr>
          </w:p>
        </w:tc>
        <w:tc>
          <w:tcPr>
            <w:tcW w:w="1483" w:type="dxa"/>
          </w:tcPr>
          <w:p w14:paraId="4E8F020F">
            <w:pPr>
              <w:jc w:val="center"/>
              <w:rPr>
                <w:color w:val="000000" w:themeColor="text1"/>
                <w:highlight w:val="none"/>
                <w14:textFill>
                  <w14:solidFill>
                    <w14:schemeClr w14:val="tx1"/>
                  </w14:solidFill>
                </w14:textFill>
              </w:rPr>
            </w:pPr>
          </w:p>
        </w:tc>
        <w:tc>
          <w:tcPr>
            <w:tcW w:w="1483" w:type="dxa"/>
          </w:tcPr>
          <w:p w14:paraId="4EED3CB4">
            <w:pPr>
              <w:jc w:val="center"/>
              <w:rPr>
                <w:color w:val="000000" w:themeColor="text1"/>
                <w:highlight w:val="none"/>
                <w14:textFill>
                  <w14:solidFill>
                    <w14:schemeClr w14:val="tx1"/>
                  </w14:solidFill>
                </w14:textFill>
              </w:rPr>
            </w:pPr>
          </w:p>
        </w:tc>
        <w:tc>
          <w:tcPr>
            <w:tcW w:w="1483" w:type="dxa"/>
          </w:tcPr>
          <w:p w14:paraId="7BB5564D">
            <w:pPr>
              <w:jc w:val="center"/>
              <w:rPr>
                <w:color w:val="000000" w:themeColor="text1"/>
                <w:highlight w:val="none"/>
                <w14:textFill>
                  <w14:solidFill>
                    <w14:schemeClr w14:val="tx1"/>
                  </w14:solidFill>
                </w14:textFill>
              </w:rPr>
            </w:pPr>
          </w:p>
        </w:tc>
      </w:tr>
    </w:tbl>
    <w:p w14:paraId="1E58B930">
      <w:pPr>
        <w:jc w:val="center"/>
        <w:rPr>
          <w:color w:val="000000" w:themeColor="text1"/>
          <w:highlight w:val="none"/>
          <w14:textFill>
            <w14:solidFill>
              <w14:schemeClr w14:val="tx1"/>
            </w14:solidFill>
          </w14:textFill>
        </w:rPr>
      </w:pPr>
    </w:p>
    <w:p w14:paraId="30DC18CA">
      <w:pPr>
        <w:jc w:val="center"/>
        <w:rPr>
          <w:color w:val="000000" w:themeColor="text1"/>
          <w:highlight w:val="none"/>
          <w14:textFill>
            <w14:solidFill>
              <w14:schemeClr w14:val="tx1"/>
            </w14:solidFill>
          </w14:textFill>
        </w:rPr>
      </w:pPr>
    </w:p>
    <w:p w14:paraId="21344EC8">
      <w:pPr>
        <w:jc w:val="center"/>
        <w:rPr>
          <w:color w:val="000000" w:themeColor="text1"/>
          <w:highlight w:val="none"/>
          <w14:textFill>
            <w14:solidFill>
              <w14:schemeClr w14:val="tx1"/>
            </w14:solidFill>
          </w14:textFill>
        </w:rPr>
      </w:pPr>
    </w:p>
    <w:p w14:paraId="5CC8F6EE">
      <w:pPr>
        <w:jc w:val="center"/>
        <w:rPr>
          <w:color w:val="000000" w:themeColor="text1"/>
          <w:highlight w:val="none"/>
          <w14:textFill>
            <w14:solidFill>
              <w14:schemeClr w14:val="tx1"/>
            </w14:solidFill>
          </w14:textFill>
        </w:rPr>
      </w:pPr>
    </w:p>
    <w:p w14:paraId="6AD3409B">
      <w:pPr>
        <w:jc w:val="center"/>
        <w:rPr>
          <w:color w:val="000000" w:themeColor="text1"/>
          <w:highlight w:val="none"/>
          <w14:textFill>
            <w14:solidFill>
              <w14:schemeClr w14:val="tx1"/>
            </w14:solidFill>
          </w14:textFill>
        </w:rPr>
      </w:pPr>
    </w:p>
    <w:p w14:paraId="40268C4E">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366D8B71">
      <w:pPr>
        <w:jc w:val="center"/>
        <w:rPr>
          <w:color w:val="000000" w:themeColor="text1"/>
          <w:highlight w:val="none"/>
          <w14:textFill>
            <w14:solidFill>
              <w14:schemeClr w14:val="tx1"/>
            </w14:solidFill>
          </w14:textFill>
        </w:rPr>
      </w:pPr>
    </w:p>
    <w:p w14:paraId="0BDA1535">
      <w:pPr>
        <w:jc w:val="center"/>
        <w:outlineLvl w:val="0"/>
        <w:rPr>
          <w:color w:val="000000" w:themeColor="text1"/>
          <w:highlight w:val="none"/>
          <w14:textFill>
            <w14:solidFill>
              <w14:schemeClr w14:val="tx1"/>
            </w14:solidFill>
          </w14:textFill>
        </w:rPr>
      </w:pPr>
      <w:bookmarkStart w:id="742" w:name="_Toc76398718"/>
      <w:r>
        <w:rPr>
          <w:rFonts w:hint="eastAsia"/>
          <w:color w:val="000000" w:themeColor="text1"/>
          <w:highlight w:val="none"/>
          <w14:textFill>
            <w14:solidFill>
              <w14:schemeClr w14:val="tx1"/>
            </w14:solidFill>
          </w14:textFill>
        </w:rPr>
        <w:t>附录 C委托人提供资料一览表</w:t>
      </w:r>
      <w:bookmarkEnd w:id="742"/>
    </w:p>
    <w:tbl>
      <w:tblPr>
        <w:tblStyle w:val="3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88"/>
        <w:gridCol w:w="2189"/>
        <w:gridCol w:w="2189"/>
        <w:gridCol w:w="2189"/>
      </w:tblGrid>
      <w:tr w14:paraId="7466FF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13B8BF23">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成果文件组成</w:t>
            </w:r>
          </w:p>
        </w:tc>
        <w:tc>
          <w:tcPr>
            <w:tcW w:w="2189" w:type="dxa"/>
          </w:tcPr>
          <w:p w14:paraId="5B79E396">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提交时间</w:t>
            </w:r>
          </w:p>
        </w:tc>
        <w:tc>
          <w:tcPr>
            <w:tcW w:w="2189" w:type="dxa"/>
          </w:tcPr>
          <w:p w14:paraId="32EEA335">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份数</w:t>
            </w:r>
          </w:p>
        </w:tc>
        <w:tc>
          <w:tcPr>
            <w:tcW w:w="2189" w:type="dxa"/>
          </w:tcPr>
          <w:p w14:paraId="65079111">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质量标准</w:t>
            </w:r>
          </w:p>
        </w:tc>
      </w:tr>
      <w:tr w14:paraId="274BF9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5C6F1BB8">
            <w:pPr>
              <w:jc w:val="center"/>
              <w:rPr>
                <w:color w:val="000000" w:themeColor="text1"/>
                <w:highlight w:val="none"/>
                <w14:textFill>
                  <w14:solidFill>
                    <w14:schemeClr w14:val="tx1"/>
                  </w14:solidFill>
                </w14:textFill>
              </w:rPr>
            </w:pPr>
          </w:p>
        </w:tc>
        <w:tc>
          <w:tcPr>
            <w:tcW w:w="2189" w:type="dxa"/>
          </w:tcPr>
          <w:p w14:paraId="1C8347E4">
            <w:pPr>
              <w:jc w:val="center"/>
              <w:rPr>
                <w:color w:val="000000" w:themeColor="text1"/>
                <w:highlight w:val="none"/>
                <w14:textFill>
                  <w14:solidFill>
                    <w14:schemeClr w14:val="tx1"/>
                  </w14:solidFill>
                </w14:textFill>
              </w:rPr>
            </w:pPr>
          </w:p>
        </w:tc>
        <w:tc>
          <w:tcPr>
            <w:tcW w:w="2189" w:type="dxa"/>
          </w:tcPr>
          <w:p w14:paraId="5C82905B">
            <w:pPr>
              <w:jc w:val="center"/>
              <w:rPr>
                <w:color w:val="000000" w:themeColor="text1"/>
                <w:highlight w:val="none"/>
                <w14:textFill>
                  <w14:solidFill>
                    <w14:schemeClr w14:val="tx1"/>
                  </w14:solidFill>
                </w14:textFill>
              </w:rPr>
            </w:pPr>
          </w:p>
        </w:tc>
        <w:tc>
          <w:tcPr>
            <w:tcW w:w="2189" w:type="dxa"/>
            <w:vAlign w:val="center"/>
          </w:tcPr>
          <w:p w14:paraId="20C4AD65">
            <w:pPr>
              <w:jc w:val="center"/>
              <w:rPr>
                <w:color w:val="000000" w:themeColor="text1"/>
                <w:highlight w:val="none"/>
                <w14:textFill>
                  <w14:solidFill>
                    <w14:schemeClr w14:val="tx1"/>
                  </w14:solidFill>
                </w14:textFill>
              </w:rPr>
            </w:pPr>
          </w:p>
        </w:tc>
      </w:tr>
      <w:tr w14:paraId="5712F0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0E682287">
            <w:pPr>
              <w:jc w:val="center"/>
              <w:rPr>
                <w:color w:val="000000" w:themeColor="text1"/>
                <w:highlight w:val="none"/>
                <w14:textFill>
                  <w14:solidFill>
                    <w14:schemeClr w14:val="tx1"/>
                  </w14:solidFill>
                </w14:textFill>
              </w:rPr>
            </w:pPr>
          </w:p>
        </w:tc>
        <w:tc>
          <w:tcPr>
            <w:tcW w:w="2189" w:type="dxa"/>
          </w:tcPr>
          <w:p w14:paraId="3871196F">
            <w:pPr>
              <w:jc w:val="center"/>
              <w:rPr>
                <w:color w:val="000000" w:themeColor="text1"/>
                <w:highlight w:val="none"/>
                <w14:textFill>
                  <w14:solidFill>
                    <w14:schemeClr w14:val="tx1"/>
                  </w14:solidFill>
                </w14:textFill>
              </w:rPr>
            </w:pPr>
          </w:p>
        </w:tc>
        <w:tc>
          <w:tcPr>
            <w:tcW w:w="2189" w:type="dxa"/>
          </w:tcPr>
          <w:p w14:paraId="34583392">
            <w:pPr>
              <w:jc w:val="center"/>
              <w:rPr>
                <w:color w:val="000000" w:themeColor="text1"/>
                <w:highlight w:val="none"/>
                <w14:textFill>
                  <w14:solidFill>
                    <w14:schemeClr w14:val="tx1"/>
                  </w14:solidFill>
                </w14:textFill>
              </w:rPr>
            </w:pPr>
          </w:p>
        </w:tc>
        <w:tc>
          <w:tcPr>
            <w:tcW w:w="2189" w:type="dxa"/>
            <w:vAlign w:val="center"/>
          </w:tcPr>
          <w:p w14:paraId="56143F67">
            <w:pPr>
              <w:jc w:val="center"/>
              <w:rPr>
                <w:color w:val="000000" w:themeColor="text1"/>
                <w:highlight w:val="none"/>
                <w14:textFill>
                  <w14:solidFill>
                    <w14:schemeClr w14:val="tx1"/>
                  </w14:solidFill>
                </w14:textFill>
              </w:rPr>
            </w:pPr>
          </w:p>
        </w:tc>
      </w:tr>
      <w:tr w14:paraId="11FCBA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6E828A7E">
            <w:pPr>
              <w:jc w:val="center"/>
              <w:rPr>
                <w:color w:val="000000" w:themeColor="text1"/>
                <w:highlight w:val="none"/>
                <w14:textFill>
                  <w14:solidFill>
                    <w14:schemeClr w14:val="tx1"/>
                  </w14:solidFill>
                </w14:textFill>
              </w:rPr>
            </w:pPr>
          </w:p>
        </w:tc>
        <w:tc>
          <w:tcPr>
            <w:tcW w:w="2189" w:type="dxa"/>
          </w:tcPr>
          <w:p w14:paraId="7AF54971">
            <w:pPr>
              <w:jc w:val="center"/>
              <w:rPr>
                <w:color w:val="000000" w:themeColor="text1"/>
                <w:highlight w:val="none"/>
                <w14:textFill>
                  <w14:solidFill>
                    <w14:schemeClr w14:val="tx1"/>
                  </w14:solidFill>
                </w14:textFill>
              </w:rPr>
            </w:pPr>
          </w:p>
        </w:tc>
        <w:tc>
          <w:tcPr>
            <w:tcW w:w="2189" w:type="dxa"/>
          </w:tcPr>
          <w:p w14:paraId="10FD996A">
            <w:pPr>
              <w:jc w:val="center"/>
              <w:rPr>
                <w:color w:val="000000" w:themeColor="text1"/>
                <w:highlight w:val="none"/>
                <w14:textFill>
                  <w14:solidFill>
                    <w14:schemeClr w14:val="tx1"/>
                  </w14:solidFill>
                </w14:textFill>
              </w:rPr>
            </w:pPr>
          </w:p>
        </w:tc>
        <w:tc>
          <w:tcPr>
            <w:tcW w:w="2189" w:type="dxa"/>
            <w:vAlign w:val="center"/>
          </w:tcPr>
          <w:p w14:paraId="56C4FAC8">
            <w:pPr>
              <w:jc w:val="center"/>
              <w:rPr>
                <w:color w:val="000000" w:themeColor="text1"/>
                <w:highlight w:val="none"/>
                <w14:textFill>
                  <w14:solidFill>
                    <w14:schemeClr w14:val="tx1"/>
                  </w14:solidFill>
                </w14:textFill>
              </w:rPr>
            </w:pPr>
          </w:p>
        </w:tc>
      </w:tr>
      <w:tr w14:paraId="7C451A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77854769">
            <w:pPr>
              <w:jc w:val="center"/>
              <w:rPr>
                <w:color w:val="000000" w:themeColor="text1"/>
                <w:highlight w:val="none"/>
                <w14:textFill>
                  <w14:solidFill>
                    <w14:schemeClr w14:val="tx1"/>
                  </w14:solidFill>
                </w14:textFill>
              </w:rPr>
            </w:pPr>
          </w:p>
        </w:tc>
        <w:tc>
          <w:tcPr>
            <w:tcW w:w="2189" w:type="dxa"/>
          </w:tcPr>
          <w:p w14:paraId="20121CD2">
            <w:pPr>
              <w:jc w:val="center"/>
              <w:rPr>
                <w:color w:val="000000" w:themeColor="text1"/>
                <w:highlight w:val="none"/>
                <w14:textFill>
                  <w14:solidFill>
                    <w14:schemeClr w14:val="tx1"/>
                  </w14:solidFill>
                </w14:textFill>
              </w:rPr>
            </w:pPr>
          </w:p>
        </w:tc>
        <w:tc>
          <w:tcPr>
            <w:tcW w:w="2189" w:type="dxa"/>
          </w:tcPr>
          <w:p w14:paraId="6CAE6DAA">
            <w:pPr>
              <w:jc w:val="center"/>
              <w:rPr>
                <w:color w:val="000000" w:themeColor="text1"/>
                <w:highlight w:val="none"/>
                <w14:textFill>
                  <w14:solidFill>
                    <w14:schemeClr w14:val="tx1"/>
                  </w14:solidFill>
                </w14:textFill>
              </w:rPr>
            </w:pPr>
          </w:p>
        </w:tc>
        <w:tc>
          <w:tcPr>
            <w:tcW w:w="2189" w:type="dxa"/>
            <w:vAlign w:val="center"/>
          </w:tcPr>
          <w:p w14:paraId="00DDD870">
            <w:pPr>
              <w:jc w:val="center"/>
              <w:rPr>
                <w:color w:val="000000" w:themeColor="text1"/>
                <w:highlight w:val="none"/>
                <w14:textFill>
                  <w14:solidFill>
                    <w14:schemeClr w14:val="tx1"/>
                  </w14:solidFill>
                </w14:textFill>
              </w:rPr>
            </w:pPr>
          </w:p>
        </w:tc>
      </w:tr>
      <w:tr w14:paraId="067E17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1B144EB8">
            <w:pPr>
              <w:jc w:val="center"/>
              <w:rPr>
                <w:color w:val="000000" w:themeColor="text1"/>
                <w:highlight w:val="none"/>
                <w14:textFill>
                  <w14:solidFill>
                    <w14:schemeClr w14:val="tx1"/>
                  </w14:solidFill>
                </w14:textFill>
              </w:rPr>
            </w:pPr>
          </w:p>
        </w:tc>
        <w:tc>
          <w:tcPr>
            <w:tcW w:w="2189" w:type="dxa"/>
          </w:tcPr>
          <w:p w14:paraId="4502B6E7">
            <w:pPr>
              <w:jc w:val="center"/>
              <w:rPr>
                <w:color w:val="000000" w:themeColor="text1"/>
                <w:highlight w:val="none"/>
                <w14:textFill>
                  <w14:solidFill>
                    <w14:schemeClr w14:val="tx1"/>
                  </w14:solidFill>
                </w14:textFill>
              </w:rPr>
            </w:pPr>
          </w:p>
        </w:tc>
        <w:tc>
          <w:tcPr>
            <w:tcW w:w="2189" w:type="dxa"/>
          </w:tcPr>
          <w:p w14:paraId="18DFAE46">
            <w:pPr>
              <w:jc w:val="center"/>
              <w:rPr>
                <w:color w:val="000000" w:themeColor="text1"/>
                <w:highlight w:val="none"/>
                <w14:textFill>
                  <w14:solidFill>
                    <w14:schemeClr w14:val="tx1"/>
                  </w14:solidFill>
                </w14:textFill>
              </w:rPr>
            </w:pPr>
          </w:p>
        </w:tc>
        <w:tc>
          <w:tcPr>
            <w:tcW w:w="2189" w:type="dxa"/>
            <w:vAlign w:val="center"/>
          </w:tcPr>
          <w:p w14:paraId="7A1881EB">
            <w:pPr>
              <w:jc w:val="center"/>
              <w:rPr>
                <w:color w:val="000000" w:themeColor="text1"/>
                <w:highlight w:val="none"/>
                <w14:textFill>
                  <w14:solidFill>
                    <w14:schemeClr w14:val="tx1"/>
                  </w14:solidFill>
                </w14:textFill>
              </w:rPr>
            </w:pPr>
          </w:p>
        </w:tc>
      </w:tr>
      <w:tr w14:paraId="52D46E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20297F24">
            <w:pPr>
              <w:jc w:val="center"/>
              <w:rPr>
                <w:color w:val="000000" w:themeColor="text1"/>
                <w:highlight w:val="none"/>
                <w14:textFill>
                  <w14:solidFill>
                    <w14:schemeClr w14:val="tx1"/>
                  </w14:solidFill>
                </w14:textFill>
              </w:rPr>
            </w:pPr>
          </w:p>
        </w:tc>
        <w:tc>
          <w:tcPr>
            <w:tcW w:w="2189" w:type="dxa"/>
          </w:tcPr>
          <w:p w14:paraId="285E035B">
            <w:pPr>
              <w:jc w:val="center"/>
              <w:rPr>
                <w:color w:val="000000" w:themeColor="text1"/>
                <w:highlight w:val="none"/>
                <w14:textFill>
                  <w14:solidFill>
                    <w14:schemeClr w14:val="tx1"/>
                  </w14:solidFill>
                </w14:textFill>
              </w:rPr>
            </w:pPr>
          </w:p>
        </w:tc>
        <w:tc>
          <w:tcPr>
            <w:tcW w:w="2189" w:type="dxa"/>
          </w:tcPr>
          <w:p w14:paraId="533C37CE">
            <w:pPr>
              <w:jc w:val="center"/>
              <w:rPr>
                <w:color w:val="000000" w:themeColor="text1"/>
                <w:highlight w:val="none"/>
                <w14:textFill>
                  <w14:solidFill>
                    <w14:schemeClr w14:val="tx1"/>
                  </w14:solidFill>
                </w14:textFill>
              </w:rPr>
            </w:pPr>
          </w:p>
        </w:tc>
        <w:tc>
          <w:tcPr>
            <w:tcW w:w="2189" w:type="dxa"/>
            <w:vAlign w:val="center"/>
          </w:tcPr>
          <w:p w14:paraId="534CE7C1">
            <w:pPr>
              <w:jc w:val="center"/>
              <w:rPr>
                <w:color w:val="000000" w:themeColor="text1"/>
                <w:highlight w:val="none"/>
                <w14:textFill>
                  <w14:solidFill>
                    <w14:schemeClr w14:val="tx1"/>
                  </w14:solidFill>
                </w14:textFill>
              </w:rPr>
            </w:pPr>
          </w:p>
        </w:tc>
      </w:tr>
      <w:tr w14:paraId="579F0B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2A2619C4">
            <w:pPr>
              <w:jc w:val="center"/>
              <w:rPr>
                <w:color w:val="000000" w:themeColor="text1"/>
                <w:highlight w:val="none"/>
                <w14:textFill>
                  <w14:solidFill>
                    <w14:schemeClr w14:val="tx1"/>
                  </w14:solidFill>
                </w14:textFill>
              </w:rPr>
            </w:pPr>
          </w:p>
        </w:tc>
        <w:tc>
          <w:tcPr>
            <w:tcW w:w="2189" w:type="dxa"/>
          </w:tcPr>
          <w:p w14:paraId="69B878CA">
            <w:pPr>
              <w:jc w:val="center"/>
              <w:rPr>
                <w:color w:val="000000" w:themeColor="text1"/>
                <w:highlight w:val="none"/>
                <w14:textFill>
                  <w14:solidFill>
                    <w14:schemeClr w14:val="tx1"/>
                  </w14:solidFill>
                </w14:textFill>
              </w:rPr>
            </w:pPr>
          </w:p>
        </w:tc>
        <w:tc>
          <w:tcPr>
            <w:tcW w:w="2189" w:type="dxa"/>
          </w:tcPr>
          <w:p w14:paraId="144F360B">
            <w:pPr>
              <w:jc w:val="center"/>
              <w:rPr>
                <w:color w:val="000000" w:themeColor="text1"/>
                <w:highlight w:val="none"/>
                <w14:textFill>
                  <w14:solidFill>
                    <w14:schemeClr w14:val="tx1"/>
                  </w14:solidFill>
                </w14:textFill>
              </w:rPr>
            </w:pPr>
          </w:p>
        </w:tc>
        <w:tc>
          <w:tcPr>
            <w:tcW w:w="2189" w:type="dxa"/>
          </w:tcPr>
          <w:p w14:paraId="4F6C2381">
            <w:pPr>
              <w:jc w:val="center"/>
              <w:rPr>
                <w:color w:val="000000" w:themeColor="text1"/>
                <w:highlight w:val="none"/>
                <w14:textFill>
                  <w14:solidFill>
                    <w14:schemeClr w14:val="tx1"/>
                  </w14:solidFill>
                </w14:textFill>
              </w:rPr>
            </w:pPr>
          </w:p>
        </w:tc>
      </w:tr>
      <w:tr w14:paraId="605746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0D3D69BA">
            <w:pPr>
              <w:jc w:val="center"/>
              <w:rPr>
                <w:color w:val="000000" w:themeColor="text1"/>
                <w:highlight w:val="none"/>
                <w14:textFill>
                  <w14:solidFill>
                    <w14:schemeClr w14:val="tx1"/>
                  </w14:solidFill>
                </w14:textFill>
              </w:rPr>
            </w:pPr>
          </w:p>
        </w:tc>
        <w:tc>
          <w:tcPr>
            <w:tcW w:w="2189" w:type="dxa"/>
          </w:tcPr>
          <w:p w14:paraId="0ED72574">
            <w:pPr>
              <w:jc w:val="center"/>
              <w:rPr>
                <w:color w:val="000000" w:themeColor="text1"/>
                <w:highlight w:val="none"/>
                <w14:textFill>
                  <w14:solidFill>
                    <w14:schemeClr w14:val="tx1"/>
                  </w14:solidFill>
                </w14:textFill>
              </w:rPr>
            </w:pPr>
          </w:p>
        </w:tc>
        <w:tc>
          <w:tcPr>
            <w:tcW w:w="2189" w:type="dxa"/>
          </w:tcPr>
          <w:p w14:paraId="00A33B9E">
            <w:pPr>
              <w:jc w:val="center"/>
              <w:rPr>
                <w:color w:val="000000" w:themeColor="text1"/>
                <w:highlight w:val="none"/>
                <w14:textFill>
                  <w14:solidFill>
                    <w14:schemeClr w14:val="tx1"/>
                  </w14:solidFill>
                </w14:textFill>
              </w:rPr>
            </w:pPr>
          </w:p>
        </w:tc>
        <w:tc>
          <w:tcPr>
            <w:tcW w:w="2189" w:type="dxa"/>
          </w:tcPr>
          <w:p w14:paraId="09B0E167">
            <w:pPr>
              <w:jc w:val="center"/>
              <w:rPr>
                <w:color w:val="000000" w:themeColor="text1"/>
                <w:highlight w:val="none"/>
                <w14:textFill>
                  <w14:solidFill>
                    <w14:schemeClr w14:val="tx1"/>
                  </w14:solidFill>
                </w14:textFill>
              </w:rPr>
            </w:pPr>
          </w:p>
        </w:tc>
      </w:tr>
      <w:tr w14:paraId="49726E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29A7726C">
            <w:pPr>
              <w:jc w:val="center"/>
              <w:rPr>
                <w:color w:val="000000" w:themeColor="text1"/>
                <w:highlight w:val="none"/>
                <w14:textFill>
                  <w14:solidFill>
                    <w14:schemeClr w14:val="tx1"/>
                  </w14:solidFill>
                </w14:textFill>
              </w:rPr>
            </w:pPr>
          </w:p>
        </w:tc>
        <w:tc>
          <w:tcPr>
            <w:tcW w:w="2189" w:type="dxa"/>
          </w:tcPr>
          <w:p w14:paraId="07FD9650">
            <w:pPr>
              <w:jc w:val="center"/>
              <w:rPr>
                <w:color w:val="000000" w:themeColor="text1"/>
                <w:highlight w:val="none"/>
                <w14:textFill>
                  <w14:solidFill>
                    <w14:schemeClr w14:val="tx1"/>
                  </w14:solidFill>
                </w14:textFill>
              </w:rPr>
            </w:pPr>
          </w:p>
        </w:tc>
        <w:tc>
          <w:tcPr>
            <w:tcW w:w="2189" w:type="dxa"/>
          </w:tcPr>
          <w:p w14:paraId="226141EE">
            <w:pPr>
              <w:jc w:val="center"/>
              <w:rPr>
                <w:color w:val="000000" w:themeColor="text1"/>
                <w:highlight w:val="none"/>
                <w14:textFill>
                  <w14:solidFill>
                    <w14:schemeClr w14:val="tx1"/>
                  </w14:solidFill>
                </w14:textFill>
              </w:rPr>
            </w:pPr>
          </w:p>
        </w:tc>
        <w:tc>
          <w:tcPr>
            <w:tcW w:w="2189" w:type="dxa"/>
          </w:tcPr>
          <w:p w14:paraId="4D403297">
            <w:pPr>
              <w:jc w:val="center"/>
              <w:rPr>
                <w:color w:val="000000" w:themeColor="text1"/>
                <w:highlight w:val="none"/>
                <w14:textFill>
                  <w14:solidFill>
                    <w14:schemeClr w14:val="tx1"/>
                  </w14:solidFill>
                </w14:textFill>
              </w:rPr>
            </w:pPr>
          </w:p>
        </w:tc>
      </w:tr>
      <w:tr w14:paraId="737986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188" w:type="dxa"/>
          </w:tcPr>
          <w:p w14:paraId="78A942E4">
            <w:pPr>
              <w:jc w:val="center"/>
              <w:rPr>
                <w:color w:val="000000" w:themeColor="text1"/>
                <w:highlight w:val="none"/>
                <w14:textFill>
                  <w14:solidFill>
                    <w14:schemeClr w14:val="tx1"/>
                  </w14:solidFill>
                </w14:textFill>
              </w:rPr>
            </w:pPr>
          </w:p>
        </w:tc>
        <w:tc>
          <w:tcPr>
            <w:tcW w:w="2189" w:type="dxa"/>
          </w:tcPr>
          <w:p w14:paraId="46D7131F">
            <w:pPr>
              <w:jc w:val="center"/>
              <w:rPr>
                <w:color w:val="000000" w:themeColor="text1"/>
                <w:highlight w:val="none"/>
                <w14:textFill>
                  <w14:solidFill>
                    <w14:schemeClr w14:val="tx1"/>
                  </w14:solidFill>
                </w14:textFill>
              </w:rPr>
            </w:pPr>
          </w:p>
        </w:tc>
        <w:tc>
          <w:tcPr>
            <w:tcW w:w="2189" w:type="dxa"/>
          </w:tcPr>
          <w:p w14:paraId="539AA709">
            <w:pPr>
              <w:jc w:val="center"/>
              <w:rPr>
                <w:color w:val="000000" w:themeColor="text1"/>
                <w:highlight w:val="none"/>
                <w14:textFill>
                  <w14:solidFill>
                    <w14:schemeClr w14:val="tx1"/>
                  </w14:solidFill>
                </w14:textFill>
              </w:rPr>
            </w:pPr>
          </w:p>
        </w:tc>
        <w:tc>
          <w:tcPr>
            <w:tcW w:w="2189" w:type="dxa"/>
          </w:tcPr>
          <w:p w14:paraId="129DDFEF">
            <w:pPr>
              <w:jc w:val="center"/>
              <w:rPr>
                <w:color w:val="000000" w:themeColor="text1"/>
                <w:highlight w:val="none"/>
                <w14:textFill>
                  <w14:solidFill>
                    <w14:schemeClr w14:val="tx1"/>
                  </w14:solidFill>
                </w14:textFill>
              </w:rPr>
            </w:pPr>
          </w:p>
        </w:tc>
      </w:tr>
      <w:tr w14:paraId="593C32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14E409D2">
            <w:pPr>
              <w:jc w:val="center"/>
              <w:rPr>
                <w:color w:val="000000" w:themeColor="text1"/>
                <w:highlight w:val="none"/>
                <w14:textFill>
                  <w14:solidFill>
                    <w14:schemeClr w14:val="tx1"/>
                  </w14:solidFill>
                </w14:textFill>
              </w:rPr>
            </w:pPr>
          </w:p>
        </w:tc>
        <w:tc>
          <w:tcPr>
            <w:tcW w:w="2189" w:type="dxa"/>
          </w:tcPr>
          <w:p w14:paraId="248CEA13">
            <w:pPr>
              <w:jc w:val="center"/>
              <w:rPr>
                <w:color w:val="000000" w:themeColor="text1"/>
                <w:highlight w:val="none"/>
                <w14:textFill>
                  <w14:solidFill>
                    <w14:schemeClr w14:val="tx1"/>
                  </w14:solidFill>
                </w14:textFill>
              </w:rPr>
            </w:pPr>
          </w:p>
        </w:tc>
        <w:tc>
          <w:tcPr>
            <w:tcW w:w="2189" w:type="dxa"/>
          </w:tcPr>
          <w:p w14:paraId="3D4EEF28">
            <w:pPr>
              <w:jc w:val="center"/>
              <w:rPr>
                <w:color w:val="000000" w:themeColor="text1"/>
                <w:highlight w:val="none"/>
                <w14:textFill>
                  <w14:solidFill>
                    <w14:schemeClr w14:val="tx1"/>
                  </w14:solidFill>
                </w14:textFill>
              </w:rPr>
            </w:pPr>
          </w:p>
        </w:tc>
        <w:tc>
          <w:tcPr>
            <w:tcW w:w="2189" w:type="dxa"/>
          </w:tcPr>
          <w:p w14:paraId="03D1059A">
            <w:pPr>
              <w:jc w:val="center"/>
              <w:rPr>
                <w:color w:val="000000" w:themeColor="text1"/>
                <w:highlight w:val="none"/>
                <w14:textFill>
                  <w14:solidFill>
                    <w14:schemeClr w14:val="tx1"/>
                  </w14:solidFill>
                </w14:textFill>
              </w:rPr>
            </w:pPr>
          </w:p>
        </w:tc>
      </w:tr>
      <w:tr w14:paraId="1D5605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188" w:type="dxa"/>
          </w:tcPr>
          <w:p w14:paraId="044097C4">
            <w:pPr>
              <w:jc w:val="center"/>
              <w:rPr>
                <w:color w:val="000000" w:themeColor="text1"/>
                <w:highlight w:val="none"/>
                <w14:textFill>
                  <w14:solidFill>
                    <w14:schemeClr w14:val="tx1"/>
                  </w14:solidFill>
                </w14:textFill>
              </w:rPr>
            </w:pPr>
          </w:p>
        </w:tc>
        <w:tc>
          <w:tcPr>
            <w:tcW w:w="2189" w:type="dxa"/>
          </w:tcPr>
          <w:p w14:paraId="78CC699C">
            <w:pPr>
              <w:jc w:val="center"/>
              <w:rPr>
                <w:color w:val="000000" w:themeColor="text1"/>
                <w:highlight w:val="none"/>
                <w14:textFill>
                  <w14:solidFill>
                    <w14:schemeClr w14:val="tx1"/>
                  </w14:solidFill>
                </w14:textFill>
              </w:rPr>
            </w:pPr>
          </w:p>
        </w:tc>
        <w:tc>
          <w:tcPr>
            <w:tcW w:w="2189" w:type="dxa"/>
          </w:tcPr>
          <w:p w14:paraId="5C91F6B4">
            <w:pPr>
              <w:jc w:val="center"/>
              <w:rPr>
                <w:color w:val="000000" w:themeColor="text1"/>
                <w:highlight w:val="none"/>
                <w14:textFill>
                  <w14:solidFill>
                    <w14:schemeClr w14:val="tx1"/>
                  </w14:solidFill>
                </w14:textFill>
              </w:rPr>
            </w:pPr>
          </w:p>
        </w:tc>
        <w:tc>
          <w:tcPr>
            <w:tcW w:w="2189" w:type="dxa"/>
          </w:tcPr>
          <w:p w14:paraId="172D3E47">
            <w:pPr>
              <w:jc w:val="center"/>
              <w:rPr>
                <w:color w:val="000000" w:themeColor="text1"/>
                <w:highlight w:val="none"/>
                <w14:textFill>
                  <w14:solidFill>
                    <w14:schemeClr w14:val="tx1"/>
                  </w14:solidFill>
                </w14:textFill>
              </w:rPr>
            </w:pPr>
          </w:p>
        </w:tc>
      </w:tr>
      <w:tr w14:paraId="631824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188" w:type="dxa"/>
          </w:tcPr>
          <w:p w14:paraId="012DB1B7">
            <w:pPr>
              <w:jc w:val="center"/>
              <w:rPr>
                <w:color w:val="000000" w:themeColor="text1"/>
                <w:highlight w:val="none"/>
                <w14:textFill>
                  <w14:solidFill>
                    <w14:schemeClr w14:val="tx1"/>
                  </w14:solidFill>
                </w14:textFill>
              </w:rPr>
            </w:pPr>
          </w:p>
        </w:tc>
        <w:tc>
          <w:tcPr>
            <w:tcW w:w="2189" w:type="dxa"/>
          </w:tcPr>
          <w:p w14:paraId="7E77ABCF">
            <w:pPr>
              <w:jc w:val="center"/>
              <w:rPr>
                <w:color w:val="000000" w:themeColor="text1"/>
                <w:highlight w:val="none"/>
                <w14:textFill>
                  <w14:solidFill>
                    <w14:schemeClr w14:val="tx1"/>
                  </w14:solidFill>
                </w14:textFill>
              </w:rPr>
            </w:pPr>
          </w:p>
        </w:tc>
        <w:tc>
          <w:tcPr>
            <w:tcW w:w="2189" w:type="dxa"/>
          </w:tcPr>
          <w:p w14:paraId="4EDADD01">
            <w:pPr>
              <w:jc w:val="center"/>
              <w:rPr>
                <w:color w:val="000000" w:themeColor="text1"/>
                <w:highlight w:val="none"/>
                <w14:textFill>
                  <w14:solidFill>
                    <w14:schemeClr w14:val="tx1"/>
                  </w14:solidFill>
                </w14:textFill>
              </w:rPr>
            </w:pPr>
          </w:p>
        </w:tc>
        <w:tc>
          <w:tcPr>
            <w:tcW w:w="2189" w:type="dxa"/>
          </w:tcPr>
          <w:p w14:paraId="2E099601">
            <w:pPr>
              <w:jc w:val="center"/>
              <w:rPr>
                <w:color w:val="000000" w:themeColor="text1"/>
                <w:highlight w:val="none"/>
                <w14:textFill>
                  <w14:solidFill>
                    <w14:schemeClr w14:val="tx1"/>
                  </w14:solidFill>
                </w14:textFill>
              </w:rPr>
            </w:pPr>
          </w:p>
        </w:tc>
      </w:tr>
      <w:tr w14:paraId="5C078B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2F33970F">
            <w:pPr>
              <w:jc w:val="center"/>
              <w:rPr>
                <w:color w:val="000000" w:themeColor="text1"/>
                <w:highlight w:val="none"/>
                <w14:textFill>
                  <w14:solidFill>
                    <w14:schemeClr w14:val="tx1"/>
                  </w14:solidFill>
                </w14:textFill>
              </w:rPr>
            </w:pPr>
          </w:p>
        </w:tc>
        <w:tc>
          <w:tcPr>
            <w:tcW w:w="2189" w:type="dxa"/>
          </w:tcPr>
          <w:p w14:paraId="2F0D1837">
            <w:pPr>
              <w:jc w:val="center"/>
              <w:rPr>
                <w:color w:val="000000" w:themeColor="text1"/>
                <w:highlight w:val="none"/>
                <w14:textFill>
                  <w14:solidFill>
                    <w14:schemeClr w14:val="tx1"/>
                  </w14:solidFill>
                </w14:textFill>
              </w:rPr>
            </w:pPr>
          </w:p>
        </w:tc>
        <w:tc>
          <w:tcPr>
            <w:tcW w:w="2189" w:type="dxa"/>
          </w:tcPr>
          <w:p w14:paraId="41930C4F">
            <w:pPr>
              <w:jc w:val="center"/>
              <w:rPr>
                <w:color w:val="000000" w:themeColor="text1"/>
                <w:highlight w:val="none"/>
                <w14:textFill>
                  <w14:solidFill>
                    <w14:schemeClr w14:val="tx1"/>
                  </w14:solidFill>
                </w14:textFill>
              </w:rPr>
            </w:pPr>
          </w:p>
        </w:tc>
        <w:tc>
          <w:tcPr>
            <w:tcW w:w="2189" w:type="dxa"/>
          </w:tcPr>
          <w:p w14:paraId="0DD6ED06">
            <w:pPr>
              <w:jc w:val="center"/>
              <w:rPr>
                <w:color w:val="000000" w:themeColor="text1"/>
                <w:highlight w:val="none"/>
                <w14:textFill>
                  <w14:solidFill>
                    <w14:schemeClr w14:val="tx1"/>
                  </w14:solidFill>
                </w14:textFill>
              </w:rPr>
            </w:pPr>
          </w:p>
        </w:tc>
      </w:tr>
      <w:tr w14:paraId="633CFD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22162453">
            <w:pPr>
              <w:jc w:val="center"/>
              <w:rPr>
                <w:color w:val="000000" w:themeColor="text1"/>
                <w:highlight w:val="none"/>
                <w14:textFill>
                  <w14:solidFill>
                    <w14:schemeClr w14:val="tx1"/>
                  </w14:solidFill>
                </w14:textFill>
              </w:rPr>
            </w:pPr>
          </w:p>
        </w:tc>
        <w:tc>
          <w:tcPr>
            <w:tcW w:w="2189" w:type="dxa"/>
          </w:tcPr>
          <w:p w14:paraId="37D18CCE">
            <w:pPr>
              <w:jc w:val="center"/>
              <w:rPr>
                <w:color w:val="000000" w:themeColor="text1"/>
                <w:highlight w:val="none"/>
                <w14:textFill>
                  <w14:solidFill>
                    <w14:schemeClr w14:val="tx1"/>
                  </w14:solidFill>
                </w14:textFill>
              </w:rPr>
            </w:pPr>
          </w:p>
        </w:tc>
        <w:tc>
          <w:tcPr>
            <w:tcW w:w="2189" w:type="dxa"/>
          </w:tcPr>
          <w:p w14:paraId="7514CBC0">
            <w:pPr>
              <w:jc w:val="center"/>
              <w:rPr>
                <w:color w:val="000000" w:themeColor="text1"/>
                <w:highlight w:val="none"/>
                <w14:textFill>
                  <w14:solidFill>
                    <w14:schemeClr w14:val="tx1"/>
                  </w14:solidFill>
                </w14:textFill>
              </w:rPr>
            </w:pPr>
          </w:p>
        </w:tc>
        <w:tc>
          <w:tcPr>
            <w:tcW w:w="2189" w:type="dxa"/>
          </w:tcPr>
          <w:p w14:paraId="652D59D1">
            <w:pPr>
              <w:jc w:val="center"/>
              <w:rPr>
                <w:color w:val="000000" w:themeColor="text1"/>
                <w:highlight w:val="none"/>
                <w14:textFill>
                  <w14:solidFill>
                    <w14:schemeClr w14:val="tx1"/>
                  </w14:solidFill>
                </w14:textFill>
              </w:rPr>
            </w:pPr>
          </w:p>
        </w:tc>
      </w:tr>
      <w:tr w14:paraId="43A590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087CA2E9">
            <w:pPr>
              <w:jc w:val="center"/>
              <w:rPr>
                <w:color w:val="000000" w:themeColor="text1"/>
                <w:highlight w:val="none"/>
                <w14:textFill>
                  <w14:solidFill>
                    <w14:schemeClr w14:val="tx1"/>
                  </w14:solidFill>
                </w14:textFill>
              </w:rPr>
            </w:pPr>
          </w:p>
        </w:tc>
        <w:tc>
          <w:tcPr>
            <w:tcW w:w="2189" w:type="dxa"/>
          </w:tcPr>
          <w:p w14:paraId="2EC8CD3F">
            <w:pPr>
              <w:jc w:val="center"/>
              <w:rPr>
                <w:color w:val="000000" w:themeColor="text1"/>
                <w:highlight w:val="none"/>
                <w14:textFill>
                  <w14:solidFill>
                    <w14:schemeClr w14:val="tx1"/>
                  </w14:solidFill>
                </w14:textFill>
              </w:rPr>
            </w:pPr>
          </w:p>
        </w:tc>
        <w:tc>
          <w:tcPr>
            <w:tcW w:w="2189" w:type="dxa"/>
          </w:tcPr>
          <w:p w14:paraId="4D41ADF0">
            <w:pPr>
              <w:jc w:val="center"/>
              <w:rPr>
                <w:color w:val="000000" w:themeColor="text1"/>
                <w:highlight w:val="none"/>
                <w14:textFill>
                  <w14:solidFill>
                    <w14:schemeClr w14:val="tx1"/>
                  </w14:solidFill>
                </w14:textFill>
              </w:rPr>
            </w:pPr>
          </w:p>
        </w:tc>
        <w:tc>
          <w:tcPr>
            <w:tcW w:w="2189" w:type="dxa"/>
          </w:tcPr>
          <w:p w14:paraId="5C715851">
            <w:pPr>
              <w:jc w:val="center"/>
              <w:rPr>
                <w:color w:val="000000" w:themeColor="text1"/>
                <w:highlight w:val="none"/>
                <w14:textFill>
                  <w14:solidFill>
                    <w14:schemeClr w14:val="tx1"/>
                  </w14:solidFill>
                </w14:textFill>
              </w:rPr>
            </w:pPr>
          </w:p>
        </w:tc>
      </w:tr>
      <w:tr w14:paraId="1CB27F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75C21F24">
            <w:pPr>
              <w:jc w:val="center"/>
              <w:rPr>
                <w:color w:val="000000" w:themeColor="text1"/>
                <w:highlight w:val="none"/>
                <w14:textFill>
                  <w14:solidFill>
                    <w14:schemeClr w14:val="tx1"/>
                  </w14:solidFill>
                </w14:textFill>
              </w:rPr>
            </w:pPr>
          </w:p>
        </w:tc>
        <w:tc>
          <w:tcPr>
            <w:tcW w:w="2189" w:type="dxa"/>
          </w:tcPr>
          <w:p w14:paraId="67EB2D6B">
            <w:pPr>
              <w:jc w:val="center"/>
              <w:rPr>
                <w:color w:val="000000" w:themeColor="text1"/>
                <w:highlight w:val="none"/>
                <w14:textFill>
                  <w14:solidFill>
                    <w14:schemeClr w14:val="tx1"/>
                  </w14:solidFill>
                </w14:textFill>
              </w:rPr>
            </w:pPr>
          </w:p>
        </w:tc>
        <w:tc>
          <w:tcPr>
            <w:tcW w:w="2189" w:type="dxa"/>
          </w:tcPr>
          <w:p w14:paraId="41DB03A5">
            <w:pPr>
              <w:jc w:val="center"/>
              <w:rPr>
                <w:color w:val="000000" w:themeColor="text1"/>
                <w:highlight w:val="none"/>
                <w14:textFill>
                  <w14:solidFill>
                    <w14:schemeClr w14:val="tx1"/>
                  </w14:solidFill>
                </w14:textFill>
              </w:rPr>
            </w:pPr>
          </w:p>
        </w:tc>
        <w:tc>
          <w:tcPr>
            <w:tcW w:w="2189" w:type="dxa"/>
          </w:tcPr>
          <w:p w14:paraId="1515E42F">
            <w:pPr>
              <w:jc w:val="center"/>
              <w:rPr>
                <w:color w:val="000000" w:themeColor="text1"/>
                <w:highlight w:val="none"/>
                <w14:textFill>
                  <w14:solidFill>
                    <w14:schemeClr w14:val="tx1"/>
                  </w14:solidFill>
                </w14:textFill>
              </w:rPr>
            </w:pPr>
          </w:p>
        </w:tc>
      </w:tr>
      <w:tr w14:paraId="13F9FF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5EA16ED5">
            <w:pPr>
              <w:jc w:val="center"/>
              <w:rPr>
                <w:color w:val="000000" w:themeColor="text1"/>
                <w:highlight w:val="none"/>
                <w14:textFill>
                  <w14:solidFill>
                    <w14:schemeClr w14:val="tx1"/>
                  </w14:solidFill>
                </w14:textFill>
              </w:rPr>
            </w:pPr>
          </w:p>
        </w:tc>
        <w:tc>
          <w:tcPr>
            <w:tcW w:w="2189" w:type="dxa"/>
          </w:tcPr>
          <w:p w14:paraId="5F832CAA">
            <w:pPr>
              <w:jc w:val="center"/>
              <w:rPr>
                <w:color w:val="000000" w:themeColor="text1"/>
                <w:highlight w:val="none"/>
                <w14:textFill>
                  <w14:solidFill>
                    <w14:schemeClr w14:val="tx1"/>
                  </w14:solidFill>
                </w14:textFill>
              </w:rPr>
            </w:pPr>
          </w:p>
        </w:tc>
        <w:tc>
          <w:tcPr>
            <w:tcW w:w="2189" w:type="dxa"/>
          </w:tcPr>
          <w:p w14:paraId="2A8CA2FF">
            <w:pPr>
              <w:jc w:val="center"/>
              <w:rPr>
                <w:color w:val="000000" w:themeColor="text1"/>
                <w:highlight w:val="none"/>
                <w14:textFill>
                  <w14:solidFill>
                    <w14:schemeClr w14:val="tx1"/>
                  </w14:solidFill>
                </w14:textFill>
              </w:rPr>
            </w:pPr>
          </w:p>
        </w:tc>
        <w:tc>
          <w:tcPr>
            <w:tcW w:w="2189" w:type="dxa"/>
          </w:tcPr>
          <w:p w14:paraId="789A652A">
            <w:pPr>
              <w:jc w:val="center"/>
              <w:rPr>
                <w:color w:val="000000" w:themeColor="text1"/>
                <w:highlight w:val="none"/>
                <w14:textFill>
                  <w14:solidFill>
                    <w14:schemeClr w14:val="tx1"/>
                  </w14:solidFill>
                </w14:textFill>
              </w:rPr>
            </w:pPr>
          </w:p>
        </w:tc>
      </w:tr>
      <w:tr w14:paraId="7775FA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188" w:type="dxa"/>
          </w:tcPr>
          <w:p w14:paraId="3B674339">
            <w:pPr>
              <w:jc w:val="center"/>
              <w:rPr>
                <w:color w:val="000000" w:themeColor="text1"/>
                <w:highlight w:val="none"/>
                <w14:textFill>
                  <w14:solidFill>
                    <w14:schemeClr w14:val="tx1"/>
                  </w14:solidFill>
                </w14:textFill>
              </w:rPr>
            </w:pPr>
          </w:p>
        </w:tc>
        <w:tc>
          <w:tcPr>
            <w:tcW w:w="2189" w:type="dxa"/>
          </w:tcPr>
          <w:p w14:paraId="77EC7C97">
            <w:pPr>
              <w:jc w:val="center"/>
              <w:rPr>
                <w:color w:val="000000" w:themeColor="text1"/>
                <w:highlight w:val="none"/>
                <w14:textFill>
                  <w14:solidFill>
                    <w14:schemeClr w14:val="tx1"/>
                  </w14:solidFill>
                </w14:textFill>
              </w:rPr>
            </w:pPr>
          </w:p>
        </w:tc>
        <w:tc>
          <w:tcPr>
            <w:tcW w:w="2189" w:type="dxa"/>
          </w:tcPr>
          <w:p w14:paraId="18410C75">
            <w:pPr>
              <w:jc w:val="center"/>
              <w:rPr>
                <w:color w:val="000000" w:themeColor="text1"/>
                <w:highlight w:val="none"/>
                <w14:textFill>
                  <w14:solidFill>
                    <w14:schemeClr w14:val="tx1"/>
                  </w14:solidFill>
                </w14:textFill>
              </w:rPr>
            </w:pPr>
          </w:p>
        </w:tc>
        <w:tc>
          <w:tcPr>
            <w:tcW w:w="2189" w:type="dxa"/>
          </w:tcPr>
          <w:p w14:paraId="0817458F">
            <w:pPr>
              <w:jc w:val="center"/>
              <w:rPr>
                <w:color w:val="000000" w:themeColor="text1"/>
                <w:highlight w:val="none"/>
                <w14:textFill>
                  <w14:solidFill>
                    <w14:schemeClr w14:val="tx1"/>
                  </w14:solidFill>
                </w14:textFill>
              </w:rPr>
            </w:pPr>
          </w:p>
        </w:tc>
      </w:tr>
      <w:tr w14:paraId="0C0E70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66807022">
            <w:pPr>
              <w:jc w:val="center"/>
              <w:rPr>
                <w:color w:val="000000" w:themeColor="text1"/>
                <w:highlight w:val="none"/>
                <w14:textFill>
                  <w14:solidFill>
                    <w14:schemeClr w14:val="tx1"/>
                  </w14:solidFill>
                </w14:textFill>
              </w:rPr>
            </w:pPr>
          </w:p>
        </w:tc>
        <w:tc>
          <w:tcPr>
            <w:tcW w:w="2189" w:type="dxa"/>
          </w:tcPr>
          <w:p w14:paraId="4E682DE4">
            <w:pPr>
              <w:jc w:val="center"/>
              <w:rPr>
                <w:color w:val="000000" w:themeColor="text1"/>
                <w:highlight w:val="none"/>
                <w14:textFill>
                  <w14:solidFill>
                    <w14:schemeClr w14:val="tx1"/>
                  </w14:solidFill>
                </w14:textFill>
              </w:rPr>
            </w:pPr>
          </w:p>
        </w:tc>
        <w:tc>
          <w:tcPr>
            <w:tcW w:w="2189" w:type="dxa"/>
          </w:tcPr>
          <w:p w14:paraId="5FCEC64E">
            <w:pPr>
              <w:jc w:val="center"/>
              <w:rPr>
                <w:color w:val="000000" w:themeColor="text1"/>
                <w:highlight w:val="none"/>
                <w14:textFill>
                  <w14:solidFill>
                    <w14:schemeClr w14:val="tx1"/>
                  </w14:solidFill>
                </w14:textFill>
              </w:rPr>
            </w:pPr>
          </w:p>
        </w:tc>
        <w:tc>
          <w:tcPr>
            <w:tcW w:w="2189" w:type="dxa"/>
          </w:tcPr>
          <w:p w14:paraId="2C440560">
            <w:pPr>
              <w:jc w:val="center"/>
              <w:rPr>
                <w:color w:val="000000" w:themeColor="text1"/>
                <w:highlight w:val="none"/>
                <w14:textFill>
                  <w14:solidFill>
                    <w14:schemeClr w14:val="tx1"/>
                  </w14:solidFill>
                </w14:textFill>
              </w:rPr>
            </w:pPr>
          </w:p>
        </w:tc>
      </w:tr>
    </w:tbl>
    <w:p w14:paraId="7CCC708E">
      <w:pPr>
        <w:jc w:val="center"/>
        <w:rPr>
          <w:color w:val="000000" w:themeColor="text1"/>
          <w:highlight w:val="none"/>
          <w14:textFill>
            <w14:solidFill>
              <w14:schemeClr w14:val="tx1"/>
            </w14:solidFill>
          </w14:textFill>
        </w:rPr>
      </w:pPr>
    </w:p>
    <w:p w14:paraId="43B8DBA8">
      <w:pPr>
        <w:jc w:val="center"/>
        <w:rPr>
          <w:color w:val="000000" w:themeColor="text1"/>
          <w:highlight w:val="none"/>
          <w14:textFill>
            <w14:solidFill>
              <w14:schemeClr w14:val="tx1"/>
            </w14:solidFill>
          </w14:textFill>
        </w:rPr>
      </w:pPr>
    </w:p>
    <w:p w14:paraId="33D51C41">
      <w:pPr>
        <w:jc w:val="center"/>
        <w:rPr>
          <w:color w:val="000000" w:themeColor="text1"/>
          <w:highlight w:val="none"/>
          <w14:textFill>
            <w14:solidFill>
              <w14:schemeClr w14:val="tx1"/>
            </w14:solidFill>
          </w14:textFill>
        </w:rPr>
      </w:pPr>
    </w:p>
    <w:p w14:paraId="3C0F0CAB">
      <w:pPr>
        <w:jc w:val="center"/>
        <w:rPr>
          <w:color w:val="000000" w:themeColor="text1"/>
          <w:highlight w:val="none"/>
          <w14:textFill>
            <w14:solidFill>
              <w14:schemeClr w14:val="tx1"/>
            </w14:solidFill>
          </w14:textFill>
        </w:rPr>
      </w:pPr>
    </w:p>
    <w:p w14:paraId="0D256296">
      <w:pPr>
        <w:jc w:val="center"/>
        <w:rPr>
          <w:color w:val="000000" w:themeColor="text1"/>
          <w:highlight w:val="none"/>
          <w14:textFill>
            <w14:solidFill>
              <w14:schemeClr w14:val="tx1"/>
            </w14:solidFill>
          </w14:textFill>
        </w:rPr>
      </w:pPr>
    </w:p>
    <w:p w14:paraId="3EDD59BB">
      <w:pPr>
        <w:jc w:val="center"/>
        <w:rPr>
          <w:color w:val="000000" w:themeColor="text1"/>
          <w:highlight w:val="none"/>
          <w14:textFill>
            <w14:solidFill>
              <w14:schemeClr w14:val="tx1"/>
            </w14:solidFill>
          </w14:textFill>
        </w:rPr>
      </w:pPr>
    </w:p>
    <w:p w14:paraId="7F093C94">
      <w:pPr>
        <w:jc w:val="center"/>
        <w:rPr>
          <w:color w:val="000000" w:themeColor="text1"/>
          <w:highlight w:val="none"/>
          <w14:textFill>
            <w14:solidFill>
              <w14:schemeClr w14:val="tx1"/>
            </w14:solidFill>
          </w14:textFill>
        </w:rPr>
      </w:pPr>
    </w:p>
    <w:p w14:paraId="2DD2F032">
      <w:pPr>
        <w:jc w:val="center"/>
        <w:rPr>
          <w:color w:val="000000" w:themeColor="text1"/>
          <w:highlight w:val="none"/>
          <w14:textFill>
            <w14:solidFill>
              <w14:schemeClr w14:val="tx1"/>
            </w14:solidFill>
          </w14:textFill>
        </w:rPr>
      </w:pPr>
    </w:p>
    <w:p w14:paraId="111A8A40">
      <w:pPr>
        <w:jc w:val="center"/>
        <w:rPr>
          <w:color w:val="000000" w:themeColor="text1"/>
          <w:highlight w:val="none"/>
          <w14:textFill>
            <w14:solidFill>
              <w14:schemeClr w14:val="tx1"/>
            </w14:solidFill>
          </w14:textFill>
        </w:rPr>
      </w:pPr>
    </w:p>
    <w:p w14:paraId="64D36469">
      <w:pPr>
        <w:jc w:val="center"/>
        <w:rPr>
          <w:color w:val="000000" w:themeColor="text1"/>
          <w:highlight w:val="none"/>
          <w14:textFill>
            <w14:solidFill>
              <w14:schemeClr w14:val="tx1"/>
            </w14:solidFill>
          </w14:textFill>
        </w:rPr>
      </w:pPr>
    </w:p>
    <w:p w14:paraId="132186E3">
      <w:pPr>
        <w:jc w:val="center"/>
        <w:rPr>
          <w:color w:val="000000" w:themeColor="text1"/>
          <w:highlight w:val="none"/>
          <w14:textFill>
            <w14:solidFill>
              <w14:schemeClr w14:val="tx1"/>
            </w14:solidFill>
          </w14:textFill>
        </w:rPr>
      </w:pPr>
    </w:p>
    <w:p w14:paraId="62804811">
      <w:pPr>
        <w:jc w:val="center"/>
        <w:rPr>
          <w:color w:val="000000" w:themeColor="text1"/>
          <w:highlight w:val="none"/>
          <w14:textFill>
            <w14:solidFill>
              <w14:schemeClr w14:val="tx1"/>
            </w14:solidFill>
          </w14:textFill>
        </w:rPr>
      </w:pPr>
    </w:p>
    <w:p w14:paraId="77AD936F">
      <w:pPr>
        <w:jc w:val="center"/>
        <w:rPr>
          <w:color w:val="000000" w:themeColor="text1"/>
          <w:highlight w:val="none"/>
          <w14:textFill>
            <w14:solidFill>
              <w14:schemeClr w14:val="tx1"/>
            </w14:solidFill>
          </w14:textFill>
        </w:rPr>
      </w:pPr>
    </w:p>
    <w:p w14:paraId="02852F0E">
      <w:pPr>
        <w:jc w:val="center"/>
        <w:rPr>
          <w:color w:val="000000" w:themeColor="text1"/>
          <w:highlight w:val="none"/>
          <w14:textFill>
            <w14:solidFill>
              <w14:schemeClr w14:val="tx1"/>
            </w14:solidFill>
          </w14:textFill>
        </w:rPr>
      </w:pPr>
    </w:p>
    <w:p w14:paraId="3D0765A1">
      <w:pPr>
        <w:jc w:val="center"/>
        <w:rPr>
          <w:color w:val="000000" w:themeColor="text1"/>
          <w:highlight w:val="none"/>
          <w14:textFill>
            <w14:solidFill>
              <w14:schemeClr w14:val="tx1"/>
            </w14:solidFill>
          </w14:textFill>
        </w:rPr>
      </w:pPr>
    </w:p>
    <w:p w14:paraId="26941E1E">
      <w:pPr>
        <w:jc w:val="center"/>
        <w:rPr>
          <w:color w:val="000000" w:themeColor="text1"/>
          <w:highlight w:val="none"/>
          <w14:textFill>
            <w14:solidFill>
              <w14:schemeClr w14:val="tx1"/>
            </w14:solidFill>
          </w14:textFill>
        </w:rPr>
      </w:pPr>
    </w:p>
    <w:p w14:paraId="4B535F84">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2EE2CD27">
      <w:pPr>
        <w:widowControl/>
        <w:spacing w:line="360" w:lineRule="auto"/>
        <w:ind w:firstLine="643"/>
        <w:jc w:val="center"/>
        <w:rPr>
          <w:rFonts w:asciiTheme="minorEastAsia" w:hAnsiTheme="minorEastAsia"/>
          <w:b/>
          <w:bCs/>
          <w:color w:val="000000" w:themeColor="text1"/>
          <w:sz w:val="32"/>
          <w:szCs w:val="32"/>
          <w:highlight w:val="none"/>
          <w14:textFill>
            <w14:solidFill>
              <w14:schemeClr w14:val="tx1"/>
            </w14:solidFill>
          </w14:textFill>
        </w:rPr>
      </w:pPr>
      <w:r>
        <w:rPr>
          <w:rFonts w:hint="eastAsia" w:asciiTheme="minorEastAsia" w:hAnsiTheme="minorEastAsia"/>
          <w:b/>
          <w:bCs/>
          <w:color w:val="000000" w:themeColor="text1"/>
          <w:sz w:val="32"/>
          <w:szCs w:val="32"/>
          <w:highlight w:val="none"/>
          <w14:textFill>
            <w14:solidFill>
              <w14:schemeClr w14:val="tx1"/>
            </w14:solidFill>
          </w14:textFill>
        </w:rPr>
        <w:t>廉政合同</w:t>
      </w:r>
    </w:p>
    <w:p w14:paraId="239C6663">
      <w:pPr>
        <w:pStyle w:val="4"/>
        <w:ind w:firstLine="723"/>
        <w:rPr>
          <w:color w:val="000000" w:themeColor="text1"/>
          <w:highlight w:val="none"/>
          <w14:textFill>
            <w14:solidFill>
              <w14:schemeClr w14:val="tx1"/>
            </w14:solidFill>
          </w14:textFill>
        </w:rPr>
      </w:pPr>
    </w:p>
    <w:p w14:paraId="4D7A7765">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为保证工程质量及进度，顺利完成合作项目，维护廉洁、高效、和谐、公正的工作机制，双方将严格遵照执行，共同监督以下的内容：</w:t>
      </w:r>
      <w:r>
        <w:rPr>
          <w:rFonts w:asciiTheme="minorEastAsia" w:hAnsiTheme="minorEastAsia" w:cstheme="minorEastAsia"/>
          <w:color w:val="000000" w:themeColor="text1"/>
          <w:sz w:val="24"/>
          <w:highlight w:val="none"/>
          <w14:textFill>
            <w14:solidFill>
              <w14:schemeClr w14:val="tx1"/>
            </w14:solidFill>
          </w14:textFill>
        </w:rPr>
        <w:t xml:space="preserve"> </w:t>
      </w:r>
    </w:p>
    <w:p w14:paraId="24F482A5">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一、甲、乙双方均应对本单位工作人员及工程项目管理人员进行廉洁从业教育，双方必须自觉遵守法律、法规及企业廉政建设相关规定。</w:t>
      </w:r>
      <w:r>
        <w:rPr>
          <w:rFonts w:asciiTheme="minorEastAsia" w:hAnsiTheme="minorEastAsia" w:cstheme="minorEastAsia"/>
          <w:color w:val="000000" w:themeColor="text1"/>
          <w:sz w:val="24"/>
          <w:highlight w:val="none"/>
          <w14:textFill>
            <w14:solidFill>
              <w14:schemeClr w14:val="tx1"/>
            </w14:solidFill>
          </w14:textFill>
        </w:rPr>
        <w:t xml:space="preserve"> </w:t>
      </w:r>
    </w:p>
    <w:p w14:paraId="669487CE">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二、委托人在廉政建设方面的责任</w:t>
      </w:r>
      <w:r>
        <w:rPr>
          <w:rFonts w:asciiTheme="minorEastAsia" w:hAnsiTheme="minorEastAsia" w:cstheme="minorEastAsia"/>
          <w:color w:val="000000" w:themeColor="text1"/>
          <w:sz w:val="24"/>
          <w:highlight w:val="none"/>
          <w14:textFill>
            <w14:solidFill>
              <w14:schemeClr w14:val="tx1"/>
            </w14:solidFill>
          </w14:textFill>
        </w:rPr>
        <w:t xml:space="preserve"> </w:t>
      </w:r>
    </w:p>
    <w:p w14:paraId="25EEBBB5">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 xml:space="preserve">1、委托人及委托人总部所属相关单位工作人员应当保持与咨询人的正常业务交往，不得以任何形式向咨询人索要和收受回扣等好处费，不得接受咨询人的礼金、有价证券和贵重物品，不得在咨询人报销任何应由委托人单位或个人支付的费用。 </w:t>
      </w:r>
    </w:p>
    <w:p w14:paraId="398C259A">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2</w:t>
      </w:r>
      <w:r>
        <w:rPr>
          <w:rFonts w:hint="eastAsia" w:asciiTheme="minorEastAsia" w:hAnsiTheme="minorEastAsia" w:cstheme="minorEastAsia"/>
          <w:color w:val="000000" w:themeColor="text1"/>
          <w:sz w:val="24"/>
          <w:highlight w:val="none"/>
          <w14:textFill>
            <w14:solidFill>
              <w14:schemeClr w14:val="tx1"/>
            </w14:solidFill>
          </w14:textFill>
        </w:rPr>
        <w:t>、委托人及委托人总部所属相关单位工作人员不得参加咨询人的可能对公正执行管理业务有影响的宴请、外出旅游和营业性娱乐活动。</w:t>
      </w:r>
      <w:r>
        <w:rPr>
          <w:rFonts w:asciiTheme="minorEastAsia" w:hAnsiTheme="minorEastAsia" w:cstheme="minorEastAsia"/>
          <w:color w:val="000000" w:themeColor="text1"/>
          <w:sz w:val="24"/>
          <w:highlight w:val="none"/>
          <w14:textFill>
            <w14:solidFill>
              <w14:schemeClr w14:val="tx1"/>
            </w14:solidFill>
          </w14:textFill>
        </w:rPr>
        <w:t xml:space="preserve"> </w:t>
      </w:r>
    </w:p>
    <w:p w14:paraId="3857EF81">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3</w:t>
      </w:r>
      <w:r>
        <w:rPr>
          <w:rFonts w:hint="eastAsia" w:asciiTheme="minorEastAsia" w:hAnsiTheme="minorEastAsia" w:cstheme="minorEastAsia"/>
          <w:color w:val="000000" w:themeColor="text1"/>
          <w:sz w:val="24"/>
          <w:highlight w:val="none"/>
          <w14:textFill>
            <w14:solidFill>
              <w14:schemeClr w14:val="tx1"/>
            </w14:solidFill>
          </w14:textFill>
        </w:rPr>
        <w:t>、委托人及委托人总部所属相关单位工作人员不得要求、暗示和接受咨询人为其住房建设和装修、婚丧嫁娶、家属和子女的工作安排以及出国等提供方便。</w:t>
      </w:r>
      <w:r>
        <w:rPr>
          <w:rFonts w:asciiTheme="minorEastAsia" w:hAnsiTheme="minorEastAsia" w:cstheme="minorEastAsia"/>
          <w:color w:val="000000" w:themeColor="text1"/>
          <w:sz w:val="24"/>
          <w:highlight w:val="none"/>
          <w14:textFill>
            <w14:solidFill>
              <w14:schemeClr w14:val="tx1"/>
            </w14:solidFill>
          </w14:textFill>
        </w:rPr>
        <w:t xml:space="preserve"> </w:t>
      </w:r>
    </w:p>
    <w:p w14:paraId="6ED6328D">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4</w:t>
      </w:r>
      <w:r>
        <w:rPr>
          <w:rFonts w:hint="eastAsia" w:asciiTheme="minorEastAsia" w:hAnsiTheme="minorEastAsia" w:cstheme="minorEastAsia"/>
          <w:color w:val="000000" w:themeColor="text1"/>
          <w:sz w:val="24"/>
          <w:highlight w:val="none"/>
          <w14:textFill>
            <w14:solidFill>
              <w14:schemeClr w14:val="tx1"/>
            </w14:solidFill>
          </w14:textFill>
        </w:rPr>
        <w:t>、委托人及委托人总部所属相关单位工作人员不得向咨询人介绍自己的亲友从事委托人工程有关的材料设备供应、工程分包等经济活动。</w:t>
      </w:r>
      <w:r>
        <w:rPr>
          <w:rFonts w:asciiTheme="minorEastAsia" w:hAnsiTheme="minorEastAsia" w:cstheme="minorEastAsia"/>
          <w:color w:val="000000" w:themeColor="text1"/>
          <w:sz w:val="24"/>
          <w:highlight w:val="none"/>
          <w14:textFill>
            <w14:solidFill>
              <w14:schemeClr w14:val="tx1"/>
            </w14:solidFill>
          </w14:textFill>
        </w:rPr>
        <w:t xml:space="preserve"> </w:t>
      </w:r>
    </w:p>
    <w:p w14:paraId="584B05A8">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三、咨询人在廉政建设方面的责任</w:t>
      </w:r>
      <w:r>
        <w:rPr>
          <w:rFonts w:asciiTheme="minorEastAsia" w:hAnsiTheme="minorEastAsia" w:cstheme="minorEastAsia"/>
          <w:color w:val="000000" w:themeColor="text1"/>
          <w:sz w:val="24"/>
          <w:highlight w:val="none"/>
          <w14:textFill>
            <w14:solidFill>
              <w14:schemeClr w14:val="tx1"/>
            </w14:solidFill>
          </w14:textFill>
        </w:rPr>
        <w:t xml:space="preserve"> </w:t>
      </w:r>
    </w:p>
    <w:p w14:paraId="7414DE4B">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1</w:t>
      </w:r>
      <w:r>
        <w:rPr>
          <w:rFonts w:hint="eastAsia" w:asciiTheme="minorEastAsia" w:hAnsiTheme="minorEastAsia" w:cstheme="minorEastAsia"/>
          <w:color w:val="000000" w:themeColor="text1"/>
          <w:sz w:val="24"/>
          <w:highlight w:val="none"/>
          <w14:textFill>
            <w14:solidFill>
              <w14:schemeClr w14:val="tx1"/>
            </w14:solidFill>
          </w14:textFill>
        </w:rPr>
        <w:t>、咨询人不得以任何理由向委托人及委托人总部所属相关单位工作人员赠送礼金、有价证券和贵重物品等。</w:t>
      </w:r>
    </w:p>
    <w:p w14:paraId="0E7C93D8">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2</w:t>
      </w:r>
      <w:r>
        <w:rPr>
          <w:rFonts w:hint="eastAsia" w:asciiTheme="minorEastAsia" w:hAnsiTheme="minorEastAsia" w:cstheme="minorEastAsia"/>
          <w:color w:val="000000" w:themeColor="text1"/>
          <w:sz w:val="24"/>
          <w:highlight w:val="none"/>
          <w14:textFill>
            <w14:solidFill>
              <w14:schemeClr w14:val="tx1"/>
            </w14:solidFill>
          </w14:textFill>
        </w:rPr>
        <w:t>、咨询人不得以任何理由为委托人及委托人总部所属相关单位工作人员组织有可能对公正执行管理业务有影响的宴请、外出旅游和营业性娱乐活动。</w:t>
      </w:r>
      <w:r>
        <w:rPr>
          <w:rFonts w:asciiTheme="minorEastAsia" w:hAnsiTheme="minorEastAsia" w:cstheme="minorEastAsia"/>
          <w:color w:val="000000" w:themeColor="text1"/>
          <w:sz w:val="24"/>
          <w:highlight w:val="none"/>
          <w14:textFill>
            <w14:solidFill>
              <w14:schemeClr w14:val="tx1"/>
            </w14:solidFill>
          </w14:textFill>
        </w:rPr>
        <w:t xml:space="preserve"> </w:t>
      </w:r>
    </w:p>
    <w:p w14:paraId="75862482">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3</w:t>
      </w:r>
      <w:r>
        <w:rPr>
          <w:rFonts w:hint="eastAsia" w:asciiTheme="minorEastAsia" w:hAnsiTheme="minorEastAsia" w:cstheme="minorEastAsia"/>
          <w:color w:val="000000" w:themeColor="text1"/>
          <w:sz w:val="24"/>
          <w:highlight w:val="none"/>
          <w14:textFill>
            <w14:solidFill>
              <w14:schemeClr w14:val="tx1"/>
            </w14:solidFill>
          </w14:textFill>
        </w:rPr>
        <w:t>、咨询人不得接受、暗示为委托人及委托人总部所属相关单位工作人员住房建设和装修、婚丧嫁娶、家属和子女的工作安排以及出国等提供方便。</w:t>
      </w:r>
      <w:r>
        <w:rPr>
          <w:rFonts w:asciiTheme="minorEastAsia" w:hAnsiTheme="minorEastAsia" w:cstheme="minorEastAsia"/>
          <w:color w:val="000000" w:themeColor="text1"/>
          <w:sz w:val="24"/>
          <w:highlight w:val="none"/>
          <w14:textFill>
            <w14:solidFill>
              <w14:schemeClr w14:val="tx1"/>
            </w14:solidFill>
          </w14:textFill>
        </w:rPr>
        <w:t xml:space="preserve"> </w:t>
      </w:r>
    </w:p>
    <w:p w14:paraId="68BF5F8D">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4</w:t>
      </w:r>
      <w:r>
        <w:rPr>
          <w:rFonts w:hint="eastAsia" w:asciiTheme="minorEastAsia" w:hAnsiTheme="minorEastAsia" w:cstheme="minorEastAsia"/>
          <w:color w:val="000000" w:themeColor="text1"/>
          <w:sz w:val="24"/>
          <w:highlight w:val="none"/>
          <w14:textFill>
            <w14:solidFill>
              <w14:schemeClr w14:val="tx1"/>
            </w14:solidFill>
          </w14:textFill>
        </w:rPr>
        <w:t>、咨询人不得为委托人及委托人总部所属相关单位工作人员购置或者提供通讯工具、交通工具、家电、高档办公用品等物品。</w:t>
      </w:r>
      <w:r>
        <w:rPr>
          <w:rFonts w:asciiTheme="minorEastAsia" w:hAnsiTheme="minorEastAsia" w:cstheme="minorEastAsia"/>
          <w:color w:val="000000" w:themeColor="text1"/>
          <w:sz w:val="24"/>
          <w:highlight w:val="none"/>
          <w14:textFill>
            <w14:solidFill>
              <w14:schemeClr w14:val="tx1"/>
            </w14:solidFill>
          </w14:textFill>
        </w:rPr>
        <w:t xml:space="preserve"> </w:t>
      </w:r>
    </w:p>
    <w:p w14:paraId="68D7954E">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5</w:t>
      </w:r>
      <w:r>
        <w:rPr>
          <w:rFonts w:hint="eastAsia" w:asciiTheme="minorEastAsia" w:hAnsiTheme="minorEastAsia" w:cstheme="minorEastAsia"/>
          <w:color w:val="000000" w:themeColor="text1"/>
          <w:sz w:val="24"/>
          <w:highlight w:val="none"/>
          <w14:textFill>
            <w14:solidFill>
              <w14:schemeClr w14:val="tx1"/>
            </w14:solidFill>
          </w14:textFill>
        </w:rPr>
        <w:t>、咨询人不得以任何理由为委托人及委托人总部所属相关单位工作人员报销任何应由委托人或个人支付的费用。</w:t>
      </w:r>
      <w:r>
        <w:rPr>
          <w:rFonts w:asciiTheme="minorEastAsia" w:hAnsiTheme="minorEastAsia" w:cstheme="minorEastAsia"/>
          <w:color w:val="000000" w:themeColor="text1"/>
          <w:sz w:val="24"/>
          <w:highlight w:val="none"/>
          <w14:textFill>
            <w14:solidFill>
              <w14:schemeClr w14:val="tx1"/>
            </w14:solidFill>
          </w14:textFill>
        </w:rPr>
        <w:t xml:space="preserve"> </w:t>
      </w:r>
    </w:p>
    <w:p w14:paraId="291A8EBF">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四、相关责任</w:t>
      </w:r>
      <w:r>
        <w:rPr>
          <w:rFonts w:asciiTheme="minorEastAsia" w:hAnsiTheme="minorEastAsia" w:cstheme="minorEastAsia"/>
          <w:color w:val="000000" w:themeColor="text1"/>
          <w:sz w:val="24"/>
          <w:highlight w:val="none"/>
          <w14:textFill>
            <w14:solidFill>
              <w14:schemeClr w14:val="tx1"/>
            </w14:solidFill>
          </w14:textFill>
        </w:rPr>
        <w:t xml:space="preserve"> </w:t>
      </w:r>
    </w:p>
    <w:p w14:paraId="59F412FC">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1</w:t>
      </w:r>
      <w:r>
        <w:rPr>
          <w:rFonts w:hint="eastAsia" w:asciiTheme="minorEastAsia" w:hAnsiTheme="minorEastAsia" w:cstheme="minorEastAsia"/>
          <w:color w:val="000000" w:themeColor="text1"/>
          <w:sz w:val="24"/>
          <w:highlight w:val="none"/>
          <w14:textFill>
            <w14:solidFill>
              <w14:schemeClr w14:val="tx1"/>
            </w14:solidFill>
          </w14:textFill>
        </w:rPr>
        <w:t>、咨询人如发现委托人及委托人总部所属相关单位工作人员有违反上述协议者，应及时向审计</w:t>
      </w:r>
      <w:r>
        <w:rPr>
          <w:rFonts w:asciiTheme="minorEastAsia" w:hAnsiTheme="minorEastAsia" w:cstheme="minorEastAsia"/>
          <w:color w:val="000000" w:themeColor="text1"/>
          <w:sz w:val="24"/>
          <w:highlight w:val="none"/>
          <w14:textFill>
            <w14:solidFill>
              <w14:schemeClr w14:val="tx1"/>
            </w14:solidFill>
          </w14:textFill>
        </w:rPr>
        <w:t>法务部</w:t>
      </w:r>
      <w:r>
        <w:rPr>
          <w:rFonts w:hint="eastAsia" w:asciiTheme="minorEastAsia" w:hAnsiTheme="minorEastAsia" w:cstheme="minorEastAsia"/>
          <w:color w:val="000000" w:themeColor="text1"/>
          <w:sz w:val="24"/>
          <w:highlight w:val="none"/>
          <w14:textFill>
            <w14:solidFill>
              <w14:schemeClr w14:val="tx1"/>
            </w14:solidFill>
          </w14:textFill>
        </w:rPr>
        <w:t>反映情况，监督投诉电话：</w:t>
      </w:r>
      <w:r>
        <w:rPr>
          <w:rFonts w:asciiTheme="minorEastAsia" w:hAnsiTheme="minorEastAsia" w:cstheme="minorEastAsia"/>
          <w:color w:val="000000" w:themeColor="text1"/>
          <w:sz w:val="24"/>
          <w:highlight w:val="none"/>
          <w14:textFill>
            <w14:solidFill>
              <w14:schemeClr w14:val="tx1"/>
            </w14:solidFill>
          </w14:textFill>
        </w:rPr>
        <w:t>02362795377</w:t>
      </w:r>
      <w:r>
        <w:rPr>
          <w:rFonts w:hint="eastAsia" w:asciiTheme="minorEastAsia" w:hAnsiTheme="minorEastAsia" w:cstheme="minorEastAsia"/>
          <w:color w:val="000000" w:themeColor="text1"/>
          <w:sz w:val="24"/>
          <w:highlight w:val="none"/>
          <w14:textFill>
            <w14:solidFill>
              <w14:schemeClr w14:val="tx1"/>
            </w14:solidFill>
          </w14:textFill>
        </w:rPr>
        <w:t>；地址：重庆市</w:t>
      </w:r>
      <w:r>
        <w:rPr>
          <w:rFonts w:asciiTheme="minorEastAsia" w:hAnsiTheme="minorEastAsia" w:cstheme="minorEastAsia"/>
          <w:color w:val="000000" w:themeColor="text1"/>
          <w:sz w:val="24"/>
          <w:highlight w:val="none"/>
          <w14:textFill>
            <w14:solidFill>
              <w14:schemeClr w14:val="tx1"/>
            </w14:solidFill>
          </w14:textFill>
        </w:rPr>
        <w:t>南岸区行政服务中心B区3号楼1812法</w:t>
      </w:r>
      <w:r>
        <w:rPr>
          <w:rFonts w:hint="eastAsia" w:asciiTheme="minorEastAsia" w:hAnsiTheme="minorEastAsia" w:cstheme="minorEastAsia"/>
          <w:color w:val="000000" w:themeColor="text1"/>
          <w:sz w:val="24"/>
          <w:highlight w:val="none"/>
          <w14:textFill>
            <w14:solidFill>
              <w14:schemeClr w14:val="tx1"/>
            </w14:solidFill>
          </w14:textFill>
        </w:rPr>
        <w:t>务审计部。</w:t>
      </w:r>
    </w:p>
    <w:p w14:paraId="7791B6B1">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2</w:t>
      </w:r>
      <w:r>
        <w:rPr>
          <w:rFonts w:hint="eastAsia" w:asciiTheme="minorEastAsia" w:hAnsiTheme="minorEastAsia" w:cstheme="minorEastAsia"/>
          <w:color w:val="000000" w:themeColor="text1"/>
          <w:sz w:val="24"/>
          <w:highlight w:val="none"/>
          <w14:textFill>
            <w14:solidFill>
              <w14:schemeClr w14:val="tx1"/>
            </w14:solidFill>
          </w14:textFill>
        </w:rPr>
        <w:t>、委托人发现咨询人有违反本协议行为的，将对咨询人处以涉及金额</w:t>
      </w:r>
      <w:r>
        <w:rPr>
          <w:rFonts w:asciiTheme="minorEastAsia" w:hAnsiTheme="minorEastAsia" w:cstheme="minorEastAsia"/>
          <w:color w:val="000000" w:themeColor="text1"/>
          <w:sz w:val="24"/>
          <w:highlight w:val="none"/>
          <w14:textFill>
            <w14:solidFill>
              <w14:schemeClr w14:val="tx1"/>
            </w14:solidFill>
          </w14:textFill>
        </w:rPr>
        <w:t xml:space="preserve"> 10 </w:t>
      </w:r>
      <w:r>
        <w:rPr>
          <w:rFonts w:hint="eastAsia" w:asciiTheme="minorEastAsia" w:hAnsiTheme="minorEastAsia" w:cstheme="minorEastAsia"/>
          <w:color w:val="000000" w:themeColor="text1"/>
          <w:sz w:val="24"/>
          <w:highlight w:val="none"/>
          <w14:textFill>
            <w14:solidFill>
              <w14:schemeClr w14:val="tx1"/>
            </w14:solidFill>
          </w14:textFill>
        </w:rPr>
        <w:t>倍的处罚，并保留追究相关责任的权利，对咨询人用不正当手段获取的非法所得予以追缴，并记入诚信档案，终止后期项目合作。咨询人接受在委托人网站或其他媒体进行情节公开披露。情况特别严重的，委托人有权立刻终止在建项目合作并移交司法机关处理。</w:t>
      </w:r>
      <w:r>
        <w:rPr>
          <w:rFonts w:asciiTheme="minorEastAsia" w:hAnsiTheme="minorEastAsia" w:cstheme="minorEastAsia"/>
          <w:color w:val="000000" w:themeColor="text1"/>
          <w:sz w:val="24"/>
          <w:highlight w:val="none"/>
          <w14:textFill>
            <w14:solidFill>
              <w14:schemeClr w14:val="tx1"/>
            </w14:solidFill>
          </w14:textFill>
        </w:rPr>
        <w:t xml:space="preserve"> </w:t>
      </w:r>
    </w:p>
    <w:p w14:paraId="264750F3">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3</w:t>
      </w:r>
      <w:r>
        <w:rPr>
          <w:rFonts w:hint="eastAsia" w:asciiTheme="minorEastAsia" w:hAnsiTheme="minorEastAsia" w:cstheme="minorEastAsia"/>
          <w:color w:val="000000" w:themeColor="text1"/>
          <w:sz w:val="24"/>
          <w:highlight w:val="none"/>
          <w14:textFill>
            <w14:solidFill>
              <w14:schemeClr w14:val="tx1"/>
            </w14:solidFill>
          </w14:textFill>
        </w:rPr>
        <w:t>、委托人对举报属实和严格遵守廉洁协议的咨询人，在同等条件下承接委托人其他工程项目予以优先考虑。</w:t>
      </w:r>
      <w:r>
        <w:rPr>
          <w:rFonts w:asciiTheme="minorEastAsia" w:hAnsiTheme="minorEastAsia" w:cstheme="minorEastAsia"/>
          <w:color w:val="000000" w:themeColor="text1"/>
          <w:sz w:val="24"/>
          <w:highlight w:val="none"/>
          <w14:textFill>
            <w14:solidFill>
              <w14:schemeClr w14:val="tx1"/>
            </w14:solidFill>
          </w14:textFill>
        </w:rPr>
        <w:t xml:space="preserve"> </w:t>
      </w:r>
    </w:p>
    <w:p w14:paraId="64512E10">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五、本协议未尽事项，可在实际操作中，经双方协商予以完善。</w:t>
      </w:r>
      <w:r>
        <w:rPr>
          <w:rFonts w:asciiTheme="minorEastAsia" w:hAnsiTheme="minorEastAsia" w:cstheme="minorEastAsia"/>
          <w:color w:val="000000" w:themeColor="text1"/>
          <w:sz w:val="24"/>
          <w:highlight w:val="none"/>
          <w14:textFill>
            <w14:solidFill>
              <w14:schemeClr w14:val="tx1"/>
            </w14:solidFill>
          </w14:textFill>
        </w:rPr>
        <w:t xml:space="preserve"> </w:t>
      </w:r>
    </w:p>
    <w:p w14:paraId="6AC6DCCF">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六、本协议在甲乙双方合作的协议、合同或其他具有约束力的文件成立时，自动成为该文件的组成部分。</w:t>
      </w:r>
      <w:r>
        <w:rPr>
          <w:rFonts w:asciiTheme="minorEastAsia" w:hAnsiTheme="minorEastAsia" w:cstheme="minorEastAsia"/>
          <w:color w:val="000000" w:themeColor="text1"/>
          <w:sz w:val="24"/>
          <w:highlight w:val="none"/>
          <w14:textFill>
            <w14:solidFill>
              <w14:schemeClr w14:val="tx1"/>
            </w14:solidFill>
          </w14:textFill>
        </w:rPr>
        <w:t xml:space="preserve"> </w:t>
      </w:r>
    </w:p>
    <w:p w14:paraId="2C0A5CF7">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七、本合同签订份数同主合同份数；</w:t>
      </w:r>
      <w:r>
        <w:rPr>
          <w:rFonts w:asciiTheme="minorEastAsia" w:hAnsiTheme="minorEastAsia" w:cstheme="minorEastAsia"/>
          <w:color w:val="000000" w:themeColor="text1"/>
          <w:sz w:val="24"/>
          <w:highlight w:val="none"/>
          <w14:textFill>
            <w14:solidFill>
              <w14:schemeClr w14:val="tx1"/>
            </w14:solidFill>
          </w14:textFill>
        </w:rPr>
        <w:t>本合同</w:t>
      </w:r>
      <w:r>
        <w:rPr>
          <w:rFonts w:hint="eastAsia" w:asciiTheme="minorEastAsia" w:hAnsiTheme="minorEastAsia" w:cstheme="minorEastAsia"/>
          <w:color w:val="000000" w:themeColor="text1"/>
          <w:sz w:val="24"/>
          <w:highlight w:val="none"/>
          <w14:textFill>
            <w14:solidFill>
              <w14:schemeClr w14:val="tx1"/>
            </w14:solidFill>
          </w14:textFill>
        </w:rPr>
        <w:t>与</w:t>
      </w:r>
      <w:r>
        <w:rPr>
          <w:rFonts w:asciiTheme="minorEastAsia" w:hAnsiTheme="minorEastAsia" w:cstheme="minorEastAsia"/>
          <w:color w:val="000000" w:themeColor="text1"/>
          <w:sz w:val="24"/>
          <w:highlight w:val="none"/>
          <w14:textFill>
            <w14:solidFill>
              <w14:schemeClr w14:val="tx1"/>
            </w14:solidFill>
          </w14:textFill>
        </w:rPr>
        <w:t>主合同同时签订。</w:t>
      </w:r>
    </w:p>
    <w:p w14:paraId="447EE91C">
      <w:pPr>
        <w:pStyle w:val="4"/>
        <w:ind w:firstLine="723"/>
        <w:rPr>
          <w:color w:val="000000" w:themeColor="text1"/>
          <w:highlight w:val="none"/>
          <w14:textFill>
            <w14:solidFill>
              <w14:schemeClr w14:val="tx1"/>
            </w14:solidFill>
          </w14:textFill>
        </w:rPr>
      </w:pPr>
    </w:p>
    <w:p w14:paraId="52B64BB8">
      <w:pPr>
        <w:rPr>
          <w:color w:val="000000" w:themeColor="text1"/>
          <w:highlight w:val="none"/>
          <w14:textFill>
            <w14:solidFill>
              <w14:schemeClr w14:val="tx1"/>
            </w14:solidFill>
          </w14:textFill>
        </w:rPr>
      </w:pPr>
    </w:p>
    <w:p w14:paraId="2A0EEA5B">
      <w:pPr>
        <w:rPr>
          <w:color w:val="000000" w:themeColor="text1"/>
          <w:highlight w:val="none"/>
          <w14:textFill>
            <w14:solidFill>
              <w14:schemeClr w14:val="tx1"/>
            </w14:solidFill>
          </w14:textFill>
        </w:rPr>
      </w:pPr>
    </w:p>
    <w:p w14:paraId="4DF0051E">
      <w:pPr>
        <w:widowControl/>
        <w:spacing w:line="360" w:lineRule="auto"/>
        <w:ind w:left="6564" w:leftChars="200" w:hanging="6144" w:hangingChars="255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b/>
          <w:bCs/>
          <w:color w:val="000000" w:themeColor="text1"/>
          <w:sz w:val="24"/>
          <w:highlight w:val="none"/>
          <w14:textFill>
            <w14:solidFill>
              <w14:schemeClr w14:val="tx1"/>
            </w14:solidFill>
          </w14:textFill>
        </w:rPr>
        <w:t>委托人（盖章）：</w:t>
      </w:r>
      <w:r>
        <w:rPr>
          <w:rFonts w:asciiTheme="minorEastAsia" w:hAnsiTheme="minorEastAsia"/>
          <w:b/>
          <w:bCs/>
          <w:color w:val="000000" w:themeColor="text1"/>
          <w:sz w:val="24"/>
          <w:highlight w:val="none"/>
          <w14:textFill>
            <w14:solidFill>
              <w14:schemeClr w14:val="tx1"/>
            </w14:solidFill>
          </w14:textFill>
        </w:rPr>
        <w:t xml:space="preserve">                         </w:t>
      </w:r>
      <w:r>
        <w:rPr>
          <w:rFonts w:hint="eastAsia" w:asciiTheme="minorEastAsia" w:hAnsiTheme="minorEastAsia"/>
          <w:b/>
          <w:bCs/>
          <w:color w:val="000000" w:themeColor="text1"/>
          <w:sz w:val="24"/>
          <w:highlight w:val="none"/>
          <w14:textFill>
            <w14:solidFill>
              <w14:schemeClr w14:val="tx1"/>
            </w14:solidFill>
          </w14:textFill>
        </w:rPr>
        <w:t>咨询人（盖章）：</w:t>
      </w:r>
    </w:p>
    <w:p w14:paraId="19A3223A">
      <w:pPr>
        <w:jc w:val="center"/>
        <w:rPr>
          <w:color w:val="000000" w:themeColor="text1"/>
          <w:highlight w:val="none"/>
          <w14:textFill>
            <w14:solidFill>
              <w14:schemeClr w14:val="tx1"/>
            </w14:solidFill>
          </w14:textFill>
        </w:rPr>
      </w:pPr>
    </w:p>
    <w:p w14:paraId="10A11F31">
      <w:pPr>
        <w:widowControl/>
        <w:snapToGrid w:val="0"/>
        <w:spacing w:line="360" w:lineRule="auto"/>
        <w:ind w:firstLine="480" w:firstLineChars="20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法定代表人：</w:t>
      </w:r>
      <w:r>
        <w:rPr>
          <w:rFonts w:asciiTheme="minorEastAsia" w:hAnsi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cstheme="minorEastAsia"/>
          <w:color w:val="000000" w:themeColor="text1"/>
          <w:sz w:val="24"/>
          <w:highlight w:val="none"/>
          <w14:textFill>
            <w14:solidFill>
              <w14:schemeClr w14:val="tx1"/>
            </w14:solidFill>
          </w14:textFill>
        </w:rPr>
        <w:t xml:space="preserve"> </w:t>
      </w:r>
      <w:r>
        <w:rPr>
          <w:rFonts w:asciiTheme="minorEastAsia" w:hAnsi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cstheme="minorEastAsia"/>
          <w:color w:val="000000" w:themeColor="text1"/>
          <w:sz w:val="24"/>
          <w:highlight w:val="none"/>
          <w14:textFill>
            <w14:solidFill>
              <w14:schemeClr w14:val="tx1"/>
            </w14:solidFill>
          </w14:textFill>
        </w:rPr>
        <w:t>法定代表人：</w:t>
      </w:r>
    </w:p>
    <w:p w14:paraId="580F3676">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p>
    <w:p w14:paraId="4DBC3BC1">
      <w:pPr>
        <w:widowControl/>
        <w:snapToGrid w:val="0"/>
        <w:spacing w:line="360" w:lineRule="auto"/>
        <w:ind w:firstLine="480" w:firstLineChars="20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或委托代理人：                        或委托代理人：</w:t>
      </w:r>
    </w:p>
    <w:p w14:paraId="03AC434B">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191B2AA9">
      <w:pPr>
        <w:widowControl/>
        <w:ind w:firstLine="720"/>
        <w:jc w:val="center"/>
        <w:rPr>
          <w:rFonts w:asciiTheme="minorEastAsia" w:hAnsiTheme="minorEastAsia"/>
          <w:color w:val="000000" w:themeColor="text1"/>
          <w:sz w:val="36"/>
          <w:szCs w:val="36"/>
          <w:highlight w:val="none"/>
          <w14:textFill>
            <w14:solidFill>
              <w14:schemeClr w14:val="tx1"/>
            </w14:solidFill>
          </w14:textFill>
        </w:rPr>
      </w:pPr>
      <w:r>
        <w:rPr>
          <w:rFonts w:hint="eastAsia" w:asciiTheme="minorEastAsia" w:hAnsiTheme="minorEastAsia"/>
          <w:color w:val="000000" w:themeColor="text1"/>
          <w:sz w:val="36"/>
          <w:szCs w:val="36"/>
          <w:highlight w:val="none"/>
          <w14:textFill>
            <w14:solidFill>
              <w14:schemeClr w14:val="tx1"/>
            </w14:solidFill>
          </w14:textFill>
        </w:rPr>
        <w:t>质量标准</w:t>
      </w:r>
    </w:p>
    <w:p w14:paraId="433AA7EC">
      <w:pPr>
        <w:widowControl/>
        <w:jc w:val="left"/>
        <w:rPr>
          <w:rFonts w:asciiTheme="minorEastAsia" w:hAnsiTheme="minorEastAsia"/>
          <w:color w:val="000000" w:themeColor="text1"/>
          <w:szCs w:val="21"/>
          <w:highlight w:val="none"/>
          <w14:textFill>
            <w14:solidFill>
              <w14:schemeClr w14:val="tx1"/>
            </w14:solidFill>
          </w14:textFill>
        </w:rPr>
      </w:pPr>
    </w:p>
    <w:p w14:paraId="1522AA95">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全过程工程咨询服务管理标准T/CCIAT0024-2020</w:t>
      </w:r>
    </w:p>
    <w:p w14:paraId="51383103">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《建设项目施工图预算编审规程》CECA／GC 5—2010</w:t>
      </w:r>
    </w:p>
    <w:p w14:paraId="5ABB26C1">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《建设工程造价鉴定规程》CECA/GC 8-2012</w:t>
      </w:r>
    </w:p>
    <w:p w14:paraId="28A2D179">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《建设项目投资估算编审规程》CECA/GC 1-2015</w:t>
      </w:r>
    </w:p>
    <w:p w14:paraId="6A11ABC0">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《建设项目投资估算编审规程》CECA/GC 1-2015</w:t>
      </w:r>
    </w:p>
    <w:p w14:paraId="7D932CF4">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《建设项目设计概算编审规程》CECA/GC 2-2015</w:t>
      </w:r>
    </w:p>
    <w:p w14:paraId="54F828B7">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《建设项目全过程造价咨询规程》（CECA/GC 4-2009）实施手册2021-12-11</w:t>
      </w:r>
    </w:p>
    <w:p w14:paraId="256750EE">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《建设项目工程结算编审规程》CECA/GC3-2007</w:t>
      </w:r>
    </w:p>
    <w:p w14:paraId="5F61DB67">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《建设工程招标控制价编审规程》CECA/GC6-2011</w:t>
      </w:r>
    </w:p>
    <w:p w14:paraId="184E96DB">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建设项目设计概算编审规程CECA／GC 2—2007</w:t>
      </w:r>
    </w:p>
    <w:p w14:paraId="102EBD89">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《建设项目施工图预算编审规程》CECA／GC 5—2010</w:t>
      </w:r>
    </w:p>
    <w:p w14:paraId="5AB5EECD">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《建设项目投资估算编审规程》CECA/GC 1-2015</w:t>
      </w:r>
    </w:p>
    <w:p w14:paraId="1AD837E6">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《建设项目设计概算编审规程》CECA/GC 2-2015</w:t>
      </w:r>
    </w:p>
    <w:p w14:paraId="6315D283">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《建设项目工程结算编审规程》CECA/</w:t>
      </w:r>
      <w:r>
        <w:rPr>
          <w:color w:val="000000" w:themeColor="text1"/>
          <w:highlight w:val="none"/>
          <w14:textFill>
            <w14:solidFill>
              <w14:schemeClr w14:val="tx1"/>
            </w14:solidFill>
          </w14:textFill>
        </w:rPr>
        <w:t xml:space="preserve"> </w:t>
      </w:r>
      <w:r>
        <w:rPr>
          <w:rFonts w:asciiTheme="minorEastAsia" w:hAnsiTheme="minorEastAsia"/>
          <w:color w:val="000000" w:themeColor="text1"/>
          <w:szCs w:val="21"/>
          <w:highlight w:val="none"/>
          <w14:textFill>
            <w14:solidFill>
              <w14:schemeClr w14:val="tx1"/>
            </w14:solidFill>
          </w14:textFill>
        </w:rPr>
        <w:t>3-2010</w:t>
      </w:r>
    </w:p>
    <w:p w14:paraId="64E95B40">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《建设工程招标控制价编审规程》CECA/GC6-2011</w:t>
      </w:r>
    </w:p>
    <w:p w14:paraId="5EBE7B95">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《建设工程造价咨询成果文件质量标准》CECA/GC7-2012</w:t>
      </w:r>
    </w:p>
    <w:p w14:paraId="3E2FFDA8">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建设项目投资估算编审规程CECA/GC1-2007</w:t>
      </w:r>
    </w:p>
    <w:p w14:paraId="4FB7EDB1">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建设项目设计概算编审规程CECA／GC 2—2007</w:t>
      </w:r>
    </w:p>
    <w:p w14:paraId="78103EB8">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全过程工程咨询服务管理标准T/CCIAT0024-2020</w:t>
      </w:r>
    </w:p>
    <w:p w14:paraId="7CE9A196">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《建设项目施工图预算编审规程》CECA／GC 5—2010</w:t>
      </w:r>
    </w:p>
    <w:p w14:paraId="372A3288">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《建设项目全过程造价咨询规程》（CECA/GC 4-2009）实施手册《建设项目工程结算编审规程》CECA/GC3-20072021-12-11</w:t>
      </w:r>
    </w:p>
    <w:p w14:paraId="65B07C53">
      <w:pPr>
        <w:widowControl/>
        <w:ind w:firstLine="720"/>
        <w:jc w:val="left"/>
        <w:rPr>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br w:type="page"/>
      </w:r>
    </w:p>
    <w:bookmarkEnd w:id="620"/>
    <w:bookmarkEnd w:id="621"/>
    <w:p w14:paraId="434CA73A">
      <w:pPr>
        <w:pStyle w:val="2"/>
        <w:numPr>
          <w:ilvl w:val="0"/>
          <w:numId w:val="1"/>
        </w:numPr>
        <w:spacing w:line="360" w:lineRule="auto"/>
        <w:jc w:val="center"/>
        <w:rPr>
          <w:rFonts w:hint="eastAsia" w:ascii="宋体" w:hAnsi="宋体"/>
          <w:color w:val="000000" w:themeColor="text1"/>
          <w:highlight w:val="none"/>
          <w14:textFill>
            <w14:solidFill>
              <w14:schemeClr w14:val="tx1"/>
            </w14:solidFill>
          </w14:textFill>
        </w:rPr>
      </w:pPr>
      <w:bookmarkStart w:id="743" w:name="baidusnap3"/>
      <w:bookmarkEnd w:id="743"/>
      <w:bookmarkStart w:id="744" w:name="_Toc30057"/>
      <w:bookmarkEnd w:id="744"/>
      <w:bookmarkStart w:id="745" w:name="baidusnap7"/>
      <w:bookmarkEnd w:id="745"/>
      <w:bookmarkStart w:id="746" w:name="招标文件06章图纸01"/>
      <w:bookmarkEnd w:id="746"/>
      <w:bookmarkStart w:id="747" w:name="招标文件06章图纸"/>
      <w:bookmarkEnd w:id="747"/>
      <w:bookmarkStart w:id="748" w:name="_Toc7551"/>
      <w:bookmarkStart w:id="749" w:name="_Toc6677"/>
      <w:bookmarkStart w:id="750" w:name="_Toc30930"/>
      <w:bookmarkStart w:id="751" w:name="_Toc430530520"/>
      <w:bookmarkStart w:id="752" w:name="_Toc287620804"/>
      <w:bookmarkStart w:id="753" w:name="_Toc296890982"/>
      <w:bookmarkStart w:id="754" w:name="_Toc351203480"/>
      <w:bookmarkStart w:id="755" w:name="_Toc296503025"/>
      <w:r>
        <w:rPr>
          <w:rFonts w:hint="eastAsia" w:ascii="宋体" w:hAnsi="宋体"/>
          <w:color w:val="000000" w:themeColor="text1"/>
          <w:highlight w:val="none"/>
          <w14:textFill>
            <w14:solidFill>
              <w14:schemeClr w14:val="tx1"/>
            </w14:solidFill>
          </w14:textFill>
        </w:rPr>
        <w:t>发包人要求</w:t>
      </w:r>
      <w:bookmarkEnd w:id="748"/>
      <w:bookmarkEnd w:id="749"/>
      <w:bookmarkEnd w:id="750"/>
    </w:p>
    <w:p w14:paraId="6EB83B9A">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按现行技术标准和规范执行，</w:t>
      </w:r>
      <w:r>
        <w:rPr>
          <w:rFonts w:hint="eastAsia" w:ascii="宋体" w:hAnsi="宋体"/>
          <w:color w:val="000000" w:themeColor="text1"/>
          <w:szCs w:val="21"/>
          <w:highlight w:val="none"/>
          <w14:textFill>
            <w14:solidFill>
              <w14:schemeClr w14:val="tx1"/>
            </w14:solidFill>
          </w14:textFill>
        </w:rPr>
        <w:t>达到国家现行有关服务质量及技术的要求。</w:t>
      </w:r>
    </w:p>
    <w:p w14:paraId="2CD3737D">
      <w:pPr>
        <w:pStyle w:val="8"/>
        <w:rPr>
          <w:rFonts w:hint="eastAsia" w:ascii="宋体" w:hAnsi="宋体"/>
          <w:color w:val="000000" w:themeColor="text1"/>
          <w:szCs w:val="21"/>
          <w:highlight w:val="none"/>
          <w14:textFill>
            <w14:solidFill>
              <w14:schemeClr w14:val="tx1"/>
            </w14:solidFill>
          </w14:textFill>
        </w:rPr>
      </w:pPr>
    </w:p>
    <w:p w14:paraId="470255A8">
      <w:pPr>
        <w:rPr>
          <w:rFonts w:hint="eastAsia" w:ascii="宋体" w:hAnsi="宋体"/>
          <w:color w:val="000000" w:themeColor="text1"/>
          <w:szCs w:val="21"/>
          <w:highlight w:val="none"/>
          <w14:textFill>
            <w14:solidFill>
              <w14:schemeClr w14:val="tx1"/>
            </w14:solidFill>
          </w14:textFill>
        </w:rPr>
      </w:pPr>
    </w:p>
    <w:p w14:paraId="3F9CE04E">
      <w:pPr>
        <w:pStyle w:val="8"/>
        <w:rPr>
          <w:rFonts w:hint="eastAsia" w:ascii="宋体" w:hAnsi="宋体"/>
          <w:color w:val="000000" w:themeColor="text1"/>
          <w:szCs w:val="21"/>
          <w:highlight w:val="none"/>
          <w14:textFill>
            <w14:solidFill>
              <w14:schemeClr w14:val="tx1"/>
            </w14:solidFill>
          </w14:textFill>
        </w:rPr>
      </w:pPr>
    </w:p>
    <w:p w14:paraId="0055D4C0">
      <w:pPr>
        <w:rPr>
          <w:rFonts w:hint="eastAsia" w:ascii="宋体" w:hAnsi="宋体"/>
          <w:color w:val="000000" w:themeColor="text1"/>
          <w:szCs w:val="21"/>
          <w:highlight w:val="none"/>
          <w14:textFill>
            <w14:solidFill>
              <w14:schemeClr w14:val="tx1"/>
            </w14:solidFill>
          </w14:textFill>
        </w:rPr>
      </w:pPr>
    </w:p>
    <w:p w14:paraId="77CF7701">
      <w:pPr>
        <w:pStyle w:val="8"/>
        <w:rPr>
          <w:rFonts w:hint="eastAsia" w:ascii="宋体" w:hAnsi="宋体"/>
          <w:color w:val="000000" w:themeColor="text1"/>
          <w:szCs w:val="21"/>
          <w:highlight w:val="none"/>
          <w14:textFill>
            <w14:solidFill>
              <w14:schemeClr w14:val="tx1"/>
            </w14:solidFill>
          </w14:textFill>
        </w:rPr>
      </w:pPr>
    </w:p>
    <w:p w14:paraId="6D15567A">
      <w:pPr>
        <w:rPr>
          <w:rFonts w:hint="eastAsia" w:ascii="宋体" w:hAnsi="宋体"/>
          <w:color w:val="000000" w:themeColor="text1"/>
          <w:szCs w:val="21"/>
          <w:highlight w:val="none"/>
          <w14:textFill>
            <w14:solidFill>
              <w14:schemeClr w14:val="tx1"/>
            </w14:solidFill>
          </w14:textFill>
        </w:rPr>
      </w:pPr>
    </w:p>
    <w:p w14:paraId="66A36AF2">
      <w:pPr>
        <w:pStyle w:val="8"/>
        <w:rPr>
          <w:rFonts w:hint="eastAsia" w:ascii="宋体" w:hAnsi="宋体"/>
          <w:color w:val="000000" w:themeColor="text1"/>
          <w:szCs w:val="21"/>
          <w:highlight w:val="none"/>
          <w14:textFill>
            <w14:solidFill>
              <w14:schemeClr w14:val="tx1"/>
            </w14:solidFill>
          </w14:textFill>
        </w:rPr>
      </w:pPr>
    </w:p>
    <w:p w14:paraId="264AC405">
      <w:pPr>
        <w:rPr>
          <w:rFonts w:hint="eastAsia" w:ascii="宋体" w:hAnsi="宋体"/>
          <w:color w:val="000000" w:themeColor="text1"/>
          <w:szCs w:val="21"/>
          <w:highlight w:val="none"/>
          <w14:textFill>
            <w14:solidFill>
              <w14:schemeClr w14:val="tx1"/>
            </w14:solidFill>
          </w14:textFill>
        </w:rPr>
      </w:pPr>
    </w:p>
    <w:p w14:paraId="1D4EC232">
      <w:pPr>
        <w:pStyle w:val="8"/>
        <w:rPr>
          <w:rFonts w:hint="eastAsia" w:ascii="宋体" w:hAnsi="宋体"/>
          <w:color w:val="000000" w:themeColor="text1"/>
          <w:szCs w:val="21"/>
          <w:highlight w:val="none"/>
          <w14:textFill>
            <w14:solidFill>
              <w14:schemeClr w14:val="tx1"/>
            </w14:solidFill>
          </w14:textFill>
        </w:rPr>
      </w:pPr>
    </w:p>
    <w:p w14:paraId="717CAB7D">
      <w:pPr>
        <w:rPr>
          <w:rFonts w:hint="eastAsia" w:ascii="宋体" w:hAnsi="宋体"/>
          <w:color w:val="000000" w:themeColor="text1"/>
          <w:szCs w:val="21"/>
          <w:highlight w:val="none"/>
          <w14:textFill>
            <w14:solidFill>
              <w14:schemeClr w14:val="tx1"/>
            </w14:solidFill>
          </w14:textFill>
        </w:rPr>
      </w:pPr>
    </w:p>
    <w:p w14:paraId="56CBC482">
      <w:pPr>
        <w:pStyle w:val="8"/>
        <w:rPr>
          <w:rFonts w:hint="eastAsia" w:ascii="宋体" w:hAnsi="宋体"/>
          <w:color w:val="000000" w:themeColor="text1"/>
          <w:szCs w:val="21"/>
          <w:highlight w:val="none"/>
          <w14:textFill>
            <w14:solidFill>
              <w14:schemeClr w14:val="tx1"/>
            </w14:solidFill>
          </w14:textFill>
        </w:rPr>
      </w:pPr>
    </w:p>
    <w:p w14:paraId="623E90DB">
      <w:pPr>
        <w:rPr>
          <w:rFonts w:hint="eastAsia" w:ascii="宋体" w:hAnsi="宋体"/>
          <w:color w:val="000000" w:themeColor="text1"/>
          <w:szCs w:val="21"/>
          <w:highlight w:val="none"/>
          <w14:textFill>
            <w14:solidFill>
              <w14:schemeClr w14:val="tx1"/>
            </w14:solidFill>
          </w14:textFill>
        </w:rPr>
      </w:pPr>
    </w:p>
    <w:p w14:paraId="15481567">
      <w:pPr>
        <w:pStyle w:val="8"/>
        <w:rPr>
          <w:rFonts w:hint="eastAsia" w:ascii="宋体" w:hAnsi="宋体"/>
          <w:color w:val="000000" w:themeColor="text1"/>
          <w:szCs w:val="21"/>
          <w:highlight w:val="none"/>
          <w14:textFill>
            <w14:solidFill>
              <w14:schemeClr w14:val="tx1"/>
            </w14:solidFill>
          </w14:textFill>
        </w:rPr>
      </w:pPr>
    </w:p>
    <w:p w14:paraId="0969BCDB">
      <w:pPr>
        <w:rPr>
          <w:rFonts w:hint="eastAsia" w:ascii="宋体" w:hAnsi="宋体"/>
          <w:color w:val="000000" w:themeColor="text1"/>
          <w:szCs w:val="21"/>
          <w:highlight w:val="none"/>
          <w14:textFill>
            <w14:solidFill>
              <w14:schemeClr w14:val="tx1"/>
            </w14:solidFill>
          </w14:textFill>
        </w:rPr>
      </w:pPr>
    </w:p>
    <w:p w14:paraId="387EC605">
      <w:pPr>
        <w:pStyle w:val="8"/>
        <w:rPr>
          <w:rFonts w:hint="eastAsia" w:ascii="宋体" w:hAnsi="宋体"/>
          <w:color w:val="000000" w:themeColor="text1"/>
          <w:szCs w:val="21"/>
          <w:highlight w:val="none"/>
          <w14:textFill>
            <w14:solidFill>
              <w14:schemeClr w14:val="tx1"/>
            </w14:solidFill>
          </w14:textFill>
        </w:rPr>
      </w:pPr>
    </w:p>
    <w:p w14:paraId="727F8AF3">
      <w:pPr>
        <w:rPr>
          <w:rFonts w:hint="eastAsia" w:ascii="宋体" w:hAnsi="宋体"/>
          <w:color w:val="000000" w:themeColor="text1"/>
          <w:szCs w:val="21"/>
          <w:highlight w:val="none"/>
          <w14:textFill>
            <w14:solidFill>
              <w14:schemeClr w14:val="tx1"/>
            </w14:solidFill>
          </w14:textFill>
        </w:rPr>
      </w:pPr>
    </w:p>
    <w:p w14:paraId="22028404">
      <w:pPr>
        <w:pStyle w:val="8"/>
        <w:rPr>
          <w:rFonts w:hint="eastAsia" w:ascii="宋体" w:hAnsi="宋体"/>
          <w:color w:val="000000" w:themeColor="text1"/>
          <w:szCs w:val="21"/>
          <w:highlight w:val="none"/>
          <w14:textFill>
            <w14:solidFill>
              <w14:schemeClr w14:val="tx1"/>
            </w14:solidFill>
          </w14:textFill>
        </w:rPr>
      </w:pPr>
    </w:p>
    <w:p w14:paraId="558F4B1E">
      <w:pPr>
        <w:rPr>
          <w:rFonts w:hint="eastAsia" w:ascii="宋体" w:hAnsi="宋体"/>
          <w:color w:val="000000" w:themeColor="text1"/>
          <w:szCs w:val="21"/>
          <w:highlight w:val="none"/>
          <w14:textFill>
            <w14:solidFill>
              <w14:schemeClr w14:val="tx1"/>
            </w14:solidFill>
          </w14:textFill>
        </w:rPr>
      </w:pPr>
    </w:p>
    <w:p w14:paraId="7541AA8B">
      <w:pPr>
        <w:pStyle w:val="8"/>
        <w:rPr>
          <w:rFonts w:hint="eastAsia" w:ascii="宋体" w:hAnsi="宋体"/>
          <w:color w:val="000000" w:themeColor="text1"/>
          <w:szCs w:val="21"/>
          <w:highlight w:val="none"/>
          <w14:textFill>
            <w14:solidFill>
              <w14:schemeClr w14:val="tx1"/>
            </w14:solidFill>
          </w14:textFill>
        </w:rPr>
      </w:pPr>
    </w:p>
    <w:p w14:paraId="73387EDE">
      <w:pPr>
        <w:rPr>
          <w:rFonts w:hint="eastAsia" w:ascii="宋体" w:hAnsi="宋体"/>
          <w:color w:val="000000" w:themeColor="text1"/>
          <w:szCs w:val="21"/>
          <w:highlight w:val="none"/>
          <w14:textFill>
            <w14:solidFill>
              <w14:schemeClr w14:val="tx1"/>
            </w14:solidFill>
          </w14:textFill>
        </w:rPr>
      </w:pPr>
    </w:p>
    <w:p w14:paraId="59680BE6">
      <w:pPr>
        <w:pStyle w:val="8"/>
        <w:rPr>
          <w:rFonts w:hint="eastAsia" w:ascii="宋体" w:hAnsi="宋体"/>
          <w:color w:val="000000" w:themeColor="text1"/>
          <w:highlight w:val="none"/>
          <w14:textFill>
            <w14:solidFill>
              <w14:schemeClr w14:val="tx1"/>
            </w14:solidFill>
          </w14:textFill>
        </w:rPr>
      </w:pPr>
    </w:p>
    <w:p w14:paraId="079D5D23">
      <w:pPr>
        <w:rPr>
          <w:rFonts w:hint="eastAsia" w:ascii="宋体" w:hAnsi="宋体"/>
          <w:color w:val="000000" w:themeColor="text1"/>
          <w:szCs w:val="21"/>
          <w:highlight w:val="none"/>
          <w14:textFill>
            <w14:solidFill>
              <w14:schemeClr w14:val="tx1"/>
            </w14:solidFill>
          </w14:textFill>
        </w:rPr>
      </w:pPr>
    </w:p>
    <w:p w14:paraId="3B0AAE61">
      <w:pPr>
        <w:pStyle w:val="8"/>
        <w:rPr>
          <w:rFonts w:hint="eastAsia" w:ascii="宋体" w:hAnsi="宋体"/>
          <w:color w:val="000000" w:themeColor="text1"/>
          <w:szCs w:val="21"/>
          <w:highlight w:val="none"/>
          <w14:textFill>
            <w14:solidFill>
              <w14:schemeClr w14:val="tx1"/>
            </w14:solidFill>
          </w14:textFill>
        </w:rPr>
      </w:pPr>
    </w:p>
    <w:p w14:paraId="23D08E97">
      <w:pPr>
        <w:rPr>
          <w:rFonts w:hint="eastAsia" w:ascii="宋体" w:hAnsi="宋体"/>
          <w:color w:val="000000" w:themeColor="text1"/>
          <w:szCs w:val="21"/>
          <w:highlight w:val="none"/>
          <w14:textFill>
            <w14:solidFill>
              <w14:schemeClr w14:val="tx1"/>
            </w14:solidFill>
          </w14:textFill>
        </w:rPr>
      </w:pPr>
    </w:p>
    <w:p w14:paraId="12FAF80C">
      <w:pPr>
        <w:pStyle w:val="8"/>
        <w:rPr>
          <w:rFonts w:hint="eastAsia" w:ascii="宋体" w:hAnsi="宋体"/>
          <w:color w:val="000000" w:themeColor="text1"/>
          <w:szCs w:val="21"/>
          <w:highlight w:val="none"/>
          <w14:textFill>
            <w14:solidFill>
              <w14:schemeClr w14:val="tx1"/>
            </w14:solidFill>
          </w14:textFill>
        </w:rPr>
      </w:pPr>
    </w:p>
    <w:p w14:paraId="410A98E2">
      <w:pPr>
        <w:rPr>
          <w:rFonts w:hint="eastAsia" w:ascii="宋体" w:hAnsi="宋体"/>
          <w:color w:val="000000" w:themeColor="text1"/>
          <w:szCs w:val="21"/>
          <w:highlight w:val="none"/>
          <w14:textFill>
            <w14:solidFill>
              <w14:schemeClr w14:val="tx1"/>
            </w14:solidFill>
          </w14:textFill>
        </w:rPr>
      </w:pPr>
    </w:p>
    <w:p w14:paraId="4E97FC9A">
      <w:pPr>
        <w:pStyle w:val="8"/>
        <w:rPr>
          <w:rFonts w:hint="eastAsia" w:ascii="宋体" w:hAnsi="宋体"/>
          <w:color w:val="000000" w:themeColor="text1"/>
          <w:szCs w:val="21"/>
          <w:highlight w:val="none"/>
          <w14:textFill>
            <w14:solidFill>
              <w14:schemeClr w14:val="tx1"/>
            </w14:solidFill>
          </w14:textFill>
        </w:rPr>
      </w:pPr>
    </w:p>
    <w:p w14:paraId="37C28C5E">
      <w:pPr>
        <w:rPr>
          <w:rFonts w:hint="eastAsia" w:ascii="宋体" w:hAnsi="宋体"/>
          <w:color w:val="000000" w:themeColor="text1"/>
          <w:szCs w:val="21"/>
          <w:highlight w:val="none"/>
          <w14:textFill>
            <w14:solidFill>
              <w14:schemeClr w14:val="tx1"/>
            </w14:solidFill>
          </w14:textFill>
        </w:rPr>
      </w:pPr>
    </w:p>
    <w:p w14:paraId="3D8FC59E">
      <w:pPr>
        <w:pStyle w:val="8"/>
        <w:rPr>
          <w:rFonts w:hint="eastAsia" w:ascii="宋体" w:hAnsi="宋体"/>
          <w:color w:val="000000" w:themeColor="text1"/>
          <w:szCs w:val="21"/>
          <w:highlight w:val="none"/>
          <w14:textFill>
            <w14:solidFill>
              <w14:schemeClr w14:val="tx1"/>
            </w14:solidFill>
          </w14:textFill>
        </w:rPr>
      </w:pPr>
    </w:p>
    <w:p w14:paraId="4F9D2593">
      <w:pPr>
        <w:rPr>
          <w:rFonts w:hint="eastAsia" w:ascii="宋体" w:hAnsi="宋体"/>
          <w:color w:val="000000" w:themeColor="text1"/>
          <w:szCs w:val="21"/>
          <w:highlight w:val="none"/>
          <w14:textFill>
            <w14:solidFill>
              <w14:schemeClr w14:val="tx1"/>
            </w14:solidFill>
          </w14:textFill>
        </w:rPr>
      </w:pPr>
    </w:p>
    <w:bookmarkEnd w:id="751"/>
    <w:bookmarkEnd w:id="752"/>
    <w:p w14:paraId="5AB756D0">
      <w:pPr>
        <w:spacing w:line="360" w:lineRule="auto"/>
        <w:ind w:firstLine="1050" w:firstLineChars="500"/>
        <w:rPr>
          <w:rFonts w:hint="eastAsia" w:ascii="宋体" w:hAnsi="宋体" w:cs="宋体"/>
          <w:color w:val="000000" w:themeColor="text1"/>
          <w:highlight w:val="none"/>
          <w14:textFill>
            <w14:solidFill>
              <w14:schemeClr w14:val="tx1"/>
            </w14:solidFill>
          </w14:textFill>
        </w:rPr>
      </w:pPr>
      <w:bookmarkStart w:id="756" w:name="_Toc287620812"/>
      <w:bookmarkStart w:id="757" w:name="_Toc14772"/>
      <w:bookmarkStart w:id="758" w:name="_Toc534185829"/>
      <w:bookmarkStart w:id="759" w:name="_Toc430530528"/>
      <w:bookmarkStart w:id="760" w:name="_Toc509218852"/>
      <w:bookmarkStart w:id="761" w:name="_Toc5129"/>
      <w:bookmarkStart w:id="762" w:name="_Toc287607865"/>
    </w:p>
    <w:p w14:paraId="468A3E4E">
      <w:pPr>
        <w:pStyle w:val="2"/>
        <w:spacing w:line="360" w:lineRule="auto"/>
        <w:ind w:firstLine="2209" w:firstLineChars="5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第六章  竞选文件格式</w:t>
      </w:r>
      <w:bookmarkEnd w:id="756"/>
      <w:bookmarkEnd w:id="757"/>
      <w:bookmarkEnd w:id="758"/>
      <w:bookmarkEnd w:id="759"/>
      <w:bookmarkEnd w:id="760"/>
      <w:bookmarkEnd w:id="761"/>
      <w:bookmarkEnd w:id="762"/>
    </w:p>
    <w:p w14:paraId="408520E2">
      <w:pPr>
        <w:spacing w:line="360" w:lineRule="auto"/>
        <w:rPr>
          <w:rFonts w:hint="eastAsia" w:ascii="宋体" w:hAnsi="宋体" w:cs="宋体"/>
          <w:color w:val="000000" w:themeColor="text1"/>
          <w:sz w:val="32"/>
          <w:szCs w:val="32"/>
          <w:highlight w:val="none"/>
          <w14:textFill>
            <w14:solidFill>
              <w14:schemeClr w14:val="tx1"/>
            </w14:solidFill>
          </w14:textFill>
        </w:rPr>
      </w:pPr>
    </w:p>
    <w:p w14:paraId="4E4B632E">
      <w:pPr>
        <w:rPr>
          <w:rFonts w:hint="eastAsia" w:ascii="宋体" w:hAnsi="宋体" w:cs="宋体"/>
          <w:color w:val="000000" w:themeColor="text1"/>
          <w:sz w:val="36"/>
          <w:szCs w:val="36"/>
          <w:highlight w:val="none"/>
          <w14:textFill>
            <w14:solidFill>
              <w14:schemeClr w14:val="tx1"/>
            </w14:solidFill>
          </w14:textFill>
        </w:rPr>
      </w:pPr>
    </w:p>
    <w:p w14:paraId="3D28B6D3">
      <w:pPr>
        <w:pStyle w:val="19"/>
        <w:rPr>
          <w:rFonts w:hint="eastAsia" w:ascii="宋体" w:hAnsi="宋体" w:cs="宋体"/>
          <w:color w:val="000000" w:themeColor="text1"/>
          <w:sz w:val="36"/>
          <w:szCs w:val="36"/>
          <w:highlight w:val="none"/>
          <w14:textFill>
            <w14:solidFill>
              <w14:schemeClr w14:val="tx1"/>
            </w14:solidFill>
          </w14:textFill>
        </w:rPr>
      </w:pPr>
    </w:p>
    <w:p w14:paraId="5DFA91B2">
      <w:pPr>
        <w:rPr>
          <w:rFonts w:hint="eastAsia" w:ascii="宋体" w:hAnsi="宋体" w:cs="宋体"/>
          <w:color w:val="000000" w:themeColor="text1"/>
          <w:sz w:val="36"/>
          <w:szCs w:val="36"/>
          <w:highlight w:val="none"/>
          <w14:textFill>
            <w14:solidFill>
              <w14:schemeClr w14:val="tx1"/>
            </w14:solidFill>
          </w14:textFill>
        </w:rPr>
      </w:pPr>
    </w:p>
    <w:p w14:paraId="70B439B8">
      <w:pPr>
        <w:pStyle w:val="8"/>
        <w:rPr>
          <w:rFonts w:hint="eastAsia" w:ascii="宋体" w:hAnsi="宋体" w:cs="宋体"/>
          <w:color w:val="000000" w:themeColor="text1"/>
          <w:sz w:val="36"/>
          <w:szCs w:val="36"/>
          <w:highlight w:val="none"/>
          <w14:textFill>
            <w14:solidFill>
              <w14:schemeClr w14:val="tx1"/>
            </w14:solidFill>
          </w14:textFill>
        </w:rPr>
      </w:pPr>
    </w:p>
    <w:p w14:paraId="4D1742CD">
      <w:pPr>
        <w:rPr>
          <w:rFonts w:hint="eastAsia" w:ascii="宋体" w:hAnsi="宋体" w:cs="宋体"/>
          <w:color w:val="000000" w:themeColor="text1"/>
          <w:sz w:val="36"/>
          <w:szCs w:val="36"/>
          <w:highlight w:val="none"/>
          <w14:textFill>
            <w14:solidFill>
              <w14:schemeClr w14:val="tx1"/>
            </w14:solidFill>
          </w14:textFill>
        </w:rPr>
      </w:pPr>
    </w:p>
    <w:p w14:paraId="106A8F2A">
      <w:pPr>
        <w:pStyle w:val="8"/>
        <w:rPr>
          <w:rFonts w:hint="eastAsia" w:ascii="宋体" w:hAnsi="宋体"/>
          <w:color w:val="000000" w:themeColor="text1"/>
          <w:highlight w:val="none"/>
          <w14:textFill>
            <w14:solidFill>
              <w14:schemeClr w14:val="tx1"/>
            </w14:solidFill>
          </w14:textFill>
        </w:rPr>
      </w:pPr>
    </w:p>
    <w:p w14:paraId="6302E5D1">
      <w:pPr>
        <w:rPr>
          <w:rFonts w:hint="eastAsia" w:ascii="宋体" w:hAnsi="宋体" w:cs="宋体"/>
          <w:color w:val="000000" w:themeColor="text1"/>
          <w:sz w:val="36"/>
          <w:szCs w:val="36"/>
          <w:highlight w:val="none"/>
          <w14:textFill>
            <w14:solidFill>
              <w14:schemeClr w14:val="tx1"/>
            </w14:solidFill>
          </w14:textFill>
        </w:rPr>
      </w:pPr>
    </w:p>
    <w:p w14:paraId="01377F89">
      <w:pPr>
        <w:spacing w:line="360" w:lineRule="auto"/>
        <w:jc w:val="center"/>
        <w:outlineLvl w:val="1"/>
        <w:rPr>
          <w:rFonts w:hint="eastAsia" w:ascii="宋体" w:hAnsi="宋体" w:cs="宋体"/>
          <w:color w:val="000000" w:themeColor="text1"/>
          <w:sz w:val="36"/>
          <w:szCs w:val="36"/>
          <w:highlight w:val="none"/>
          <w14:textFill>
            <w14:solidFill>
              <w14:schemeClr w14:val="tx1"/>
            </w14:solidFill>
          </w14:textFill>
        </w:rPr>
      </w:pPr>
    </w:p>
    <w:p w14:paraId="492460DE">
      <w:pPr>
        <w:spacing w:line="360" w:lineRule="auto"/>
        <w:jc w:val="center"/>
        <w:outlineLvl w:val="1"/>
        <w:rPr>
          <w:rFonts w:hint="eastAsia" w:ascii="宋体" w:hAnsi="宋体" w:cs="宋体"/>
          <w:color w:val="000000" w:themeColor="text1"/>
          <w:sz w:val="36"/>
          <w:szCs w:val="36"/>
          <w:highlight w:val="none"/>
          <w14:textFill>
            <w14:solidFill>
              <w14:schemeClr w14:val="tx1"/>
            </w14:solidFill>
          </w14:textFill>
        </w:rPr>
      </w:pPr>
    </w:p>
    <w:p w14:paraId="13A50409">
      <w:pPr>
        <w:spacing w:line="360" w:lineRule="auto"/>
        <w:jc w:val="center"/>
        <w:outlineLvl w:val="1"/>
        <w:rPr>
          <w:rFonts w:hint="eastAsia" w:ascii="宋体" w:hAnsi="宋体" w:cs="宋体"/>
          <w:color w:val="000000" w:themeColor="text1"/>
          <w:sz w:val="36"/>
          <w:szCs w:val="36"/>
          <w:highlight w:val="none"/>
          <w14:textFill>
            <w14:solidFill>
              <w14:schemeClr w14:val="tx1"/>
            </w14:solidFill>
          </w14:textFill>
        </w:rPr>
        <w:sectPr>
          <w:headerReference r:id="rId4" w:type="default"/>
          <w:footerReference r:id="rId5" w:type="default"/>
          <w:pgSz w:w="11905" w:h="16838"/>
          <w:pgMar w:top="1134" w:right="1134" w:bottom="1134" w:left="1134" w:header="0" w:footer="0" w:gutter="0"/>
          <w:cols w:space="0" w:num="1"/>
          <w:docGrid w:type="lines" w:linePitch="317" w:charSpace="0"/>
        </w:sectPr>
      </w:pPr>
    </w:p>
    <w:p w14:paraId="3C9894FA">
      <w:pPr>
        <w:spacing w:line="360" w:lineRule="auto"/>
        <w:jc w:val="center"/>
        <w:outlineLvl w:val="1"/>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2365375</wp:posOffset>
                </wp:positionH>
                <wp:positionV relativeFrom="paragraph">
                  <wp:posOffset>8465820</wp:posOffset>
                </wp:positionV>
                <wp:extent cx="807720" cy="693420"/>
                <wp:effectExtent l="0" t="0" r="0" b="0"/>
                <wp:wrapNone/>
                <wp:docPr id="118" name="矩形 12"/>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14:paraId="0EFA9139"/>
                        </w:txbxContent>
                      </wps:txbx>
                      <wps:bodyPr rot="0" vert="horz" wrap="square" lIns="91440" tIns="45720" rIns="91440" bIns="45720" anchor="t" anchorCtr="0" upright="1">
                        <a:noAutofit/>
                      </wps:bodyPr>
                    </wps:wsp>
                  </a:graphicData>
                </a:graphic>
              </wp:anchor>
            </w:drawing>
          </mc:Choice>
          <mc:Fallback>
            <w:pict>
              <v:rect id="矩形 12" o:spid="_x0000_s1026" o:spt="1" style="position:absolute;left:0pt;margin-left:186.25pt;margin-top:666.6pt;height:54.6pt;width:63.6pt;z-index:251659264;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vl6p9oAAAANAQAADwAAAAAAAAABACAAAAAiAAAAZHJzL2Rvd25yZXYueG1sUEsBAhQAFAAAAAgA&#10;h07iQG51YNUjAgAAQQQAAA4AAAAAAAAAAQAgAAAAKQEAAGRycy9lMm9Eb2MueG1sUEsFBgAAAAAG&#10;AAYAWQEAAL4FAAAAAA==&#10;">
                <v:fill on="t" focussize="0,0"/>
                <v:stroke on="f"/>
                <v:imagedata o:title=""/>
                <o:lock v:ext="edit" aspectratio="f"/>
                <v:textbox>
                  <w:txbxContent>
                    <w:p w14:paraId="0EFA9139"/>
                  </w:txbxContent>
                </v:textbox>
              </v:rect>
            </w:pict>
          </mc:Fallback>
        </mc:AlternateContent>
      </w:r>
      <w:bookmarkStart w:id="763" w:name="_Toc224103493"/>
      <w:r>
        <w:rPr>
          <w:rFonts w:hint="eastAsia" w:ascii="宋体" w:hAnsi="宋体" w:cs="宋体"/>
          <w:color w:val="000000" w:themeColor="text1"/>
          <w:sz w:val="36"/>
          <w:szCs w:val="36"/>
          <w:highlight w:val="none"/>
          <w14:textFill>
            <w14:solidFill>
              <w14:schemeClr w14:val="tx1"/>
            </w14:solidFill>
          </w14:textFill>
        </w:rPr>
        <w:t>目  录</w:t>
      </w:r>
      <w:bookmarkEnd w:id="763"/>
    </w:p>
    <w:p w14:paraId="44980E24">
      <w:pPr>
        <w:pStyle w:val="8"/>
        <w:rPr>
          <w:rFonts w:hint="eastAsia" w:ascii="宋体" w:hAnsi="宋体"/>
          <w:color w:val="000000" w:themeColor="text1"/>
          <w:highlight w:val="none"/>
          <w14:textFill>
            <w14:solidFill>
              <w14:schemeClr w14:val="tx1"/>
            </w14:solidFill>
          </w14:textFill>
        </w:rPr>
      </w:pPr>
    </w:p>
    <w:p w14:paraId="18635452">
      <w:pPr>
        <w:spacing w:line="360" w:lineRule="auto"/>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一</w:t>
      </w:r>
      <w:r>
        <w:rPr>
          <w:rFonts w:ascii="宋体" w:hAnsi="宋体"/>
          <w:b/>
          <w:color w:val="000000" w:themeColor="text1"/>
          <w:highlight w:val="none"/>
          <w14:textFill>
            <w14:solidFill>
              <w14:schemeClr w14:val="tx1"/>
            </w14:solidFill>
          </w14:textFill>
        </w:rPr>
        <w:t>、投标函部分</w:t>
      </w:r>
    </w:p>
    <w:p w14:paraId="35A68E14">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（一）</w:t>
      </w:r>
      <w:r>
        <w:rPr>
          <w:rFonts w:hint="eastAsia" w:ascii="宋体" w:hAnsi="宋体"/>
          <w:color w:val="000000" w:themeColor="text1"/>
          <w:highlight w:val="none"/>
          <w14:textFill>
            <w14:solidFill>
              <w14:schemeClr w14:val="tx1"/>
            </w14:solidFill>
          </w14:textFill>
        </w:rPr>
        <w:t>竞选</w:t>
      </w:r>
      <w:r>
        <w:rPr>
          <w:rFonts w:ascii="宋体" w:hAnsi="宋体"/>
          <w:color w:val="000000" w:themeColor="text1"/>
          <w:highlight w:val="none"/>
          <w14:textFill>
            <w14:solidFill>
              <w14:schemeClr w14:val="tx1"/>
            </w14:solidFill>
          </w14:textFill>
        </w:rPr>
        <w:t>函</w:t>
      </w:r>
    </w:p>
    <w:p w14:paraId="51A56942">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（二）</w:t>
      </w:r>
      <w:r>
        <w:rPr>
          <w:rFonts w:hint="eastAsia" w:ascii="宋体" w:hAnsi="宋体"/>
          <w:color w:val="000000" w:themeColor="text1"/>
          <w:highlight w:val="none"/>
          <w14:textFill>
            <w14:solidFill>
              <w14:schemeClr w14:val="tx1"/>
            </w14:solidFill>
          </w14:textFill>
        </w:rPr>
        <w:t>法定代表人身份证明或附有法定代表人身份证明的授权委托书</w:t>
      </w:r>
    </w:p>
    <w:p w14:paraId="51C3FA91">
      <w:pPr>
        <w:spacing w:line="360" w:lineRule="auto"/>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二</w:t>
      </w:r>
      <w:r>
        <w:rPr>
          <w:rFonts w:ascii="宋体" w:hAnsi="宋体"/>
          <w:b/>
          <w:color w:val="000000" w:themeColor="text1"/>
          <w:highlight w:val="none"/>
          <w14:textFill>
            <w14:solidFill>
              <w14:schemeClr w14:val="tx1"/>
            </w14:solidFill>
          </w14:textFill>
        </w:rPr>
        <w:t>、技术部分</w:t>
      </w:r>
    </w:p>
    <w:p w14:paraId="66707499">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服务方案</w:t>
      </w:r>
    </w:p>
    <w:p w14:paraId="03360F51">
      <w:pPr>
        <w:spacing w:line="360" w:lineRule="auto"/>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三</w:t>
      </w:r>
      <w:r>
        <w:rPr>
          <w:rFonts w:ascii="宋体" w:hAnsi="宋体"/>
          <w:b/>
          <w:color w:val="000000" w:themeColor="text1"/>
          <w:highlight w:val="none"/>
          <w14:textFill>
            <w14:solidFill>
              <w14:schemeClr w14:val="tx1"/>
            </w14:solidFill>
          </w14:textFill>
        </w:rPr>
        <w:t>、</w:t>
      </w:r>
      <w:r>
        <w:rPr>
          <w:rFonts w:hint="eastAsia" w:ascii="宋体" w:hAnsi="宋体"/>
          <w:b/>
          <w:color w:val="000000" w:themeColor="text1"/>
          <w:highlight w:val="none"/>
          <w14:textFill>
            <w14:solidFill>
              <w14:schemeClr w14:val="tx1"/>
            </w14:solidFill>
          </w14:textFill>
        </w:rPr>
        <w:t>资格审查部分</w:t>
      </w:r>
    </w:p>
    <w:p w14:paraId="4BF641F5">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（一）</w:t>
      </w:r>
      <w:r>
        <w:rPr>
          <w:rFonts w:hint="eastAsia" w:ascii="宋体" w:hAnsi="宋体"/>
          <w:color w:val="000000" w:themeColor="text1"/>
          <w:highlight w:val="none"/>
          <w14:textFill>
            <w14:solidFill>
              <w14:schemeClr w14:val="tx1"/>
            </w14:solidFill>
          </w14:textFill>
        </w:rPr>
        <w:t>法定代表人身份证明或附有法定代表人身份证明的授权委托书</w:t>
      </w:r>
    </w:p>
    <w:p w14:paraId="414D424D">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（二）</w:t>
      </w:r>
      <w:r>
        <w:rPr>
          <w:rFonts w:hint="eastAsia" w:ascii="宋体" w:hAnsi="宋体"/>
          <w:color w:val="000000" w:themeColor="text1"/>
          <w:highlight w:val="none"/>
          <w14:textFill>
            <w14:solidFill>
              <w14:schemeClr w14:val="tx1"/>
            </w14:solidFill>
          </w14:textFill>
        </w:rPr>
        <w:t>竞选人</w:t>
      </w:r>
      <w:r>
        <w:rPr>
          <w:rFonts w:ascii="宋体" w:hAnsi="宋体"/>
          <w:color w:val="000000" w:themeColor="text1"/>
          <w:highlight w:val="none"/>
          <w14:textFill>
            <w14:solidFill>
              <w14:schemeClr w14:val="tx1"/>
            </w14:solidFill>
          </w14:textFill>
        </w:rPr>
        <w:t>基本情况表</w:t>
      </w:r>
    </w:p>
    <w:p w14:paraId="4BF55CD6">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（三）项目管理机构</w:t>
      </w:r>
    </w:p>
    <w:p w14:paraId="1EF767EB">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（四）近年财务状况表</w:t>
      </w:r>
    </w:p>
    <w:p w14:paraId="145A649C">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（五）</w:t>
      </w:r>
      <w:r>
        <w:rPr>
          <w:rFonts w:hint="eastAsia" w:ascii="宋体" w:hAnsi="宋体"/>
          <w:color w:val="000000" w:themeColor="text1"/>
          <w:highlight w:val="none"/>
          <w14:textFill>
            <w14:solidFill>
              <w14:schemeClr w14:val="tx1"/>
            </w14:solidFill>
          </w14:textFill>
        </w:rPr>
        <w:t>业绩要求</w:t>
      </w:r>
    </w:p>
    <w:p w14:paraId="6AD27E06">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（六）</w:t>
      </w:r>
      <w:r>
        <w:rPr>
          <w:rFonts w:hint="eastAsia" w:ascii="宋体" w:hAnsi="宋体"/>
          <w:color w:val="000000" w:themeColor="text1"/>
          <w:highlight w:val="none"/>
          <w14:textFill>
            <w14:solidFill>
              <w14:schemeClr w14:val="tx1"/>
            </w14:solidFill>
          </w14:textFill>
        </w:rPr>
        <w:t>承诺</w:t>
      </w:r>
    </w:p>
    <w:p w14:paraId="2839A5B7">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七</w:t>
      </w:r>
      <w:r>
        <w:rPr>
          <w:rFonts w:ascii="宋体" w:hAnsi="宋体"/>
          <w:color w:val="000000" w:themeColor="text1"/>
          <w:highlight w:val="none"/>
          <w14:textFill>
            <w14:solidFill>
              <w14:schemeClr w14:val="tx1"/>
            </w14:solidFill>
          </w14:textFill>
        </w:rPr>
        <w:t>）其他资料</w:t>
      </w:r>
    </w:p>
    <w:p w14:paraId="469728EF">
      <w:pPr>
        <w:spacing w:line="360" w:lineRule="auto"/>
        <w:rPr>
          <w:rFonts w:hint="eastAsia" w:ascii="宋体" w:hAnsi="宋体" w:cs="宋体"/>
          <w:b/>
          <w:color w:val="000000" w:themeColor="text1"/>
          <w:highlight w:val="none"/>
          <w14:textFill>
            <w14:solidFill>
              <w14:schemeClr w14:val="tx1"/>
            </w14:solidFill>
          </w14:textFill>
        </w:rPr>
      </w:pPr>
    </w:p>
    <w:p w14:paraId="300A2F4B">
      <w:pPr>
        <w:spacing w:line="360" w:lineRule="auto"/>
        <w:jc w:val="center"/>
        <w:rPr>
          <w:rFonts w:hint="eastAsia" w:ascii="宋体" w:hAnsi="宋体" w:cs="宋体"/>
          <w:color w:val="000000" w:themeColor="text1"/>
          <w:kern w:val="0"/>
          <w:sz w:val="24"/>
          <w:highlight w:val="none"/>
          <w14:textFill>
            <w14:solidFill>
              <w14:schemeClr w14:val="tx1"/>
            </w14:solidFill>
          </w14:textFill>
        </w:rPr>
      </w:pPr>
      <w:bookmarkStart w:id="764" w:name="_Toc15801"/>
      <w:bookmarkStart w:id="765" w:name="_Toc6306"/>
      <w:bookmarkStart w:id="766" w:name="_Toc534185830"/>
      <w:bookmarkStart w:id="767" w:name="_Toc509218853"/>
      <w:bookmarkStart w:id="768" w:name="_Toc27983320"/>
    </w:p>
    <w:p w14:paraId="11C51B41">
      <w:pPr>
        <w:spacing w:line="360" w:lineRule="auto"/>
        <w:jc w:val="center"/>
        <w:rPr>
          <w:rFonts w:hint="eastAsia" w:ascii="宋体" w:hAnsi="宋体"/>
          <w:color w:val="000000" w:themeColor="text1"/>
          <w:sz w:val="44"/>
          <w:szCs w:val="44"/>
          <w:highlight w:val="none"/>
          <w14:textFill>
            <w14:solidFill>
              <w14:schemeClr w14:val="tx1"/>
            </w14:solidFill>
          </w14:textFill>
        </w:rPr>
      </w:pPr>
    </w:p>
    <w:p w14:paraId="51B33945">
      <w:pPr>
        <w:spacing w:line="360" w:lineRule="auto"/>
        <w:jc w:val="center"/>
        <w:rPr>
          <w:rFonts w:hint="eastAsia" w:ascii="宋体" w:hAnsi="宋体"/>
          <w:color w:val="000000" w:themeColor="text1"/>
          <w:sz w:val="44"/>
          <w:szCs w:val="44"/>
          <w:highlight w:val="none"/>
          <w14:textFill>
            <w14:solidFill>
              <w14:schemeClr w14:val="tx1"/>
            </w14:solidFill>
          </w14:textFill>
        </w:rPr>
      </w:pPr>
    </w:p>
    <w:p w14:paraId="63A8EFCB">
      <w:pPr>
        <w:spacing w:line="360" w:lineRule="auto"/>
        <w:jc w:val="center"/>
        <w:rPr>
          <w:rFonts w:hint="eastAsia" w:ascii="宋体" w:hAnsi="宋体"/>
          <w:color w:val="000000" w:themeColor="text1"/>
          <w:sz w:val="44"/>
          <w:szCs w:val="44"/>
          <w:highlight w:val="none"/>
          <w14:textFill>
            <w14:solidFill>
              <w14:schemeClr w14:val="tx1"/>
            </w14:solidFill>
          </w14:textFill>
        </w:rPr>
      </w:pPr>
    </w:p>
    <w:p w14:paraId="630435E1">
      <w:pPr>
        <w:spacing w:line="360" w:lineRule="auto"/>
        <w:jc w:val="center"/>
        <w:rPr>
          <w:rFonts w:hint="eastAsia" w:ascii="宋体" w:hAnsi="宋体"/>
          <w:color w:val="000000" w:themeColor="text1"/>
          <w:sz w:val="44"/>
          <w:szCs w:val="44"/>
          <w:highlight w:val="none"/>
          <w14:textFill>
            <w14:solidFill>
              <w14:schemeClr w14:val="tx1"/>
            </w14:solidFill>
          </w14:textFill>
        </w:rPr>
      </w:pPr>
    </w:p>
    <w:p w14:paraId="3393F199">
      <w:pPr>
        <w:spacing w:line="360" w:lineRule="auto"/>
        <w:jc w:val="center"/>
        <w:rPr>
          <w:rFonts w:hint="eastAsia" w:ascii="宋体" w:hAnsi="宋体"/>
          <w:color w:val="000000" w:themeColor="text1"/>
          <w:sz w:val="44"/>
          <w:szCs w:val="44"/>
          <w:highlight w:val="none"/>
          <w14:textFill>
            <w14:solidFill>
              <w14:schemeClr w14:val="tx1"/>
            </w14:solidFill>
          </w14:textFill>
        </w:rPr>
      </w:pPr>
    </w:p>
    <w:p w14:paraId="4DA853E5">
      <w:pPr>
        <w:spacing w:line="360" w:lineRule="auto"/>
        <w:jc w:val="center"/>
        <w:rPr>
          <w:rFonts w:hint="eastAsia" w:ascii="宋体" w:hAnsi="宋体"/>
          <w:color w:val="000000" w:themeColor="text1"/>
          <w:sz w:val="44"/>
          <w:szCs w:val="44"/>
          <w:highlight w:val="none"/>
          <w14:textFill>
            <w14:solidFill>
              <w14:schemeClr w14:val="tx1"/>
            </w14:solidFill>
          </w14:textFill>
        </w:rPr>
      </w:pPr>
    </w:p>
    <w:p w14:paraId="4DA765D0">
      <w:pPr>
        <w:spacing w:line="360" w:lineRule="auto"/>
        <w:jc w:val="center"/>
        <w:rPr>
          <w:rFonts w:hint="eastAsia" w:ascii="宋体" w:hAnsi="宋体"/>
          <w:color w:val="000000" w:themeColor="text1"/>
          <w:sz w:val="44"/>
          <w:szCs w:val="44"/>
          <w:highlight w:val="none"/>
          <w14:textFill>
            <w14:solidFill>
              <w14:schemeClr w14:val="tx1"/>
            </w14:solidFill>
          </w14:textFill>
        </w:rPr>
      </w:pPr>
    </w:p>
    <w:bookmarkEnd w:id="764"/>
    <w:bookmarkEnd w:id="765"/>
    <w:bookmarkEnd w:id="766"/>
    <w:bookmarkEnd w:id="767"/>
    <w:bookmarkEnd w:id="768"/>
    <w:p w14:paraId="29F9AC70">
      <w:pPr>
        <w:spacing w:line="360" w:lineRule="auto"/>
        <w:jc w:val="center"/>
        <w:rPr>
          <w:rFonts w:hint="eastAsia" w:ascii="宋体" w:hAnsi="宋体" w:cs="宋体"/>
          <w:color w:val="000000" w:themeColor="text1"/>
          <w:sz w:val="44"/>
          <w:szCs w:val="44"/>
          <w:highlight w:val="none"/>
          <w14:textFill>
            <w14:solidFill>
              <w14:schemeClr w14:val="tx1"/>
            </w14:solidFill>
          </w14:textFill>
        </w:rPr>
      </w:pPr>
      <w:bookmarkStart w:id="769" w:name="_Toc287620821"/>
      <w:bookmarkStart w:id="770" w:name="_Toc430530536"/>
      <w:bookmarkStart w:id="771" w:name="_Toc28457"/>
      <w:bookmarkStart w:id="772" w:name="_Toc224103502"/>
      <w:bookmarkStart w:id="773" w:name="_Toc15678"/>
      <w:bookmarkStart w:id="774" w:name="_Toc3391"/>
      <w:bookmarkStart w:id="775" w:name="_Toc287607874"/>
    </w:p>
    <w:p w14:paraId="6A59104A">
      <w:pPr>
        <w:spacing w:line="480" w:lineRule="auto"/>
        <w:ind w:right="-152"/>
        <w:jc w:val="center"/>
        <w:rPr>
          <w:rFonts w:hint="eastAsia" w:ascii="宋体" w:hAnsi="宋体" w:cs="宋体"/>
          <w:b/>
          <w:color w:val="000000" w:themeColor="text1"/>
          <w:sz w:val="52"/>
          <w:szCs w:val="72"/>
          <w:highlight w:val="none"/>
          <w14:textFill>
            <w14:solidFill>
              <w14:schemeClr w14:val="tx1"/>
            </w14:solidFill>
          </w14:textFill>
        </w:rPr>
      </w:pPr>
    </w:p>
    <w:bookmarkEnd w:id="753"/>
    <w:bookmarkEnd w:id="754"/>
    <w:bookmarkEnd w:id="755"/>
    <w:bookmarkEnd w:id="769"/>
    <w:bookmarkEnd w:id="770"/>
    <w:bookmarkEnd w:id="771"/>
    <w:bookmarkEnd w:id="772"/>
    <w:bookmarkEnd w:id="773"/>
    <w:bookmarkEnd w:id="774"/>
    <w:bookmarkEnd w:id="775"/>
    <w:p w14:paraId="75D2CB49">
      <w:pPr>
        <w:jc w:val="center"/>
        <w:outlineLvl w:val="1"/>
        <w:rPr>
          <w:rFonts w:hint="eastAsia" w:ascii="宋体" w:hAnsi="宋体"/>
          <w:b/>
          <w:color w:val="000000" w:themeColor="text1"/>
          <w:sz w:val="44"/>
          <w:szCs w:val="44"/>
          <w:highlight w:val="none"/>
          <w14:textFill>
            <w14:solidFill>
              <w14:schemeClr w14:val="tx1"/>
            </w14:solidFill>
          </w14:textFill>
        </w:rPr>
      </w:pPr>
      <w:bookmarkStart w:id="776" w:name="_Toc27983321"/>
    </w:p>
    <w:p w14:paraId="32CD98A5">
      <w:pPr>
        <w:jc w:val="center"/>
        <w:outlineLvl w:val="1"/>
        <w:rPr>
          <w:rFonts w:hint="eastAsia" w:ascii="宋体" w:hAnsi="宋体"/>
          <w:b/>
          <w:color w:val="000000" w:themeColor="text1"/>
          <w:sz w:val="44"/>
          <w:szCs w:val="44"/>
          <w:highlight w:val="none"/>
          <w14:textFill>
            <w14:solidFill>
              <w14:schemeClr w14:val="tx1"/>
            </w14:solidFill>
          </w14:textFill>
        </w:rPr>
      </w:pPr>
    </w:p>
    <w:p w14:paraId="1465C5CA">
      <w:pPr>
        <w:jc w:val="center"/>
        <w:outlineLvl w:val="1"/>
        <w:rPr>
          <w:rFonts w:hint="eastAsia" w:ascii="宋体" w:hAnsi="宋体"/>
          <w:color w:val="000000" w:themeColor="text1"/>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一、竞选函部分</w:t>
      </w:r>
      <w:bookmarkEnd w:id="776"/>
    </w:p>
    <w:p w14:paraId="1F6193AD">
      <w:pPr>
        <w:pStyle w:val="8"/>
        <w:rPr>
          <w:rFonts w:hint="eastAsia" w:ascii="宋体" w:hAnsi="宋体"/>
          <w:color w:val="000000" w:themeColor="text1"/>
          <w:highlight w:val="none"/>
          <w14:textFill>
            <w14:solidFill>
              <w14:schemeClr w14:val="tx1"/>
            </w14:solidFill>
          </w14:textFill>
        </w:rPr>
      </w:pPr>
    </w:p>
    <w:p w14:paraId="7D6B1DA6">
      <w:pPr>
        <w:spacing w:line="480" w:lineRule="auto"/>
        <w:ind w:right="-152"/>
        <w:jc w:val="center"/>
        <w:rPr>
          <w:rFonts w:hint="eastAsia" w:ascii="宋体" w:hAnsi="宋体" w:cs="宋体"/>
          <w:b/>
          <w:color w:val="000000" w:themeColor="text1"/>
          <w:sz w:val="52"/>
          <w:szCs w:val="72"/>
          <w:highlight w:val="none"/>
          <w14:textFill>
            <w14:solidFill>
              <w14:schemeClr w14:val="tx1"/>
            </w14:solidFill>
          </w14:textFill>
        </w:rPr>
      </w:pPr>
      <w:r>
        <w:rPr>
          <w:rFonts w:ascii="宋体" w:hAnsi="宋体" w:cs="宋体"/>
          <w:b/>
          <w:color w:val="000000" w:themeColor="text1"/>
          <w:sz w:val="52"/>
          <w:szCs w:val="72"/>
          <w:highlight w:val="none"/>
          <w14:textFill>
            <w14:solidFill>
              <w14:schemeClr w14:val="tx1"/>
            </w14:solidFill>
          </w14:textFill>
        </w:rPr>
        <w:br w:type="page"/>
      </w:r>
    </w:p>
    <w:p w14:paraId="115D664A">
      <w:pPr>
        <w:spacing w:line="360" w:lineRule="auto"/>
        <w:jc w:val="center"/>
        <w:rPr>
          <w:rFonts w:hint="eastAsia"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2"/>
          <w:szCs w:val="32"/>
          <w:highlight w:val="none"/>
          <w:u w:val="single"/>
          <w14:textFill>
            <w14:solidFill>
              <w14:schemeClr w14:val="tx1"/>
            </w14:solidFill>
          </w14:textFill>
        </w:rPr>
        <w:t xml:space="preserve">                   （项目名称）</w:t>
      </w:r>
    </w:p>
    <w:p w14:paraId="4729D776">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2B3B94A6">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27C2626C">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674692F6">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1980DD62">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7FB9AF4C">
      <w:pPr>
        <w:tabs>
          <w:tab w:val="left" w:pos="3600"/>
          <w:tab w:val="left" w:pos="4480"/>
          <w:tab w:val="left" w:pos="5360"/>
        </w:tabs>
        <w:autoSpaceDE w:val="0"/>
        <w:autoSpaceDN w:val="0"/>
        <w:adjustRightInd w:val="0"/>
        <w:snapToGrid w:val="0"/>
        <w:spacing w:line="360" w:lineRule="auto"/>
        <w:jc w:val="center"/>
        <w:rPr>
          <w:rFonts w:hint="eastAsia"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投 标 文 件</w:t>
      </w:r>
    </w:p>
    <w:p w14:paraId="1186E761">
      <w:pPr>
        <w:autoSpaceDE w:val="0"/>
        <w:autoSpaceDN w:val="0"/>
        <w:adjustRightInd w:val="0"/>
        <w:snapToGrid w:val="0"/>
        <w:spacing w:line="360" w:lineRule="auto"/>
        <w:jc w:val="left"/>
        <w:rPr>
          <w:rFonts w:hint="eastAsia" w:ascii="宋体" w:hAnsi="宋体"/>
          <w:color w:val="000000" w:themeColor="text1"/>
          <w:kern w:val="0"/>
          <w:sz w:val="16"/>
          <w:szCs w:val="16"/>
          <w:highlight w:val="none"/>
          <w14:textFill>
            <w14:solidFill>
              <w14:schemeClr w14:val="tx1"/>
            </w14:solidFill>
          </w14:textFill>
        </w:rPr>
      </w:pPr>
    </w:p>
    <w:p w14:paraId="7F6735F2">
      <w:pPr>
        <w:autoSpaceDE w:val="0"/>
        <w:autoSpaceDN w:val="0"/>
        <w:adjustRightInd w:val="0"/>
        <w:snapToGrid w:val="0"/>
        <w:spacing w:line="360" w:lineRule="auto"/>
        <w:jc w:val="center"/>
        <w:rPr>
          <w:rFonts w:hint="eastAsia"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竞选函部分</w:t>
      </w:r>
    </w:p>
    <w:p w14:paraId="358D9095">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12F06DC9">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2CB080B4">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0A463437">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424DC5A6">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3CA43677">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02CA3FD0">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23FEB41B">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7D50235C">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06697012">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15FD0888">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273D0068">
      <w:pPr>
        <w:tabs>
          <w:tab w:val="left" w:pos="6080"/>
          <w:tab w:val="left" w:pos="6640"/>
        </w:tabs>
        <w:autoSpaceDE w:val="0"/>
        <w:autoSpaceDN w:val="0"/>
        <w:adjustRightInd w:val="0"/>
        <w:snapToGrid w:val="0"/>
        <w:spacing w:after="158" w:afterLines="50" w:line="360" w:lineRule="auto"/>
        <w:jc w:val="center"/>
        <w:rPr>
          <w:rFonts w:hint="eastAsia"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14:textFill>
            <w14:solidFill>
              <w14:schemeClr w14:val="tx1"/>
            </w14:solidFill>
          </w14:textFill>
        </w:rPr>
        <w:t>竞选人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（盖单位法人章）</w:t>
      </w:r>
    </w:p>
    <w:p w14:paraId="6A4555B1">
      <w:pPr>
        <w:tabs>
          <w:tab w:val="left" w:pos="6080"/>
          <w:tab w:val="left" w:pos="6640"/>
        </w:tabs>
        <w:autoSpaceDE w:val="0"/>
        <w:autoSpaceDN w:val="0"/>
        <w:adjustRightInd w:val="0"/>
        <w:snapToGrid w:val="0"/>
        <w:spacing w:after="158" w:afterLines="50" w:line="360" w:lineRule="auto"/>
        <w:jc w:val="center"/>
        <w:rPr>
          <w:rFonts w:hint="eastAsia"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w:t>
      </w:r>
      <w:r>
        <w:rPr>
          <w:rFonts w:hint="eastAsia" w:ascii="宋体" w:hAnsi="宋体"/>
          <w:color w:val="000000" w:themeColor="text1"/>
          <w:w w:val="99"/>
          <w:kern w:val="0"/>
          <w:sz w:val="28"/>
          <w:szCs w:val="28"/>
          <w:highlight w:val="none"/>
          <w14:textFill>
            <w14:solidFill>
              <w14:schemeClr w14:val="tx1"/>
            </w14:solidFill>
          </w14:textFill>
        </w:rPr>
        <w:t>签名</w:t>
      </w:r>
      <w:r>
        <w:rPr>
          <w:rFonts w:ascii="宋体" w:hAnsi="宋体"/>
          <w:color w:val="000000" w:themeColor="text1"/>
          <w:w w:val="99"/>
          <w:kern w:val="0"/>
          <w:sz w:val="28"/>
          <w:szCs w:val="28"/>
          <w:highlight w:val="none"/>
          <w14:textFill>
            <w14:solidFill>
              <w14:schemeClr w14:val="tx1"/>
            </w14:solidFill>
          </w14:textFill>
        </w:rPr>
        <w:t>或盖章）</w:t>
      </w:r>
    </w:p>
    <w:p w14:paraId="00F5652F">
      <w:pPr>
        <w:autoSpaceDE w:val="0"/>
        <w:autoSpaceDN w:val="0"/>
        <w:adjustRightInd w:val="0"/>
        <w:snapToGrid w:val="0"/>
        <w:spacing w:line="360" w:lineRule="auto"/>
        <w:ind w:firstLine="554"/>
        <w:jc w:val="center"/>
        <w:rPr>
          <w:rFonts w:hint="eastAsia"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14:textFill>
            <w14:solidFill>
              <w14:schemeClr w14:val="tx1"/>
            </w14:solidFill>
          </w14:textFill>
        </w:rPr>
        <w:t>年月日</w:t>
      </w:r>
    </w:p>
    <w:p w14:paraId="6137758B">
      <w:pPr>
        <w:autoSpaceDE w:val="0"/>
        <w:autoSpaceDN w:val="0"/>
        <w:adjustRightInd w:val="0"/>
        <w:snapToGrid w:val="0"/>
        <w:spacing w:line="360" w:lineRule="auto"/>
        <w:ind w:firstLine="554"/>
        <w:jc w:val="center"/>
        <w:rPr>
          <w:rFonts w:hint="eastAsia" w:ascii="宋体" w:hAnsi="宋体"/>
          <w:color w:val="000000" w:themeColor="text1"/>
          <w:kern w:val="0"/>
          <w:sz w:val="24"/>
          <w:szCs w:val="21"/>
          <w:highlight w:val="none"/>
          <w14:textFill>
            <w14:solidFill>
              <w14:schemeClr w14:val="tx1"/>
            </w14:solidFill>
          </w14:textFill>
        </w:rPr>
      </w:pPr>
    </w:p>
    <w:p w14:paraId="27A53B8D">
      <w:pPr>
        <w:autoSpaceDE w:val="0"/>
        <w:autoSpaceDN w:val="0"/>
        <w:adjustRightInd w:val="0"/>
        <w:snapToGrid w:val="0"/>
        <w:spacing w:line="360" w:lineRule="auto"/>
        <w:ind w:firstLine="554"/>
        <w:jc w:val="center"/>
        <w:rPr>
          <w:rFonts w:hint="eastAsia" w:ascii="宋体" w:hAnsi="宋体"/>
          <w:color w:val="000000" w:themeColor="text1"/>
          <w:kern w:val="0"/>
          <w:sz w:val="24"/>
          <w:szCs w:val="21"/>
          <w:highlight w:val="none"/>
          <w14:textFill>
            <w14:solidFill>
              <w14:schemeClr w14:val="tx1"/>
            </w14:solidFill>
          </w14:textFill>
        </w:rPr>
      </w:pPr>
    </w:p>
    <w:p w14:paraId="08EA5E4D">
      <w:pPr>
        <w:autoSpaceDE w:val="0"/>
        <w:autoSpaceDN w:val="0"/>
        <w:adjustRightInd w:val="0"/>
        <w:snapToGrid w:val="0"/>
        <w:spacing w:line="360" w:lineRule="auto"/>
        <w:ind w:firstLine="554"/>
        <w:jc w:val="center"/>
        <w:rPr>
          <w:rFonts w:hint="eastAsia" w:ascii="宋体" w:hAnsi="宋体"/>
          <w:color w:val="000000" w:themeColor="text1"/>
          <w:kern w:val="0"/>
          <w:sz w:val="24"/>
          <w:szCs w:val="21"/>
          <w:highlight w:val="none"/>
          <w14:textFill>
            <w14:solidFill>
              <w14:schemeClr w14:val="tx1"/>
            </w14:solidFill>
          </w14:textFill>
        </w:rPr>
      </w:pPr>
    </w:p>
    <w:p w14:paraId="22306DCA">
      <w:pPr>
        <w:autoSpaceDE w:val="0"/>
        <w:autoSpaceDN w:val="0"/>
        <w:adjustRightInd w:val="0"/>
        <w:snapToGrid w:val="0"/>
        <w:spacing w:line="360" w:lineRule="auto"/>
        <w:jc w:val="center"/>
        <w:rPr>
          <w:rFonts w:hint="eastAsia"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14:paraId="36F0B29A">
      <w:pPr>
        <w:autoSpaceDE w:val="0"/>
        <w:autoSpaceDN w:val="0"/>
        <w:adjustRightInd w:val="0"/>
        <w:spacing w:line="360" w:lineRule="auto"/>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（一）</w:t>
      </w:r>
      <w:r>
        <w:rPr>
          <w:rFonts w:hint="eastAsia" w:ascii="宋体" w:hAnsi="宋体"/>
          <w:color w:val="000000" w:themeColor="text1"/>
          <w:kern w:val="0"/>
          <w:sz w:val="24"/>
          <w:highlight w:val="none"/>
          <w14:textFill>
            <w14:solidFill>
              <w14:schemeClr w14:val="tx1"/>
            </w14:solidFill>
          </w14:textFill>
        </w:rPr>
        <w:t>竞选</w:t>
      </w:r>
      <w:r>
        <w:rPr>
          <w:rFonts w:ascii="宋体" w:hAnsi="宋体"/>
          <w:color w:val="000000" w:themeColor="text1"/>
          <w:kern w:val="0"/>
          <w:sz w:val="24"/>
          <w:highlight w:val="none"/>
          <w14:textFill>
            <w14:solidFill>
              <w14:schemeClr w14:val="tx1"/>
            </w14:solidFill>
          </w14:textFill>
        </w:rPr>
        <w:t>函</w:t>
      </w:r>
    </w:p>
    <w:p w14:paraId="4B009E14">
      <w:pPr>
        <w:autoSpaceDE w:val="0"/>
        <w:autoSpaceDN w:val="0"/>
        <w:adjustRightInd w:val="0"/>
        <w:spacing w:line="360" w:lineRule="auto"/>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二</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法定代表人身份证明或附有法定代表人身份证明的授权委托书</w:t>
      </w:r>
    </w:p>
    <w:p w14:paraId="71BD40D3">
      <w:pPr>
        <w:autoSpaceDE w:val="0"/>
        <w:autoSpaceDN w:val="0"/>
        <w:adjustRightInd w:val="0"/>
        <w:snapToGrid w:val="0"/>
        <w:spacing w:line="360" w:lineRule="auto"/>
        <w:ind w:firstLine="554"/>
        <w:rPr>
          <w:rFonts w:hint="eastAsia" w:ascii="宋体" w:hAnsi="宋体"/>
          <w:color w:val="000000" w:themeColor="text1"/>
          <w:kern w:val="0"/>
          <w:sz w:val="24"/>
          <w:szCs w:val="21"/>
          <w:highlight w:val="none"/>
          <w14:textFill>
            <w14:solidFill>
              <w14:schemeClr w14:val="tx1"/>
            </w14:solidFill>
          </w14:textFill>
        </w:rPr>
      </w:pPr>
      <w:r>
        <w:rPr>
          <w:rFonts w:ascii="宋体" w:hAnsi="宋体"/>
          <w:color w:val="000000" w:themeColor="text1"/>
          <w:kern w:val="0"/>
          <w:sz w:val="24"/>
          <w:szCs w:val="21"/>
          <w:highlight w:val="none"/>
          <w14:textFill>
            <w14:solidFill>
              <w14:schemeClr w14:val="tx1"/>
            </w14:solidFill>
          </w14:textFill>
        </w:rPr>
        <w:br w:type="page"/>
      </w:r>
    </w:p>
    <w:p w14:paraId="046CDD83">
      <w:pPr>
        <w:autoSpaceDE w:val="0"/>
        <w:autoSpaceDN w:val="0"/>
        <w:adjustRightInd w:val="0"/>
        <w:snapToGrid w:val="0"/>
        <w:spacing w:line="480" w:lineRule="auto"/>
        <w:jc w:val="center"/>
        <w:rPr>
          <w:rFonts w:hint="eastAsia" w:ascii="宋体" w:hAnsi="宋体" w:cs="宋体"/>
          <w:b/>
          <w:color w:val="000000" w:themeColor="text1"/>
          <w:w w:val="99"/>
          <w:kern w:val="0"/>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竞选函</w:t>
      </w:r>
    </w:p>
    <w:p w14:paraId="5F7A8BA2">
      <w:pPr>
        <w:tabs>
          <w:tab w:val="left" w:pos="2640"/>
        </w:tabs>
        <w:autoSpaceDE w:val="0"/>
        <w:autoSpaceDN w:val="0"/>
        <w:adjustRightInd w:val="0"/>
        <w:spacing w:line="360" w:lineRule="auto"/>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（比选人名称）：</w:t>
      </w:r>
    </w:p>
    <w:p w14:paraId="7B4BA3A9">
      <w:pPr>
        <w:tabs>
          <w:tab w:val="left" w:pos="3495"/>
          <w:tab w:val="left" w:pos="4920"/>
          <w:tab w:val="left" w:pos="5715"/>
          <w:tab w:val="left" w:pos="6945"/>
          <w:tab w:val="left" w:pos="7980"/>
        </w:tabs>
        <w:autoSpaceDE w:val="0"/>
        <w:autoSpaceDN w:val="0"/>
        <w:adjustRightIn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w:t>
      </w:r>
      <w:r>
        <w:rPr>
          <w:rFonts w:hint="eastAsia" w:ascii="宋体" w:hAnsi="宋体" w:cs="MingLiU"/>
          <w:snapToGrid w:val="0"/>
          <w:color w:val="000000" w:themeColor="text1"/>
          <w:kern w:val="0"/>
          <w:szCs w:val="21"/>
          <w:highlight w:val="none"/>
          <w14:textFill>
            <w14:solidFill>
              <w14:schemeClr w14:val="tx1"/>
            </w14:solidFill>
          </w14:textFill>
        </w:rPr>
        <w:t>我方已仔细研究了（项目名称）比选文件的全部内容，</w:t>
      </w:r>
      <w:r>
        <w:rPr>
          <w:rFonts w:hint="eastAsia" w:ascii="宋体" w:hAnsi="宋体" w:cs="宋体"/>
          <w:color w:val="000000" w:themeColor="text1"/>
          <w:spacing w:val="20"/>
          <w:szCs w:val="21"/>
          <w:highlight w:val="none"/>
          <w14:textFill>
            <w14:solidFill>
              <w14:schemeClr w14:val="tx1"/>
            </w14:solidFill>
          </w14:textFill>
        </w:rPr>
        <w:t>竞选总报价为：</w:t>
      </w:r>
      <w:r>
        <w:rPr>
          <w:rFonts w:hint="eastAsia" w:ascii="宋体" w:hAnsi="宋体" w:cs="宋体"/>
          <w:color w:val="000000" w:themeColor="text1"/>
          <w:szCs w:val="21"/>
          <w:highlight w:val="none"/>
          <w:u w:val="none"/>
          <w:lang w:val="en-US" w:eastAsia="zh-CN"/>
          <w14:textFill>
            <w14:solidFill>
              <w14:schemeClr w14:val="tx1"/>
            </w14:solidFill>
          </w14:textFill>
        </w:rPr>
        <w:t>预算编制费固定费率最高限价为暂估工程费的</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none"/>
          <w:lang w:val="en-US" w:eastAsia="zh-CN"/>
          <w14:textFill>
            <w14:solidFill>
              <w14:schemeClr w14:val="tx1"/>
            </w14:solidFill>
          </w14:textFill>
        </w:rPr>
        <w:t>%，暂定预算编制费为</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none"/>
          <w:lang w:val="en-US" w:eastAsia="zh-CN"/>
          <w14:textFill>
            <w14:solidFill>
              <w14:schemeClr w14:val="tx1"/>
            </w14:solidFill>
          </w14:textFill>
        </w:rPr>
        <w:t>元；跟审费固定费率最高限价为暂估工程费的</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none"/>
          <w:lang w:val="en-US" w:eastAsia="zh-CN"/>
          <w14:textFill>
            <w14:solidFill>
              <w14:schemeClr w14:val="tx1"/>
            </w14:solidFill>
          </w14:textFill>
        </w:rPr>
        <w:t>%，暂定跟审费为</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none"/>
          <w:lang w:val="en-US" w:eastAsia="zh-CN"/>
          <w14:textFill>
            <w14:solidFill>
              <w14:schemeClr w14:val="tx1"/>
            </w14:solidFill>
          </w14:textFill>
        </w:rPr>
        <w:t>元，</w:t>
      </w:r>
      <w:r>
        <w:rPr>
          <w:rFonts w:hint="eastAsia" w:ascii="宋体" w:hAnsi="宋体"/>
          <w:snapToGrid w:val="0"/>
          <w:color w:val="000000" w:themeColor="text1"/>
          <w:kern w:val="0"/>
          <w:szCs w:val="21"/>
          <w:highlight w:val="none"/>
          <w14:textFill>
            <w14:solidFill>
              <w14:schemeClr w14:val="tx1"/>
            </w14:solidFill>
          </w14:textFill>
        </w:rPr>
        <w:t>项目负责人为</w:t>
      </w:r>
      <w:r>
        <w:rPr>
          <w:rFonts w:hint="eastAsia" w:ascii="宋体" w:hAnsi="宋体"/>
          <w:snapToGrid w:val="0"/>
          <w:color w:val="000000" w:themeColor="text1"/>
          <w:kern w:val="0"/>
          <w:highlight w:val="none"/>
          <w:u w:val="single"/>
          <w14:textFill>
            <w14:solidFill>
              <w14:schemeClr w14:val="tx1"/>
            </w14:solidFill>
          </w14:textFill>
        </w:rPr>
        <w:t xml:space="preserve">        </w:t>
      </w:r>
      <w:r>
        <w:rPr>
          <w:rFonts w:hint="eastAsia" w:ascii="宋体" w:hAnsi="宋体" w:cs="宋体"/>
          <w:color w:val="000000" w:themeColor="text1"/>
          <w:spacing w:val="20"/>
          <w:szCs w:val="21"/>
          <w:highlight w:val="none"/>
          <w14:textFill>
            <w14:solidFill>
              <w14:schemeClr w14:val="tx1"/>
            </w14:solidFill>
          </w14:textFill>
        </w:rPr>
        <w:t>，</w:t>
      </w:r>
      <w:r>
        <w:rPr>
          <w:rFonts w:hint="eastAsia" w:ascii="宋体" w:hAnsi="宋体" w:cs="MingLiU"/>
          <w:snapToGrid w:val="0"/>
          <w:color w:val="000000" w:themeColor="text1"/>
          <w:kern w:val="0"/>
          <w:szCs w:val="21"/>
          <w:highlight w:val="none"/>
          <w14:textFill>
            <w14:solidFill>
              <w14:schemeClr w14:val="tx1"/>
            </w14:solidFill>
          </w14:textFill>
        </w:rPr>
        <w:t>服务期限</w:t>
      </w:r>
      <w:r>
        <w:rPr>
          <w:rFonts w:hint="eastAsia" w:ascii="宋体" w:hAnsi="宋体" w:cs="MingLiU"/>
          <w:snapToGrid w:val="0"/>
          <w:color w:val="000000" w:themeColor="text1"/>
          <w:kern w:val="0"/>
          <w:szCs w:val="21"/>
          <w:highlight w:val="none"/>
          <w:u w:val="single"/>
          <w14:textFill>
            <w14:solidFill>
              <w14:schemeClr w14:val="tx1"/>
            </w14:solidFill>
          </w14:textFill>
        </w:rPr>
        <w:t>满足比选文件要求</w:t>
      </w:r>
      <w:r>
        <w:rPr>
          <w:rFonts w:hint="eastAsia" w:ascii="宋体" w:hAnsi="宋体" w:cs="MingLiU"/>
          <w:snapToGrid w:val="0"/>
          <w:color w:val="000000" w:themeColor="text1"/>
          <w:kern w:val="0"/>
          <w:szCs w:val="21"/>
          <w:highlight w:val="none"/>
          <w14:textFill>
            <w14:solidFill>
              <w14:schemeClr w14:val="tx1"/>
            </w14:solidFill>
          </w14:textFill>
        </w:rPr>
        <w:t>，完成比选文件规定的所有规定任务，质量要求达到比选文件要求。</w:t>
      </w:r>
    </w:p>
    <w:p w14:paraId="1FD2741F">
      <w:pPr>
        <w:tabs>
          <w:tab w:val="left" w:pos="2445"/>
          <w:tab w:val="left" w:pos="3520"/>
          <w:tab w:val="left" w:pos="4920"/>
          <w:tab w:val="left" w:pos="6105"/>
          <w:tab w:val="left" w:pos="7980"/>
        </w:tabs>
        <w:autoSpaceDE w:val="0"/>
        <w:autoSpaceDN w:val="0"/>
        <w:adjustRightInd w:val="0"/>
        <w:spacing w:line="360" w:lineRule="auto"/>
        <w:ind w:firstLine="420" w:firstLineChars="200"/>
        <w:rPr>
          <w:rFonts w:hint="eastAsia" w:ascii="宋体" w:hAnsi="宋体" w:cs="宋体"/>
          <w:snapToGrid w:val="0"/>
          <w:color w:val="000000" w:themeColor="text1"/>
          <w:kern w:val="0"/>
          <w:sz w:val="10"/>
          <w:szCs w:val="1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 本次竞选有效期为90日历天，我方承诺在本次有效期内不修改、撤销竞选文件。</w:t>
      </w:r>
    </w:p>
    <w:p w14:paraId="67BD8820">
      <w:pPr>
        <w:tabs>
          <w:tab w:val="left" w:pos="2730"/>
          <w:tab w:val="left" w:pos="7350"/>
        </w:tabs>
        <w:autoSpaceDE w:val="0"/>
        <w:autoSpaceDN w:val="0"/>
        <w:adjustRightInd w:val="0"/>
        <w:spacing w:line="360" w:lineRule="auto"/>
        <w:ind w:firstLine="420" w:firstLineChars="200"/>
        <w:rPr>
          <w:rFonts w:hint="eastAsia" w:ascii="宋体" w:hAnsi="宋体" w:cs="宋体"/>
          <w:snapToGrid w:val="0"/>
          <w:color w:val="000000" w:themeColor="text1"/>
          <w:kern w:val="0"/>
          <w:sz w:val="10"/>
          <w:szCs w:val="1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 随同本竞选函提交比选保证金一份，金额为人民币（大写）</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元（¥</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）。比选保证金有限期与比选有限期一致，在此期间，若我方违反比选有关法律、法规及本比选文件的相关规定，比选保证金的受益人为比选人。</w:t>
      </w:r>
    </w:p>
    <w:p w14:paraId="6D1C1CAC">
      <w:pPr>
        <w:autoSpaceDE w:val="0"/>
        <w:autoSpaceDN w:val="0"/>
        <w:adjustRightIn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 如我方中选：</w:t>
      </w:r>
    </w:p>
    <w:p w14:paraId="6A84E5A6">
      <w:pPr>
        <w:autoSpaceDE w:val="0"/>
        <w:autoSpaceDN w:val="0"/>
        <w:adjustRightInd w:val="0"/>
        <w:spacing w:line="360" w:lineRule="auto"/>
        <w:ind w:firstLine="420" w:firstLineChars="200"/>
        <w:rPr>
          <w:rFonts w:hint="eastAsia" w:ascii="宋体" w:hAnsi="宋体" w:cs="宋体"/>
          <w:snapToGrid w:val="0"/>
          <w:color w:val="000000" w:themeColor="text1"/>
          <w:kern w:val="0"/>
          <w:sz w:val="10"/>
          <w:szCs w:val="1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（1）我方承诺在收到中选通知书后，在中选通知书规定的期限内与你方签订合同。</w:t>
      </w:r>
    </w:p>
    <w:p w14:paraId="076AF231">
      <w:pPr>
        <w:autoSpaceDE w:val="0"/>
        <w:autoSpaceDN w:val="0"/>
        <w:adjustRightInd w:val="0"/>
        <w:spacing w:line="360" w:lineRule="auto"/>
        <w:ind w:firstLine="420" w:firstLineChars="200"/>
        <w:rPr>
          <w:rFonts w:hint="eastAsia" w:ascii="宋体" w:hAnsi="宋体" w:cs="宋体"/>
          <w:snapToGrid w:val="0"/>
          <w:color w:val="000000" w:themeColor="text1"/>
          <w:kern w:val="0"/>
          <w:sz w:val="10"/>
          <w:szCs w:val="1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（2）我方承诺按照比选文件规定向你方递交履约担保（如比选人要求）。</w:t>
      </w:r>
    </w:p>
    <w:p w14:paraId="2CD9EFF5">
      <w:pPr>
        <w:autoSpaceDE w:val="0"/>
        <w:autoSpaceDN w:val="0"/>
        <w:adjustRightInd w:val="0"/>
        <w:spacing w:line="360" w:lineRule="auto"/>
        <w:ind w:firstLine="420" w:firstLineChars="200"/>
        <w:rPr>
          <w:rFonts w:hint="eastAsia" w:ascii="宋体" w:hAnsi="宋体" w:cs="宋体"/>
          <w:snapToGrid w:val="0"/>
          <w:color w:val="000000" w:themeColor="text1"/>
          <w:kern w:val="0"/>
          <w:sz w:val="10"/>
          <w:szCs w:val="1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我方承诺在合同约定的期限内完成并</w:t>
      </w:r>
      <w:r>
        <w:rPr>
          <w:rFonts w:hint="eastAsia" w:ascii="宋体" w:hAnsi="宋体"/>
          <w:snapToGrid w:val="0"/>
          <w:color w:val="000000" w:themeColor="text1"/>
          <w:kern w:val="0"/>
          <w:szCs w:val="21"/>
          <w:highlight w:val="none"/>
          <w14:textFill>
            <w14:solidFill>
              <w14:schemeClr w14:val="tx1"/>
            </w14:solidFill>
          </w14:textFill>
        </w:rPr>
        <w:t>出具成果文件</w:t>
      </w:r>
      <w:r>
        <w:rPr>
          <w:rFonts w:hint="eastAsia" w:ascii="宋体" w:hAnsi="宋体" w:cs="宋体"/>
          <w:snapToGrid w:val="0"/>
          <w:color w:val="000000" w:themeColor="text1"/>
          <w:kern w:val="0"/>
          <w:szCs w:val="21"/>
          <w:highlight w:val="none"/>
          <w14:textFill>
            <w14:solidFill>
              <w14:schemeClr w14:val="tx1"/>
            </w14:solidFill>
          </w14:textFill>
        </w:rPr>
        <w:t>。</w:t>
      </w:r>
    </w:p>
    <w:p w14:paraId="3FD75FA6">
      <w:pPr>
        <w:autoSpaceDE w:val="0"/>
        <w:autoSpaceDN w:val="0"/>
        <w:adjustRightIn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 我方</w:t>
      </w:r>
      <w:r>
        <w:rPr>
          <w:rFonts w:hint="eastAsia" w:ascii="宋体" w:hAnsi="宋体" w:cs="宋体"/>
          <w:snapToGrid w:val="0"/>
          <w:color w:val="000000" w:themeColor="text1"/>
          <w:spacing w:val="-2"/>
          <w:kern w:val="0"/>
          <w:szCs w:val="21"/>
          <w:highlight w:val="none"/>
          <w14:textFill>
            <w14:solidFill>
              <w14:schemeClr w14:val="tx1"/>
            </w14:solidFill>
          </w14:textFill>
        </w:rPr>
        <w:t>在此声明，所递交的竞选文件及有关资料内容完整、真实和准确，且不存在第二章“竞选人</w:t>
      </w:r>
      <w:r>
        <w:rPr>
          <w:rFonts w:hint="eastAsia" w:ascii="宋体" w:hAnsi="宋体" w:cs="宋体"/>
          <w:snapToGrid w:val="0"/>
          <w:color w:val="000000" w:themeColor="text1"/>
          <w:kern w:val="0"/>
          <w:szCs w:val="21"/>
          <w:highlight w:val="none"/>
          <w14:textFill>
            <w14:solidFill>
              <w14:schemeClr w14:val="tx1"/>
            </w14:solidFill>
          </w14:textFill>
        </w:rPr>
        <w:t>须知”第 1.4.3 项规定的任何一种情形。同时我方承诺接受比选文件及附件、答疑及补遗通知中所有的内容。</w:t>
      </w:r>
    </w:p>
    <w:p w14:paraId="447D2E62">
      <w:pPr>
        <w:tabs>
          <w:tab w:val="left" w:pos="5985"/>
        </w:tabs>
        <w:autoSpaceDE w:val="0"/>
        <w:autoSpaceDN w:val="0"/>
        <w:adjustRightIn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6. </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（其他补充说明）。</w:t>
      </w:r>
    </w:p>
    <w:p w14:paraId="11693F98">
      <w:pPr>
        <w:tabs>
          <w:tab w:val="left" w:pos="7140"/>
          <w:tab w:val="left" w:pos="7560"/>
          <w:tab w:val="left" w:pos="8300"/>
        </w:tabs>
        <w:autoSpaceDE w:val="0"/>
        <w:autoSpaceDN w:val="0"/>
        <w:adjustRightIn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p>
    <w:p w14:paraId="0DB96378">
      <w:pPr>
        <w:tabs>
          <w:tab w:val="left" w:pos="7140"/>
          <w:tab w:val="left" w:pos="7560"/>
          <w:tab w:val="left" w:pos="8300"/>
        </w:tabs>
        <w:autoSpaceDE w:val="0"/>
        <w:autoSpaceDN w:val="0"/>
        <w:adjustRightInd w:val="0"/>
        <w:spacing w:line="360" w:lineRule="auto"/>
        <w:ind w:firstLine="3150" w:firstLineChars="15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  选 人：</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 xml:space="preserve">（盖单位法人章） </w:t>
      </w:r>
    </w:p>
    <w:p w14:paraId="1C299D61">
      <w:pPr>
        <w:tabs>
          <w:tab w:val="left" w:pos="7140"/>
          <w:tab w:val="left" w:pos="7560"/>
          <w:tab w:val="left" w:pos="8300"/>
        </w:tabs>
        <w:autoSpaceDE w:val="0"/>
        <w:autoSpaceDN w:val="0"/>
        <w:adjustRightInd w:val="0"/>
        <w:spacing w:line="360" w:lineRule="auto"/>
        <w:ind w:firstLine="3150" w:firstLineChars="15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法定代表人或其委托代理人：（签字或盖章）</w:t>
      </w:r>
    </w:p>
    <w:p w14:paraId="03876137">
      <w:pPr>
        <w:tabs>
          <w:tab w:val="left" w:pos="7035"/>
          <w:tab w:val="left" w:pos="7560"/>
          <w:tab w:val="left" w:pos="8300"/>
        </w:tabs>
        <w:autoSpaceDE w:val="0"/>
        <w:autoSpaceDN w:val="0"/>
        <w:adjustRightInd w:val="0"/>
        <w:spacing w:line="360" w:lineRule="auto"/>
        <w:ind w:firstLine="3150" w:firstLineChars="15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地    址：</w:t>
      </w:r>
    </w:p>
    <w:p w14:paraId="7BA93FB0">
      <w:pPr>
        <w:tabs>
          <w:tab w:val="left" w:pos="8300"/>
        </w:tabs>
        <w:autoSpaceDE w:val="0"/>
        <w:autoSpaceDN w:val="0"/>
        <w:adjustRightInd w:val="0"/>
        <w:spacing w:line="360" w:lineRule="auto"/>
        <w:ind w:firstLine="3150" w:firstLineChars="15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电    话：</w:t>
      </w:r>
    </w:p>
    <w:p w14:paraId="26FD326F">
      <w:pPr>
        <w:tabs>
          <w:tab w:val="left" w:pos="8300"/>
        </w:tabs>
        <w:autoSpaceDE w:val="0"/>
        <w:autoSpaceDN w:val="0"/>
        <w:adjustRightInd w:val="0"/>
        <w:spacing w:line="360" w:lineRule="auto"/>
        <w:ind w:firstLine="3150" w:firstLineChars="15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传    真：</w:t>
      </w:r>
    </w:p>
    <w:p w14:paraId="5A848A97">
      <w:pPr>
        <w:spacing w:line="360" w:lineRule="auto"/>
        <w:jc w:val="right"/>
        <w:rPr>
          <w:rFonts w:hint="eastAsia" w:ascii="宋体" w:hAnsi="宋体" w:cs="宋体"/>
          <w:snapToGrid w:val="0"/>
          <w:color w:val="000000" w:themeColor="text1"/>
          <w:w w:val="99"/>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年月日</w:t>
      </w:r>
    </w:p>
    <w:p w14:paraId="29C59A86">
      <w:pPr>
        <w:jc w:val="center"/>
        <w:rPr>
          <w:rFonts w:hint="eastAsia" w:ascii="宋体" w:hAnsi="宋体" w:cs="宋体"/>
          <w:b/>
          <w:snapToGrid w:val="0"/>
          <w:color w:val="000000" w:themeColor="text1"/>
          <w:w w:val="99"/>
          <w:sz w:val="36"/>
          <w:szCs w:val="32"/>
          <w:highlight w:val="none"/>
          <w14:textFill>
            <w14:solidFill>
              <w14:schemeClr w14:val="tx1"/>
            </w14:solidFill>
          </w14:textFill>
        </w:rPr>
      </w:pPr>
    </w:p>
    <w:p w14:paraId="1CC5CE17">
      <w:pPr>
        <w:spacing w:line="360" w:lineRule="auto"/>
        <w:jc w:val="center"/>
        <w:rPr>
          <w:rFonts w:hint="eastAsia" w:ascii="宋体" w:hAnsi="宋体" w:cs="宋体"/>
          <w:b/>
          <w:snapToGrid w:val="0"/>
          <w:color w:val="000000" w:themeColor="text1"/>
          <w:w w:val="99"/>
          <w:sz w:val="36"/>
          <w:szCs w:val="32"/>
          <w:highlight w:val="none"/>
          <w14:textFill>
            <w14:solidFill>
              <w14:schemeClr w14:val="tx1"/>
            </w14:solidFill>
          </w14:textFill>
        </w:rPr>
      </w:pPr>
      <w:r>
        <w:rPr>
          <w:rFonts w:hint="eastAsia" w:ascii="宋体" w:hAnsi="宋体" w:cs="宋体"/>
          <w:b/>
          <w:snapToGrid w:val="0"/>
          <w:color w:val="000000" w:themeColor="text1"/>
          <w:w w:val="99"/>
          <w:sz w:val="36"/>
          <w:szCs w:val="32"/>
          <w:highlight w:val="none"/>
          <w14:textFill>
            <w14:solidFill>
              <w14:schemeClr w14:val="tx1"/>
            </w14:solidFill>
          </w14:textFill>
        </w:rPr>
        <w:br w:type="page"/>
      </w:r>
    </w:p>
    <w:p w14:paraId="6B7FFFCD">
      <w:pPr>
        <w:pStyle w:val="4"/>
        <w:jc w:val="center"/>
        <w:rPr>
          <w:rFonts w:hint="eastAsia" w:ascii="宋体" w:hAnsi="宋体"/>
          <w:b w:val="0"/>
          <w:snapToGrid w:val="0"/>
          <w:color w:val="000000" w:themeColor="text1"/>
          <w:kern w:val="0"/>
          <w:sz w:val="30"/>
          <w:szCs w:val="30"/>
          <w:highlight w:val="none"/>
          <w14:textFill>
            <w14:solidFill>
              <w14:schemeClr w14:val="tx1"/>
            </w14:solidFill>
          </w14:textFill>
        </w:rPr>
      </w:pPr>
      <w:bookmarkStart w:id="777" w:name="_Toc430530532"/>
      <w:bookmarkStart w:id="778" w:name="_Toc287620816"/>
      <w:bookmarkStart w:id="779" w:name="_Toc224103497"/>
      <w:bookmarkStart w:id="780" w:name="_Toc287607869"/>
      <w:bookmarkStart w:id="781" w:name="_Toc277082645"/>
      <w:bookmarkStart w:id="782" w:name="_Toc8650"/>
      <w:bookmarkStart w:id="783" w:name="_Toc57905921"/>
      <w:r>
        <w:rPr>
          <w:rFonts w:ascii="宋体" w:hAnsi="宋体"/>
          <w:color w:val="000000" w:themeColor="text1"/>
          <w:sz w:val="30"/>
          <w:szCs w:val="30"/>
          <w:highlight w:val="none"/>
          <w14:textFill>
            <w14:solidFill>
              <w14:schemeClr w14:val="tx1"/>
            </w14:solidFill>
          </w14:textFill>
        </w:rPr>
        <w:t>（</w:t>
      </w:r>
      <w:r>
        <w:rPr>
          <w:rFonts w:hint="eastAsia" w:ascii="宋体" w:hAnsi="宋体"/>
          <w:color w:val="000000" w:themeColor="text1"/>
          <w:sz w:val="30"/>
          <w:szCs w:val="30"/>
          <w:highlight w:val="none"/>
          <w14:textFill>
            <w14:solidFill>
              <w14:schemeClr w14:val="tx1"/>
            </w14:solidFill>
          </w14:textFill>
        </w:rPr>
        <w:t>二</w:t>
      </w:r>
      <w:r>
        <w:rPr>
          <w:rFonts w:ascii="宋体" w:hAnsi="宋体"/>
          <w:color w:val="000000" w:themeColor="text1"/>
          <w:sz w:val="30"/>
          <w:szCs w:val="30"/>
          <w:highlight w:val="none"/>
          <w14:textFill>
            <w14:solidFill>
              <w14:schemeClr w14:val="tx1"/>
            </w14:solidFill>
          </w14:textFill>
        </w:rPr>
        <w:t>）</w:t>
      </w:r>
      <w:r>
        <w:rPr>
          <w:rFonts w:hint="eastAsia" w:ascii="宋体" w:hAnsi="宋体"/>
          <w:color w:val="000000" w:themeColor="text1"/>
          <w:sz w:val="30"/>
          <w:szCs w:val="30"/>
          <w:highlight w:val="none"/>
          <w14:textFill>
            <w14:solidFill>
              <w14:schemeClr w14:val="tx1"/>
            </w14:solidFill>
          </w14:textFill>
        </w:rPr>
        <w:t>法定代表人身份证明或附有法定代表人身份证明的授权委托书</w:t>
      </w:r>
      <w:bookmarkEnd w:id="777"/>
      <w:bookmarkEnd w:id="778"/>
      <w:bookmarkEnd w:id="779"/>
      <w:bookmarkEnd w:id="780"/>
      <w:bookmarkEnd w:id="781"/>
      <w:bookmarkEnd w:id="782"/>
      <w:bookmarkEnd w:id="783"/>
    </w:p>
    <w:p w14:paraId="28854533">
      <w:pPr>
        <w:spacing w:line="480" w:lineRule="auto"/>
        <w:jc w:val="center"/>
        <w:rPr>
          <w:rFonts w:hint="eastAsia"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法定代表人身份证明</w:t>
      </w:r>
    </w:p>
    <w:p w14:paraId="1BBC7465">
      <w:pPr>
        <w:spacing w:line="480" w:lineRule="auto"/>
        <w:jc w:val="center"/>
        <w:rPr>
          <w:rFonts w:hint="eastAsia" w:ascii="宋体" w:hAnsi="宋体"/>
          <w:color w:val="000000" w:themeColor="text1"/>
          <w:highlight w:val="none"/>
          <w14:textFill>
            <w14:solidFill>
              <w14:schemeClr w14:val="tx1"/>
            </w14:solidFill>
          </w14:textFill>
        </w:rPr>
      </w:pPr>
    </w:p>
    <w:p w14:paraId="27CA0961">
      <w:pPr>
        <w:tabs>
          <w:tab w:val="left" w:pos="5565"/>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名称：</w:t>
      </w:r>
    </w:p>
    <w:p w14:paraId="0CD69B0B">
      <w:pPr>
        <w:tabs>
          <w:tab w:val="left" w:pos="5475"/>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p>
    <w:p w14:paraId="2006AF71">
      <w:pPr>
        <w:tabs>
          <w:tab w:val="left" w:pos="5475"/>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地址：</w:t>
      </w:r>
    </w:p>
    <w:p w14:paraId="3B854F9A">
      <w:pPr>
        <w:tabs>
          <w:tab w:val="left" w:pos="2520"/>
          <w:tab w:val="left" w:pos="3836"/>
        </w:tabs>
        <w:autoSpaceDE w:val="0"/>
        <w:autoSpaceDN w:val="0"/>
        <w:adjustRightInd w:val="0"/>
        <w:snapToGrid w:val="0"/>
        <w:spacing w:line="480" w:lineRule="auto"/>
        <w:ind w:firstLine="390" w:firstLineChars="186"/>
        <w:jc w:val="left"/>
        <w:rPr>
          <w:rFonts w:hint="eastAsia"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成立时间：年月日</w:t>
      </w:r>
    </w:p>
    <w:p w14:paraId="044BA0B7">
      <w:pPr>
        <w:tabs>
          <w:tab w:val="left" w:pos="5475"/>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经营期限：</w:t>
      </w:r>
    </w:p>
    <w:p w14:paraId="646130D2">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姓名：性别</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龄：职务：</w:t>
      </w:r>
    </w:p>
    <w:p w14:paraId="7F9AC5CC">
      <w:pPr>
        <w:tabs>
          <w:tab w:val="left" w:pos="3360"/>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的法定代表人。</w:t>
      </w:r>
    </w:p>
    <w:p w14:paraId="6FA31752">
      <w:pPr>
        <w:tabs>
          <w:tab w:val="left" w:pos="3360"/>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p w14:paraId="5EC29A80">
      <w:pPr>
        <w:autoSpaceDE w:val="0"/>
        <w:autoSpaceDN w:val="0"/>
        <w:adjustRightInd w:val="0"/>
        <w:snapToGrid w:val="0"/>
        <w:spacing w:line="480" w:lineRule="auto"/>
        <w:ind w:firstLine="810" w:firstLineChars="386"/>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附：法定代表人身份证复印件（双面）</w:t>
      </w:r>
    </w:p>
    <w:p w14:paraId="6AAE0820">
      <w:pPr>
        <w:pStyle w:val="8"/>
        <w:spacing w:after="0" w:line="360" w:lineRule="auto"/>
        <w:rPr>
          <w:rFonts w:hint="eastAsia" w:ascii="宋体" w:hAnsi="宋体"/>
          <w:color w:val="000000" w:themeColor="text1"/>
          <w:szCs w:val="21"/>
          <w:highlight w:val="none"/>
          <w14:textFill>
            <w14:solidFill>
              <w14:schemeClr w14:val="tx1"/>
            </w14:solidFill>
          </w14:textFill>
        </w:rPr>
      </w:pPr>
    </w:p>
    <w:p w14:paraId="317A957C">
      <w:pPr>
        <w:pStyle w:val="8"/>
        <w:spacing w:after="0" w:line="360" w:lineRule="auto"/>
        <w:rPr>
          <w:rFonts w:hint="eastAsia" w:ascii="宋体" w:hAnsi="宋体"/>
          <w:color w:val="000000" w:themeColor="text1"/>
          <w:szCs w:val="21"/>
          <w:highlight w:val="none"/>
          <w14:textFill>
            <w14:solidFill>
              <w14:schemeClr w14:val="tx1"/>
            </w14:solidFill>
          </w14:textFill>
        </w:rPr>
      </w:pPr>
    </w:p>
    <w:p w14:paraId="46C57210">
      <w:pPr>
        <w:pStyle w:val="8"/>
        <w:spacing w:after="0" w:line="360" w:lineRule="auto"/>
        <w:rPr>
          <w:rFonts w:hint="eastAsia" w:ascii="宋体" w:hAnsi="宋体"/>
          <w:color w:val="000000" w:themeColor="text1"/>
          <w:szCs w:val="21"/>
          <w:highlight w:val="none"/>
          <w14:textFill>
            <w14:solidFill>
              <w14:schemeClr w14:val="tx1"/>
            </w14:solidFill>
          </w14:textFill>
        </w:rPr>
      </w:pPr>
    </w:p>
    <w:p w14:paraId="1FB5BC9C">
      <w:pPr>
        <w:pStyle w:val="8"/>
        <w:spacing w:after="0" w:line="360" w:lineRule="auto"/>
        <w:rPr>
          <w:rFonts w:hint="eastAsia" w:ascii="宋体" w:hAnsi="宋体"/>
          <w:color w:val="000000" w:themeColor="text1"/>
          <w:szCs w:val="21"/>
          <w:highlight w:val="none"/>
          <w14:textFill>
            <w14:solidFill>
              <w14:schemeClr w14:val="tx1"/>
            </w14:solidFill>
          </w14:textFill>
        </w:rPr>
      </w:pPr>
    </w:p>
    <w:p w14:paraId="1A117C9F">
      <w:pPr>
        <w:pStyle w:val="8"/>
        <w:spacing w:after="0" w:line="360" w:lineRule="auto"/>
        <w:rPr>
          <w:rFonts w:hint="eastAsia" w:ascii="宋体" w:hAnsi="宋体"/>
          <w:color w:val="000000" w:themeColor="text1"/>
          <w:szCs w:val="21"/>
          <w:highlight w:val="none"/>
          <w14:textFill>
            <w14:solidFill>
              <w14:schemeClr w14:val="tx1"/>
            </w14:solidFill>
          </w14:textFill>
        </w:rPr>
      </w:pPr>
    </w:p>
    <w:p w14:paraId="2BE6B256">
      <w:pPr>
        <w:pStyle w:val="8"/>
        <w:spacing w:after="0" w:line="360" w:lineRule="auto"/>
        <w:rPr>
          <w:rFonts w:hint="eastAsia" w:ascii="宋体" w:hAnsi="宋体"/>
          <w:color w:val="000000" w:themeColor="text1"/>
          <w:szCs w:val="21"/>
          <w:highlight w:val="none"/>
          <w14:textFill>
            <w14:solidFill>
              <w14:schemeClr w14:val="tx1"/>
            </w14:solidFill>
          </w14:textFill>
        </w:rPr>
      </w:pPr>
    </w:p>
    <w:p w14:paraId="4C544729">
      <w:pPr>
        <w:autoSpaceDE w:val="0"/>
        <w:autoSpaceDN w:val="0"/>
        <w:adjustRightInd w:val="0"/>
        <w:snapToGrid w:val="0"/>
        <w:spacing w:line="480" w:lineRule="auto"/>
        <w:ind w:firstLine="420" w:firstLineChars="200"/>
        <w:jc w:val="righ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盖单位法人章）</w:t>
      </w:r>
    </w:p>
    <w:p w14:paraId="583AD964">
      <w:pPr>
        <w:autoSpaceDE w:val="0"/>
        <w:autoSpaceDN w:val="0"/>
        <w:adjustRightInd w:val="0"/>
        <w:snapToGrid w:val="0"/>
        <w:spacing w:line="480" w:lineRule="auto"/>
        <w:jc w:val="left"/>
        <w:rPr>
          <w:rFonts w:hint="eastAsia" w:ascii="宋体" w:hAnsi="宋体"/>
          <w:color w:val="000000" w:themeColor="text1"/>
          <w:kern w:val="0"/>
          <w:sz w:val="20"/>
          <w:szCs w:val="20"/>
          <w:highlight w:val="none"/>
          <w14:textFill>
            <w14:solidFill>
              <w14:schemeClr w14:val="tx1"/>
            </w14:solidFill>
          </w14:textFill>
        </w:rPr>
      </w:pPr>
    </w:p>
    <w:p w14:paraId="64B2C7F0">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年月日</w:t>
      </w:r>
    </w:p>
    <w:p w14:paraId="39AD30A2">
      <w:pPr>
        <w:autoSpaceDE w:val="0"/>
        <w:autoSpaceDN w:val="0"/>
        <w:adjustRightInd w:val="0"/>
        <w:snapToGrid w:val="0"/>
        <w:spacing w:line="360" w:lineRule="auto"/>
        <w:jc w:val="left"/>
        <w:rPr>
          <w:rFonts w:hint="eastAsia" w:ascii="宋体" w:hAnsi="宋体"/>
          <w:color w:val="000000" w:themeColor="text1"/>
          <w:kern w:val="0"/>
          <w:highlight w:val="none"/>
          <w14:textFill>
            <w14:solidFill>
              <w14:schemeClr w14:val="tx1"/>
            </w14:solidFill>
          </w14:textFill>
        </w:rPr>
      </w:pPr>
    </w:p>
    <w:p w14:paraId="442F86A6">
      <w:pPr>
        <w:autoSpaceDE w:val="0"/>
        <w:autoSpaceDN w:val="0"/>
        <w:adjustRightInd w:val="0"/>
        <w:snapToGrid w:val="0"/>
        <w:spacing w:line="360" w:lineRule="auto"/>
        <w:jc w:val="left"/>
        <w:rPr>
          <w:rFonts w:hint="eastAsia" w:ascii="宋体" w:hAnsi="宋体"/>
          <w:color w:val="000000" w:themeColor="text1"/>
          <w:kern w:val="0"/>
          <w:highlight w:val="none"/>
          <w14:textFill>
            <w14:solidFill>
              <w14:schemeClr w14:val="tx1"/>
            </w14:solidFill>
          </w14:textFill>
        </w:rPr>
      </w:pPr>
    </w:p>
    <w:p w14:paraId="6E4D794D">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注：法定代表人身份证明需按上述格式填写完整，不可缺少内容。在此基础上增加内容的不影响其有效性。</w:t>
      </w:r>
    </w:p>
    <w:p w14:paraId="2D336780">
      <w:pPr>
        <w:autoSpaceDE w:val="0"/>
        <w:autoSpaceDN w:val="0"/>
        <w:adjustRightInd w:val="0"/>
        <w:snapToGrid w:val="0"/>
        <w:spacing w:line="360" w:lineRule="auto"/>
        <w:jc w:val="left"/>
        <w:rPr>
          <w:rFonts w:hint="eastAsia" w:ascii="宋体" w:hAnsi="宋体"/>
          <w:color w:val="000000" w:themeColor="text1"/>
          <w:kern w:val="0"/>
          <w:highlight w:val="none"/>
          <w14:textFill>
            <w14:solidFill>
              <w14:schemeClr w14:val="tx1"/>
            </w14:solidFill>
          </w14:textFill>
        </w:rPr>
      </w:pPr>
    </w:p>
    <w:p w14:paraId="28165BF7">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olor w:val="000000" w:themeColor="text1"/>
          <w:kern w:val="0"/>
          <w:sz w:val="20"/>
          <w:szCs w:val="20"/>
          <w:highlight w:val="none"/>
          <w14:textFill>
            <w14:solidFill>
              <w14:schemeClr w14:val="tx1"/>
            </w14:solidFill>
          </w14:textFill>
        </w:rPr>
      </w:pPr>
      <w:r>
        <w:rPr>
          <w:rFonts w:ascii="宋体" w:hAnsi="宋体"/>
          <w:b/>
          <w:color w:val="000000" w:themeColor="text1"/>
          <w:kern w:val="0"/>
          <w:sz w:val="28"/>
          <w:szCs w:val="28"/>
          <w:highlight w:val="none"/>
          <w14:textFill>
            <w14:solidFill>
              <w14:schemeClr w14:val="tx1"/>
            </w14:solidFill>
          </w14:textFill>
        </w:rPr>
        <w:br w:type="page"/>
      </w:r>
      <w:r>
        <w:rPr>
          <w:rFonts w:ascii="宋体" w:hAnsi="宋体"/>
          <w:snapToGrid w:val="0"/>
          <w:color w:val="000000" w:themeColor="text1"/>
          <w:kern w:val="0"/>
          <w:sz w:val="32"/>
          <w:szCs w:val="32"/>
          <w:highlight w:val="none"/>
          <w14:textFill>
            <w14:solidFill>
              <w14:schemeClr w14:val="tx1"/>
            </w14:solidFill>
          </w14:textFill>
        </w:rPr>
        <w:t>授权委托书</w:t>
      </w:r>
    </w:p>
    <w:p w14:paraId="7CD2CAA0">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系</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spacing w:val="-1"/>
          <w:kern w:val="0"/>
          <w:szCs w:val="21"/>
          <w:highlight w:val="none"/>
          <w:u w:val="single"/>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spacing w:val="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ascii="宋体" w:hAnsi="宋体"/>
          <w:color w:val="000000" w:themeColor="text1"/>
          <w:kern w:val="0"/>
          <w:szCs w:val="21"/>
          <w:highlight w:val="none"/>
          <w:u w:val="single"/>
          <w14:textFill>
            <w14:solidFill>
              <w14:schemeClr w14:val="tx1"/>
            </w14:solidFill>
          </w14:textFill>
        </w:rPr>
        <w:t>（项</w:t>
      </w:r>
      <w:r>
        <w:rPr>
          <w:rFonts w:ascii="宋体" w:hAnsi="宋体"/>
          <w:color w:val="000000" w:themeColor="text1"/>
          <w:spacing w:val="-1"/>
          <w:kern w:val="0"/>
          <w:szCs w:val="21"/>
          <w:highlight w:val="none"/>
          <w:u w:val="single"/>
          <w14:textFill>
            <w14:solidFill>
              <w14:schemeClr w14:val="tx1"/>
            </w14:solidFill>
          </w14:textFill>
        </w:rPr>
        <w:t>目</w:t>
      </w:r>
      <w:r>
        <w:rPr>
          <w:rFonts w:ascii="宋体" w:hAnsi="宋体"/>
          <w:color w:val="000000" w:themeColor="text1"/>
          <w:kern w:val="0"/>
          <w:szCs w:val="21"/>
          <w:highlight w:val="none"/>
          <w:u w:val="single"/>
          <w14:textFill>
            <w14:solidFill>
              <w14:schemeClr w14:val="tx1"/>
            </w14:solidFill>
          </w14:textFill>
        </w:rPr>
        <w:t>名称）</w:t>
      </w:r>
      <w:r>
        <w:rPr>
          <w:rFonts w:hint="eastAsia" w:ascii="宋体" w:hAnsi="宋体"/>
          <w:color w:val="000000" w:themeColor="text1"/>
          <w:kern w:val="0"/>
          <w:szCs w:val="21"/>
          <w:highlight w:val="none"/>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、签订合同和处理有关事宜， 其法律后果由我方承担。</w:t>
      </w:r>
    </w:p>
    <w:p w14:paraId="3DB4494C">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 xml:space="preserve">限：。 </w:t>
      </w:r>
    </w:p>
    <w:p w14:paraId="486CB51C">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14:paraId="0D6CDE79">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000000" w:themeColor="text1"/>
          <w:kern w:val="0"/>
          <w:szCs w:val="21"/>
          <w:highlight w:val="none"/>
          <w14:textFill>
            <w14:solidFill>
              <w14:schemeClr w14:val="tx1"/>
            </w14:solidFill>
          </w14:textFill>
        </w:rPr>
      </w:pPr>
    </w:p>
    <w:p w14:paraId="249F7FA1">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人：（</w:t>
      </w:r>
      <w:r>
        <w:rPr>
          <w:rFonts w:ascii="宋体" w:hAnsi="宋体"/>
          <w:color w:val="000000" w:themeColor="text1"/>
          <w:spacing w:val="-1"/>
          <w:kern w:val="0"/>
          <w:szCs w:val="21"/>
          <w:highlight w:val="none"/>
          <w14:textFill>
            <w14:solidFill>
              <w14:schemeClr w14:val="tx1"/>
            </w14:solidFill>
          </w14:textFill>
        </w:rPr>
        <w:t>盖单位法人章</w:t>
      </w:r>
      <w:r>
        <w:rPr>
          <w:rFonts w:ascii="宋体" w:hAnsi="宋体"/>
          <w:color w:val="000000" w:themeColor="text1"/>
          <w:kern w:val="0"/>
          <w:szCs w:val="21"/>
          <w:highlight w:val="none"/>
          <w14:textFill>
            <w14:solidFill>
              <w14:schemeClr w14:val="tx1"/>
            </w14:solidFill>
          </w14:textFill>
        </w:rPr>
        <w:t>）</w:t>
      </w:r>
    </w:p>
    <w:p w14:paraId="15F01BC2">
      <w:pPr>
        <w:tabs>
          <w:tab w:val="left" w:pos="6300"/>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376593E7">
      <w:pPr>
        <w:tabs>
          <w:tab w:val="left" w:pos="5260"/>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p>
    <w:p w14:paraId="4EE7E81F">
      <w:pPr>
        <w:tabs>
          <w:tab w:val="left" w:pos="5260"/>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w:t>
      </w:r>
    </w:p>
    <w:p w14:paraId="31C0D9FC">
      <w:pPr>
        <w:tabs>
          <w:tab w:val="left" w:pos="6825"/>
        </w:tabs>
        <w:autoSpaceDE w:val="0"/>
        <w:autoSpaceDN w:val="0"/>
        <w:adjustRightInd w:val="0"/>
        <w:snapToGrid w:val="0"/>
        <w:spacing w:line="480" w:lineRule="auto"/>
        <w:ind w:firstLine="420" w:firstLineChars="200"/>
        <w:jc w:val="left"/>
        <w:rPr>
          <w:rFonts w:hint="eastAsia" w:ascii="宋体" w:hAnsi="宋体"/>
          <w:color w:val="000000" w:themeColor="text1"/>
          <w:w w:val="200"/>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p>
    <w:p w14:paraId="4E776187">
      <w:pPr>
        <w:tabs>
          <w:tab w:val="left" w:pos="6825"/>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单位电话（座机）：</w:t>
      </w:r>
      <w:r>
        <w:rPr>
          <w:rFonts w:hint="eastAsia" w:ascii="宋体" w:hAnsi="宋体"/>
          <w:color w:val="000000" w:themeColor="text1"/>
          <w:kern w:val="0"/>
          <w:szCs w:val="21"/>
          <w:highlight w:val="none"/>
          <w:u w:val="single"/>
          <w14:textFill>
            <w14:solidFill>
              <w14:schemeClr w14:val="tx1"/>
            </w14:solidFill>
          </w14:textFill>
        </w:rPr>
        <w:t xml:space="preserve">                              </w:t>
      </w:r>
    </w:p>
    <w:p w14:paraId="54E54EBC">
      <w:pPr>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委托代理人电话（手机）：                                          </w:t>
      </w:r>
    </w:p>
    <w:p w14:paraId="7C0A6234">
      <w:pPr>
        <w:autoSpaceDE w:val="0"/>
        <w:autoSpaceDN w:val="0"/>
        <w:adjustRightInd w:val="0"/>
        <w:snapToGrid w:val="0"/>
        <w:spacing w:line="480" w:lineRule="auto"/>
        <w:ind w:firstLine="810" w:firstLineChars="386"/>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附：法定代表人和委托代理人身份证复印件（双面）</w:t>
      </w:r>
    </w:p>
    <w:p w14:paraId="356651EA">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31613C93">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7A5DA093">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74E62B0C">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3D0E711B">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6E15FB7D">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5C5DCCB7">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15836E50">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年月日</w:t>
      </w:r>
    </w:p>
    <w:p w14:paraId="6E2BA0C4">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kern w:val="0"/>
          <w:szCs w:val="21"/>
          <w:highlight w:val="none"/>
          <w14:textFill>
            <w14:solidFill>
              <w14:schemeClr w14:val="tx1"/>
            </w14:solidFill>
          </w14:textFill>
        </w:rPr>
      </w:pPr>
    </w:p>
    <w:p w14:paraId="1AC377C4">
      <w:pPr>
        <w:tabs>
          <w:tab w:val="left" w:pos="4005"/>
          <w:tab w:val="left" w:pos="4100"/>
          <w:tab w:val="left" w:pos="5040"/>
        </w:tabs>
        <w:autoSpaceDE w:val="0"/>
        <w:autoSpaceDN w:val="0"/>
        <w:adjustRightInd w:val="0"/>
        <w:snapToGrid w:val="0"/>
        <w:spacing w:line="36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p>
    <w:p w14:paraId="57D657B8">
      <w:pPr>
        <w:tabs>
          <w:tab w:val="left" w:pos="5760"/>
        </w:tabs>
        <w:autoSpaceDE w:val="0"/>
        <w:autoSpaceDN w:val="0"/>
        <w:adjustRightInd w:val="0"/>
        <w:spacing w:line="36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2、法定代表人身份证明及授权委托书原件装入</w:t>
      </w:r>
      <w:r>
        <w:rPr>
          <w:rFonts w:hint="eastAsia" w:ascii="宋体" w:hAnsi="宋体"/>
          <w:color w:val="000000" w:themeColor="text1"/>
          <w:kern w:val="0"/>
          <w:szCs w:val="21"/>
          <w:highlight w:val="none"/>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一并递交。另外须准备一份授权委托书原件在开标现场出具。</w:t>
      </w:r>
    </w:p>
    <w:p w14:paraId="54F00C8D">
      <w:pPr>
        <w:spacing w:line="360" w:lineRule="auto"/>
        <w:ind w:firstLine="420" w:firstLineChars="200"/>
        <w:jc w:val="lef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授权委托书</w:t>
      </w:r>
      <w:r>
        <w:rPr>
          <w:rFonts w:ascii="宋体" w:hAnsi="宋体"/>
          <w:color w:val="000000" w:themeColor="text1"/>
          <w:highlight w:val="none"/>
          <w14:textFill>
            <w14:solidFill>
              <w14:schemeClr w14:val="tx1"/>
            </w14:solidFill>
          </w14:textFill>
        </w:rPr>
        <w:t>需按上述格式填写完整，不可缺少内容。在此基础上增加内容的不影响其有效性。</w:t>
      </w:r>
    </w:p>
    <w:p w14:paraId="181E6DD8">
      <w:pPr>
        <w:jc w:val="center"/>
        <w:outlineLvl w:val="1"/>
        <w:rPr>
          <w:rFonts w:hint="eastAsia"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二、</w:t>
      </w:r>
      <w:r>
        <w:rPr>
          <w:rFonts w:hint="eastAsia" w:ascii="宋体" w:hAnsi="宋体"/>
          <w:color w:val="000000" w:themeColor="text1"/>
          <w:sz w:val="44"/>
          <w:szCs w:val="44"/>
          <w:highlight w:val="none"/>
          <w14:textFill>
            <w14:solidFill>
              <w14:schemeClr w14:val="tx1"/>
            </w14:solidFill>
          </w14:textFill>
        </w:rPr>
        <w:t>技术部分</w:t>
      </w:r>
    </w:p>
    <w:p w14:paraId="6268AB2B">
      <w:pPr>
        <w:pStyle w:val="8"/>
        <w:rPr>
          <w:rFonts w:hint="eastAsia" w:ascii="宋体" w:hAnsi="宋体"/>
          <w:b/>
          <w:color w:val="000000" w:themeColor="text1"/>
          <w:sz w:val="44"/>
          <w:szCs w:val="44"/>
          <w:highlight w:val="none"/>
          <w14:textFill>
            <w14:solidFill>
              <w14:schemeClr w14:val="tx1"/>
            </w14:solidFill>
          </w14:textFill>
        </w:rPr>
      </w:pPr>
    </w:p>
    <w:p w14:paraId="647B7732">
      <w:pPr>
        <w:spacing w:line="360" w:lineRule="auto"/>
        <w:jc w:val="center"/>
        <w:rPr>
          <w:rFonts w:hint="eastAsia"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2"/>
          <w:szCs w:val="32"/>
          <w:highlight w:val="none"/>
          <w:u w:val="single"/>
          <w14:textFill>
            <w14:solidFill>
              <w14:schemeClr w14:val="tx1"/>
            </w14:solidFill>
          </w14:textFill>
        </w:rPr>
        <w:t xml:space="preserve">                   （项目名称）</w:t>
      </w:r>
    </w:p>
    <w:p w14:paraId="6F98AC8D">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4F2092EF">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2FB1C274">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517D97A2">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5A2F043B">
      <w:pPr>
        <w:tabs>
          <w:tab w:val="left" w:pos="3600"/>
          <w:tab w:val="left" w:pos="4480"/>
          <w:tab w:val="left" w:pos="5360"/>
        </w:tabs>
        <w:autoSpaceDE w:val="0"/>
        <w:autoSpaceDN w:val="0"/>
        <w:adjustRightInd w:val="0"/>
        <w:snapToGrid w:val="0"/>
        <w:spacing w:line="360" w:lineRule="auto"/>
        <w:jc w:val="center"/>
        <w:rPr>
          <w:rFonts w:hint="eastAsia"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投 标 文 件</w:t>
      </w:r>
    </w:p>
    <w:p w14:paraId="58C2383A">
      <w:pPr>
        <w:autoSpaceDE w:val="0"/>
        <w:autoSpaceDN w:val="0"/>
        <w:adjustRightInd w:val="0"/>
        <w:snapToGrid w:val="0"/>
        <w:spacing w:line="360" w:lineRule="auto"/>
        <w:jc w:val="left"/>
        <w:rPr>
          <w:rFonts w:hint="eastAsia" w:ascii="宋体" w:hAnsi="宋体"/>
          <w:color w:val="000000" w:themeColor="text1"/>
          <w:kern w:val="0"/>
          <w:sz w:val="16"/>
          <w:szCs w:val="16"/>
          <w:highlight w:val="none"/>
          <w14:textFill>
            <w14:solidFill>
              <w14:schemeClr w14:val="tx1"/>
            </w14:solidFill>
          </w14:textFill>
        </w:rPr>
      </w:pPr>
    </w:p>
    <w:p w14:paraId="2DF3FF62">
      <w:pPr>
        <w:autoSpaceDE w:val="0"/>
        <w:autoSpaceDN w:val="0"/>
        <w:adjustRightInd w:val="0"/>
        <w:snapToGrid w:val="0"/>
        <w:spacing w:line="360" w:lineRule="auto"/>
        <w:jc w:val="center"/>
        <w:rPr>
          <w:rFonts w:hint="eastAsia"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技术部分</w:t>
      </w:r>
    </w:p>
    <w:p w14:paraId="0499252D">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0233E945">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1C88BF34">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451BFE24">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5DF18A29">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164E33FE">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512D5CBB">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544B5A62">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69D74361">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0240E205">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0E2B7E03">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358DE24E">
      <w:pPr>
        <w:tabs>
          <w:tab w:val="left" w:pos="6080"/>
          <w:tab w:val="left" w:pos="6640"/>
        </w:tabs>
        <w:autoSpaceDE w:val="0"/>
        <w:autoSpaceDN w:val="0"/>
        <w:adjustRightInd w:val="0"/>
        <w:snapToGrid w:val="0"/>
        <w:spacing w:after="158" w:afterLines="50" w:line="360" w:lineRule="auto"/>
        <w:jc w:val="center"/>
        <w:rPr>
          <w:rFonts w:hint="eastAsia"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14:textFill>
            <w14:solidFill>
              <w14:schemeClr w14:val="tx1"/>
            </w14:solidFill>
          </w14:textFill>
        </w:rPr>
        <w:t>竞选人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（盖单位法人章）</w:t>
      </w:r>
    </w:p>
    <w:p w14:paraId="1F2F9112">
      <w:pPr>
        <w:tabs>
          <w:tab w:val="left" w:pos="6080"/>
          <w:tab w:val="left" w:pos="6640"/>
        </w:tabs>
        <w:autoSpaceDE w:val="0"/>
        <w:autoSpaceDN w:val="0"/>
        <w:adjustRightInd w:val="0"/>
        <w:snapToGrid w:val="0"/>
        <w:spacing w:after="158" w:afterLines="50" w:line="360" w:lineRule="auto"/>
        <w:jc w:val="center"/>
        <w:rPr>
          <w:rFonts w:hint="eastAsia"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w:t>
      </w:r>
      <w:r>
        <w:rPr>
          <w:rFonts w:hint="eastAsia" w:ascii="宋体" w:hAnsi="宋体"/>
          <w:color w:val="000000" w:themeColor="text1"/>
          <w:w w:val="99"/>
          <w:kern w:val="0"/>
          <w:sz w:val="28"/>
          <w:szCs w:val="28"/>
          <w:highlight w:val="none"/>
          <w14:textFill>
            <w14:solidFill>
              <w14:schemeClr w14:val="tx1"/>
            </w14:solidFill>
          </w14:textFill>
        </w:rPr>
        <w:t>签名</w:t>
      </w:r>
      <w:r>
        <w:rPr>
          <w:rFonts w:ascii="宋体" w:hAnsi="宋体"/>
          <w:color w:val="000000" w:themeColor="text1"/>
          <w:w w:val="99"/>
          <w:kern w:val="0"/>
          <w:sz w:val="28"/>
          <w:szCs w:val="28"/>
          <w:highlight w:val="none"/>
          <w14:textFill>
            <w14:solidFill>
              <w14:schemeClr w14:val="tx1"/>
            </w14:solidFill>
          </w14:textFill>
        </w:rPr>
        <w:t>或盖章）</w:t>
      </w:r>
    </w:p>
    <w:p w14:paraId="7EDD24FE">
      <w:pPr>
        <w:autoSpaceDE w:val="0"/>
        <w:autoSpaceDN w:val="0"/>
        <w:adjustRightInd w:val="0"/>
        <w:snapToGrid w:val="0"/>
        <w:spacing w:line="360" w:lineRule="auto"/>
        <w:ind w:firstLine="554"/>
        <w:jc w:val="center"/>
        <w:rPr>
          <w:rFonts w:hint="eastAsia"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14:textFill>
            <w14:solidFill>
              <w14:schemeClr w14:val="tx1"/>
            </w14:solidFill>
          </w14:textFill>
        </w:rPr>
        <w:t>年月日</w:t>
      </w:r>
    </w:p>
    <w:p w14:paraId="04E13317">
      <w:pPr>
        <w:pStyle w:val="8"/>
        <w:rPr>
          <w:rFonts w:hint="eastAsia" w:ascii="宋体" w:hAnsi="宋体"/>
          <w:b/>
          <w:color w:val="000000" w:themeColor="text1"/>
          <w:sz w:val="44"/>
          <w:szCs w:val="44"/>
          <w:highlight w:val="none"/>
          <w14:textFill>
            <w14:solidFill>
              <w14:schemeClr w14:val="tx1"/>
            </w14:solidFill>
          </w14:textFill>
        </w:rPr>
      </w:pPr>
    </w:p>
    <w:p w14:paraId="4E71B4EC">
      <w:pPr>
        <w:autoSpaceDE w:val="0"/>
        <w:autoSpaceDN w:val="0"/>
        <w:adjustRightInd w:val="0"/>
        <w:snapToGrid w:val="0"/>
        <w:spacing w:line="360" w:lineRule="auto"/>
        <w:jc w:val="center"/>
        <w:rPr>
          <w:rFonts w:hint="eastAsia"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14:paraId="7B36AB15">
      <w:pPr>
        <w:autoSpaceDE w:val="0"/>
        <w:autoSpaceDN w:val="0"/>
        <w:adjustRightInd w:val="0"/>
        <w:snapToGrid w:val="0"/>
        <w:spacing w:line="360" w:lineRule="auto"/>
        <w:jc w:val="left"/>
        <w:rPr>
          <w:rFonts w:hint="eastAsia" w:ascii="宋体" w:hAnsi="宋体"/>
          <w:color w:val="000000" w:themeColor="text1"/>
          <w:kern w:val="0"/>
          <w:sz w:val="32"/>
          <w:szCs w:val="32"/>
          <w:highlight w:val="none"/>
          <w14:textFill>
            <w14:solidFill>
              <w14:schemeClr w14:val="tx1"/>
            </w14:solidFill>
          </w14:textFill>
        </w:rPr>
      </w:pPr>
    </w:p>
    <w:p w14:paraId="7B4E2D4D">
      <w:pPr>
        <w:autoSpaceDE w:val="0"/>
        <w:autoSpaceDN w:val="0"/>
        <w:adjustRightInd w:val="0"/>
        <w:snapToGrid w:val="0"/>
        <w:spacing w:line="360" w:lineRule="auto"/>
        <w:jc w:val="center"/>
        <w:rPr>
          <w:rFonts w:hint="eastAsia" w:ascii="宋体" w:hAnsi="宋体"/>
          <w:i/>
          <w:iCs/>
          <w:color w:val="000000" w:themeColor="text1"/>
          <w:kern w:val="0"/>
          <w:szCs w:val="21"/>
          <w:highlight w:val="none"/>
          <w14:textFill>
            <w14:solidFill>
              <w14:schemeClr w14:val="tx1"/>
            </w14:solidFill>
          </w14:textFill>
        </w:rPr>
      </w:pPr>
      <w:r>
        <w:rPr>
          <w:rFonts w:ascii="宋体" w:hAnsi="宋体"/>
          <w:i/>
          <w:iCs/>
          <w:color w:val="000000" w:themeColor="text1"/>
          <w:kern w:val="0"/>
          <w:szCs w:val="21"/>
          <w:highlight w:val="none"/>
          <w14:textFill>
            <w14:solidFill>
              <w14:schemeClr w14:val="tx1"/>
            </w14:solidFill>
          </w14:textFill>
        </w:rPr>
        <w:t>[</w:t>
      </w:r>
      <w:r>
        <w:rPr>
          <w:rFonts w:hint="eastAsia" w:ascii="宋体" w:hAnsi="宋体"/>
          <w:i/>
          <w:iCs/>
          <w:color w:val="000000" w:themeColor="text1"/>
          <w:kern w:val="0"/>
          <w:szCs w:val="21"/>
          <w:highlight w:val="none"/>
          <w14:textFill>
            <w14:solidFill>
              <w14:schemeClr w14:val="tx1"/>
            </w14:solidFill>
          </w14:textFill>
        </w:rPr>
        <w:t>提示：</w:t>
      </w:r>
      <w:r>
        <w:rPr>
          <w:rFonts w:ascii="宋体" w:hAnsi="宋体"/>
          <w:i/>
          <w:iCs/>
          <w:color w:val="000000" w:themeColor="text1"/>
          <w:kern w:val="0"/>
          <w:szCs w:val="21"/>
          <w:highlight w:val="none"/>
          <w14:textFill>
            <w14:solidFill>
              <w14:schemeClr w14:val="tx1"/>
            </w14:solidFill>
          </w14:textFill>
        </w:rPr>
        <w:t>目录由</w:t>
      </w:r>
      <w:r>
        <w:rPr>
          <w:rFonts w:hint="eastAsia" w:ascii="宋体" w:hAnsi="宋体"/>
          <w:i/>
          <w:iCs/>
          <w:color w:val="000000" w:themeColor="text1"/>
          <w:kern w:val="0"/>
          <w:szCs w:val="21"/>
          <w:highlight w:val="none"/>
          <w14:textFill>
            <w14:solidFill>
              <w14:schemeClr w14:val="tx1"/>
            </w14:solidFill>
          </w14:textFill>
        </w:rPr>
        <w:t>竞选人</w:t>
      </w:r>
      <w:r>
        <w:rPr>
          <w:rFonts w:ascii="宋体" w:hAnsi="宋体"/>
          <w:i/>
          <w:iCs/>
          <w:color w:val="000000" w:themeColor="text1"/>
          <w:kern w:val="0"/>
          <w:szCs w:val="21"/>
          <w:highlight w:val="none"/>
          <w14:textFill>
            <w14:solidFill>
              <w14:schemeClr w14:val="tx1"/>
            </w14:solidFill>
          </w14:textFill>
        </w:rPr>
        <w:t>自行编制]</w:t>
      </w:r>
    </w:p>
    <w:p w14:paraId="012CD9BD">
      <w:pPr>
        <w:autoSpaceDE w:val="0"/>
        <w:autoSpaceDN w:val="0"/>
        <w:adjustRightInd w:val="0"/>
        <w:snapToGrid w:val="0"/>
        <w:spacing w:line="360" w:lineRule="auto"/>
        <w:jc w:val="left"/>
        <w:rPr>
          <w:rFonts w:hint="eastAsia" w:ascii="宋体" w:hAnsi="宋体"/>
          <w:color w:val="000000" w:themeColor="text1"/>
          <w:w w:val="99"/>
          <w:kern w:val="0"/>
          <w:sz w:val="28"/>
          <w:szCs w:val="28"/>
          <w:highlight w:val="none"/>
          <w14:textFill>
            <w14:solidFill>
              <w14:schemeClr w14:val="tx1"/>
            </w14:solidFill>
          </w14:textFill>
        </w:rPr>
      </w:pPr>
    </w:p>
    <w:p w14:paraId="30A9D764">
      <w:pPr>
        <w:rPr>
          <w:rFonts w:hint="eastAsia" w:ascii="宋体" w:hAnsi="宋体"/>
          <w:color w:val="000000" w:themeColor="text1"/>
          <w:highlight w:val="none"/>
          <w14:textFill>
            <w14:solidFill>
              <w14:schemeClr w14:val="tx1"/>
            </w14:solidFill>
          </w14:textFill>
        </w:rPr>
      </w:pPr>
    </w:p>
    <w:p w14:paraId="7EB8E5DA">
      <w:pPr>
        <w:pStyle w:val="8"/>
        <w:rPr>
          <w:rFonts w:hint="eastAsia" w:ascii="宋体" w:hAnsi="宋体"/>
          <w:color w:val="000000" w:themeColor="text1"/>
          <w:highlight w:val="none"/>
          <w14:textFill>
            <w14:solidFill>
              <w14:schemeClr w14:val="tx1"/>
            </w14:solidFill>
          </w14:textFill>
        </w:rPr>
      </w:pPr>
    </w:p>
    <w:p w14:paraId="1656CF53">
      <w:pPr>
        <w:rPr>
          <w:rFonts w:hint="eastAsia" w:ascii="宋体" w:hAnsi="宋体"/>
          <w:color w:val="000000" w:themeColor="text1"/>
          <w:highlight w:val="none"/>
          <w14:textFill>
            <w14:solidFill>
              <w14:schemeClr w14:val="tx1"/>
            </w14:solidFill>
          </w14:textFill>
        </w:rPr>
      </w:pPr>
    </w:p>
    <w:p w14:paraId="1B5C6D69">
      <w:pPr>
        <w:pStyle w:val="8"/>
        <w:rPr>
          <w:rFonts w:hint="eastAsia" w:ascii="宋体" w:hAnsi="宋体"/>
          <w:color w:val="000000" w:themeColor="text1"/>
          <w:highlight w:val="none"/>
          <w14:textFill>
            <w14:solidFill>
              <w14:schemeClr w14:val="tx1"/>
            </w14:solidFill>
          </w14:textFill>
        </w:rPr>
      </w:pPr>
    </w:p>
    <w:p w14:paraId="43DE08D8">
      <w:pPr>
        <w:rPr>
          <w:rFonts w:hint="eastAsia" w:ascii="宋体" w:hAnsi="宋体"/>
          <w:color w:val="000000" w:themeColor="text1"/>
          <w:highlight w:val="none"/>
          <w14:textFill>
            <w14:solidFill>
              <w14:schemeClr w14:val="tx1"/>
            </w14:solidFill>
          </w14:textFill>
        </w:rPr>
      </w:pPr>
    </w:p>
    <w:p w14:paraId="38062D0C">
      <w:pPr>
        <w:pStyle w:val="8"/>
        <w:rPr>
          <w:rFonts w:hint="eastAsia" w:ascii="宋体" w:hAnsi="宋体"/>
          <w:color w:val="000000" w:themeColor="text1"/>
          <w:highlight w:val="none"/>
          <w14:textFill>
            <w14:solidFill>
              <w14:schemeClr w14:val="tx1"/>
            </w14:solidFill>
          </w14:textFill>
        </w:rPr>
      </w:pPr>
    </w:p>
    <w:p w14:paraId="5FFAF262">
      <w:pPr>
        <w:rPr>
          <w:rFonts w:hint="eastAsia" w:ascii="宋体" w:hAnsi="宋体"/>
          <w:color w:val="000000" w:themeColor="text1"/>
          <w:highlight w:val="none"/>
          <w14:textFill>
            <w14:solidFill>
              <w14:schemeClr w14:val="tx1"/>
            </w14:solidFill>
          </w14:textFill>
        </w:rPr>
      </w:pPr>
    </w:p>
    <w:p w14:paraId="39318F51">
      <w:pPr>
        <w:pStyle w:val="8"/>
        <w:rPr>
          <w:rFonts w:hint="eastAsia" w:ascii="宋体" w:hAnsi="宋体"/>
          <w:color w:val="000000" w:themeColor="text1"/>
          <w:highlight w:val="none"/>
          <w14:textFill>
            <w14:solidFill>
              <w14:schemeClr w14:val="tx1"/>
            </w14:solidFill>
          </w14:textFill>
        </w:rPr>
      </w:pPr>
    </w:p>
    <w:p w14:paraId="3D53D79D">
      <w:pPr>
        <w:rPr>
          <w:rFonts w:hint="eastAsia" w:ascii="宋体" w:hAnsi="宋体"/>
          <w:color w:val="000000" w:themeColor="text1"/>
          <w:highlight w:val="none"/>
          <w14:textFill>
            <w14:solidFill>
              <w14:schemeClr w14:val="tx1"/>
            </w14:solidFill>
          </w14:textFill>
        </w:rPr>
      </w:pPr>
    </w:p>
    <w:p w14:paraId="54837CEC">
      <w:pPr>
        <w:pStyle w:val="8"/>
        <w:rPr>
          <w:rFonts w:hint="eastAsia" w:ascii="宋体" w:hAnsi="宋体"/>
          <w:color w:val="000000" w:themeColor="text1"/>
          <w:highlight w:val="none"/>
          <w14:textFill>
            <w14:solidFill>
              <w14:schemeClr w14:val="tx1"/>
            </w14:solidFill>
          </w14:textFill>
        </w:rPr>
      </w:pPr>
    </w:p>
    <w:p w14:paraId="535C503C">
      <w:pPr>
        <w:rPr>
          <w:rFonts w:hint="eastAsia" w:ascii="宋体" w:hAnsi="宋体"/>
          <w:color w:val="000000" w:themeColor="text1"/>
          <w:highlight w:val="none"/>
          <w14:textFill>
            <w14:solidFill>
              <w14:schemeClr w14:val="tx1"/>
            </w14:solidFill>
          </w14:textFill>
        </w:rPr>
      </w:pPr>
    </w:p>
    <w:p w14:paraId="177EFA39">
      <w:pPr>
        <w:pStyle w:val="8"/>
        <w:rPr>
          <w:rFonts w:hint="eastAsia" w:ascii="宋体" w:hAnsi="宋体"/>
          <w:color w:val="000000" w:themeColor="text1"/>
          <w:highlight w:val="none"/>
          <w14:textFill>
            <w14:solidFill>
              <w14:schemeClr w14:val="tx1"/>
            </w14:solidFill>
          </w14:textFill>
        </w:rPr>
      </w:pPr>
    </w:p>
    <w:p w14:paraId="7D5209CF">
      <w:pPr>
        <w:rPr>
          <w:rFonts w:hint="eastAsia" w:ascii="宋体" w:hAnsi="宋体"/>
          <w:color w:val="000000" w:themeColor="text1"/>
          <w:highlight w:val="none"/>
          <w14:textFill>
            <w14:solidFill>
              <w14:schemeClr w14:val="tx1"/>
            </w14:solidFill>
          </w14:textFill>
        </w:rPr>
      </w:pPr>
    </w:p>
    <w:p w14:paraId="4F4F57BD">
      <w:pPr>
        <w:pStyle w:val="8"/>
        <w:rPr>
          <w:rFonts w:hint="eastAsia" w:ascii="宋体" w:hAnsi="宋体"/>
          <w:color w:val="000000" w:themeColor="text1"/>
          <w:highlight w:val="none"/>
          <w14:textFill>
            <w14:solidFill>
              <w14:schemeClr w14:val="tx1"/>
            </w14:solidFill>
          </w14:textFill>
        </w:rPr>
      </w:pPr>
    </w:p>
    <w:p w14:paraId="31E5CC25">
      <w:pPr>
        <w:rPr>
          <w:rFonts w:hint="eastAsia" w:ascii="宋体" w:hAnsi="宋体"/>
          <w:color w:val="000000" w:themeColor="text1"/>
          <w:highlight w:val="none"/>
          <w14:textFill>
            <w14:solidFill>
              <w14:schemeClr w14:val="tx1"/>
            </w14:solidFill>
          </w14:textFill>
        </w:rPr>
      </w:pPr>
    </w:p>
    <w:p w14:paraId="57D58327">
      <w:pPr>
        <w:pStyle w:val="8"/>
        <w:rPr>
          <w:rFonts w:hint="eastAsia" w:ascii="宋体" w:hAnsi="宋体"/>
          <w:color w:val="000000" w:themeColor="text1"/>
          <w:highlight w:val="none"/>
          <w14:textFill>
            <w14:solidFill>
              <w14:schemeClr w14:val="tx1"/>
            </w14:solidFill>
          </w14:textFill>
        </w:rPr>
      </w:pPr>
    </w:p>
    <w:p w14:paraId="35155599">
      <w:pPr>
        <w:rPr>
          <w:rFonts w:hint="eastAsia" w:ascii="宋体" w:hAnsi="宋体"/>
          <w:color w:val="000000" w:themeColor="text1"/>
          <w:highlight w:val="none"/>
          <w14:textFill>
            <w14:solidFill>
              <w14:schemeClr w14:val="tx1"/>
            </w14:solidFill>
          </w14:textFill>
        </w:rPr>
      </w:pPr>
    </w:p>
    <w:p w14:paraId="0E818DAD">
      <w:pPr>
        <w:pStyle w:val="8"/>
        <w:rPr>
          <w:rFonts w:hint="eastAsia" w:ascii="宋体" w:hAnsi="宋体"/>
          <w:color w:val="000000" w:themeColor="text1"/>
          <w:highlight w:val="none"/>
          <w14:textFill>
            <w14:solidFill>
              <w14:schemeClr w14:val="tx1"/>
            </w14:solidFill>
          </w14:textFill>
        </w:rPr>
      </w:pPr>
    </w:p>
    <w:p w14:paraId="1B24D714">
      <w:pPr>
        <w:rPr>
          <w:rFonts w:hint="eastAsia" w:ascii="宋体" w:hAnsi="宋体"/>
          <w:color w:val="000000" w:themeColor="text1"/>
          <w:highlight w:val="none"/>
          <w14:textFill>
            <w14:solidFill>
              <w14:schemeClr w14:val="tx1"/>
            </w14:solidFill>
          </w14:textFill>
        </w:rPr>
      </w:pPr>
    </w:p>
    <w:p w14:paraId="6F5BDAB4">
      <w:pPr>
        <w:pStyle w:val="8"/>
        <w:rPr>
          <w:rFonts w:hint="eastAsia" w:ascii="宋体" w:hAnsi="宋体"/>
          <w:color w:val="000000" w:themeColor="text1"/>
          <w:highlight w:val="none"/>
          <w14:textFill>
            <w14:solidFill>
              <w14:schemeClr w14:val="tx1"/>
            </w14:solidFill>
          </w14:textFill>
        </w:rPr>
      </w:pPr>
    </w:p>
    <w:p w14:paraId="31E20D53">
      <w:pPr>
        <w:rPr>
          <w:rFonts w:hint="eastAsia" w:ascii="宋体" w:hAnsi="宋体"/>
          <w:color w:val="000000" w:themeColor="text1"/>
          <w:highlight w:val="none"/>
          <w14:textFill>
            <w14:solidFill>
              <w14:schemeClr w14:val="tx1"/>
            </w14:solidFill>
          </w14:textFill>
        </w:rPr>
      </w:pPr>
    </w:p>
    <w:p w14:paraId="4825EC37">
      <w:pPr>
        <w:rPr>
          <w:rFonts w:hint="eastAsia" w:ascii="宋体" w:hAnsi="宋体"/>
          <w:color w:val="000000" w:themeColor="text1"/>
          <w:highlight w:val="none"/>
          <w14:textFill>
            <w14:solidFill>
              <w14:schemeClr w14:val="tx1"/>
            </w14:solidFill>
          </w14:textFill>
        </w:rPr>
      </w:pPr>
    </w:p>
    <w:p w14:paraId="71E3C342">
      <w:pPr>
        <w:pStyle w:val="8"/>
        <w:rPr>
          <w:rFonts w:hint="eastAsia" w:ascii="宋体" w:hAnsi="宋体"/>
          <w:color w:val="000000" w:themeColor="text1"/>
          <w:highlight w:val="none"/>
          <w14:textFill>
            <w14:solidFill>
              <w14:schemeClr w14:val="tx1"/>
            </w14:solidFill>
          </w14:textFill>
        </w:rPr>
      </w:pPr>
    </w:p>
    <w:p w14:paraId="49C6AD8B">
      <w:pPr>
        <w:rPr>
          <w:rFonts w:hint="eastAsia" w:ascii="宋体" w:hAnsi="宋体"/>
          <w:color w:val="000000" w:themeColor="text1"/>
          <w:highlight w:val="none"/>
          <w14:textFill>
            <w14:solidFill>
              <w14:schemeClr w14:val="tx1"/>
            </w14:solidFill>
          </w14:textFill>
        </w:rPr>
      </w:pPr>
    </w:p>
    <w:p w14:paraId="65FC7CFE">
      <w:pPr>
        <w:pStyle w:val="8"/>
        <w:rPr>
          <w:rFonts w:hint="eastAsia" w:ascii="宋体" w:hAnsi="宋体"/>
          <w:color w:val="000000" w:themeColor="text1"/>
          <w:highlight w:val="none"/>
          <w14:textFill>
            <w14:solidFill>
              <w14:schemeClr w14:val="tx1"/>
            </w14:solidFill>
          </w14:textFill>
        </w:rPr>
      </w:pPr>
    </w:p>
    <w:p w14:paraId="225411C3">
      <w:pPr>
        <w:rPr>
          <w:rFonts w:hint="eastAsia" w:ascii="宋体" w:hAnsi="宋体"/>
          <w:color w:val="000000" w:themeColor="text1"/>
          <w:highlight w:val="none"/>
          <w14:textFill>
            <w14:solidFill>
              <w14:schemeClr w14:val="tx1"/>
            </w14:solidFill>
          </w14:textFill>
        </w:rPr>
      </w:pPr>
    </w:p>
    <w:p w14:paraId="0E3A387D">
      <w:pPr>
        <w:pStyle w:val="8"/>
        <w:rPr>
          <w:rFonts w:hint="eastAsia" w:ascii="宋体" w:hAnsi="宋体"/>
          <w:color w:val="000000" w:themeColor="text1"/>
          <w:highlight w:val="none"/>
          <w14:textFill>
            <w14:solidFill>
              <w14:schemeClr w14:val="tx1"/>
            </w14:solidFill>
          </w14:textFill>
        </w:rPr>
      </w:pPr>
    </w:p>
    <w:p w14:paraId="6A95D44C">
      <w:pPr>
        <w:rPr>
          <w:rFonts w:hint="eastAsia" w:ascii="宋体" w:hAnsi="宋体"/>
          <w:color w:val="000000" w:themeColor="text1"/>
          <w:highlight w:val="none"/>
          <w14:textFill>
            <w14:solidFill>
              <w14:schemeClr w14:val="tx1"/>
            </w14:solidFill>
          </w14:textFill>
        </w:rPr>
      </w:pPr>
    </w:p>
    <w:p w14:paraId="10FE4CFE">
      <w:pPr>
        <w:pStyle w:val="8"/>
        <w:rPr>
          <w:rFonts w:hint="eastAsia" w:ascii="宋体" w:hAnsi="宋体"/>
          <w:color w:val="000000" w:themeColor="text1"/>
          <w:highlight w:val="none"/>
          <w14:textFill>
            <w14:solidFill>
              <w14:schemeClr w14:val="tx1"/>
            </w14:solidFill>
          </w14:textFill>
        </w:rPr>
      </w:pPr>
    </w:p>
    <w:p w14:paraId="06DC5689">
      <w:pPr>
        <w:pStyle w:val="8"/>
        <w:rPr>
          <w:rFonts w:hint="eastAsia" w:ascii="宋体" w:hAnsi="宋体"/>
          <w:color w:val="000000" w:themeColor="text1"/>
          <w:highlight w:val="none"/>
          <w14:textFill>
            <w14:solidFill>
              <w14:schemeClr w14:val="tx1"/>
            </w14:solidFill>
          </w14:textFill>
        </w:rPr>
      </w:pPr>
    </w:p>
    <w:p w14:paraId="4DF08A54">
      <w:pPr>
        <w:jc w:val="center"/>
        <w:outlineLvl w:val="1"/>
        <w:rPr>
          <w:rFonts w:hint="eastAsia" w:ascii="宋体" w:hAnsi="宋体"/>
          <w:b/>
          <w:color w:val="000000" w:themeColor="text1"/>
          <w:sz w:val="44"/>
          <w:szCs w:val="44"/>
          <w:highlight w:val="none"/>
          <w14:textFill>
            <w14:solidFill>
              <w14:schemeClr w14:val="tx1"/>
            </w14:solidFill>
          </w14:textFill>
        </w:rPr>
        <w:sectPr>
          <w:pgSz w:w="11905" w:h="16838"/>
          <w:pgMar w:top="1134" w:right="1134" w:bottom="1134" w:left="1134" w:header="0" w:footer="0" w:gutter="0"/>
          <w:cols w:space="0" w:num="1"/>
          <w:docGrid w:type="lines" w:linePitch="317" w:charSpace="0"/>
        </w:sectPr>
      </w:pPr>
    </w:p>
    <w:p w14:paraId="1FF79A13">
      <w:pPr>
        <w:jc w:val="center"/>
        <w:outlineLvl w:val="1"/>
        <w:rPr>
          <w:rFonts w:hint="eastAsia"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三、资格审查部分</w:t>
      </w:r>
    </w:p>
    <w:p w14:paraId="78DE9168">
      <w:pPr>
        <w:spacing w:line="480" w:lineRule="auto"/>
        <w:ind w:right="-152"/>
        <w:jc w:val="center"/>
        <w:rPr>
          <w:rFonts w:hint="eastAsia" w:ascii="宋体" w:hAnsi="宋体" w:cs="宋体"/>
          <w:b/>
          <w:color w:val="000000" w:themeColor="text1"/>
          <w:sz w:val="52"/>
          <w:szCs w:val="72"/>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0D7D4011">
      <w:pPr>
        <w:spacing w:line="360" w:lineRule="auto"/>
        <w:jc w:val="center"/>
        <w:rPr>
          <w:rFonts w:hint="eastAsia"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2"/>
          <w:szCs w:val="32"/>
          <w:highlight w:val="none"/>
          <w:u w:val="single"/>
          <w14:textFill>
            <w14:solidFill>
              <w14:schemeClr w14:val="tx1"/>
            </w14:solidFill>
          </w14:textFill>
        </w:rPr>
        <w:t xml:space="preserve">                   （项目名称）</w:t>
      </w:r>
    </w:p>
    <w:p w14:paraId="190F7444">
      <w:pPr>
        <w:tabs>
          <w:tab w:val="left" w:pos="3600"/>
          <w:tab w:val="left" w:pos="4480"/>
          <w:tab w:val="left" w:pos="5360"/>
        </w:tabs>
        <w:autoSpaceDE w:val="0"/>
        <w:autoSpaceDN w:val="0"/>
        <w:adjustRightInd w:val="0"/>
        <w:snapToGrid w:val="0"/>
        <w:spacing w:line="360" w:lineRule="auto"/>
        <w:jc w:val="left"/>
        <w:rPr>
          <w:rFonts w:hint="eastAsia" w:ascii="宋体" w:hAnsi="宋体" w:cs="MingLiU"/>
          <w:color w:val="000000" w:themeColor="text1"/>
          <w:kern w:val="0"/>
          <w:sz w:val="44"/>
          <w:szCs w:val="44"/>
          <w:highlight w:val="none"/>
          <w14:textFill>
            <w14:solidFill>
              <w14:schemeClr w14:val="tx1"/>
            </w14:solidFill>
          </w14:textFill>
        </w:rPr>
      </w:pPr>
    </w:p>
    <w:p w14:paraId="00EC0F00">
      <w:pPr>
        <w:tabs>
          <w:tab w:val="left" w:pos="3600"/>
          <w:tab w:val="left" w:pos="4480"/>
          <w:tab w:val="left" w:pos="5360"/>
        </w:tabs>
        <w:autoSpaceDE w:val="0"/>
        <w:autoSpaceDN w:val="0"/>
        <w:adjustRightInd w:val="0"/>
        <w:snapToGrid w:val="0"/>
        <w:spacing w:line="360" w:lineRule="auto"/>
        <w:jc w:val="left"/>
        <w:rPr>
          <w:rFonts w:hint="eastAsia" w:ascii="宋体" w:hAnsi="宋体" w:cs="MingLiU"/>
          <w:color w:val="000000" w:themeColor="text1"/>
          <w:kern w:val="0"/>
          <w:sz w:val="44"/>
          <w:szCs w:val="44"/>
          <w:highlight w:val="none"/>
          <w14:textFill>
            <w14:solidFill>
              <w14:schemeClr w14:val="tx1"/>
            </w14:solidFill>
          </w14:textFill>
        </w:rPr>
      </w:pPr>
    </w:p>
    <w:p w14:paraId="7B08329C">
      <w:pPr>
        <w:tabs>
          <w:tab w:val="left" w:pos="3600"/>
          <w:tab w:val="left" w:pos="4480"/>
          <w:tab w:val="left" w:pos="5360"/>
        </w:tabs>
        <w:autoSpaceDE w:val="0"/>
        <w:autoSpaceDN w:val="0"/>
        <w:adjustRightInd w:val="0"/>
        <w:snapToGrid w:val="0"/>
        <w:spacing w:line="360" w:lineRule="auto"/>
        <w:jc w:val="left"/>
        <w:rPr>
          <w:rFonts w:hint="eastAsia" w:ascii="宋体" w:hAnsi="宋体" w:cs="MingLiU"/>
          <w:color w:val="000000" w:themeColor="text1"/>
          <w:kern w:val="0"/>
          <w:sz w:val="44"/>
          <w:szCs w:val="44"/>
          <w:highlight w:val="none"/>
          <w14:textFill>
            <w14:solidFill>
              <w14:schemeClr w14:val="tx1"/>
            </w14:solidFill>
          </w14:textFill>
        </w:rPr>
      </w:pPr>
    </w:p>
    <w:p w14:paraId="048A930C">
      <w:pPr>
        <w:tabs>
          <w:tab w:val="left" w:pos="3600"/>
          <w:tab w:val="left" w:pos="4480"/>
          <w:tab w:val="left" w:pos="5360"/>
        </w:tabs>
        <w:autoSpaceDE w:val="0"/>
        <w:autoSpaceDN w:val="0"/>
        <w:adjustRightInd w:val="0"/>
        <w:snapToGrid w:val="0"/>
        <w:spacing w:line="360" w:lineRule="auto"/>
        <w:jc w:val="center"/>
        <w:rPr>
          <w:rFonts w:hint="eastAsia"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投 标 文 件</w:t>
      </w:r>
    </w:p>
    <w:p w14:paraId="5337E27D">
      <w:pPr>
        <w:autoSpaceDE w:val="0"/>
        <w:autoSpaceDN w:val="0"/>
        <w:adjustRightInd w:val="0"/>
        <w:snapToGrid w:val="0"/>
        <w:spacing w:line="360" w:lineRule="auto"/>
        <w:jc w:val="left"/>
        <w:rPr>
          <w:rFonts w:hint="eastAsia" w:ascii="宋体" w:hAnsi="宋体"/>
          <w:color w:val="000000" w:themeColor="text1"/>
          <w:kern w:val="0"/>
          <w:sz w:val="16"/>
          <w:szCs w:val="16"/>
          <w:highlight w:val="none"/>
          <w14:textFill>
            <w14:solidFill>
              <w14:schemeClr w14:val="tx1"/>
            </w14:solidFill>
          </w14:textFill>
        </w:rPr>
      </w:pPr>
    </w:p>
    <w:p w14:paraId="21F8B8EB">
      <w:pPr>
        <w:autoSpaceDE w:val="0"/>
        <w:autoSpaceDN w:val="0"/>
        <w:adjustRightInd w:val="0"/>
        <w:snapToGrid w:val="0"/>
        <w:spacing w:line="360" w:lineRule="auto"/>
        <w:jc w:val="center"/>
        <w:rPr>
          <w:rFonts w:hint="eastAsia"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资格审查部分</w:t>
      </w:r>
    </w:p>
    <w:p w14:paraId="5DDACB3D">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2DB3C205">
      <w:pPr>
        <w:adjustRightInd w:val="0"/>
        <w:snapToGrid w:val="0"/>
        <w:spacing w:line="264" w:lineRule="auto"/>
        <w:rPr>
          <w:rFonts w:hint="eastAsia" w:ascii="宋体" w:hAnsi="宋体"/>
          <w:color w:val="000000" w:themeColor="text1"/>
          <w:szCs w:val="21"/>
          <w:highlight w:val="none"/>
          <w14:textFill>
            <w14:solidFill>
              <w14:schemeClr w14:val="tx1"/>
            </w14:solidFill>
          </w14:textFill>
        </w:rPr>
      </w:pPr>
    </w:p>
    <w:p w14:paraId="64271201">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49EAA88C">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4A50EA2F">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1D34F96C">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145170BD">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135EC799">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361BF041">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68DCC5E0">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78A02186">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32331B40">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6DA92C9B">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0E2125A8">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28AE4E83">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4206BF12">
      <w:pPr>
        <w:tabs>
          <w:tab w:val="left" w:pos="6080"/>
          <w:tab w:val="left" w:pos="6640"/>
        </w:tabs>
        <w:autoSpaceDE w:val="0"/>
        <w:autoSpaceDN w:val="0"/>
        <w:adjustRightInd w:val="0"/>
        <w:snapToGrid w:val="0"/>
        <w:spacing w:line="480" w:lineRule="auto"/>
        <w:jc w:val="center"/>
        <w:rPr>
          <w:rFonts w:hint="eastAsia"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14:textFill>
            <w14:solidFill>
              <w14:schemeClr w14:val="tx1"/>
            </w14:solidFill>
          </w14:textFill>
        </w:rPr>
        <w:t>竞选人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（盖单位法人章）</w:t>
      </w:r>
    </w:p>
    <w:p w14:paraId="17DCFA52">
      <w:pPr>
        <w:tabs>
          <w:tab w:val="left" w:pos="6080"/>
          <w:tab w:val="left" w:pos="6640"/>
        </w:tabs>
        <w:autoSpaceDE w:val="0"/>
        <w:autoSpaceDN w:val="0"/>
        <w:adjustRightInd w:val="0"/>
        <w:snapToGrid w:val="0"/>
        <w:spacing w:line="480" w:lineRule="auto"/>
        <w:jc w:val="center"/>
        <w:rPr>
          <w:rFonts w:hint="eastAsia"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w:t>
      </w:r>
      <w:r>
        <w:rPr>
          <w:rFonts w:hint="eastAsia" w:ascii="宋体" w:hAnsi="宋体"/>
          <w:color w:val="000000" w:themeColor="text1"/>
          <w:w w:val="99"/>
          <w:kern w:val="0"/>
          <w:sz w:val="28"/>
          <w:szCs w:val="28"/>
          <w:highlight w:val="none"/>
          <w14:textFill>
            <w14:solidFill>
              <w14:schemeClr w14:val="tx1"/>
            </w14:solidFill>
          </w14:textFill>
        </w:rPr>
        <w:t>签名</w:t>
      </w:r>
      <w:r>
        <w:rPr>
          <w:rFonts w:ascii="宋体" w:hAnsi="宋体"/>
          <w:color w:val="000000" w:themeColor="text1"/>
          <w:w w:val="99"/>
          <w:kern w:val="0"/>
          <w:sz w:val="28"/>
          <w:szCs w:val="28"/>
          <w:highlight w:val="none"/>
          <w14:textFill>
            <w14:solidFill>
              <w14:schemeClr w14:val="tx1"/>
            </w14:solidFill>
          </w14:textFill>
        </w:rPr>
        <w:t>或盖章）</w:t>
      </w:r>
    </w:p>
    <w:p w14:paraId="137BDB08">
      <w:pPr>
        <w:tabs>
          <w:tab w:val="left" w:pos="3280"/>
          <w:tab w:val="left" w:pos="4680"/>
          <w:tab w:val="left" w:pos="6080"/>
        </w:tabs>
        <w:autoSpaceDE w:val="0"/>
        <w:autoSpaceDN w:val="0"/>
        <w:adjustRightInd w:val="0"/>
        <w:snapToGrid w:val="0"/>
        <w:spacing w:line="480" w:lineRule="auto"/>
        <w:jc w:val="center"/>
        <w:rPr>
          <w:rFonts w:hint="eastAsia" w:ascii="宋体" w:hAnsi="宋体"/>
          <w:b/>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年月日</w:t>
      </w:r>
    </w:p>
    <w:p w14:paraId="118E8113">
      <w:pPr>
        <w:jc w:val="center"/>
        <w:rPr>
          <w:rFonts w:hint="eastAsia" w:ascii="宋体" w:hAnsi="宋体" w:cs="宋体"/>
          <w:b/>
          <w:color w:val="000000" w:themeColor="text1"/>
          <w:kern w:val="0"/>
          <w:sz w:val="48"/>
          <w:szCs w:val="48"/>
          <w:highlight w:val="none"/>
          <w14:textFill>
            <w14:solidFill>
              <w14:schemeClr w14:val="tx1"/>
            </w14:solidFill>
          </w14:textFill>
        </w:rPr>
      </w:pPr>
    </w:p>
    <w:p w14:paraId="22FA6E1A">
      <w:pPr>
        <w:autoSpaceDE w:val="0"/>
        <w:autoSpaceDN w:val="0"/>
        <w:adjustRightInd w:val="0"/>
        <w:snapToGrid w:val="0"/>
        <w:jc w:val="center"/>
        <w:rPr>
          <w:rFonts w:hint="eastAsia"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14:paraId="7C5E97C2">
      <w:pPr>
        <w:spacing w:line="360" w:lineRule="auto"/>
        <w:jc w:val="center"/>
        <w:rPr>
          <w:rFonts w:hint="eastAsia" w:ascii="宋体" w:hAnsi="宋体"/>
          <w:b/>
          <w:color w:val="000000" w:themeColor="text1"/>
          <w:kern w:val="0"/>
          <w:sz w:val="32"/>
          <w:szCs w:val="32"/>
          <w:highlight w:val="none"/>
          <w14:textFill>
            <w14:solidFill>
              <w14:schemeClr w14:val="tx1"/>
            </w14:solidFill>
          </w14:textFill>
        </w:rPr>
      </w:pPr>
    </w:p>
    <w:p w14:paraId="53F0F625">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（一）</w:t>
      </w:r>
      <w:r>
        <w:rPr>
          <w:rFonts w:hint="eastAsia" w:ascii="宋体" w:hAnsi="宋体"/>
          <w:color w:val="000000" w:themeColor="text1"/>
          <w:szCs w:val="21"/>
          <w:highlight w:val="none"/>
          <w14:textFill>
            <w14:solidFill>
              <w14:schemeClr w14:val="tx1"/>
            </w14:solidFill>
          </w14:textFill>
        </w:rPr>
        <w:t>法定代表人身份证明或附有法定代表人身份证明的授权委托书</w:t>
      </w:r>
    </w:p>
    <w:p w14:paraId="5E1FCF44">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（二）</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基本情况表</w:t>
      </w:r>
    </w:p>
    <w:p w14:paraId="055F5E24">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（三）项目管理机构</w:t>
      </w:r>
    </w:p>
    <w:p w14:paraId="36AB36E9">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（四）近年财务状况表</w:t>
      </w:r>
    </w:p>
    <w:p w14:paraId="61666C73">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（五）</w:t>
      </w:r>
      <w:r>
        <w:rPr>
          <w:rFonts w:hint="eastAsia" w:ascii="宋体" w:hAnsi="宋体"/>
          <w:color w:val="000000" w:themeColor="text1"/>
          <w:szCs w:val="21"/>
          <w:highlight w:val="none"/>
          <w14:textFill>
            <w14:solidFill>
              <w14:schemeClr w14:val="tx1"/>
            </w14:solidFill>
          </w14:textFill>
        </w:rPr>
        <w:t>业绩要求</w:t>
      </w:r>
    </w:p>
    <w:p w14:paraId="315B4F85">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（六）</w:t>
      </w:r>
      <w:r>
        <w:rPr>
          <w:rFonts w:hint="eastAsia" w:ascii="宋体" w:hAnsi="宋体"/>
          <w:color w:val="000000" w:themeColor="text1"/>
          <w:szCs w:val="21"/>
          <w:highlight w:val="none"/>
          <w14:textFill>
            <w14:solidFill>
              <w14:schemeClr w14:val="tx1"/>
            </w14:solidFill>
          </w14:textFill>
        </w:rPr>
        <w:t>承诺</w:t>
      </w:r>
    </w:p>
    <w:p w14:paraId="17066FB2">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七</w:t>
      </w:r>
      <w:r>
        <w:rPr>
          <w:rFonts w:ascii="宋体" w:hAnsi="宋体"/>
          <w:color w:val="000000" w:themeColor="text1"/>
          <w:szCs w:val="21"/>
          <w:highlight w:val="none"/>
          <w14:textFill>
            <w14:solidFill>
              <w14:schemeClr w14:val="tx1"/>
            </w14:solidFill>
          </w14:textFill>
        </w:rPr>
        <w:t>）其他资料</w:t>
      </w:r>
    </w:p>
    <w:p w14:paraId="6CF7B2FD">
      <w:pPr>
        <w:pStyle w:val="8"/>
        <w:rPr>
          <w:rFonts w:hint="eastAsia" w:ascii="宋体" w:hAnsi="宋体"/>
          <w:color w:val="000000" w:themeColor="text1"/>
          <w:highlight w:val="none"/>
          <w14:textFill>
            <w14:solidFill>
              <w14:schemeClr w14:val="tx1"/>
            </w14:solidFill>
          </w14:textFill>
        </w:rPr>
      </w:pPr>
    </w:p>
    <w:p w14:paraId="759A7E01">
      <w:pPr>
        <w:pStyle w:val="4"/>
        <w:jc w:val="center"/>
        <w:rPr>
          <w:rFonts w:hint="eastAsia" w:ascii="宋体" w:hAnsi="宋体"/>
          <w:snapToGrid w:val="0"/>
          <w:color w:val="000000" w:themeColor="text1"/>
          <w:kern w:val="0"/>
          <w:sz w:val="30"/>
          <w:szCs w:val="30"/>
          <w:highlight w:val="none"/>
          <w14:textFill>
            <w14:solidFill>
              <w14:schemeClr w14:val="tx1"/>
            </w14:solidFill>
          </w14:textFill>
        </w:rPr>
      </w:pPr>
      <w:r>
        <w:rPr>
          <w:rFonts w:ascii="宋体" w:hAnsi="宋体" w:cs="宋体"/>
          <w:color w:val="000000" w:themeColor="text1"/>
          <w:sz w:val="44"/>
          <w:highlight w:val="none"/>
          <w14:textFill>
            <w14:solidFill>
              <w14:schemeClr w14:val="tx1"/>
            </w14:solidFill>
          </w14:textFill>
        </w:rPr>
        <w:br w:type="page"/>
      </w:r>
      <w:bookmarkStart w:id="784" w:name="_Toc57905929"/>
      <w:bookmarkStart w:id="785" w:name="_Toc5633"/>
      <w:bookmarkStart w:id="786" w:name="_Toc287620830"/>
      <w:bookmarkStart w:id="787" w:name="_Toc287607883"/>
      <w:bookmarkStart w:id="788" w:name="_Toc224103511"/>
      <w:bookmarkStart w:id="789" w:name="_Toc430530546"/>
      <w:bookmarkStart w:id="790" w:name="_Toc277082657"/>
      <w:r>
        <w:rPr>
          <w:rFonts w:ascii="宋体" w:hAnsi="宋体"/>
          <w:color w:val="000000" w:themeColor="text1"/>
          <w:sz w:val="30"/>
          <w:szCs w:val="30"/>
          <w:highlight w:val="none"/>
          <w14:textFill>
            <w14:solidFill>
              <w14:schemeClr w14:val="tx1"/>
            </w14:solidFill>
          </w14:textFill>
        </w:rPr>
        <w:t>（一）</w:t>
      </w:r>
      <w:r>
        <w:rPr>
          <w:rFonts w:hint="eastAsia" w:ascii="宋体" w:hAnsi="宋体"/>
          <w:color w:val="000000" w:themeColor="text1"/>
          <w:sz w:val="30"/>
          <w:szCs w:val="30"/>
          <w:highlight w:val="none"/>
          <w14:textFill>
            <w14:solidFill>
              <w14:schemeClr w14:val="tx1"/>
            </w14:solidFill>
          </w14:textFill>
        </w:rPr>
        <w:t>法定代表人身份证明或附有法定代表人身份证明的授权委托书</w:t>
      </w:r>
      <w:bookmarkEnd w:id="784"/>
      <w:bookmarkEnd w:id="785"/>
    </w:p>
    <w:p w14:paraId="42E0F45C">
      <w:pPr>
        <w:spacing w:line="480" w:lineRule="auto"/>
        <w:jc w:val="center"/>
        <w:rPr>
          <w:rFonts w:hint="eastAsia"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法定代表人身份证明</w:t>
      </w:r>
    </w:p>
    <w:p w14:paraId="4B0B3AF9">
      <w:pPr>
        <w:spacing w:line="480" w:lineRule="auto"/>
        <w:jc w:val="center"/>
        <w:rPr>
          <w:rFonts w:hint="eastAsia" w:ascii="宋体" w:hAnsi="宋体"/>
          <w:color w:val="000000" w:themeColor="text1"/>
          <w:highlight w:val="none"/>
          <w14:textFill>
            <w14:solidFill>
              <w14:schemeClr w14:val="tx1"/>
            </w14:solidFill>
          </w14:textFill>
        </w:rPr>
      </w:pPr>
    </w:p>
    <w:p w14:paraId="08E23C3A">
      <w:pPr>
        <w:tabs>
          <w:tab w:val="left" w:pos="5565"/>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名称：</w:t>
      </w:r>
    </w:p>
    <w:p w14:paraId="6A2D2169">
      <w:pPr>
        <w:tabs>
          <w:tab w:val="left" w:pos="5475"/>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p>
    <w:p w14:paraId="606796A7">
      <w:pPr>
        <w:tabs>
          <w:tab w:val="left" w:pos="5475"/>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地址：</w:t>
      </w:r>
    </w:p>
    <w:p w14:paraId="010B78E3">
      <w:pPr>
        <w:tabs>
          <w:tab w:val="left" w:pos="2520"/>
          <w:tab w:val="left" w:pos="3836"/>
        </w:tabs>
        <w:autoSpaceDE w:val="0"/>
        <w:autoSpaceDN w:val="0"/>
        <w:adjustRightInd w:val="0"/>
        <w:snapToGrid w:val="0"/>
        <w:spacing w:line="480" w:lineRule="auto"/>
        <w:ind w:firstLine="390" w:firstLineChars="186"/>
        <w:jc w:val="left"/>
        <w:rPr>
          <w:rFonts w:hint="eastAsia"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成立时间：年月日</w:t>
      </w:r>
    </w:p>
    <w:p w14:paraId="30294561">
      <w:pPr>
        <w:tabs>
          <w:tab w:val="left" w:pos="5475"/>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经营期限：</w:t>
      </w:r>
    </w:p>
    <w:p w14:paraId="3A575476">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姓名：性别</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龄：职务：</w:t>
      </w:r>
    </w:p>
    <w:p w14:paraId="434FF704">
      <w:pPr>
        <w:tabs>
          <w:tab w:val="left" w:pos="3360"/>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的法定代表人。</w:t>
      </w:r>
    </w:p>
    <w:p w14:paraId="6DC422D3">
      <w:pPr>
        <w:tabs>
          <w:tab w:val="left" w:pos="3360"/>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p w14:paraId="1878F8B5">
      <w:pPr>
        <w:autoSpaceDE w:val="0"/>
        <w:autoSpaceDN w:val="0"/>
        <w:adjustRightInd w:val="0"/>
        <w:snapToGrid w:val="0"/>
        <w:spacing w:line="480" w:lineRule="auto"/>
        <w:ind w:firstLine="810" w:firstLineChars="386"/>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附：法定代表人身份证复印件（双面）</w:t>
      </w:r>
    </w:p>
    <w:p w14:paraId="73E9FB90">
      <w:pPr>
        <w:autoSpaceDE w:val="0"/>
        <w:autoSpaceDN w:val="0"/>
        <w:adjustRightInd w:val="0"/>
        <w:snapToGrid w:val="0"/>
        <w:spacing w:line="360" w:lineRule="auto"/>
        <w:jc w:val="left"/>
        <w:rPr>
          <w:rFonts w:hint="eastAsia" w:ascii="宋体" w:hAnsi="宋体"/>
          <w:color w:val="000000" w:themeColor="text1"/>
          <w:szCs w:val="21"/>
          <w:highlight w:val="none"/>
          <w14:textFill>
            <w14:solidFill>
              <w14:schemeClr w14:val="tx1"/>
            </w14:solidFill>
          </w14:textFill>
        </w:rPr>
      </w:pPr>
    </w:p>
    <w:p w14:paraId="7264ABE9">
      <w:pPr>
        <w:pStyle w:val="8"/>
        <w:spacing w:after="0" w:line="360" w:lineRule="auto"/>
        <w:rPr>
          <w:rFonts w:hint="eastAsia" w:ascii="宋体" w:hAnsi="宋体"/>
          <w:color w:val="000000" w:themeColor="text1"/>
          <w:szCs w:val="21"/>
          <w:highlight w:val="none"/>
          <w14:textFill>
            <w14:solidFill>
              <w14:schemeClr w14:val="tx1"/>
            </w14:solidFill>
          </w14:textFill>
        </w:rPr>
      </w:pPr>
    </w:p>
    <w:p w14:paraId="1B23F95D">
      <w:pPr>
        <w:pStyle w:val="8"/>
        <w:spacing w:after="0" w:line="360" w:lineRule="auto"/>
        <w:rPr>
          <w:rFonts w:hint="eastAsia" w:ascii="宋体" w:hAnsi="宋体"/>
          <w:color w:val="000000" w:themeColor="text1"/>
          <w:szCs w:val="21"/>
          <w:highlight w:val="none"/>
          <w14:textFill>
            <w14:solidFill>
              <w14:schemeClr w14:val="tx1"/>
            </w14:solidFill>
          </w14:textFill>
        </w:rPr>
      </w:pPr>
    </w:p>
    <w:p w14:paraId="4E223808">
      <w:pPr>
        <w:pStyle w:val="8"/>
        <w:spacing w:after="0" w:line="360" w:lineRule="auto"/>
        <w:rPr>
          <w:rFonts w:hint="eastAsia" w:ascii="宋体" w:hAnsi="宋体"/>
          <w:color w:val="000000" w:themeColor="text1"/>
          <w:szCs w:val="21"/>
          <w:highlight w:val="none"/>
          <w14:textFill>
            <w14:solidFill>
              <w14:schemeClr w14:val="tx1"/>
            </w14:solidFill>
          </w14:textFill>
        </w:rPr>
      </w:pPr>
    </w:p>
    <w:p w14:paraId="11CC5D2E">
      <w:pPr>
        <w:pStyle w:val="8"/>
        <w:spacing w:after="0" w:line="360" w:lineRule="auto"/>
        <w:rPr>
          <w:rFonts w:hint="eastAsia" w:ascii="宋体" w:hAnsi="宋体"/>
          <w:color w:val="000000" w:themeColor="text1"/>
          <w:szCs w:val="21"/>
          <w:highlight w:val="none"/>
          <w14:textFill>
            <w14:solidFill>
              <w14:schemeClr w14:val="tx1"/>
            </w14:solidFill>
          </w14:textFill>
        </w:rPr>
      </w:pPr>
    </w:p>
    <w:p w14:paraId="681F721E">
      <w:pPr>
        <w:pStyle w:val="8"/>
        <w:spacing w:after="0" w:line="360" w:lineRule="auto"/>
        <w:rPr>
          <w:rFonts w:hint="eastAsia" w:ascii="宋体" w:hAnsi="宋体"/>
          <w:color w:val="000000" w:themeColor="text1"/>
          <w:szCs w:val="21"/>
          <w:highlight w:val="none"/>
          <w14:textFill>
            <w14:solidFill>
              <w14:schemeClr w14:val="tx1"/>
            </w14:solidFill>
          </w14:textFill>
        </w:rPr>
      </w:pPr>
    </w:p>
    <w:p w14:paraId="1969E2E2">
      <w:pPr>
        <w:autoSpaceDE w:val="0"/>
        <w:autoSpaceDN w:val="0"/>
        <w:adjustRightInd w:val="0"/>
        <w:snapToGrid w:val="0"/>
        <w:spacing w:line="480" w:lineRule="auto"/>
        <w:ind w:firstLine="810" w:firstLineChars="386"/>
        <w:jc w:val="righ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盖单位法人章）</w:t>
      </w:r>
    </w:p>
    <w:p w14:paraId="0E31C6DB">
      <w:pPr>
        <w:autoSpaceDE w:val="0"/>
        <w:autoSpaceDN w:val="0"/>
        <w:adjustRightInd w:val="0"/>
        <w:snapToGrid w:val="0"/>
        <w:spacing w:line="480" w:lineRule="auto"/>
        <w:jc w:val="left"/>
        <w:rPr>
          <w:rFonts w:hint="eastAsia" w:ascii="宋体" w:hAnsi="宋体"/>
          <w:color w:val="000000" w:themeColor="text1"/>
          <w:kern w:val="0"/>
          <w:sz w:val="20"/>
          <w:szCs w:val="20"/>
          <w:highlight w:val="none"/>
          <w14:textFill>
            <w14:solidFill>
              <w14:schemeClr w14:val="tx1"/>
            </w14:solidFill>
          </w14:textFill>
        </w:rPr>
      </w:pPr>
    </w:p>
    <w:p w14:paraId="26A66F5D">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年月日</w:t>
      </w:r>
    </w:p>
    <w:p w14:paraId="5A0B1847">
      <w:pPr>
        <w:autoSpaceDE w:val="0"/>
        <w:autoSpaceDN w:val="0"/>
        <w:adjustRightInd w:val="0"/>
        <w:snapToGrid w:val="0"/>
        <w:spacing w:line="360" w:lineRule="auto"/>
        <w:jc w:val="left"/>
        <w:rPr>
          <w:rFonts w:hint="eastAsia" w:ascii="宋体" w:hAnsi="宋体"/>
          <w:color w:val="000000" w:themeColor="text1"/>
          <w:kern w:val="0"/>
          <w:highlight w:val="none"/>
          <w14:textFill>
            <w14:solidFill>
              <w14:schemeClr w14:val="tx1"/>
            </w14:solidFill>
          </w14:textFill>
        </w:rPr>
      </w:pPr>
    </w:p>
    <w:p w14:paraId="76AF3F4B">
      <w:pPr>
        <w:autoSpaceDE w:val="0"/>
        <w:autoSpaceDN w:val="0"/>
        <w:adjustRightInd w:val="0"/>
        <w:snapToGrid w:val="0"/>
        <w:spacing w:line="360" w:lineRule="auto"/>
        <w:jc w:val="left"/>
        <w:rPr>
          <w:rFonts w:hint="eastAsia" w:ascii="宋体" w:hAnsi="宋体"/>
          <w:color w:val="000000" w:themeColor="text1"/>
          <w:kern w:val="0"/>
          <w:highlight w:val="none"/>
          <w14:textFill>
            <w14:solidFill>
              <w14:schemeClr w14:val="tx1"/>
            </w14:solidFill>
          </w14:textFill>
        </w:rPr>
      </w:pPr>
    </w:p>
    <w:p w14:paraId="3C1C28D7">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注：法定代表人身份证明需按上述格式填写完整，不可缺少内容。在此基础上增加内容的不影响其有效性</w:t>
      </w:r>
      <w:bookmarkEnd w:id="786"/>
      <w:bookmarkEnd w:id="787"/>
      <w:bookmarkEnd w:id="788"/>
      <w:bookmarkEnd w:id="789"/>
      <w:bookmarkEnd w:id="790"/>
      <w:r>
        <w:rPr>
          <w:rFonts w:hint="eastAsia" w:ascii="宋体" w:hAnsi="宋体"/>
          <w:color w:val="000000" w:themeColor="text1"/>
          <w:kern w:val="0"/>
          <w:szCs w:val="21"/>
          <w:highlight w:val="none"/>
          <w14:textFill>
            <w14:solidFill>
              <w14:schemeClr w14:val="tx1"/>
            </w14:solidFill>
          </w14:textFill>
        </w:rPr>
        <w:t>。</w:t>
      </w:r>
    </w:p>
    <w:p w14:paraId="1F579F0B">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olor w:val="000000" w:themeColor="text1"/>
          <w:kern w:val="0"/>
          <w:sz w:val="20"/>
          <w:szCs w:val="20"/>
          <w:highlight w:val="none"/>
          <w14:textFill>
            <w14:solidFill>
              <w14:schemeClr w14:val="tx1"/>
            </w14:solidFill>
          </w14:textFill>
        </w:rPr>
      </w:pPr>
      <w:r>
        <w:rPr>
          <w:rFonts w:ascii="宋体" w:hAnsi="宋体"/>
          <w:b/>
          <w:color w:val="000000" w:themeColor="text1"/>
          <w:kern w:val="0"/>
          <w:sz w:val="28"/>
          <w:szCs w:val="28"/>
          <w:highlight w:val="none"/>
          <w14:textFill>
            <w14:solidFill>
              <w14:schemeClr w14:val="tx1"/>
            </w14:solidFill>
          </w14:textFill>
        </w:rPr>
        <w:br w:type="page"/>
      </w:r>
      <w:r>
        <w:rPr>
          <w:rFonts w:ascii="宋体" w:hAnsi="宋体"/>
          <w:snapToGrid w:val="0"/>
          <w:color w:val="000000" w:themeColor="text1"/>
          <w:kern w:val="0"/>
          <w:sz w:val="32"/>
          <w:szCs w:val="32"/>
          <w:highlight w:val="none"/>
          <w14:textFill>
            <w14:solidFill>
              <w14:schemeClr w14:val="tx1"/>
            </w14:solidFill>
          </w14:textFill>
        </w:rPr>
        <w:t>授权委托书</w:t>
      </w:r>
    </w:p>
    <w:p w14:paraId="7F7D21CA">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系</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spacing w:val="-1"/>
          <w:kern w:val="0"/>
          <w:szCs w:val="21"/>
          <w:highlight w:val="none"/>
          <w:u w:val="single"/>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spacing w:val="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ascii="宋体" w:hAnsi="宋体"/>
          <w:color w:val="000000" w:themeColor="text1"/>
          <w:kern w:val="0"/>
          <w:szCs w:val="21"/>
          <w:highlight w:val="none"/>
          <w:u w:val="single"/>
          <w14:textFill>
            <w14:solidFill>
              <w14:schemeClr w14:val="tx1"/>
            </w14:solidFill>
          </w14:textFill>
        </w:rPr>
        <w:t>（项</w:t>
      </w:r>
      <w:r>
        <w:rPr>
          <w:rFonts w:ascii="宋体" w:hAnsi="宋体"/>
          <w:color w:val="000000" w:themeColor="text1"/>
          <w:spacing w:val="-1"/>
          <w:kern w:val="0"/>
          <w:szCs w:val="21"/>
          <w:highlight w:val="none"/>
          <w:u w:val="single"/>
          <w14:textFill>
            <w14:solidFill>
              <w14:schemeClr w14:val="tx1"/>
            </w14:solidFill>
          </w14:textFill>
        </w:rPr>
        <w:t>目</w:t>
      </w:r>
      <w:r>
        <w:rPr>
          <w:rFonts w:ascii="宋体" w:hAnsi="宋体"/>
          <w:color w:val="000000" w:themeColor="text1"/>
          <w:kern w:val="0"/>
          <w:szCs w:val="21"/>
          <w:highlight w:val="none"/>
          <w:u w:val="single"/>
          <w14:textFill>
            <w14:solidFill>
              <w14:schemeClr w14:val="tx1"/>
            </w14:solidFill>
          </w14:textFill>
        </w:rPr>
        <w:t>名称）</w:t>
      </w:r>
      <w:r>
        <w:rPr>
          <w:rFonts w:hint="eastAsia" w:ascii="宋体" w:hAnsi="宋体"/>
          <w:color w:val="000000" w:themeColor="text1"/>
          <w:kern w:val="0"/>
          <w:szCs w:val="21"/>
          <w:highlight w:val="none"/>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、签订合同和处理有关事宜， 其法律后果由我方承担。</w:t>
      </w:r>
    </w:p>
    <w:p w14:paraId="7E863671">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 xml:space="preserve">限：。 </w:t>
      </w:r>
    </w:p>
    <w:p w14:paraId="7DE39B30">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14:paraId="1FC5704F">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000000" w:themeColor="text1"/>
          <w:kern w:val="0"/>
          <w:szCs w:val="21"/>
          <w:highlight w:val="none"/>
          <w14:textFill>
            <w14:solidFill>
              <w14:schemeClr w14:val="tx1"/>
            </w14:solidFill>
          </w14:textFill>
        </w:rPr>
      </w:pPr>
    </w:p>
    <w:p w14:paraId="74724184">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人：（</w:t>
      </w:r>
      <w:r>
        <w:rPr>
          <w:rFonts w:ascii="宋体" w:hAnsi="宋体"/>
          <w:color w:val="000000" w:themeColor="text1"/>
          <w:spacing w:val="-1"/>
          <w:kern w:val="0"/>
          <w:szCs w:val="21"/>
          <w:highlight w:val="none"/>
          <w14:textFill>
            <w14:solidFill>
              <w14:schemeClr w14:val="tx1"/>
            </w14:solidFill>
          </w14:textFill>
        </w:rPr>
        <w:t>盖单位法人章</w:t>
      </w:r>
      <w:r>
        <w:rPr>
          <w:rFonts w:ascii="宋体" w:hAnsi="宋体"/>
          <w:color w:val="000000" w:themeColor="text1"/>
          <w:kern w:val="0"/>
          <w:szCs w:val="21"/>
          <w:highlight w:val="none"/>
          <w14:textFill>
            <w14:solidFill>
              <w14:schemeClr w14:val="tx1"/>
            </w14:solidFill>
          </w14:textFill>
        </w:rPr>
        <w:t>）</w:t>
      </w:r>
    </w:p>
    <w:p w14:paraId="5E485558">
      <w:pPr>
        <w:tabs>
          <w:tab w:val="left" w:pos="6300"/>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17FEFC7E">
      <w:pPr>
        <w:tabs>
          <w:tab w:val="left" w:pos="5260"/>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p>
    <w:p w14:paraId="2C293A5A">
      <w:pPr>
        <w:tabs>
          <w:tab w:val="left" w:pos="5260"/>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w:t>
      </w:r>
    </w:p>
    <w:p w14:paraId="44B05A99">
      <w:pPr>
        <w:tabs>
          <w:tab w:val="left" w:pos="6825"/>
        </w:tabs>
        <w:autoSpaceDE w:val="0"/>
        <w:autoSpaceDN w:val="0"/>
        <w:adjustRightInd w:val="0"/>
        <w:snapToGrid w:val="0"/>
        <w:spacing w:line="480" w:lineRule="auto"/>
        <w:ind w:firstLine="420" w:firstLineChars="200"/>
        <w:jc w:val="left"/>
        <w:rPr>
          <w:rFonts w:hint="eastAsia" w:ascii="宋体" w:hAnsi="宋体"/>
          <w:color w:val="000000" w:themeColor="text1"/>
          <w:w w:val="200"/>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p>
    <w:p w14:paraId="3C90797F">
      <w:pPr>
        <w:tabs>
          <w:tab w:val="left" w:pos="6825"/>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单位电话（座机）：</w:t>
      </w:r>
      <w:r>
        <w:rPr>
          <w:rFonts w:hint="eastAsia" w:ascii="宋体" w:hAnsi="宋体"/>
          <w:color w:val="000000" w:themeColor="text1"/>
          <w:kern w:val="0"/>
          <w:szCs w:val="21"/>
          <w:highlight w:val="none"/>
          <w:u w:val="single"/>
          <w14:textFill>
            <w14:solidFill>
              <w14:schemeClr w14:val="tx1"/>
            </w14:solidFill>
          </w14:textFill>
        </w:rPr>
        <w:t xml:space="preserve">                              </w:t>
      </w:r>
    </w:p>
    <w:p w14:paraId="0D91D5C8">
      <w:pPr>
        <w:tabs>
          <w:tab w:val="left" w:pos="5260"/>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委托代理人电话（手机）：                                          </w:t>
      </w:r>
    </w:p>
    <w:p w14:paraId="2EC30890">
      <w:pPr>
        <w:autoSpaceDE w:val="0"/>
        <w:autoSpaceDN w:val="0"/>
        <w:adjustRightInd w:val="0"/>
        <w:snapToGrid w:val="0"/>
        <w:spacing w:line="480" w:lineRule="auto"/>
        <w:ind w:firstLine="810" w:firstLineChars="386"/>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附：法定代表人和委托代理人身份证复印件（双面）</w:t>
      </w:r>
    </w:p>
    <w:p w14:paraId="0B2C4AEA">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3D42BB3D">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4415F0E5">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18C763F3">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34522430">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4E432725">
      <w:pPr>
        <w:tabs>
          <w:tab w:val="left" w:pos="6825"/>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p>
    <w:p w14:paraId="01418AE4">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年月日</w:t>
      </w:r>
    </w:p>
    <w:p w14:paraId="4A79F524">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kern w:val="0"/>
          <w:szCs w:val="21"/>
          <w:highlight w:val="none"/>
          <w14:textFill>
            <w14:solidFill>
              <w14:schemeClr w14:val="tx1"/>
            </w14:solidFill>
          </w14:textFill>
        </w:rPr>
      </w:pPr>
    </w:p>
    <w:p w14:paraId="43BE3547">
      <w:pPr>
        <w:tabs>
          <w:tab w:val="left" w:pos="5760"/>
        </w:tabs>
        <w:autoSpaceDE w:val="0"/>
        <w:autoSpaceDN w:val="0"/>
        <w:adjustRightIn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p>
    <w:p w14:paraId="730EC9DE">
      <w:pPr>
        <w:tabs>
          <w:tab w:val="left" w:pos="5760"/>
        </w:tabs>
        <w:autoSpaceDE w:val="0"/>
        <w:autoSpaceDN w:val="0"/>
        <w:adjustRightIn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2、法定代表人身份证明及授权委托书原件装入</w:t>
      </w:r>
      <w:r>
        <w:rPr>
          <w:rFonts w:hint="eastAsia" w:ascii="宋体" w:hAnsi="宋体"/>
          <w:color w:val="000000" w:themeColor="text1"/>
          <w:kern w:val="0"/>
          <w:szCs w:val="21"/>
          <w:highlight w:val="none"/>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一并递交。另外须准备一份授权委托书原件在开标现场出具。</w:t>
      </w:r>
    </w:p>
    <w:p w14:paraId="19634B21">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授权委托书</w:t>
      </w:r>
      <w:r>
        <w:rPr>
          <w:rFonts w:ascii="宋体" w:hAnsi="宋体"/>
          <w:color w:val="000000" w:themeColor="text1"/>
          <w:highlight w:val="none"/>
          <w14:textFill>
            <w14:solidFill>
              <w14:schemeClr w14:val="tx1"/>
            </w14:solidFill>
          </w14:textFill>
        </w:rPr>
        <w:t>需按上述格式填写完整，不可缺少内容。在此基础上增加内容的不影响其有效性。</w:t>
      </w:r>
    </w:p>
    <w:p w14:paraId="1145DFAC">
      <w:pPr>
        <w:pStyle w:val="4"/>
        <w:spacing w:before="0" w:after="0" w:line="240" w:lineRule="auto"/>
        <w:jc w:val="center"/>
        <w:rPr>
          <w:rFonts w:hint="eastAsia" w:ascii="宋体" w:hAnsi="宋体"/>
          <w:color w:val="000000" w:themeColor="text1"/>
          <w:highlight w:val="none"/>
          <w14:textFill>
            <w14:solidFill>
              <w14:schemeClr w14:val="tx1"/>
            </w14:solidFill>
          </w14:textFill>
        </w:rPr>
      </w:pPr>
      <w:bookmarkStart w:id="791" w:name="_Toc57905931"/>
      <w:r>
        <w:rPr>
          <w:rFonts w:hint="eastAsia" w:ascii="宋体" w:hAnsi="宋体"/>
          <w:color w:val="000000" w:themeColor="text1"/>
          <w:highlight w:val="none"/>
          <w14:textFill>
            <w14:solidFill>
              <w14:schemeClr w14:val="tx1"/>
            </w14:solidFill>
          </w14:textFill>
        </w:rPr>
        <w:t>（二）竞选人基本情况表</w:t>
      </w:r>
      <w:bookmarkEnd w:id="791"/>
    </w:p>
    <w:tbl>
      <w:tblPr>
        <w:tblStyle w:val="29"/>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56089C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0A2832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竞选人名称</w:t>
            </w:r>
          </w:p>
        </w:tc>
        <w:tc>
          <w:tcPr>
            <w:tcW w:w="7607" w:type="dxa"/>
            <w:gridSpan w:val="9"/>
            <w:vAlign w:val="center"/>
          </w:tcPr>
          <w:p w14:paraId="358F504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02E968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379DD3D">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注册地址</w:t>
            </w:r>
          </w:p>
        </w:tc>
        <w:tc>
          <w:tcPr>
            <w:tcW w:w="3450" w:type="dxa"/>
            <w:gridSpan w:val="5"/>
            <w:vAlign w:val="center"/>
          </w:tcPr>
          <w:p w14:paraId="1529212A">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92" w:type="dxa"/>
            <w:vAlign w:val="center"/>
          </w:tcPr>
          <w:p w14:paraId="65E9FDFB">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邮政编码</w:t>
            </w:r>
          </w:p>
        </w:tc>
        <w:tc>
          <w:tcPr>
            <w:tcW w:w="2765" w:type="dxa"/>
            <w:gridSpan w:val="3"/>
            <w:vAlign w:val="center"/>
          </w:tcPr>
          <w:p w14:paraId="5CC1691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0A5BD1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4F4F6C5B">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联系方式</w:t>
            </w:r>
          </w:p>
        </w:tc>
        <w:tc>
          <w:tcPr>
            <w:tcW w:w="967" w:type="dxa"/>
            <w:vAlign w:val="center"/>
          </w:tcPr>
          <w:p w14:paraId="34FCB44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联系人</w:t>
            </w:r>
          </w:p>
        </w:tc>
        <w:tc>
          <w:tcPr>
            <w:tcW w:w="2483" w:type="dxa"/>
            <w:gridSpan w:val="4"/>
            <w:vAlign w:val="center"/>
          </w:tcPr>
          <w:p w14:paraId="5D9C003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92" w:type="dxa"/>
            <w:vAlign w:val="center"/>
          </w:tcPr>
          <w:p w14:paraId="44C25A8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电话</w:t>
            </w:r>
          </w:p>
        </w:tc>
        <w:tc>
          <w:tcPr>
            <w:tcW w:w="2765" w:type="dxa"/>
            <w:gridSpan w:val="3"/>
            <w:vAlign w:val="center"/>
          </w:tcPr>
          <w:p w14:paraId="6F1817F4">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371CBB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7F8E1C0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967" w:type="dxa"/>
            <w:vAlign w:val="center"/>
          </w:tcPr>
          <w:p w14:paraId="09D5A969">
            <w:pPr>
              <w:tabs>
                <w:tab w:val="left" w:pos="540"/>
              </w:tabs>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传  真</w:t>
            </w:r>
          </w:p>
        </w:tc>
        <w:tc>
          <w:tcPr>
            <w:tcW w:w="2483" w:type="dxa"/>
            <w:gridSpan w:val="4"/>
            <w:vAlign w:val="center"/>
          </w:tcPr>
          <w:p w14:paraId="64D0E09B">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92" w:type="dxa"/>
            <w:vAlign w:val="center"/>
          </w:tcPr>
          <w:p w14:paraId="3C4594B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网址</w:t>
            </w:r>
          </w:p>
        </w:tc>
        <w:tc>
          <w:tcPr>
            <w:tcW w:w="2765" w:type="dxa"/>
            <w:gridSpan w:val="3"/>
            <w:vAlign w:val="center"/>
          </w:tcPr>
          <w:p w14:paraId="54680F3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488C14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444788B">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组织结构</w:t>
            </w:r>
          </w:p>
        </w:tc>
        <w:tc>
          <w:tcPr>
            <w:tcW w:w="7607" w:type="dxa"/>
            <w:gridSpan w:val="9"/>
            <w:vAlign w:val="center"/>
          </w:tcPr>
          <w:p w14:paraId="31D1613C">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05C02A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0FAC32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法定代表人</w:t>
            </w:r>
          </w:p>
        </w:tc>
        <w:tc>
          <w:tcPr>
            <w:tcW w:w="967" w:type="dxa"/>
            <w:vAlign w:val="center"/>
          </w:tcPr>
          <w:p w14:paraId="6F1D4412">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姓  名</w:t>
            </w:r>
          </w:p>
        </w:tc>
        <w:tc>
          <w:tcPr>
            <w:tcW w:w="1024" w:type="dxa"/>
            <w:vAlign w:val="center"/>
          </w:tcPr>
          <w:p w14:paraId="50C95A6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56" w:type="dxa"/>
            <w:gridSpan w:val="2"/>
            <w:vAlign w:val="center"/>
          </w:tcPr>
          <w:p w14:paraId="579D0E2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技术职称</w:t>
            </w:r>
          </w:p>
        </w:tc>
        <w:tc>
          <w:tcPr>
            <w:tcW w:w="2024" w:type="dxa"/>
            <w:gridSpan w:val="3"/>
            <w:vAlign w:val="center"/>
          </w:tcPr>
          <w:p w14:paraId="3F35FDD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925" w:type="dxa"/>
            <w:vAlign w:val="center"/>
          </w:tcPr>
          <w:p w14:paraId="1557CFA4">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电  话</w:t>
            </w:r>
          </w:p>
        </w:tc>
        <w:tc>
          <w:tcPr>
            <w:tcW w:w="1311" w:type="dxa"/>
            <w:vAlign w:val="center"/>
          </w:tcPr>
          <w:p w14:paraId="64C5725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11323D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81B1D2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技术负责人</w:t>
            </w:r>
          </w:p>
        </w:tc>
        <w:tc>
          <w:tcPr>
            <w:tcW w:w="967" w:type="dxa"/>
            <w:vAlign w:val="center"/>
          </w:tcPr>
          <w:p w14:paraId="033948F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姓  名</w:t>
            </w:r>
          </w:p>
        </w:tc>
        <w:tc>
          <w:tcPr>
            <w:tcW w:w="1024" w:type="dxa"/>
            <w:vAlign w:val="center"/>
          </w:tcPr>
          <w:p w14:paraId="47B1EF1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56" w:type="dxa"/>
            <w:gridSpan w:val="2"/>
            <w:vAlign w:val="center"/>
          </w:tcPr>
          <w:p w14:paraId="102F509C">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技术职称</w:t>
            </w:r>
          </w:p>
        </w:tc>
        <w:tc>
          <w:tcPr>
            <w:tcW w:w="2024" w:type="dxa"/>
            <w:gridSpan w:val="3"/>
            <w:vAlign w:val="center"/>
          </w:tcPr>
          <w:p w14:paraId="02341AB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925" w:type="dxa"/>
            <w:vAlign w:val="center"/>
          </w:tcPr>
          <w:p w14:paraId="23F167C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电  话</w:t>
            </w:r>
          </w:p>
        </w:tc>
        <w:tc>
          <w:tcPr>
            <w:tcW w:w="1311" w:type="dxa"/>
            <w:vAlign w:val="center"/>
          </w:tcPr>
          <w:p w14:paraId="7F26DE7C">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4CD658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F79939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成立时间</w:t>
            </w:r>
          </w:p>
        </w:tc>
        <w:tc>
          <w:tcPr>
            <w:tcW w:w="1991" w:type="dxa"/>
            <w:gridSpan w:val="2"/>
            <w:vAlign w:val="center"/>
          </w:tcPr>
          <w:p w14:paraId="0620424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5616" w:type="dxa"/>
            <w:gridSpan w:val="7"/>
            <w:vAlign w:val="center"/>
          </w:tcPr>
          <w:p w14:paraId="1E9B74A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员工总人数：</w:t>
            </w:r>
          </w:p>
        </w:tc>
      </w:tr>
      <w:tr w14:paraId="5F28F6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615897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企业资质等级</w:t>
            </w:r>
          </w:p>
        </w:tc>
        <w:tc>
          <w:tcPr>
            <w:tcW w:w="1991" w:type="dxa"/>
            <w:gridSpan w:val="2"/>
            <w:vAlign w:val="center"/>
          </w:tcPr>
          <w:p w14:paraId="134699A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904" w:type="dxa"/>
            <w:vMerge w:val="restart"/>
            <w:vAlign w:val="center"/>
          </w:tcPr>
          <w:p w14:paraId="1681813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其中</w:t>
            </w:r>
          </w:p>
        </w:tc>
        <w:tc>
          <w:tcPr>
            <w:tcW w:w="2476" w:type="dxa"/>
            <w:gridSpan w:val="4"/>
            <w:vAlign w:val="center"/>
          </w:tcPr>
          <w:p w14:paraId="014639BA">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项目经理</w:t>
            </w:r>
          </w:p>
        </w:tc>
        <w:tc>
          <w:tcPr>
            <w:tcW w:w="2236" w:type="dxa"/>
            <w:gridSpan w:val="2"/>
            <w:vAlign w:val="center"/>
          </w:tcPr>
          <w:p w14:paraId="7E2150E2">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10A4BE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18FD4E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统一社会信用代码</w:t>
            </w:r>
          </w:p>
        </w:tc>
        <w:tc>
          <w:tcPr>
            <w:tcW w:w="1991" w:type="dxa"/>
            <w:gridSpan w:val="2"/>
            <w:vAlign w:val="center"/>
          </w:tcPr>
          <w:p w14:paraId="45E8A7D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904" w:type="dxa"/>
            <w:vMerge w:val="continue"/>
            <w:vAlign w:val="center"/>
          </w:tcPr>
          <w:p w14:paraId="097BED34">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476" w:type="dxa"/>
            <w:gridSpan w:val="4"/>
            <w:vAlign w:val="center"/>
          </w:tcPr>
          <w:p w14:paraId="72478E4C">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高级职称人员</w:t>
            </w:r>
          </w:p>
        </w:tc>
        <w:tc>
          <w:tcPr>
            <w:tcW w:w="2236" w:type="dxa"/>
            <w:gridSpan w:val="2"/>
            <w:vAlign w:val="center"/>
          </w:tcPr>
          <w:p w14:paraId="3E2AF27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0A2F3C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B3F97C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注册资金</w:t>
            </w:r>
          </w:p>
        </w:tc>
        <w:tc>
          <w:tcPr>
            <w:tcW w:w="1991" w:type="dxa"/>
            <w:gridSpan w:val="2"/>
            <w:vAlign w:val="center"/>
          </w:tcPr>
          <w:p w14:paraId="71AE52A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904" w:type="dxa"/>
            <w:vMerge w:val="continue"/>
            <w:vAlign w:val="center"/>
          </w:tcPr>
          <w:p w14:paraId="47A6CF8D">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476" w:type="dxa"/>
            <w:gridSpan w:val="4"/>
            <w:vAlign w:val="center"/>
          </w:tcPr>
          <w:p w14:paraId="6575354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中级职称人员</w:t>
            </w:r>
          </w:p>
        </w:tc>
        <w:tc>
          <w:tcPr>
            <w:tcW w:w="2236" w:type="dxa"/>
            <w:gridSpan w:val="2"/>
            <w:vAlign w:val="center"/>
          </w:tcPr>
          <w:p w14:paraId="5C88E11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320069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141B56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开户银行</w:t>
            </w:r>
          </w:p>
        </w:tc>
        <w:tc>
          <w:tcPr>
            <w:tcW w:w="1991" w:type="dxa"/>
            <w:gridSpan w:val="2"/>
            <w:vAlign w:val="center"/>
          </w:tcPr>
          <w:p w14:paraId="60D81D2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904" w:type="dxa"/>
            <w:vMerge w:val="continue"/>
            <w:vAlign w:val="center"/>
          </w:tcPr>
          <w:p w14:paraId="5DE470D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476" w:type="dxa"/>
            <w:gridSpan w:val="4"/>
            <w:vAlign w:val="center"/>
          </w:tcPr>
          <w:p w14:paraId="1FC996A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初级职称人员</w:t>
            </w:r>
          </w:p>
        </w:tc>
        <w:tc>
          <w:tcPr>
            <w:tcW w:w="2236" w:type="dxa"/>
            <w:gridSpan w:val="2"/>
            <w:vAlign w:val="center"/>
          </w:tcPr>
          <w:p w14:paraId="13A4BD57">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60F516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4CC0020">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账号</w:t>
            </w:r>
          </w:p>
        </w:tc>
        <w:tc>
          <w:tcPr>
            <w:tcW w:w="1991" w:type="dxa"/>
            <w:gridSpan w:val="2"/>
            <w:vAlign w:val="center"/>
          </w:tcPr>
          <w:p w14:paraId="312DBFFD">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904" w:type="dxa"/>
            <w:vMerge w:val="continue"/>
            <w:vAlign w:val="center"/>
          </w:tcPr>
          <w:p w14:paraId="432B2A1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476" w:type="dxa"/>
            <w:gridSpan w:val="4"/>
            <w:vAlign w:val="center"/>
          </w:tcPr>
          <w:p w14:paraId="69FBBF9A">
            <w:pPr>
              <w:tabs>
                <w:tab w:val="left" w:pos="1240"/>
              </w:tabs>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w:t>
            </w:r>
            <w:r>
              <w:rPr>
                <w:rFonts w:ascii="宋体" w:hAnsi="宋体"/>
                <w:color w:val="000000" w:themeColor="text1"/>
                <w:kern w:val="0"/>
                <w:szCs w:val="21"/>
                <w:highlight w:val="non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工</w:t>
            </w:r>
          </w:p>
        </w:tc>
        <w:tc>
          <w:tcPr>
            <w:tcW w:w="2236" w:type="dxa"/>
            <w:gridSpan w:val="2"/>
            <w:vAlign w:val="center"/>
          </w:tcPr>
          <w:p w14:paraId="79F256B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7D3201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56C0D2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经营范围</w:t>
            </w:r>
          </w:p>
        </w:tc>
        <w:tc>
          <w:tcPr>
            <w:tcW w:w="7607" w:type="dxa"/>
            <w:gridSpan w:val="9"/>
            <w:vAlign w:val="center"/>
          </w:tcPr>
          <w:p w14:paraId="0D40776B">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298134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27D50E7">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备注</w:t>
            </w:r>
          </w:p>
        </w:tc>
        <w:tc>
          <w:tcPr>
            <w:tcW w:w="7607" w:type="dxa"/>
            <w:gridSpan w:val="9"/>
            <w:vAlign w:val="center"/>
          </w:tcPr>
          <w:p w14:paraId="1C955F9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bl>
    <w:p w14:paraId="5CC6BFCD">
      <w:pPr>
        <w:spacing w:line="340" w:lineRule="exact"/>
        <w:rPr>
          <w:rFonts w:hint="eastAsia" w:ascii="宋体" w:hAnsi="宋体"/>
          <w:color w:val="000000" w:themeColor="text1"/>
          <w:szCs w:val="21"/>
          <w:highlight w:val="none"/>
          <w14:textFill>
            <w14:solidFill>
              <w14:schemeClr w14:val="tx1"/>
            </w14:solidFill>
          </w14:textFill>
        </w:rPr>
      </w:pPr>
    </w:p>
    <w:p w14:paraId="4FB8FE01">
      <w:pPr>
        <w:pStyle w:val="4"/>
        <w:spacing w:before="0" w:after="0" w:line="240" w:lineRule="auto"/>
        <w:jc w:val="center"/>
        <w:rPr>
          <w:rFonts w:hint="eastAsia" w:ascii="宋体" w:hAnsi="宋体"/>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bookmarkStart w:id="792" w:name="_Toc57905932"/>
      <w:bookmarkStart w:id="793" w:name="_Toc509218863"/>
      <w:bookmarkStart w:id="794" w:name="_Toc534185840"/>
      <w:r>
        <w:rPr>
          <w:rFonts w:hint="eastAsia" w:ascii="宋体" w:hAnsi="宋体"/>
          <w:color w:val="000000" w:themeColor="text1"/>
          <w:highlight w:val="none"/>
          <w14:textFill>
            <w14:solidFill>
              <w14:schemeClr w14:val="tx1"/>
            </w14:solidFill>
          </w14:textFill>
        </w:rPr>
        <w:t>（三）项目管理机构</w:t>
      </w:r>
      <w:bookmarkEnd w:id="792"/>
      <w:bookmarkEnd w:id="793"/>
      <w:bookmarkEnd w:id="794"/>
    </w:p>
    <w:p w14:paraId="06F540BD">
      <w:pPr>
        <w:spacing w:line="360" w:lineRule="auto"/>
        <w:rPr>
          <w:rFonts w:hint="eastAsia" w:ascii="宋体" w:hAnsi="宋体"/>
          <w:color w:val="000000" w:themeColor="text1"/>
          <w:highlight w:val="none"/>
          <w14:textFill>
            <w14:solidFill>
              <w14:schemeClr w14:val="tx1"/>
            </w14:solidFill>
          </w14:textFill>
        </w:rPr>
      </w:pPr>
    </w:p>
    <w:p w14:paraId="09C13402">
      <w:pPr>
        <w:autoSpaceDE w:val="0"/>
        <w:autoSpaceDN w:val="0"/>
        <w:adjustRightInd w:val="0"/>
        <w:snapToGrid w:val="0"/>
        <w:spacing w:line="360" w:lineRule="auto"/>
        <w:jc w:val="center"/>
        <w:rPr>
          <w:rFonts w:hint="eastAsia" w:ascii="宋体" w:hAnsi="宋体" w:cs="MingLiU"/>
          <w:color w:val="000000" w:themeColor="text1"/>
          <w:kern w:val="0"/>
          <w:sz w:val="28"/>
          <w:szCs w:val="28"/>
          <w:highlight w:val="none"/>
          <w14:textFill>
            <w14:solidFill>
              <w14:schemeClr w14:val="tx1"/>
            </w14:solidFill>
          </w14:textFill>
        </w:rPr>
      </w:pPr>
      <w:r>
        <w:rPr>
          <w:rFonts w:hint="eastAsia" w:ascii="宋体" w:hAnsi="宋体" w:cs="MingLiU"/>
          <w:color w:val="000000" w:themeColor="text1"/>
          <w:kern w:val="0"/>
          <w:sz w:val="28"/>
          <w:szCs w:val="28"/>
          <w:highlight w:val="none"/>
          <w14:textFill>
            <w14:solidFill>
              <w14:schemeClr w14:val="tx1"/>
            </w14:solidFill>
          </w14:textFill>
        </w:rPr>
        <w:t>项目管理机构组成表</w:t>
      </w:r>
    </w:p>
    <w:tbl>
      <w:tblPr>
        <w:tblStyle w:val="29"/>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221"/>
        <w:gridCol w:w="627"/>
        <w:gridCol w:w="851"/>
        <w:gridCol w:w="1134"/>
        <w:gridCol w:w="992"/>
        <w:gridCol w:w="992"/>
        <w:gridCol w:w="992"/>
        <w:gridCol w:w="1777"/>
        <w:gridCol w:w="896"/>
      </w:tblGrid>
      <w:tr w14:paraId="7FCD80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vMerge w:val="restart"/>
            <w:vAlign w:val="center"/>
          </w:tcPr>
          <w:p w14:paraId="53F4DDA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职务</w:t>
            </w:r>
          </w:p>
        </w:tc>
        <w:tc>
          <w:tcPr>
            <w:tcW w:w="627" w:type="dxa"/>
            <w:vMerge w:val="restart"/>
            <w:vAlign w:val="center"/>
          </w:tcPr>
          <w:p w14:paraId="73E95BD0">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姓名</w:t>
            </w:r>
          </w:p>
        </w:tc>
        <w:tc>
          <w:tcPr>
            <w:tcW w:w="851" w:type="dxa"/>
            <w:vMerge w:val="restart"/>
            <w:vAlign w:val="center"/>
          </w:tcPr>
          <w:p w14:paraId="5A742137">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职称</w:t>
            </w:r>
          </w:p>
        </w:tc>
        <w:tc>
          <w:tcPr>
            <w:tcW w:w="5887" w:type="dxa"/>
            <w:gridSpan w:val="5"/>
            <w:vAlign w:val="center"/>
          </w:tcPr>
          <w:p w14:paraId="342B0F20">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执业或职业资格证明</w:t>
            </w:r>
          </w:p>
        </w:tc>
        <w:tc>
          <w:tcPr>
            <w:tcW w:w="896" w:type="dxa"/>
            <w:vAlign w:val="center"/>
          </w:tcPr>
          <w:p w14:paraId="72F017C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备注</w:t>
            </w:r>
          </w:p>
        </w:tc>
      </w:tr>
      <w:tr w14:paraId="51A457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vMerge w:val="continue"/>
          </w:tcPr>
          <w:p w14:paraId="09B6E45F">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627" w:type="dxa"/>
            <w:vMerge w:val="continue"/>
          </w:tcPr>
          <w:p w14:paraId="4863BC0B">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51" w:type="dxa"/>
            <w:vMerge w:val="continue"/>
          </w:tcPr>
          <w:p w14:paraId="3531E04B">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34" w:type="dxa"/>
            <w:vAlign w:val="center"/>
          </w:tcPr>
          <w:p w14:paraId="55765F1B">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证书名称</w:t>
            </w:r>
          </w:p>
        </w:tc>
        <w:tc>
          <w:tcPr>
            <w:tcW w:w="992" w:type="dxa"/>
            <w:vAlign w:val="center"/>
          </w:tcPr>
          <w:p w14:paraId="392B820D">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级别</w:t>
            </w:r>
          </w:p>
        </w:tc>
        <w:tc>
          <w:tcPr>
            <w:tcW w:w="992" w:type="dxa"/>
            <w:vAlign w:val="center"/>
          </w:tcPr>
          <w:p w14:paraId="5528EE22">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证号</w:t>
            </w:r>
          </w:p>
        </w:tc>
        <w:tc>
          <w:tcPr>
            <w:tcW w:w="992" w:type="dxa"/>
            <w:vAlign w:val="center"/>
          </w:tcPr>
          <w:p w14:paraId="1E447E2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专业</w:t>
            </w:r>
          </w:p>
        </w:tc>
        <w:tc>
          <w:tcPr>
            <w:tcW w:w="1777" w:type="dxa"/>
            <w:vAlign w:val="center"/>
          </w:tcPr>
          <w:p w14:paraId="44A82B9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养老保险</w:t>
            </w:r>
          </w:p>
        </w:tc>
        <w:tc>
          <w:tcPr>
            <w:tcW w:w="896" w:type="dxa"/>
          </w:tcPr>
          <w:p w14:paraId="029CBA51">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6EE097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vAlign w:val="center"/>
          </w:tcPr>
          <w:p w14:paraId="28CF94D2">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项目负责人</w:t>
            </w:r>
          </w:p>
        </w:tc>
        <w:tc>
          <w:tcPr>
            <w:tcW w:w="627" w:type="dxa"/>
          </w:tcPr>
          <w:p w14:paraId="3E8D10F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51" w:type="dxa"/>
          </w:tcPr>
          <w:p w14:paraId="44D06A9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34" w:type="dxa"/>
          </w:tcPr>
          <w:p w14:paraId="0A95BF5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2DD9D441">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18B09A2E">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4A17A503">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777" w:type="dxa"/>
          </w:tcPr>
          <w:p w14:paraId="082236D0">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239D916C">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2E704F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221" w:type="dxa"/>
          </w:tcPr>
          <w:p w14:paraId="39129DFD">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土建专业负责人</w:t>
            </w:r>
          </w:p>
        </w:tc>
        <w:tc>
          <w:tcPr>
            <w:tcW w:w="627" w:type="dxa"/>
          </w:tcPr>
          <w:p w14:paraId="1A43B407">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51" w:type="dxa"/>
          </w:tcPr>
          <w:p w14:paraId="325E1E1A">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34" w:type="dxa"/>
          </w:tcPr>
          <w:p w14:paraId="5FB58FB4">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5356D870">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45BA17AE">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0F2B43A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777" w:type="dxa"/>
          </w:tcPr>
          <w:p w14:paraId="09CE5407">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4B7A5088">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3842D3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trPr>
        <w:tc>
          <w:tcPr>
            <w:tcW w:w="1221" w:type="dxa"/>
          </w:tcPr>
          <w:p w14:paraId="25B5B98B">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安装专业负责人</w:t>
            </w:r>
          </w:p>
        </w:tc>
        <w:tc>
          <w:tcPr>
            <w:tcW w:w="627" w:type="dxa"/>
          </w:tcPr>
          <w:p w14:paraId="479BC98F">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51" w:type="dxa"/>
          </w:tcPr>
          <w:p w14:paraId="3E905867">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34" w:type="dxa"/>
          </w:tcPr>
          <w:p w14:paraId="429C3F0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7F2A1686">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0CAF1AFA">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34AAABE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777" w:type="dxa"/>
          </w:tcPr>
          <w:p w14:paraId="1290C66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571769CD">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7F7733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tcPr>
          <w:p w14:paraId="76AF797E">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其他成员</w:t>
            </w:r>
          </w:p>
        </w:tc>
        <w:tc>
          <w:tcPr>
            <w:tcW w:w="627" w:type="dxa"/>
          </w:tcPr>
          <w:p w14:paraId="44D4D3E7">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51" w:type="dxa"/>
          </w:tcPr>
          <w:p w14:paraId="33D22BF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34" w:type="dxa"/>
          </w:tcPr>
          <w:p w14:paraId="20ECB364">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33AAB9F4">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37AC8914">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71138A0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777" w:type="dxa"/>
          </w:tcPr>
          <w:p w14:paraId="15A2E62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2563C487">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293ADB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tcPr>
          <w:p w14:paraId="1B009CA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其他成员</w:t>
            </w:r>
          </w:p>
        </w:tc>
        <w:tc>
          <w:tcPr>
            <w:tcW w:w="627" w:type="dxa"/>
          </w:tcPr>
          <w:p w14:paraId="0185BD8F">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51" w:type="dxa"/>
          </w:tcPr>
          <w:p w14:paraId="02C5CE1A">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34" w:type="dxa"/>
          </w:tcPr>
          <w:p w14:paraId="798062EE">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4D604599">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015AD6ED">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14F3FB7F">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777" w:type="dxa"/>
          </w:tcPr>
          <w:p w14:paraId="6F03EFDB">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05159D29">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3FE07B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68" w:hRule="exact"/>
        </w:trPr>
        <w:tc>
          <w:tcPr>
            <w:tcW w:w="1221" w:type="dxa"/>
          </w:tcPr>
          <w:p w14:paraId="520A5503">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p>
        </w:tc>
        <w:tc>
          <w:tcPr>
            <w:tcW w:w="627" w:type="dxa"/>
          </w:tcPr>
          <w:p w14:paraId="716C33C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51" w:type="dxa"/>
          </w:tcPr>
          <w:p w14:paraId="5F0B0B0B">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34" w:type="dxa"/>
          </w:tcPr>
          <w:p w14:paraId="45B39636">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15968111">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49E22EC9">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0529A50C">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777" w:type="dxa"/>
          </w:tcPr>
          <w:p w14:paraId="29AD7089">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7DC313EE">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3F0998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tcPr>
          <w:p w14:paraId="21E85F0C">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627" w:type="dxa"/>
          </w:tcPr>
          <w:p w14:paraId="6A9309CD">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51" w:type="dxa"/>
          </w:tcPr>
          <w:p w14:paraId="25EBF163">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34" w:type="dxa"/>
          </w:tcPr>
          <w:p w14:paraId="67983CBA">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565E9CA3">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06ABF6BB">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0E250B6D">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777" w:type="dxa"/>
          </w:tcPr>
          <w:p w14:paraId="3E33FD8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6B9144CF">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bl>
    <w:p w14:paraId="6E210F61">
      <w:pPr>
        <w:spacing w:line="20" w:lineRule="exact"/>
        <w:jc w:val="center"/>
        <w:rPr>
          <w:rFonts w:hint="eastAsia" w:ascii="宋体" w:hAnsi="宋体"/>
          <w:color w:val="000000" w:themeColor="text1"/>
          <w:szCs w:val="21"/>
          <w:highlight w:val="none"/>
          <w14:textFill>
            <w14:solidFill>
              <w14:schemeClr w14:val="tx1"/>
            </w14:solidFill>
          </w14:textFill>
        </w:rPr>
      </w:pPr>
    </w:p>
    <w:p w14:paraId="0557EC2F">
      <w:pPr>
        <w:spacing w:line="48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备注：本表按“第二篇 竞选人须知前附表  1.4.1”规定的“拟派项目人员”要求列明人员信息</w:t>
      </w:r>
    </w:p>
    <w:p w14:paraId="190C88F0">
      <w:pPr>
        <w:autoSpaceDE w:val="0"/>
        <w:autoSpaceDN w:val="0"/>
        <w:adjustRightInd w:val="0"/>
        <w:snapToGrid w:val="0"/>
        <w:spacing w:line="360" w:lineRule="auto"/>
        <w:jc w:val="center"/>
        <w:rPr>
          <w:rFonts w:hint="eastAsia" w:ascii="宋体" w:hAnsi="宋体"/>
          <w:color w:val="000000" w:themeColor="text1"/>
          <w:sz w:val="32"/>
          <w:szCs w:val="32"/>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主要人员简历表</w:t>
      </w:r>
    </w:p>
    <w:tbl>
      <w:tblPr>
        <w:tblStyle w:val="29"/>
        <w:tblW w:w="0" w:type="auto"/>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69096F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10EE2C11">
            <w:pPr>
              <w:tabs>
                <w:tab w:val="left" w:pos="520"/>
              </w:tabs>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p>
        </w:tc>
        <w:tc>
          <w:tcPr>
            <w:tcW w:w="1190" w:type="dxa"/>
            <w:gridSpan w:val="2"/>
            <w:vAlign w:val="center"/>
          </w:tcPr>
          <w:p w14:paraId="1C1D4997">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020" w:type="dxa"/>
            <w:vAlign w:val="center"/>
          </w:tcPr>
          <w:p w14:paraId="2A9CEF4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年龄</w:t>
            </w:r>
          </w:p>
        </w:tc>
        <w:tc>
          <w:tcPr>
            <w:tcW w:w="1175" w:type="dxa"/>
            <w:vAlign w:val="center"/>
          </w:tcPr>
          <w:p w14:paraId="61949DA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346" w:type="dxa"/>
            <w:gridSpan w:val="3"/>
            <w:vAlign w:val="center"/>
          </w:tcPr>
          <w:p w14:paraId="1D712394">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学历</w:t>
            </w:r>
          </w:p>
        </w:tc>
        <w:tc>
          <w:tcPr>
            <w:tcW w:w="2528" w:type="dxa"/>
            <w:vAlign w:val="center"/>
          </w:tcPr>
          <w:p w14:paraId="186EADAC">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43638D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29FC2849">
            <w:pPr>
              <w:tabs>
                <w:tab w:val="left" w:pos="520"/>
              </w:tabs>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职称</w:t>
            </w:r>
          </w:p>
        </w:tc>
        <w:tc>
          <w:tcPr>
            <w:tcW w:w="1190" w:type="dxa"/>
            <w:gridSpan w:val="2"/>
            <w:vAlign w:val="center"/>
          </w:tcPr>
          <w:p w14:paraId="49A23ECD">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020" w:type="dxa"/>
            <w:vAlign w:val="center"/>
          </w:tcPr>
          <w:p w14:paraId="705026D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职务</w:t>
            </w:r>
          </w:p>
        </w:tc>
        <w:tc>
          <w:tcPr>
            <w:tcW w:w="1175" w:type="dxa"/>
            <w:vAlign w:val="center"/>
          </w:tcPr>
          <w:p w14:paraId="4DEF2DA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346" w:type="dxa"/>
            <w:gridSpan w:val="3"/>
            <w:vAlign w:val="center"/>
          </w:tcPr>
          <w:p w14:paraId="6BB6F27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拟在本合同任职</w:t>
            </w:r>
          </w:p>
        </w:tc>
        <w:tc>
          <w:tcPr>
            <w:tcW w:w="2528" w:type="dxa"/>
            <w:vAlign w:val="center"/>
          </w:tcPr>
          <w:p w14:paraId="6480FC7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287C87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5D41AAA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毕业学校</w:t>
            </w:r>
          </w:p>
        </w:tc>
        <w:tc>
          <w:tcPr>
            <w:tcW w:w="8259" w:type="dxa"/>
            <w:gridSpan w:val="8"/>
            <w:vAlign w:val="center"/>
          </w:tcPr>
          <w:p w14:paraId="3B3CD9CE">
            <w:pPr>
              <w:tabs>
                <w:tab w:val="left" w:pos="2820"/>
                <w:tab w:val="left" w:pos="4080"/>
              </w:tabs>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spacing w:val="-1"/>
                <w:kern w:val="0"/>
                <w:szCs w:val="21"/>
                <w:highlight w:val="none"/>
                <w14:textFill>
                  <w14:solidFill>
                    <w14:schemeClr w14:val="tx1"/>
                  </w14:solidFill>
                </w14:textFill>
              </w:rPr>
              <w:t>毕</w:t>
            </w:r>
            <w:r>
              <w:rPr>
                <w:rFonts w:ascii="宋体" w:hAnsi="宋体"/>
                <w:color w:val="000000" w:themeColor="text1"/>
                <w:kern w:val="0"/>
                <w:szCs w:val="21"/>
                <w:highlight w:val="none"/>
                <w14:textFill>
                  <w14:solidFill>
                    <w14:schemeClr w14:val="tx1"/>
                  </w14:solidFill>
                </w14:textFill>
              </w:rPr>
              <w:t>业于</w:t>
            </w:r>
            <w:r>
              <w:rPr>
                <w:rFonts w:ascii="宋体" w:hAnsi="宋体"/>
                <w:color w:val="000000" w:themeColor="text1"/>
                <w:kern w:val="0"/>
                <w:szCs w:val="21"/>
                <w:highlight w:val="non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学校</w:t>
            </w:r>
            <w:r>
              <w:rPr>
                <w:rFonts w:ascii="宋体" w:hAnsi="宋体"/>
                <w:color w:val="000000" w:themeColor="text1"/>
                <w:kern w:val="0"/>
                <w:szCs w:val="21"/>
                <w:highlight w:val="non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专业</w:t>
            </w:r>
          </w:p>
        </w:tc>
      </w:tr>
      <w:tr w14:paraId="68772D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4C65624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主要工作经历</w:t>
            </w:r>
          </w:p>
        </w:tc>
      </w:tr>
      <w:tr w14:paraId="514B1E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F242726">
            <w:pPr>
              <w:tabs>
                <w:tab w:val="left" w:pos="520"/>
              </w:tabs>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时间</w:t>
            </w:r>
          </w:p>
        </w:tc>
        <w:tc>
          <w:tcPr>
            <w:tcW w:w="3768" w:type="dxa"/>
            <w:gridSpan w:val="4"/>
            <w:vAlign w:val="center"/>
          </w:tcPr>
          <w:p w14:paraId="68FEC04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参加过的类似项目</w:t>
            </w:r>
          </w:p>
        </w:tc>
        <w:tc>
          <w:tcPr>
            <w:tcW w:w="1388" w:type="dxa"/>
            <w:vAlign w:val="center"/>
          </w:tcPr>
          <w:p w14:paraId="102478E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担任职务</w:t>
            </w:r>
          </w:p>
        </w:tc>
        <w:tc>
          <w:tcPr>
            <w:tcW w:w="2706" w:type="dxa"/>
            <w:gridSpan w:val="2"/>
            <w:vAlign w:val="center"/>
          </w:tcPr>
          <w:p w14:paraId="62402152">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发包人及联系电话</w:t>
            </w:r>
          </w:p>
        </w:tc>
      </w:tr>
      <w:tr w14:paraId="2183A6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9F0550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23F9EEB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4646C24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2398370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1C9AD9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2888492">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5A52AD4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30CF622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1EF448D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797928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B9FF0A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41DF9A4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3A2E290D">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17E9A55A">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0A1CA6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802DAC2">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608F228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6E2BD3DA">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226B515A">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5F82B4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830A25D">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4CD18EA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1E5A270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0397541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3CF654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464B50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1680C254">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64ABD79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2F7BD710">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1C8D9D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11A94A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03C6EDB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019B68A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420A348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0E412F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FD091A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7F70E877">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299328F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0D97A92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26A672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5B72FE2">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0FB4DE5A">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28C2CFE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54ADB28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bl>
    <w:p w14:paraId="5A87796D">
      <w:pPr>
        <w:spacing w:line="360" w:lineRule="auto"/>
        <w:rPr>
          <w:rFonts w:hint="eastAsia" w:ascii="宋体" w:hAnsi="宋体" w:cs="仿宋_GB2312"/>
          <w:color w:val="000000" w:themeColor="text1"/>
          <w:kern w:val="0"/>
          <w:szCs w:val="21"/>
          <w:highlight w:val="none"/>
          <w14:textFill>
            <w14:solidFill>
              <w14:schemeClr w14:val="tx1"/>
            </w14:solidFill>
          </w14:textFill>
        </w:rPr>
      </w:pPr>
      <w:r>
        <w:rPr>
          <w:rFonts w:hint="eastAsia" w:ascii="宋体" w:hAnsi="宋体" w:cs="仿宋_GB2312"/>
          <w:color w:val="000000" w:themeColor="text1"/>
          <w:kern w:val="0"/>
          <w:highlight w:val="none"/>
          <w14:textFill>
            <w14:solidFill>
              <w14:schemeClr w14:val="tx1"/>
            </w14:solidFill>
          </w14:textFill>
        </w:rPr>
        <w:t>注：本表格式用于填写</w:t>
      </w:r>
      <w:r>
        <w:rPr>
          <w:rFonts w:hint="eastAsia" w:ascii="宋体" w:hAnsi="宋体"/>
          <w:color w:val="000000" w:themeColor="text1"/>
          <w:szCs w:val="21"/>
          <w:highlight w:val="none"/>
          <w14:textFill>
            <w14:solidFill>
              <w14:schemeClr w14:val="tx1"/>
            </w14:solidFill>
          </w14:textFill>
        </w:rPr>
        <w:t>“第二篇 竞选人须知前附表  1.4.1”规定的“拟派项目人员”详细情况</w:t>
      </w:r>
      <w:r>
        <w:rPr>
          <w:rFonts w:hint="eastAsia" w:ascii="宋体" w:hAnsi="宋体" w:cs="仿宋_GB2312"/>
          <w:color w:val="000000" w:themeColor="text1"/>
          <w:kern w:val="0"/>
          <w:szCs w:val="21"/>
          <w:highlight w:val="none"/>
          <w14:textFill>
            <w14:solidFill>
              <w14:schemeClr w14:val="tx1"/>
            </w14:solidFill>
          </w14:textFill>
        </w:rPr>
        <w:t>，每名人员单独填写一张表格，并按竞选人须知前附表1.4.1条规定提供相关证明资料复印件附在表后。</w:t>
      </w:r>
    </w:p>
    <w:p w14:paraId="1A4A31A0">
      <w:pPr>
        <w:spacing w:line="360" w:lineRule="auto"/>
        <w:rPr>
          <w:rFonts w:hint="eastAsia" w:ascii="宋体" w:hAnsi="宋体" w:cs="仿宋_GB2312"/>
          <w:color w:val="000000" w:themeColor="text1"/>
          <w:kern w:val="0"/>
          <w:szCs w:val="21"/>
          <w:highlight w:val="none"/>
          <w14:textFill>
            <w14:solidFill>
              <w14:schemeClr w14:val="tx1"/>
            </w14:solidFill>
          </w14:textFill>
        </w:rPr>
      </w:pPr>
    </w:p>
    <w:p w14:paraId="2B5E9799">
      <w:pPr>
        <w:spacing w:line="360" w:lineRule="exact"/>
        <w:ind w:firstLine="8312" w:firstLineChars="2300"/>
        <w:rPr>
          <w:rFonts w:hint="eastAsia" w:ascii="宋体" w:hAnsi="宋体" w:cs="宋体"/>
          <w:color w:val="000000" w:themeColor="text1"/>
          <w:szCs w:val="21"/>
          <w:highlight w:val="none"/>
          <w:u w:val="single"/>
          <w14:textFill>
            <w14:solidFill>
              <w14:schemeClr w14:val="tx1"/>
            </w14:solidFill>
          </w14:textFill>
        </w:rPr>
      </w:pPr>
      <w:r>
        <w:rPr>
          <w:rFonts w:ascii="宋体" w:hAnsi="宋体"/>
          <w:b/>
          <w:snapToGrid w:val="0"/>
          <w:color w:val="000000" w:themeColor="text1"/>
          <w:kern w:val="0"/>
          <w:sz w:val="36"/>
          <w:szCs w:val="32"/>
          <w:highlight w:val="none"/>
          <w14:textFill>
            <w14:solidFill>
              <w14:schemeClr w14:val="tx1"/>
            </w14:solidFill>
          </w14:textFill>
        </w:rPr>
        <w:br w:type="page"/>
      </w:r>
    </w:p>
    <w:p w14:paraId="66EAA591">
      <w:pPr>
        <w:pStyle w:val="8"/>
        <w:spacing w:after="0" w:line="360" w:lineRule="auto"/>
        <w:jc w:val="center"/>
        <w:rPr>
          <w:rFonts w:hint="eastAsia" w:ascii="宋体" w:hAnsi="宋体" w:cs="宋体"/>
          <w:b/>
          <w:bCs/>
          <w:color w:val="000000" w:themeColor="text1"/>
          <w:sz w:val="32"/>
          <w:szCs w:val="32"/>
          <w:highlight w:val="none"/>
          <w14:textFill>
            <w14:solidFill>
              <w14:schemeClr w14:val="tx1"/>
            </w14:solidFill>
          </w14:textFill>
        </w:rPr>
      </w:pPr>
      <w:bookmarkStart w:id="795" w:name="_Toc287607888"/>
      <w:bookmarkStart w:id="796" w:name="_Toc287620834"/>
      <w:bookmarkStart w:id="797" w:name="_Toc57905933"/>
      <w:bookmarkStart w:id="798" w:name="_Toc430530550"/>
      <w:bookmarkStart w:id="799" w:name="_Toc534185841"/>
      <w:bookmarkStart w:id="800" w:name="_Toc509218864"/>
      <w:bookmarkStart w:id="801" w:name="_Toc277082660"/>
      <w:r>
        <w:rPr>
          <w:rFonts w:hint="eastAsia" w:ascii="宋体" w:hAnsi="宋体"/>
          <w:b/>
          <w:bCs/>
          <w:color w:val="000000" w:themeColor="text1"/>
          <w:sz w:val="32"/>
          <w:szCs w:val="32"/>
          <w:highlight w:val="none"/>
          <w14:textFill>
            <w14:solidFill>
              <w14:schemeClr w14:val="tx1"/>
            </w14:solidFill>
          </w14:textFill>
        </w:rPr>
        <w:t>（四）近年财务状况表</w:t>
      </w:r>
      <w:bookmarkEnd w:id="795"/>
      <w:bookmarkEnd w:id="796"/>
      <w:bookmarkEnd w:id="797"/>
      <w:bookmarkEnd w:id="798"/>
      <w:bookmarkEnd w:id="799"/>
      <w:bookmarkEnd w:id="800"/>
      <w:bookmarkEnd w:id="801"/>
    </w:p>
    <w:p w14:paraId="52DE9579">
      <w:pPr>
        <w:pStyle w:val="8"/>
        <w:spacing w:after="0" w:line="360" w:lineRule="auto"/>
        <w:ind w:firstLine="5783" w:firstLineChars="1600"/>
        <w:jc w:val="center"/>
        <w:outlineLvl w:val="2"/>
        <w:rPr>
          <w:rFonts w:hint="eastAsia" w:ascii="宋体" w:hAnsi="宋体" w:cs="宋体"/>
          <w:b/>
          <w:bCs/>
          <w:color w:val="000000" w:themeColor="text1"/>
          <w:sz w:val="36"/>
          <w:szCs w:val="36"/>
          <w:highlight w:val="none"/>
          <w14:textFill>
            <w14:solidFill>
              <w14:schemeClr w14:val="tx1"/>
            </w14:solidFill>
          </w14:textFill>
        </w:rPr>
        <w:sectPr>
          <w:pgSz w:w="11905" w:h="16838"/>
          <w:pgMar w:top="1134" w:right="1134" w:bottom="1134" w:left="1134" w:header="0" w:footer="0" w:gutter="0"/>
          <w:cols w:space="0" w:num="1"/>
          <w:docGrid w:type="lines" w:linePitch="317" w:charSpace="0"/>
        </w:sectPr>
      </w:pPr>
    </w:p>
    <w:p w14:paraId="40192F14">
      <w:pPr>
        <w:pStyle w:val="8"/>
        <w:spacing w:after="0" w:line="360" w:lineRule="auto"/>
        <w:jc w:val="center"/>
        <w:rPr>
          <w:rFonts w:hint="eastAsia"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（五）业绩要求</w:t>
      </w:r>
    </w:p>
    <w:p w14:paraId="212FF03A">
      <w:pPr>
        <w:pStyle w:val="8"/>
        <w:spacing w:after="0" w:line="360" w:lineRule="auto"/>
        <w:ind w:firstLine="5783" w:firstLineChars="1600"/>
        <w:outlineLvl w:val="2"/>
        <w:rPr>
          <w:rFonts w:hint="eastAsia" w:ascii="宋体" w:hAnsi="宋体" w:cs="宋体"/>
          <w:b/>
          <w:bCs/>
          <w:color w:val="000000" w:themeColor="text1"/>
          <w:sz w:val="36"/>
          <w:szCs w:val="36"/>
          <w:highlight w:val="none"/>
          <w14:textFill>
            <w14:solidFill>
              <w14:schemeClr w14:val="tx1"/>
            </w14:solidFill>
          </w14:textFill>
        </w:rPr>
      </w:pPr>
    </w:p>
    <w:p w14:paraId="471FB25E">
      <w:pPr>
        <w:jc w:val="center"/>
        <w:rPr>
          <w:rFonts w:hint="eastAsia" w:ascii="宋体" w:hAnsi="宋体"/>
          <w:color w:val="000000" w:themeColor="text1"/>
          <w:sz w:val="15"/>
          <w:szCs w:val="18"/>
          <w:highlight w:val="none"/>
          <w14:textFill>
            <w14:solidFill>
              <w14:schemeClr w14:val="tx1"/>
            </w14:solidFill>
          </w14:textFill>
        </w:rPr>
      </w:pPr>
    </w:p>
    <w:p w14:paraId="260A9D10">
      <w:pPr>
        <w:pStyle w:val="8"/>
        <w:spacing w:after="0" w:line="360" w:lineRule="auto"/>
        <w:ind w:firstLine="5783" w:firstLineChars="1600"/>
        <w:jc w:val="center"/>
        <w:outlineLvl w:val="2"/>
        <w:rPr>
          <w:rFonts w:hint="eastAsia" w:ascii="宋体" w:hAnsi="宋体" w:cs="宋体"/>
          <w:b/>
          <w:bCs/>
          <w:color w:val="000000" w:themeColor="text1"/>
          <w:sz w:val="36"/>
          <w:szCs w:val="36"/>
          <w:highlight w:val="none"/>
          <w14:textFill>
            <w14:solidFill>
              <w14:schemeClr w14:val="tx1"/>
            </w14:solidFill>
          </w14:textFill>
        </w:rPr>
        <w:sectPr>
          <w:pgSz w:w="11905" w:h="16838"/>
          <w:pgMar w:top="1134" w:right="1134" w:bottom="1134" w:left="1134" w:header="0" w:footer="0" w:gutter="0"/>
          <w:cols w:space="0" w:num="1"/>
          <w:docGrid w:type="lines" w:linePitch="317" w:charSpace="0"/>
        </w:sectPr>
      </w:pPr>
    </w:p>
    <w:p w14:paraId="00382B49">
      <w:pPr>
        <w:pStyle w:val="8"/>
        <w:spacing w:after="0" w:line="360" w:lineRule="auto"/>
        <w:jc w:val="center"/>
        <w:rPr>
          <w:rFonts w:hint="eastAsia"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（六）承诺</w:t>
      </w:r>
    </w:p>
    <w:p w14:paraId="05E1330A">
      <w:pPr>
        <w:snapToGrid w:val="0"/>
        <w:spacing w:line="360" w:lineRule="exact"/>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（比选人名称）</w:t>
      </w:r>
      <w:r>
        <w:rPr>
          <w:rFonts w:hint="eastAsia" w:ascii="宋体" w:hAnsi="宋体"/>
          <w:color w:val="000000" w:themeColor="text1"/>
          <w:szCs w:val="21"/>
          <w:highlight w:val="none"/>
          <w14:textFill>
            <w14:solidFill>
              <w14:schemeClr w14:val="tx1"/>
            </w14:solidFill>
          </w14:textFill>
        </w:rPr>
        <w:t>：</w:t>
      </w:r>
    </w:p>
    <w:p w14:paraId="2B6FBDDC">
      <w:pPr>
        <w:snapToGrid w:val="0"/>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我公司</w:t>
      </w:r>
      <w:r>
        <w:rPr>
          <w:rFonts w:hint="eastAsia" w:ascii="宋体" w:hAnsi="宋体"/>
          <w:color w:val="000000" w:themeColor="text1"/>
          <w:szCs w:val="21"/>
          <w:highlight w:val="none"/>
          <w:u w:val="single"/>
          <w14:textFill>
            <w14:solidFill>
              <w14:schemeClr w14:val="tx1"/>
            </w14:solidFill>
          </w14:textFill>
        </w:rPr>
        <w:t xml:space="preserve">        （竞选人名称）  </w:t>
      </w:r>
      <w:r>
        <w:rPr>
          <w:rFonts w:hint="eastAsia" w:ascii="宋体" w:hAnsi="宋体"/>
          <w:color w:val="000000" w:themeColor="text1"/>
          <w:szCs w:val="21"/>
          <w:highlight w:val="none"/>
          <w14:textFill>
            <w14:solidFill>
              <w14:schemeClr w14:val="tx1"/>
            </w14:solidFill>
          </w14:textFill>
        </w:rPr>
        <w:t>申请了贵单位</w:t>
      </w:r>
      <w:r>
        <w:rPr>
          <w:rFonts w:hint="eastAsia" w:ascii="宋体" w:hAnsi="宋体"/>
          <w:color w:val="000000" w:themeColor="text1"/>
          <w:szCs w:val="21"/>
          <w:highlight w:val="none"/>
          <w:u w:val="single"/>
          <w14:textFill>
            <w14:solidFill>
              <w14:schemeClr w14:val="tx1"/>
            </w14:solidFill>
          </w14:textFill>
        </w:rPr>
        <w:t xml:space="preserve">        （项目名称）</w:t>
      </w:r>
      <w:r>
        <w:rPr>
          <w:rFonts w:hint="eastAsia" w:ascii="宋体" w:hAnsi="宋体"/>
          <w:color w:val="000000" w:themeColor="text1"/>
          <w:szCs w:val="21"/>
          <w:highlight w:val="none"/>
          <w14:textFill>
            <w14:solidFill>
              <w14:schemeClr w14:val="tx1"/>
            </w14:solidFill>
          </w14:textFill>
        </w:rPr>
        <w:t>的比选，自愿作出以下承诺：</w:t>
      </w:r>
    </w:p>
    <w:p w14:paraId="78D35DBF">
      <w:pPr>
        <w:snapToGrid w:val="0"/>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1、我公司比选截止日比选资格情况不存在下列情形之一：</w:t>
      </w:r>
    </w:p>
    <w:p w14:paraId="5FC06494">
      <w:pPr>
        <w:snapToGrid w:val="0"/>
        <w:spacing w:line="36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（1）被人民法院在“信用中国”网站（www.creditchina.gov.cn）列入失信被执行人名单且在被执行期内；</w:t>
      </w:r>
    </w:p>
    <w:p w14:paraId="72DF717B">
      <w:pPr>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（2）被列入《重庆市工程建设领域招标投标信用管理暂行办法》规定的重点关注名单且记分达到12分且在记分有效期内；</w:t>
      </w:r>
    </w:p>
    <w:p w14:paraId="01117539">
      <w:pPr>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（3）被列入《重庆市工程建设领域招标投标信用管理暂行办法》规定的重庆市工程建设领域招标投标失信惩戒对象名单（以下称黑名单）且在记分有效期内；</w:t>
      </w:r>
    </w:p>
    <w:p w14:paraId="15CAB0CD">
      <w:pPr>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（4）被国家、重庆市（含市或任意区县）有关行政部门处以暂停投标资格行政处罚，且在处罚期限内；</w:t>
      </w:r>
    </w:p>
    <w:p w14:paraId="1BED5895">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（5）被重庆市住房和城乡建设主管部门暂停在渝承揽新业务且在暂停期内；</w:t>
      </w:r>
    </w:p>
    <w:p w14:paraId="7B6BFC44">
      <w:pPr>
        <w:snapToGrid w:val="0"/>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2、我公司不存在第二章 竞选人须知第 1.4.3 项规定的任何一种情形。</w:t>
      </w:r>
    </w:p>
    <w:p w14:paraId="78B9C4BB">
      <w:pPr>
        <w:snapToGrid w:val="0"/>
        <w:spacing w:line="3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3、我公司的竞选文件符合第四章 合同条款及格式规定，竞选文件中没有贵单位不能接受的条件。</w:t>
      </w:r>
    </w:p>
    <w:p w14:paraId="09BD447B">
      <w:pPr>
        <w:snapToGrid w:val="0"/>
        <w:spacing w:line="3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4、我公司的竞选文件符合第二章 竞选人须知第 1.3.1 项的规定。</w:t>
      </w:r>
    </w:p>
    <w:p w14:paraId="3CF8D09D">
      <w:pPr>
        <w:pStyle w:val="8"/>
        <w:rPr>
          <w:rFonts w:hint="eastAsia" w:ascii="宋体" w:hAnsi="宋体"/>
          <w:color w:val="000000" w:themeColor="text1"/>
          <w:highlight w:val="none"/>
          <w14:textFill>
            <w14:solidFill>
              <w14:schemeClr w14:val="tx1"/>
            </w14:solidFill>
          </w14:textFill>
        </w:rPr>
      </w:pPr>
    </w:p>
    <w:p w14:paraId="3067FE23">
      <w:pPr>
        <w:tabs>
          <w:tab w:val="left" w:pos="4200"/>
          <w:tab w:val="left" w:pos="4620"/>
        </w:tabs>
        <w:autoSpaceDE w:val="0"/>
        <w:autoSpaceDN w:val="0"/>
        <w:adjustRightInd w:val="0"/>
        <w:snapToGrid w:val="0"/>
        <w:spacing w:line="36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盖单位</w:t>
      </w:r>
      <w:r>
        <w:rPr>
          <w:rFonts w:hint="eastAsia" w:ascii="宋体" w:hAnsi="宋体"/>
          <w:color w:val="000000" w:themeColor="text1"/>
          <w:spacing w:val="-1"/>
          <w:kern w:val="0"/>
          <w:szCs w:val="21"/>
          <w:highlight w:val="none"/>
          <w14:textFill>
            <w14:solidFill>
              <w14:schemeClr w14:val="tx1"/>
            </w14:solidFill>
          </w14:textFill>
        </w:rPr>
        <w:t>公</w:t>
      </w:r>
      <w:r>
        <w:rPr>
          <w:rFonts w:ascii="宋体" w:hAnsi="宋体"/>
          <w:color w:val="000000" w:themeColor="text1"/>
          <w:spacing w:val="-1"/>
          <w:kern w:val="0"/>
          <w:szCs w:val="21"/>
          <w:highlight w:val="none"/>
          <w14:textFill>
            <w14:solidFill>
              <w14:schemeClr w14:val="tx1"/>
            </w14:solidFill>
          </w14:textFill>
        </w:rPr>
        <w:t>章</w:t>
      </w:r>
      <w:r>
        <w:rPr>
          <w:rFonts w:ascii="宋体" w:hAnsi="宋体"/>
          <w:color w:val="000000" w:themeColor="text1"/>
          <w:kern w:val="0"/>
          <w:szCs w:val="21"/>
          <w:highlight w:val="none"/>
          <w14:textFill>
            <w14:solidFill>
              <w14:schemeClr w14:val="tx1"/>
            </w14:solidFill>
          </w14:textFill>
        </w:rPr>
        <w:t>）</w:t>
      </w:r>
    </w:p>
    <w:p w14:paraId="208D5C29">
      <w:pPr>
        <w:tabs>
          <w:tab w:val="left" w:pos="6300"/>
        </w:tabs>
        <w:autoSpaceDE w:val="0"/>
        <w:autoSpaceDN w:val="0"/>
        <w:adjustRightInd w:val="0"/>
        <w:snapToGrid w:val="0"/>
        <w:spacing w:line="36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p>
    <w:p w14:paraId="6A154365">
      <w:pPr>
        <w:tabs>
          <w:tab w:val="left" w:pos="6300"/>
        </w:tabs>
        <w:autoSpaceDE w:val="0"/>
        <w:autoSpaceDN w:val="0"/>
        <w:adjustRightInd w:val="0"/>
        <w:snapToGrid w:val="0"/>
        <w:spacing w:line="36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hint="eastAsia" w:ascii="宋体" w:hAnsi="宋体"/>
          <w:color w:val="000000" w:themeColor="text1"/>
          <w:kern w:val="0"/>
          <w:szCs w:val="21"/>
          <w:highlight w:val="none"/>
          <w14:textFill>
            <w14:solidFill>
              <w14:schemeClr w14:val="tx1"/>
            </w14:solidFill>
          </w14:textFill>
        </w:rPr>
        <w:t>或委托代理人</w:t>
      </w:r>
      <w:r>
        <w:rPr>
          <w:rFonts w:ascii="宋体" w:hAnsi="宋体"/>
          <w:color w:val="000000" w:themeColor="text1"/>
          <w:kern w:val="0"/>
          <w:szCs w:val="21"/>
          <w:highlight w:val="none"/>
          <w14:textFill>
            <w14:solidFill>
              <w14:schemeClr w14:val="tx1"/>
            </w14:solidFill>
          </w14:textFill>
        </w:rPr>
        <w:t>：（签字或盖章）</w:t>
      </w:r>
    </w:p>
    <w:p w14:paraId="4CC763DD">
      <w:pPr>
        <w:pStyle w:val="8"/>
        <w:spacing w:after="0" w:line="360" w:lineRule="exact"/>
        <w:jc w:val="right"/>
        <w:rPr>
          <w:rFonts w:hint="eastAsia" w:ascii="宋体" w:hAnsi="宋体"/>
          <w:color w:val="000000" w:themeColor="text1"/>
          <w:kern w:val="0"/>
          <w:szCs w:val="21"/>
          <w:highlight w:val="none"/>
          <w:u w:val="single"/>
          <w14:textFill>
            <w14:solidFill>
              <w14:schemeClr w14:val="tx1"/>
            </w14:solidFill>
          </w14:textFill>
        </w:rPr>
      </w:pPr>
    </w:p>
    <w:p w14:paraId="184EFDE3">
      <w:pPr>
        <w:pStyle w:val="8"/>
        <w:spacing w:after="0" w:line="360" w:lineRule="exact"/>
        <w:jc w:val="right"/>
        <w:rPr>
          <w:rFonts w:hint="eastAsia" w:ascii="宋体" w:hAnsi="宋体" w:cs="宋体"/>
          <w:b/>
          <w:bCs/>
          <w:color w:val="000000" w:themeColor="text1"/>
          <w:sz w:val="36"/>
          <w:szCs w:val="36"/>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年月</w:t>
      </w:r>
      <w:r>
        <w:rPr>
          <w:rFonts w:hint="eastAsia" w:ascii="宋体" w:hAnsi="宋体"/>
          <w:color w:val="000000" w:themeColor="text1"/>
          <w:kern w:val="0"/>
          <w:szCs w:val="21"/>
          <w:highlight w:val="none"/>
          <w:u w:val="single"/>
          <w14:textFill>
            <w14:solidFill>
              <w14:schemeClr w14:val="tx1"/>
            </w14:solidFill>
          </w14:textFill>
        </w:rPr>
        <w:t xml:space="preserve">    日</w:t>
      </w:r>
    </w:p>
    <w:p w14:paraId="296EB6D2">
      <w:pPr>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17686976">
      <w:pPr>
        <w:pStyle w:val="8"/>
        <w:rPr>
          <w:rFonts w:hint="eastAsia" w:ascii="宋体" w:hAnsi="宋体"/>
          <w:color w:val="000000" w:themeColor="text1"/>
          <w:highlight w:val="none"/>
          <w14:textFill>
            <w14:solidFill>
              <w14:schemeClr w14:val="tx1"/>
            </w14:solidFill>
          </w14:textFill>
        </w:rPr>
      </w:pPr>
    </w:p>
    <w:p w14:paraId="1BA29F2C">
      <w:pPr>
        <w:pStyle w:val="8"/>
        <w:numPr>
          <w:ilvl w:val="0"/>
          <w:numId w:val="2"/>
        </w:numPr>
        <w:spacing w:after="0" w:line="360" w:lineRule="auto"/>
        <w:jc w:val="center"/>
        <w:rPr>
          <w:rFonts w:hint="eastAsia" w:ascii="宋体" w:hAnsi="宋体"/>
          <w:b/>
          <w:bCs/>
          <w:color w:val="000000" w:themeColor="text1"/>
          <w:sz w:val="32"/>
          <w:szCs w:val="32"/>
          <w:highlight w:val="none"/>
          <w14:textFill>
            <w14:solidFill>
              <w14:schemeClr w14:val="tx1"/>
            </w14:solidFill>
          </w14:textFill>
        </w:rPr>
      </w:pPr>
      <w:bookmarkStart w:id="802" w:name="_Toc57905936"/>
      <w:r>
        <w:rPr>
          <w:rFonts w:hint="eastAsia" w:ascii="宋体" w:hAnsi="宋体"/>
          <w:b/>
          <w:bCs/>
          <w:color w:val="000000" w:themeColor="text1"/>
          <w:sz w:val="32"/>
          <w:szCs w:val="32"/>
          <w:highlight w:val="none"/>
          <w14:textFill>
            <w14:solidFill>
              <w14:schemeClr w14:val="tx1"/>
            </w14:solidFill>
          </w14:textFill>
        </w:rPr>
        <w:t>其他资料</w:t>
      </w:r>
      <w:bookmarkEnd w:id="802"/>
    </w:p>
    <w:p w14:paraId="48C12384">
      <w:pPr>
        <w:rPr>
          <w:rFonts w:hint="eastAsia" w:ascii="宋体" w:hAnsi="宋体"/>
          <w:color w:val="000000" w:themeColor="text1"/>
          <w:highlight w:val="none"/>
          <w14:textFill>
            <w14:solidFill>
              <w14:schemeClr w14:val="tx1"/>
            </w14:solidFill>
          </w14:textFill>
        </w:rPr>
      </w:pPr>
    </w:p>
    <w:p w14:paraId="347C5233">
      <w:pPr>
        <w:pStyle w:val="8"/>
        <w:rPr>
          <w:rFonts w:hint="eastAsia" w:ascii="宋体" w:hAnsi="宋体"/>
          <w:color w:val="000000" w:themeColor="text1"/>
          <w:highlight w:val="none"/>
          <w14:textFill>
            <w14:solidFill>
              <w14:schemeClr w14:val="tx1"/>
            </w14:solidFill>
          </w14:textFill>
        </w:rPr>
      </w:pPr>
    </w:p>
    <w:p w14:paraId="206A40CD">
      <w:pPr>
        <w:rPr>
          <w:rFonts w:hint="eastAsia" w:ascii="宋体" w:hAnsi="宋体"/>
          <w:color w:val="000000" w:themeColor="text1"/>
          <w:highlight w:val="none"/>
          <w14:textFill>
            <w14:solidFill>
              <w14:schemeClr w14:val="tx1"/>
            </w14:solidFill>
          </w14:textFill>
        </w:rPr>
      </w:pPr>
    </w:p>
    <w:p w14:paraId="2744BCE2">
      <w:pPr>
        <w:pStyle w:val="8"/>
        <w:rPr>
          <w:rFonts w:hint="eastAsia" w:ascii="宋体" w:hAnsi="宋体"/>
          <w:color w:val="000000" w:themeColor="text1"/>
          <w:highlight w:val="none"/>
          <w14:textFill>
            <w14:solidFill>
              <w14:schemeClr w14:val="tx1"/>
            </w14:solidFill>
          </w14:textFill>
        </w:rPr>
      </w:pPr>
    </w:p>
    <w:p w14:paraId="130EFDB9">
      <w:pPr>
        <w:rPr>
          <w:rFonts w:hint="eastAsia" w:ascii="宋体" w:hAnsi="宋体"/>
          <w:color w:val="000000" w:themeColor="text1"/>
          <w:highlight w:val="none"/>
          <w14:textFill>
            <w14:solidFill>
              <w14:schemeClr w14:val="tx1"/>
            </w14:solidFill>
          </w14:textFill>
        </w:rPr>
      </w:pPr>
    </w:p>
    <w:p w14:paraId="412870F5">
      <w:pPr>
        <w:pStyle w:val="8"/>
        <w:rPr>
          <w:rFonts w:hint="eastAsia" w:ascii="宋体" w:hAnsi="宋体"/>
          <w:color w:val="000000" w:themeColor="text1"/>
          <w:highlight w:val="none"/>
          <w14:textFill>
            <w14:solidFill>
              <w14:schemeClr w14:val="tx1"/>
            </w14:solidFill>
          </w14:textFill>
        </w:rPr>
      </w:pPr>
    </w:p>
    <w:p w14:paraId="47823D2C">
      <w:pPr>
        <w:rPr>
          <w:rFonts w:hint="eastAsia" w:ascii="宋体" w:hAnsi="宋体"/>
          <w:color w:val="000000" w:themeColor="text1"/>
          <w:highlight w:val="none"/>
          <w14:textFill>
            <w14:solidFill>
              <w14:schemeClr w14:val="tx1"/>
            </w14:solidFill>
          </w14:textFill>
        </w:rPr>
      </w:pPr>
    </w:p>
    <w:p w14:paraId="6A71967A">
      <w:pPr>
        <w:pStyle w:val="8"/>
        <w:rPr>
          <w:rFonts w:hint="eastAsia" w:ascii="宋体" w:hAnsi="宋体"/>
          <w:color w:val="000000" w:themeColor="text1"/>
          <w:highlight w:val="none"/>
          <w14:textFill>
            <w14:solidFill>
              <w14:schemeClr w14:val="tx1"/>
            </w14:solidFill>
          </w14:textFill>
        </w:rPr>
      </w:pPr>
    </w:p>
    <w:p w14:paraId="22A6A9D4">
      <w:pPr>
        <w:rPr>
          <w:rFonts w:hint="eastAsia" w:ascii="宋体" w:hAnsi="宋体"/>
          <w:color w:val="000000" w:themeColor="text1"/>
          <w:highlight w:val="none"/>
          <w14:textFill>
            <w14:solidFill>
              <w14:schemeClr w14:val="tx1"/>
            </w14:solidFill>
          </w14:textFill>
        </w:rPr>
      </w:pPr>
    </w:p>
    <w:p w14:paraId="6ECDE5E1">
      <w:pPr>
        <w:pStyle w:val="8"/>
        <w:rPr>
          <w:rFonts w:hint="eastAsia" w:ascii="宋体" w:hAnsi="宋体"/>
          <w:color w:val="000000" w:themeColor="text1"/>
          <w:highlight w:val="none"/>
          <w14:textFill>
            <w14:solidFill>
              <w14:schemeClr w14:val="tx1"/>
            </w14:solidFill>
          </w14:textFill>
        </w:rPr>
      </w:pPr>
    </w:p>
    <w:p w14:paraId="6BF8EDF5">
      <w:pPr>
        <w:rPr>
          <w:rFonts w:hint="eastAsia" w:ascii="宋体" w:hAnsi="宋体"/>
          <w:color w:val="000000" w:themeColor="text1"/>
          <w:highlight w:val="none"/>
          <w14:textFill>
            <w14:solidFill>
              <w14:schemeClr w14:val="tx1"/>
            </w14:solidFill>
          </w14:textFill>
        </w:rPr>
      </w:pPr>
    </w:p>
    <w:p w14:paraId="47CDCEB5">
      <w:pPr>
        <w:pStyle w:val="8"/>
        <w:rPr>
          <w:rFonts w:hint="eastAsia" w:ascii="宋体" w:hAnsi="宋体"/>
          <w:color w:val="000000" w:themeColor="text1"/>
          <w:highlight w:val="none"/>
          <w14:textFill>
            <w14:solidFill>
              <w14:schemeClr w14:val="tx1"/>
            </w14:solidFill>
          </w14:textFill>
        </w:rPr>
      </w:pPr>
    </w:p>
    <w:p w14:paraId="3D7FD596">
      <w:pPr>
        <w:rPr>
          <w:rFonts w:hint="eastAsia" w:ascii="宋体" w:hAnsi="宋体"/>
          <w:color w:val="000000" w:themeColor="text1"/>
          <w:highlight w:val="none"/>
          <w14:textFill>
            <w14:solidFill>
              <w14:schemeClr w14:val="tx1"/>
            </w14:solidFill>
          </w14:textFill>
        </w:rPr>
      </w:pPr>
    </w:p>
    <w:p w14:paraId="6C31C18B">
      <w:pPr>
        <w:pStyle w:val="8"/>
        <w:rPr>
          <w:rFonts w:hint="eastAsia" w:ascii="宋体" w:hAnsi="宋体"/>
          <w:color w:val="000000" w:themeColor="text1"/>
          <w:highlight w:val="none"/>
          <w14:textFill>
            <w14:solidFill>
              <w14:schemeClr w14:val="tx1"/>
            </w14:solidFill>
          </w14:textFill>
        </w:rPr>
      </w:pPr>
    </w:p>
    <w:p w14:paraId="4BDADA78">
      <w:pPr>
        <w:rPr>
          <w:rFonts w:hint="eastAsia" w:ascii="宋体" w:hAnsi="宋体"/>
          <w:color w:val="000000" w:themeColor="text1"/>
          <w:highlight w:val="none"/>
          <w14:textFill>
            <w14:solidFill>
              <w14:schemeClr w14:val="tx1"/>
            </w14:solidFill>
          </w14:textFill>
        </w:rPr>
      </w:pPr>
    </w:p>
    <w:p w14:paraId="25FC19DE">
      <w:pPr>
        <w:pStyle w:val="8"/>
        <w:rPr>
          <w:rFonts w:hint="eastAsia" w:ascii="宋体" w:hAnsi="宋体"/>
          <w:color w:val="000000" w:themeColor="text1"/>
          <w:highlight w:val="none"/>
          <w14:textFill>
            <w14:solidFill>
              <w14:schemeClr w14:val="tx1"/>
            </w14:solidFill>
          </w14:textFill>
        </w:rPr>
      </w:pPr>
    </w:p>
    <w:p w14:paraId="53791F2E">
      <w:pPr>
        <w:rPr>
          <w:rFonts w:hint="eastAsia" w:ascii="宋体" w:hAnsi="宋体"/>
          <w:color w:val="000000" w:themeColor="text1"/>
          <w:highlight w:val="none"/>
          <w14:textFill>
            <w14:solidFill>
              <w14:schemeClr w14:val="tx1"/>
            </w14:solidFill>
          </w14:textFill>
        </w:rPr>
      </w:pPr>
    </w:p>
    <w:p w14:paraId="68AE1721">
      <w:pPr>
        <w:pStyle w:val="8"/>
        <w:rPr>
          <w:rFonts w:hint="eastAsia" w:ascii="宋体" w:hAnsi="宋体"/>
          <w:color w:val="000000" w:themeColor="text1"/>
          <w:highlight w:val="none"/>
          <w14:textFill>
            <w14:solidFill>
              <w14:schemeClr w14:val="tx1"/>
            </w14:solidFill>
          </w14:textFill>
        </w:rPr>
      </w:pPr>
    </w:p>
    <w:p w14:paraId="79BA2AA5">
      <w:pPr>
        <w:rPr>
          <w:rFonts w:hint="eastAsia" w:ascii="宋体" w:hAnsi="宋体"/>
          <w:color w:val="000000" w:themeColor="text1"/>
          <w:highlight w:val="none"/>
          <w14:textFill>
            <w14:solidFill>
              <w14:schemeClr w14:val="tx1"/>
            </w14:solidFill>
          </w14:textFill>
        </w:rPr>
      </w:pPr>
    </w:p>
    <w:p w14:paraId="7602FE17">
      <w:pPr>
        <w:pStyle w:val="8"/>
        <w:rPr>
          <w:rFonts w:hint="eastAsia" w:ascii="宋体" w:hAnsi="宋体"/>
          <w:color w:val="000000" w:themeColor="text1"/>
          <w:highlight w:val="none"/>
          <w14:textFill>
            <w14:solidFill>
              <w14:schemeClr w14:val="tx1"/>
            </w14:solidFill>
          </w14:textFill>
        </w:rPr>
      </w:pPr>
    </w:p>
    <w:p w14:paraId="6BDAA5D3">
      <w:pPr>
        <w:rPr>
          <w:rFonts w:hint="eastAsia" w:ascii="宋体" w:hAnsi="宋体"/>
          <w:color w:val="000000" w:themeColor="text1"/>
          <w:highlight w:val="none"/>
          <w14:textFill>
            <w14:solidFill>
              <w14:schemeClr w14:val="tx1"/>
            </w14:solidFill>
          </w14:textFill>
        </w:rPr>
      </w:pPr>
    </w:p>
    <w:p w14:paraId="3E187807">
      <w:pPr>
        <w:pStyle w:val="8"/>
        <w:rPr>
          <w:rFonts w:hint="eastAsia" w:ascii="宋体" w:hAnsi="宋体"/>
          <w:color w:val="000000" w:themeColor="text1"/>
          <w:highlight w:val="none"/>
          <w14:textFill>
            <w14:solidFill>
              <w14:schemeClr w14:val="tx1"/>
            </w14:solidFill>
          </w14:textFill>
        </w:rPr>
      </w:pPr>
    </w:p>
    <w:p w14:paraId="4BC17F6E">
      <w:pPr>
        <w:rPr>
          <w:rFonts w:hint="eastAsia" w:ascii="宋体" w:hAnsi="宋体"/>
          <w:color w:val="000000" w:themeColor="text1"/>
          <w:highlight w:val="none"/>
          <w14:textFill>
            <w14:solidFill>
              <w14:schemeClr w14:val="tx1"/>
            </w14:solidFill>
          </w14:textFill>
        </w:rPr>
      </w:pPr>
    </w:p>
    <w:p w14:paraId="59428576">
      <w:pPr>
        <w:pStyle w:val="8"/>
        <w:rPr>
          <w:rFonts w:hint="eastAsia" w:ascii="宋体" w:hAnsi="宋体"/>
          <w:color w:val="000000" w:themeColor="text1"/>
          <w:highlight w:val="none"/>
          <w14:textFill>
            <w14:solidFill>
              <w14:schemeClr w14:val="tx1"/>
            </w14:solidFill>
          </w14:textFill>
        </w:rPr>
      </w:pPr>
    </w:p>
    <w:p w14:paraId="6806EC49">
      <w:pPr>
        <w:rPr>
          <w:rFonts w:hint="eastAsia" w:ascii="宋体" w:hAnsi="宋体"/>
          <w:color w:val="000000" w:themeColor="text1"/>
          <w:highlight w:val="none"/>
          <w14:textFill>
            <w14:solidFill>
              <w14:schemeClr w14:val="tx1"/>
            </w14:solidFill>
          </w14:textFill>
        </w:rPr>
      </w:pPr>
    </w:p>
    <w:p w14:paraId="6CA3A65A">
      <w:pPr>
        <w:pStyle w:val="8"/>
        <w:rPr>
          <w:rFonts w:hint="eastAsia" w:ascii="宋体" w:hAnsi="宋体"/>
          <w:color w:val="000000" w:themeColor="text1"/>
          <w:highlight w:val="none"/>
          <w14:textFill>
            <w14:solidFill>
              <w14:schemeClr w14:val="tx1"/>
            </w14:solidFill>
          </w14:textFill>
        </w:rPr>
      </w:pPr>
    </w:p>
    <w:p w14:paraId="5D31B1DF">
      <w:pPr>
        <w:rPr>
          <w:rFonts w:hint="eastAsia" w:ascii="宋体" w:hAnsi="宋体"/>
          <w:color w:val="000000" w:themeColor="text1"/>
          <w:highlight w:val="none"/>
          <w14:textFill>
            <w14:solidFill>
              <w14:schemeClr w14:val="tx1"/>
            </w14:solidFill>
          </w14:textFill>
        </w:rPr>
      </w:pPr>
    </w:p>
    <w:p w14:paraId="5681967F">
      <w:pPr>
        <w:pStyle w:val="8"/>
        <w:rPr>
          <w:rFonts w:hint="eastAsia" w:ascii="宋体" w:hAnsi="宋体"/>
          <w:color w:val="000000" w:themeColor="text1"/>
          <w:highlight w:val="none"/>
          <w14:textFill>
            <w14:solidFill>
              <w14:schemeClr w14:val="tx1"/>
            </w14:solidFill>
          </w14:textFill>
        </w:rPr>
      </w:pPr>
    </w:p>
    <w:p w14:paraId="447761D9">
      <w:pPr>
        <w:rPr>
          <w:rFonts w:hint="eastAsia" w:ascii="宋体" w:hAnsi="宋体"/>
          <w:color w:val="000000" w:themeColor="text1"/>
          <w:highlight w:val="none"/>
          <w14:textFill>
            <w14:solidFill>
              <w14:schemeClr w14:val="tx1"/>
            </w14:solidFill>
          </w14:textFill>
        </w:rPr>
      </w:pPr>
    </w:p>
    <w:p w14:paraId="32F1A843">
      <w:pPr>
        <w:pStyle w:val="8"/>
        <w:rPr>
          <w:rFonts w:hint="eastAsia" w:ascii="宋体" w:hAnsi="宋体"/>
          <w:color w:val="000000" w:themeColor="text1"/>
          <w:highlight w:val="none"/>
          <w14:textFill>
            <w14:solidFill>
              <w14:schemeClr w14:val="tx1"/>
            </w14:solidFill>
          </w14:textFill>
        </w:rPr>
      </w:pPr>
    </w:p>
    <w:p w14:paraId="7BD0D16D">
      <w:pPr>
        <w:rPr>
          <w:rFonts w:hint="eastAsia" w:ascii="宋体" w:hAnsi="宋体"/>
          <w:color w:val="000000" w:themeColor="text1"/>
          <w:highlight w:val="none"/>
          <w14:textFill>
            <w14:solidFill>
              <w14:schemeClr w14:val="tx1"/>
            </w14:solidFill>
          </w14:textFill>
        </w:rPr>
      </w:pPr>
    </w:p>
    <w:p w14:paraId="14FF408E">
      <w:pPr>
        <w:pStyle w:val="8"/>
        <w:rPr>
          <w:rFonts w:hint="eastAsia" w:ascii="宋体" w:hAnsi="宋体"/>
          <w:color w:val="000000" w:themeColor="text1"/>
          <w:highlight w:val="none"/>
          <w14:textFill>
            <w14:solidFill>
              <w14:schemeClr w14:val="tx1"/>
            </w14:solidFill>
          </w14:textFill>
        </w:rPr>
      </w:pPr>
    </w:p>
    <w:p w14:paraId="1F5C481A">
      <w:pPr>
        <w:rPr>
          <w:rFonts w:hint="eastAsia" w:ascii="宋体" w:hAnsi="宋体"/>
          <w:color w:val="000000" w:themeColor="text1"/>
          <w:highlight w:val="none"/>
          <w14:textFill>
            <w14:solidFill>
              <w14:schemeClr w14:val="tx1"/>
            </w14:solidFill>
          </w14:textFill>
        </w:rPr>
      </w:pPr>
    </w:p>
    <w:p w14:paraId="3246CFFC">
      <w:pPr>
        <w:pStyle w:val="8"/>
        <w:rPr>
          <w:rFonts w:hint="eastAsia" w:ascii="宋体" w:hAnsi="宋体"/>
          <w:color w:val="000000" w:themeColor="text1"/>
          <w:highlight w:val="none"/>
          <w14:textFill>
            <w14:solidFill>
              <w14:schemeClr w14:val="tx1"/>
            </w14:solidFill>
          </w14:textFill>
        </w:rPr>
      </w:pPr>
    </w:p>
    <w:p w14:paraId="61A5B569">
      <w:pPr>
        <w:rPr>
          <w:rFonts w:hint="eastAsia" w:ascii="宋体" w:hAnsi="宋体"/>
          <w:color w:val="000000" w:themeColor="text1"/>
          <w:highlight w:val="none"/>
          <w14:textFill>
            <w14:solidFill>
              <w14:schemeClr w14:val="tx1"/>
            </w14:solidFill>
          </w14:textFill>
        </w:rPr>
      </w:pPr>
    </w:p>
    <w:p w14:paraId="2D2D6632">
      <w:pPr>
        <w:pStyle w:val="8"/>
        <w:rPr>
          <w:rFonts w:hint="eastAsia" w:ascii="宋体" w:hAnsi="宋体"/>
          <w:color w:val="000000" w:themeColor="text1"/>
          <w:highlight w:val="none"/>
          <w14:textFill>
            <w14:solidFill>
              <w14:schemeClr w14:val="tx1"/>
            </w14:solidFill>
          </w14:textFill>
        </w:rPr>
      </w:pPr>
    </w:p>
    <w:sectPr>
      <w:pgSz w:w="11905" w:h="16838"/>
      <w:pgMar w:top="1134" w:right="1134" w:bottom="1134" w:left="1134" w:header="0" w:footer="0"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onospace">
    <w:altName w:val="Courier New"/>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6848"/>
    </w:sdtPr>
    <w:sdtContent>
      <w:sdt>
        <w:sdtPr>
          <w:id w:val="147477533"/>
        </w:sdtPr>
        <w:sdtContent>
          <w:p w14:paraId="1C567FA9">
            <w:pPr>
              <w:pStyle w:val="17"/>
              <w:jc w:val="center"/>
            </w:pPr>
          </w:p>
        </w:sdtContent>
      </w:sdt>
    </w:sdtContent>
  </w:sdt>
  <w:p w14:paraId="6D212BB1">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5770350"/>
      <w:docPartObj>
        <w:docPartGallery w:val="autotext"/>
      </w:docPartObj>
    </w:sdtPr>
    <w:sdtContent>
      <w:p w14:paraId="6258B71E">
        <w:pPr>
          <w:pStyle w:val="17"/>
          <w:jc w:val="center"/>
        </w:pPr>
        <w:r>
          <w:fldChar w:fldCharType="begin"/>
        </w:r>
        <w:r>
          <w:instrText xml:space="preserve">PAGE   \* MERGEFORMAT</w:instrText>
        </w:r>
        <w:r>
          <w:fldChar w:fldCharType="separate"/>
        </w:r>
        <w:r>
          <w:rPr>
            <w:lang w:val="zh-CN"/>
          </w:rPr>
          <w:t>2</w:t>
        </w:r>
        <w:r>
          <w:fldChar w:fldCharType="end"/>
        </w:r>
      </w:p>
    </w:sdtContent>
  </w:sdt>
  <w:p w14:paraId="2852BE23">
    <w:pPr>
      <w:pStyle w:val="1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6906C">
    <w:pPr>
      <w:pStyle w:val="18"/>
      <w:pBdr>
        <w:bottom w:val="none" w:color="auto" w:sz="0" w:space="1"/>
      </w:pBdr>
      <w:ind w:firstLine="540" w:firstLineChars="300"/>
      <w:jc w:val="both"/>
    </w:pPr>
  </w:p>
  <w:p w14:paraId="710F522D">
    <w:pPr>
      <w:pStyle w:val="18"/>
      <w:pBdr>
        <w:bottom w:val="none" w:color="auto" w:sz="0" w:space="1"/>
      </w:pBdr>
      <w:ind w:firstLine="540" w:firstLineChars="300"/>
      <w:jc w:val="both"/>
    </w:pPr>
  </w:p>
  <w:p w14:paraId="73D08B78">
    <w:pPr>
      <w:pStyle w:val="1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BD091"/>
    <w:multiLevelType w:val="singleLevel"/>
    <w:tmpl w:val="872BD091"/>
    <w:lvl w:ilvl="0" w:tentative="0">
      <w:start w:val="6"/>
      <w:numFmt w:val="chineseCounting"/>
      <w:suff w:val="nothing"/>
      <w:lvlText w:val="（%1）"/>
      <w:lvlJc w:val="left"/>
      <w:rPr>
        <w:rFonts w:hint="eastAsia"/>
      </w:rPr>
    </w:lvl>
  </w:abstractNum>
  <w:abstractNum w:abstractNumId="1">
    <w:nsid w:val="AC55D317"/>
    <w:multiLevelType w:val="singleLevel"/>
    <w:tmpl w:val="AC55D317"/>
    <w:lvl w:ilvl="0" w:tentative="0">
      <w:start w:val="5"/>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HorizontalSpacing w:val="210"/>
  <w:drawingGridVerticalSpacing w:val="158"/>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kYTgyNTUwMDQyOGMxMTc1ZjVlNDhjMDBhZjU5NWYifQ=="/>
    <w:docVar w:name="KSO_WPS_MARK_KEY" w:val="09899503-0025-4136-af5e-479c82b28b39"/>
  </w:docVars>
  <w:rsids>
    <w:rsidRoot w:val="2FFE23A7"/>
    <w:rsid w:val="0001767F"/>
    <w:rsid w:val="000224CD"/>
    <w:rsid w:val="0003799F"/>
    <w:rsid w:val="000421DD"/>
    <w:rsid w:val="0004282F"/>
    <w:rsid w:val="00044E68"/>
    <w:rsid w:val="000515B5"/>
    <w:rsid w:val="00056E14"/>
    <w:rsid w:val="00062AC5"/>
    <w:rsid w:val="00080CD0"/>
    <w:rsid w:val="00091411"/>
    <w:rsid w:val="00091CB6"/>
    <w:rsid w:val="00094DA2"/>
    <w:rsid w:val="000A5C0C"/>
    <w:rsid w:val="000B6D5C"/>
    <w:rsid w:val="000E44F5"/>
    <w:rsid w:val="00107DE6"/>
    <w:rsid w:val="00113131"/>
    <w:rsid w:val="00116630"/>
    <w:rsid w:val="00154A7F"/>
    <w:rsid w:val="001562F1"/>
    <w:rsid w:val="00186E45"/>
    <w:rsid w:val="001902BC"/>
    <w:rsid w:val="001A1BD6"/>
    <w:rsid w:val="001A2968"/>
    <w:rsid w:val="001B39C5"/>
    <w:rsid w:val="001F2DA7"/>
    <w:rsid w:val="00225681"/>
    <w:rsid w:val="00226DC7"/>
    <w:rsid w:val="0023478A"/>
    <w:rsid w:val="002459F3"/>
    <w:rsid w:val="00254177"/>
    <w:rsid w:val="002618E7"/>
    <w:rsid w:val="002633B0"/>
    <w:rsid w:val="00276E0E"/>
    <w:rsid w:val="002A3A7D"/>
    <w:rsid w:val="002B22D5"/>
    <w:rsid w:val="002B7C23"/>
    <w:rsid w:val="00301316"/>
    <w:rsid w:val="0032001C"/>
    <w:rsid w:val="00332741"/>
    <w:rsid w:val="00354E7C"/>
    <w:rsid w:val="003641D9"/>
    <w:rsid w:val="00365053"/>
    <w:rsid w:val="0037633D"/>
    <w:rsid w:val="003801B1"/>
    <w:rsid w:val="00391004"/>
    <w:rsid w:val="00392B56"/>
    <w:rsid w:val="003A23F6"/>
    <w:rsid w:val="003A34F3"/>
    <w:rsid w:val="003A62AA"/>
    <w:rsid w:val="003B122F"/>
    <w:rsid w:val="003B3F98"/>
    <w:rsid w:val="003C10B7"/>
    <w:rsid w:val="003C4D49"/>
    <w:rsid w:val="003D422B"/>
    <w:rsid w:val="003E41B6"/>
    <w:rsid w:val="003F3A4C"/>
    <w:rsid w:val="00406CBA"/>
    <w:rsid w:val="0041262C"/>
    <w:rsid w:val="00450422"/>
    <w:rsid w:val="00454216"/>
    <w:rsid w:val="004543A3"/>
    <w:rsid w:val="00454E2A"/>
    <w:rsid w:val="00455D59"/>
    <w:rsid w:val="004A135E"/>
    <w:rsid w:val="004A59DB"/>
    <w:rsid w:val="004A6BFB"/>
    <w:rsid w:val="004B24CA"/>
    <w:rsid w:val="004B5BB2"/>
    <w:rsid w:val="004C1AFA"/>
    <w:rsid w:val="004C4B4A"/>
    <w:rsid w:val="004C60C1"/>
    <w:rsid w:val="004D1994"/>
    <w:rsid w:val="004E58BD"/>
    <w:rsid w:val="004E7CD8"/>
    <w:rsid w:val="004F3C69"/>
    <w:rsid w:val="005136E6"/>
    <w:rsid w:val="005341EF"/>
    <w:rsid w:val="005370DE"/>
    <w:rsid w:val="00546F21"/>
    <w:rsid w:val="00555E15"/>
    <w:rsid w:val="005604C1"/>
    <w:rsid w:val="005604FD"/>
    <w:rsid w:val="00561144"/>
    <w:rsid w:val="00565F90"/>
    <w:rsid w:val="00582C8E"/>
    <w:rsid w:val="005E50E8"/>
    <w:rsid w:val="005E6CE6"/>
    <w:rsid w:val="006153FB"/>
    <w:rsid w:val="00637EEC"/>
    <w:rsid w:val="006735BE"/>
    <w:rsid w:val="0068429D"/>
    <w:rsid w:val="0069078B"/>
    <w:rsid w:val="006D6CFC"/>
    <w:rsid w:val="006E69D2"/>
    <w:rsid w:val="006F5DF0"/>
    <w:rsid w:val="007105B3"/>
    <w:rsid w:val="007153F7"/>
    <w:rsid w:val="00721D8D"/>
    <w:rsid w:val="007271B2"/>
    <w:rsid w:val="00734A25"/>
    <w:rsid w:val="007358D2"/>
    <w:rsid w:val="00742C6F"/>
    <w:rsid w:val="0075411B"/>
    <w:rsid w:val="007557EE"/>
    <w:rsid w:val="00791957"/>
    <w:rsid w:val="007959FF"/>
    <w:rsid w:val="007C259C"/>
    <w:rsid w:val="007D58BC"/>
    <w:rsid w:val="007F07F1"/>
    <w:rsid w:val="007F6088"/>
    <w:rsid w:val="00805EDB"/>
    <w:rsid w:val="00813FC0"/>
    <w:rsid w:val="00821ED9"/>
    <w:rsid w:val="00832F7A"/>
    <w:rsid w:val="008505EF"/>
    <w:rsid w:val="0086345E"/>
    <w:rsid w:val="008662D6"/>
    <w:rsid w:val="00872210"/>
    <w:rsid w:val="008765C2"/>
    <w:rsid w:val="008966EC"/>
    <w:rsid w:val="008A28FC"/>
    <w:rsid w:val="008B5AE2"/>
    <w:rsid w:val="008D15DD"/>
    <w:rsid w:val="008E33F2"/>
    <w:rsid w:val="008F69C9"/>
    <w:rsid w:val="009300F6"/>
    <w:rsid w:val="00935703"/>
    <w:rsid w:val="00952502"/>
    <w:rsid w:val="00955378"/>
    <w:rsid w:val="0097095A"/>
    <w:rsid w:val="009710CF"/>
    <w:rsid w:val="00982DEC"/>
    <w:rsid w:val="009939D7"/>
    <w:rsid w:val="009A13B3"/>
    <w:rsid w:val="009A6726"/>
    <w:rsid w:val="009B5687"/>
    <w:rsid w:val="009C2597"/>
    <w:rsid w:val="009C4AFC"/>
    <w:rsid w:val="009C6155"/>
    <w:rsid w:val="009D5E22"/>
    <w:rsid w:val="009F0667"/>
    <w:rsid w:val="00A45DFE"/>
    <w:rsid w:val="00A53423"/>
    <w:rsid w:val="00A90B04"/>
    <w:rsid w:val="00A95561"/>
    <w:rsid w:val="00AA21E7"/>
    <w:rsid w:val="00AA2FF5"/>
    <w:rsid w:val="00AB2B47"/>
    <w:rsid w:val="00AE4E5E"/>
    <w:rsid w:val="00AF48AF"/>
    <w:rsid w:val="00B02662"/>
    <w:rsid w:val="00B06D1B"/>
    <w:rsid w:val="00B142BD"/>
    <w:rsid w:val="00B263E7"/>
    <w:rsid w:val="00B26438"/>
    <w:rsid w:val="00B27631"/>
    <w:rsid w:val="00B62430"/>
    <w:rsid w:val="00B62DBC"/>
    <w:rsid w:val="00B67F69"/>
    <w:rsid w:val="00B8215B"/>
    <w:rsid w:val="00BA3127"/>
    <w:rsid w:val="00BC59F0"/>
    <w:rsid w:val="00BF09F6"/>
    <w:rsid w:val="00BF6F24"/>
    <w:rsid w:val="00C01B0B"/>
    <w:rsid w:val="00C02039"/>
    <w:rsid w:val="00C07ABF"/>
    <w:rsid w:val="00C229CA"/>
    <w:rsid w:val="00C230E6"/>
    <w:rsid w:val="00C36E0D"/>
    <w:rsid w:val="00C62A5E"/>
    <w:rsid w:val="00C66302"/>
    <w:rsid w:val="00C67720"/>
    <w:rsid w:val="00C842C7"/>
    <w:rsid w:val="00C863A0"/>
    <w:rsid w:val="00C9616F"/>
    <w:rsid w:val="00CA6FBD"/>
    <w:rsid w:val="00CA7F37"/>
    <w:rsid w:val="00CB163C"/>
    <w:rsid w:val="00CD79DA"/>
    <w:rsid w:val="00CD7A52"/>
    <w:rsid w:val="00CF57A1"/>
    <w:rsid w:val="00D10D1D"/>
    <w:rsid w:val="00D15BBE"/>
    <w:rsid w:val="00D321AA"/>
    <w:rsid w:val="00D5140C"/>
    <w:rsid w:val="00D737A6"/>
    <w:rsid w:val="00D85AC0"/>
    <w:rsid w:val="00D85D2C"/>
    <w:rsid w:val="00D94FBE"/>
    <w:rsid w:val="00DA5888"/>
    <w:rsid w:val="00DC2694"/>
    <w:rsid w:val="00DD7B4B"/>
    <w:rsid w:val="00E003C8"/>
    <w:rsid w:val="00E22DB4"/>
    <w:rsid w:val="00E271C9"/>
    <w:rsid w:val="00E33062"/>
    <w:rsid w:val="00E47489"/>
    <w:rsid w:val="00E764AF"/>
    <w:rsid w:val="00EB26BB"/>
    <w:rsid w:val="00EB564C"/>
    <w:rsid w:val="00ED3BD8"/>
    <w:rsid w:val="00ED6BDB"/>
    <w:rsid w:val="00EE0BD9"/>
    <w:rsid w:val="00EE5AAE"/>
    <w:rsid w:val="00EF11C2"/>
    <w:rsid w:val="00F21C9B"/>
    <w:rsid w:val="00F2301B"/>
    <w:rsid w:val="00F258BC"/>
    <w:rsid w:val="00F26BE2"/>
    <w:rsid w:val="00F33064"/>
    <w:rsid w:val="00F46D17"/>
    <w:rsid w:val="00F51F87"/>
    <w:rsid w:val="00F742B7"/>
    <w:rsid w:val="00F82A0C"/>
    <w:rsid w:val="00F95EE5"/>
    <w:rsid w:val="00FC38F2"/>
    <w:rsid w:val="00FD6160"/>
    <w:rsid w:val="00FE2F8B"/>
    <w:rsid w:val="00FF0BC9"/>
    <w:rsid w:val="0101295B"/>
    <w:rsid w:val="011A58BF"/>
    <w:rsid w:val="01203623"/>
    <w:rsid w:val="012E7619"/>
    <w:rsid w:val="013F696E"/>
    <w:rsid w:val="0142733E"/>
    <w:rsid w:val="014B07F6"/>
    <w:rsid w:val="014C08E4"/>
    <w:rsid w:val="01536B3C"/>
    <w:rsid w:val="01567C26"/>
    <w:rsid w:val="015B6D94"/>
    <w:rsid w:val="01606066"/>
    <w:rsid w:val="017F6E14"/>
    <w:rsid w:val="018C519F"/>
    <w:rsid w:val="019D6E0D"/>
    <w:rsid w:val="01AE7596"/>
    <w:rsid w:val="01CA5DA6"/>
    <w:rsid w:val="01CD415B"/>
    <w:rsid w:val="01D3669D"/>
    <w:rsid w:val="01DD41C2"/>
    <w:rsid w:val="01E27A17"/>
    <w:rsid w:val="01EC2AB6"/>
    <w:rsid w:val="01F9035B"/>
    <w:rsid w:val="02021905"/>
    <w:rsid w:val="02044401"/>
    <w:rsid w:val="02054EE3"/>
    <w:rsid w:val="021D21E9"/>
    <w:rsid w:val="02266A44"/>
    <w:rsid w:val="022877CA"/>
    <w:rsid w:val="02421D02"/>
    <w:rsid w:val="02693AEB"/>
    <w:rsid w:val="026D3223"/>
    <w:rsid w:val="027658FA"/>
    <w:rsid w:val="028A32C5"/>
    <w:rsid w:val="029B3BC4"/>
    <w:rsid w:val="02A227A1"/>
    <w:rsid w:val="02B80216"/>
    <w:rsid w:val="02C414C0"/>
    <w:rsid w:val="02CB1EC8"/>
    <w:rsid w:val="02D4401F"/>
    <w:rsid w:val="02D50E67"/>
    <w:rsid w:val="02DD40E6"/>
    <w:rsid w:val="02F76F90"/>
    <w:rsid w:val="02FE43BA"/>
    <w:rsid w:val="03083E17"/>
    <w:rsid w:val="030B27C9"/>
    <w:rsid w:val="030D278A"/>
    <w:rsid w:val="0321400D"/>
    <w:rsid w:val="032145A1"/>
    <w:rsid w:val="0334789D"/>
    <w:rsid w:val="03526D1B"/>
    <w:rsid w:val="03546813"/>
    <w:rsid w:val="035624C1"/>
    <w:rsid w:val="035B1CDD"/>
    <w:rsid w:val="03903C8A"/>
    <w:rsid w:val="03990198"/>
    <w:rsid w:val="039B3DC0"/>
    <w:rsid w:val="03B17681"/>
    <w:rsid w:val="03BD390D"/>
    <w:rsid w:val="03BD5EDE"/>
    <w:rsid w:val="03D8510C"/>
    <w:rsid w:val="03E0702B"/>
    <w:rsid w:val="03F813BD"/>
    <w:rsid w:val="040F50BD"/>
    <w:rsid w:val="0410603C"/>
    <w:rsid w:val="04116A0A"/>
    <w:rsid w:val="04117BDE"/>
    <w:rsid w:val="04131BA8"/>
    <w:rsid w:val="04180F6C"/>
    <w:rsid w:val="042B26C2"/>
    <w:rsid w:val="042C2334"/>
    <w:rsid w:val="04493B13"/>
    <w:rsid w:val="04505D2E"/>
    <w:rsid w:val="045448AA"/>
    <w:rsid w:val="046F071C"/>
    <w:rsid w:val="04713BE2"/>
    <w:rsid w:val="04881106"/>
    <w:rsid w:val="048A28FC"/>
    <w:rsid w:val="048F5F6A"/>
    <w:rsid w:val="04974B34"/>
    <w:rsid w:val="04A00C18"/>
    <w:rsid w:val="04B1084F"/>
    <w:rsid w:val="04B2316F"/>
    <w:rsid w:val="04E40345"/>
    <w:rsid w:val="050829F7"/>
    <w:rsid w:val="051200B1"/>
    <w:rsid w:val="05243941"/>
    <w:rsid w:val="052E1B4C"/>
    <w:rsid w:val="05324F15"/>
    <w:rsid w:val="053F6F8A"/>
    <w:rsid w:val="05455E06"/>
    <w:rsid w:val="05492C0D"/>
    <w:rsid w:val="055A7363"/>
    <w:rsid w:val="0562046B"/>
    <w:rsid w:val="056B0B53"/>
    <w:rsid w:val="058E3945"/>
    <w:rsid w:val="058E3AD8"/>
    <w:rsid w:val="05C4339F"/>
    <w:rsid w:val="05C87066"/>
    <w:rsid w:val="05CD3FD8"/>
    <w:rsid w:val="05DD203A"/>
    <w:rsid w:val="05E02329"/>
    <w:rsid w:val="05E608E0"/>
    <w:rsid w:val="05ED7633"/>
    <w:rsid w:val="05F03069"/>
    <w:rsid w:val="05FB176F"/>
    <w:rsid w:val="05FE5F77"/>
    <w:rsid w:val="06254CBA"/>
    <w:rsid w:val="06262D05"/>
    <w:rsid w:val="06401908"/>
    <w:rsid w:val="0640415C"/>
    <w:rsid w:val="06477725"/>
    <w:rsid w:val="064C2392"/>
    <w:rsid w:val="0657255A"/>
    <w:rsid w:val="065E2E82"/>
    <w:rsid w:val="066849C1"/>
    <w:rsid w:val="06872D56"/>
    <w:rsid w:val="068B2114"/>
    <w:rsid w:val="068F10FB"/>
    <w:rsid w:val="06AF2A09"/>
    <w:rsid w:val="06B65E46"/>
    <w:rsid w:val="06BA3CB2"/>
    <w:rsid w:val="06E87DA0"/>
    <w:rsid w:val="06FC6923"/>
    <w:rsid w:val="06FE70E5"/>
    <w:rsid w:val="0706182A"/>
    <w:rsid w:val="071A27E2"/>
    <w:rsid w:val="07230354"/>
    <w:rsid w:val="07263260"/>
    <w:rsid w:val="072B7208"/>
    <w:rsid w:val="0730382D"/>
    <w:rsid w:val="073B7D2E"/>
    <w:rsid w:val="075C73C2"/>
    <w:rsid w:val="07605B88"/>
    <w:rsid w:val="0764271A"/>
    <w:rsid w:val="07691ADF"/>
    <w:rsid w:val="076F5347"/>
    <w:rsid w:val="07736497"/>
    <w:rsid w:val="077C2139"/>
    <w:rsid w:val="077D7F4A"/>
    <w:rsid w:val="077F34E1"/>
    <w:rsid w:val="07891945"/>
    <w:rsid w:val="079E0602"/>
    <w:rsid w:val="07A721BC"/>
    <w:rsid w:val="07B70B97"/>
    <w:rsid w:val="07B90CB8"/>
    <w:rsid w:val="07BB058C"/>
    <w:rsid w:val="07CF5DE6"/>
    <w:rsid w:val="07E13187"/>
    <w:rsid w:val="07E86661"/>
    <w:rsid w:val="07F0210F"/>
    <w:rsid w:val="08063A96"/>
    <w:rsid w:val="08161655"/>
    <w:rsid w:val="081863CD"/>
    <w:rsid w:val="081B2A9D"/>
    <w:rsid w:val="082A5712"/>
    <w:rsid w:val="083A65ED"/>
    <w:rsid w:val="08417246"/>
    <w:rsid w:val="08422274"/>
    <w:rsid w:val="08523812"/>
    <w:rsid w:val="08545EC6"/>
    <w:rsid w:val="086D1A8A"/>
    <w:rsid w:val="087B7B7B"/>
    <w:rsid w:val="088274F0"/>
    <w:rsid w:val="08AE6343"/>
    <w:rsid w:val="08B40BC8"/>
    <w:rsid w:val="08D63513"/>
    <w:rsid w:val="08DF02AB"/>
    <w:rsid w:val="08F5557E"/>
    <w:rsid w:val="08F875BE"/>
    <w:rsid w:val="09093579"/>
    <w:rsid w:val="091B505B"/>
    <w:rsid w:val="092A4825"/>
    <w:rsid w:val="09362DF6"/>
    <w:rsid w:val="095C7B4D"/>
    <w:rsid w:val="0995305F"/>
    <w:rsid w:val="09AA3A1D"/>
    <w:rsid w:val="09B918AE"/>
    <w:rsid w:val="09BC0874"/>
    <w:rsid w:val="09C73BE8"/>
    <w:rsid w:val="09DC1F31"/>
    <w:rsid w:val="09E3331E"/>
    <w:rsid w:val="09E73EFC"/>
    <w:rsid w:val="09F2261F"/>
    <w:rsid w:val="09F86B2A"/>
    <w:rsid w:val="09FC4E8C"/>
    <w:rsid w:val="09FE6E56"/>
    <w:rsid w:val="0A0C7ACA"/>
    <w:rsid w:val="0A100804"/>
    <w:rsid w:val="0A1102E2"/>
    <w:rsid w:val="0A194254"/>
    <w:rsid w:val="0A271E18"/>
    <w:rsid w:val="0A3347BC"/>
    <w:rsid w:val="0A4355DA"/>
    <w:rsid w:val="0A44068A"/>
    <w:rsid w:val="0A487C3A"/>
    <w:rsid w:val="0A4D02BF"/>
    <w:rsid w:val="0A5B1BB3"/>
    <w:rsid w:val="0A67133D"/>
    <w:rsid w:val="0A694A7D"/>
    <w:rsid w:val="0A6A57A5"/>
    <w:rsid w:val="0A9008E7"/>
    <w:rsid w:val="0A9020CC"/>
    <w:rsid w:val="0AAE6186"/>
    <w:rsid w:val="0ABA0FCF"/>
    <w:rsid w:val="0ABA2D7D"/>
    <w:rsid w:val="0AC77248"/>
    <w:rsid w:val="0ACC27E4"/>
    <w:rsid w:val="0ACF3A80"/>
    <w:rsid w:val="0AD23916"/>
    <w:rsid w:val="0AD35BED"/>
    <w:rsid w:val="0AD656DD"/>
    <w:rsid w:val="0ADE5E64"/>
    <w:rsid w:val="0AF22B35"/>
    <w:rsid w:val="0AFA34B1"/>
    <w:rsid w:val="0B106CAC"/>
    <w:rsid w:val="0B1A5CD3"/>
    <w:rsid w:val="0B220922"/>
    <w:rsid w:val="0B2823DD"/>
    <w:rsid w:val="0B2E4A56"/>
    <w:rsid w:val="0B307789"/>
    <w:rsid w:val="0B460AB5"/>
    <w:rsid w:val="0B4D7E8E"/>
    <w:rsid w:val="0B50723E"/>
    <w:rsid w:val="0B6308E9"/>
    <w:rsid w:val="0B705B32"/>
    <w:rsid w:val="0B7145D0"/>
    <w:rsid w:val="0B765350"/>
    <w:rsid w:val="0B7F3FC7"/>
    <w:rsid w:val="0B89066D"/>
    <w:rsid w:val="0BB35488"/>
    <w:rsid w:val="0BB579CB"/>
    <w:rsid w:val="0BCA624F"/>
    <w:rsid w:val="0BE30AB2"/>
    <w:rsid w:val="0BE46766"/>
    <w:rsid w:val="0BE9219E"/>
    <w:rsid w:val="0BEB203B"/>
    <w:rsid w:val="0BF41BB0"/>
    <w:rsid w:val="0BF642F0"/>
    <w:rsid w:val="0BFE16AF"/>
    <w:rsid w:val="0C1666D9"/>
    <w:rsid w:val="0C193AD3"/>
    <w:rsid w:val="0C2974B8"/>
    <w:rsid w:val="0C2F32F7"/>
    <w:rsid w:val="0C3A7C0E"/>
    <w:rsid w:val="0C3E79DE"/>
    <w:rsid w:val="0C4652FF"/>
    <w:rsid w:val="0C61547A"/>
    <w:rsid w:val="0C684A5B"/>
    <w:rsid w:val="0C6C1608"/>
    <w:rsid w:val="0C7C0616"/>
    <w:rsid w:val="0C811679"/>
    <w:rsid w:val="0C880DDD"/>
    <w:rsid w:val="0C9413AC"/>
    <w:rsid w:val="0C954478"/>
    <w:rsid w:val="0C9B6BDE"/>
    <w:rsid w:val="0CA361B6"/>
    <w:rsid w:val="0CB52C05"/>
    <w:rsid w:val="0CB64DE3"/>
    <w:rsid w:val="0CC110D6"/>
    <w:rsid w:val="0CCB0493"/>
    <w:rsid w:val="0CEB6AB4"/>
    <w:rsid w:val="0CED658B"/>
    <w:rsid w:val="0CF06F2A"/>
    <w:rsid w:val="0CFF4934"/>
    <w:rsid w:val="0D0A6EF1"/>
    <w:rsid w:val="0D0B30B0"/>
    <w:rsid w:val="0D2131A7"/>
    <w:rsid w:val="0D215CDD"/>
    <w:rsid w:val="0D2512B6"/>
    <w:rsid w:val="0D2A00A8"/>
    <w:rsid w:val="0D2F0B75"/>
    <w:rsid w:val="0D336E17"/>
    <w:rsid w:val="0D470B14"/>
    <w:rsid w:val="0D4C22C8"/>
    <w:rsid w:val="0D57447A"/>
    <w:rsid w:val="0D5A25F6"/>
    <w:rsid w:val="0D8608DB"/>
    <w:rsid w:val="0D9961D1"/>
    <w:rsid w:val="0DA9532B"/>
    <w:rsid w:val="0DA97B2E"/>
    <w:rsid w:val="0DC4745D"/>
    <w:rsid w:val="0DCB16CB"/>
    <w:rsid w:val="0DCC0A89"/>
    <w:rsid w:val="0DCF5CF9"/>
    <w:rsid w:val="0DEC1F6C"/>
    <w:rsid w:val="0E0235FA"/>
    <w:rsid w:val="0E116BEA"/>
    <w:rsid w:val="0E3B6343"/>
    <w:rsid w:val="0E403B88"/>
    <w:rsid w:val="0E43752E"/>
    <w:rsid w:val="0E444E5D"/>
    <w:rsid w:val="0E4608B9"/>
    <w:rsid w:val="0E6A2D0C"/>
    <w:rsid w:val="0E78488F"/>
    <w:rsid w:val="0E813BB2"/>
    <w:rsid w:val="0EC20846"/>
    <w:rsid w:val="0EC24252"/>
    <w:rsid w:val="0EC82AF5"/>
    <w:rsid w:val="0EDF667F"/>
    <w:rsid w:val="0EF60B8A"/>
    <w:rsid w:val="0EF67285"/>
    <w:rsid w:val="0F455F0B"/>
    <w:rsid w:val="0F587009"/>
    <w:rsid w:val="0F627C4F"/>
    <w:rsid w:val="0F821F29"/>
    <w:rsid w:val="0F844322"/>
    <w:rsid w:val="0F852E27"/>
    <w:rsid w:val="0F951311"/>
    <w:rsid w:val="0F986B8D"/>
    <w:rsid w:val="0F9A17AC"/>
    <w:rsid w:val="0FAB3072"/>
    <w:rsid w:val="0FBF2F33"/>
    <w:rsid w:val="0FC621C4"/>
    <w:rsid w:val="0FDC535A"/>
    <w:rsid w:val="0FE070FA"/>
    <w:rsid w:val="0FE16FFE"/>
    <w:rsid w:val="0FE25C4D"/>
    <w:rsid w:val="0FE721C0"/>
    <w:rsid w:val="0FEA7759"/>
    <w:rsid w:val="0FED6DF6"/>
    <w:rsid w:val="0FFA3C1C"/>
    <w:rsid w:val="10002F26"/>
    <w:rsid w:val="100449C4"/>
    <w:rsid w:val="100F6DC1"/>
    <w:rsid w:val="10142F30"/>
    <w:rsid w:val="10166261"/>
    <w:rsid w:val="101964F1"/>
    <w:rsid w:val="1020362D"/>
    <w:rsid w:val="102A5B16"/>
    <w:rsid w:val="102C233D"/>
    <w:rsid w:val="102C3B1F"/>
    <w:rsid w:val="10383F9B"/>
    <w:rsid w:val="104B5127"/>
    <w:rsid w:val="104E0165"/>
    <w:rsid w:val="10521CAA"/>
    <w:rsid w:val="10604498"/>
    <w:rsid w:val="106A794E"/>
    <w:rsid w:val="106D12E6"/>
    <w:rsid w:val="10A76C83"/>
    <w:rsid w:val="10B24586"/>
    <w:rsid w:val="10CC559A"/>
    <w:rsid w:val="10D562A1"/>
    <w:rsid w:val="10DE52EC"/>
    <w:rsid w:val="10E3528B"/>
    <w:rsid w:val="10E87F18"/>
    <w:rsid w:val="10F40931"/>
    <w:rsid w:val="10F96D68"/>
    <w:rsid w:val="10FB17CA"/>
    <w:rsid w:val="10FD46D7"/>
    <w:rsid w:val="10FE14EA"/>
    <w:rsid w:val="10FE598E"/>
    <w:rsid w:val="11072F7B"/>
    <w:rsid w:val="11081443"/>
    <w:rsid w:val="110B4BB3"/>
    <w:rsid w:val="1114221C"/>
    <w:rsid w:val="112E31F5"/>
    <w:rsid w:val="1139301B"/>
    <w:rsid w:val="11424701"/>
    <w:rsid w:val="114535BD"/>
    <w:rsid w:val="114A26A0"/>
    <w:rsid w:val="11537A88"/>
    <w:rsid w:val="117F3285"/>
    <w:rsid w:val="1183400E"/>
    <w:rsid w:val="11851C0B"/>
    <w:rsid w:val="11BD7AD1"/>
    <w:rsid w:val="11C16DD7"/>
    <w:rsid w:val="11CE35B2"/>
    <w:rsid w:val="11D73AFA"/>
    <w:rsid w:val="11E76422"/>
    <w:rsid w:val="120C2E7A"/>
    <w:rsid w:val="12105979"/>
    <w:rsid w:val="12196881"/>
    <w:rsid w:val="12284B16"/>
    <w:rsid w:val="123F625E"/>
    <w:rsid w:val="12492F13"/>
    <w:rsid w:val="125C0251"/>
    <w:rsid w:val="125D2F7F"/>
    <w:rsid w:val="126B6F2D"/>
    <w:rsid w:val="126F0FE9"/>
    <w:rsid w:val="12977E48"/>
    <w:rsid w:val="129F2B53"/>
    <w:rsid w:val="12A845A8"/>
    <w:rsid w:val="12B40AA7"/>
    <w:rsid w:val="12BA2926"/>
    <w:rsid w:val="12CF697F"/>
    <w:rsid w:val="12DC1B4C"/>
    <w:rsid w:val="13001549"/>
    <w:rsid w:val="13045EFF"/>
    <w:rsid w:val="130B4B50"/>
    <w:rsid w:val="13161850"/>
    <w:rsid w:val="133815F1"/>
    <w:rsid w:val="135B7547"/>
    <w:rsid w:val="135E26A6"/>
    <w:rsid w:val="13673B1E"/>
    <w:rsid w:val="136748FF"/>
    <w:rsid w:val="136E75D7"/>
    <w:rsid w:val="13704D68"/>
    <w:rsid w:val="1390697B"/>
    <w:rsid w:val="13B76BA2"/>
    <w:rsid w:val="13B81E24"/>
    <w:rsid w:val="13CC2943"/>
    <w:rsid w:val="13EC5F71"/>
    <w:rsid w:val="13FB0A64"/>
    <w:rsid w:val="140A6BE4"/>
    <w:rsid w:val="14272A04"/>
    <w:rsid w:val="14283E94"/>
    <w:rsid w:val="143123B4"/>
    <w:rsid w:val="144F242A"/>
    <w:rsid w:val="14506500"/>
    <w:rsid w:val="145A616C"/>
    <w:rsid w:val="145A79EE"/>
    <w:rsid w:val="145D5680"/>
    <w:rsid w:val="147A1C07"/>
    <w:rsid w:val="147A7952"/>
    <w:rsid w:val="148F7029"/>
    <w:rsid w:val="14A20FD8"/>
    <w:rsid w:val="14AF0A9E"/>
    <w:rsid w:val="14C052F1"/>
    <w:rsid w:val="14C21B6F"/>
    <w:rsid w:val="14CC69BE"/>
    <w:rsid w:val="14CD2FEA"/>
    <w:rsid w:val="14D9462E"/>
    <w:rsid w:val="14DE5C5A"/>
    <w:rsid w:val="14E05160"/>
    <w:rsid w:val="14E07884"/>
    <w:rsid w:val="14F37726"/>
    <w:rsid w:val="14F44840"/>
    <w:rsid w:val="15010C92"/>
    <w:rsid w:val="150D7A74"/>
    <w:rsid w:val="15171E45"/>
    <w:rsid w:val="151C5F20"/>
    <w:rsid w:val="152A4FA3"/>
    <w:rsid w:val="15325BF5"/>
    <w:rsid w:val="15360D63"/>
    <w:rsid w:val="1558382C"/>
    <w:rsid w:val="155B33AF"/>
    <w:rsid w:val="155B6F0B"/>
    <w:rsid w:val="15701865"/>
    <w:rsid w:val="15790A9D"/>
    <w:rsid w:val="15A80ED6"/>
    <w:rsid w:val="15AD5A96"/>
    <w:rsid w:val="15B12FCF"/>
    <w:rsid w:val="15CB06E2"/>
    <w:rsid w:val="15D41132"/>
    <w:rsid w:val="15D564C4"/>
    <w:rsid w:val="15DD5B72"/>
    <w:rsid w:val="15DE44D2"/>
    <w:rsid w:val="15E77AEE"/>
    <w:rsid w:val="15EB6829"/>
    <w:rsid w:val="15F2470E"/>
    <w:rsid w:val="15F5735F"/>
    <w:rsid w:val="15F64E85"/>
    <w:rsid w:val="15F7061B"/>
    <w:rsid w:val="15F829AC"/>
    <w:rsid w:val="16175528"/>
    <w:rsid w:val="162923AE"/>
    <w:rsid w:val="16452C82"/>
    <w:rsid w:val="16781D3E"/>
    <w:rsid w:val="167D1838"/>
    <w:rsid w:val="167D7C9E"/>
    <w:rsid w:val="1684355B"/>
    <w:rsid w:val="16922E00"/>
    <w:rsid w:val="16976668"/>
    <w:rsid w:val="16994E4A"/>
    <w:rsid w:val="169E2CE6"/>
    <w:rsid w:val="16A55C77"/>
    <w:rsid w:val="16B45F24"/>
    <w:rsid w:val="16C032D5"/>
    <w:rsid w:val="16C46D32"/>
    <w:rsid w:val="16D026BB"/>
    <w:rsid w:val="16E6314C"/>
    <w:rsid w:val="16F56DA3"/>
    <w:rsid w:val="170A20BB"/>
    <w:rsid w:val="171B2680"/>
    <w:rsid w:val="173F71BF"/>
    <w:rsid w:val="17426B8D"/>
    <w:rsid w:val="17555615"/>
    <w:rsid w:val="1779404E"/>
    <w:rsid w:val="17804C49"/>
    <w:rsid w:val="178070FD"/>
    <w:rsid w:val="17955DED"/>
    <w:rsid w:val="179A111C"/>
    <w:rsid w:val="179A5FEC"/>
    <w:rsid w:val="179F6AD9"/>
    <w:rsid w:val="17C80364"/>
    <w:rsid w:val="17D82A95"/>
    <w:rsid w:val="17E85AC5"/>
    <w:rsid w:val="17EA0A1A"/>
    <w:rsid w:val="17F200CF"/>
    <w:rsid w:val="18155A97"/>
    <w:rsid w:val="182E6B59"/>
    <w:rsid w:val="184D5B81"/>
    <w:rsid w:val="1865456F"/>
    <w:rsid w:val="18682902"/>
    <w:rsid w:val="1881137E"/>
    <w:rsid w:val="188576FD"/>
    <w:rsid w:val="188C6DAC"/>
    <w:rsid w:val="188D1AD1"/>
    <w:rsid w:val="18DD4E57"/>
    <w:rsid w:val="18EF45F9"/>
    <w:rsid w:val="18FD277E"/>
    <w:rsid w:val="192A24B1"/>
    <w:rsid w:val="194817FC"/>
    <w:rsid w:val="194B0481"/>
    <w:rsid w:val="194F38AF"/>
    <w:rsid w:val="195720DF"/>
    <w:rsid w:val="19735F7B"/>
    <w:rsid w:val="19805192"/>
    <w:rsid w:val="198124BA"/>
    <w:rsid w:val="19892807"/>
    <w:rsid w:val="19A215AC"/>
    <w:rsid w:val="19B65058"/>
    <w:rsid w:val="19B678E2"/>
    <w:rsid w:val="19C24C2F"/>
    <w:rsid w:val="19C5298C"/>
    <w:rsid w:val="1A0A6E6B"/>
    <w:rsid w:val="1A115BD9"/>
    <w:rsid w:val="1A13070C"/>
    <w:rsid w:val="1A270452"/>
    <w:rsid w:val="1A2B6E03"/>
    <w:rsid w:val="1A2D15F7"/>
    <w:rsid w:val="1A330C7D"/>
    <w:rsid w:val="1A3438DD"/>
    <w:rsid w:val="1A392129"/>
    <w:rsid w:val="1A3E2420"/>
    <w:rsid w:val="1A4B30EF"/>
    <w:rsid w:val="1A582C70"/>
    <w:rsid w:val="1A626F8D"/>
    <w:rsid w:val="1A6F47E7"/>
    <w:rsid w:val="1A796EDA"/>
    <w:rsid w:val="1A807414"/>
    <w:rsid w:val="1A8314AC"/>
    <w:rsid w:val="1A8B2040"/>
    <w:rsid w:val="1AAE3F81"/>
    <w:rsid w:val="1ABF16F8"/>
    <w:rsid w:val="1AC27A2C"/>
    <w:rsid w:val="1AC35115"/>
    <w:rsid w:val="1AC35C7E"/>
    <w:rsid w:val="1AC5074E"/>
    <w:rsid w:val="1AC775D5"/>
    <w:rsid w:val="1AE259D8"/>
    <w:rsid w:val="1AE44BBE"/>
    <w:rsid w:val="1AEE43A6"/>
    <w:rsid w:val="1AF720E7"/>
    <w:rsid w:val="1AF771ED"/>
    <w:rsid w:val="1B083050"/>
    <w:rsid w:val="1B1E4D15"/>
    <w:rsid w:val="1B375AAA"/>
    <w:rsid w:val="1B3E075A"/>
    <w:rsid w:val="1B4D5E7C"/>
    <w:rsid w:val="1B5C39DD"/>
    <w:rsid w:val="1B711F43"/>
    <w:rsid w:val="1B764745"/>
    <w:rsid w:val="1B7A20B5"/>
    <w:rsid w:val="1B7D59C4"/>
    <w:rsid w:val="1B9118D8"/>
    <w:rsid w:val="1B9744B4"/>
    <w:rsid w:val="1B9851D1"/>
    <w:rsid w:val="1BA05747"/>
    <w:rsid w:val="1BA42D2D"/>
    <w:rsid w:val="1BAE39CB"/>
    <w:rsid w:val="1BC62263"/>
    <w:rsid w:val="1BC81072"/>
    <w:rsid w:val="1BCD35DA"/>
    <w:rsid w:val="1BF43C15"/>
    <w:rsid w:val="1C025F6F"/>
    <w:rsid w:val="1C055E22"/>
    <w:rsid w:val="1C1351EB"/>
    <w:rsid w:val="1C1C57EF"/>
    <w:rsid w:val="1C273FEB"/>
    <w:rsid w:val="1C2D6A5C"/>
    <w:rsid w:val="1C3C21A2"/>
    <w:rsid w:val="1C3D55BC"/>
    <w:rsid w:val="1C4A5F2B"/>
    <w:rsid w:val="1C5921A5"/>
    <w:rsid w:val="1C6B3E0D"/>
    <w:rsid w:val="1C765B70"/>
    <w:rsid w:val="1C950DC8"/>
    <w:rsid w:val="1C9C1682"/>
    <w:rsid w:val="1CA13D9D"/>
    <w:rsid w:val="1CB30543"/>
    <w:rsid w:val="1CB82636"/>
    <w:rsid w:val="1CC27025"/>
    <w:rsid w:val="1CC7757C"/>
    <w:rsid w:val="1CC91557"/>
    <w:rsid w:val="1CEB2779"/>
    <w:rsid w:val="1CF345C3"/>
    <w:rsid w:val="1D0E319D"/>
    <w:rsid w:val="1D152D3C"/>
    <w:rsid w:val="1D221566"/>
    <w:rsid w:val="1D26133C"/>
    <w:rsid w:val="1D305121"/>
    <w:rsid w:val="1D3811FA"/>
    <w:rsid w:val="1D3A6632"/>
    <w:rsid w:val="1D466FB9"/>
    <w:rsid w:val="1D617193"/>
    <w:rsid w:val="1D694302"/>
    <w:rsid w:val="1D867D1A"/>
    <w:rsid w:val="1D991C1D"/>
    <w:rsid w:val="1D9C18F5"/>
    <w:rsid w:val="1DAE1690"/>
    <w:rsid w:val="1DD4372B"/>
    <w:rsid w:val="1DDE4001"/>
    <w:rsid w:val="1DDF4D1C"/>
    <w:rsid w:val="1E0F6B52"/>
    <w:rsid w:val="1E18679A"/>
    <w:rsid w:val="1E1E141D"/>
    <w:rsid w:val="1E3824DF"/>
    <w:rsid w:val="1E567BD3"/>
    <w:rsid w:val="1E5E31B8"/>
    <w:rsid w:val="1E6731D5"/>
    <w:rsid w:val="1E7320C1"/>
    <w:rsid w:val="1E8C5541"/>
    <w:rsid w:val="1E9320FC"/>
    <w:rsid w:val="1EAC7E0A"/>
    <w:rsid w:val="1EAF2075"/>
    <w:rsid w:val="1EC42614"/>
    <w:rsid w:val="1ED80344"/>
    <w:rsid w:val="1EEA1677"/>
    <w:rsid w:val="1EED3E3E"/>
    <w:rsid w:val="1EF30FC6"/>
    <w:rsid w:val="1EF83F76"/>
    <w:rsid w:val="1EFF4CE4"/>
    <w:rsid w:val="1F0079D8"/>
    <w:rsid w:val="1F046D4E"/>
    <w:rsid w:val="1F161E9C"/>
    <w:rsid w:val="1F1D18F8"/>
    <w:rsid w:val="1F1E1139"/>
    <w:rsid w:val="1F213EE7"/>
    <w:rsid w:val="1F2B6469"/>
    <w:rsid w:val="1F321598"/>
    <w:rsid w:val="1F396135"/>
    <w:rsid w:val="1F3E7C39"/>
    <w:rsid w:val="1F555A28"/>
    <w:rsid w:val="1F9512A8"/>
    <w:rsid w:val="1FA56903"/>
    <w:rsid w:val="1FA63478"/>
    <w:rsid w:val="1FC57DA2"/>
    <w:rsid w:val="1FC74AFD"/>
    <w:rsid w:val="1FCA32AD"/>
    <w:rsid w:val="1FD15EE1"/>
    <w:rsid w:val="1FD75D28"/>
    <w:rsid w:val="1FDD6E90"/>
    <w:rsid w:val="1FEB3CBD"/>
    <w:rsid w:val="1FF115A0"/>
    <w:rsid w:val="1FF36207"/>
    <w:rsid w:val="1FF75D21"/>
    <w:rsid w:val="1FFC6307"/>
    <w:rsid w:val="20104D96"/>
    <w:rsid w:val="20135C1B"/>
    <w:rsid w:val="20237641"/>
    <w:rsid w:val="202730EF"/>
    <w:rsid w:val="20370574"/>
    <w:rsid w:val="203942EC"/>
    <w:rsid w:val="204A7561"/>
    <w:rsid w:val="20523E82"/>
    <w:rsid w:val="205729C5"/>
    <w:rsid w:val="20644807"/>
    <w:rsid w:val="20672C08"/>
    <w:rsid w:val="206A303B"/>
    <w:rsid w:val="206F2EC4"/>
    <w:rsid w:val="206F7D0E"/>
    <w:rsid w:val="20745325"/>
    <w:rsid w:val="207A752A"/>
    <w:rsid w:val="20810B23"/>
    <w:rsid w:val="2082196C"/>
    <w:rsid w:val="20850437"/>
    <w:rsid w:val="20932C15"/>
    <w:rsid w:val="209C2DA4"/>
    <w:rsid w:val="20C8153E"/>
    <w:rsid w:val="20CC747B"/>
    <w:rsid w:val="20DA783F"/>
    <w:rsid w:val="2107263D"/>
    <w:rsid w:val="21082D78"/>
    <w:rsid w:val="210A0830"/>
    <w:rsid w:val="211A2370"/>
    <w:rsid w:val="213F2A78"/>
    <w:rsid w:val="214116AB"/>
    <w:rsid w:val="21414E27"/>
    <w:rsid w:val="21640601"/>
    <w:rsid w:val="2164183D"/>
    <w:rsid w:val="218868EF"/>
    <w:rsid w:val="218B1A55"/>
    <w:rsid w:val="218B7BAB"/>
    <w:rsid w:val="218F5E02"/>
    <w:rsid w:val="219B50F6"/>
    <w:rsid w:val="21AE2AB8"/>
    <w:rsid w:val="21B30E0B"/>
    <w:rsid w:val="21C00CE5"/>
    <w:rsid w:val="21C2344F"/>
    <w:rsid w:val="21C268AC"/>
    <w:rsid w:val="21CC4F72"/>
    <w:rsid w:val="21CE0281"/>
    <w:rsid w:val="21D56297"/>
    <w:rsid w:val="21DC7625"/>
    <w:rsid w:val="21E735F7"/>
    <w:rsid w:val="22123F32"/>
    <w:rsid w:val="221338AA"/>
    <w:rsid w:val="221417DE"/>
    <w:rsid w:val="222516C8"/>
    <w:rsid w:val="2227225B"/>
    <w:rsid w:val="223814FD"/>
    <w:rsid w:val="2260404C"/>
    <w:rsid w:val="22696FFE"/>
    <w:rsid w:val="226A4C31"/>
    <w:rsid w:val="227C6D79"/>
    <w:rsid w:val="228D26CE"/>
    <w:rsid w:val="22934188"/>
    <w:rsid w:val="229879F0"/>
    <w:rsid w:val="22AC2D12"/>
    <w:rsid w:val="22DF73CD"/>
    <w:rsid w:val="22E14EBC"/>
    <w:rsid w:val="22F664C5"/>
    <w:rsid w:val="23051942"/>
    <w:rsid w:val="23264FFC"/>
    <w:rsid w:val="233B0B10"/>
    <w:rsid w:val="234B4A63"/>
    <w:rsid w:val="234E6301"/>
    <w:rsid w:val="23752E7F"/>
    <w:rsid w:val="238626BD"/>
    <w:rsid w:val="23953F30"/>
    <w:rsid w:val="239C57B8"/>
    <w:rsid w:val="23A1214F"/>
    <w:rsid w:val="23AD721F"/>
    <w:rsid w:val="23B0550D"/>
    <w:rsid w:val="23CB16FF"/>
    <w:rsid w:val="23E629DD"/>
    <w:rsid w:val="23E9569E"/>
    <w:rsid w:val="23F22A95"/>
    <w:rsid w:val="23FC376D"/>
    <w:rsid w:val="23FC7916"/>
    <w:rsid w:val="240024A9"/>
    <w:rsid w:val="24022841"/>
    <w:rsid w:val="240C069F"/>
    <w:rsid w:val="24117358"/>
    <w:rsid w:val="244120BC"/>
    <w:rsid w:val="24423E2D"/>
    <w:rsid w:val="24493123"/>
    <w:rsid w:val="246833F2"/>
    <w:rsid w:val="246E3BEE"/>
    <w:rsid w:val="24BE72A6"/>
    <w:rsid w:val="24C956C5"/>
    <w:rsid w:val="24D171E9"/>
    <w:rsid w:val="24D9609E"/>
    <w:rsid w:val="24F15196"/>
    <w:rsid w:val="24F77E58"/>
    <w:rsid w:val="24F904EE"/>
    <w:rsid w:val="2501318E"/>
    <w:rsid w:val="251B4AC5"/>
    <w:rsid w:val="25201F1F"/>
    <w:rsid w:val="252A49EA"/>
    <w:rsid w:val="252F17E9"/>
    <w:rsid w:val="254259F1"/>
    <w:rsid w:val="25446A6C"/>
    <w:rsid w:val="257865D0"/>
    <w:rsid w:val="25A312AB"/>
    <w:rsid w:val="25B74631"/>
    <w:rsid w:val="25D56542"/>
    <w:rsid w:val="25E1345C"/>
    <w:rsid w:val="25E14A26"/>
    <w:rsid w:val="25F211C5"/>
    <w:rsid w:val="25F2787D"/>
    <w:rsid w:val="25F9498E"/>
    <w:rsid w:val="26085E35"/>
    <w:rsid w:val="26250EA4"/>
    <w:rsid w:val="26284BE7"/>
    <w:rsid w:val="262D7636"/>
    <w:rsid w:val="26351AE9"/>
    <w:rsid w:val="263E46AC"/>
    <w:rsid w:val="263F5A17"/>
    <w:rsid w:val="264634B9"/>
    <w:rsid w:val="264659B5"/>
    <w:rsid w:val="2649453F"/>
    <w:rsid w:val="264A1B0E"/>
    <w:rsid w:val="264F486A"/>
    <w:rsid w:val="26600EFE"/>
    <w:rsid w:val="26751DF6"/>
    <w:rsid w:val="26830A83"/>
    <w:rsid w:val="268F7F2A"/>
    <w:rsid w:val="26960004"/>
    <w:rsid w:val="269A185A"/>
    <w:rsid w:val="269C2FFA"/>
    <w:rsid w:val="26BB3CAD"/>
    <w:rsid w:val="26CF7759"/>
    <w:rsid w:val="26DA7746"/>
    <w:rsid w:val="26E013F5"/>
    <w:rsid w:val="26E66825"/>
    <w:rsid w:val="26EC0FE0"/>
    <w:rsid w:val="26F60996"/>
    <w:rsid w:val="270E64D3"/>
    <w:rsid w:val="27146081"/>
    <w:rsid w:val="271D5136"/>
    <w:rsid w:val="27361C32"/>
    <w:rsid w:val="273C196F"/>
    <w:rsid w:val="273F73E6"/>
    <w:rsid w:val="274367FF"/>
    <w:rsid w:val="275D6B12"/>
    <w:rsid w:val="276726E4"/>
    <w:rsid w:val="27677991"/>
    <w:rsid w:val="276E51C4"/>
    <w:rsid w:val="277E377C"/>
    <w:rsid w:val="278B50BA"/>
    <w:rsid w:val="27A83832"/>
    <w:rsid w:val="27B66DC9"/>
    <w:rsid w:val="27CA1F96"/>
    <w:rsid w:val="27CF1CA7"/>
    <w:rsid w:val="27D007EA"/>
    <w:rsid w:val="27D81F82"/>
    <w:rsid w:val="27E17DF0"/>
    <w:rsid w:val="27F31454"/>
    <w:rsid w:val="27F356C9"/>
    <w:rsid w:val="27FC632B"/>
    <w:rsid w:val="281F2669"/>
    <w:rsid w:val="28291C50"/>
    <w:rsid w:val="2829235B"/>
    <w:rsid w:val="28353194"/>
    <w:rsid w:val="283C177F"/>
    <w:rsid w:val="28447CD2"/>
    <w:rsid w:val="285068BB"/>
    <w:rsid w:val="28642123"/>
    <w:rsid w:val="2872406D"/>
    <w:rsid w:val="288D1679"/>
    <w:rsid w:val="289D2BD1"/>
    <w:rsid w:val="28B0237D"/>
    <w:rsid w:val="28C82245"/>
    <w:rsid w:val="28CE63C5"/>
    <w:rsid w:val="28D361A5"/>
    <w:rsid w:val="28DE6D64"/>
    <w:rsid w:val="28ED3EC6"/>
    <w:rsid w:val="28F156C9"/>
    <w:rsid w:val="29052D01"/>
    <w:rsid w:val="2907582C"/>
    <w:rsid w:val="29086F52"/>
    <w:rsid w:val="29237B49"/>
    <w:rsid w:val="292756D2"/>
    <w:rsid w:val="29290FE4"/>
    <w:rsid w:val="293C1946"/>
    <w:rsid w:val="295764E8"/>
    <w:rsid w:val="297517B3"/>
    <w:rsid w:val="297A286D"/>
    <w:rsid w:val="297F2DF4"/>
    <w:rsid w:val="2980555E"/>
    <w:rsid w:val="299D1BC6"/>
    <w:rsid w:val="29C15A7E"/>
    <w:rsid w:val="29D05B2A"/>
    <w:rsid w:val="29E164DF"/>
    <w:rsid w:val="29F46BF1"/>
    <w:rsid w:val="29F540A1"/>
    <w:rsid w:val="2A183BA6"/>
    <w:rsid w:val="2A2E29E8"/>
    <w:rsid w:val="2A3C5E71"/>
    <w:rsid w:val="2A491E31"/>
    <w:rsid w:val="2A5213EC"/>
    <w:rsid w:val="2A5C2BE0"/>
    <w:rsid w:val="2A5E6025"/>
    <w:rsid w:val="2A5F7045"/>
    <w:rsid w:val="2A6B7BF3"/>
    <w:rsid w:val="2A794084"/>
    <w:rsid w:val="2A7F2862"/>
    <w:rsid w:val="2A816FBC"/>
    <w:rsid w:val="2A8F1710"/>
    <w:rsid w:val="2A906B26"/>
    <w:rsid w:val="2A98582B"/>
    <w:rsid w:val="2A9E2ED5"/>
    <w:rsid w:val="2AA57354"/>
    <w:rsid w:val="2AB2624A"/>
    <w:rsid w:val="2ABE000A"/>
    <w:rsid w:val="2AD119E6"/>
    <w:rsid w:val="2AD4237F"/>
    <w:rsid w:val="2ADE7F6A"/>
    <w:rsid w:val="2AEB2687"/>
    <w:rsid w:val="2AF73315"/>
    <w:rsid w:val="2B053749"/>
    <w:rsid w:val="2B0A5203"/>
    <w:rsid w:val="2B3719D8"/>
    <w:rsid w:val="2B382E7E"/>
    <w:rsid w:val="2B3E4634"/>
    <w:rsid w:val="2B4E6910"/>
    <w:rsid w:val="2B516104"/>
    <w:rsid w:val="2B58149E"/>
    <w:rsid w:val="2B5F76F3"/>
    <w:rsid w:val="2B612949"/>
    <w:rsid w:val="2B7733E2"/>
    <w:rsid w:val="2B7A3236"/>
    <w:rsid w:val="2B940F71"/>
    <w:rsid w:val="2BAD443E"/>
    <w:rsid w:val="2BC77C2C"/>
    <w:rsid w:val="2C161CE8"/>
    <w:rsid w:val="2C1E25F3"/>
    <w:rsid w:val="2C2600D1"/>
    <w:rsid w:val="2C275941"/>
    <w:rsid w:val="2C2E0A7D"/>
    <w:rsid w:val="2C332538"/>
    <w:rsid w:val="2C3712E3"/>
    <w:rsid w:val="2C504D9D"/>
    <w:rsid w:val="2C5D65F6"/>
    <w:rsid w:val="2C623180"/>
    <w:rsid w:val="2C6D7E6F"/>
    <w:rsid w:val="2C6E531E"/>
    <w:rsid w:val="2C78619D"/>
    <w:rsid w:val="2C7F577D"/>
    <w:rsid w:val="2C822310"/>
    <w:rsid w:val="2C8A53D8"/>
    <w:rsid w:val="2C99595D"/>
    <w:rsid w:val="2C9A6113"/>
    <w:rsid w:val="2CA62D0A"/>
    <w:rsid w:val="2CBA4A07"/>
    <w:rsid w:val="2CBA7F57"/>
    <w:rsid w:val="2CBF49BA"/>
    <w:rsid w:val="2CC55886"/>
    <w:rsid w:val="2CCA13EA"/>
    <w:rsid w:val="2CCF0BBF"/>
    <w:rsid w:val="2CF95944"/>
    <w:rsid w:val="2D1A4251"/>
    <w:rsid w:val="2D1B339B"/>
    <w:rsid w:val="2D236ADB"/>
    <w:rsid w:val="2D2860BD"/>
    <w:rsid w:val="2D2C20B9"/>
    <w:rsid w:val="2D355E3C"/>
    <w:rsid w:val="2D406CBA"/>
    <w:rsid w:val="2D424F36"/>
    <w:rsid w:val="2D43338B"/>
    <w:rsid w:val="2D732009"/>
    <w:rsid w:val="2D7626DC"/>
    <w:rsid w:val="2D806F7B"/>
    <w:rsid w:val="2D880661"/>
    <w:rsid w:val="2D9000E0"/>
    <w:rsid w:val="2D905B14"/>
    <w:rsid w:val="2DA43325"/>
    <w:rsid w:val="2DAC5BF8"/>
    <w:rsid w:val="2DB66F7C"/>
    <w:rsid w:val="2DCA22A1"/>
    <w:rsid w:val="2DEF2C3A"/>
    <w:rsid w:val="2DF67CC1"/>
    <w:rsid w:val="2DF87595"/>
    <w:rsid w:val="2DFB6960"/>
    <w:rsid w:val="2DFF1BF8"/>
    <w:rsid w:val="2E3A5DFF"/>
    <w:rsid w:val="2E4B57EF"/>
    <w:rsid w:val="2E5E339D"/>
    <w:rsid w:val="2E5E5D3B"/>
    <w:rsid w:val="2E7902E6"/>
    <w:rsid w:val="2E8A0D24"/>
    <w:rsid w:val="2E964C51"/>
    <w:rsid w:val="2EB45BB2"/>
    <w:rsid w:val="2ED95C08"/>
    <w:rsid w:val="2EDB4C10"/>
    <w:rsid w:val="2EED7876"/>
    <w:rsid w:val="2EF77DE6"/>
    <w:rsid w:val="2F154697"/>
    <w:rsid w:val="2F230380"/>
    <w:rsid w:val="2F454A5C"/>
    <w:rsid w:val="2F512BFD"/>
    <w:rsid w:val="2F5351D7"/>
    <w:rsid w:val="2F7228AC"/>
    <w:rsid w:val="2F7F1DB2"/>
    <w:rsid w:val="2F9C6646"/>
    <w:rsid w:val="2FB43990"/>
    <w:rsid w:val="2FC71547"/>
    <w:rsid w:val="2FC736C3"/>
    <w:rsid w:val="2FCB3C7C"/>
    <w:rsid w:val="2FD16D5D"/>
    <w:rsid w:val="2FE45510"/>
    <w:rsid w:val="2FEF72D2"/>
    <w:rsid w:val="2FFD0E93"/>
    <w:rsid w:val="2FFE23A7"/>
    <w:rsid w:val="3007281E"/>
    <w:rsid w:val="300F503A"/>
    <w:rsid w:val="302322C7"/>
    <w:rsid w:val="3034062C"/>
    <w:rsid w:val="303B1BE3"/>
    <w:rsid w:val="30586A11"/>
    <w:rsid w:val="3062166C"/>
    <w:rsid w:val="30640F12"/>
    <w:rsid w:val="306554F5"/>
    <w:rsid w:val="307750E9"/>
    <w:rsid w:val="30A60B13"/>
    <w:rsid w:val="30B56118"/>
    <w:rsid w:val="30D96CC6"/>
    <w:rsid w:val="30E80016"/>
    <w:rsid w:val="30F37C1F"/>
    <w:rsid w:val="31092C45"/>
    <w:rsid w:val="31135CDD"/>
    <w:rsid w:val="31160A0E"/>
    <w:rsid w:val="31216EF5"/>
    <w:rsid w:val="312C03B6"/>
    <w:rsid w:val="312D446C"/>
    <w:rsid w:val="312D7D00"/>
    <w:rsid w:val="314C343E"/>
    <w:rsid w:val="315462C3"/>
    <w:rsid w:val="316030B9"/>
    <w:rsid w:val="31682C84"/>
    <w:rsid w:val="3172064C"/>
    <w:rsid w:val="31733A87"/>
    <w:rsid w:val="31853743"/>
    <w:rsid w:val="3187506D"/>
    <w:rsid w:val="318C18AE"/>
    <w:rsid w:val="319C292D"/>
    <w:rsid w:val="31AD0696"/>
    <w:rsid w:val="31AD34D0"/>
    <w:rsid w:val="31D245CA"/>
    <w:rsid w:val="31D73588"/>
    <w:rsid w:val="31DC27FF"/>
    <w:rsid w:val="31F913D8"/>
    <w:rsid w:val="32051C37"/>
    <w:rsid w:val="32083730"/>
    <w:rsid w:val="321E4180"/>
    <w:rsid w:val="32233775"/>
    <w:rsid w:val="322A1CE7"/>
    <w:rsid w:val="324033AF"/>
    <w:rsid w:val="32413089"/>
    <w:rsid w:val="32472899"/>
    <w:rsid w:val="325F7797"/>
    <w:rsid w:val="32601BAD"/>
    <w:rsid w:val="32796485"/>
    <w:rsid w:val="32914955"/>
    <w:rsid w:val="32951D54"/>
    <w:rsid w:val="32A33BC6"/>
    <w:rsid w:val="32A673F0"/>
    <w:rsid w:val="32B01BFA"/>
    <w:rsid w:val="32B82CD9"/>
    <w:rsid w:val="32BD7DDA"/>
    <w:rsid w:val="32C20171"/>
    <w:rsid w:val="32C75C1A"/>
    <w:rsid w:val="32D22AAA"/>
    <w:rsid w:val="32D64B33"/>
    <w:rsid w:val="32DD5EDB"/>
    <w:rsid w:val="32F316B8"/>
    <w:rsid w:val="330E33B7"/>
    <w:rsid w:val="33141EBF"/>
    <w:rsid w:val="331C1F78"/>
    <w:rsid w:val="33354DE7"/>
    <w:rsid w:val="33383360"/>
    <w:rsid w:val="33461575"/>
    <w:rsid w:val="33704C36"/>
    <w:rsid w:val="337926BF"/>
    <w:rsid w:val="337F43BF"/>
    <w:rsid w:val="33843679"/>
    <w:rsid w:val="33934AB7"/>
    <w:rsid w:val="33BF0D95"/>
    <w:rsid w:val="33DD3845"/>
    <w:rsid w:val="33E97C32"/>
    <w:rsid w:val="33EA23A5"/>
    <w:rsid w:val="33EB36B7"/>
    <w:rsid w:val="33EE0FFB"/>
    <w:rsid w:val="34117602"/>
    <w:rsid w:val="341B3FDD"/>
    <w:rsid w:val="34286628"/>
    <w:rsid w:val="342C61EA"/>
    <w:rsid w:val="343E1A7A"/>
    <w:rsid w:val="344D358E"/>
    <w:rsid w:val="344D77BF"/>
    <w:rsid w:val="346C2BB5"/>
    <w:rsid w:val="347D0BB7"/>
    <w:rsid w:val="348F2F0F"/>
    <w:rsid w:val="34BC3B37"/>
    <w:rsid w:val="34BD5094"/>
    <w:rsid w:val="34D50630"/>
    <w:rsid w:val="34D843EB"/>
    <w:rsid w:val="34D90BF1"/>
    <w:rsid w:val="34D94A8F"/>
    <w:rsid w:val="34F729B7"/>
    <w:rsid w:val="351A24E7"/>
    <w:rsid w:val="351E6C69"/>
    <w:rsid w:val="353054DF"/>
    <w:rsid w:val="354237EC"/>
    <w:rsid w:val="3543266A"/>
    <w:rsid w:val="35533A49"/>
    <w:rsid w:val="355508F0"/>
    <w:rsid w:val="355E220A"/>
    <w:rsid w:val="35697EC5"/>
    <w:rsid w:val="356B7CCB"/>
    <w:rsid w:val="358160C2"/>
    <w:rsid w:val="35922017"/>
    <w:rsid w:val="35935DF5"/>
    <w:rsid w:val="35AC2A16"/>
    <w:rsid w:val="35BB0BF3"/>
    <w:rsid w:val="35C276FE"/>
    <w:rsid w:val="35C40BA0"/>
    <w:rsid w:val="35D05A62"/>
    <w:rsid w:val="35E13004"/>
    <w:rsid w:val="35F22181"/>
    <w:rsid w:val="35FF4EB1"/>
    <w:rsid w:val="360109F6"/>
    <w:rsid w:val="360A60B7"/>
    <w:rsid w:val="360D3DFA"/>
    <w:rsid w:val="361231BE"/>
    <w:rsid w:val="361E1F84"/>
    <w:rsid w:val="36200DF8"/>
    <w:rsid w:val="363E02D5"/>
    <w:rsid w:val="363F162B"/>
    <w:rsid w:val="36406B37"/>
    <w:rsid w:val="36413AA3"/>
    <w:rsid w:val="3658153F"/>
    <w:rsid w:val="36620457"/>
    <w:rsid w:val="36674D3B"/>
    <w:rsid w:val="3668140B"/>
    <w:rsid w:val="36891ABC"/>
    <w:rsid w:val="369E4A52"/>
    <w:rsid w:val="36A428BE"/>
    <w:rsid w:val="36A77707"/>
    <w:rsid w:val="36AB65D4"/>
    <w:rsid w:val="36B3674F"/>
    <w:rsid w:val="36B746BC"/>
    <w:rsid w:val="36CB11EA"/>
    <w:rsid w:val="36E73CCE"/>
    <w:rsid w:val="36EA62C4"/>
    <w:rsid w:val="36FB5D01"/>
    <w:rsid w:val="36FE3234"/>
    <w:rsid w:val="371D336E"/>
    <w:rsid w:val="3720190B"/>
    <w:rsid w:val="37215DAE"/>
    <w:rsid w:val="37341177"/>
    <w:rsid w:val="3735166B"/>
    <w:rsid w:val="373824B6"/>
    <w:rsid w:val="37401C1F"/>
    <w:rsid w:val="37424E5A"/>
    <w:rsid w:val="37524396"/>
    <w:rsid w:val="3757357E"/>
    <w:rsid w:val="375C6793"/>
    <w:rsid w:val="377D1E2F"/>
    <w:rsid w:val="379F1476"/>
    <w:rsid w:val="37A140C3"/>
    <w:rsid w:val="37C24A54"/>
    <w:rsid w:val="37DE5A4E"/>
    <w:rsid w:val="37ED3EE3"/>
    <w:rsid w:val="37F9735D"/>
    <w:rsid w:val="37FF4CEF"/>
    <w:rsid w:val="381476C1"/>
    <w:rsid w:val="38147EDC"/>
    <w:rsid w:val="382633EF"/>
    <w:rsid w:val="38275D11"/>
    <w:rsid w:val="382E0769"/>
    <w:rsid w:val="38373E4C"/>
    <w:rsid w:val="3837515E"/>
    <w:rsid w:val="383E64EC"/>
    <w:rsid w:val="384368F2"/>
    <w:rsid w:val="384B11A5"/>
    <w:rsid w:val="384F6A1E"/>
    <w:rsid w:val="38584C11"/>
    <w:rsid w:val="386C3B4A"/>
    <w:rsid w:val="387A0FD3"/>
    <w:rsid w:val="389B393F"/>
    <w:rsid w:val="38A34E06"/>
    <w:rsid w:val="38A60DF1"/>
    <w:rsid w:val="38C22C79"/>
    <w:rsid w:val="38C34C43"/>
    <w:rsid w:val="38C728D0"/>
    <w:rsid w:val="38C74734"/>
    <w:rsid w:val="38C9721B"/>
    <w:rsid w:val="38E70932"/>
    <w:rsid w:val="38F5268D"/>
    <w:rsid w:val="390220DA"/>
    <w:rsid w:val="39055318"/>
    <w:rsid w:val="39116746"/>
    <w:rsid w:val="391D359F"/>
    <w:rsid w:val="392022AF"/>
    <w:rsid w:val="394311D0"/>
    <w:rsid w:val="394D1BA4"/>
    <w:rsid w:val="39525EAF"/>
    <w:rsid w:val="39536350"/>
    <w:rsid w:val="397B454D"/>
    <w:rsid w:val="3986069A"/>
    <w:rsid w:val="39A9208B"/>
    <w:rsid w:val="39AC3A04"/>
    <w:rsid w:val="39B00ABA"/>
    <w:rsid w:val="39BE36C4"/>
    <w:rsid w:val="39C40C73"/>
    <w:rsid w:val="3A070042"/>
    <w:rsid w:val="3A0D1286"/>
    <w:rsid w:val="3A141CF2"/>
    <w:rsid w:val="3A1F13E7"/>
    <w:rsid w:val="3A22777B"/>
    <w:rsid w:val="3A2636DC"/>
    <w:rsid w:val="3A2A1737"/>
    <w:rsid w:val="3A2B6551"/>
    <w:rsid w:val="3A387794"/>
    <w:rsid w:val="3A4B3C15"/>
    <w:rsid w:val="3A4C5D34"/>
    <w:rsid w:val="3A5423D7"/>
    <w:rsid w:val="3A571AE7"/>
    <w:rsid w:val="3A630F43"/>
    <w:rsid w:val="3A756BB5"/>
    <w:rsid w:val="3A76662D"/>
    <w:rsid w:val="3A7B57D6"/>
    <w:rsid w:val="3A8F5030"/>
    <w:rsid w:val="3A9333FD"/>
    <w:rsid w:val="3AA36ADA"/>
    <w:rsid w:val="3AD1769C"/>
    <w:rsid w:val="3AEE222D"/>
    <w:rsid w:val="3AFB171C"/>
    <w:rsid w:val="3B0D5ACF"/>
    <w:rsid w:val="3B2969CB"/>
    <w:rsid w:val="3B2A6911"/>
    <w:rsid w:val="3B2D45F6"/>
    <w:rsid w:val="3B3237CF"/>
    <w:rsid w:val="3B352FF6"/>
    <w:rsid w:val="3B3946C2"/>
    <w:rsid w:val="3B40146E"/>
    <w:rsid w:val="3B424B80"/>
    <w:rsid w:val="3B4570FC"/>
    <w:rsid w:val="3B5C0109"/>
    <w:rsid w:val="3B771184"/>
    <w:rsid w:val="3B80094B"/>
    <w:rsid w:val="3B8A6CA7"/>
    <w:rsid w:val="3B8B3675"/>
    <w:rsid w:val="3B91088E"/>
    <w:rsid w:val="3B91218D"/>
    <w:rsid w:val="3B954E32"/>
    <w:rsid w:val="3B955435"/>
    <w:rsid w:val="3B973296"/>
    <w:rsid w:val="3B984D63"/>
    <w:rsid w:val="3BA75ABD"/>
    <w:rsid w:val="3BB12A5A"/>
    <w:rsid w:val="3BB87D86"/>
    <w:rsid w:val="3BC22940"/>
    <w:rsid w:val="3BE23632"/>
    <w:rsid w:val="3BE421C3"/>
    <w:rsid w:val="3BEA41F9"/>
    <w:rsid w:val="3BED33D4"/>
    <w:rsid w:val="3BEE1FD7"/>
    <w:rsid w:val="3BF12958"/>
    <w:rsid w:val="3BF52B59"/>
    <w:rsid w:val="3C0161AE"/>
    <w:rsid w:val="3C08753D"/>
    <w:rsid w:val="3C181B84"/>
    <w:rsid w:val="3C1E4416"/>
    <w:rsid w:val="3C357C06"/>
    <w:rsid w:val="3C4D4213"/>
    <w:rsid w:val="3C523F7C"/>
    <w:rsid w:val="3C687FDC"/>
    <w:rsid w:val="3C700C3E"/>
    <w:rsid w:val="3C7A67EC"/>
    <w:rsid w:val="3C8539D6"/>
    <w:rsid w:val="3C936268"/>
    <w:rsid w:val="3CAD3C40"/>
    <w:rsid w:val="3CAE403E"/>
    <w:rsid w:val="3CB56D79"/>
    <w:rsid w:val="3CB73432"/>
    <w:rsid w:val="3CBD5E00"/>
    <w:rsid w:val="3CBE6E54"/>
    <w:rsid w:val="3CC13A13"/>
    <w:rsid w:val="3CDC6557"/>
    <w:rsid w:val="3CF81D1D"/>
    <w:rsid w:val="3D016EA4"/>
    <w:rsid w:val="3D157F9D"/>
    <w:rsid w:val="3D1D5906"/>
    <w:rsid w:val="3D207C68"/>
    <w:rsid w:val="3D296F62"/>
    <w:rsid w:val="3D31229A"/>
    <w:rsid w:val="3D387FE4"/>
    <w:rsid w:val="3D3B408D"/>
    <w:rsid w:val="3D3B56F0"/>
    <w:rsid w:val="3D4139CE"/>
    <w:rsid w:val="3D491BBB"/>
    <w:rsid w:val="3D5200E0"/>
    <w:rsid w:val="3D5347E8"/>
    <w:rsid w:val="3D580050"/>
    <w:rsid w:val="3D622FB8"/>
    <w:rsid w:val="3D6267D9"/>
    <w:rsid w:val="3D65609E"/>
    <w:rsid w:val="3D686483"/>
    <w:rsid w:val="3D6975F0"/>
    <w:rsid w:val="3D6D2331"/>
    <w:rsid w:val="3D7B288E"/>
    <w:rsid w:val="3D910C81"/>
    <w:rsid w:val="3D94164A"/>
    <w:rsid w:val="3DB83232"/>
    <w:rsid w:val="3DBA6A6E"/>
    <w:rsid w:val="3DC010BA"/>
    <w:rsid w:val="3DC90571"/>
    <w:rsid w:val="3DCC459A"/>
    <w:rsid w:val="3DE657EF"/>
    <w:rsid w:val="3DF37D79"/>
    <w:rsid w:val="3E077566"/>
    <w:rsid w:val="3E0B50C2"/>
    <w:rsid w:val="3E136892"/>
    <w:rsid w:val="3E1D0952"/>
    <w:rsid w:val="3E274D39"/>
    <w:rsid w:val="3E3A106C"/>
    <w:rsid w:val="3E4270F2"/>
    <w:rsid w:val="3E43598D"/>
    <w:rsid w:val="3E53053A"/>
    <w:rsid w:val="3E5952CD"/>
    <w:rsid w:val="3E5A3954"/>
    <w:rsid w:val="3E640C0D"/>
    <w:rsid w:val="3E667632"/>
    <w:rsid w:val="3E703172"/>
    <w:rsid w:val="3E815E3A"/>
    <w:rsid w:val="3E9211FC"/>
    <w:rsid w:val="3EA40F42"/>
    <w:rsid w:val="3EA50D2D"/>
    <w:rsid w:val="3EAB41B0"/>
    <w:rsid w:val="3EB219E2"/>
    <w:rsid w:val="3EBB0BD4"/>
    <w:rsid w:val="3EBD586D"/>
    <w:rsid w:val="3ED25CB2"/>
    <w:rsid w:val="3EDC2891"/>
    <w:rsid w:val="3EDE4585"/>
    <w:rsid w:val="3EE5066E"/>
    <w:rsid w:val="3EE83100"/>
    <w:rsid w:val="3EE871B2"/>
    <w:rsid w:val="3EF93396"/>
    <w:rsid w:val="3F132099"/>
    <w:rsid w:val="3F1E2829"/>
    <w:rsid w:val="3F2004D3"/>
    <w:rsid w:val="3F317E5A"/>
    <w:rsid w:val="3F3B18E0"/>
    <w:rsid w:val="3F3B3785"/>
    <w:rsid w:val="3F632CDC"/>
    <w:rsid w:val="3F67457A"/>
    <w:rsid w:val="3F792699"/>
    <w:rsid w:val="3FF5260C"/>
    <w:rsid w:val="3FFD07E4"/>
    <w:rsid w:val="40037546"/>
    <w:rsid w:val="400C350F"/>
    <w:rsid w:val="401A20DF"/>
    <w:rsid w:val="40311450"/>
    <w:rsid w:val="403F3D64"/>
    <w:rsid w:val="40490124"/>
    <w:rsid w:val="404E15E0"/>
    <w:rsid w:val="40634359"/>
    <w:rsid w:val="407D63D8"/>
    <w:rsid w:val="408D0011"/>
    <w:rsid w:val="409649A1"/>
    <w:rsid w:val="409F3A5B"/>
    <w:rsid w:val="40B01F51"/>
    <w:rsid w:val="40B52255"/>
    <w:rsid w:val="40B96025"/>
    <w:rsid w:val="40BB6C9A"/>
    <w:rsid w:val="40C12CBE"/>
    <w:rsid w:val="40C40EA7"/>
    <w:rsid w:val="40D106AD"/>
    <w:rsid w:val="40FF7229"/>
    <w:rsid w:val="410178D6"/>
    <w:rsid w:val="41163884"/>
    <w:rsid w:val="412870BA"/>
    <w:rsid w:val="412D7D00"/>
    <w:rsid w:val="41406E31"/>
    <w:rsid w:val="414310DB"/>
    <w:rsid w:val="41526B64"/>
    <w:rsid w:val="41686388"/>
    <w:rsid w:val="4170091B"/>
    <w:rsid w:val="41736037"/>
    <w:rsid w:val="417C41FF"/>
    <w:rsid w:val="41850CE8"/>
    <w:rsid w:val="418B2F47"/>
    <w:rsid w:val="418D2F83"/>
    <w:rsid w:val="4198163A"/>
    <w:rsid w:val="41AD6308"/>
    <w:rsid w:val="41B61F00"/>
    <w:rsid w:val="41BE71A9"/>
    <w:rsid w:val="41C3319D"/>
    <w:rsid w:val="41CC1514"/>
    <w:rsid w:val="41CF6407"/>
    <w:rsid w:val="41D13F2D"/>
    <w:rsid w:val="41D34149"/>
    <w:rsid w:val="41F6270F"/>
    <w:rsid w:val="41FE4B63"/>
    <w:rsid w:val="4205007B"/>
    <w:rsid w:val="421856C2"/>
    <w:rsid w:val="421D0400"/>
    <w:rsid w:val="42410916"/>
    <w:rsid w:val="424A1FDF"/>
    <w:rsid w:val="426D00FA"/>
    <w:rsid w:val="42777DEC"/>
    <w:rsid w:val="427A320B"/>
    <w:rsid w:val="42911696"/>
    <w:rsid w:val="4294615F"/>
    <w:rsid w:val="42A81132"/>
    <w:rsid w:val="42B765BA"/>
    <w:rsid w:val="42C60127"/>
    <w:rsid w:val="42CB12D6"/>
    <w:rsid w:val="42CF7A53"/>
    <w:rsid w:val="42D05017"/>
    <w:rsid w:val="42D737C5"/>
    <w:rsid w:val="42DD6902"/>
    <w:rsid w:val="4306667C"/>
    <w:rsid w:val="43084EF8"/>
    <w:rsid w:val="432269C3"/>
    <w:rsid w:val="4335001A"/>
    <w:rsid w:val="43384333"/>
    <w:rsid w:val="434D2D32"/>
    <w:rsid w:val="435D2BD7"/>
    <w:rsid w:val="43616662"/>
    <w:rsid w:val="4368266F"/>
    <w:rsid w:val="4372208D"/>
    <w:rsid w:val="438D0328"/>
    <w:rsid w:val="43A51B15"/>
    <w:rsid w:val="43A75235"/>
    <w:rsid w:val="43A75D32"/>
    <w:rsid w:val="43AC2EA4"/>
    <w:rsid w:val="43B753A5"/>
    <w:rsid w:val="43BE1911"/>
    <w:rsid w:val="43BF2BD7"/>
    <w:rsid w:val="43D45DE8"/>
    <w:rsid w:val="43F3462F"/>
    <w:rsid w:val="440214C7"/>
    <w:rsid w:val="44124799"/>
    <w:rsid w:val="442212E6"/>
    <w:rsid w:val="442D3EBD"/>
    <w:rsid w:val="44307C27"/>
    <w:rsid w:val="443268BF"/>
    <w:rsid w:val="443B7D84"/>
    <w:rsid w:val="44433E7C"/>
    <w:rsid w:val="444924DF"/>
    <w:rsid w:val="444B65C3"/>
    <w:rsid w:val="444B685F"/>
    <w:rsid w:val="444F55DD"/>
    <w:rsid w:val="44616DE6"/>
    <w:rsid w:val="44654E01"/>
    <w:rsid w:val="446E05EA"/>
    <w:rsid w:val="447115C6"/>
    <w:rsid w:val="44827C1E"/>
    <w:rsid w:val="44897EF7"/>
    <w:rsid w:val="448B66CE"/>
    <w:rsid w:val="449E2B67"/>
    <w:rsid w:val="44A70245"/>
    <w:rsid w:val="44A90864"/>
    <w:rsid w:val="44BD4C3D"/>
    <w:rsid w:val="44C23F10"/>
    <w:rsid w:val="44D06BB2"/>
    <w:rsid w:val="44D53D34"/>
    <w:rsid w:val="44D95BAD"/>
    <w:rsid w:val="44E330C9"/>
    <w:rsid w:val="44EC6F5A"/>
    <w:rsid w:val="450150F5"/>
    <w:rsid w:val="45123BB5"/>
    <w:rsid w:val="452B293F"/>
    <w:rsid w:val="45380234"/>
    <w:rsid w:val="453F772D"/>
    <w:rsid w:val="454027D1"/>
    <w:rsid w:val="45533857"/>
    <w:rsid w:val="455D6C5E"/>
    <w:rsid w:val="45673672"/>
    <w:rsid w:val="456E5A7F"/>
    <w:rsid w:val="45813EBC"/>
    <w:rsid w:val="458B0E76"/>
    <w:rsid w:val="459745C2"/>
    <w:rsid w:val="45AC2850"/>
    <w:rsid w:val="45B5598A"/>
    <w:rsid w:val="45B778DE"/>
    <w:rsid w:val="45C12DB2"/>
    <w:rsid w:val="45EA00DF"/>
    <w:rsid w:val="460344F5"/>
    <w:rsid w:val="460B6100"/>
    <w:rsid w:val="46177EB4"/>
    <w:rsid w:val="462B4361"/>
    <w:rsid w:val="4642189D"/>
    <w:rsid w:val="464B72BF"/>
    <w:rsid w:val="465346DC"/>
    <w:rsid w:val="46614399"/>
    <w:rsid w:val="467056B2"/>
    <w:rsid w:val="469059DD"/>
    <w:rsid w:val="46932C51"/>
    <w:rsid w:val="46955E71"/>
    <w:rsid w:val="469A7845"/>
    <w:rsid w:val="46A47BAC"/>
    <w:rsid w:val="46B01973"/>
    <w:rsid w:val="46B45E6A"/>
    <w:rsid w:val="46D7508C"/>
    <w:rsid w:val="46DE17AC"/>
    <w:rsid w:val="46E26BDC"/>
    <w:rsid w:val="46E27759"/>
    <w:rsid w:val="46E54919"/>
    <w:rsid w:val="46E55C26"/>
    <w:rsid w:val="46E55F3E"/>
    <w:rsid w:val="46FF161A"/>
    <w:rsid w:val="470D6DD1"/>
    <w:rsid w:val="47155318"/>
    <w:rsid w:val="4720235A"/>
    <w:rsid w:val="47297B5F"/>
    <w:rsid w:val="47305B9A"/>
    <w:rsid w:val="47311519"/>
    <w:rsid w:val="473138E7"/>
    <w:rsid w:val="47462CC7"/>
    <w:rsid w:val="474927B8"/>
    <w:rsid w:val="475F2657"/>
    <w:rsid w:val="476A10AC"/>
    <w:rsid w:val="479C4F4F"/>
    <w:rsid w:val="47B33A2C"/>
    <w:rsid w:val="47B75973"/>
    <w:rsid w:val="47D3493F"/>
    <w:rsid w:val="47E10E51"/>
    <w:rsid w:val="47E61433"/>
    <w:rsid w:val="47F24BFD"/>
    <w:rsid w:val="47F941DE"/>
    <w:rsid w:val="47FE35A2"/>
    <w:rsid w:val="47FF56C8"/>
    <w:rsid w:val="480134F8"/>
    <w:rsid w:val="48116BD7"/>
    <w:rsid w:val="481B4154"/>
    <w:rsid w:val="481F6B0D"/>
    <w:rsid w:val="482543E5"/>
    <w:rsid w:val="482D5F52"/>
    <w:rsid w:val="485D476D"/>
    <w:rsid w:val="486F5DC3"/>
    <w:rsid w:val="4870619C"/>
    <w:rsid w:val="487F0B87"/>
    <w:rsid w:val="489E3443"/>
    <w:rsid w:val="48B9571B"/>
    <w:rsid w:val="48C51A56"/>
    <w:rsid w:val="48D03950"/>
    <w:rsid w:val="48F61E83"/>
    <w:rsid w:val="49211C3E"/>
    <w:rsid w:val="49215AD9"/>
    <w:rsid w:val="492301FF"/>
    <w:rsid w:val="492573E6"/>
    <w:rsid w:val="492F498D"/>
    <w:rsid w:val="492F5A35"/>
    <w:rsid w:val="493150F6"/>
    <w:rsid w:val="49363A71"/>
    <w:rsid w:val="49385DD0"/>
    <w:rsid w:val="493F1FD4"/>
    <w:rsid w:val="4941408E"/>
    <w:rsid w:val="495711BC"/>
    <w:rsid w:val="495C2C76"/>
    <w:rsid w:val="498174A7"/>
    <w:rsid w:val="499A6C45"/>
    <w:rsid w:val="499D328D"/>
    <w:rsid w:val="49A451F1"/>
    <w:rsid w:val="49A726F5"/>
    <w:rsid w:val="49A8358F"/>
    <w:rsid w:val="49BD0CC2"/>
    <w:rsid w:val="49C54151"/>
    <w:rsid w:val="49D77185"/>
    <w:rsid w:val="49E656E9"/>
    <w:rsid w:val="49F1320C"/>
    <w:rsid w:val="49FD0A6D"/>
    <w:rsid w:val="4A067C7E"/>
    <w:rsid w:val="4A2B06B7"/>
    <w:rsid w:val="4A2C5620"/>
    <w:rsid w:val="4A365D96"/>
    <w:rsid w:val="4A554FB6"/>
    <w:rsid w:val="4A562946"/>
    <w:rsid w:val="4A631DE2"/>
    <w:rsid w:val="4A7B22B5"/>
    <w:rsid w:val="4A914BA1"/>
    <w:rsid w:val="4A930919"/>
    <w:rsid w:val="4AA21B83"/>
    <w:rsid w:val="4AA5459A"/>
    <w:rsid w:val="4AB13600"/>
    <w:rsid w:val="4ABA6CC2"/>
    <w:rsid w:val="4AC064FF"/>
    <w:rsid w:val="4AD93E52"/>
    <w:rsid w:val="4AE14E5D"/>
    <w:rsid w:val="4AE555A1"/>
    <w:rsid w:val="4AEC7980"/>
    <w:rsid w:val="4AF24644"/>
    <w:rsid w:val="4AFC6F42"/>
    <w:rsid w:val="4B0E7FA0"/>
    <w:rsid w:val="4B1B6FBD"/>
    <w:rsid w:val="4B1C090F"/>
    <w:rsid w:val="4B1D6435"/>
    <w:rsid w:val="4B584924"/>
    <w:rsid w:val="4B5D4A84"/>
    <w:rsid w:val="4B6A6A72"/>
    <w:rsid w:val="4B714A4C"/>
    <w:rsid w:val="4B7750CC"/>
    <w:rsid w:val="4B796708"/>
    <w:rsid w:val="4B8244EA"/>
    <w:rsid w:val="4B8E52B1"/>
    <w:rsid w:val="4BA3567B"/>
    <w:rsid w:val="4BA5567E"/>
    <w:rsid w:val="4BBA1ED6"/>
    <w:rsid w:val="4BC71D5F"/>
    <w:rsid w:val="4BC774AF"/>
    <w:rsid w:val="4BC82066"/>
    <w:rsid w:val="4BC93952"/>
    <w:rsid w:val="4BC95900"/>
    <w:rsid w:val="4BD502C1"/>
    <w:rsid w:val="4BDB58A6"/>
    <w:rsid w:val="4BE44D3D"/>
    <w:rsid w:val="4BF337A4"/>
    <w:rsid w:val="4C053B3E"/>
    <w:rsid w:val="4C256776"/>
    <w:rsid w:val="4C26756B"/>
    <w:rsid w:val="4C2745BE"/>
    <w:rsid w:val="4C6E1633"/>
    <w:rsid w:val="4C716A38"/>
    <w:rsid w:val="4C792A51"/>
    <w:rsid w:val="4CA17BB8"/>
    <w:rsid w:val="4CBB5434"/>
    <w:rsid w:val="4CC743C2"/>
    <w:rsid w:val="4CD46968"/>
    <w:rsid w:val="4CE0596C"/>
    <w:rsid w:val="4CFA1B21"/>
    <w:rsid w:val="4CFD2D0A"/>
    <w:rsid w:val="4D0A5D2E"/>
    <w:rsid w:val="4D0B530A"/>
    <w:rsid w:val="4D1B0752"/>
    <w:rsid w:val="4D3161C8"/>
    <w:rsid w:val="4D41465D"/>
    <w:rsid w:val="4D4E0C74"/>
    <w:rsid w:val="4D526945"/>
    <w:rsid w:val="4D73764A"/>
    <w:rsid w:val="4D956577"/>
    <w:rsid w:val="4DA16EA9"/>
    <w:rsid w:val="4DAE7D3B"/>
    <w:rsid w:val="4DB10EE0"/>
    <w:rsid w:val="4DE1374A"/>
    <w:rsid w:val="4DE3193D"/>
    <w:rsid w:val="4DE5696E"/>
    <w:rsid w:val="4DE8094E"/>
    <w:rsid w:val="4DEB5302"/>
    <w:rsid w:val="4DFF382E"/>
    <w:rsid w:val="4E143B1F"/>
    <w:rsid w:val="4E165694"/>
    <w:rsid w:val="4E17716C"/>
    <w:rsid w:val="4E1C29D4"/>
    <w:rsid w:val="4E2D6F9C"/>
    <w:rsid w:val="4E340E16"/>
    <w:rsid w:val="4E3A0E53"/>
    <w:rsid w:val="4E4D0AC1"/>
    <w:rsid w:val="4E5B174E"/>
    <w:rsid w:val="4E752EF3"/>
    <w:rsid w:val="4EA12ED9"/>
    <w:rsid w:val="4EB26E94"/>
    <w:rsid w:val="4EE132FB"/>
    <w:rsid w:val="4EE2777A"/>
    <w:rsid w:val="4EEF633A"/>
    <w:rsid w:val="4EFA1D40"/>
    <w:rsid w:val="4F001AD2"/>
    <w:rsid w:val="4F0E14E5"/>
    <w:rsid w:val="4F1269F4"/>
    <w:rsid w:val="4F195165"/>
    <w:rsid w:val="4F24484D"/>
    <w:rsid w:val="4F293E28"/>
    <w:rsid w:val="4F2A372C"/>
    <w:rsid w:val="4F2F4C06"/>
    <w:rsid w:val="4F3F1986"/>
    <w:rsid w:val="4F5D5865"/>
    <w:rsid w:val="4F645A57"/>
    <w:rsid w:val="4F6463E1"/>
    <w:rsid w:val="4F7C7BCE"/>
    <w:rsid w:val="4F845801"/>
    <w:rsid w:val="4F9076EA"/>
    <w:rsid w:val="4F93316A"/>
    <w:rsid w:val="4F952A4C"/>
    <w:rsid w:val="4FB05ACA"/>
    <w:rsid w:val="4FB84E80"/>
    <w:rsid w:val="4FC450D1"/>
    <w:rsid w:val="4FC60F8B"/>
    <w:rsid w:val="4FC6467C"/>
    <w:rsid w:val="4FD426E5"/>
    <w:rsid w:val="4FDF63AF"/>
    <w:rsid w:val="4FE03678"/>
    <w:rsid w:val="4FFE6B4B"/>
    <w:rsid w:val="50154308"/>
    <w:rsid w:val="502740AC"/>
    <w:rsid w:val="502B33A2"/>
    <w:rsid w:val="502F08AE"/>
    <w:rsid w:val="504F7091"/>
    <w:rsid w:val="50643E54"/>
    <w:rsid w:val="50750AED"/>
    <w:rsid w:val="50762712"/>
    <w:rsid w:val="50777AFA"/>
    <w:rsid w:val="5079722C"/>
    <w:rsid w:val="5080644A"/>
    <w:rsid w:val="50970A38"/>
    <w:rsid w:val="509E6E33"/>
    <w:rsid w:val="50AB1563"/>
    <w:rsid w:val="50BB4726"/>
    <w:rsid w:val="50C14189"/>
    <w:rsid w:val="50CE050E"/>
    <w:rsid w:val="50DD58C1"/>
    <w:rsid w:val="50E109B3"/>
    <w:rsid w:val="50FA2286"/>
    <w:rsid w:val="511278B0"/>
    <w:rsid w:val="5134684C"/>
    <w:rsid w:val="513D42F6"/>
    <w:rsid w:val="515348AE"/>
    <w:rsid w:val="51621462"/>
    <w:rsid w:val="5162632D"/>
    <w:rsid w:val="51652001"/>
    <w:rsid w:val="516923D4"/>
    <w:rsid w:val="516A768B"/>
    <w:rsid w:val="516F7FCA"/>
    <w:rsid w:val="517E442B"/>
    <w:rsid w:val="51A60F32"/>
    <w:rsid w:val="51C06B27"/>
    <w:rsid w:val="51C5706A"/>
    <w:rsid w:val="51CC6A9E"/>
    <w:rsid w:val="51F76393"/>
    <w:rsid w:val="51F83758"/>
    <w:rsid w:val="52097713"/>
    <w:rsid w:val="52157E66"/>
    <w:rsid w:val="521B28B9"/>
    <w:rsid w:val="522E04F4"/>
    <w:rsid w:val="522E717A"/>
    <w:rsid w:val="52354064"/>
    <w:rsid w:val="52397FF8"/>
    <w:rsid w:val="525C5A95"/>
    <w:rsid w:val="525F6E60"/>
    <w:rsid w:val="5261208C"/>
    <w:rsid w:val="52796647"/>
    <w:rsid w:val="52873552"/>
    <w:rsid w:val="52B92EE7"/>
    <w:rsid w:val="52BC3484"/>
    <w:rsid w:val="52BE677D"/>
    <w:rsid w:val="52C13B4A"/>
    <w:rsid w:val="52C22C4B"/>
    <w:rsid w:val="52CB68A8"/>
    <w:rsid w:val="52DC5CD4"/>
    <w:rsid w:val="52E866AE"/>
    <w:rsid w:val="530750B7"/>
    <w:rsid w:val="53200C5D"/>
    <w:rsid w:val="534832EF"/>
    <w:rsid w:val="535B7AFB"/>
    <w:rsid w:val="536561EB"/>
    <w:rsid w:val="53706227"/>
    <w:rsid w:val="5377055A"/>
    <w:rsid w:val="53782FA3"/>
    <w:rsid w:val="538425E8"/>
    <w:rsid w:val="538E7ED0"/>
    <w:rsid w:val="539D5DA7"/>
    <w:rsid w:val="539E4E4F"/>
    <w:rsid w:val="53C5279D"/>
    <w:rsid w:val="53D224B3"/>
    <w:rsid w:val="53D6345C"/>
    <w:rsid w:val="53DC3150"/>
    <w:rsid w:val="53DD49B3"/>
    <w:rsid w:val="53FC0355"/>
    <w:rsid w:val="5402441A"/>
    <w:rsid w:val="54037602"/>
    <w:rsid w:val="540939FA"/>
    <w:rsid w:val="541025FE"/>
    <w:rsid w:val="54203D75"/>
    <w:rsid w:val="54261A12"/>
    <w:rsid w:val="5435218F"/>
    <w:rsid w:val="543C4711"/>
    <w:rsid w:val="543D5B96"/>
    <w:rsid w:val="544066D4"/>
    <w:rsid w:val="54487D26"/>
    <w:rsid w:val="54497F22"/>
    <w:rsid w:val="544F687F"/>
    <w:rsid w:val="54576514"/>
    <w:rsid w:val="545A1596"/>
    <w:rsid w:val="546E7D01"/>
    <w:rsid w:val="54826A6F"/>
    <w:rsid w:val="548A7D0C"/>
    <w:rsid w:val="548D63DA"/>
    <w:rsid w:val="549652A5"/>
    <w:rsid w:val="5499691E"/>
    <w:rsid w:val="54A75974"/>
    <w:rsid w:val="54AD4386"/>
    <w:rsid w:val="54BC082D"/>
    <w:rsid w:val="54C857C3"/>
    <w:rsid w:val="54EA55DA"/>
    <w:rsid w:val="54FA7F82"/>
    <w:rsid w:val="54FC530D"/>
    <w:rsid w:val="551E08BC"/>
    <w:rsid w:val="55307A0C"/>
    <w:rsid w:val="553A7B7B"/>
    <w:rsid w:val="55665755"/>
    <w:rsid w:val="556665E0"/>
    <w:rsid w:val="558E68EA"/>
    <w:rsid w:val="5590733F"/>
    <w:rsid w:val="55910A92"/>
    <w:rsid w:val="559757D0"/>
    <w:rsid w:val="55975BA7"/>
    <w:rsid w:val="55A506DF"/>
    <w:rsid w:val="55AE4F5C"/>
    <w:rsid w:val="55AE6607"/>
    <w:rsid w:val="55BB2AD2"/>
    <w:rsid w:val="55BB5576"/>
    <w:rsid w:val="56002A66"/>
    <w:rsid w:val="5604091D"/>
    <w:rsid w:val="56054571"/>
    <w:rsid w:val="560B1D82"/>
    <w:rsid w:val="561048D4"/>
    <w:rsid w:val="5645325F"/>
    <w:rsid w:val="564E6B95"/>
    <w:rsid w:val="56562848"/>
    <w:rsid w:val="566F311B"/>
    <w:rsid w:val="56781FA5"/>
    <w:rsid w:val="569154CE"/>
    <w:rsid w:val="56995180"/>
    <w:rsid w:val="56A11917"/>
    <w:rsid w:val="56AD5CE8"/>
    <w:rsid w:val="56BD031C"/>
    <w:rsid w:val="56BF20BE"/>
    <w:rsid w:val="56BF6D5B"/>
    <w:rsid w:val="56DB7934"/>
    <w:rsid w:val="56E7079F"/>
    <w:rsid w:val="56E73D89"/>
    <w:rsid w:val="57007337"/>
    <w:rsid w:val="57031F7F"/>
    <w:rsid w:val="572570B3"/>
    <w:rsid w:val="573B07A2"/>
    <w:rsid w:val="573E6B31"/>
    <w:rsid w:val="575603AD"/>
    <w:rsid w:val="5770255E"/>
    <w:rsid w:val="57750ADF"/>
    <w:rsid w:val="57811AFA"/>
    <w:rsid w:val="57B341DC"/>
    <w:rsid w:val="57B51F24"/>
    <w:rsid w:val="57C73676"/>
    <w:rsid w:val="57C87CAB"/>
    <w:rsid w:val="57F60509"/>
    <w:rsid w:val="57FB6145"/>
    <w:rsid w:val="57FC328C"/>
    <w:rsid w:val="57FF145C"/>
    <w:rsid w:val="58033991"/>
    <w:rsid w:val="581214E9"/>
    <w:rsid w:val="58374890"/>
    <w:rsid w:val="583921D7"/>
    <w:rsid w:val="5847689F"/>
    <w:rsid w:val="584B538A"/>
    <w:rsid w:val="584E7AA5"/>
    <w:rsid w:val="5853780C"/>
    <w:rsid w:val="585D2567"/>
    <w:rsid w:val="5866181E"/>
    <w:rsid w:val="58726012"/>
    <w:rsid w:val="58AC4CBD"/>
    <w:rsid w:val="58C058EB"/>
    <w:rsid w:val="58CD28A0"/>
    <w:rsid w:val="58D228D1"/>
    <w:rsid w:val="58D3388C"/>
    <w:rsid w:val="58D82D25"/>
    <w:rsid w:val="58E050FF"/>
    <w:rsid w:val="58EB1FE8"/>
    <w:rsid w:val="58F92290"/>
    <w:rsid w:val="590A19FE"/>
    <w:rsid w:val="590B2E55"/>
    <w:rsid w:val="591E1CF6"/>
    <w:rsid w:val="592B3B37"/>
    <w:rsid w:val="593E3679"/>
    <w:rsid w:val="59463EAD"/>
    <w:rsid w:val="594A0F21"/>
    <w:rsid w:val="595600CF"/>
    <w:rsid w:val="59570C09"/>
    <w:rsid w:val="595A535A"/>
    <w:rsid w:val="595A5BCE"/>
    <w:rsid w:val="596C5157"/>
    <w:rsid w:val="59814033"/>
    <w:rsid w:val="599C2C1B"/>
    <w:rsid w:val="599C6916"/>
    <w:rsid w:val="59A24A11"/>
    <w:rsid w:val="59A93DB0"/>
    <w:rsid w:val="59AD337E"/>
    <w:rsid w:val="59B85EB7"/>
    <w:rsid w:val="59D031DC"/>
    <w:rsid w:val="59F0543D"/>
    <w:rsid w:val="59F111B9"/>
    <w:rsid w:val="5A0713C2"/>
    <w:rsid w:val="5A13112F"/>
    <w:rsid w:val="5A33532D"/>
    <w:rsid w:val="5A3612C1"/>
    <w:rsid w:val="5A407A4A"/>
    <w:rsid w:val="5A4667E2"/>
    <w:rsid w:val="5A4B633F"/>
    <w:rsid w:val="5A4C4E87"/>
    <w:rsid w:val="5A4F11FA"/>
    <w:rsid w:val="5A4F42A8"/>
    <w:rsid w:val="5A512F29"/>
    <w:rsid w:val="5A5415CC"/>
    <w:rsid w:val="5A59522E"/>
    <w:rsid w:val="5A7A2F5C"/>
    <w:rsid w:val="5A8008B1"/>
    <w:rsid w:val="5A952562"/>
    <w:rsid w:val="5AB537DF"/>
    <w:rsid w:val="5AD00DCE"/>
    <w:rsid w:val="5ADA2219"/>
    <w:rsid w:val="5AF63478"/>
    <w:rsid w:val="5AF9525B"/>
    <w:rsid w:val="5B092532"/>
    <w:rsid w:val="5B0B6223"/>
    <w:rsid w:val="5B0C46E4"/>
    <w:rsid w:val="5B1D54D7"/>
    <w:rsid w:val="5B24736C"/>
    <w:rsid w:val="5B2F1F99"/>
    <w:rsid w:val="5B3220B7"/>
    <w:rsid w:val="5B322BEC"/>
    <w:rsid w:val="5B5F03A4"/>
    <w:rsid w:val="5B602550"/>
    <w:rsid w:val="5B684D9D"/>
    <w:rsid w:val="5B6D7F83"/>
    <w:rsid w:val="5B9731F0"/>
    <w:rsid w:val="5B986E78"/>
    <w:rsid w:val="5BB55A1D"/>
    <w:rsid w:val="5BBA76D6"/>
    <w:rsid w:val="5BC4220D"/>
    <w:rsid w:val="5BC87214"/>
    <w:rsid w:val="5BE32D83"/>
    <w:rsid w:val="5BF147BE"/>
    <w:rsid w:val="5C0056E3"/>
    <w:rsid w:val="5C0E6052"/>
    <w:rsid w:val="5C263FFC"/>
    <w:rsid w:val="5C32128D"/>
    <w:rsid w:val="5C335809"/>
    <w:rsid w:val="5C3362D5"/>
    <w:rsid w:val="5C3E0EFB"/>
    <w:rsid w:val="5C3F632C"/>
    <w:rsid w:val="5C4369D4"/>
    <w:rsid w:val="5C4E7F25"/>
    <w:rsid w:val="5C5477DD"/>
    <w:rsid w:val="5C5E240A"/>
    <w:rsid w:val="5C6E212C"/>
    <w:rsid w:val="5C73096B"/>
    <w:rsid w:val="5C7376E4"/>
    <w:rsid w:val="5C797243"/>
    <w:rsid w:val="5C9A1694"/>
    <w:rsid w:val="5CA03123"/>
    <w:rsid w:val="5CAA564F"/>
    <w:rsid w:val="5CC11F40"/>
    <w:rsid w:val="5CDA3F46"/>
    <w:rsid w:val="5CF85EE2"/>
    <w:rsid w:val="5D192F00"/>
    <w:rsid w:val="5D1D22C5"/>
    <w:rsid w:val="5D1F7DEB"/>
    <w:rsid w:val="5D2F3C01"/>
    <w:rsid w:val="5D3874C9"/>
    <w:rsid w:val="5D4A3E3F"/>
    <w:rsid w:val="5D4F0E61"/>
    <w:rsid w:val="5D673093"/>
    <w:rsid w:val="5D675B54"/>
    <w:rsid w:val="5D977AC6"/>
    <w:rsid w:val="5D9B52A7"/>
    <w:rsid w:val="5D9F5DAC"/>
    <w:rsid w:val="5DA30A1C"/>
    <w:rsid w:val="5DD15589"/>
    <w:rsid w:val="5DEC23C3"/>
    <w:rsid w:val="5DEF3C61"/>
    <w:rsid w:val="5DFE3466"/>
    <w:rsid w:val="5E032122"/>
    <w:rsid w:val="5E344177"/>
    <w:rsid w:val="5E4529B2"/>
    <w:rsid w:val="5E6F4DA2"/>
    <w:rsid w:val="5E920F46"/>
    <w:rsid w:val="5E954808"/>
    <w:rsid w:val="5E9842F9"/>
    <w:rsid w:val="5E9C5CCD"/>
    <w:rsid w:val="5EA207F7"/>
    <w:rsid w:val="5EA52572"/>
    <w:rsid w:val="5EBB525E"/>
    <w:rsid w:val="5EBF1885"/>
    <w:rsid w:val="5ED51E4C"/>
    <w:rsid w:val="5ED95177"/>
    <w:rsid w:val="5EF325CC"/>
    <w:rsid w:val="5EFF6126"/>
    <w:rsid w:val="5F053010"/>
    <w:rsid w:val="5F1152EC"/>
    <w:rsid w:val="5F2E2567"/>
    <w:rsid w:val="5F3129A4"/>
    <w:rsid w:val="5F4070E6"/>
    <w:rsid w:val="5F5A335C"/>
    <w:rsid w:val="5F631733"/>
    <w:rsid w:val="5F663605"/>
    <w:rsid w:val="5F697A43"/>
    <w:rsid w:val="5F7F23CC"/>
    <w:rsid w:val="5F941C25"/>
    <w:rsid w:val="5FA04873"/>
    <w:rsid w:val="5FB143B2"/>
    <w:rsid w:val="5FCA04E2"/>
    <w:rsid w:val="5FD255E8"/>
    <w:rsid w:val="5FD86DED"/>
    <w:rsid w:val="5FE2350C"/>
    <w:rsid w:val="5FE666BB"/>
    <w:rsid w:val="5FF2020B"/>
    <w:rsid w:val="600C592F"/>
    <w:rsid w:val="600D6E2B"/>
    <w:rsid w:val="60116111"/>
    <w:rsid w:val="60133D7D"/>
    <w:rsid w:val="601B52DF"/>
    <w:rsid w:val="602164FD"/>
    <w:rsid w:val="60367925"/>
    <w:rsid w:val="60395667"/>
    <w:rsid w:val="60410240"/>
    <w:rsid w:val="604604FA"/>
    <w:rsid w:val="604C0EF7"/>
    <w:rsid w:val="604F4E8B"/>
    <w:rsid w:val="60667166"/>
    <w:rsid w:val="60724006"/>
    <w:rsid w:val="6086012E"/>
    <w:rsid w:val="608C65AA"/>
    <w:rsid w:val="60955D90"/>
    <w:rsid w:val="609B3C2C"/>
    <w:rsid w:val="609E0C30"/>
    <w:rsid w:val="60A54010"/>
    <w:rsid w:val="60AB7F2C"/>
    <w:rsid w:val="60B5692C"/>
    <w:rsid w:val="60B864DD"/>
    <w:rsid w:val="60DD620E"/>
    <w:rsid w:val="60E86DB4"/>
    <w:rsid w:val="60F15F42"/>
    <w:rsid w:val="610B7C4A"/>
    <w:rsid w:val="611807AB"/>
    <w:rsid w:val="611B4D6D"/>
    <w:rsid w:val="61207C77"/>
    <w:rsid w:val="61380409"/>
    <w:rsid w:val="614721A4"/>
    <w:rsid w:val="6148335E"/>
    <w:rsid w:val="61545484"/>
    <w:rsid w:val="615C4C67"/>
    <w:rsid w:val="615C785F"/>
    <w:rsid w:val="616C4315"/>
    <w:rsid w:val="61785D1C"/>
    <w:rsid w:val="61882668"/>
    <w:rsid w:val="618E6E5E"/>
    <w:rsid w:val="61A06C8C"/>
    <w:rsid w:val="61A35C11"/>
    <w:rsid w:val="61AF1358"/>
    <w:rsid w:val="61B25B61"/>
    <w:rsid w:val="61C277CE"/>
    <w:rsid w:val="61DC274E"/>
    <w:rsid w:val="61E248A8"/>
    <w:rsid w:val="61E73D9A"/>
    <w:rsid w:val="61EC1462"/>
    <w:rsid w:val="61EC3930"/>
    <w:rsid w:val="61F30221"/>
    <w:rsid w:val="61FB5718"/>
    <w:rsid w:val="622C1C5B"/>
    <w:rsid w:val="62426A55"/>
    <w:rsid w:val="624C568D"/>
    <w:rsid w:val="624F560A"/>
    <w:rsid w:val="625E3A3B"/>
    <w:rsid w:val="62654963"/>
    <w:rsid w:val="6266745C"/>
    <w:rsid w:val="62792AF3"/>
    <w:rsid w:val="629E4B7F"/>
    <w:rsid w:val="62A212A2"/>
    <w:rsid w:val="62A50D92"/>
    <w:rsid w:val="62CF2113"/>
    <w:rsid w:val="62F91D31"/>
    <w:rsid w:val="6307021B"/>
    <w:rsid w:val="630D6682"/>
    <w:rsid w:val="631E5A38"/>
    <w:rsid w:val="632272EB"/>
    <w:rsid w:val="63227AAA"/>
    <w:rsid w:val="63253C81"/>
    <w:rsid w:val="632D6B14"/>
    <w:rsid w:val="63350368"/>
    <w:rsid w:val="63455E77"/>
    <w:rsid w:val="63473FE4"/>
    <w:rsid w:val="63503AD3"/>
    <w:rsid w:val="63543CFC"/>
    <w:rsid w:val="635F7193"/>
    <w:rsid w:val="63696264"/>
    <w:rsid w:val="637137DA"/>
    <w:rsid w:val="63877E58"/>
    <w:rsid w:val="63A17834"/>
    <w:rsid w:val="63A23C32"/>
    <w:rsid w:val="63A97528"/>
    <w:rsid w:val="63AB6153"/>
    <w:rsid w:val="63C82F8A"/>
    <w:rsid w:val="63D36B90"/>
    <w:rsid w:val="63F024E1"/>
    <w:rsid w:val="640C709A"/>
    <w:rsid w:val="642F1EE3"/>
    <w:rsid w:val="64340620"/>
    <w:rsid w:val="64380936"/>
    <w:rsid w:val="64466BF9"/>
    <w:rsid w:val="644D348F"/>
    <w:rsid w:val="646157CA"/>
    <w:rsid w:val="646A5DEF"/>
    <w:rsid w:val="647749B0"/>
    <w:rsid w:val="64984C1A"/>
    <w:rsid w:val="649C61C5"/>
    <w:rsid w:val="649E7F9E"/>
    <w:rsid w:val="64A15589"/>
    <w:rsid w:val="64AF7CA6"/>
    <w:rsid w:val="64C03C61"/>
    <w:rsid w:val="64D9638C"/>
    <w:rsid w:val="64DE2339"/>
    <w:rsid w:val="64E02555"/>
    <w:rsid w:val="64E13C6F"/>
    <w:rsid w:val="64EF072B"/>
    <w:rsid w:val="64FD5934"/>
    <w:rsid w:val="65051B7F"/>
    <w:rsid w:val="65384669"/>
    <w:rsid w:val="653B3873"/>
    <w:rsid w:val="654C11BD"/>
    <w:rsid w:val="6557447D"/>
    <w:rsid w:val="655D5589"/>
    <w:rsid w:val="65622F6B"/>
    <w:rsid w:val="65643203"/>
    <w:rsid w:val="65794991"/>
    <w:rsid w:val="65887501"/>
    <w:rsid w:val="658E1B4A"/>
    <w:rsid w:val="65915FCB"/>
    <w:rsid w:val="65A41C8F"/>
    <w:rsid w:val="65A624DE"/>
    <w:rsid w:val="65AE4402"/>
    <w:rsid w:val="65B57A70"/>
    <w:rsid w:val="65B712FD"/>
    <w:rsid w:val="65C3273D"/>
    <w:rsid w:val="65E90A28"/>
    <w:rsid w:val="65F07BD0"/>
    <w:rsid w:val="66065EA4"/>
    <w:rsid w:val="660D737A"/>
    <w:rsid w:val="662F5ADF"/>
    <w:rsid w:val="66367FEE"/>
    <w:rsid w:val="66440FC8"/>
    <w:rsid w:val="66560E76"/>
    <w:rsid w:val="665673D6"/>
    <w:rsid w:val="66595E88"/>
    <w:rsid w:val="665B0427"/>
    <w:rsid w:val="665D4598"/>
    <w:rsid w:val="667A7554"/>
    <w:rsid w:val="667E6DAD"/>
    <w:rsid w:val="668F0F17"/>
    <w:rsid w:val="66A11D0C"/>
    <w:rsid w:val="66CC2D91"/>
    <w:rsid w:val="66E101FB"/>
    <w:rsid w:val="66E31E33"/>
    <w:rsid w:val="66EA21B4"/>
    <w:rsid w:val="66F70B6B"/>
    <w:rsid w:val="66FA47DB"/>
    <w:rsid w:val="66FB71D3"/>
    <w:rsid w:val="66FD119D"/>
    <w:rsid w:val="67034C37"/>
    <w:rsid w:val="670472EA"/>
    <w:rsid w:val="671206F3"/>
    <w:rsid w:val="671B5C58"/>
    <w:rsid w:val="672755B0"/>
    <w:rsid w:val="672C55DE"/>
    <w:rsid w:val="67462C8B"/>
    <w:rsid w:val="675114E9"/>
    <w:rsid w:val="67567154"/>
    <w:rsid w:val="675A0AF8"/>
    <w:rsid w:val="675A65EF"/>
    <w:rsid w:val="67817F89"/>
    <w:rsid w:val="67852F40"/>
    <w:rsid w:val="67866582"/>
    <w:rsid w:val="678D0238"/>
    <w:rsid w:val="679D5CE0"/>
    <w:rsid w:val="67A47656"/>
    <w:rsid w:val="67A9493B"/>
    <w:rsid w:val="67AC2A2C"/>
    <w:rsid w:val="67AD1E8E"/>
    <w:rsid w:val="67B72D23"/>
    <w:rsid w:val="67CA4DF7"/>
    <w:rsid w:val="67CD6853"/>
    <w:rsid w:val="67E05320"/>
    <w:rsid w:val="67ED3287"/>
    <w:rsid w:val="67F307F2"/>
    <w:rsid w:val="67FA7EE3"/>
    <w:rsid w:val="68036B62"/>
    <w:rsid w:val="680A1987"/>
    <w:rsid w:val="680E73DA"/>
    <w:rsid w:val="68121DDF"/>
    <w:rsid w:val="681326E0"/>
    <w:rsid w:val="68161596"/>
    <w:rsid w:val="681901F9"/>
    <w:rsid w:val="681925B3"/>
    <w:rsid w:val="684921C0"/>
    <w:rsid w:val="684F30E0"/>
    <w:rsid w:val="68503869"/>
    <w:rsid w:val="685630A9"/>
    <w:rsid w:val="6862498A"/>
    <w:rsid w:val="686654A7"/>
    <w:rsid w:val="68680195"/>
    <w:rsid w:val="68686AEA"/>
    <w:rsid w:val="68770F9B"/>
    <w:rsid w:val="687F5BE1"/>
    <w:rsid w:val="68837ABC"/>
    <w:rsid w:val="68910AC7"/>
    <w:rsid w:val="689774A9"/>
    <w:rsid w:val="689F039F"/>
    <w:rsid w:val="689F0CF7"/>
    <w:rsid w:val="689F5992"/>
    <w:rsid w:val="68A51AEC"/>
    <w:rsid w:val="68AE7B72"/>
    <w:rsid w:val="68B27D65"/>
    <w:rsid w:val="68C34771"/>
    <w:rsid w:val="68D87B11"/>
    <w:rsid w:val="68DA5BAB"/>
    <w:rsid w:val="68DC7647"/>
    <w:rsid w:val="68DD019B"/>
    <w:rsid w:val="68E65F5E"/>
    <w:rsid w:val="68EC147D"/>
    <w:rsid w:val="68F3077A"/>
    <w:rsid w:val="69280027"/>
    <w:rsid w:val="69286EE4"/>
    <w:rsid w:val="692C1018"/>
    <w:rsid w:val="693410C2"/>
    <w:rsid w:val="69377A2E"/>
    <w:rsid w:val="69567CE1"/>
    <w:rsid w:val="69610AF4"/>
    <w:rsid w:val="69711181"/>
    <w:rsid w:val="69724F1B"/>
    <w:rsid w:val="697C45DD"/>
    <w:rsid w:val="6980390A"/>
    <w:rsid w:val="69A00347"/>
    <w:rsid w:val="69A377E4"/>
    <w:rsid w:val="69A60D09"/>
    <w:rsid w:val="69C451FB"/>
    <w:rsid w:val="69D00BC4"/>
    <w:rsid w:val="69DB32EB"/>
    <w:rsid w:val="69DF6640"/>
    <w:rsid w:val="69EB1780"/>
    <w:rsid w:val="69EB79D2"/>
    <w:rsid w:val="6A1011E7"/>
    <w:rsid w:val="6A311E94"/>
    <w:rsid w:val="6A61482D"/>
    <w:rsid w:val="6A6D21CA"/>
    <w:rsid w:val="6A747CCA"/>
    <w:rsid w:val="6A874F1A"/>
    <w:rsid w:val="6AAD746F"/>
    <w:rsid w:val="6AB15A99"/>
    <w:rsid w:val="6AB73D58"/>
    <w:rsid w:val="6AB932A1"/>
    <w:rsid w:val="6AC10733"/>
    <w:rsid w:val="6AC335A7"/>
    <w:rsid w:val="6AC72F22"/>
    <w:rsid w:val="6AE05F6E"/>
    <w:rsid w:val="6AE10DD5"/>
    <w:rsid w:val="6AEA2018"/>
    <w:rsid w:val="6AF35A12"/>
    <w:rsid w:val="6AF64881"/>
    <w:rsid w:val="6AF71035"/>
    <w:rsid w:val="6AFC1BE4"/>
    <w:rsid w:val="6B0369FE"/>
    <w:rsid w:val="6B1F5178"/>
    <w:rsid w:val="6B24186C"/>
    <w:rsid w:val="6B2A1CA4"/>
    <w:rsid w:val="6B2A4315"/>
    <w:rsid w:val="6B2F1B41"/>
    <w:rsid w:val="6B3170C4"/>
    <w:rsid w:val="6B334993"/>
    <w:rsid w:val="6B3D24B0"/>
    <w:rsid w:val="6B476E8A"/>
    <w:rsid w:val="6B497FCC"/>
    <w:rsid w:val="6B515737"/>
    <w:rsid w:val="6B5E2C34"/>
    <w:rsid w:val="6B6C0BDE"/>
    <w:rsid w:val="6B6F4633"/>
    <w:rsid w:val="6B713825"/>
    <w:rsid w:val="6B76151E"/>
    <w:rsid w:val="6B7F06BE"/>
    <w:rsid w:val="6BA0712C"/>
    <w:rsid w:val="6BA9331E"/>
    <w:rsid w:val="6BC06C3D"/>
    <w:rsid w:val="6BCA3618"/>
    <w:rsid w:val="6BD1620D"/>
    <w:rsid w:val="6BD37761"/>
    <w:rsid w:val="6BEA7064"/>
    <w:rsid w:val="6BEC4E13"/>
    <w:rsid w:val="6BF16F9C"/>
    <w:rsid w:val="6C090F80"/>
    <w:rsid w:val="6C13316C"/>
    <w:rsid w:val="6C17524A"/>
    <w:rsid w:val="6C207EB4"/>
    <w:rsid w:val="6C2B055A"/>
    <w:rsid w:val="6C2B2308"/>
    <w:rsid w:val="6C4474DE"/>
    <w:rsid w:val="6C4B4758"/>
    <w:rsid w:val="6C566B8D"/>
    <w:rsid w:val="6C726189"/>
    <w:rsid w:val="6C786C1F"/>
    <w:rsid w:val="6C8A4985"/>
    <w:rsid w:val="6C9500C9"/>
    <w:rsid w:val="6C963F34"/>
    <w:rsid w:val="6CCA7D73"/>
    <w:rsid w:val="6CD04C5E"/>
    <w:rsid w:val="6CD7713F"/>
    <w:rsid w:val="6CD81D64"/>
    <w:rsid w:val="6CF277BB"/>
    <w:rsid w:val="6CF67414"/>
    <w:rsid w:val="6D1949E6"/>
    <w:rsid w:val="6D301BA0"/>
    <w:rsid w:val="6D40341E"/>
    <w:rsid w:val="6D413222"/>
    <w:rsid w:val="6D4C69DA"/>
    <w:rsid w:val="6D527D69"/>
    <w:rsid w:val="6D582FC7"/>
    <w:rsid w:val="6D594C53"/>
    <w:rsid w:val="6D5D1C24"/>
    <w:rsid w:val="6D6560DE"/>
    <w:rsid w:val="6D743309"/>
    <w:rsid w:val="6D77157D"/>
    <w:rsid w:val="6D777848"/>
    <w:rsid w:val="6D7F5645"/>
    <w:rsid w:val="6D960C73"/>
    <w:rsid w:val="6D9C513E"/>
    <w:rsid w:val="6DC97375"/>
    <w:rsid w:val="6DD05E3A"/>
    <w:rsid w:val="6DF66946"/>
    <w:rsid w:val="6E042F36"/>
    <w:rsid w:val="6E2115F3"/>
    <w:rsid w:val="6E302D35"/>
    <w:rsid w:val="6E3939C2"/>
    <w:rsid w:val="6E407BC1"/>
    <w:rsid w:val="6E437238"/>
    <w:rsid w:val="6E46551E"/>
    <w:rsid w:val="6E48779E"/>
    <w:rsid w:val="6E4B6C92"/>
    <w:rsid w:val="6E557B10"/>
    <w:rsid w:val="6E5830D8"/>
    <w:rsid w:val="6E723EE7"/>
    <w:rsid w:val="6E7C3A60"/>
    <w:rsid w:val="6E906D9A"/>
    <w:rsid w:val="6E934195"/>
    <w:rsid w:val="6E9C7DB8"/>
    <w:rsid w:val="6E9E63AA"/>
    <w:rsid w:val="6EBB19BE"/>
    <w:rsid w:val="6EBE21B5"/>
    <w:rsid w:val="6EF26375"/>
    <w:rsid w:val="6EFA027F"/>
    <w:rsid w:val="6F0D0A9A"/>
    <w:rsid w:val="6F1329A4"/>
    <w:rsid w:val="6F1E43A6"/>
    <w:rsid w:val="6F235C72"/>
    <w:rsid w:val="6F3026C9"/>
    <w:rsid w:val="6F331FED"/>
    <w:rsid w:val="6F3B6D06"/>
    <w:rsid w:val="6F4653F3"/>
    <w:rsid w:val="6F4A65BA"/>
    <w:rsid w:val="6F502086"/>
    <w:rsid w:val="6F510FBE"/>
    <w:rsid w:val="6F536D49"/>
    <w:rsid w:val="6F5873A6"/>
    <w:rsid w:val="6F65194E"/>
    <w:rsid w:val="6F741033"/>
    <w:rsid w:val="6F7747AC"/>
    <w:rsid w:val="6F932566"/>
    <w:rsid w:val="6F955A8A"/>
    <w:rsid w:val="6FAA11CB"/>
    <w:rsid w:val="6FB07B14"/>
    <w:rsid w:val="6FB3090E"/>
    <w:rsid w:val="6FBB4619"/>
    <w:rsid w:val="6FBC6085"/>
    <w:rsid w:val="6FC239A6"/>
    <w:rsid w:val="6FD72910"/>
    <w:rsid w:val="6FE253D4"/>
    <w:rsid w:val="6FE27182"/>
    <w:rsid w:val="6FE4739E"/>
    <w:rsid w:val="6FF37001"/>
    <w:rsid w:val="6FF922AC"/>
    <w:rsid w:val="6FFE7D34"/>
    <w:rsid w:val="70097E37"/>
    <w:rsid w:val="7012732D"/>
    <w:rsid w:val="701337DF"/>
    <w:rsid w:val="70251764"/>
    <w:rsid w:val="702B3CFA"/>
    <w:rsid w:val="702D3080"/>
    <w:rsid w:val="702F3D23"/>
    <w:rsid w:val="704C0A9F"/>
    <w:rsid w:val="7073057A"/>
    <w:rsid w:val="70746685"/>
    <w:rsid w:val="707A385E"/>
    <w:rsid w:val="708B2763"/>
    <w:rsid w:val="708C0DAF"/>
    <w:rsid w:val="709A3F00"/>
    <w:rsid w:val="70AC7790"/>
    <w:rsid w:val="70BE04C1"/>
    <w:rsid w:val="70C1323B"/>
    <w:rsid w:val="70D25E29"/>
    <w:rsid w:val="70D96C86"/>
    <w:rsid w:val="70DC1223"/>
    <w:rsid w:val="70DF24FE"/>
    <w:rsid w:val="70E231B1"/>
    <w:rsid w:val="70E7213F"/>
    <w:rsid w:val="70E86455"/>
    <w:rsid w:val="70EB475C"/>
    <w:rsid w:val="70F37652"/>
    <w:rsid w:val="70F44F02"/>
    <w:rsid w:val="71002BCF"/>
    <w:rsid w:val="71030281"/>
    <w:rsid w:val="71097386"/>
    <w:rsid w:val="710A3200"/>
    <w:rsid w:val="712D08D1"/>
    <w:rsid w:val="71341C5F"/>
    <w:rsid w:val="713E621A"/>
    <w:rsid w:val="7155354F"/>
    <w:rsid w:val="71771A99"/>
    <w:rsid w:val="717E036C"/>
    <w:rsid w:val="71951759"/>
    <w:rsid w:val="71B908B5"/>
    <w:rsid w:val="71D44171"/>
    <w:rsid w:val="71E34501"/>
    <w:rsid w:val="71E76413"/>
    <w:rsid w:val="71F62E1A"/>
    <w:rsid w:val="71FD0987"/>
    <w:rsid w:val="71FE6305"/>
    <w:rsid w:val="72231CD3"/>
    <w:rsid w:val="72312491"/>
    <w:rsid w:val="7238105A"/>
    <w:rsid w:val="72430D8D"/>
    <w:rsid w:val="724931F0"/>
    <w:rsid w:val="7254179F"/>
    <w:rsid w:val="726E11B5"/>
    <w:rsid w:val="72825C56"/>
    <w:rsid w:val="729C5585"/>
    <w:rsid w:val="72A76461"/>
    <w:rsid w:val="72A82F68"/>
    <w:rsid w:val="72AD502B"/>
    <w:rsid w:val="72B312A9"/>
    <w:rsid w:val="72BA43E6"/>
    <w:rsid w:val="72C7696D"/>
    <w:rsid w:val="72CF4622"/>
    <w:rsid w:val="72CF64E2"/>
    <w:rsid w:val="72E9516A"/>
    <w:rsid w:val="72F30E15"/>
    <w:rsid w:val="72F36F5F"/>
    <w:rsid w:val="72FA77B8"/>
    <w:rsid w:val="72FC13BD"/>
    <w:rsid w:val="7310630F"/>
    <w:rsid w:val="73163E8B"/>
    <w:rsid w:val="73226650"/>
    <w:rsid w:val="734905C3"/>
    <w:rsid w:val="73584877"/>
    <w:rsid w:val="736D2365"/>
    <w:rsid w:val="736F3422"/>
    <w:rsid w:val="737C77CB"/>
    <w:rsid w:val="738F631E"/>
    <w:rsid w:val="739147D0"/>
    <w:rsid w:val="73A50B2B"/>
    <w:rsid w:val="73A63EEC"/>
    <w:rsid w:val="73A86535"/>
    <w:rsid w:val="73AE5B9E"/>
    <w:rsid w:val="73D204C0"/>
    <w:rsid w:val="73D242B4"/>
    <w:rsid w:val="73D73A44"/>
    <w:rsid w:val="73DA028C"/>
    <w:rsid w:val="73F74A5C"/>
    <w:rsid w:val="73F87EF2"/>
    <w:rsid w:val="74006337"/>
    <w:rsid w:val="741E2941"/>
    <w:rsid w:val="7422631D"/>
    <w:rsid w:val="742C0EB1"/>
    <w:rsid w:val="74405851"/>
    <w:rsid w:val="74512C62"/>
    <w:rsid w:val="74553AD1"/>
    <w:rsid w:val="745D7CFB"/>
    <w:rsid w:val="74614968"/>
    <w:rsid w:val="74623E8C"/>
    <w:rsid w:val="747F1ECC"/>
    <w:rsid w:val="749F50D2"/>
    <w:rsid w:val="74AF051B"/>
    <w:rsid w:val="74C76EB4"/>
    <w:rsid w:val="74D24DF2"/>
    <w:rsid w:val="74FC0CE6"/>
    <w:rsid w:val="74FF6B82"/>
    <w:rsid w:val="751A116C"/>
    <w:rsid w:val="751B30C5"/>
    <w:rsid w:val="75265F5C"/>
    <w:rsid w:val="752E4063"/>
    <w:rsid w:val="754206C3"/>
    <w:rsid w:val="75717D36"/>
    <w:rsid w:val="75764E9E"/>
    <w:rsid w:val="757D0E15"/>
    <w:rsid w:val="75935F7B"/>
    <w:rsid w:val="759D5513"/>
    <w:rsid w:val="75BF1D13"/>
    <w:rsid w:val="75C643F3"/>
    <w:rsid w:val="75EB48B6"/>
    <w:rsid w:val="75F12173"/>
    <w:rsid w:val="76097038"/>
    <w:rsid w:val="760A6649"/>
    <w:rsid w:val="762A1F2B"/>
    <w:rsid w:val="7648529B"/>
    <w:rsid w:val="76494A96"/>
    <w:rsid w:val="764B59A7"/>
    <w:rsid w:val="764D2AF5"/>
    <w:rsid w:val="76522B87"/>
    <w:rsid w:val="765E708E"/>
    <w:rsid w:val="76642751"/>
    <w:rsid w:val="767331A5"/>
    <w:rsid w:val="76A07890"/>
    <w:rsid w:val="76A421E3"/>
    <w:rsid w:val="76A927F4"/>
    <w:rsid w:val="76B828EB"/>
    <w:rsid w:val="76DD0A99"/>
    <w:rsid w:val="76DD68F5"/>
    <w:rsid w:val="76E732D0"/>
    <w:rsid w:val="77083097"/>
    <w:rsid w:val="770E2F52"/>
    <w:rsid w:val="773F3230"/>
    <w:rsid w:val="77464236"/>
    <w:rsid w:val="77573C6D"/>
    <w:rsid w:val="777A725B"/>
    <w:rsid w:val="77846D70"/>
    <w:rsid w:val="779E14D7"/>
    <w:rsid w:val="77C64193"/>
    <w:rsid w:val="77DC4C9B"/>
    <w:rsid w:val="77E31CE9"/>
    <w:rsid w:val="77EF68CD"/>
    <w:rsid w:val="77F11895"/>
    <w:rsid w:val="77F37A9D"/>
    <w:rsid w:val="77F75603"/>
    <w:rsid w:val="77F75794"/>
    <w:rsid w:val="77FC72FD"/>
    <w:rsid w:val="77FE3986"/>
    <w:rsid w:val="78031143"/>
    <w:rsid w:val="781C02E3"/>
    <w:rsid w:val="782F15F5"/>
    <w:rsid w:val="78502C58"/>
    <w:rsid w:val="78507213"/>
    <w:rsid w:val="7859644F"/>
    <w:rsid w:val="785E7022"/>
    <w:rsid w:val="78624E36"/>
    <w:rsid w:val="78661C38"/>
    <w:rsid w:val="786F50F4"/>
    <w:rsid w:val="78721837"/>
    <w:rsid w:val="78741675"/>
    <w:rsid w:val="787533C7"/>
    <w:rsid w:val="78774B27"/>
    <w:rsid w:val="787943FB"/>
    <w:rsid w:val="787C19AC"/>
    <w:rsid w:val="787C6C9B"/>
    <w:rsid w:val="787F36C1"/>
    <w:rsid w:val="788B6BF2"/>
    <w:rsid w:val="78972AD3"/>
    <w:rsid w:val="7899333C"/>
    <w:rsid w:val="78A300F5"/>
    <w:rsid w:val="78AA321F"/>
    <w:rsid w:val="78B87EE4"/>
    <w:rsid w:val="78C07C12"/>
    <w:rsid w:val="78CE1DD7"/>
    <w:rsid w:val="78D56B03"/>
    <w:rsid w:val="78D92BEB"/>
    <w:rsid w:val="78E74EF6"/>
    <w:rsid w:val="78EE303B"/>
    <w:rsid w:val="78F16009"/>
    <w:rsid w:val="78F95F95"/>
    <w:rsid w:val="79022643"/>
    <w:rsid w:val="79051649"/>
    <w:rsid w:val="79110AD8"/>
    <w:rsid w:val="79246A5D"/>
    <w:rsid w:val="79273E57"/>
    <w:rsid w:val="792F20B5"/>
    <w:rsid w:val="79390854"/>
    <w:rsid w:val="79425135"/>
    <w:rsid w:val="795E1E90"/>
    <w:rsid w:val="796270F7"/>
    <w:rsid w:val="79667547"/>
    <w:rsid w:val="79752E15"/>
    <w:rsid w:val="798139A7"/>
    <w:rsid w:val="79A0658C"/>
    <w:rsid w:val="79A344F3"/>
    <w:rsid w:val="79C66DEF"/>
    <w:rsid w:val="79DF5C9D"/>
    <w:rsid w:val="79E162E5"/>
    <w:rsid w:val="79ED77A5"/>
    <w:rsid w:val="7A044DC4"/>
    <w:rsid w:val="7A0E6035"/>
    <w:rsid w:val="7A17211E"/>
    <w:rsid w:val="7A212F9C"/>
    <w:rsid w:val="7A2860D9"/>
    <w:rsid w:val="7A2D1210"/>
    <w:rsid w:val="7A3C1E68"/>
    <w:rsid w:val="7A4D7721"/>
    <w:rsid w:val="7A5044E1"/>
    <w:rsid w:val="7A511B1E"/>
    <w:rsid w:val="7A533875"/>
    <w:rsid w:val="7A5563BA"/>
    <w:rsid w:val="7A5E5F9F"/>
    <w:rsid w:val="7A6037F8"/>
    <w:rsid w:val="7A666C01"/>
    <w:rsid w:val="7A6B3EF6"/>
    <w:rsid w:val="7A7948AA"/>
    <w:rsid w:val="7A831369"/>
    <w:rsid w:val="7A990D85"/>
    <w:rsid w:val="7AB93293"/>
    <w:rsid w:val="7AC66C0C"/>
    <w:rsid w:val="7ACC428D"/>
    <w:rsid w:val="7AF20495"/>
    <w:rsid w:val="7AF52323"/>
    <w:rsid w:val="7AF64932"/>
    <w:rsid w:val="7AFE5CF3"/>
    <w:rsid w:val="7B053598"/>
    <w:rsid w:val="7B062F2A"/>
    <w:rsid w:val="7B084762"/>
    <w:rsid w:val="7B1144A3"/>
    <w:rsid w:val="7B23117F"/>
    <w:rsid w:val="7B284D4A"/>
    <w:rsid w:val="7B2B3ED7"/>
    <w:rsid w:val="7B422F58"/>
    <w:rsid w:val="7B4A5FEA"/>
    <w:rsid w:val="7B581BEB"/>
    <w:rsid w:val="7B605E96"/>
    <w:rsid w:val="7B7754AE"/>
    <w:rsid w:val="7B7823F6"/>
    <w:rsid w:val="7B892BA7"/>
    <w:rsid w:val="7B900CE5"/>
    <w:rsid w:val="7BA536D8"/>
    <w:rsid w:val="7BB35E76"/>
    <w:rsid w:val="7BB5399C"/>
    <w:rsid w:val="7BD77DB7"/>
    <w:rsid w:val="7BDD3848"/>
    <w:rsid w:val="7BED75DA"/>
    <w:rsid w:val="7BF1074D"/>
    <w:rsid w:val="7BF250C7"/>
    <w:rsid w:val="7BF612B2"/>
    <w:rsid w:val="7C00517E"/>
    <w:rsid w:val="7C1E634D"/>
    <w:rsid w:val="7C202F6B"/>
    <w:rsid w:val="7C26471C"/>
    <w:rsid w:val="7C3C2310"/>
    <w:rsid w:val="7C4D5B3E"/>
    <w:rsid w:val="7C5133FE"/>
    <w:rsid w:val="7C6D3C66"/>
    <w:rsid w:val="7C7575D0"/>
    <w:rsid w:val="7C86358B"/>
    <w:rsid w:val="7CAA04DB"/>
    <w:rsid w:val="7CB4634A"/>
    <w:rsid w:val="7CF95B0B"/>
    <w:rsid w:val="7D09700D"/>
    <w:rsid w:val="7D155538"/>
    <w:rsid w:val="7D2C430F"/>
    <w:rsid w:val="7D337B48"/>
    <w:rsid w:val="7D3F4ACE"/>
    <w:rsid w:val="7D4C0AA9"/>
    <w:rsid w:val="7D642E73"/>
    <w:rsid w:val="7D666225"/>
    <w:rsid w:val="7D847DD0"/>
    <w:rsid w:val="7D8B28B5"/>
    <w:rsid w:val="7D9F7421"/>
    <w:rsid w:val="7DA16C88"/>
    <w:rsid w:val="7DA26420"/>
    <w:rsid w:val="7DB859C6"/>
    <w:rsid w:val="7DBF6D54"/>
    <w:rsid w:val="7DC1045B"/>
    <w:rsid w:val="7DC46338"/>
    <w:rsid w:val="7DD26009"/>
    <w:rsid w:val="7DDF2F52"/>
    <w:rsid w:val="7E035413"/>
    <w:rsid w:val="7E1502D6"/>
    <w:rsid w:val="7E1650E1"/>
    <w:rsid w:val="7E176585"/>
    <w:rsid w:val="7E1F3157"/>
    <w:rsid w:val="7E201B39"/>
    <w:rsid w:val="7E2240DE"/>
    <w:rsid w:val="7E2429CB"/>
    <w:rsid w:val="7E2708C5"/>
    <w:rsid w:val="7E4576F9"/>
    <w:rsid w:val="7E4B683A"/>
    <w:rsid w:val="7E4E2D56"/>
    <w:rsid w:val="7E5833BE"/>
    <w:rsid w:val="7E70256F"/>
    <w:rsid w:val="7E722019"/>
    <w:rsid w:val="7E861620"/>
    <w:rsid w:val="7E8C4797"/>
    <w:rsid w:val="7E905705"/>
    <w:rsid w:val="7EB97C47"/>
    <w:rsid w:val="7EBB26D4"/>
    <w:rsid w:val="7EBF4B32"/>
    <w:rsid w:val="7EC04543"/>
    <w:rsid w:val="7EC06764"/>
    <w:rsid w:val="7EC753C4"/>
    <w:rsid w:val="7ECF3A2A"/>
    <w:rsid w:val="7ED61762"/>
    <w:rsid w:val="7ED75BEB"/>
    <w:rsid w:val="7EF76E71"/>
    <w:rsid w:val="7F0C421B"/>
    <w:rsid w:val="7F0E3B62"/>
    <w:rsid w:val="7F1153B3"/>
    <w:rsid w:val="7F2F3506"/>
    <w:rsid w:val="7F33236A"/>
    <w:rsid w:val="7F4B19C8"/>
    <w:rsid w:val="7F531E4A"/>
    <w:rsid w:val="7F5325AB"/>
    <w:rsid w:val="7F7678E7"/>
    <w:rsid w:val="7F7D72DD"/>
    <w:rsid w:val="7F896096"/>
    <w:rsid w:val="7F8B0331"/>
    <w:rsid w:val="7F932247"/>
    <w:rsid w:val="7FAC4173"/>
    <w:rsid w:val="7FAF09CA"/>
    <w:rsid w:val="7FB02C0D"/>
    <w:rsid w:val="7FB33332"/>
    <w:rsid w:val="7FB977D3"/>
    <w:rsid w:val="7FBC5711"/>
    <w:rsid w:val="7FC20D7E"/>
    <w:rsid w:val="7FC95C68"/>
    <w:rsid w:val="7FD14B1D"/>
    <w:rsid w:val="7FDB3BED"/>
    <w:rsid w:val="7FDC1E3F"/>
    <w:rsid w:val="7FF01E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3"/>
    <w:qFormat/>
    <w:uiPriority w:val="9"/>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ind w:left="2520" w:leftChars="1200"/>
    </w:pPr>
    <w:rPr>
      <w:rFonts w:ascii="Calibri" w:hAnsi="Calibri" w:cs="黑体"/>
      <w:szCs w:val="22"/>
    </w:rPr>
  </w:style>
  <w:style w:type="paragraph" w:styleId="7">
    <w:name w:val="annotation text"/>
    <w:basedOn w:val="1"/>
    <w:link w:val="75"/>
    <w:qFormat/>
    <w:uiPriority w:val="99"/>
    <w:pPr>
      <w:jc w:val="left"/>
    </w:pPr>
  </w:style>
  <w:style w:type="paragraph" w:styleId="8">
    <w:name w:val="Body Text"/>
    <w:basedOn w:val="1"/>
    <w:link w:val="52"/>
    <w:qFormat/>
    <w:uiPriority w:val="99"/>
    <w:pPr>
      <w:spacing w:after="120"/>
    </w:pPr>
  </w:style>
  <w:style w:type="paragraph" w:styleId="9">
    <w:name w:val="Body Text Indent"/>
    <w:basedOn w:val="1"/>
    <w:qFormat/>
    <w:uiPriority w:val="0"/>
    <w:pPr>
      <w:ind w:firstLine="407" w:firstLineChars="200"/>
    </w:pPr>
  </w:style>
  <w:style w:type="paragraph" w:styleId="1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1">
    <w:name w:val="toc 5"/>
    <w:basedOn w:val="1"/>
    <w:next w:val="1"/>
    <w:qFormat/>
    <w:uiPriority w:val="39"/>
    <w:pPr>
      <w:ind w:left="1680" w:leftChars="800"/>
    </w:pPr>
    <w:rPr>
      <w:rFonts w:ascii="Calibri" w:hAnsi="Calibri" w:cs="黑体"/>
      <w:szCs w:val="22"/>
    </w:rPr>
  </w:style>
  <w:style w:type="paragraph" w:styleId="12">
    <w:name w:val="toc 3"/>
    <w:basedOn w:val="1"/>
    <w:next w:val="1"/>
    <w:qFormat/>
    <w:uiPriority w:val="39"/>
    <w:pPr>
      <w:ind w:left="840" w:leftChars="400"/>
    </w:pPr>
    <w:rPr>
      <w:rFonts w:ascii="Calibri" w:hAnsi="Calibri" w:cs="黑体"/>
      <w:szCs w:val="22"/>
    </w:rPr>
  </w:style>
  <w:style w:type="paragraph" w:styleId="13">
    <w:name w:val="Plain Text"/>
    <w:basedOn w:val="1"/>
    <w:link w:val="78"/>
    <w:unhideWhenUsed/>
    <w:qFormat/>
    <w:uiPriority w:val="0"/>
    <w:rPr>
      <w:rFonts w:ascii="宋体" w:hAnsi="Courier New" w:cs="Courier New"/>
      <w:szCs w:val="21"/>
    </w:rPr>
  </w:style>
  <w:style w:type="paragraph" w:styleId="14">
    <w:name w:val="toc 8"/>
    <w:basedOn w:val="1"/>
    <w:next w:val="1"/>
    <w:qFormat/>
    <w:uiPriority w:val="39"/>
    <w:pPr>
      <w:ind w:left="2940" w:leftChars="1400"/>
    </w:pPr>
    <w:rPr>
      <w:rFonts w:ascii="Calibri" w:hAnsi="Calibri" w:cs="黑体"/>
      <w:szCs w:val="22"/>
    </w:rPr>
  </w:style>
  <w:style w:type="paragraph" w:styleId="15">
    <w:name w:val="Body Text Indent 2"/>
    <w:basedOn w:val="1"/>
    <w:qFormat/>
    <w:uiPriority w:val="0"/>
    <w:pPr>
      <w:ind w:left="435"/>
    </w:pPr>
    <w:rPr>
      <w:sz w:val="24"/>
    </w:rPr>
  </w:style>
  <w:style w:type="paragraph" w:styleId="16">
    <w:name w:val="Balloon Text"/>
    <w:basedOn w:val="1"/>
    <w:link w:val="60"/>
    <w:qFormat/>
    <w:uiPriority w:val="99"/>
    <w:rPr>
      <w:sz w:val="18"/>
      <w:szCs w:val="18"/>
    </w:rPr>
  </w:style>
  <w:style w:type="paragraph" w:styleId="17">
    <w:name w:val="footer"/>
    <w:basedOn w:val="1"/>
    <w:link w:val="65"/>
    <w:qFormat/>
    <w:uiPriority w:val="99"/>
    <w:pPr>
      <w:tabs>
        <w:tab w:val="center" w:pos="4153"/>
        <w:tab w:val="right" w:pos="8306"/>
      </w:tabs>
      <w:snapToGrid w:val="0"/>
      <w:jc w:val="left"/>
    </w:pPr>
    <w:rPr>
      <w:sz w:val="18"/>
      <w:szCs w:val="18"/>
    </w:rPr>
  </w:style>
  <w:style w:type="paragraph" w:styleId="18">
    <w:name w:val="header"/>
    <w:basedOn w:val="1"/>
    <w:link w:val="64"/>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caps/>
      <w:sz w:val="20"/>
      <w:szCs w:val="20"/>
    </w:rPr>
  </w:style>
  <w:style w:type="paragraph" w:styleId="20">
    <w:name w:val="toc 4"/>
    <w:basedOn w:val="1"/>
    <w:next w:val="1"/>
    <w:qFormat/>
    <w:uiPriority w:val="39"/>
    <w:pPr>
      <w:ind w:left="1260" w:leftChars="600"/>
    </w:pPr>
    <w:rPr>
      <w:rFonts w:ascii="Calibri" w:hAnsi="Calibri" w:cs="黑体"/>
      <w:szCs w:val="22"/>
    </w:rPr>
  </w:style>
  <w:style w:type="paragraph" w:styleId="21">
    <w:name w:val="Subtitle"/>
    <w:basedOn w:val="1"/>
    <w:qFormat/>
    <w:uiPriority w:val="0"/>
    <w:pPr>
      <w:widowControl/>
      <w:jc w:val="center"/>
    </w:pPr>
    <w:rPr>
      <w:kern w:val="0"/>
      <w:sz w:val="20"/>
      <w:u w:val="single"/>
      <w:lang w:eastAsia="en-US"/>
    </w:rPr>
  </w:style>
  <w:style w:type="paragraph" w:styleId="22">
    <w:name w:val="toc 6"/>
    <w:basedOn w:val="1"/>
    <w:next w:val="1"/>
    <w:qFormat/>
    <w:uiPriority w:val="39"/>
    <w:pPr>
      <w:ind w:left="2100" w:leftChars="1000"/>
    </w:pPr>
    <w:rPr>
      <w:rFonts w:ascii="Calibri" w:hAnsi="Calibri" w:cs="黑体"/>
      <w:szCs w:val="22"/>
    </w:rPr>
  </w:style>
  <w:style w:type="paragraph" w:styleId="23">
    <w:name w:val="toc 2"/>
    <w:basedOn w:val="1"/>
    <w:next w:val="1"/>
    <w:qFormat/>
    <w:uiPriority w:val="39"/>
    <w:pPr>
      <w:ind w:left="210"/>
      <w:jc w:val="left"/>
    </w:pPr>
    <w:rPr>
      <w:smallCaps/>
      <w:sz w:val="20"/>
      <w:szCs w:val="20"/>
    </w:rPr>
  </w:style>
  <w:style w:type="paragraph" w:styleId="24">
    <w:name w:val="toc 9"/>
    <w:basedOn w:val="1"/>
    <w:next w:val="1"/>
    <w:qFormat/>
    <w:uiPriority w:val="39"/>
    <w:pPr>
      <w:ind w:left="3360" w:leftChars="1600"/>
    </w:pPr>
    <w:rPr>
      <w:rFonts w:ascii="Calibri" w:hAnsi="Calibri" w:cs="黑体"/>
      <w:szCs w:val="22"/>
    </w:rPr>
  </w:style>
  <w:style w:type="paragraph" w:styleId="25">
    <w:name w:val="Normal (Web)"/>
    <w:basedOn w:val="1"/>
    <w:qFormat/>
    <w:uiPriority w:val="0"/>
    <w:pPr>
      <w:spacing w:beforeAutospacing="1" w:afterAutospacing="1"/>
      <w:jc w:val="left"/>
    </w:pPr>
    <w:rPr>
      <w:kern w:val="0"/>
      <w:sz w:val="24"/>
    </w:rPr>
  </w:style>
  <w:style w:type="paragraph" w:styleId="26">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27">
    <w:name w:val="annotation subject"/>
    <w:basedOn w:val="7"/>
    <w:next w:val="7"/>
    <w:link w:val="77"/>
    <w:qFormat/>
    <w:uiPriority w:val="0"/>
    <w:rPr>
      <w:b/>
      <w:bCs/>
    </w:rPr>
  </w:style>
  <w:style w:type="paragraph" w:styleId="28">
    <w:name w:val="Body Text First Indent"/>
    <w:basedOn w:val="8"/>
    <w:next w:val="1"/>
    <w:qFormat/>
    <w:uiPriority w:val="0"/>
    <w:pPr>
      <w:spacing w:line="275" w:lineRule="atLeast"/>
      <w:ind w:firstLine="420"/>
    </w:pPr>
    <w:rPr>
      <w:rFonts w:eastAsia="楷体"/>
      <w:kern w:val="1"/>
      <w:sz w:val="26"/>
      <w:szCs w:val="20"/>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uiPriority w:val="0"/>
  </w:style>
  <w:style w:type="character" w:styleId="33">
    <w:name w:val="FollowedHyperlink"/>
    <w:basedOn w:val="31"/>
    <w:qFormat/>
    <w:uiPriority w:val="0"/>
    <w:rPr>
      <w:color w:val="800080"/>
      <w:u w:val="none"/>
    </w:rPr>
  </w:style>
  <w:style w:type="character" w:styleId="34">
    <w:name w:val="Emphasis"/>
    <w:basedOn w:val="31"/>
    <w:qFormat/>
    <w:uiPriority w:val="0"/>
  </w:style>
  <w:style w:type="character" w:styleId="35">
    <w:name w:val="HTML Definition"/>
    <w:basedOn w:val="31"/>
    <w:qFormat/>
    <w:uiPriority w:val="0"/>
  </w:style>
  <w:style w:type="character" w:styleId="36">
    <w:name w:val="HTML Typewriter"/>
    <w:basedOn w:val="31"/>
    <w:qFormat/>
    <w:uiPriority w:val="0"/>
    <w:rPr>
      <w:rFonts w:hint="default" w:ascii="monospace" w:hAnsi="monospace" w:eastAsia="monospace" w:cs="monospace"/>
      <w:sz w:val="20"/>
    </w:rPr>
  </w:style>
  <w:style w:type="character" w:styleId="37">
    <w:name w:val="HTML Acronym"/>
    <w:basedOn w:val="31"/>
    <w:qFormat/>
    <w:uiPriority w:val="0"/>
  </w:style>
  <w:style w:type="character" w:styleId="38">
    <w:name w:val="HTML Variable"/>
    <w:basedOn w:val="31"/>
    <w:qFormat/>
    <w:uiPriority w:val="0"/>
  </w:style>
  <w:style w:type="character" w:styleId="39">
    <w:name w:val="Hyperlink"/>
    <w:basedOn w:val="31"/>
    <w:qFormat/>
    <w:uiPriority w:val="99"/>
    <w:rPr>
      <w:color w:val="0000FF"/>
      <w:u w:val="none"/>
    </w:rPr>
  </w:style>
  <w:style w:type="character" w:styleId="40">
    <w:name w:val="HTML Code"/>
    <w:basedOn w:val="31"/>
    <w:qFormat/>
    <w:uiPriority w:val="0"/>
    <w:rPr>
      <w:rFonts w:hint="default" w:ascii="monospace" w:hAnsi="monospace" w:eastAsia="monospace" w:cs="monospace"/>
      <w:sz w:val="20"/>
    </w:rPr>
  </w:style>
  <w:style w:type="character" w:styleId="41">
    <w:name w:val="annotation reference"/>
    <w:basedOn w:val="31"/>
    <w:qFormat/>
    <w:uiPriority w:val="99"/>
    <w:rPr>
      <w:sz w:val="21"/>
      <w:szCs w:val="21"/>
    </w:rPr>
  </w:style>
  <w:style w:type="character" w:styleId="42">
    <w:name w:val="HTML Cite"/>
    <w:basedOn w:val="31"/>
    <w:qFormat/>
    <w:uiPriority w:val="0"/>
  </w:style>
  <w:style w:type="character" w:styleId="43">
    <w:name w:val="HTML Keyboard"/>
    <w:basedOn w:val="31"/>
    <w:qFormat/>
    <w:uiPriority w:val="0"/>
    <w:rPr>
      <w:rFonts w:ascii="monospace" w:hAnsi="monospace" w:eastAsia="monospace" w:cs="monospace"/>
      <w:sz w:val="20"/>
    </w:rPr>
  </w:style>
  <w:style w:type="character" w:styleId="44">
    <w:name w:val="HTML Sample"/>
    <w:basedOn w:val="31"/>
    <w:qFormat/>
    <w:uiPriority w:val="0"/>
    <w:rPr>
      <w:rFonts w:hint="default" w:ascii="monospace" w:hAnsi="monospace" w:eastAsia="monospace" w:cs="monospace"/>
    </w:rPr>
  </w:style>
  <w:style w:type="paragraph" w:customStyle="1" w:styleId="45">
    <w:name w:val="目录 53"/>
    <w:next w:val="1"/>
    <w:qFormat/>
    <w:uiPriority w:val="0"/>
    <w:pPr>
      <w:wordWrap w:val="0"/>
      <w:ind w:left="1275"/>
      <w:jc w:val="both"/>
    </w:pPr>
    <w:rPr>
      <w:rFonts w:ascii="Calibri" w:hAnsi="Calibri" w:eastAsia="等线" w:cs="Times New Roman"/>
      <w:sz w:val="21"/>
      <w:szCs w:val="22"/>
      <w:lang w:val="en-US" w:eastAsia="zh-CN" w:bidi="ar-SA"/>
    </w:rPr>
  </w:style>
  <w:style w:type="paragraph" w:customStyle="1" w:styleId="46">
    <w:name w:val="BodyText"/>
    <w:basedOn w:val="1"/>
    <w:next w:val="1"/>
    <w:qFormat/>
    <w:uiPriority w:val="0"/>
    <w:pPr>
      <w:spacing w:after="120"/>
    </w:pPr>
  </w:style>
  <w:style w:type="paragraph" w:customStyle="1" w:styleId="47">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8">
    <w:name w:val="Table Paragraph"/>
    <w:basedOn w:val="1"/>
    <w:qFormat/>
    <w:uiPriority w:val="1"/>
  </w:style>
  <w:style w:type="character" w:customStyle="1" w:styleId="49">
    <w:name w:val="正文文本 (2)_"/>
    <w:link w:val="50"/>
    <w:qFormat/>
    <w:uiPriority w:val="0"/>
    <w:rPr>
      <w:rFonts w:ascii="宋体" w:hAnsi="宋体"/>
      <w:kern w:val="0"/>
      <w:sz w:val="20"/>
      <w:szCs w:val="20"/>
    </w:rPr>
  </w:style>
  <w:style w:type="paragraph" w:customStyle="1" w:styleId="50">
    <w:name w:val="正文文本 (2)1"/>
    <w:basedOn w:val="1"/>
    <w:link w:val="49"/>
    <w:qFormat/>
    <w:uiPriority w:val="0"/>
    <w:pPr>
      <w:shd w:val="clear" w:color="auto" w:fill="FFFFFF"/>
      <w:spacing w:before="120" w:line="379" w:lineRule="exact"/>
      <w:ind w:hanging="420"/>
      <w:jc w:val="left"/>
    </w:pPr>
    <w:rPr>
      <w:rFonts w:ascii="宋体" w:hAnsi="宋体"/>
      <w:kern w:val="0"/>
      <w:sz w:val="20"/>
      <w:szCs w:val="20"/>
    </w:rPr>
  </w:style>
  <w:style w:type="paragraph" w:customStyle="1" w:styleId="51">
    <w:name w:val="无间隔2"/>
    <w:basedOn w:val="1"/>
    <w:qFormat/>
    <w:uiPriority w:val="0"/>
    <w:pPr>
      <w:spacing w:line="400" w:lineRule="exact"/>
    </w:pPr>
    <w:rPr>
      <w:sz w:val="24"/>
    </w:rPr>
  </w:style>
  <w:style w:type="character" w:customStyle="1" w:styleId="52">
    <w:name w:val="正文文本 字符"/>
    <w:basedOn w:val="31"/>
    <w:link w:val="8"/>
    <w:qFormat/>
    <w:uiPriority w:val="99"/>
    <w:rPr>
      <w:kern w:val="2"/>
      <w:sz w:val="21"/>
      <w:szCs w:val="24"/>
    </w:rPr>
  </w:style>
  <w:style w:type="paragraph" w:customStyle="1" w:styleId="53">
    <w:name w:val="无间隔1"/>
    <w:basedOn w:val="1"/>
    <w:qFormat/>
    <w:uiPriority w:val="0"/>
    <w:pPr>
      <w:spacing w:line="400" w:lineRule="exact"/>
    </w:pPr>
    <w:rPr>
      <w:sz w:val="24"/>
    </w:rPr>
  </w:style>
  <w:style w:type="paragraph" w:customStyle="1" w:styleId="54">
    <w:name w:val="WPSOffice手动目录 1"/>
    <w:qFormat/>
    <w:uiPriority w:val="0"/>
    <w:rPr>
      <w:rFonts w:ascii="Times New Roman" w:hAnsi="Times New Roman" w:eastAsia="宋体" w:cs="Times New Roman"/>
      <w:lang w:val="en-US" w:eastAsia="zh-CN" w:bidi="ar-SA"/>
    </w:rPr>
  </w:style>
  <w:style w:type="paragraph" w:customStyle="1" w:styleId="55">
    <w:name w:val="UserStyle_186"/>
    <w:basedOn w:val="1"/>
    <w:qFormat/>
    <w:uiPriority w:val="0"/>
    <w:rPr>
      <w:rFonts w:ascii="宋体" w:hAnsi="宋体"/>
      <w:lang w:val="zh-CN" w:bidi="zh-CN"/>
    </w:rPr>
  </w:style>
  <w:style w:type="character" w:customStyle="1" w:styleId="56">
    <w:name w:val="NormalCharacter"/>
    <w:semiHidden/>
    <w:qFormat/>
    <w:uiPriority w:val="0"/>
  </w:style>
  <w:style w:type="paragraph" w:customStyle="1" w:styleId="57">
    <w:name w:val="reader-word-layer reader-word-s4-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8">
    <w:name w:val="列表段落1"/>
    <w:basedOn w:val="1"/>
    <w:qFormat/>
    <w:uiPriority w:val="0"/>
    <w:pPr>
      <w:ind w:firstLine="420" w:firstLineChars="200"/>
    </w:pPr>
    <w:rPr>
      <w:sz w:val="28"/>
      <w:szCs w:val="28"/>
    </w:rPr>
  </w:style>
  <w:style w:type="paragraph" w:customStyle="1" w:styleId="59">
    <w:name w:val="招标正文"/>
    <w:basedOn w:val="1"/>
    <w:qFormat/>
    <w:uiPriority w:val="0"/>
    <w:pPr>
      <w:spacing w:line="300" w:lineRule="auto"/>
      <w:ind w:firstLine="420" w:firstLineChars="200"/>
    </w:pPr>
    <w:rPr>
      <w:rFonts w:ascii="Calibri" w:hAnsi="Calibri"/>
      <w:szCs w:val="18"/>
    </w:rPr>
  </w:style>
  <w:style w:type="character" w:customStyle="1" w:styleId="60">
    <w:name w:val="批注框文本 字符"/>
    <w:basedOn w:val="31"/>
    <w:link w:val="16"/>
    <w:qFormat/>
    <w:uiPriority w:val="99"/>
    <w:rPr>
      <w:kern w:val="2"/>
      <w:sz w:val="18"/>
      <w:szCs w:val="18"/>
    </w:rPr>
  </w:style>
  <w:style w:type="paragraph" w:customStyle="1" w:styleId="61">
    <w:name w:val="UserStyle_348"/>
    <w:basedOn w:val="1"/>
    <w:qFormat/>
    <w:uiPriority w:val="0"/>
    <w:pPr>
      <w:spacing w:line="288" w:lineRule="auto"/>
      <w:ind w:left="200" w:hanging="20"/>
      <w:textAlignment w:val="baseline"/>
    </w:pPr>
    <w:rPr>
      <w:color w:val="000000"/>
      <w:sz w:val="24"/>
    </w:rPr>
  </w:style>
  <w:style w:type="paragraph" w:styleId="62">
    <w:name w:val="List Paragraph"/>
    <w:basedOn w:val="1"/>
    <w:unhideWhenUsed/>
    <w:qFormat/>
    <w:uiPriority w:val="99"/>
    <w:pPr>
      <w:ind w:firstLine="420" w:firstLineChars="200"/>
    </w:pPr>
  </w:style>
  <w:style w:type="character" w:customStyle="1" w:styleId="63">
    <w:name w:val="标题 3 字符"/>
    <w:link w:val="4"/>
    <w:qFormat/>
    <w:uiPriority w:val="9"/>
    <w:rPr>
      <w:b/>
      <w:bCs/>
      <w:kern w:val="2"/>
      <w:sz w:val="32"/>
      <w:szCs w:val="32"/>
    </w:rPr>
  </w:style>
  <w:style w:type="character" w:customStyle="1" w:styleId="64">
    <w:name w:val="页眉 字符"/>
    <w:link w:val="18"/>
    <w:qFormat/>
    <w:uiPriority w:val="99"/>
    <w:rPr>
      <w:kern w:val="2"/>
      <w:sz w:val="18"/>
      <w:szCs w:val="18"/>
    </w:rPr>
  </w:style>
  <w:style w:type="character" w:customStyle="1" w:styleId="65">
    <w:name w:val="页脚 字符"/>
    <w:link w:val="17"/>
    <w:qFormat/>
    <w:uiPriority w:val="99"/>
    <w:rPr>
      <w:kern w:val="2"/>
      <w:sz w:val="18"/>
      <w:szCs w:val="18"/>
    </w:rPr>
  </w:style>
  <w:style w:type="character" w:customStyle="1" w:styleId="66">
    <w:name w:val="纯文本 Char"/>
    <w:link w:val="67"/>
    <w:qFormat/>
    <w:uiPriority w:val="0"/>
    <w:rPr>
      <w:rFonts w:ascii="黑体" w:eastAsia="黑体"/>
      <w:sz w:val="28"/>
      <w:lang w:eastAsia="en-US"/>
    </w:rPr>
  </w:style>
  <w:style w:type="paragraph" w:customStyle="1" w:styleId="67">
    <w:name w:val="纯文本1"/>
    <w:basedOn w:val="1"/>
    <w:link w:val="66"/>
    <w:qFormat/>
    <w:uiPriority w:val="0"/>
    <w:pPr>
      <w:spacing w:line="580" w:lineRule="exact"/>
      <w:ind w:right="-197" w:firstLine="200" w:firstLineChars="200"/>
    </w:pPr>
    <w:rPr>
      <w:rFonts w:ascii="黑体" w:eastAsia="黑体"/>
      <w:kern w:val="0"/>
      <w:sz w:val="28"/>
      <w:szCs w:val="20"/>
      <w:lang w:eastAsia="en-US"/>
    </w:rPr>
  </w:style>
  <w:style w:type="character" w:customStyle="1" w:styleId="68">
    <w:name w:val="批注引用1"/>
    <w:qFormat/>
    <w:uiPriority w:val="0"/>
    <w:rPr>
      <w:sz w:val="21"/>
      <w:szCs w:val="21"/>
    </w:rPr>
  </w:style>
  <w:style w:type="paragraph" w:customStyle="1" w:styleId="69">
    <w:name w:val="p0"/>
    <w:basedOn w:val="1"/>
    <w:qFormat/>
    <w:uiPriority w:val="0"/>
    <w:rPr>
      <w:szCs w:val="21"/>
    </w:rPr>
  </w:style>
  <w:style w:type="paragraph" w:customStyle="1" w:styleId="70">
    <w:name w:val="修订1"/>
    <w:qFormat/>
    <w:uiPriority w:val="99"/>
    <w:rPr>
      <w:rFonts w:ascii="Calibri" w:hAnsi="Calibri" w:eastAsia="宋体" w:cs="黑体"/>
      <w:kern w:val="2"/>
      <w:sz w:val="21"/>
      <w:szCs w:val="22"/>
      <w:lang w:val="en-US" w:eastAsia="zh-CN" w:bidi="ar-SA"/>
    </w:rPr>
  </w:style>
  <w:style w:type="paragraph" w:customStyle="1" w:styleId="71">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72">
    <w:name w:val="正文缩2"/>
    <w:qFormat/>
    <w:uiPriority w:val="0"/>
    <w:pPr>
      <w:spacing w:line="360" w:lineRule="auto"/>
      <w:ind w:firstLine="100" w:firstLineChars="100"/>
    </w:pPr>
    <w:rPr>
      <w:rFonts w:ascii="Calibri" w:hAnsi="Calibri" w:eastAsia="宋体" w:cs="Times New Roman"/>
      <w:color w:val="FF0000"/>
      <w:sz w:val="24"/>
      <w:szCs w:val="24"/>
      <w:lang w:val="en-US" w:eastAsia="zh-CN" w:bidi="ar-SA"/>
    </w:rPr>
  </w:style>
  <w:style w:type="paragraph" w:customStyle="1" w:styleId="73">
    <w:name w:val="表体"/>
    <w:basedOn w:val="1"/>
    <w:next w:val="1"/>
    <w:qFormat/>
    <w:uiPriority w:val="0"/>
    <w:pPr>
      <w:spacing w:line="0" w:lineRule="atLeast"/>
    </w:pPr>
    <w:rPr>
      <w:b/>
      <w:snapToGrid w:val="0"/>
      <w:szCs w:val="20"/>
    </w:rPr>
  </w:style>
  <w:style w:type="paragraph" w:customStyle="1" w:styleId="74">
    <w:name w:val="pa-34"/>
    <w:basedOn w:val="1"/>
    <w:qFormat/>
    <w:uiPriority w:val="0"/>
    <w:pPr>
      <w:widowControl/>
      <w:spacing w:line="360" w:lineRule="atLeast"/>
      <w:ind w:firstLine="420"/>
      <w:jc w:val="left"/>
    </w:pPr>
    <w:rPr>
      <w:rFonts w:ascii="宋体" w:hAnsi="宋体" w:cs="宋体"/>
      <w:kern w:val="0"/>
      <w:sz w:val="24"/>
    </w:rPr>
  </w:style>
  <w:style w:type="character" w:customStyle="1" w:styleId="75">
    <w:name w:val="批注文字 字符"/>
    <w:basedOn w:val="31"/>
    <w:link w:val="7"/>
    <w:qFormat/>
    <w:uiPriority w:val="99"/>
    <w:rPr>
      <w:kern w:val="2"/>
      <w:sz w:val="21"/>
      <w:szCs w:val="24"/>
    </w:rPr>
  </w:style>
  <w:style w:type="paragraph" w:customStyle="1" w:styleId="76">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77">
    <w:name w:val="批注主题 字符"/>
    <w:basedOn w:val="75"/>
    <w:link w:val="27"/>
    <w:qFormat/>
    <w:uiPriority w:val="0"/>
    <w:rPr>
      <w:b/>
      <w:bCs/>
      <w:kern w:val="2"/>
      <w:sz w:val="21"/>
      <w:szCs w:val="24"/>
    </w:rPr>
  </w:style>
  <w:style w:type="character" w:customStyle="1" w:styleId="78">
    <w:name w:val="纯文本 字符"/>
    <w:basedOn w:val="31"/>
    <w:link w:val="13"/>
    <w:autoRedefine/>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89</Pages>
  <Words>15208</Words>
  <Characters>16437</Characters>
  <Lines>360</Lines>
  <Paragraphs>101</Paragraphs>
  <TotalTime>18</TotalTime>
  <ScaleCrop>false</ScaleCrop>
  <LinksUpToDate>false</LinksUpToDate>
  <CharactersWithSpaces>16853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2024-07-17T23:47:00Z</dcterms:created>
  <dc:creator>xiaomi</dc:creator>
  <cp:lastModifiedBy>You-JW</cp:lastModifiedBy>
  <cp:lastPrinted>2023-08-04T09:00:00Z</cp:lastPrinted>
  <dcterms:modified xsi:type="dcterms:W3CDTF">2025-06-06T08:18:08Z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3E71866377744DCD950C26389015FC04_13</vt:lpwstr>
  </property>
  <property fmtid="{D5CDD505-2E9C-101B-9397-08002B2CF9AE}" pid="4" name="KSOTemplateDocerSaveRecord">
    <vt:lpwstr>eyJoZGlkIjoiODgxOWZkNGMyYThlMDYxNjI3NTA5MjhmZDhkOTdjMjEiLCJ1c2VySWQiOiI1OTEzMzMwMzgifQ==</vt:lpwstr>
  </property>
</Properties>
</file>